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5BEA7">
      <w:pPr>
        <w:autoSpaceDE w:val="0"/>
        <w:autoSpaceDN w:val="0"/>
        <w:adjustRightInd w:val="0"/>
        <w:snapToGrid w:val="0"/>
        <w:spacing w:line="300" w:lineRule="auto"/>
        <w:jc w:val="center"/>
        <w:textAlignment w:val="bottom"/>
        <w:rPr>
          <w:rFonts w:hint="eastAsia" w:ascii="宋体" w:hAnsi="宋体" w:eastAsia="宋体" w:cs="宋体"/>
          <w:b/>
          <w:spacing w:val="-20"/>
          <w:sz w:val="52"/>
          <w:szCs w:val="52"/>
        </w:rPr>
      </w:pPr>
    </w:p>
    <w:p w14:paraId="256D54AD">
      <w:pPr>
        <w:tabs>
          <w:tab w:val="left" w:pos="0"/>
        </w:tabs>
        <w:adjustRightInd w:val="0"/>
        <w:snapToGrid w:val="0"/>
        <w:spacing w:line="300" w:lineRule="auto"/>
        <w:ind w:firstLine="96" w:firstLineChars="20"/>
        <w:jc w:val="center"/>
        <w:rPr>
          <w:rFonts w:hint="eastAsia" w:ascii="宋体" w:hAnsi="宋体" w:eastAsia="宋体" w:cs="宋体"/>
          <w:b/>
          <w:spacing w:val="-20"/>
          <w:sz w:val="52"/>
          <w:szCs w:val="52"/>
          <w:lang w:eastAsia="zh-CN"/>
        </w:rPr>
      </w:pPr>
      <w:r>
        <w:rPr>
          <w:rFonts w:hint="eastAsia" w:ascii="宋体" w:hAnsi="宋体" w:eastAsia="宋体" w:cs="宋体"/>
          <w:b/>
          <w:spacing w:val="-20"/>
          <w:sz w:val="52"/>
          <w:szCs w:val="52"/>
          <w:lang w:eastAsia="zh-CN"/>
        </w:rPr>
        <w:t>浙江中医药大学便携式舌脉象仪采购</w:t>
      </w:r>
    </w:p>
    <w:p w14:paraId="38344513">
      <w:pPr>
        <w:tabs>
          <w:tab w:val="left" w:pos="0"/>
        </w:tabs>
        <w:adjustRightInd w:val="0"/>
        <w:snapToGrid w:val="0"/>
        <w:spacing w:line="300" w:lineRule="auto"/>
        <w:ind w:firstLine="96" w:firstLineChars="20"/>
        <w:jc w:val="both"/>
        <w:rPr>
          <w:rFonts w:hint="eastAsia" w:ascii="宋体" w:hAnsi="宋体" w:eastAsia="宋体" w:cs="宋体"/>
          <w:b/>
          <w:spacing w:val="-20"/>
          <w:sz w:val="52"/>
          <w:szCs w:val="52"/>
          <w:lang w:eastAsia="zh-CN"/>
        </w:rPr>
      </w:pPr>
    </w:p>
    <w:p w14:paraId="67EF9CA0">
      <w:pPr>
        <w:tabs>
          <w:tab w:val="left" w:pos="0"/>
        </w:tabs>
        <w:adjustRightInd w:val="0"/>
        <w:snapToGrid w:val="0"/>
        <w:spacing w:line="300" w:lineRule="auto"/>
        <w:ind w:firstLine="145" w:firstLineChars="20"/>
        <w:jc w:val="center"/>
        <w:rPr>
          <w:rFonts w:hint="eastAsia" w:ascii="宋体" w:hAnsi="宋体" w:eastAsia="宋体" w:cs="宋体"/>
          <w:b/>
          <w:sz w:val="72"/>
          <w:szCs w:val="72"/>
        </w:rPr>
      </w:pPr>
    </w:p>
    <w:p w14:paraId="02B9F0D6">
      <w:pPr>
        <w:tabs>
          <w:tab w:val="left" w:pos="0"/>
        </w:tabs>
        <w:adjustRightInd w:val="0"/>
        <w:snapToGrid w:val="0"/>
        <w:spacing w:line="300" w:lineRule="auto"/>
        <w:ind w:firstLine="145" w:firstLineChars="20"/>
        <w:jc w:val="center"/>
        <w:rPr>
          <w:rFonts w:hint="eastAsia" w:ascii="宋体" w:hAnsi="宋体" w:eastAsia="宋体" w:cs="宋体"/>
          <w:b/>
          <w:sz w:val="100"/>
          <w:szCs w:val="100"/>
        </w:rPr>
      </w:pPr>
      <w:r>
        <w:rPr>
          <w:rFonts w:hint="eastAsia" w:ascii="宋体" w:hAnsi="宋体" w:eastAsia="宋体" w:cs="宋体"/>
          <w:b/>
          <w:sz w:val="72"/>
          <w:szCs w:val="72"/>
        </w:rPr>
        <w:t>竞争性磋商文件</w:t>
      </w:r>
    </w:p>
    <w:p w14:paraId="210C47B7">
      <w:pPr>
        <w:spacing w:line="360" w:lineRule="auto"/>
        <w:ind w:right="-2"/>
        <w:jc w:val="center"/>
        <w:rPr>
          <w:rFonts w:hint="eastAsia" w:ascii="宋体" w:hAnsi="宋体" w:eastAsia="宋体" w:cs="宋体"/>
          <w:b/>
          <w:sz w:val="36"/>
        </w:rPr>
      </w:pPr>
      <w:r>
        <w:rPr>
          <w:rFonts w:hint="eastAsia" w:ascii="宋体" w:hAnsi="宋体" w:eastAsia="宋体" w:cs="宋体"/>
          <w:b/>
          <w:sz w:val="36"/>
        </w:rPr>
        <w:t>（线上电子招投标）</w:t>
      </w:r>
    </w:p>
    <w:p w14:paraId="0818ACA3">
      <w:pPr>
        <w:adjustRightInd w:val="0"/>
        <w:snapToGrid w:val="0"/>
        <w:spacing w:line="300" w:lineRule="auto"/>
        <w:jc w:val="center"/>
        <w:rPr>
          <w:rFonts w:hint="eastAsia" w:ascii="宋体" w:hAnsi="宋体" w:eastAsia="宋体" w:cs="宋体"/>
          <w:b/>
          <w:sz w:val="30"/>
          <w:szCs w:val="30"/>
        </w:rPr>
      </w:pPr>
    </w:p>
    <w:p w14:paraId="1E26D56A">
      <w:pPr>
        <w:adjustRightInd w:val="0"/>
        <w:snapToGrid w:val="0"/>
        <w:spacing w:line="300" w:lineRule="auto"/>
        <w:ind w:left="424" w:leftChars="202" w:firstLine="425" w:firstLineChars="141"/>
        <w:rPr>
          <w:rFonts w:hint="eastAsia" w:ascii="宋体" w:hAnsi="宋体" w:eastAsia="宋体" w:cs="宋体"/>
          <w:b/>
          <w:bCs/>
          <w:sz w:val="30"/>
          <w:szCs w:val="30"/>
        </w:rPr>
      </w:pPr>
    </w:p>
    <w:p w14:paraId="3DA5F3F5">
      <w:pPr>
        <w:adjustRightInd w:val="0"/>
        <w:snapToGrid w:val="0"/>
        <w:spacing w:line="300" w:lineRule="auto"/>
        <w:ind w:left="424" w:leftChars="202" w:firstLine="425" w:firstLineChars="141"/>
        <w:rPr>
          <w:rFonts w:hint="eastAsia" w:ascii="宋体" w:hAnsi="宋体" w:eastAsia="宋体" w:cs="宋体"/>
          <w:b/>
          <w:bCs/>
          <w:sz w:val="30"/>
          <w:szCs w:val="30"/>
        </w:rPr>
      </w:pPr>
    </w:p>
    <w:p w14:paraId="4EEB1F15">
      <w:pPr>
        <w:adjustRightInd w:val="0"/>
        <w:snapToGrid w:val="0"/>
        <w:spacing w:line="300" w:lineRule="auto"/>
        <w:ind w:left="424" w:leftChars="202" w:firstLine="425" w:firstLineChars="141"/>
        <w:rPr>
          <w:rFonts w:hint="eastAsia" w:ascii="宋体" w:hAnsi="宋体" w:eastAsia="宋体" w:cs="宋体"/>
          <w:b/>
          <w:bCs/>
          <w:sz w:val="30"/>
          <w:szCs w:val="30"/>
        </w:rPr>
      </w:pPr>
    </w:p>
    <w:p w14:paraId="7026DE4D">
      <w:pPr>
        <w:adjustRightInd w:val="0"/>
        <w:snapToGrid w:val="0"/>
        <w:spacing w:line="300" w:lineRule="auto"/>
        <w:ind w:left="424" w:leftChars="202" w:firstLine="425" w:firstLineChars="141"/>
        <w:rPr>
          <w:rFonts w:hint="eastAsia" w:ascii="宋体" w:hAnsi="宋体" w:eastAsia="宋体" w:cs="宋体"/>
          <w:b/>
          <w:bCs/>
          <w:sz w:val="30"/>
          <w:szCs w:val="30"/>
        </w:rPr>
      </w:pPr>
    </w:p>
    <w:p w14:paraId="10139814">
      <w:pPr>
        <w:adjustRightInd w:val="0"/>
        <w:snapToGrid w:val="0"/>
        <w:spacing w:line="300" w:lineRule="auto"/>
        <w:rPr>
          <w:rFonts w:hint="eastAsia" w:ascii="宋体" w:hAnsi="宋体" w:eastAsia="宋体" w:cs="宋体"/>
          <w:b/>
          <w:bCs/>
          <w:sz w:val="30"/>
          <w:szCs w:val="30"/>
        </w:rPr>
      </w:pPr>
    </w:p>
    <w:p w14:paraId="4E9CA971">
      <w:pPr>
        <w:adjustRightInd w:val="0"/>
        <w:snapToGrid w:val="0"/>
        <w:spacing w:line="480" w:lineRule="auto"/>
        <w:ind w:left="424" w:leftChars="202" w:firstLine="425" w:firstLineChars="141"/>
        <w:jc w:val="left"/>
        <w:rPr>
          <w:rFonts w:hint="eastAsia" w:ascii="宋体" w:hAnsi="宋体" w:eastAsia="宋体" w:cs="宋体"/>
          <w:b/>
          <w:sz w:val="30"/>
          <w:szCs w:val="30"/>
          <w:lang w:eastAsia="zh-CN"/>
        </w:rPr>
      </w:pPr>
      <w:r>
        <w:rPr>
          <w:rFonts w:hint="eastAsia" w:ascii="宋体" w:hAnsi="宋体" w:eastAsia="宋体" w:cs="宋体"/>
          <w:b/>
          <w:sz w:val="30"/>
          <w:szCs w:val="30"/>
          <w:lang w:eastAsia="zh-CN"/>
        </w:rPr>
        <w:t>项目编号</w:t>
      </w:r>
      <w:r>
        <w:rPr>
          <w:rFonts w:hint="eastAsia" w:ascii="宋体" w:hAnsi="宋体" w:eastAsia="宋体" w:cs="宋体"/>
          <w:b/>
          <w:sz w:val="30"/>
          <w:szCs w:val="30"/>
        </w:rPr>
        <w:t>：</w:t>
      </w:r>
      <w:r>
        <w:rPr>
          <w:rFonts w:hint="eastAsia" w:ascii="宋体" w:hAnsi="宋体" w:eastAsia="宋体" w:cs="宋体"/>
          <w:b/>
          <w:sz w:val="30"/>
          <w:szCs w:val="30"/>
          <w:lang w:eastAsia="zh-CN"/>
        </w:rPr>
        <w:t>HSZB-2024-879</w:t>
      </w:r>
    </w:p>
    <w:p w14:paraId="5BFE2B07">
      <w:pPr>
        <w:adjustRightInd w:val="0"/>
        <w:snapToGrid w:val="0"/>
        <w:spacing w:line="480" w:lineRule="auto"/>
        <w:ind w:left="424" w:leftChars="202" w:firstLine="425" w:firstLineChars="141"/>
        <w:jc w:val="left"/>
        <w:rPr>
          <w:rFonts w:hint="eastAsia" w:ascii="宋体" w:hAnsi="宋体" w:eastAsia="宋体" w:cs="宋体"/>
          <w:b/>
          <w:sz w:val="30"/>
          <w:szCs w:val="30"/>
        </w:rPr>
      </w:pPr>
      <w:r>
        <w:rPr>
          <w:rFonts w:hint="eastAsia" w:ascii="宋体" w:hAnsi="宋体" w:eastAsia="宋体" w:cs="宋体"/>
          <w:b/>
          <w:sz w:val="30"/>
          <w:szCs w:val="30"/>
        </w:rPr>
        <w:t>采 购 人：浙江中医药大学</w:t>
      </w:r>
    </w:p>
    <w:p w14:paraId="307F1A77">
      <w:pPr>
        <w:adjustRightInd w:val="0"/>
        <w:snapToGrid w:val="0"/>
        <w:spacing w:line="480" w:lineRule="auto"/>
        <w:ind w:left="424" w:leftChars="202" w:firstLine="425" w:firstLineChars="141"/>
        <w:jc w:val="left"/>
        <w:rPr>
          <w:rFonts w:hint="eastAsia" w:ascii="宋体" w:hAnsi="宋体" w:eastAsia="宋体" w:cs="宋体"/>
          <w:b/>
          <w:sz w:val="30"/>
          <w:szCs w:val="30"/>
        </w:rPr>
      </w:pPr>
      <w:r>
        <w:rPr>
          <w:rFonts w:hint="eastAsia" w:ascii="宋体" w:hAnsi="宋体" w:eastAsia="宋体" w:cs="宋体"/>
          <w:b/>
          <w:sz w:val="30"/>
          <w:szCs w:val="30"/>
        </w:rPr>
        <w:t>采购代理机构：浙江豪圣建设项目管理有限公司</w:t>
      </w:r>
    </w:p>
    <w:p w14:paraId="74E67226">
      <w:pPr>
        <w:adjustRightInd w:val="0"/>
        <w:snapToGrid w:val="0"/>
        <w:spacing w:line="480" w:lineRule="auto"/>
        <w:ind w:left="424" w:leftChars="202" w:firstLine="425" w:firstLineChars="141"/>
        <w:jc w:val="left"/>
        <w:rPr>
          <w:rFonts w:hint="eastAsia" w:ascii="宋体" w:hAnsi="宋体" w:eastAsia="宋体" w:cs="宋体"/>
          <w:b/>
          <w:sz w:val="30"/>
          <w:szCs w:val="30"/>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sz w:val="30"/>
          <w:szCs w:val="30"/>
        </w:rPr>
        <w:t>日    期：二〇二四年</w:t>
      </w:r>
      <w:r>
        <w:rPr>
          <w:rFonts w:hint="eastAsia" w:ascii="宋体" w:hAnsi="宋体" w:eastAsia="宋体" w:cs="宋体"/>
          <w:b/>
          <w:sz w:val="30"/>
          <w:szCs w:val="30"/>
          <w:lang w:val="en-US" w:eastAsia="zh-CN"/>
        </w:rPr>
        <w:t>十</w:t>
      </w:r>
      <w:r>
        <w:rPr>
          <w:rFonts w:hint="eastAsia" w:ascii="宋体" w:hAnsi="宋体" w:cs="宋体"/>
          <w:b/>
          <w:sz w:val="30"/>
          <w:szCs w:val="30"/>
          <w:lang w:val="en-US" w:eastAsia="zh-CN"/>
        </w:rPr>
        <w:t>一</w:t>
      </w:r>
      <w:bookmarkStart w:id="157" w:name="_GoBack"/>
      <w:bookmarkEnd w:id="157"/>
      <w:r>
        <w:rPr>
          <w:rFonts w:hint="eastAsia" w:ascii="宋体" w:hAnsi="宋体" w:eastAsia="宋体" w:cs="宋体"/>
          <w:b/>
          <w:sz w:val="30"/>
          <w:szCs w:val="30"/>
        </w:rPr>
        <w:t>月</w:t>
      </w:r>
    </w:p>
    <w:p w14:paraId="456F756D">
      <w:pPr>
        <w:pageBreakBefore/>
        <w:shd w:val="clear" w:color="auto" w:fill="FFFFFF"/>
        <w:adjustRightInd w:val="0"/>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目  录</w:t>
      </w:r>
    </w:p>
    <w:p w14:paraId="347319EB">
      <w:pPr>
        <w:pStyle w:val="32"/>
        <w:tabs>
          <w:tab w:val="right" w:leader="dot" w:pos="9298"/>
        </w:tabs>
        <w:spacing w:line="360" w:lineRule="auto"/>
        <w:rPr>
          <w:rFonts w:hint="eastAsia" w:ascii="宋体" w:hAnsi="宋体" w:eastAsia="宋体" w:cs="宋体"/>
          <w:sz w:val="22"/>
          <w:szCs w:val="22"/>
        </w:rPr>
      </w:pPr>
      <w:r>
        <w:rPr>
          <w:rFonts w:hint="eastAsia" w:ascii="宋体" w:hAnsi="宋体" w:eastAsia="宋体" w:cs="宋体"/>
          <w:b w:val="0"/>
          <w:sz w:val="24"/>
          <w:szCs w:val="24"/>
        </w:rPr>
        <w:fldChar w:fldCharType="begin"/>
      </w:r>
      <w:r>
        <w:rPr>
          <w:rStyle w:val="53"/>
          <w:rFonts w:hint="eastAsia" w:ascii="宋体" w:hAnsi="宋体" w:eastAsia="宋体" w:cs="宋体"/>
          <w:b w:val="0"/>
          <w:color w:val="auto"/>
          <w:sz w:val="24"/>
          <w:szCs w:val="24"/>
        </w:rPr>
        <w:instrText xml:space="preserve"> TOC \o "1-2" \h \z \u </w:instrText>
      </w:r>
      <w:r>
        <w:rPr>
          <w:rFonts w:hint="eastAsia" w:ascii="宋体" w:hAnsi="宋体" w:eastAsia="宋体" w:cs="宋体"/>
          <w:b w:val="0"/>
          <w:sz w:val="24"/>
          <w:szCs w:val="24"/>
        </w:rPr>
        <w:fldChar w:fldCharType="separate"/>
      </w:r>
      <w:r>
        <w:rPr>
          <w:rFonts w:hint="eastAsia" w:ascii="宋体" w:hAnsi="宋体" w:eastAsia="宋体" w:cs="宋体"/>
          <w:sz w:val="22"/>
          <w:szCs w:val="24"/>
        </w:rPr>
        <w:fldChar w:fldCharType="begin"/>
      </w:r>
      <w:r>
        <w:rPr>
          <w:rFonts w:hint="eastAsia" w:ascii="宋体" w:hAnsi="宋体" w:eastAsia="宋体" w:cs="宋体"/>
          <w:sz w:val="22"/>
          <w:szCs w:val="24"/>
        </w:rPr>
        <w:instrText xml:space="preserve"> HYPERLINK \l _Toc24786 </w:instrText>
      </w:r>
      <w:r>
        <w:rPr>
          <w:rFonts w:hint="eastAsia" w:ascii="宋体" w:hAnsi="宋体" w:eastAsia="宋体" w:cs="宋体"/>
          <w:sz w:val="22"/>
          <w:szCs w:val="24"/>
        </w:rPr>
        <w:fldChar w:fldCharType="separate"/>
      </w:r>
      <w:r>
        <w:rPr>
          <w:rFonts w:hint="eastAsia" w:ascii="宋体" w:hAnsi="宋体" w:eastAsia="宋体" w:cs="宋体"/>
          <w:bCs/>
          <w:sz w:val="22"/>
          <w:szCs w:val="44"/>
        </w:rPr>
        <w:t>第一部分  竞争性磋商公告</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_Toc24786 \h </w:instrText>
      </w:r>
      <w:r>
        <w:rPr>
          <w:rFonts w:hint="eastAsia" w:ascii="宋体" w:hAnsi="宋体" w:eastAsia="宋体" w:cs="宋体"/>
          <w:sz w:val="22"/>
          <w:szCs w:val="22"/>
        </w:rPr>
        <w:fldChar w:fldCharType="separate"/>
      </w:r>
      <w:r>
        <w:rPr>
          <w:rFonts w:hint="eastAsia" w:ascii="宋体" w:hAnsi="宋体" w:eastAsia="宋体" w:cs="宋体"/>
          <w:sz w:val="22"/>
          <w:szCs w:val="22"/>
        </w:rPr>
        <w:t>1</w:t>
      </w:r>
      <w:r>
        <w:rPr>
          <w:rFonts w:hint="eastAsia" w:ascii="宋体" w:hAnsi="宋体" w:eastAsia="宋体" w:cs="宋体"/>
          <w:sz w:val="22"/>
          <w:szCs w:val="22"/>
        </w:rPr>
        <w:fldChar w:fldCharType="end"/>
      </w:r>
      <w:r>
        <w:rPr>
          <w:rFonts w:hint="eastAsia" w:ascii="宋体" w:hAnsi="宋体" w:eastAsia="宋体" w:cs="宋体"/>
          <w:sz w:val="22"/>
          <w:szCs w:val="24"/>
        </w:rPr>
        <w:fldChar w:fldCharType="end"/>
      </w:r>
    </w:p>
    <w:p w14:paraId="676A7282">
      <w:pPr>
        <w:pStyle w:val="32"/>
        <w:tabs>
          <w:tab w:val="right" w:leader="dot" w:pos="9298"/>
        </w:tabs>
        <w:spacing w:line="360" w:lineRule="auto"/>
        <w:rPr>
          <w:rFonts w:hint="eastAsia" w:ascii="宋体" w:hAnsi="宋体" w:eastAsia="宋体" w:cs="宋体"/>
          <w:sz w:val="22"/>
          <w:szCs w:val="22"/>
        </w:rPr>
      </w:pPr>
      <w:r>
        <w:rPr>
          <w:rFonts w:hint="eastAsia" w:ascii="宋体" w:hAnsi="宋体" w:eastAsia="宋体" w:cs="宋体"/>
          <w:sz w:val="22"/>
          <w:szCs w:val="24"/>
        </w:rPr>
        <w:fldChar w:fldCharType="begin"/>
      </w:r>
      <w:r>
        <w:rPr>
          <w:rFonts w:hint="eastAsia" w:ascii="宋体" w:hAnsi="宋体" w:eastAsia="宋体" w:cs="宋体"/>
          <w:sz w:val="22"/>
          <w:szCs w:val="24"/>
        </w:rPr>
        <w:instrText xml:space="preserve"> HYPERLINK \l _Toc12135 </w:instrText>
      </w:r>
      <w:r>
        <w:rPr>
          <w:rFonts w:hint="eastAsia" w:ascii="宋体" w:hAnsi="宋体" w:eastAsia="宋体" w:cs="宋体"/>
          <w:sz w:val="22"/>
          <w:szCs w:val="24"/>
        </w:rPr>
        <w:fldChar w:fldCharType="separate"/>
      </w:r>
      <w:r>
        <w:rPr>
          <w:rFonts w:hint="eastAsia" w:ascii="宋体" w:hAnsi="宋体" w:eastAsia="宋体" w:cs="宋体"/>
          <w:bCs/>
          <w:sz w:val="22"/>
          <w:szCs w:val="44"/>
        </w:rPr>
        <w:t>第二部分  编制和提交磋商响应文件须知</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_Toc12135 \h </w:instrText>
      </w:r>
      <w:r>
        <w:rPr>
          <w:rFonts w:hint="eastAsia" w:ascii="宋体" w:hAnsi="宋体" w:eastAsia="宋体" w:cs="宋体"/>
          <w:sz w:val="22"/>
          <w:szCs w:val="22"/>
        </w:rPr>
        <w:fldChar w:fldCharType="separate"/>
      </w:r>
      <w:r>
        <w:rPr>
          <w:rFonts w:hint="eastAsia" w:ascii="宋体" w:hAnsi="宋体" w:eastAsia="宋体" w:cs="宋体"/>
          <w:sz w:val="22"/>
          <w:szCs w:val="22"/>
        </w:rPr>
        <w:t>5</w:t>
      </w:r>
      <w:r>
        <w:rPr>
          <w:rFonts w:hint="eastAsia" w:ascii="宋体" w:hAnsi="宋体" w:eastAsia="宋体" w:cs="宋体"/>
          <w:sz w:val="22"/>
          <w:szCs w:val="22"/>
        </w:rPr>
        <w:fldChar w:fldCharType="end"/>
      </w:r>
      <w:r>
        <w:rPr>
          <w:rFonts w:hint="eastAsia" w:ascii="宋体" w:hAnsi="宋体" w:eastAsia="宋体" w:cs="宋体"/>
          <w:sz w:val="22"/>
          <w:szCs w:val="24"/>
        </w:rPr>
        <w:fldChar w:fldCharType="end"/>
      </w:r>
    </w:p>
    <w:p w14:paraId="16870D61">
      <w:pPr>
        <w:pStyle w:val="32"/>
        <w:tabs>
          <w:tab w:val="right" w:leader="dot" w:pos="9298"/>
        </w:tabs>
        <w:spacing w:line="360" w:lineRule="auto"/>
        <w:rPr>
          <w:rFonts w:hint="eastAsia" w:ascii="宋体" w:hAnsi="宋体" w:eastAsia="宋体" w:cs="宋体"/>
          <w:sz w:val="22"/>
          <w:szCs w:val="22"/>
        </w:rPr>
      </w:pPr>
      <w:r>
        <w:rPr>
          <w:rFonts w:hint="eastAsia" w:ascii="宋体" w:hAnsi="宋体" w:eastAsia="宋体" w:cs="宋体"/>
          <w:sz w:val="22"/>
          <w:szCs w:val="24"/>
        </w:rPr>
        <w:fldChar w:fldCharType="begin"/>
      </w:r>
      <w:r>
        <w:rPr>
          <w:rFonts w:hint="eastAsia" w:ascii="宋体" w:hAnsi="宋体" w:eastAsia="宋体" w:cs="宋体"/>
          <w:sz w:val="22"/>
          <w:szCs w:val="24"/>
        </w:rPr>
        <w:instrText xml:space="preserve"> HYPERLINK \l _Toc853 </w:instrText>
      </w:r>
      <w:r>
        <w:rPr>
          <w:rFonts w:hint="eastAsia" w:ascii="宋体" w:hAnsi="宋体" w:eastAsia="宋体" w:cs="宋体"/>
          <w:sz w:val="22"/>
          <w:szCs w:val="24"/>
        </w:rPr>
        <w:fldChar w:fldCharType="separate"/>
      </w:r>
      <w:r>
        <w:rPr>
          <w:rFonts w:hint="eastAsia" w:ascii="宋体" w:hAnsi="宋体" w:eastAsia="宋体" w:cs="宋体"/>
          <w:bCs/>
          <w:sz w:val="22"/>
          <w:szCs w:val="44"/>
        </w:rPr>
        <w:t xml:space="preserve">第三部分 </w:t>
      </w:r>
      <w:r>
        <w:rPr>
          <w:rFonts w:hint="eastAsia" w:ascii="宋体" w:hAnsi="宋体" w:eastAsia="宋体" w:cs="宋体"/>
          <w:bCs/>
          <w:sz w:val="22"/>
          <w:szCs w:val="44"/>
          <w:lang w:val="en-US" w:eastAsia="zh-CN"/>
        </w:rPr>
        <w:t xml:space="preserve"> </w:t>
      </w:r>
      <w:r>
        <w:rPr>
          <w:rFonts w:hint="eastAsia" w:ascii="宋体" w:hAnsi="宋体" w:eastAsia="宋体" w:cs="宋体"/>
          <w:bCs/>
          <w:sz w:val="22"/>
          <w:szCs w:val="44"/>
        </w:rPr>
        <w:t>项目技术规范和</w:t>
      </w:r>
      <w:r>
        <w:rPr>
          <w:rFonts w:hint="eastAsia" w:ascii="宋体" w:hAnsi="宋体" w:eastAsia="宋体" w:cs="宋体"/>
          <w:bCs/>
          <w:sz w:val="22"/>
          <w:szCs w:val="44"/>
          <w:lang w:val="en-US" w:eastAsia="zh-CN"/>
        </w:rPr>
        <w:t>采购</w:t>
      </w:r>
      <w:r>
        <w:rPr>
          <w:rFonts w:hint="eastAsia" w:ascii="宋体" w:hAnsi="宋体" w:eastAsia="宋体" w:cs="宋体"/>
          <w:bCs/>
          <w:sz w:val="22"/>
          <w:szCs w:val="44"/>
        </w:rPr>
        <w:t>需求</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_Toc853 \h </w:instrText>
      </w:r>
      <w:r>
        <w:rPr>
          <w:rFonts w:hint="eastAsia" w:ascii="宋体" w:hAnsi="宋体" w:eastAsia="宋体" w:cs="宋体"/>
          <w:sz w:val="22"/>
          <w:szCs w:val="22"/>
        </w:rPr>
        <w:fldChar w:fldCharType="separate"/>
      </w:r>
      <w:r>
        <w:rPr>
          <w:rFonts w:hint="eastAsia" w:ascii="宋体" w:hAnsi="宋体" w:eastAsia="宋体" w:cs="宋体"/>
          <w:sz w:val="22"/>
          <w:szCs w:val="22"/>
        </w:rPr>
        <w:t>20</w:t>
      </w:r>
      <w:r>
        <w:rPr>
          <w:rFonts w:hint="eastAsia" w:ascii="宋体" w:hAnsi="宋体" w:eastAsia="宋体" w:cs="宋体"/>
          <w:sz w:val="22"/>
          <w:szCs w:val="22"/>
        </w:rPr>
        <w:fldChar w:fldCharType="end"/>
      </w:r>
      <w:r>
        <w:rPr>
          <w:rFonts w:hint="eastAsia" w:ascii="宋体" w:hAnsi="宋体" w:eastAsia="宋体" w:cs="宋体"/>
          <w:sz w:val="22"/>
          <w:szCs w:val="24"/>
        </w:rPr>
        <w:fldChar w:fldCharType="end"/>
      </w:r>
    </w:p>
    <w:p w14:paraId="7B42DFE4">
      <w:pPr>
        <w:pStyle w:val="32"/>
        <w:tabs>
          <w:tab w:val="right" w:leader="dot" w:pos="9298"/>
        </w:tabs>
        <w:spacing w:line="360" w:lineRule="auto"/>
        <w:rPr>
          <w:rFonts w:hint="eastAsia" w:ascii="宋体" w:hAnsi="宋体" w:eastAsia="宋体" w:cs="宋体"/>
          <w:sz w:val="22"/>
          <w:szCs w:val="22"/>
        </w:rPr>
      </w:pPr>
      <w:r>
        <w:rPr>
          <w:rFonts w:hint="eastAsia" w:ascii="宋体" w:hAnsi="宋体" w:eastAsia="宋体" w:cs="宋体"/>
          <w:sz w:val="22"/>
          <w:szCs w:val="24"/>
        </w:rPr>
        <w:fldChar w:fldCharType="begin"/>
      </w:r>
      <w:r>
        <w:rPr>
          <w:rFonts w:hint="eastAsia" w:ascii="宋体" w:hAnsi="宋体" w:eastAsia="宋体" w:cs="宋体"/>
          <w:sz w:val="22"/>
          <w:szCs w:val="24"/>
        </w:rPr>
        <w:instrText xml:space="preserve"> HYPERLINK \l _Toc21163 </w:instrText>
      </w:r>
      <w:r>
        <w:rPr>
          <w:rFonts w:hint="eastAsia" w:ascii="宋体" w:hAnsi="宋体" w:eastAsia="宋体" w:cs="宋体"/>
          <w:sz w:val="22"/>
          <w:szCs w:val="24"/>
        </w:rPr>
        <w:fldChar w:fldCharType="separate"/>
      </w:r>
      <w:r>
        <w:rPr>
          <w:rFonts w:hint="eastAsia" w:ascii="宋体" w:hAnsi="宋体" w:eastAsia="宋体" w:cs="宋体"/>
          <w:sz w:val="22"/>
          <w:szCs w:val="22"/>
        </w:rPr>
        <w:t>第四部分</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合同条款</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_Toc21163 \h </w:instrText>
      </w:r>
      <w:r>
        <w:rPr>
          <w:rFonts w:hint="eastAsia" w:ascii="宋体" w:hAnsi="宋体" w:eastAsia="宋体" w:cs="宋体"/>
          <w:sz w:val="22"/>
          <w:szCs w:val="22"/>
        </w:rPr>
        <w:fldChar w:fldCharType="separate"/>
      </w:r>
      <w:r>
        <w:rPr>
          <w:rFonts w:hint="eastAsia" w:ascii="宋体" w:hAnsi="宋体" w:eastAsia="宋体" w:cs="宋体"/>
          <w:sz w:val="22"/>
          <w:szCs w:val="22"/>
        </w:rPr>
        <w:t>24</w:t>
      </w:r>
      <w:r>
        <w:rPr>
          <w:rFonts w:hint="eastAsia" w:ascii="宋体" w:hAnsi="宋体" w:eastAsia="宋体" w:cs="宋体"/>
          <w:sz w:val="22"/>
          <w:szCs w:val="22"/>
        </w:rPr>
        <w:fldChar w:fldCharType="end"/>
      </w:r>
      <w:r>
        <w:rPr>
          <w:rFonts w:hint="eastAsia" w:ascii="宋体" w:hAnsi="宋体" w:eastAsia="宋体" w:cs="宋体"/>
          <w:sz w:val="22"/>
          <w:szCs w:val="24"/>
        </w:rPr>
        <w:fldChar w:fldCharType="end"/>
      </w:r>
    </w:p>
    <w:p w14:paraId="5F72278A">
      <w:pPr>
        <w:pStyle w:val="32"/>
        <w:tabs>
          <w:tab w:val="right" w:leader="dot" w:pos="9298"/>
        </w:tabs>
        <w:spacing w:line="360" w:lineRule="auto"/>
        <w:rPr>
          <w:rFonts w:hint="eastAsia" w:ascii="宋体" w:hAnsi="宋体" w:eastAsia="宋体" w:cs="宋体"/>
          <w:sz w:val="22"/>
          <w:szCs w:val="22"/>
        </w:rPr>
      </w:pPr>
      <w:r>
        <w:rPr>
          <w:rFonts w:hint="eastAsia" w:ascii="宋体" w:hAnsi="宋体" w:eastAsia="宋体" w:cs="宋体"/>
          <w:sz w:val="22"/>
          <w:szCs w:val="24"/>
        </w:rPr>
        <w:fldChar w:fldCharType="begin"/>
      </w:r>
      <w:r>
        <w:rPr>
          <w:rFonts w:hint="eastAsia" w:ascii="宋体" w:hAnsi="宋体" w:eastAsia="宋体" w:cs="宋体"/>
          <w:sz w:val="22"/>
          <w:szCs w:val="24"/>
        </w:rPr>
        <w:instrText xml:space="preserve"> HYPERLINK \l _Toc19836 </w:instrText>
      </w:r>
      <w:r>
        <w:rPr>
          <w:rFonts w:hint="eastAsia" w:ascii="宋体" w:hAnsi="宋体" w:eastAsia="宋体" w:cs="宋体"/>
          <w:sz w:val="22"/>
          <w:szCs w:val="24"/>
        </w:rPr>
        <w:fldChar w:fldCharType="separate"/>
      </w:r>
      <w:r>
        <w:rPr>
          <w:rFonts w:hint="eastAsia" w:ascii="宋体" w:hAnsi="宋体" w:eastAsia="宋体" w:cs="宋体"/>
          <w:sz w:val="22"/>
          <w:szCs w:val="22"/>
        </w:rPr>
        <w:t xml:space="preserve">第五部分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应提交的有关格式范例</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_Toc19836 \h </w:instrText>
      </w:r>
      <w:r>
        <w:rPr>
          <w:rFonts w:hint="eastAsia" w:ascii="宋体" w:hAnsi="宋体" w:eastAsia="宋体" w:cs="宋体"/>
          <w:sz w:val="22"/>
          <w:szCs w:val="22"/>
        </w:rPr>
        <w:fldChar w:fldCharType="separate"/>
      </w:r>
      <w:r>
        <w:rPr>
          <w:rFonts w:hint="eastAsia" w:ascii="宋体" w:hAnsi="宋体" w:eastAsia="宋体" w:cs="宋体"/>
          <w:sz w:val="22"/>
          <w:szCs w:val="22"/>
        </w:rPr>
        <w:t>30</w:t>
      </w:r>
      <w:r>
        <w:rPr>
          <w:rFonts w:hint="eastAsia" w:ascii="宋体" w:hAnsi="宋体" w:eastAsia="宋体" w:cs="宋体"/>
          <w:sz w:val="22"/>
          <w:szCs w:val="22"/>
        </w:rPr>
        <w:fldChar w:fldCharType="end"/>
      </w:r>
      <w:r>
        <w:rPr>
          <w:rFonts w:hint="eastAsia" w:ascii="宋体" w:hAnsi="宋体" w:eastAsia="宋体" w:cs="宋体"/>
          <w:sz w:val="22"/>
          <w:szCs w:val="24"/>
        </w:rPr>
        <w:fldChar w:fldCharType="end"/>
      </w:r>
    </w:p>
    <w:p w14:paraId="3AFF19B0">
      <w:pPr>
        <w:pStyle w:val="32"/>
        <w:tabs>
          <w:tab w:val="right" w:leader="dot" w:pos="9298"/>
        </w:tabs>
        <w:spacing w:line="360" w:lineRule="auto"/>
        <w:rPr>
          <w:rFonts w:hint="eastAsia" w:ascii="宋体" w:hAnsi="宋体" w:eastAsia="宋体" w:cs="宋体"/>
          <w:sz w:val="22"/>
          <w:szCs w:val="22"/>
        </w:rPr>
      </w:pPr>
      <w:r>
        <w:rPr>
          <w:rFonts w:hint="eastAsia" w:ascii="宋体" w:hAnsi="宋体" w:eastAsia="宋体" w:cs="宋体"/>
          <w:sz w:val="22"/>
          <w:szCs w:val="24"/>
        </w:rPr>
        <w:fldChar w:fldCharType="begin"/>
      </w:r>
      <w:r>
        <w:rPr>
          <w:rFonts w:hint="eastAsia" w:ascii="宋体" w:hAnsi="宋体" w:eastAsia="宋体" w:cs="宋体"/>
          <w:sz w:val="22"/>
          <w:szCs w:val="24"/>
        </w:rPr>
        <w:instrText xml:space="preserve"> HYPERLINK \l _Toc6541 </w:instrText>
      </w:r>
      <w:r>
        <w:rPr>
          <w:rFonts w:hint="eastAsia" w:ascii="宋体" w:hAnsi="宋体" w:eastAsia="宋体" w:cs="宋体"/>
          <w:sz w:val="22"/>
          <w:szCs w:val="24"/>
        </w:rPr>
        <w:fldChar w:fldCharType="separate"/>
      </w:r>
      <w:r>
        <w:rPr>
          <w:rFonts w:hint="eastAsia" w:ascii="宋体" w:hAnsi="宋体" w:eastAsia="宋体" w:cs="宋体"/>
          <w:sz w:val="22"/>
          <w:szCs w:val="22"/>
        </w:rPr>
        <w:t xml:space="preserve">第六部分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评标办法</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_Toc6541 \h </w:instrText>
      </w:r>
      <w:r>
        <w:rPr>
          <w:rFonts w:hint="eastAsia" w:ascii="宋体" w:hAnsi="宋体" w:eastAsia="宋体" w:cs="宋体"/>
          <w:sz w:val="22"/>
          <w:szCs w:val="22"/>
        </w:rPr>
        <w:fldChar w:fldCharType="separate"/>
      </w:r>
      <w:r>
        <w:rPr>
          <w:rFonts w:hint="eastAsia" w:ascii="宋体" w:hAnsi="宋体" w:eastAsia="宋体" w:cs="宋体"/>
          <w:sz w:val="22"/>
          <w:szCs w:val="22"/>
        </w:rPr>
        <w:t>50</w:t>
      </w:r>
      <w:r>
        <w:rPr>
          <w:rFonts w:hint="eastAsia" w:ascii="宋体" w:hAnsi="宋体" w:eastAsia="宋体" w:cs="宋体"/>
          <w:sz w:val="22"/>
          <w:szCs w:val="22"/>
        </w:rPr>
        <w:fldChar w:fldCharType="end"/>
      </w:r>
      <w:r>
        <w:rPr>
          <w:rFonts w:hint="eastAsia" w:ascii="宋体" w:hAnsi="宋体" w:eastAsia="宋体" w:cs="宋体"/>
          <w:sz w:val="22"/>
          <w:szCs w:val="24"/>
        </w:rPr>
        <w:fldChar w:fldCharType="end"/>
      </w:r>
    </w:p>
    <w:p w14:paraId="0BA6534E">
      <w:pPr>
        <w:pStyle w:val="32"/>
        <w:tabs>
          <w:tab w:val="right" w:leader="dot" w:pos="8647"/>
        </w:tabs>
        <w:spacing w:line="360" w:lineRule="auto"/>
        <w:ind w:firstLine="261" w:firstLineChars="118"/>
        <w:rPr>
          <w:rFonts w:hint="eastAsia" w:ascii="宋体" w:hAnsi="宋体" w:eastAsia="宋体" w:cs="宋体"/>
          <w:b w:val="0"/>
          <w:sz w:val="24"/>
          <w:szCs w:val="24"/>
        </w:rPr>
      </w:pPr>
      <w:r>
        <w:rPr>
          <w:rFonts w:hint="eastAsia" w:ascii="宋体" w:hAnsi="宋体" w:eastAsia="宋体" w:cs="宋体"/>
          <w:sz w:val="22"/>
          <w:szCs w:val="24"/>
        </w:rPr>
        <w:fldChar w:fldCharType="end"/>
      </w:r>
    </w:p>
    <w:p w14:paraId="5A676321">
      <w:pPr>
        <w:pageBreakBefore/>
        <w:shd w:val="clear" w:color="auto" w:fill="FFFFFF"/>
        <w:adjustRightInd w:val="0"/>
        <w:snapToGrid w:val="0"/>
        <w:spacing w:line="360" w:lineRule="auto"/>
        <w:jc w:val="center"/>
        <w:outlineLvl w:val="0"/>
        <w:rPr>
          <w:rFonts w:hint="eastAsia" w:ascii="宋体" w:hAnsi="宋体" w:eastAsia="宋体" w:cs="宋体"/>
          <w:b/>
          <w:bCs/>
          <w:sz w:val="36"/>
          <w:szCs w:val="36"/>
        </w:rPr>
        <w:sectPr>
          <w:pgSz w:w="11906" w:h="16838"/>
          <w:pgMar w:top="1134" w:right="1304" w:bottom="1247" w:left="1304" w:header="794" w:footer="794" w:gutter="0"/>
          <w:cols w:space="720" w:num="1"/>
          <w:docGrid w:type="lines" w:linePitch="312" w:charSpace="0"/>
        </w:sectPr>
      </w:pPr>
      <w:bookmarkStart w:id="0" w:name="_Toc354996693"/>
      <w:bookmarkStart w:id="1" w:name="_Toc361217421"/>
      <w:bookmarkStart w:id="2" w:name="_Toc24786"/>
    </w:p>
    <w:p w14:paraId="266EC5C2">
      <w:pPr>
        <w:pageBreakBefore/>
        <w:shd w:val="clear" w:color="auto" w:fill="FFFFFF"/>
        <w:adjustRightInd w:val="0"/>
        <w:snapToGrid w:val="0"/>
        <w:spacing w:line="360" w:lineRule="auto"/>
        <w:jc w:val="center"/>
        <w:outlineLvl w:val="0"/>
        <w:rPr>
          <w:rFonts w:hint="eastAsia" w:ascii="宋体" w:hAnsi="宋体" w:eastAsia="宋体" w:cs="宋体"/>
          <w:b/>
          <w:bCs/>
          <w:sz w:val="36"/>
          <w:szCs w:val="36"/>
        </w:rPr>
      </w:pPr>
      <w:r>
        <w:rPr>
          <w:rFonts w:hint="eastAsia" w:ascii="宋体" w:hAnsi="宋体" w:eastAsia="宋体" w:cs="宋体"/>
          <w:b/>
          <w:bCs/>
          <w:sz w:val="36"/>
          <w:szCs w:val="36"/>
        </w:rPr>
        <w:t xml:space="preserve">第一部分  </w:t>
      </w:r>
      <w:bookmarkEnd w:id="0"/>
      <w:bookmarkEnd w:id="1"/>
      <w:r>
        <w:rPr>
          <w:rFonts w:hint="eastAsia" w:ascii="宋体" w:hAnsi="宋体" w:eastAsia="宋体" w:cs="宋体"/>
          <w:b/>
          <w:bCs/>
          <w:sz w:val="36"/>
          <w:szCs w:val="36"/>
        </w:rPr>
        <w:t>竞争性磋商公告</w:t>
      </w:r>
      <w:bookmarkEnd w:id="2"/>
    </w:p>
    <w:p w14:paraId="5A584192">
      <w:pPr>
        <w:adjustRightInd w:val="0"/>
        <w:snapToGrid w:val="0"/>
        <w:spacing w:line="360" w:lineRule="auto"/>
        <w:jc w:val="left"/>
        <w:rPr>
          <w:rFonts w:hint="eastAsia" w:ascii="宋体" w:hAnsi="宋体" w:eastAsia="宋体" w:cs="宋体"/>
          <w:kern w:val="0"/>
          <w:szCs w:val="21"/>
        </w:rPr>
      </w:pPr>
      <w:bookmarkStart w:id="3" w:name="_Toc35393630"/>
      <w:bookmarkStart w:id="4" w:name="_Toc28359090"/>
      <w:bookmarkStart w:id="5" w:name="_Toc28359013"/>
      <w:bookmarkStart w:id="6" w:name="_Toc35393799"/>
      <w:r>
        <w:rPr>
          <w:rFonts w:hint="eastAsia" w:ascii="宋体" w:hAnsi="宋体" w:eastAsia="宋体" w:cs="宋体"/>
          <w:szCs w:val="21"/>
        </w:rPr>
        <mc:AlternateContent>
          <mc:Choice Requires="wps">
            <w:drawing>
              <wp:anchor distT="0" distB="0" distL="114300" distR="114300" simplePos="0" relativeHeight="251660288" behindDoc="1" locked="0" layoutInCell="1" allowOverlap="1">
                <wp:simplePos x="0" y="0"/>
                <wp:positionH relativeFrom="column">
                  <wp:posOffset>-51435</wp:posOffset>
                </wp:positionH>
                <wp:positionV relativeFrom="paragraph">
                  <wp:posOffset>236220</wp:posOffset>
                </wp:positionV>
                <wp:extent cx="6076950" cy="770255"/>
                <wp:effectExtent l="4445" t="4445" r="14605" b="6350"/>
                <wp:wrapNone/>
                <wp:docPr id="1" name="矩形 6"/>
                <wp:cNvGraphicFramePr/>
                <a:graphic xmlns:a="http://schemas.openxmlformats.org/drawingml/2006/main">
                  <a:graphicData uri="http://schemas.microsoft.com/office/word/2010/wordprocessingShape">
                    <wps:wsp>
                      <wps:cNvSpPr/>
                      <wps:spPr>
                        <a:xfrm>
                          <a:off x="0" y="0"/>
                          <a:ext cx="6076950" cy="7702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DA4142"/>
                        </w:txbxContent>
                      </wps:txbx>
                      <wps:bodyPr wrap="square" upright="1"/>
                    </wps:wsp>
                  </a:graphicData>
                </a:graphic>
              </wp:anchor>
            </w:drawing>
          </mc:Choice>
          <mc:Fallback>
            <w:pict>
              <v:rect id="矩形 6" o:spid="_x0000_s1026" o:spt="1" style="position:absolute;left:0pt;margin-left:-4.05pt;margin-top:18.6pt;height:60.65pt;width:478.5pt;z-index:-251656192;mso-width-relative:page;mso-height-relative:page;" fillcolor="#FFFFFF" filled="t" stroked="t" coordsize="21600,21600" o:gfxdata="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DOP2AAAAAkBAAAPAAAAAAAAAAEAIAAAACIA&#10;AABkcnMvZG93bnJldi54bWxQSwECFAAUAAAACACHTuJAtpVwsQkCAAA3BAAADgAAAAAAAAABACAA&#10;AAAnAQAAZHJzL2Uyb0RvYy54bWxQSwUGAAAAAAYABgBZAQAAogUAAAAA&#10;">
                <v:fill on="t" focussize="0,0"/>
                <v:stroke color="#000000" joinstyle="miter"/>
                <v:imagedata o:title=""/>
                <o:lock v:ext="edit" aspectratio="f"/>
                <v:textbox>
                  <w:txbxContent>
                    <w:p w14:paraId="3DDA4142"/>
                  </w:txbxContent>
                </v:textbox>
              </v:rect>
            </w:pict>
          </mc:Fallback>
        </mc:AlternateContent>
      </w:r>
      <w:r>
        <w:rPr>
          <w:rFonts w:hint="eastAsia" w:ascii="宋体" w:hAnsi="宋体" w:eastAsia="宋体" w:cs="宋体"/>
          <w:kern w:val="0"/>
          <w:szCs w:val="21"/>
        </w:rPr>
        <w:t>项目概况</w:t>
      </w:r>
    </w:p>
    <w:p w14:paraId="42E0012B">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eastAsia="zh-CN"/>
        </w:rPr>
        <w:t>浙江中医药大学便携式舌脉象仪采购</w:t>
      </w:r>
      <w:r>
        <w:rPr>
          <w:rFonts w:hint="eastAsia" w:ascii="宋体" w:hAnsi="宋体" w:eastAsia="宋体" w:cs="宋体"/>
          <w:kern w:val="0"/>
          <w:szCs w:val="21"/>
        </w:rPr>
        <w:t>的潜在供应商应在浙江政府采购网（http://zfcg.czt.zj.gov.cn/）获取（下载）采购文件，并于</w:t>
      </w:r>
      <w:r>
        <w:rPr>
          <w:rFonts w:hint="eastAsia" w:ascii="宋体" w:hAnsi="宋体" w:eastAsia="宋体" w:cs="宋体"/>
          <w:kern w:val="0"/>
          <w:szCs w:val="21"/>
          <w:lang w:eastAsia="zh-CN"/>
        </w:rPr>
        <w:t>2024年</w:t>
      </w:r>
      <w:r>
        <w:rPr>
          <w:rFonts w:hint="eastAsia" w:ascii="宋体" w:hAnsi="宋体" w:cs="宋体"/>
          <w:kern w:val="0"/>
          <w:szCs w:val="21"/>
          <w:lang w:eastAsia="zh-CN"/>
        </w:rPr>
        <w:t>11月18日09:30</w:t>
      </w:r>
      <w:r>
        <w:rPr>
          <w:rFonts w:hint="eastAsia" w:ascii="宋体" w:hAnsi="宋体" w:eastAsia="宋体" w:cs="宋体"/>
          <w:kern w:val="0"/>
          <w:szCs w:val="21"/>
        </w:rPr>
        <w:t>（北京时间）前提交（上传）响应文件。</w:t>
      </w:r>
    </w:p>
    <w:p w14:paraId="48B26F8E">
      <w:pPr>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一、项目基本情况</w:t>
      </w:r>
    </w:p>
    <w:p w14:paraId="71D54F37">
      <w:pPr>
        <w:adjustRightInd w:val="0"/>
        <w:snapToGri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项目编号：</w:t>
      </w:r>
      <w:r>
        <w:rPr>
          <w:rFonts w:hint="eastAsia" w:ascii="宋体" w:hAnsi="宋体" w:eastAsia="宋体" w:cs="宋体"/>
          <w:kern w:val="0"/>
          <w:szCs w:val="21"/>
          <w:highlight w:val="none"/>
          <w:lang w:eastAsia="zh-CN"/>
        </w:rPr>
        <w:t>HSZB-2024-879</w:t>
      </w:r>
    </w:p>
    <w:p w14:paraId="32089E43">
      <w:pPr>
        <w:adjustRightInd w:val="0"/>
        <w:snapToGri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项目名称：</w:t>
      </w:r>
      <w:r>
        <w:rPr>
          <w:rFonts w:hint="eastAsia" w:ascii="宋体" w:hAnsi="宋体" w:eastAsia="宋体" w:cs="宋体"/>
          <w:kern w:val="0"/>
          <w:szCs w:val="21"/>
          <w:highlight w:val="none"/>
          <w:lang w:eastAsia="zh-CN"/>
        </w:rPr>
        <w:t>浙江中医药大学便携式舌脉象仪采购</w:t>
      </w:r>
    </w:p>
    <w:p w14:paraId="5C1734BA">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采购方式：竞争性磋商</w:t>
      </w:r>
    </w:p>
    <w:p w14:paraId="224D8213">
      <w:pPr>
        <w:adjustRightInd w:val="0"/>
        <w:snapToGri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预算金额（元）：</w:t>
      </w:r>
      <w:r>
        <w:rPr>
          <w:rFonts w:hint="eastAsia" w:ascii="宋体" w:hAnsi="宋体" w:eastAsia="宋体" w:cs="宋体"/>
          <w:kern w:val="0"/>
          <w:szCs w:val="21"/>
          <w:highlight w:val="none"/>
          <w:lang w:eastAsia="zh-CN"/>
        </w:rPr>
        <w:t>400000</w:t>
      </w:r>
    </w:p>
    <w:p w14:paraId="20A13F3A">
      <w:pPr>
        <w:adjustRightInd w:val="0"/>
        <w:snapToGrid w:val="0"/>
        <w:spacing w:line="360" w:lineRule="auto"/>
        <w:ind w:firstLine="420" w:firstLineChars="20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最高限价（元）：</w:t>
      </w:r>
      <w:r>
        <w:rPr>
          <w:rFonts w:hint="eastAsia" w:ascii="宋体" w:hAnsi="宋体" w:eastAsia="宋体" w:cs="宋体"/>
          <w:kern w:val="0"/>
          <w:szCs w:val="21"/>
          <w:highlight w:val="none"/>
          <w:lang w:val="en-US" w:eastAsia="zh-CN"/>
        </w:rPr>
        <w:t>400000</w:t>
      </w:r>
    </w:p>
    <w:p w14:paraId="32D0D340">
      <w:pPr>
        <w:adjustRightInd w:val="0"/>
        <w:snapToGrid w:val="0"/>
        <w:spacing w:line="360" w:lineRule="auto"/>
        <w:ind w:firstLine="630" w:firstLineChars="3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采购需求：</w:t>
      </w:r>
    </w:p>
    <w:p w14:paraId="45FCE577">
      <w:pPr>
        <w:adjustRightInd w:val="0"/>
        <w:snapToGrid w:val="0"/>
        <w:spacing w:line="360" w:lineRule="auto"/>
        <w:ind w:firstLine="630" w:firstLineChars="300"/>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数量：</w:t>
      </w:r>
      <w:r>
        <w:rPr>
          <w:rFonts w:hint="eastAsia" w:ascii="宋体" w:hAnsi="宋体" w:eastAsia="宋体" w:cs="宋体"/>
          <w:kern w:val="2"/>
          <w:sz w:val="21"/>
          <w:szCs w:val="21"/>
          <w:highlight w:val="none"/>
          <w:lang w:val="en-US" w:eastAsia="zh-CN"/>
        </w:rPr>
        <w:t>2</w:t>
      </w:r>
    </w:p>
    <w:p w14:paraId="712D2005">
      <w:pPr>
        <w:adjustRightInd w:val="0"/>
        <w:snapToGrid w:val="0"/>
        <w:spacing w:line="360" w:lineRule="auto"/>
        <w:ind w:firstLine="630" w:firstLineChars="30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highlight w:val="none"/>
        </w:rPr>
        <w:t>预算金额（元）</w:t>
      </w:r>
      <w:r>
        <w:rPr>
          <w:rFonts w:hint="eastAsia" w:ascii="宋体" w:hAnsi="宋体" w:eastAsia="宋体" w:cs="宋体"/>
          <w:kern w:val="0"/>
          <w:sz w:val="21"/>
          <w:szCs w:val="21"/>
          <w:highlight w:val="none"/>
          <w:lang w:val="en-US" w:eastAsia="zh-CN" w:bidi="ar-SA"/>
        </w:rPr>
        <w:t>：400000</w:t>
      </w:r>
    </w:p>
    <w:p w14:paraId="2F6E1B78">
      <w:pPr>
        <w:adjustRightInd w:val="0"/>
        <w:snapToGrid w:val="0"/>
        <w:spacing w:line="360" w:lineRule="auto"/>
        <w:ind w:firstLine="630" w:firstLineChars="30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单位：</w:t>
      </w:r>
      <w:r>
        <w:rPr>
          <w:rFonts w:hint="eastAsia" w:ascii="宋体" w:hAnsi="宋体" w:eastAsia="宋体" w:cs="宋体"/>
          <w:kern w:val="2"/>
          <w:sz w:val="21"/>
          <w:szCs w:val="21"/>
          <w:highlight w:val="none"/>
          <w:lang w:val="en-US" w:eastAsia="zh-CN"/>
        </w:rPr>
        <w:t>套</w:t>
      </w:r>
    </w:p>
    <w:p w14:paraId="48BE6BC8">
      <w:pPr>
        <w:adjustRightInd w:val="0"/>
        <w:snapToGrid w:val="0"/>
        <w:spacing w:line="360" w:lineRule="auto"/>
        <w:ind w:firstLine="630" w:firstLineChars="300"/>
        <w:jc w:val="left"/>
        <w:rPr>
          <w:rFonts w:hint="eastAsia" w:ascii="宋体" w:hAnsi="宋体" w:eastAsia="宋体" w:cs="宋体"/>
          <w:sz w:val="21"/>
          <w:szCs w:val="21"/>
          <w:highlight w:val="none"/>
        </w:rPr>
      </w:pPr>
      <w:r>
        <w:rPr>
          <w:rFonts w:hint="eastAsia" w:ascii="宋体" w:hAnsi="宋体" w:eastAsia="宋体" w:cs="宋体"/>
          <w:kern w:val="2"/>
          <w:sz w:val="21"/>
          <w:szCs w:val="21"/>
          <w:highlight w:val="none"/>
        </w:rPr>
        <w:t>简要规格描述或项目基本概况介绍、用途：</w:t>
      </w:r>
      <w:r>
        <w:rPr>
          <w:rFonts w:hint="eastAsia" w:ascii="宋体" w:hAnsi="宋体" w:eastAsia="宋体" w:cs="宋体"/>
          <w:kern w:val="2"/>
          <w:sz w:val="21"/>
          <w:szCs w:val="21"/>
          <w:highlight w:val="none"/>
          <w:lang w:eastAsia="zh-CN"/>
        </w:rPr>
        <w:t>浙江中医药大学便携式舌脉象仪采购</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t>具体详见竞争性磋商文件第三部分</w:t>
      </w:r>
    </w:p>
    <w:p w14:paraId="2DE8C53F">
      <w:pPr>
        <w:adjustRightInd w:val="0"/>
        <w:snapToGrid w:val="0"/>
        <w:spacing w:line="360" w:lineRule="auto"/>
        <w:ind w:firstLine="630" w:firstLineChars="300"/>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7E0BE888">
      <w:pPr>
        <w:adjustRightInd w:val="0"/>
        <w:snapToGrid w:val="0"/>
        <w:spacing w:line="360" w:lineRule="auto"/>
        <w:ind w:firstLine="630" w:firstLineChars="300"/>
        <w:jc w:val="left"/>
        <w:rPr>
          <w:rFonts w:hint="eastAsia" w:ascii="宋体" w:hAnsi="宋体" w:eastAsia="宋体" w:cs="宋体"/>
          <w:szCs w:val="21"/>
          <w:highlight w:val="none"/>
        </w:rPr>
      </w:pPr>
      <w:r>
        <w:rPr>
          <w:rFonts w:hint="eastAsia" w:ascii="宋体" w:hAnsi="宋体" w:eastAsia="宋体" w:cs="宋体"/>
          <w:kern w:val="0"/>
          <w:szCs w:val="21"/>
          <w:highlight w:val="none"/>
        </w:rPr>
        <w:t>本项目（是）接受联合体投标，联合体各方均应满足资格条件</w:t>
      </w:r>
      <w:r>
        <w:rPr>
          <w:rFonts w:hint="eastAsia" w:ascii="宋体" w:hAnsi="宋体" w:eastAsia="宋体" w:cs="宋体"/>
          <w:szCs w:val="21"/>
          <w:highlight w:val="none"/>
        </w:rPr>
        <w:t>。</w:t>
      </w:r>
    </w:p>
    <w:p w14:paraId="56F63477">
      <w:pPr>
        <w:adjustRightInd w:val="0"/>
        <w:snapToGrid w:val="0"/>
        <w:spacing w:line="360" w:lineRule="auto"/>
        <w:ind w:firstLine="630" w:firstLineChars="300"/>
        <w:jc w:val="left"/>
        <w:rPr>
          <w:rFonts w:hint="eastAsia" w:ascii="宋体" w:hAnsi="宋体" w:eastAsia="宋体" w:cs="宋体"/>
          <w:b/>
          <w:sz w:val="24"/>
          <w:highlight w:val="none"/>
        </w:rPr>
      </w:pPr>
      <w:r>
        <w:rPr>
          <w:rFonts w:hint="eastAsia" w:ascii="宋体" w:hAnsi="宋体" w:eastAsia="宋体" w:cs="宋体"/>
          <w:kern w:val="0"/>
          <w:szCs w:val="21"/>
          <w:highlight w:val="none"/>
        </w:rPr>
        <w:t>合同履约期限：详见采购文件</w:t>
      </w:r>
      <w:r>
        <w:rPr>
          <w:rFonts w:hint="eastAsia" w:ascii="宋体" w:hAnsi="宋体" w:eastAsia="宋体" w:cs="宋体"/>
          <w:szCs w:val="21"/>
          <w:highlight w:val="none"/>
        </w:rPr>
        <w:t>；</w:t>
      </w:r>
    </w:p>
    <w:p w14:paraId="40C1674A">
      <w:pPr>
        <w:adjustRightInd w:val="0"/>
        <w:snapToGrid w:val="0"/>
        <w:spacing w:line="36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二、</w:t>
      </w:r>
      <w:bookmarkEnd w:id="3"/>
      <w:bookmarkEnd w:id="4"/>
      <w:bookmarkEnd w:id="5"/>
      <w:bookmarkEnd w:id="6"/>
      <w:r>
        <w:rPr>
          <w:rStyle w:val="49"/>
          <w:rFonts w:hint="eastAsia" w:ascii="宋体" w:hAnsi="宋体" w:eastAsia="宋体" w:cs="宋体"/>
          <w:b w:val="0"/>
          <w:bCs/>
          <w:sz w:val="21"/>
          <w:szCs w:val="20"/>
          <w:highlight w:val="none"/>
        </w:rPr>
        <w:t>申请人的资格要求：</w:t>
      </w:r>
    </w:p>
    <w:p w14:paraId="6A01995F">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3A2FA20">
      <w:pPr>
        <w:autoSpaceDE w:val="0"/>
        <w:autoSpaceDN w:val="0"/>
        <w:adjustRightInd w:val="0"/>
        <w:snapToGrid w:val="0"/>
        <w:spacing w:line="360" w:lineRule="auto"/>
        <w:ind w:firstLine="420" w:firstLineChars="200"/>
        <w:textAlignment w:val="bottom"/>
        <w:rPr>
          <w:rFonts w:hint="eastAsia" w:ascii="宋体" w:hAnsi="宋体" w:eastAsia="宋体" w:cs="宋体"/>
          <w:b/>
          <w:bCs/>
          <w:szCs w:val="21"/>
          <w:lang w:val="en-US" w:eastAsia="zh-CN"/>
        </w:rPr>
      </w:pPr>
      <w:r>
        <w:rPr>
          <w:rFonts w:hint="eastAsia" w:ascii="宋体" w:hAnsi="宋体" w:eastAsia="宋体" w:cs="宋体"/>
          <w:kern w:val="0"/>
          <w:szCs w:val="21"/>
        </w:rPr>
        <w:t>2.落实政府采购政策需满足的资格要求：专门面向中小企业采购,所有</w:t>
      </w:r>
      <w:r>
        <w:rPr>
          <w:rFonts w:hint="eastAsia" w:ascii="宋体" w:hAnsi="宋体" w:eastAsia="宋体" w:cs="宋体"/>
          <w:kern w:val="0"/>
          <w:szCs w:val="21"/>
          <w:lang w:val="en-US" w:eastAsia="zh-CN"/>
        </w:rPr>
        <w:t>响应</w:t>
      </w:r>
      <w:r>
        <w:rPr>
          <w:rFonts w:hint="eastAsia" w:ascii="宋体" w:hAnsi="宋体" w:eastAsia="宋体" w:cs="宋体"/>
          <w:kern w:val="0"/>
          <w:szCs w:val="21"/>
        </w:rPr>
        <w:t>产品制造商应为中小微企业或监狱企业或残疾人福利性单位，提供中小企业声明函</w:t>
      </w:r>
      <w:r>
        <w:rPr>
          <w:rFonts w:hint="eastAsia" w:ascii="宋体" w:hAnsi="宋体" w:eastAsia="宋体" w:cs="宋体"/>
          <w:kern w:val="0"/>
          <w:szCs w:val="21"/>
          <w:lang w:eastAsia="zh-CN"/>
        </w:rPr>
        <w:t>。</w:t>
      </w:r>
    </w:p>
    <w:p w14:paraId="237CDB72">
      <w:pPr>
        <w:adjustRightInd w:val="0"/>
        <w:snapToGrid w:val="0"/>
        <w:spacing w:line="360" w:lineRule="auto"/>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3.本项目的特定资格要求：</w:t>
      </w:r>
      <w:r>
        <w:rPr>
          <w:rFonts w:hint="eastAsia" w:ascii="宋体" w:hAnsi="宋体" w:eastAsia="宋体" w:cs="宋体"/>
          <w:b w:val="0"/>
          <w:bCs w:val="0"/>
          <w:kern w:val="0"/>
          <w:szCs w:val="21"/>
          <w:lang w:val="en-US" w:eastAsia="zh-CN"/>
        </w:rPr>
        <w:t>无。</w:t>
      </w:r>
    </w:p>
    <w:p w14:paraId="5274C397">
      <w:pPr>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三、获取（下载）采购文件</w:t>
      </w:r>
    </w:p>
    <w:p w14:paraId="5256C5E5">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时间：/2024年</w:t>
      </w:r>
      <w:r>
        <w:rPr>
          <w:rFonts w:hint="eastAsia" w:ascii="宋体" w:hAnsi="宋体" w:cs="宋体"/>
          <w:kern w:val="0"/>
          <w:szCs w:val="21"/>
          <w:lang w:val="en-US" w:eastAsia="zh-CN"/>
        </w:rPr>
        <w:t>11</w:t>
      </w:r>
      <w:r>
        <w:rPr>
          <w:rFonts w:hint="eastAsia" w:ascii="宋体" w:hAnsi="宋体" w:eastAsia="宋体" w:cs="宋体"/>
          <w:kern w:val="0"/>
          <w:szCs w:val="21"/>
          <w:lang w:val="en-US" w:eastAsia="zh-CN"/>
        </w:rPr>
        <w:t>月</w:t>
      </w:r>
      <w:r>
        <w:rPr>
          <w:rFonts w:hint="eastAsia" w:ascii="宋体" w:hAnsi="宋体" w:cs="宋体"/>
          <w:kern w:val="0"/>
          <w:szCs w:val="21"/>
          <w:lang w:val="en-US" w:eastAsia="zh-CN"/>
        </w:rPr>
        <w:t>18</w:t>
      </w:r>
      <w:r>
        <w:rPr>
          <w:rFonts w:hint="eastAsia" w:ascii="宋体" w:hAnsi="宋体" w:eastAsia="宋体" w:cs="宋体"/>
          <w:kern w:val="0"/>
          <w:szCs w:val="21"/>
          <w:lang w:val="en-US" w:eastAsia="zh-CN"/>
        </w:rPr>
        <w:t>日</w:t>
      </w:r>
      <w:r>
        <w:rPr>
          <w:rFonts w:hint="eastAsia" w:ascii="宋体" w:hAnsi="宋体" w:eastAsia="宋体" w:cs="宋体"/>
          <w:kern w:val="0"/>
          <w:szCs w:val="21"/>
        </w:rPr>
        <w:t>，每天上午00:00至12:00，下午12:00至23:59（北京时间，线上获取法定节假日均可，线下获取文件法定节假日除外）</w:t>
      </w:r>
    </w:p>
    <w:p w14:paraId="44939C99">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地点（网址）：浙江政府采购网（http://zfcg.czt.zj.gov.cn/）</w:t>
      </w:r>
    </w:p>
    <w:p w14:paraId="170A4088">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方式：潜在供应商通过“浙江政府采购网”在线获取（采购公告下方选取“潜在供应商”-“获取采购文件”），不提供纸质版采购文件。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4B243126">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售价（元）：0</w:t>
      </w:r>
    </w:p>
    <w:p w14:paraId="07CD5743">
      <w:pPr>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四、响应文件提交（上传）</w:t>
      </w:r>
    </w:p>
    <w:p w14:paraId="71B724F0">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截止时间：</w:t>
      </w:r>
      <w:r>
        <w:rPr>
          <w:rFonts w:hint="eastAsia" w:ascii="宋体" w:hAnsi="宋体" w:eastAsia="宋体" w:cs="宋体"/>
          <w:kern w:val="0"/>
          <w:szCs w:val="21"/>
          <w:lang w:eastAsia="zh-CN"/>
        </w:rPr>
        <w:t>2024年</w:t>
      </w:r>
      <w:r>
        <w:rPr>
          <w:rFonts w:hint="eastAsia" w:ascii="宋体" w:hAnsi="宋体" w:cs="宋体"/>
          <w:kern w:val="0"/>
          <w:szCs w:val="21"/>
          <w:lang w:eastAsia="zh-CN"/>
        </w:rPr>
        <w:t>11月18日09:30</w:t>
      </w:r>
      <w:r>
        <w:rPr>
          <w:rFonts w:hint="eastAsia" w:ascii="宋体" w:hAnsi="宋体" w:eastAsia="宋体" w:cs="宋体"/>
          <w:kern w:val="0"/>
          <w:szCs w:val="21"/>
        </w:rPr>
        <w:t>（北京时间）</w:t>
      </w:r>
    </w:p>
    <w:p w14:paraId="18C33BE0">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地点（网址）：本项目响应文件通过“政府采购云平台（www.zcygov.cn）”传输递交</w:t>
      </w:r>
    </w:p>
    <w:p w14:paraId="1A5FCB5F">
      <w:pPr>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五、响应文件开启</w:t>
      </w:r>
    </w:p>
    <w:p w14:paraId="27C52C0D">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开启时间</w:t>
      </w:r>
      <w:r>
        <w:rPr>
          <w:rFonts w:hint="eastAsia" w:ascii="宋体" w:hAnsi="宋体" w:eastAsia="宋体" w:cs="宋体"/>
          <w:kern w:val="0"/>
          <w:szCs w:val="21"/>
          <w:lang w:eastAsia="zh-CN"/>
        </w:rPr>
        <w:t>2024年</w:t>
      </w:r>
      <w:r>
        <w:rPr>
          <w:rFonts w:hint="eastAsia" w:ascii="宋体" w:hAnsi="宋体" w:cs="宋体"/>
          <w:kern w:val="0"/>
          <w:szCs w:val="21"/>
          <w:lang w:eastAsia="zh-CN"/>
        </w:rPr>
        <w:t>11月18日09:30</w:t>
      </w:r>
      <w:r>
        <w:rPr>
          <w:rFonts w:hint="eastAsia" w:ascii="宋体" w:hAnsi="宋体" w:eastAsia="宋体" w:cs="宋体"/>
          <w:kern w:val="0"/>
          <w:szCs w:val="21"/>
        </w:rPr>
        <w:t>（北京时间）</w:t>
      </w:r>
    </w:p>
    <w:p w14:paraId="3D4C4531">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地点（网址）：政府采购云平台（www.zcygov.cn）</w:t>
      </w:r>
    </w:p>
    <w:p w14:paraId="5EC2A24D">
      <w:pPr>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六、公告期限</w:t>
      </w:r>
    </w:p>
    <w:p w14:paraId="41147591">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自本公告发布之日起3个工作日。</w:t>
      </w:r>
    </w:p>
    <w:p w14:paraId="48309376">
      <w:pPr>
        <w:numPr>
          <w:ilvl w:val="0"/>
          <w:numId w:val="3"/>
        </w:numPr>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其他补充事宜</w:t>
      </w:r>
    </w:p>
    <w:p w14:paraId="1CD010F3">
      <w:pPr>
        <w:numPr>
          <w:ilvl w:val="0"/>
          <w:numId w:val="0"/>
        </w:num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和2022年2月1日和2022年7月1日开始实施，此前有关规定与上述文件内容不一致的，按上述文件要求执行。</w:t>
      </w:r>
    </w:p>
    <w:p w14:paraId="3AA81862">
      <w:pPr>
        <w:numPr>
          <w:ilvl w:val="0"/>
          <w:numId w:val="0"/>
        </w:num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576EEF">
      <w:pPr>
        <w:numPr>
          <w:ilvl w:val="0"/>
          <w:numId w:val="0"/>
        </w:num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AB9DB8">
      <w:pPr>
        <w:numPr>
          <w:ilvl w:val="0"/>
          <w:numId w:val="0"/>
        </w:num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4.其他事项：</w:t>
      </w:r>
      <w:r>
        <w:rPr>
          <w:rFonts w:hint="eastAsia" w:ascii="宋体" w:hAnsi="宋体" w:eastAsia="宋体" w:cs="宋体"/>
          <w:kern w:val="0"/>
          <w:szCs w:val="21"/>
        </w:rPr>
        <w:t>（1）供应商应在响应文件递交前完成CA数字证书办理。（办理流程详见：http://zfcg.czt.zj.gov.cn/bidClientTemplate/2019-05-27/12945.html）。</w:t>
      </w:r>
    </w:p>
    <w:p w14:paraId="04CC7868">
      <w:pPr>
        <w:numPr>
          <w:ilvl w:val="0"/>
          <w:numId w:val="0"/>
        </w:num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（2）供应商应安装“政采云投标客户端”，电子投标工具请供应商自行前往浙江政府采购网下载并安装，（下载网址：http://zfcg.czt.zj.gov.cn/bidClientTemplate/2019-09-24/12975.html）。</w:t>
      </w:r>
    </w:p>
    <w:p w14:paraId="07C84D2E">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（3）电子交易具体流程详见操作指南：登录“政府采购云平台（www.zcygov.cn）”，从首页-服务中心-帮助文档-项目采购-电子招投标，查看文档和视频。</w:t>
      </w:r>
    </w:p>
    <w:p w14:paraId="6464E8E3">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（4）如有疑问，可致电政府采购云平台技术支持热线咨询，联系方式：400-881-7190。</w:t>
      </w:r>
    </w:p>
    <w:p w14:paraId="70A70BE0">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（5）供应商应当在响应文件递交截止时间前，将生成的“电子加密响应文件”上传递交至“政府采购云平台”。响应文件递交截止时间以后上传递交的响应文件将被“政府采购云平台”拒收。</w:t>
      </w:r>
    </w:p>
    <w:p w14:paraId="13DF996C">
      <w:pPr>
        <w:adjustRightInd w:val="0"/>
        <w:snapToGrid w:val="0"/>
        <w:spacing w:line="360" w:lineRule="auto"/>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 xml:space="preserve">（6）供应商在“政府采购云平台”完成“电子加密响应文件”的上传递交后，还可以（EMS邮寄形式）在响应文件递交截止时间前递交以介质（U盘）存储的数据电文形式的“备份响应文件”，“备份响应文件”应当密封包装并在包装上标注项目名称、供应商名称并加盖公章。 </w:t>
      </w:r>
    </w:p>
    <w:p w14:paraId="739D4CF0">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响应文件无效。</w:t>
      </w:r>
    </w:p>
    <w:p w14:paraId="29E4ED8A">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（8）政府采购云平台技术咨询电话：400-881-7190。</w:t>
      </w:r>
    </w:p>
    <w:p w14:paraId="6A99EC9B">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kern w:val="0"/>
          <w:szCs w:val="21"/>
        </w:rPr>
        <w:t>（9）</w:t>
      </w:r>
      <w:r>
        <w:rPr>
          <w:rFonts w:hint="eastAsia" w:ascii="宋体" w:hAnsi="宋体" w:eastAsia="宋体" w:cs="宋体"/>
          <w:szCs w:val="21"/>
        </w:rPr>
        <w:t>依据《政府采购质疑和投诉办法》第十条第二款规定，</w:t>
      </w:r>
      <w:r>
        <w:rPr>
          <w:rFonts w:hint="eastAsia" w:ascii="宋体" w:hAnsi="宋体" w:eastAsia="宋体" w:cs="宋体"/>
          <w:snapToGrid w:val="0"/>
          <w:kern w:val="0"/>
          <w:szCs w:val="21"/>
        </w:rPr>
        <w:t>本项目要求</w:t>
      </w:r>
      <w:r>
        <w:rPr>
          <w:rFonts w:hint="eastAsia" w:ascii="宋体" w:hAnsi="宋体" w:eastAsia="宋体" w:cs="宋体"/>
          <w:snapToGrid w:val="0"/>
          <w:kern w:val="0"/>
          <w:szCs w:val="21"/>
          <w:lang w:eastAsia="zh-CN"/>
        </w:rPr>
        <w:t>供应商</w:t>
      </w:r>
      <w:r>
        <w:rPr>
          <w:rFonts w:hint="eastAsia" w:ascii="宋体" w:hAnsi="宋体" w:eastAsia="宋体" w:cs="宋体"/>
          <w:snapToGrid w:val="0"/>
          <w:kern w:val="0"/>
          <w:szCs w:val="21"/>
        </w:rPr>
        <w:t>在法定质疑期内一次性提出针对同一采购程序环节的质疑。</w:t>
      </w:r>
      <w:r>
        <w:rPr>
          <w:rFonts w:hint="eastAsia" w:ascii="宋体" w:hAnsi="宋体" w:eastAsia="宋体" w:cs="宋体"/>
          <w:snapToGrid w:val="0"/>
          <w:kern w:val="0"/>
          <w:szCs w:val="21"/>
          <w:lang w:eastAsia="zh-CN"/>
        </w:rPr>
        <w:t>供应商</w:t>
      </w:r>
      <w:r>
        <w:rPr>
          <w:rFonts w:hint="eastAsia" w:ascii="宋体" w:hAnsi="宋体" w:eastAsia="宋体" w:cs="宋体"/>
          <w:snapToGrid w:val="0"/>
          <w:kern w:val="0"/>
          <w:szCs w:val="21"/>
        </w:rPr>
        <w:t>在法定质疑期内多次提出针对同一采购程序环节的质疑的，采购人或采购代理机构只受理该</w:t>
      </w:r>
      <w:r>
        <w:rPr>
          <w:rFonts w:hint="eastAsia" w:ascii="宋体" w:hAnsi="宋体" w:eastAsia="宋体" w:cs="宋体"/>
          <w:snapToGrid w:val="0"/>
          <w:kern w:val="0"/>
          <w:szCs w:val="21"/>
          <w:lang w:eastAsia="zh-CN"/>
        </w:rPr>
        <w:t>供应商</w:t>
      </w:r>
      <w:r>
        <w:rPr>
          <w:rFonts w:hint="eastAsia" w:ascii="宋体" w:hAnsi="宋体" w:eastAsia="宋体" w:cs="宋体"/>
          <w:snapToGrid w:val="0"/>
          <w:kern w:val="0"/>
          <w:szCs w:val="21"/>
        </w:rPr>
        <w:t>的第一次有效质疑。</w:t>
      </w:r>
    </w:p>
    <w:p w14:paraId="788B3093">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（10）采购文件公告期限与招标公告的公告期限一致。</w:t>
      </w:r>
    </w:p>
    <w:p w14:paraId="60860E0D">
      <w:pPr>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八、凡对本次招标提出询问、质疑、投诉，请按以下方式联系</w:t>
      </w:r>
    </w:p>
    <w:p w14:paraId="0E6A55B6">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1.采购人信息</w:t>
      </w:r>
    </w:p>
    <w:p w14:paraId="25C90F2B">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名  称：浙江中医药大学</w:t>
      </w:r>
    </w:p>
    <w:p w14:paraId="1C575E93">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地  址：浙江省杭州市滨江滨文路 548号</w:t>
      </w:r>
    </w:p>
    <w:p w14:paraId="04675733">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项目联系人（询问）：</w:t>
      </w:r>
      <w:r>
        <w:rPr>
          <w:rFonts w:hint="eastAsia" w:ascii="宋体" w:hAnsi="宋体" w:eastAsia="宋体" w:cs="宋体"/>
          <w:kern w:val="0"/>
          <w:szCs w:val="21"/>
          <w:highlight w:val="none"/>
          <w:lang w:val="en-US" w:eastAsia="zh-CN"/>
        </w:rPr>
        <w:t>叶</w:t>
      </w:r>
      <w:r>
        <w:rPr>
          <w:rFonts w:hint="eastAsia" w:ascii="宋体" w:hAnsi="宋体" w:eastAsia="宋体" w:cs="宋体"/>
          <w:highlight w:val="none"/>
        </w:rPr>
        <w:t>老师</w:t>
      </w:r>
    </w:p>
    <w:p w14:paraId="4B3254C4">
      <w:pPr>
        <w:adjustRightInd w:val="0"/>
        <w:snapToGri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项目联系方式（询问）：0571-86620325</w:t>
      </w:r>
    </w:p>
    <w:p w14:paraId="0724F1DF">
      <w:pPr>
        <w:adjustRightInd w:val="0"/>
        <w:snapToGri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 xml:space="preserve">质疑联系人：汪老师  </w:t>
      </w:r>
    </w:p>
    <w:p w14:paraId="4C7D1159">
      <w:pPr>
        <w:adjustRightInd w:val="0"/>
        <w:snapToGri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 xml:space="preserve">质疑联系方式：0571-86633113 </w:t>
      </w:r>
    </w:p>
    <w:p w14:paraId="16FB662D">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2.采购代理机构信息</w:t>
      </w:r>
    </w:p>
    <w:p w14:paraId="66F6294C">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名  称：浙江豪圣建设项目管理有限公司</w:t>
      </w:r>
    </w:p>
    <w:p w14:paraId="1A596831">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highlight w:val="none"/>
        </w:rPr>
        <w:t>地  址：杭州市拱墅区大关路179号远</w:t>
      </w:r>
      <w:r>
        <w:rPr>
          <w:rFonts w:hint="eastAsia" w:ascii="宋体" w:hAnsi="宋体" w:eastAsia="宋体" w:cs="宋体"/>
          <w:kern w:val="0"/>
          <w:szCs w:val="21"/>
        </w:rPr>
        <w:t>洋国际中心A座17楼1706室</w:t>
      </w:r>
    </w:p>
    <w:p w14:paraId="170BB7D2">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传  真：/</w:t>
      </w:r>
    </w:p>
    <w:p w14:paraId="5618A31F">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项目联系人（询问）：</w:t>
      </w:r>
      <w:r>
        <w:rPr>
          <w:rFonts w:hint="eastAsia" w:ascii="宋体" w:hAnsi="宋体" w:eastAsia="宋体" w:cs="宋体"/>
          <w:kern w:val="0"/>
          <w:szCs w:val="21"/>
          <w:lang w:eastAsia="zh-CN"/>
        </w:rPr>
        <w:t>赵邵东</w:t>
      </w:r>
      <w:r>
        <w:rPr>
          <w:rFonts w:hint="eastAsia" w:ascii="宋体" w:hAnsi="宋体" w:eastAsia="宋体" w:cs="宋体"/>
          <w:kern w:val="0"/>
          <w:szCs w:val="21"/>
        </w:rPr>
        <w:t>、曹剑斌、陈敏娇</w:t>
      </w:r>
    </w:p>
    <w:p w14:paraId="69DAECB1">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项目联系方式（询问）：0571-87981527</w:t>
      </w:r>
    </w:p>
    <w:p w14:paraId="2E956B59">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质疑联系人：桑国坚</w:t>
      </w:r>
    </w:p>
    <w:p w14:paraId="56F73C54">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质疑联系方式：0571-56386096</w:t>
      </w:r>
    </w:p>
    <w:p w14:paraId="0FA80D74">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3.该项目由采购人处理采购争议。质疑环节，采购人委托采购代理机构处理的，可由采购代理机构答复。对质疑答复不满意的，向采购人内部设置的采购监督机构反映。</w:t>
      </w:r>
    </w:p>
    <w:p w14:paraId="1577E7BA">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预算金额未达100万元的采购项目，由采购人处理采购争议。</w:t>
      </w:r>
    </w:p>
    <w:p w14:paraId="1EA1281B">
      <w:pPr>
        <w:adjustRightInd w:val="0"/>
        <w:snapToGrid w:val="0"/>
        <w:spacing w:line="360" w:lineRule="auto"/>
        <w:ind w:firstLine="420" w:firstLineChars="200"/>
        <w:jc w:val="left"/>
        <w:rPr>
          <w:rFonts w:hint="eastAsia" w:ascii="宋体" w:hAnsi="宋体" w:eastAsia="宋体" w:cs="宋体"/>
          <w:kern w:val="0"/>
          <w:szCs w:val="21"/>
          <w:highlight w:val="none"/>
        </w:rPr>
      </w:pPr>
    </w:p>
    <w:p w14:paraId="19AA95CB">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若对项目采购电子交易系统操作有疑问，可登录政采云（https://www.zcygov.cn/），点击右侧咨询小采，获取采小蜜智能服务管家帮助，或拨打政采云服务热线400-881-7190获取热线服务帮助。</w:t>
      </w:r>
    </w:p>
    <w:p w14:paraId="0FA9430B">
      <w:pPr>
        <w:adjustRightInd w:val="0"/>
        <w:snapToGrid w:val="0"/>
        <w:spacing w:line="360" w:lineRule="auto"/>
        <w:ind w:firstLine="630" w:firstLineChars="300"/>
        <w:jc w:val="left"/>
        <w:rPr>
          <w:rFonts w:hint="eastAsia" w:ascii="宋体" w:hAnsi="宋体" w:eastAsia="宋体" w:cs="宋体"/>
          <w:b/>
          <w:bCs/>
          <w:sz w:val="24"/>
          <w:highlight w:val="none"/>
        </w:rPr>
      </w:pPr>
      <w:r>
        <w:rPr>
          <w:rFonts w:hint="eastAsia" w:ascii="宋体" w:hAnsi="宋体" w:eastAsia="宋体" w:cs="宋体"/>
          <w:kern w:val="0"/>
          <w:szCs w:val="21"/>
          <w:highlight w:val="none"/>
        </w:rPr>
        <w:t>CA问题联系电话（人工）：汇信CA 400-888-4636。天谷CA 400-087-8198。</w:t>
      </w:r>
    </w:p>
    <w:p w14:paraId="0A62E0C2">
      <w:pPr>
        <w:adjustRightInd w:val="0"/>
        <w:snapToGrid w:val="0"/>
        <w:spacing w:line="360" w:lineRule="auto"/>
        <w:ind w:firstLine="420" w:firstLineChars="200"/>
        <w:jc w:val="left"/>
        <w:rPr>
          <w:rFonts w:hint="eastAsia" w:ascii="宋体" w:hAnsi="宋体" w:eastAsia="宋体" w:cs="宋体"/>
          <w:kern w:val="0"/>
          <w:szCs w:val="21"/>
        </w:rPr>
      </w:pPr>
    </w:p>
    <w:p w14:paraId="5AE85491">
      <w:pPr>
        <w:adjustRightInd w:val="0"/>
        <w:snapToGrid w:val="0"/>
        <w:spacing w:line="360" w:lineRule="auto"/>
        <w:ind w:firstLine="480" w:firstLineChars="200"/>
        <w:jc w:val="left"/>
        <w:rPr>
          <w:rFonts w:hint="eastAsia" w:ascii="宋体" w:hAnsi="宋体" w:eastAsia="宋体" w:cs="宋体"/>
          <w:kern w:val="0"/>
          <w:sz w:val="24"/>
        </w:rPr>
      </w:pPr>
    </w:p>
    <w:p w14:paraId="7BFBB559">
      <w:pPr>
        <w:pageBreakBefore/>
        <w:shd w:val="clear" w:color="auto" w:fill="FFFFFF"/>
        <w:adjustRightInd w:val="0"/>
        <w:snapToGrid w:val="0"/>
        <w:spacing w:line="360" w:lineRule="auto"/>
        <w:jc w:val="center"/>
        <w:outlineLvl w:val="0"/>
        <w:rPr>
          <w:rFonts w:hint="eastAsia" w:ascii="宋体" w:hAnsi="宋体" w:eastAsia="宋体" w:cs="宋体"/>
          <w:b/>
          <w:bCs/>
          <w:sz w:val="36"/>
          <w:szCs w:val="36"/>
        </w:rPr>
      </w:pPr>
      <w:bookmarkStart w:id="7" w:name="_Hlt74707423"/>
      <w:bookmarkEnd w:id="7"/>
      <w:bookmarkStart w:id="8" w:name="_Hlt74728647"/>
      <w:bookmarkEnd w:id="8"/>
      <w:bookmarkStart w:id="9" w:name="_Hlt74729822"/>
      <w:bookmarkEnd w:id="9"/>
      <w:bookmarkStart w:id="10" w:name="_Hlt74649545"/>
      <w:bookmarkEnd w:id="10"/>
      <w:bookmarkStart w:id="11" w:name="_Toc361217422"/>
      <w:bookmarkStart w:id="12" w:name="_Toc354996694"/>
      <w:bookmarkStart w:id="13" w:name="_Toc12135"/>
      <w:bookmarkStart w:id="14" w:name="_Toc225840107"/>
      <w:r>
        <w:rPr>
          <w:rFonts w:hint="eastAsia" w:ascii="宋体" w:hAnsi="宋体" w:eastAsia="宋体" w:cs="宋体"/>
          <w:b/>
          <w:bCs/>
          <w:sz w:val="36"/>
          <w:szCs w:val="36"/>
        </w:rPr>
        <w:t>第二部分  编制和提交磋商响应文件须知</w:t>
      </w:r>
      <w:bookmarkEnd w:id="11"/>
      <w:bookmarkEnd w:id="12"/>
      <w:bookmarkEnd w:id="13"/>
    </w:p>
    <w:p w14:paraId="472E2F56">
      <w:pPr>
        <w:keepNext/>
        <w:keepLines/>
        <w:shd w:val="clear" w:color="auto" w:fill="FFFFFF"/>
        <w:tabs>
          <w:tab w:val="left" w:pos="706"/>
        </w:tabs>
        <w:spacing w:line="360" w:lineRule="auto"/>
        <w:jc w:val="center"/>
        <w:rPr>
          <w:rFonts w:hint="eastAsia" w:ascii="宋体" w:hAnsi="宋体" w:eastAsia="宋体" w:cs="宋体"/>
          <w:b/>
          <w:bCs/>
          <w:sz w:val="32"/>
          <w:szCs w:val="32"/>
        </w:rPr>
      </w:pPr>
      <w:bookmarkStart w:id="15" w:name="_Toc233618971"/>
      <w:bookmarkStart w:id="16" w:name="_Toc354996695"/>
      <w:r>
        <w:rPr>
          <w:rFonts w:hint="eastAsia" w:ascii="宋体" w:hAnsi="宋体" w:eastAsia="宋体" w:cs="宋体"/>
          <w:b/>
          <w:bCs/>
          <w:sz w:val="32"/>
          <w:szCs w:val="32"/>
        </w:rPr>
        <w:t>前 附 表</w:t>
      </w:r>
      <w:bookmarkEnd w:id="15"/>
      <w:bookmarkEnd w:id="16"/>
    </w:p>
    <w:tbl>
      <w:tblPr>
        <w:tblStyle w:val="46"/>
        <w:tblW w:w="100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2"/>
        <w:gridCol w:w="1448"/>
        <w:gridCol w:w="565"/>
        <w:gridCol w:w="390"/>
        <w:gridCol w:w="6955"/>
      </w:tblGrid>
      <w:tr w14:paraId="000DD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9" w:hRule="atLeast"/>
          <w:tblHeader/>
          <w:jc w:val="center"/>
        </w:trPr>
        <w:tc>
          <w:tcPr>
            <w:tcW w:w="652" w:type="dxa"/>
            <w:tcBorders>
              <w:top w:val="single" w:color="000000" w:sz="8" w:space="0"/>
              <w:left w:val="single" w:color="000000" w:sz="8" w:space="0"/>
              <w:bottom w:val="single" w:color="000000" w:sz="2" w:space="0"/>
              <w:right w:val="single" w:color="000000" w:sz="2" w:space="0"/>
            </w:tcBorders>
            <w:vAlign w:val="center"/>
          </w:tcPr>
          <w:p w14:paraId="732063CA">
            <w:pPr>
              <w:adjustRightInd w:val="0"/>
              <w:snapToGrid w:val="0"/>
              <w:spacing w:line="240" w:lineRule="auto"/>
              <w:jc w:val="center"/>
              <w:rPr>
                <w:rFonts w:hint="eastAsia" w:ascii="宋体" w:hAnsi="宋体" w:eastAsia="宋体" w:cs="宋体"/>
                <w:szCs w:val="21"/>
              </w:rPr>
            </w:pPr>
            <w:r>
              <w:rPr>
                <w:rFonts w:hint="eastAsia" w:ascii="宋体" w:hAnsi="宋体" w:eastAsia="宋体" w:cs="宋体"/>
                <w:szCs w:val="21"/>
              </w:rPr>
              <w:t>条款</w:t>
            </w:r>
          </w:p>
        </w:tc>
        <w:tc>
          <w:tcPr>
            <w:tcW w:w="9358" w:type="dxa"/>
            <w:gridSpan w:val="4"/>
            <w:tcBorders>
              <w:top w:val="single" w:color="000000" w:sz="8" w:space="0"/>
              <w:left w:val="single" w:color="000000" w:sz="2" w:space="0"/>
              <w:bottom w:val="single" w:color="000000" w:sz="2" w:space="0"/>
              <w:right w:val="single" w:color="000000" w:sz="8" w:space="0"/>
            </w:tcBorders>
            <w:vAlign w:val="center"/>
          </w:tcPr>
          <w:p w14:paraId="3C18D138">
            <w:pPr>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内容规定</w:t>
            </w:r>
          </w:p>
        </w:tc>
      </w:tr>
      <w:tr w14:paraId="1F890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15D30204">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9358" w:type="dxa"/>
            <w:gridSpan w:val="4"/>
            <w:tcBorders>
              <w:top w:val="single" w:color="000000" w:sz="2" w:space="0"/>
              <w:left w:val="single" w:color="000000" w:sz="2" w:space="0"/>
              <w:bottom w:val="single" w:color="000000" w:sz="2" w:space="0"/>
              <w:right w:val="single" w:color="000000" w:sz="8" w:space="0"/>
            </w:tcBorders>
          </w:tcPr>
          <w:p w14:paraId="039E16E6">
            <w:pPr>
              <w:adjustRightInd w:val="0"/>
              <w:snapToGrid w:val="0"/>
              <w:spacing w:line="240" w:lineRule="auto"/>
              <w:jc w:val="center"/>
              <w:rPr>
                <w:rFonts w:hint="eastAsia" w:ascii="宋体" w:hAnsi="宋体" w:eastAsia="宋体" w:cs="宋体"/>
                <w:lang w:val="zh-CN"/>
              </w:rPr>
            </w:pPr>
            <w:r>
              <w:rPr>
                <w:rFonts w:hint="eastAsia" w:ascii="宋体" w:hAnsi="宋体" w:eastAsia="宋体" w:cs="宋体"/>
                <w:lang w:val="zh-CN"/>
              </w:rPr>
              <w:t>项目说明</w:t>
            </w:r>
          </w:p>
          <w:p w14:paraId="1569AA87">
            <w:pPr>
              <w:adjustRightInd w:val="0"/>
              <w:snapToGrid w:val="0"/>
              <w:spacing w:line="240" w:lineRule="auto"/>
              <w:rPr>
                <w:rFonts w:hint="eastAsia" w:ascii="宋体" w:hAnsi="宋体" w:eastAsia="宋体" w:cs="宋体"/>
                <w:szCs w:val="21"/>
                <w:lang w:val="zh-CN"/>
              </w:rPr>
            </w:pPr>
            <w:r>
              <w:rPr>
                <w:rFonts w:hint="eastAsia" w:ascii="宋体" w:hAnsi="宋体" w:eastAsia="宋体" w:cs="宋体"/>
                <w:szCs w:val="21"/>
                <w:lang w:val="en-US" w:eastAsia="zh-CN"/>
              </w:rPr>
              <w:t>一、</w:t>
            </w:r>
            <w:r>
              <w:rPr>
                <w:rFonts w:hint="eastAsia" w:ascii="宋体" w:hAnsi="宋体" w:eastAsia="宋体" w:cs="宋体"/>
                <w:szCs w:val="21"/>
                <w:lang w:val="zh-CN"/>
              </w:rPr>
              <w:t>项目名称：浙江中医药大学便携式舌脉象仪采购实施地点：</w:t>
            </w:r>
            <w:r>
              <w:rPr>
                <w:rFonts w:hint="eastAsia" w:ascii="宋体" w:hAnsi="宋体" w:eastAsia="宋体" w:cs="宋体"/>
                <w:szCs w:val="21"/>
              </w:rPr>
              <w:t>浙江中医药大学</w:t>
            </w:r>
          </w:p>
          <w:p w14:paraId="3E45A85B">
            <w:pPr>
              <w:adjustRightInd w:val="0"/>
              <w:snapToGrid w:val="0"/>
              <w:spacing w:line="240" w:lineRule="auto"/>
              <w:rPr>
                <w:rFonts w:hint="eastAsia" w:ascii="宋体" w:hAnsi="宋体" w:eastAsia="宋体" w:cs="宋体"/>
                <w:szCs w:val="21"/>
              </w:rPr>
            </w:pPr>
            <w:r>
              <w:rPr>
                <w:rFonts w:hint="eastAsia" w:ascii="宋体" w:hAnsi="宋体" w:eastAsia="宋体" w:cs="宋体"/>
                <w:szCs w:val="21"/>
                <w:lang w:val="en-US" w:eastAsia="zh-CN"/>
              </w:rPr>
              <w:t>二</w:t>
            </w:r>
            <w:r>
              <w:rPr>
                <w:rFonts w:hint="eastAsia" w:ascii="宋体" w:hAnsi="宋体" w:eastAsia="宋体" w:cs="宋体"/>
                <w:szCs w:val="21"/>
                <w:lang w:val="zh-CN"/>
              </w:rPr>
              <w:t>、</w:t>
            </w:r>
            <w:r>
              <w:rPr>
                <w:rFonts w:hint="eastAsia" w:ascii="宋体" w:hAnsi="宋体" w:eastAsia="宋体" w:cs="宋体"/>
                <w:szCs w:val="21"/>
              </w:rPr>
              <w:t>标项内容</w:t>
            </w:r>
            <w:r>
              <w:rPr>
                <w:rFonts w:hint="eastAsia" w:ascii="宋体" w:hAnsi="宋体" w:eastAsia="宋体" w:cs="宋体"/>
                <w:szCs w:val="21"/>
                <w:lang w:val="zh-CN"/>
              </w:rPr>
              <w:t>：浙江中医药大学便携式舌脉象仪采购</w:t>
            </w:r>
            <w:r>
              <w:rPr>
                <w:rFonts w:hint="eastAsia" w:ascii="宋体" w:hAnsi="宋体" w:eastAsia="宋体" w:cs="宋体"/>
                <w:szCs w:val="21"/>
              </w:rPr>
              <w:t>，详见采购文件。</w:t>
            </w:r>
          </w:p>
          <w:p w14:paraId="6CB139F5">
            <w:pPr>
              <w:adjustRightInd w:val="0"/>
              <w:snapToGrid w:val="0"/>
              <w:spacing w:line="240" w:lineRule="auto"/>
              <w:rPr>
                <w:rFonts w:hint="eastAsia" w:ascii="宋体" w:hAnsi="宋体" w:eastAsia="宋体" w:cs="宋体"/>
                <w:szCs w:val="21"/>
              </w:rPr>
            </w:pPr>
            <w:r>
              <w:rPr>
                <w:rFonts w:hint="eastAsia" w:ascii="宋体" w:hAnsi="宋体" w:eastAsia="宋体" w:cs="宋体"/>
                <w:szCs w:val="21"/>
                <w:lang w:val="en-US" w:eastAsia="zh-CN"/>
              </w:rPr>
              <w:t>三</w:t>
            </w:r>
            <w:r>
              <w:rPr>
                <w:rFonts w:hint="eastAsia" w:ascii="宋体" w:hAnsi="宋体" w:eastAsia="宋体" w:cs="宋体"/>
                <w:szCs w:val="21"/>
              </w:rPr>
              <w:t>、履约期限：详见采购文件。</w:t>
            </w:r>
          </w:p>
          <w:p w14:paraId="741228F7">
            <w:pPr>
              <w:adjustRightInd w:val="0"/>
              <w:snapToGrid w:val="0"/>
              <w:spacing w:line="240" w:lineRule="auto"/>
              <w:rPr>
                <w:rFonts w:hint="eastAsia" w:ascii="宋体" w:hAnsi="宋体" w:eastAsia="宋体" w:cs="宋体"/>
                <w:szCs w:val="21"/>
                <w:lang w:eastAsia="zh-CN"/>
              </w:rPr>
            </w:pPr>
            <w:r>
              <w:rPr>
                <w:rFonts w:hint="eastAsia" w:ascii="宋体" w:hAnsi="宋体" w:eastAsia="宋体" w:cs="宋体"/>
                <w:szCs w:val="21"/>
                <w:lang w:val="en-US" w:eastAsia="zh-CN"/>
              </w:rPr>
              <w:t>四</w:t>
            </w:r>
            <w:r>
              <w:rPr>
                <w:rFonts w:hint="eastAsia" w:ascii="宋体" w:hAnsi="宋体" w:eastAsia="宋体" w:cs="宋体"/>
                <w:szCs w:val="21"/>
              </w:rPr>
              <w:t xml:space="preserve">、具体要求：具体详见第三部分。 </w:t>
            </w:r>
          </w:p>
          <w:p w14:paraId="13CFA0F3">
            <w:pPr>
              <w:adjustRightInd w:val="0"/>
              <w:snapToGrid w:val="0"/>
              <w:spacing w:line="240" w:lineRule="auto"/>
              <w:rPr>
                <w:rFonts w:hint="eastAsia" w:ascii="宋体" w:hAnsi="宋体" w:eastAsia="宋体" w:cs="宋体"/>
                <w:szCs w:val="21"/>
              </w:rPr>
            </w:pPr>
            <w:r>
              <w:rPr>
                <w:rFonts w:hint="eastAsia" w:ascii="宋体" w:hAnsi="宋体" w:eastAsia="宋体" w:cs="宋体"/>
                <w:szCs w:val="21"/>
                <w:lang w:val="en-US" w:eastAsia="zh-CN"/>
              </w:rPr>
              <w:t>五</w:t>
            </w:r>
            <w:r>
              <w:rPr>
                <w:rFonts w:hint="eastAsia" w:ascii="宋体" w:hAnsi="宋体" w:eastAsia="宋体" w:cs="宋体"/>
                <w:szCs w:val="21"/>
              </w:rPr>
              <w:t>、最高限价：</w:t>
            </w:r>
            <w:r>
              <w:rPr>
                <w:rFonts w:hint="eastAsia" w:ascii="宋体" w:hAnsi="宋体" w:eastAsia="宋体" w:cs="宋体"/>
                <w:szCs w:val="21"/>
                <w:lang w:eastAsia="zh-CN"/>
              </w:rPr>
              <w:t>400000</w:t>
            </w:r>
            <w:r>
              <w:rPr>
                <w:rFonts w:hint="eastAsia" w:ascii="宋体" w:hAnsi="宋体" w:eastAsia="宋体" w:cs="宋体"/>
                <w:szCs w:val="21"/>
              </w:rPr>
              <w:t>元，供应商报价超过最高限价作无效标处理；</w:t>
            </w:r>
          </w:p>
          <w:p w14:paraId="03E0F226">
            <w:pPr>
              <w:adjustRightInd w:val="0"/>
              <w:snapToGrid w:val="0"/>
              <w:spacing w:line="240" w:lineRule="auto"/>
              <w:rPr>
                <w:rFonts w:hint="eastAsia" w:ascii="宋体" w:hAnsi="宋体" w:eastAsia="宋体" w:cs="宋体"/>
                <w:lang w:eastAsia="zh-CN"/>
              </w:rPr>
            </w:pPr>
            <w:r>
              <w:rPr>
                <w:rFonts w:hint="eastAsia" w:ascii="宋体" w:hAnsi="宋体" w:eastAsia="宋体" w:cs="宋体"/>
                <w:szCs w:val="21"/>
                <w:lang w:val="en-US" w:eastAsia="zh-CN"/>
              </w:rPr>
              <w:t>六</w:t>
            </w:r>
            <w:r>
              <w:rPr>
                <w:rFonts w:hint="eastAsia" w:ascii="宋体" w:hAnsi="宋体" w:eastAsia="宋体" w:cs="宋体"/>
                <w:szCs w:val="21"/>
              </w:rPr>
              <w:t>、本项目采购标的对应的中小企业划分标准所属行业：工业。</w:t>
            </w:r>
          </w:p>
        </w:tc>
      </w:tr>
      <w:tr w14:paraId="634E8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156F38C8">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w:t>
            </w:r>
          </w:p>
        </w:tc>
        <w:tc>
          <w:tcPr>
            <w:tcW w:w="2403" w:type="dxa"/>
            <w:gridSpan w:val="3"/>
            <w:tcBorders>
              <w:top w:val="single" w:color="000000" w:sz="2" w:space="0"/>
              <w:left w:val="single" w:color="000000" w:sz="2" w:space="0"/>
              <w:bottom w:val="single" w:color="000000" w:sz="2" w:space="0"/>
              <w:right w:val="single" w:color="000000" w:sz="2" w:space="0"/>
            </w:tcBorders>
            <w:vAlign w:val="center"/>
          </w:tcPr>
          <w:p w14:paraId="0137CC90">
            <w:pPr>
              <w:adjustRightInd w:val="0"/>
              <w:snapToGrid w:val="0"/>
              <w:spacing w:line="240" w:lineRule="auto"/>
              <w:rPr>
                <w:rFonts w:hint="eastAsia" w:ascii="宋体" w:hAnsi="宋体" w:eastAsia="宋体" w:cs="宋体"/>
                <w:b/>
                <w:bCs/>
                <w:szCs w:val="21"/>
              </w:rPr>
            </w:pPr>
            <w:r>
              <w:rPr>
                <w:rFonts w:hint="eastAsia" w:ascii="宋体" w:hAnsi="宋体" w:eastAsia="宋体" w:cs="宋体"/>
                <w:b/>
                <w:bCs/>
                <w:szCs w:val="21"/>
              </w:rPr>
              <w:t>合同名称</w:t>
            </w:r>
          </w:p>
        </w:tc>
        <w:tc>
          <w:tcPr>
            <w:tcW w:w="6955" w:type="dxa"/>
            <w:tcBorders>
              <w:top w:val="single" w:color="000000" w:sz="2" w:space="0"/>
              <w:left w:val="single" w:color="000000" w:sz="2" w:space="0"/>
              <w:bottom w:val="single" w:color="000000" w:sz="2" w:space="0"/>
              <w:right w:val="single" w:color="000000" w:sz="8" w:space="0"/>
            </w:tcBorders>
            <w:vAlign w:val="center"/>
          </w:tcPr>
          <w:p w14:paraId="00EE21BD">
            <w:pPr>
              <w:adjustRightInd w:val="0"/>
              <w:snapToGrid w:val="0"/>
              <w:spacing w:line="240" w:lineRule="auto"/>
              <w:rPr>
                <w:rFonts w:hint="eastAsia" w:ascii="宋体" w:hAnsi="宋体" w:eastAsia="宋体" w:cs="宋体"/>
                <w:szCs w:val="21"/>
              </w:rPr>
            </w:pPr>
            <w:r>
              <w:rPr>
                <w:rFonts w:hint="eastAsia" w:ascii="宋体" w:hAnsi="宋体" w:eastAsia="宋体" w:cs="宋体"/>
                <w:spacing w:val="-6"/>
                <w:szCs w:val="21"/>
              </w:rPr>
              <w:t>《</w:t>
            </w:r>
            <w:r>
              <w:rPr>
                <w:rFonts w:hint="eastAsia" w:ascii="宋体" w:hAnsi="宋体" w:eastAsia="宋体" w:cs="宋体"/>
                <w:spacing w:val="-6"/>
                <w:szCs w:val="21"/>
                <w:lang w:eastAsia="zh-CN"/>
              </w:rPr>
              <w:t>浙江中医药大学便携式舌脉象仪采购</w:t>
            </w:r>
            <w:r>
              <w:rPr>
                <w:rFonts w:hint="eastAsia" w:ascii="宋体" w:hAnsi="宋体" w:eastAsia="宋体" w:cs="宋体"/>
                <w:spacing w:val="-6"/>
                <w:szCs w:val="21"/>
              </w:rPr>
              <w:t>合同》</w:t>
            </w:r>
          </w:p>
        </w:tc>
      </w:tr>
      <w:tr w14:paraId="797F6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2"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2BCB2A23">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14:paraId="7BE18325">
            <w:pPr>
              <w:adjustRightInd w:val="0"/>
              <w:snapToGrid w:val="0"/>
              <w:spacing w:line="240" w:lineRule="auto"/>
              <w:rPr>
                <w:rFonts w:hint="eastAsia" w:ascii="宋体" w:hAnsi="宋体" w:eastAsia="宋体" w:cs="宋体"/>
                <w:szCs w:val="21"/>
              </w:rPr>
            </w:pPr>
            <w:r>
              <w:rPr>
                <w:rFonts w:hint="eastAsia" w:ascii="宋体" w:hAnsi="宋体" w:eastAsia="宋体" w:cs="宋体"/>
                <w:b/>
                <w:snapToGrid w:val="0"/>
                <w:szCs w:val="21"/>
              </w:rPr>
              <w:t>磋商</w:t>
            </w:r>
            <w:r>
              <w:rPr>
                <w:rFonts w:hint="eastAsia" w:ascii="宋体" w:hAnsi="宋体" w:eastAsia="宋体" w:cs="宋体"/>
                <w:b/>
                <w:bCs/>
                <w:szCs w:val="21"/>
              </w:rPr>
              <w:t>有效期：</w:t>
            </w:r>
            <w:r>
              <w:rPr>
                <w:rFonts w:hint="eastAsia" w:ascii="宋体" w:hAnsi="宋体" w:eastAsia="宋体" w:cs="宋体"/>
                <w:szCs w:val="21"/>
              </w:rPr>
              <w:t>自</w:t>
            </w:r>
            <w:r>
              <w:rPr>
                <w:rFonts w:hint="eastAsia" w:ascii="宋体" w:hAnsi="宋体" w:eastAsia="宋体" w:cs="宋体"/>
                <w:szCs w:val="21"/>
                <w:lang w:eastAsia="zh-CN"/>
              </w:rPr>
              <w:t>响应截止</w:t>
            </w:r>
            <w:r>
              <w:rPr>
                <w:rFonts w:hint="eastAsia" w:ascii="宋体" w:hAnsi="宋体" w:eastAsia="宋体" w:cs="宋体"/>
                <w:szCs w:val="21"/>
              </w:rPr>
              <w:t>日起90天。</w:t>
            </w:r>
          </w:p>
        </w:tc>
      </w:tr>
      <w:tr w14:paraId="693FE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083B7B2C">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14:paraId="79A0C462">
            <w:pPr>
              <w:adjustRightInd w:val="0"/>
              <w:snapToGrid w:val="0"/>
              <w:spacing w:line="240" w:lineRule="auto"/>
              <w:rPr>
                <w:rFonts w:hint="eastAsia" w:ascii="宋体" w:hAnsi="宋体" w:eastAsia="宋体" w:cs="宋体"/>
                <w:szCs w:val="21"/>
              </w:rPr>
            </w:pPr>
            <w:r>
              <w:rPr>
                <w:rFonts w:hint="eastAsia" w:ascii="宋体" w:hAnsi="宋体" w:eastAsia="宋体" w:cs="宋体"/>
                <w:b/>
                <w:snapToGrid w:val="0"/>
                <w:szCs w:val="21"/>
              </w:rPr>
              <w:t>磋商</w:t>
            </w:r>
            <w:r>
              <w:rPr>
                <w:rFonts w:hint="eastAsia" w:ascii="宋体" w:hAnsi="宋体" w:eastAsia="宋体" w:cs="宋体"/>
                <w:b/>
                <w:bCs/>
                <w:szCs w:val="21"/>
              </w:rPr>
              <w:t>保证金数额：</w:t>
            </w:r>
            <w:r>
              <w:rPr>
                <w:rFonts w:hint="eastAsia" w:ascii="宋体" w:hAnsi="宋体" w:eastAsia="宋体" w:cs="宋体"/>
                <w:szCs w:val="21"/>
              </w:rPr>
              <w:t>无。</w:t>
            </w:r>
          </w:p>
        </w:tc>
      </w:tr>
      <w:tr w14:paraId="0A207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5"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2BEEC919">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5</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14:paraId="2E9F4F41">
            <w:pPr>
              <w:spacing w:line="240" w:lineRule="auto"/>
              <w:rPr>
                <w:rFonts w:hint="eastAsia" w:ascii="宋体" w:hAnsi="宋体" w:eastAsia="宋体" w:cs="宋体"/>
                <w:b/>
                <w:snapToGrid w:val="0"/>
                <w:szCs w:val="21"/>
              </w:rPr>
            </w:pPr>
            <w:r>
              <w:rPr>
                <w:rFonts w:hint="eastAsia" w:ascii="宋体" w:hAnsi="宋体" w:eastAsia="宋体" w:cs="宋体"/>
                <w:b/>
                <w:bCs/>
                <w:szCs w:val="21"/>
              </w:rPr>
              <w:t>采购代理费按《招标代理服务收费管理暂行办法》（计价格〔2002〕1980 号）文件规定的收费标准×50%。不足2000元时按2000元收取，以</w:t>
            </w:r>
            <w:r>
              <w:rPr>
                <w:rFonts w:hint="eastAsia" w:ascii="宋体" w:hAnsi="宋体" w:eastAsia="宋体" w:cs="宋体"/>
                <w:b/>
                <w:bCs/>
                <w:szCs w:val="21"/>
                <w:lang w:eastAsia="zh-CN"/>
              </w:rPr>
              <w:t>成交价</w:t>
            </w:r>
            <w:r>
              <w:rPr>
                <w:rFonts w:hint="eastAsia" w:ascii="宋体" w:hAnsi="宋体" w:eastAsia="宋体" w:cs="宋体"/>
                <w:b/>
                <w:bCs/>
                <w:szCs w:val="21"/>
              </w:rPr>
              <w:t>为计算基数。由不同标项的</w:t>
            </w:r>
            <w:r>
              <w:rPr>
                <w:rFonts w:hint="eastAsia" w:ascii="宋体" w:hAnsi="宋体" w:eastAsia="宋体" w:cs="宋体"/>
                <w:b/>
                <w:bCs/>
                <w:szCs w:val="21"/>
                <w:lang w:eastAsia="zh-CN"/>
              </w:rPr>
              <w:t>成交供应商</w:t>
            </w:r>
            <w:r>
              <w:rPr>
                <w:rFonts w:hint="eastAsia" w:ascii="宋体" w:hAnsi="宋体" w:eastAsia="宋体" w:cs="宋体"/>
                <w:b/>
                <w:bCs/>
                <w:szCs w:val="21"/>
              </w:rPr>
              <w:t>在领取</w:t>
            </w:r>
            <w:r>
              <w:rPr>
                <w:rFonts w:hint="eastAsia" w:ascii="宋体" w:hAnsi="宋体" w:eastAsia="宋体" w:cs="宋体"/>
                <w:b/>
                <w:bCs/>
                <w:szCs w:val="21"/>
                <w:lang w:eastAsia="zh-CN"/>
              </w:rPr>
              <w:t>成交通知书</w:t>
            </w:r>
            <w:r>
              <w:rPr>
                <w:rFonts w:hint="eastAsia" w:ascii="宋体" w:hAnsi="宋体" w:eastAsia="宋体" w:cs="宋体"/>
                <w:b/>
                <w:bCs/>
                <w:szCs w:val="21"/>
              </w:rPr>
              <w:t>时分别按以上收费标准支付给</w:t>
            </w:r>
            <w:r>
              <w:rPr>
                <w:rFonts w:hint="eastAsia" w:ascii="宋体" w:hAnsi="宋体" w:eastAsia="宋体" w:cs="宋体"/>
                <w:b/>
                <w:bCs/>
                <w:szCs w:val="21"/>
                <w:lang w:eastAsia="zh-CN"/>
              </w:rPr>
              <w:t>采购代理机构</w:t>
            </w:r>
            <w:r>
              <w:rPr>
                <w:rFonts w:hint="eastAsia" w:ascii="宋体" w:hAnsi="宋体" w:eastAsia="宋体" w:cs="宋体"/>
                <w:b/>
                <w:bCs/>
                <w:szCs w:val="21"/>
              </w:rPr>
              <w:t>。该费用在</w:t>
            </w:r>
            <w:r>
              <w:rPr>
                <w:rFonts w:hint="eastAsia" w:ascii="宋体" w:hAnsi="宋体" w:eastAsia="宋体" w:cs="宋体"/>
                <w:b/>
                <w:bCs/>
                <w:szCs w:val="21"/>
                <w:lang w:eastAsia="zh-CN"/>
              </w:rPr>
              <w:t>响应文件</w:t>
            </w:r>
            <w:r>
              <w:rPr>
                <w:rFonts w:hint="eastAsia" w:ascii="宋体" w:hAnsi="宋体" w:eastAsia="宋体" w:cs="宋体"/>
                <w:b/>
                <w:bCs/>
                <w:szCs w:val="21"/>
              </w:rPr>
              <w:t>中不单列，由</w:t>
            </w:r>
            <w:r>
              <w:rPr>
                <w:rFonts w:hint="eastAsia" w:ascii="宋体" w:hAnsi="宋体" w:eastAsia="宋体" w:cs="宋体"/>
                <w:b/>
                <w:bCs/>
                <w:szCs w:val="21"/>
                <w:lang w:eastAsia="zh-CN"/>
              </w:rPr>
              <w:t>成交供应商</w:t>
            </w:r>
            <w:r>
              <w:rPr>
                <w:rFonts w:hint="eastAsia" w:ascii="宋体" w:hAnsi="宋体" w:eastAsia="宋体" w:cs="宋体"/>
                <w:b/>
                <w:bCs/>
                <w:szCs w:val="21"/>
              </w:rPr>
              <w:t>在</w:t>
            </w:r>
            <w:r>
              <w:rPr>
                <w:rFonts w:hint="eastAsia" w:ascii="宋体" w:hAnsi="宋体" w:eastAsia="宋体" w:cs="宋体"/>
                <w:b/>
                <w:bCs/>
                <w:szCs w:val="21"/>
                <w:lang w:eastAsia="zh-CN"/>
              </w:rPr>
              <w:t>响应总报价</w:t>
            </w:r>
            <w:r>
              <w:rPr>
                <w:rFonts w:hint="eastAsia" w:ascii="宋体" w:hAnsi="宋体" w:eastAsia="宋体" w:cs="宋体"/>
                <w:b/>
                <w:bCs/>
                <w:szCs w:val="21"/>
              </w:rPr>
              <w:t>中综合考虑。</w:t>
            </w:r>
          </w:p>
        </w:tc>
      </w:tr>
      <w:tr w14:paraId="375FE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0"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291083FA">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6</w:t>
            </w:r>
          </w:p>
        </w:tc>
        <w:tc>
          <w:tcPr>
            <w:tcW w:w="1448" w:type="dxa"/>
            <w:tcBorders>
              <w:top w:val="single" w:color="000000" w:sz="2" w:space="0"/>
              <w:left w:val="single" w:color="000000" w:sz="2" w:space="0"/>
              <w:bottom w:val="single" w:color="000000" w:sz="2" w:space="0"/>
              <w:right w:val="single" w:color="auto" w:sz="4" w:space="0"/>
            </w:tcBorders>
            <w:vAlign w:val="center"/>
          </w:tcPr>
          <w:p w14:paraId="62E1A30C">
            <w:pPr>
              <w:adjustRightInd w:val="0"/>
              <w:snapToGrid w:val="0"/>
              <w:spacing w:line="240" w:lineRule="auto"/>
              <w:jc w:val="center"/>
              <w:rPr>
                <w:rFonts w:hint="eastAsia" w:ascii="宋体" w:hAnsi="宋体" w:eastAsia="宋体" w:cs="宋体"/>
                <w:b/>
                <w:snapToGrid w:val="0"/>
                <w:szCs w:val="21"/>
              </w:rPr>
            </w:pPr>
            <w:r>
              <w:rPr>
                <w:rFonts w:hint="eastAsia" w:ascii="宋体" w:hAnsi="宋体" w:eastAsia="宋体" w:cs="宋体"/>
                <w:b/>
                <w:kern w:val="0"/>
                <w:szCs w:val="21"/>
              </w:rPr>
              <w:t>磋商响应文件形式</w:t>
            </w:r>
          </w:p>
        </w:tc>
        <w:tc>
          <w:tcPr>
            <w:tcW w:w="7910" w:type="dxa"/>
            <w:gridSpan w:val="3"/>
            <w:tcBorders>
              <w:top w:val="single" w:color="000000" w:sz="2" w:space="0"/>
              <w:left w:val="single" w:color="auto" w:sz="4" w:space="0"/>
              <w:bottom w:val="single" w:color="000000" w:sz="2" w:space="0"/>
              <w:right w:val="single" w:color="000000" w:sz="8" w:space="0"/>
            </w:tcBorders>
            <w:vAlign w:val="center"/>
          </w:tcPr>
          <w:p w14:paraId="7FB73300">
            <w:pPr>
              <w:pStyle w:val="99"/>
              <w:adjustRightInd w:val="0"/>
              <w:snapToGrid w:val="0"/>
              <w:spacing w:before="0" w:line="240" w:lineRule="auto"/>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bCs/>
                <w:sz w:val="21"/>
                <w:szCs w:val="21"/>
              </w:rPr>
              <w:t>“电子加密磋商响应文件”[文件格式.jmbs]：</w:t>
            </w:r>
            <w:r>
              <w:rPr>
                <w:rFonts w:hint="eastAsia" w:ascii="宋体" w:hAnsi="宋体" w:eastAsia="宋体" w:cs="宋体"/>
                <w:sz w:val="21"/>
                <w:szCs w:val="21"/>
              </w:rPr>
              <w:t>“电子加密磋商响应文件”是指通过“政采云电子交易客户端”完成磋商响应文件编制后生成并加密的数据电文形式的磋商响应文件。</w:t>
            </w:r>
          </w:p>
          <w:p w14:paraId="04950A52">
            <w:pPr>
              <w:adjustRightInd w:val="0"/>
              <w:snapToGrid w:val="0"/>
              <w:spacing w:line="240" w:lineRule="auto"/>
              <w:rPr>
                <w:rFonts w:hint="eastAsia" w:ascii="宋体" w:hAnsi="宋体" w:eastAsia="宋体" w:cs="宋体"/>
                <w:b/>
                <w:snapToGrid w:val="0"/>
                <w:szCs w:val="21"/>
              </w:rPr>
            </w:pPr>
            <w:r>
              <w:rPr>
                <w:rFonts w:hint="eastAsia" w:ascii="宋体" w:hAnsi="宋体" w:eastAsia="宋体" w:cs="宋体"/>
                <w:szCs w:val="21"/>
              </w:rPr>
              <w:t>2）</w:t>
            </w:r>
            <w:r>
              <w:rPr>
                <w:rFonts w:hint="eastAsia" w:ascii="宋体" w:hAnsi="宋体" w:eastAsia="宋体" w:cs="宋体"/>
                <w:b/>
                <w:bCs/>
                <w:szCs w:val="21"/>
              </w:rPr>
              <w:t>“备份磋商响应文件”[文件格式.bfbs]：</w:t>
            </w:r>
            <w:r>
              <w:rPr>
                <w:rFonts w:hint="eastAsia" w:ascii="宋体" w:hAnsi="宋体" w:eastAsia="宋体" w:cs="宋体"/>
                <w:szCs w:val="21"/>
              </w:rPr>
              <w:t>“备份磋商响应文件”是指与“电子加密磋商响应文件”同时生成的数据电文形式的未加密的电子文件（备份标书），其他方式编制的“备份磋商响应文件”视为无效的“备份磋商响应文件”。</w:t>
            </w:r>
            <w:r>
              <w:rPr>
                <w:rFonts w:hint="eastAsia" w:ascii="宋体" w:hAnsi="宋体" w:eastAsia="宋体" w:cs="宋体"/>
                <w:bCs/>
                <w:kern w:val="0"/>
                <w:szCs w:val="21"/>
              </w:rPr>
              <w:t>“备份磋商响应文件”应当密封包装并在包装上标注投标项目名称、投标单位名称并加盖公章或授权代表签字。</w:t>
            </w:r>
          </w:p>
        </w:tc>
      </w:tr>
      <w:tr w14:paraId="1727C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1"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7CB01E42">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7</w:t>
            </w:r>
          </w:p>
        </w:tc>
        <w:tc>
          <w:tcPr>
            <w:tcW w:w="1448" w:type="dxa"/>
            <w:tcBorders>
              <w:top w:val="single" w:color="000000" w:sz="2" w:space="0"/>
              <w:left w:val="single" w:color="000000" w:sz="2" w:space="0"/>
              <w:bottom w:val="single" w:color="000000" w:sz="2" w:space="0"/>
              <w:right w:val="single" w:color="auto" w:sz="4" w:space="0"/>
            </w:tcBorders>
            <w:vAlign w:val="center"/>
          </w:tcPr>
          <w:p w14:paraId="4792E96B">
            <w:pPr>
              <w:adjustRightInd w:val="0"/>
              <w:snapToGrid w:val="0"/>
              <w:spacing w:line="240" w:lineRule="auto"/>
              <w:jc w:val="center"/>
              <w:rPr>
                <w:rFonts w:hint="eastAsia" w:ascii="宋体" w:hAnsi="宋体" w:eastAsia="宋体" w:cs="宋体"/>
                <w:b/>
                <w:snapToGrid w:val="0"/>
                <w:szCs w:val="21"/>
              </w:rPr>
            </w:pPr>
            <w:r>
              <w:rPr>
                <w:rFonts w:hint="eastAsia" w:ascii="宋体" w:hAnsi="宋体" w:eastAsia="宋体" w:cs="宋体"/>
                <w:b/>
                <w:bCs/>
                <w:szCs w:val="21"/>
              </w:rPr>
              <w:t>磋商响应文件的组成和份数</w:t>
            </w:r>
            <w:r>
              <w:rPr>
                <w:rFonts w:hint="eastAsia" w:ascii="宋体" w:hAnsi="宋体" w:eastAsia="宋体" w:cs="宋体"/>
                <w:szCs w:val="21"/>
              </w:rPr>
              <w:t>：</w:t>
            </w:r>
          </w:p>
        </w:tc>
        <w:tc>
          <w:tcPr>
            <w:tcW w:w="7910" w:type="dxa"/>
            <w:gridSpan w:val="3"/>
            <w:tcBorders>
              <w:top w:val="single" w:color="000000" w:sz="2" w:space="0"/>
              <w:left w:val="single" w:color="auto" w:sz="4" w:space="0"/>
              <w:bottom w:val="single" w:color="000000" w:sz="2" w:space="0"/>
              <w:right w:val="single" w:color="000000" w:sz="8" w:space="0"/>
            </w:tcBorders>
            <w:vAlign w:val="center"/>
          </w:tcPr>
          <w:p w14:paraId="30792D99">
            <w:pPr>
              <w:adjustRightInd w:val="0"/>
              <w:snapToGrid w:val="0"/>
              <w:spacing w:line="240" w:lineRule="auto"/>
              <w:contextualSpacing/>
              <w:rPr>
                <w:rFonts w:hint="eastAsia" w:ascii="宋体" w:hAnsi="宋体" w:eastAsia="宋体" w:cs="宋体"/>
                <w:b/>
                <w:bCs/>
                <w:szCs w:val="21"/>
                <w:u w:val="single"/>
              </w:rPr>
            </w:pPr>
            <w:r>
              <w:rPr>
                <w:rFonts w:hint="eastAsia" w:ascii="宋体" w:hAnsi="宋体" w:eastAsia="宋体" w:cs="宋体"/>
                <w:b/>
                <w:bCs/>
                <w:szCs w:val="21"/>
              </w:rPr>
              <w:t>1）磋商响应文件的组成：</w:t>
            </w:r>
            <w:r>
              <w:rPr>
                <w:rFonts w:hint="eastAsia" w:ascii="宋体" w:hAnsi="宋体" w:eastAsia="宋体" w:cs="宋体"/>
                <w:b/>
                <w:bCs/>
                <w:szCs w:val="21"/>
                <w:u w:val="single"/>
              </w:rPr>
              <w:t>磋商响应文件均由资格文件、商务技术文件、报价文件组成。</w:t>
            </w:r>
          </w:p>
          <w:p w14:paraId="10D084FB">
            <w:pPr>
              <w:pStyle w:val="44"/>
              <w:snapToGrid w:val="0"/>
              <w:spacing w:line="240" w:lineRule="auto"/>
              <w:ind w:firstLine="0"/>
              <w:rPr>
                <w:rFonts w:hint="eastAsia" w:ascii="宋体" w:hAnsi="宋体" w:eastAsia="宋体" w:cs="宋体"/>
                <w:b/>
                <w:bCs/>
                <w:szCs w:val="21"/>
                <w:lang w:val="en-US"/>
              </w:rPr>
            </w:pPr>
            <w:r>
              <w:rPr>
                <w:rFonts w:hint="eastAsia" w:ascii="宋体" w:hAnsi="宋体" w:eastAsia="宋体" w:cs="宋体"/>
                <w:b/>
                <w:bCs/>
                <w:szCs w:val="21"/>
                <w:lang w:val="en-US"/>
              </w:rPr>
              <w:t>2）磋商响应文件份数：</w:t>
            </w:r>
          </w:p>
          <w:p w14:paraId="63AF2AA0">
            <w:pPr>
              <w:numPr>
                <w:ilvl w:val="0"/>
                <w:numId w:val="4"/>
              </w:numPr>
              <w:adjustRightInd w:val="0"/>
              <w:snapToGrid w:val="0"/>
              <w:spacing w:line="240" w:lineRule="auto"/>
              <w:contextualSpacing/>
              <w:rPr>
                <w:rFonts w:hint="eastAsia" w:ascii="宋体" w:hAnsi="宋体" w:eastAsia="宋体" w:cs="宋体"/>
                <w:szCs w:val="21"/>
              </w:rPr>
            </w:pPr>
            <w:r>
              <w:rPr>
                <w:rFonts w:hint="eastAsia" w:ascii="宋体" w:hAnsi="宋体" w:eastAsia="宋体" w:cs="宋体"/>
                <w:szCs w:val="21"/>
              </w:rPr>
              <w:t>“电子加密磋商响应文件”：在线上传递交、一份。</w:t>
            </w:r>
          </w:p>
          <w:p w14:paraId="30F28BBD">
            <w:pPr>
              <w:adjustRightInd w:val="0"/>
              <w:snapToGrid w:val="0"/>
              <w:spacing w:line="240" w:lineRule="auto"/>
              <w:rPr>
                <w:rFonts w:hint="eastAsia" w:ascii="宋体" w:hAnsi="宋体" w:eastAsia="宋体" w:cs="宋体"/>
                <w:b/>
                <w:snapToGrid w:val="0"/>
                <w:szCs w:val="21"/>
              </w:rPr>
            </w:pPr>
            <w:r>
              <w:rPr>
                <w:rFonts w:hint="eastAsia" w:ascii="宋体" w:hAnsi="宋体" w:eastAsia="宋体" w:cs="宋体"/>
                <w:szCs w:val="21"/>
              </w:rPr>
              <w:t>（2）“备份磋商响应文件”：以介质存储的数据电文形式（U盘）并密封包装后递交、一份。</w:t>
            </w:r>
          </w:p>
        </w:tc>
      </w:tr>
      <w:tr w14:paraId="15FAC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9"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01817CD5">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8</w:t>
            </w:r>
          </w:p>
        </w:tc>
        <w:tc>
          <w:tcPr>
            <w:tcW w:w="1448" w:type="dxa"/>
            <w:tcBorders>
              <w:top w:val="single" w:color="000000" w:sz="2" w:space="0"/>
              <w:left w:val="single" w:color="000000" w:sz="2" w:space="0"/>
              <w:bottom w:val="single" w:color="000000" w:sz="2" w:space="0"/>
              <w:right w:val="single" w:color="auto" w:sz="4" w:space="0"/>
            </w:tcBorders>
            <w:vAlign w:val="center"/>
          </w:tcPr>
          <w:p w14:paraId="6AB5ED5B">
            <w:pPr>
              <w:adjustRightInd w:val="0"/>
              <w:snapToGrid w:val="0"/>
              <w:spacing w:line="240" w:lineRule="auto"/>
              <w:contextualSpacing/>
              <w:jc w:val="center"/>
              <w:rPr>
                <w:rFonts w:hint="eastAsia" w:ascii="宋体" w:hAnsi="宋体" w:eastAsia="宋体" w:cs="宋体"/>
                <w:szCs w:val="21"/>
              </w:rPr>
            </w:pPr>
            <w:r>
              <w:rPr>
                <w:rFonts w:hint="eastAsia" w:ascii="宋体" w:hAnsi="宋体" w:eastAsia="宋体" w:cs="宋体"/>
                <w:b/>
                <w:bCs/>
                <w:szCs w:val="21"/>
              </w:rPr>
              <w:t>磋商响应文件签章</w:t>
            </w:r>
          </w:p>
        </w:tc>
        <w:tc>
          <w:tcPr>
            <w:tcW w:w="7910" w:type="dxa"/>
            <w:gridSpan w:val="3"/>
            <w:tcBorders>
              <w:top w:val="single" w:color="000000" w:sz="2" w:space="0"/>
              <w:left w:val="single" w:color="auto" w:sz="4" w:space="0"/>
              <w:bottom w:val="single" w:color="000000" w:sz="2" w:space="0"/>
              <w:right w:val="single" w:color="000000" w:sz="8" w:space="0"/>
            </w:tcBorders>
            <w:vAlign w:val="center"/>
          </w:tcPr>
          <w:p w14:paraId="716FA017">
            <w:pPr>
              <w:adjustRightInd w:val="0"/>
              <w:snapToGrid w:val="0"/>
              <w:spacing w:line="240" w:lineRule="auto"/>
              <w:rPr>
                <w:rFonts w:hint="eastAsia" w:ascii="宋体" w:hAnsi="宋体" w:eastAsia="宋体" w:cs="宋体"/>
                <w:szCs w:val="21"/>
              </w:rPr>
            </w:pPr>
            <w:r>
              <w:rPr>
                <w:rFonts w:hint="eastAsia" w:ascii="宋体" w:hAnsi="宋体" w:eastAsia="宋体" w:cs="宋体"/>
                <w:szCs w:val="21"/>
              </w:rPr>
              <w:t>电子响应文件中所须加盖公章部分均应采用CA签章。按《第三部分  项目技术规范和招标需求》和《第五部分  应提交的有关格式范例》标注的要求进行盖章、签署（电子签章）。</w:t>
            </w:r>
          </w:p>
        </w:tc>
      </w:tr>
      <w:tr w14:paraId="73A27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78227E04">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9</w:t>
            </w:r>
          </w:p>
        </w:tc>
        <w:tc>
          <w:tcPr>
            <w:tcW w:w="1448" w:type="dxa"/>
            <w:tcBorders>
              <w:top w:val="single" w:color="000000" w:sz="2" w:space="0"/>
              <w:left w:val="single" w:color="000000" w:sz="2" w:space="0"/>
              <w:bottom w:val="single" w:color="000000" w:sz="2" w:space="0"/>
              <w:right w:val="single" w:color="auto" w:sz="4" w:space="0"/>
            </w:tcBorders>
            <w:vAlign w:val="center"/>
          </w:tcPr>
          <w:p w14:paraId="5E7681BF">
            <w:pPr>
              <w:adjustRightInd w:val="0"/>
              <w:snapToGrid w:val="0"/>
              <w:spacing w:line="240" w:lineRule="auto"/>
              <w:jc w:val="center"/>
              <w:rPr>
                <w:rFonts w:hint="eastAsia" w:ascii="宋体" w:hAnsi="宋体" w:eastAsia="宋体" w:cs="宋体"/>
                <w:szCs w:val="21"/>
              </w:rPr>
            </w:pPr>
            <w:r>
              <w:rPr>
                <w:rFonts w:hint="eastAsia" w:ascii="宋体" w:hAnsi="宋体" w:eastAsia="宋体" w:cs="宋体"/>
                <w:b/>
                <w:bCs/>
                <w:szCs w:val="21"/>
              </w:rPr>
              <w:t>磋商响应文件的上传和递交</w:t>
            </w:r>
          </w:p>
        </w:tc>
        <w:tc>
          <w:tcPr>
            <w:tcW w:w="7910" w:type="dxa"/>
            <w:gridSpan w:val="3"/>
            <w:tcBorders>
              <w:top w:val="single" w:color="000000" w:sz="2" w:space="0"/>
              <w:left w:val="single" w:color="auto" w:sz="4" w:space="0"/>
              <w:bottom w:val="single" w:color="000000" w:sz="2" w:space="0"/>
              <w:right w:val="single" w:color="000000" w:sz="8" w:space="0"/>
            </w:tcBorders>
            <w:vAlign w:val="center"/>
          </w:tcPr>
          <w:p w14:paraId="121352B5">
            <w:pPr>
              <w:pStyle w:val="99"/>
              <w:adjustRightInd w:val="0"/>
              <w:snapToGrid w:val="0"/>
              <w:spacing w:before="0" w:line="240" w:lineRule="auto"/>
              <w:ind w:firstLine="0" w:firstLineChars="0"/>
              <w:contextualSpacing/>
              <w:rPr>
                <w:rFonts w:hint="eastAsia" w:ascii="宋体" w:hAnsi="宋体" w:eastAsia="宋体" w:cs="宋体"/>
                <w:b/>
                <w:bCs/>
                <w:sz w:val="21"/>
                <w:szCs w:val="21"/>
              </w:rPr>
            </w:pPr>
            <w:r>
              <w:rPr>
                <w:rFonts w:hint="eastAsia" w:ascii="宋体" w:hAnsi="宋体" w:eastAsia="宋体" w:cs="宋体"/>
                <w:b/>
                <w:bCs/>
                <w:sz w:val="21"/>
                <w:szCs w:val="21"/>
              </w:rPr>
              <w:t>（1）“电子加密磋商响应文件”的上传、递交：</w:t>
            </w:r>
          </w:p>
          <w:p w14:paraId="54AC72B5">
            <w:pPr>
              <w:pStyle w:val="99"/>
              <w:adjustRightInd w:val="0"/>
              <w:snapToGrid w:val="0"/>
              <w:spacing w:before="0" w:line="240" w:lineRule="auto"/>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磋商供应商</w:t>
            </w:r>
            <w:r>
              <w:rPr>
                <w:rFonts w:hint="eastAsia" w:ascii="宋体" w:hAnsi="宋体" w:eastAsia="宋体" w:cs="宋体"/>
                <w:sz w:val="21"/>
                <w:szCs w:val="21"/>
              </w:rPr>
              <w:t>应在</w:t>
            </w:r>
            <w:r>
              <w:rPr>
                <w:rFonts w:hint="eastAsia" w:ascii="宋体" w:hAnsi="宋体" w:eastAsia="宋体" w:cs="宋体"/>
                <w:sz w:val="21"/>
                <w:szCs w:val="21"/>
                <w:lang w:eastAsia="zh-CN"/>
              </w:rPr>
              <w:t>响应截止</w:t>
            </w:r>
            <w:r>
              <w:rPr>
                <w:rFonts w:hint="eastAsia" w:ascii="宋体" w:hAnsi="宋体" w:eastAsia="宋体" w:cs="宋体"/>
                <w:sz w:val="21"/>
                <w:szCs w:val="21"/>
              </w:rPr>
              <w:t>时间前将“电子加密磋商响应文件”成功上传递交至“政府采购云平台”，否则投标无效。</w:t>
            </w:r>
          </w:p>
          <w:p w14:paraId="6C632F5A">
            <w:pPr>
              <w:pStyle w:val="99"/>
              <w:adjustRightInd w:val="0"/>
              <w:snapToGrid w:val="0"/>
              <w:spacing w:before="0" w:line="240" w:lineRule="auto"/>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b.“电子加密磋商响应文件”成功上传递交后，供应商可自行打印磋商响应文件接收回执。</w:t>
            </w:r>
          </w:p>
          <w:p w14:paraId="27D1DA0F">
            <w:pPr>
              <w:pStyle w:val="99"/>
              <w:adjustRightInd w:val="0"/>
              <w:snapToGrid w:val="0"/>
              <w:spacing w:before="0" w:line="240" w:lineRule="auto"/>
              <w:ind w:firstLine="0" w:firstLineChars="0"/>
              <w:contextualSpacing/>
              <w:rPr>
                <w:rFonts w:hint="eastAsia" w:ascii="宋体" w:hAnsi="宋体" w:eastAsia="宋体" w:cs="宋体"/>
                <w:b/>
                <w:bCs/>
                <w:sz w:val="21"/>
                <w:szCs w:val="21"/>
              </w:rPr>
            </w:pPr>
            <w:r>
              <w:rPr>
                <w:rFonts w:hint="eastAsia" w:ascii="宋体" w:hAnsi="宋体" w:eastAsia="宋体" w:cs="宋体"/>
                <w:b/>
                <w:bCs/>
                <w:sz w:val="21"/>
                <w:szCs w:val="21"/>
              </w:rPr>
              <w:t>（2）“备份磋商响应文件”的密封包装、递交：</w:t>
            </w:r>
          </w:p>
          <w:p w14:paraId="7BC2293F">
            <w:pPr>
              <w:pStyle w:val="99"/>
              <w:adjustRightInd w:val="0"/>
              <w:snapToGrid w:val="0"/>
              <w:spacing w:before="0" w:line="240" w:lineRule="auto"/>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磋商供应商</w:t>
            </w:r>
            <w:r>
              <w:rPr>
                <w:rFonts w:hint="eastAsia" w:ascii="宋体" w:hAnsi="宋体" w:eastAsia="宋体" w:cs="宋体"/>
                <w:sz w:val="21"/>
                <w:szCs w:val="21"/>
              </w:rPr>
              <w:t>在“政府采购云平台”完成“电子加密磋商响应文件”的上传递交后，还可以在</w:t>
            </w:r>
            <w:r>
              <w:rPr>
                <w:rFonts w:hint="eastAsia" w:ascii="宋体" w:hAnsi="宋体" w:eastAsia="宋体" w:cs="宋体"/>
                <w:sz w:val="21"/>
                <w:szCs w:val="21"/>
                <w:lang w:eastAsia="zh-CN"/>
              </w:rPr>
              <w:t>响应截止</w:t>
            </w:r>
            <w:r>
              <w:rPr>
                <w:rFonts w:hint="eastAsia" w:ascii="宋体" w:hAnsi="宋体" w:eastAsia="宋体" w:cs="宋体"/>
                <w:sz w:val="21"/>
                <w:szCs w:val="21"/>
              </w:rPr>
              <w:t>时间前递交以介质（U盘）存储的未加密的“备份磋商响应文件”（一份）。</w:t>
            </w:r>
          </w:p>
          <w:p w14:paraId="09D84780">
            <w:pPr>
              <w:pStyle w:val="99"/>
              <w:adjustRightInd w:val="0"/>
              <w:snapToGrid w:val="0"/>
              <w:spacing w:before="0" w:line="240" w:lineRule="auto"/>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b.“备份磋商响应文件”应当密封包装，并在包装上标注投标项目名称、投标单位名称并加盖公章。</w:t>
            </w:r>
          </w:p>
          <w:p w14:paraId="1A8CE9EB">
            <w:pPr>
              <w:pStyle w:val="99"/>
              <w:adjustRightInd w:val="0"/>
              <w:snapToGrid w:val="0"/>
              <w:spacing w:before="0" w:line="240" w:lineRule="auto"/>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c.通过“政府采购云平台”成功上传递交的“电子加密磋商响应文件”已按时解密的，“备份磋商响应文件”自动失效。</w:t>
            </w:r>
            <w:r>
              <w:rPr>
                <w:rFonts w:hint="eastAsia" w:ascii="宋体" w:hAnsi="宋体" w:eastAsia="宋体" w:cs="宋体"/>
                <w:sz w:val="21"/>
                <w:szCs w:val="21"/>
                <w:lang w:eastAsia="zh-CN"/>
              </w:rPr>
              <w:t>响应截止</w:t>
            </w:r>
            <w:r>
              <w:rPr>
                <w:rFonts w:hint="eastAsia" w:ascii="宋体" w:hAnsi="宋体" w:eastAsia="宋体" w:cs="宋体"/>
                <w:sz w:val="21"/>
                <w:szCs w:val="21"/>
              </w:rPr>
              <w:t>时间前，</w:t>
            </w:r>
            <w:r>
              <w:rPr>
                <w:rFonts w:hint="eastAsia" w:ascii="宋体" w:hAnsi="宋体" w:eastAsia="宋体" w:cs="宋体"/>
                <w:sz w:val="21"/>
                <w:szCs w:val="21"/>
                <w:lang w:eastAsia="zh-CN"/>
              </w:rPr>
              <w:t>磋商供应商</w:t>
            </w:r>
            <w:r>
              <w:rPr>
                <w:rFonts w:hint="eastAsia" w:ascii="宋体" w:hAnsi="宋体" w:eastAsia="宋体" w:cs="宋体"/>
                <w:sz w:val="21"/>
                <w:szCs w:val="21"/>
              </w:rPr>
              <w:t>仅递交了“备份磋商响应文件”而未将“电子加密磋商响应文件”成功上传至“政府采购云平台”的，投标无效。</w:t>
            </w:r>
          </w:p>
          <w:p w14:paraId="78CE8620">
            <w:pPr>
              <w:adjustRightInd w:val="0"/>
              <w:snapToGrid w:val="0"/>
              <w:spacing w:line="240" w:lineRule="auto"/>
              <w:rPr>
                <w:rFonts w:hint="eastAsia" w:ascii="宋体" w:hAnsi="宋体" w:eastAsia="宋体" w:cs="宋体"/>
                <w:b/>
                <w:bCs/>
                <w:szCs w:val="21"/>
              </w:rPr>
            </w:pPr>
            <w:r>
              <w:rPr>
                <w:rFonts w:hint="eastAsia" w:ascii="宋体" w:hAnsi="宋体" w:eastAsia="宋体" w:cs="宋体"/>
                <w:b/>
                <w:bCs/>
                <w:szCs w:val="21"/>
              </w:rPr>
              <w:t>（3）供应商递交以介质存储的数据电文形式（U盘）的备份磋商响应文件时，如出现下列情况之一的，将被拒收：</w:t>
            </w:r>
          </w:p>
          <w:p w14:paraId="4EF3E964">
            <w:pPr>
              <w:adjustRightInd w:val="0"/>
              <w:snapToGrid w:val="0"/>
              <w:spacing w:line="240" w:lineRule="auto"/>
              <w:rPr>
                <w:rFonts w:hint="eastAsia" w:ascii="宋体" w:hAnsi="宋体" w:eastAsia="宋体" w:cs="宋体"/>
                <w:b/>
                <w:bCs/>
                <w:szCs w:val="21"/>
              </w:rPr>
            </w:pPr>
            <w:r>
              <w:rPr>
                <w:rFonts w:hint="eastAsia" w:ascii="宋体" w:hAnsi="宋体" w:eastAsia="宋体" w:cs="宋体"/>
                <w:b/>
                <w:bCs/>
                <w:szCs w:val="21"/>
              </w:rPr>
              <w:t xml:space="preserve">   1）未按规定密封或标记的响应文件。</w:t>
            </w:r>
          </w:p>
          <w:p w14:paraId="7E847776">
            <w:pPr>
              <w:adjustRightInd w:val="0"/>
              <w:snapToGrid w:val="0"/>
              <w:spacing w:line="240" w:lineRule="auto"/>
              <w:rPr>
                <w:rFonts w:hint="eastAsia" w:ascii="宋体" w:hAnsi="宋体" w:eastAsia="宋体" w:cs="宋体"/>
                <w:b/>
                <w:bCs/>
                <w:szCs w:val="21"/>
              </w:rPr>
            </w:pPr>
            <w:r>
              <w:rPr>
                <w:rFonts w:hint="eastAsia" w:ascii="宋体" w:hAnsi="宋体" w:eastAsia="宋体" w:cs="宋体"/>
                <w:b/>
                <w:bCs/>
                <w:szCs w:val="21"/>
              </w:rPr>
              <w:t xml:space="preserve">   2）由于包装不妥，在送交途中严重破损或失散的。</w:t>
            </w:r>
          </w:p>
          <w:p w14:paraId="4F7A6C35">
            <w:pPr>
              <w:adjustRightInd w:val="0"/>
              <w:snapToGrid w:val="0"/>
              <w:spacing w:line="240" w:lineRule="auto"/>
              <w:rPr>
                <w:rFonts w:hint="eastAsia" w:ascii="宋体" w:hAnsi="宋体" w:eastAsia="宋体" w:cs="宋体"/>
                <w:b/>
                <w:bCs/>
                <w:szCs w:val="21"/>
              </w:rPr>
            </w:pPr>
            <w:r>
              <w:rPr>
                <w:rFonts w:hint="eastAsia" w:ascii="宋体" w:hAnsi="宋体" w:eastAsia="宋体" w:cs="宋体"/>
                <w:b/>
                <w:bCs/>
                <w:szCs w:val="21"/>
              </w:rPr>
              <w:t xml:space="preserve">   3）未按规定获取采购文件的。</w:t>
            </w:r>
          </w:p>
          <w:p w14:paraId="721D71E8">
            <w:pPr>
              <w:adjustRightInd w:val="0"/>
              <w:snapToGrid w:val="0"/>
              <w:spacing w:line="240" w:lineRule="auto"/>
              <w:rPr>
                <w:rFonts w:hint="eastAsia" w:ascii="宋体" w:hAnsi="宋体" w:eastAsia="宋体" w:cs="宋体"/>
                <w:b/>
                <w:bCs/>
                <w:szCs w:val="21"/>
              </w:rPr>
            </w:pPr>
            <w:r>
              <w:rPr>
                <w:rFonts w:hint="eastAsia" w:ascii="宋体" w:hAnsi="宋体" w:eastAsia="宋体" w:cs="宋体"/>
                <w:b/>
                <w:bCs/>
                <w:szCs w:val="21"/>
              </w:rPr>
              <w:t xml:space="preserve">   4）超过</w:t>
            </w:r>
            <w:r>
              <w:rPr>
                <w:rFonts w:hint="eastAsia" w:ascii="宋体" w:hAnsi="宋体" w:eastAsia="宋体" w:cs="宋体"/>
                <w:b/>
                <w:bCs/>
                <w:szCs w:val="21"/>
                <w:lang w:eastAsia="zh-CN"/>
              </w:rPr>
              <w:t>响应截止</w:t>
            </w:r>
            <w:r>
              <w:rPr>
                <w:rFonts w:hint="eastAsia" w:ascii="宋体" w:hAnsi="宋体" w:eastAsia="宋体" w:cs="宋体"/>
                <w:b/>
                <w:bCs/>
                <w:szCs w:val="21"/>
              </w:rPr>
              <w:t>时间送达的。</w:t>
            </w:r>
          </w:p>
          <w:p w14:paraId="266053B2">
            <w:pPr>
              <w:adjustRightInd w:val="0"/>
              <w:snapToGrid w:val="0"/>
              <w:spacing w:line="240" w:lineRule="auto"/>
              <w:rPr>
                <w:rFonts w:hint="eastAsia" w:ascii="宋体" w:hAnsi="宋体" w:eastAsia="宋体" w:cs="宋体"/>
                <w:szCs w:val="21"/>
              </w:rPr>
            </w:pPr>
            <w:r>
              <w:rPr>
                <w:rFonts w:hint="eastAsia" w:ascii="宋体" w:hAnsi="宋体" w:eastAsia="宋体" w:cs="宋体"/>
                <w:b/>
                <w:bCs/>
                <w:szCs w:val="21"/>
              </w:rPr>
              <w:t xml:space="preserve">   5）仅提供备份响应文件的，投标无效。</w:t>
            </w:r>
          </w:p>
        </w:tc>
      </w:tr>
      <w:tr w14:paraId="086CF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4"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467828F0">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10</w:t>
            </w:r>
          </w:p>
        </w:tc>
        <w:tc>
          <w:tcPr>
            <w:tcW w:w="1448" w:type="dxa"/>
            <w:tcBorders>
              <w:top w:val="single" w:color="000000" w:sz="2" w:space="0"/>
              <w:left w:val="single" w:color="000000" w:sz="2" w:space="0"/>
              <w:bottom w:val="single" w:color="000000" w:sz="2" w:space="0"/>
              <w:right w:val="single" w:color="auto" w:sz="4" w:space="0"/>
            </w:tcBorders>
            <w:vAlign w:val="center"/>
          </w:tcPr>
          <w:p w14:paraId="7CCCEFC4">
            <w:pPr>
              <w:adjustRightInd w:val="0"/>
              <w:snapToGrid w:val="0"/>
              <w:spacing w:line="240" w:lineRule="auto"/>
              <w:jc w:val="center"/>
              <w:rPr>
                <w:rFonts w:hint="eastAsia" w:ascii="宋体" w:hAnsi="宋体" w:eastAsia="宋体" w:cs="宋体"/>
                <w:szCs w:val="21"/>
              </w:rPr>
            </w:pPr>
            <w:r>
              <w:rPr>
                <w:rFonts w:hint="eastAsia" w:ascii="宋体" w:hAnsi="宋体" w:eastAsia="宋体" w:cs="宋体"/>
                <w:b/>
                <w:bCs/>
                <w:szCs w:val="21"/>
              </w:rPr>
              <w:t>电子加密磋商响应文件的解密和异常情况处理</w:t>
            </w:r>
          </w:p>
        </w:tc>
        <w:tc>
          <w:tcPr>
            <w:tcW w:w="7910" w:type="dxa"/>
            <w:gridSpan w:val="3"/>
            <w:tcBorders>
              <w:top w:val="single" w:color="000000" w:sz="2" w:space="0"/>
              <w:left w:val="single" w:color="auto" w:sz="4" w:space="0"/>
              <w:bottom w:val="single" w:color="000000" w:sz="2" w:space="0"/>
              <w:right w:val="single" w:color="000000" w:sz="8" w:space="0"/>
            </w:tcBorders>
            <w:vAlign w:val="center"/>
          </w:tcPr>
          <w:p w14:paraId="6A7BC9DD">
            <w:pPr>
              <w:pStyle w:val="99"/>
              <w:adjustRightInd w:val="0"/>
              <w:snapToGrid w:val="0"/>
              <w:spacing w:before="0" w:line="240" w:lineRule="auto"/>
              <w:ind w:firstLine="0" w:firstLineChars="0"/>
              <w:contextualSpacing/>
              <w:rPr>
                <w:rFonts w:hint="eastAsia" w:ascii="宋体" w:hAnsi="宋体" w:eastAsia="宋体" w:cs="宋体"/>
                <w:b/>
                <w:bCs/>
                <w:sz w:val="21"/>
                <w:szCs w:val="21"/>
              </w:rPr>
            </w:pPr>
            <w:r>
              <w:rPr>
                <w:rFonts w:hint="eastAsia" w:ascii="宋体" w:hAnsi="宋体" w:eastAsia="宋体" w:cs="宋体"/>
                <w:b/>
                <w:bCs/>
                <w:sz w:val="21"/>
                <w:szCs w:val="21"/>
              </w:rPr>
              <w:t>（1）开标后，采购组织机构将向各</w:t>
            </w:r>
            <w:r>
              <w:rPr>
                <w:rFonts w:hint="eastAsia" w:ascii="宋体" w:hAnsi="宋体" w:eastAsia="宋体" w:cs="宋体"/>
                <w:b/>
                <w:bCs/>
                <w:sz w:val="21"/>
                <w:szCs w:val="21"/>
                <w:lang w:eastAsia="zh-CN"/>
              </w:rPr>
              <w:t>磋商供应商</w:t>
            </w:r>
            <w:r>
              <w:rPr>
                <w:rFonts w:hint="eastAsia" w:ascii="宋体" w:hAnsi="宋体" w:eastAsia="宋体" w:cs="宋体"/>
                <w:b/>
                <w:bCs/>
                <w:sz w:val="21"/>
                <w:szCs w:val="21"/>
              </w:rPr>
              <w:t>发出“电子加密磋商响应文件”的解密通知，各</w:t>
            </w:r>
            <w:r>
              <w:rPr>
                <w:rFonts w:hint="eastAsia" w:ascii="宋体" w:hAnsi="宋体" w:eastAsia="宋体" w:cs="宋体"/>
                <w:b/>
                <w:bCs/>
                <w:sz w:val="21"/>
                <w:szCs w:val="21"/>
                <w:lang w:eastAsia="zh-CN"/>
              </w:rPr>
              <w:t>磋商供应商</w:t>
            </w:r>
            <w:r>
              <w:rPr>
                <w:rFonts w:hint="eastAsia" w:ascii="宋体" w:hAnsi="宋体" w:eastAsia="宋体" w:cs="宋体"/>
                <w:b/>
                <w:bCs/>
                <w:sz w:val="21"/>
                <w:szCs w:val="21"/>
              </w:rPr>
              <w:t>代表应当在接到解密通知后30分钟内自行完成“电子加密磋商响应文件”的在线解密。</w:t>
            </w:r>
          </w:p>
          <w:p w14:paraId="58B83594">
            <w:pPr>
              <w:pStyle w:val="99"/>
              <w:adjustRightInd w:val="0"/>
              <w:snapToGrid w:val="0"/>
              <w:spacing w:before="0" w:line="240" w:lineRule="auto"/>
              <w:ind w:firstLine="0" w:firstLineChars="0"/>
              <w:contextualSpacing/>
              <w:rPr>
                <w:rFonts w:hint="eastAsia" w:ascii="宋体" w:hAnsi="宋体" w:eastAsia="宋体" w:cs="宋体"/>
                <w:b/>
                <w:bCs/>
                <w:sz w:val="21"/>
                <w:szCs w:val="21"/>
              </w:rPr>
            </w:pPr>
            <w:r>
              <w:rPr>
                <w:rFonts w:hint="eastAsia" w:ascii="宋体" w:hAnsi="宋体" w:eastAsia="宋体" w:cs="宋体"/>
                <w:b/>
                <w:bCs/>
                <w:sz w:val="21"/>
                <w:szCs w:val="21"/>
              </w:rPr>
              <w:t>（2）通过“政府采购云平台”成功上传递交的“电子加密磋商响应文件”无法按时解密，</w:t>
            </w:r>
            <w:r>
              <w:rPr>
                <w:rFonts w:hint="eastAsia" w:ascii="宋体" w:hAnsi="宋体" w:eastAsia="宋体" w:cs="宋体"/>
                <w:b/>
                <w:bCs/>
                <w:sz w:val="21"/>
                <w:szCs w:val="21"/>
                <w:lang w:eastAsia="zh-CN"/>
              </w:rPr>
              <w:t>磋商供应商</w:t>
            </w:r>
            <w:r>
              <w:rPr>
                <w:rFonts w:hint="eastAsia" w:ascii="宋体" w:hAnsi="宋体" w:eastAsia="宋体" w:cs="宋体"/>
                <w:b/>
                <w:bCs/>
                <w:sz w:val="21"/>
                <w:szCs w:val="21"/>
              </w:rPr>
              <w:t>如按规定递交了“备份磋商响应文件”的，以“备份磋商响应文件”为依据（由采购组织机构按“政府采购云平台”操作规范将“备份磋商响应文件”上传至“政府采购云平台”，上传成功后，“电子加密磋商响应文件”自动失效），否则视为磋商响应文件撤回。</w:t>
            </w:r>
          </w:p>
          <w:p w14:paraId="28A38C23">
            <w:pPr>
              <w:pStyle w:val="99"/>
              <w:adjustRightInd w:val="0"/>
              <w:snapToGrid w:val="0"/>
              <w:spacing w:before="0" w:line="240" w:lineRule="auto"/>
              <w:ind w:firstLine="0" w:firstLineChars="0"/>
              <w:contextualSpacing/>
              <w:rPr>
                <w:rFonts w:hint="eastAsia" w:ascii="宋体" w:hAnsi="宋体" w:eastAsia="宋体" w:cs="宋体"/>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eastAsia="zh-CN"/>
              </w:rPr>
              <w:t>响应截止</w:t>
            </w:r>
            <w:r>
              <w:rPr>
                <w:rFonts w:hint="eastAsia" w:ascii="宋体" w:hAnsi="宋体" w:eastAsia="宋体" w:cs="宋体"/>
                <w:b/>
                <w:bCs/>
                <w:sz w:val="21"/>
                <w:szCs w:val="21"/>
              </w:rPr>
              <w:t>时间前，</w:t>
            </w:r>
            <w:r>
              <w:rPr>
                <w:rFonts w:hint="eastAsia" w:ascii="宋体" w:hAnsi="宋体" w:eastAsia="宋体" w:cs="宋体"/>
                <w:b/>
                <w:bCs/>
                <w:sz w:val="21"/>
                <w:szCs w:val="21"/>
                <w:lang w:eastAsia="zh-CN"/>
              </w:rPr>
              <w:t>磋商供应商</w:t>
            </w:r>
            <w:r>
              <w:rPr>
                <w:rFonts w:hint="eastAsia" w:ascii="宋体" w:hAnsi="宋体" w:eastAsia="宋体" w:cs="宋体"/>
                <w:b/>
                <w:bCs/>
                <w:sz w:val="21"/>
                <w:szCs w:val="21"/>
              </w:rPr>
              <w:t>仅递交了“备份磋商响应文件”而未将电子加密磋商响应文件上传至“政府采购云平台”的，投标无效。</w:t>
            </w:r>
          </w:p>
        </w:tc>
      </w:tr>
      <w:tr w14:paraId="08986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9"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64FFBF3C">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11</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14:paraId="3B75A136">
            <w:pPr>
              <w:adjustRightInd w:val="0"/>
              <w:snapToGrid w:val="0"/>
              <w:spacing w:line="240" w:lineRule="auto"/>
              <w:rPr>
                <w:rFonts w:hint="eastAsia" w:ascii="宋体" w:hAnsi="宋体" w:eastAsia="宋体" w:cs="宋体"/>
                <w:szCs w:val="21"/>
              </w:rPr>
            </w:pPr>
            <w:r>
              <w:rPr>
                <w:rFonts w:hint="eastAsia" w:ascii="宋体" w:hAnsi="宋体" w:eastAsia="宋体" w:cs="宋体"/>
                <w:b/>
                <w:szCs w:val="21"/>
              </w:rPr>
              <w:t>磋商截止时间：</w:t>
            </w:r>
            <w:r>
              <w:rPr>
                <w:rFonts w:hint="eastAsia" w:ascii="宋体" w:hAnsi="宋体" w:eastAsia="宋体" w:cs="宋体"/>
                <w:kern w:val="0"/>
                <w:szCs w:val="21"/>
                <w:lang w:eastAsia="zh-CN"/>
              </w:rPr>
              <w:t>2024年</w:t>
            </w:r>
            <w:r>
              <w:rPr>
                <w:rFonts w:hint="eastAsia" w:ascii="宋体" w:hAnsi="宋体" w:cs="宋体"/>
                <w:kern w:val="0"/>
                <w:szCs w:val="21"/>
                <w:lang w:eastAsia="zh-CN"/>
              </w:rPr>
              <w:t>11月18日09:30</w:t>
            </w:r>
            <w:r>
              <w:rPr>
                <w:rFonts w:hint="eastAsia" w:ascii="宋体" w:hAnsi="宋体" w:eastAsia="宋体" w:cs="宋体"/>
                <w:kern w:val="0"/>
                <w:szCs w:val="21"/>
              </w:rPr>
              <w:t>（北京时间）</w:t>
            </w:r>
          </w:p>
        </w:tc>
      </w:tr>
      <w:tr w14:paraId="48C05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5"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1D530B5F">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12</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14:paraId="2EAA8EDD">
            <w:pPr>
              <w:pStyle w:val="25"/>
              <w:adjustRightInd w:val="0"/>
              <w:snapToGrid w:val="0"/>
              <w:spacing w:line="240" w:lineRule="auto"/>
              <w:rPr>
                <w:rFonts w:hint="eastAsia" w:ascii="宋体" w:hAnsi="宋体" w:eastAsia="宋体" w:cs="宋体"/>
              </w:rPr>
            </w:pPr>
            <w:r>
              <w:rPr>
                <w:rFonts w:hint="eastAsia" w:ascii="宋体" w:hAnsi="宋体" w:eastAsia="宋体" w:cs="宋体"/>
                <w:b/>
                <w:bCs/>
              </w:rPr>
              <w:t>备份磋商响应文件</w:t>
            </w:r>
            <w:r>
              <w:rPr>
                <w:rFonts w:hint="eastAsia" w:ascii="宋体" w:hAnsi="宋体" w:eastAsia="宋体" w:cs="宋体"/>
                <w:b/>
              </w:rPr>
              <w:t>递交至单位：</w:t>
            </w:r>
            <w:r>
              <w:rPr>
                <w:rFonts w:hint="eastAsia" w:ascii="宋体" w:hAnsi="宋体" w:eastAsia="宋体" w:cs="宋体"/>
              </w:rPr>
              <w:t>浙江豪圣建设项目管理有限公司。</w:t>
            </w:r>
            <w:r>
              <w:rPr>
                <w:rFonts w:hint="eastAsia" w:ascii="宋体" w:hAnsi="宋体" w:eastAsia="宋体" w:cs="宋体"/>
                <w:bCs/>
                <w:kern w:val="0"/>
              </w:rPr>
              <w:t>通过“政府采购云平台（www.zcygov.cn）”实行在线投标响应（电子投标）。</w:t>
            </w:r>
          </w:p>
          <w:p w14:paraId="383591AD">
            <w:pPr>
              <w:adjustRightInd w:val="0"/>
              <w:snapToGrid w:val="0"/>
              <w:spacing w:line="240" w:lineRule="auto"/>
              <w:rPr>
                <w:rFonts w:hint="eastAsia" w:ascii="宋体" w:hAnsi="宋体" w:eastAsia="宋体" w:cs="宋体"/>
                <w:szCs w:val="21"/>
              </w:rPr>
            </w:pPr>
            <w:r>
              <w:rPr>
                <w:rFonts w:hint="eastAsia" w:ascii="宋体" w:hAnsi="宋体" w:eastAsia="宋体" w:cs="宋体"/>
                <w:b/>
                <w:bCs/>
                <w:szCs w:val="21"/>
              </w:rPr>
              <w:t>备份磋商响应文件</w:t>
            </w:r>
            <w:r>
              <w:rPr>
                <w:rFonts w:hint="eastAsia" w:ascii="宋体" w:hAnsi="宋体" w:eastAsia="宋体" w:cs="宋体"/>
                <w:b/>
                <w:szCs w:val="21"/>
              </w:rPr>
              <w:t>递交至地点：</w:t>
            </w:r>
            <w:r>
              <w:rPr>
                <w:rFonts w:hint="eastAsia" w:ascii="宋体" w:hAnsi="宋体" w:eastAsia="宋体" w:cs="宋体"/>
                <w:szCs w:val="21"/>
              </w:rPr>
              <w:t>杭州市拱墅区远洋国际A座17楼1706室</w:t>
            </w:r>
          </w:p>
          <w:p w14:paraId="7BCAE57E">
            <w:pPr>
              <w:adjustRightInd w:val="0"/>
              <w:snapToGrid w:val="0"/>
              <w:spacing w:line="240" w:lineRule="auto"/>
              <w:rPr>
                <w:rFonts w:hint="eastAsia" w:ascii="宋体" w:hAnsi="宋体" w:eastAsia="宋体" w:cs="宋体"/>
                <w:b/>
                <w:bCs/>
                <w:szCs w:val="21"/>
              </w:rPr>
            </w:pPr>
            <w:r>
              <w:rPr>
                <w:rFonts w:hint="eastAsia" w:ascii="宋体" w:hAnsi="宋体" w:eastAsia="宋体" w:cs="宋体"/>
                <w:b/>
                <w:bCs/>
                <w:szCs w:val="21"/>
              </w:rPr>
              <w:t>备份</w:t>
            </w:r>
            <w:r>
              <w:rPr>
                <w:rFonts w:hint="eastAsia" w:ascii="宋体" w:hAnsi="宋体" w:eastAsia="宋体" w:cs="宋体"/>
                <w:b/>
                <w:bCs/>
                <w:szCs w:val="21"/>
                <w:lang w:eastAsia="zh-CN"/>
              </w:rPr>
              <w:t>响应文件</w:t>
            </w:r>
            <w:r>
              <w:rPr>
                <w:rFonts w:hint="eastAsia" w:ascii="宋体" w:hAnsi="宋体" w:eastAsia="宋体" w:cs="宋体"/>
                <w:b/>
                <w:bCs/>
                <w:szCs w:val="21"/>
              </w:rPr>
              <w:t>递交截止时间：</w:t>
            </w:r>
            <w:r>
              <w:rPr>
                <w:rFonts w:hint="eastAsia" w:ascii="宋体" w:hAnsi="宋体" w:eastAsia="宋体" w:cs="宋体"/>
                <w:kern w:val="0"/>
                <w:szCs w:val="21"/>
                <w:lang w:eastAsia="zh-CN"/>
              </w:rPr>
              <w:t>2024年</w:t>
            </w:r>
            <w:r>
              <w:rPr>
                <w:rFonts w:hint="eastAsia" w:ascii="宋体" w:hAnsi="宋体" w:cs="宋体"/>
                <w:kern w:val="0"/>
                <w:szCs w:val="21"/>
                <w:lang w:eastAsia="zh-CN"/>
              </w:rPr>
              <w:t>11月18日09:30</w:t>
            </w:r>
            <w:r>
              <w:rPr>
                <w:rFonts w:hint="eastAsia" w:ascii="宋体" w:hAnsi="宋体" w:eastAsia="宋体" w:cs="宋体"/>
                <w:kern w:val="0"/>
                <w:szCs w:val="21"/>
              </w:rPr>
              <w:t>（北京时间）</w:t>
            </w:r>
          </w:p>
          <w:p w14:paraId="48F34602">
            <w:pPr>
              <w:adjustRightInd w:val="0"/>
              <w:snapToGrid w:val="0"/>
              <w:spacing w:line="240" w:lineRule="auto"/>
              <w:rPr>
                <w:rFonts w:hint="eastAsia" w:ascii="宋体" w:hAnsi="宋体" w:eastAsia="宋体" w:cs="宋体"/>
                <w:b/>
                <w:bCs/>
                <w:szCs w:val="21"/>
              </w:rPr>
            </w:pPr>
            <w:r>
              <w:rPr>
                <w:rFonts w:hint="eastAsia" w:ascii="宋体" w:hAnsi="宋体" w:eastAsia="宋体" w:cs="宋体"/>
                <w:b/>
                <w:bCs/>
                <w:szCs w:val="21"/>
              </w:rPr>
              <w:t>邮寄地址：浙江豪圣建设项目管理有限公司（杭州市拱墅区远洋国际A座17楼1706室）</w:t>
            </w:r>
          </w:p>
          <w:p w14:paraId="2502F4B5">
            <w:pPr>
              <w:adjustRightInd w:val="0"/>
              <w:snapToGrid w:val="0"/>
              <w:spacing w:line="240" w:lineRule="auto"/>
              <w:rPr>
                <w:rFonts w:hint="eastAsia" w:ascii="宋体" w:hAnsi="宋体" w:eastAsia="宋体" w:cs="宋体"/>
                <w:szCs w:val="21"/>
              </w:rPr>
            </w:pPr>
            <w:r>
              <w:rPr>
                <w:rFonts w:hint="eastAsia" w:ascii="宋体" w:hAnsi="宋体" w:eastAsia="宋体" w:cs="宋体"/>
                <w:b/>
                <w:bCs/>
                <w:szCs w:val="21"/>
              </w:rPr>
              <w:t>收件人：</w:t>
            </w:r>
            <w:r>
              <w:rPr>
                <w:rFonts w:hint="eastAsia" w:ascii="宋体" w:hAnsi="宋体" w:eastAsia="宋体" w:cs="宋体"/>
                <w:b/>
                <w:bCs/>
                <w:szCs w:val="21"/>
                <w:lang w:eastAsia="zh-CN"/>
              </w:rPr>
              <w:t>赵邵东</w:t>
            </w:r>
            <w:r>
              <w:rPr>
                <w:rFonts w:hint="eastAsia" w:ascii="宋体" w:hAnsi="宋体" w:eastAsia="宋体" w:cs="宋体"/>
                <w:b/>
                <w:bCs/>
                <w:szCs w:val="21"/>
              </w:rPr>
              <w:t>，联系电话：0571-87981527</w:t>
            </w:r>
          </w:p>
        </w:tc>
      </w:tr>
      <w:tr w14:paraId="22CA5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77C48E50">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13</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14:paraId="748481C5">
            <w:pPr>
              <w:pStyle w:val="12"/>
              <w:adjustRightInd w:val="0"/>
              <w:snapToGrid w:val="0"/>
              <w:spacing w:line="240" w:lineRule="auto"/>
              <w:ind w:firstLine="0"/>
              <w:rPr>
                <w:rFonts w:hint="eastAsia" w:ascii="宋体" w:hAnsi="宋体" w:eastAsia="宋体" w:cs="宋体"/>
                <w:kern w:val="2"/>
                <w:sz w:val="21"/>
                <w:szCs w:val="21"/>
              </w:rPr>
            </w:pPr>
            <w:r>
              <w:rPr>
                <w:rFonts w:hint="eastAsia" w:ascii="宋体" w:hAnsi="宋体" w:eastAsia="宋体" w:cs="宋体"/>
                <w:b/>
                <w:kern w:val="2"/>
                <w:sz w:val="21"/>
                <w:szCs w:val="21"/>
              </w:rPr>
              <w:t>磋商</w:t>
            </w:r>
            <w:r>
              <w:rPr>
                <w:rFonts w:hint="eastAsia" w:ascii="宋体" w:hAnsi="宋体" w:eastAsia="宋体" w:cs="宋体"/>
                <w:b/>
                <w:kern w:val="10"/>
                <w:sz w:val="21"/>
                <w:szCs w:val="21"/>
              </w:rPr>
              <w:t>时间</w:t>
            </w:r>
            <w:r>
              <w:rPr>
                <w:rFonts w:hint="eastAsia" w:ascii="宋体" w:hAnsi="宋体" w:eastAsia="宋体" w:cs="宋体"/>
                <w:kern w:val="2"/>
                <w:sz w:val="21"/>
                <w:szCs w:val="21"/>
              </w:rPr>
              <w:t>：</w:t>
            </w:r>
            <w:r>
              <w:rPr>
                <w:rFonts w:hint="eastAsia" w:ascii="宋体" w:hAnsi="宋体" w:eastAsia="宋体" w:cs="宋体"/>
                <w:kern w:val="2"/>
                <w:sz w:val="21"/>
                <w:szCs w:val="21"/>
                <w:lang w:eastAsia="zh-CN"/>
              </w:rPr>
              <w:t>2024年11月18日09:30</w:t>
            </w:r>
            <w:r>
              <w:rPr>
                <w:rFonts w:hint="eastAsia" w:ascii="宋体" w:hAnsi="宋体" w:eastAsia="宋体" w:cs="宋体"/>
                <w:kern w:val="2"/>
                <w:sz w:val="21"/>
                <w:szCs w:val="21"/>
              </w:rPr>
              <w:t>（北京时间）</w:t>
            </w:r>
          </w:p>
          <w:p w14:paraId="4D6F1D19">
            <w:pPr>
              <w:pStyle w:val="12"/>
              <w:adjustRightInd w:val="0"/>
              <w:snapToGrid w:val="0"/>
              <w:spacing w:line="240" w:lineRule="auto"/>
              <w:ind w:firstLine="0"/>
              <w:rPr>
                <w:rFonts w:hint="eastAsia" w:ascii="宋体" w:hAnsi="宋体" w:eastAsia="宋体" w:cs="宋体"/>
                <w:kern w:val="2"/>
                <w:sz w:val="21"/>
                <w:szCs w:val="21"/>
              </w:rPr>
            </w:pPr>
            <w:r>
              <w:rPr>
                <w:rFonts w:hint="eastAsia" w:ascii="宋体" w:hAnsi="宋体" w:eastAsia="宋体" w:cs="宋体"/>
                <w:b/>
                <w:kern w:val="2"/>
                <w:sz w:val="21"/>
                <w:szCs w:val="21"/>
              </w:rPr>
              <w:t>磋商地点：</w:t>
            </w:r>
            <w:r>
              <w:rPr>
                <w:rFonts w:hint="eastAsia" w:ascii="宋体" w:hAnsi="宋体" w:eastAsia="宋体" w:cs="宋体"/>
                <w:kern w:val="2"/>
                <w:sz w:val="21"/>
                <w:szCs w:val="21"/>
              </w:rPr>
              <w:t>浙江豪圣建设项目管理有限公司（杭州市拱墅区远洋国际A座17楼1706室评标室）。</w:t>
            </w:r>
            <w:r>
              <w:rPr>
                <w:rFonts w:hint="eastAsia" w:ascii="宋体" w:hAnsi="宋体" w:eastAsia="宋体" w:cs="宋体"/>
                <w:bCs/>
                <w:sz w:val="21"/>
                <w:szCs w:val="21"/>
              </w:rPr>
              <w:t>通过“政府采购云平台（www.zcygov.cn）”实行在线投标响应（电子投标）。</w:t>
            </w:r>
          </w:p>
        </w:tc>
      </w:tr>
      <w:tr w14:paraId="5B041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jc w:val="center"/>
        </w:trPr>
        <w:tc>
          <w:tcPr>
            <w:tcW w:w="652" w:type="dxa"/>
            <w:tcBorders>
              <w:top w:val="single" w:color="000000" w:sz="2" w:space="0"/>
              <w:left w:val="single" w:color="000000" w:sz="8" w:space="0"/>
              <w:bottom w:val="single" w:color="auto" w:sz="4" w:space="0"/>
              <w:right w:val="single" w:color="000000" w:sz="2" w:space="0"/>
            </w:tcBorders>
            <w:vAlign w:val="center"/>
          </w:tcPr>
          <w:p w14:paraId="2237B08E">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14</w:t>
            </w:r>
          </w:p>
        </w:tc>
        <w:tc>
          <w:tcPr>
            <w:tcW w:w="1448" w:type="dxa"/>
            <w:tcBorders>
              <w:top w:val="single" w:color="000000" w:sz="2" w:space="0"/>
              <w:left w:val="single" w:color="000000" w:sz="2" w:space="0"/>
              <w:bottom w:val="single" w:color="auto" w:sz="4" w:space="0"/>
              <w:right w:val="single" w:color="auto" w:sz="4" w:space="0"/>
            </w:tcBorders>
            <w:vAlign w:val="center"/>
          </w:tcPr>
          <w:p w14:paraId="5A2DEF70">
            <w:pPr>
              <w:adjustRightInd w:val="0"/>
              <w:snapToGrid w:val="0"/>
              <w:spacing w:line="240" w:lineRule="auto"/>
              <w:contextualSpacing/>
              <w:jc w:val="left"/>
              <w:rPr>
                <w:rFonts w:hint="eastAsia" w:ascii="宋体" w:hAnsi="宋体" w:eastAsia="宋体" w:cs="宋体"/>
                <w:szCs w:val="21"/>
              </w:rPr>
            </w:pPr>
            <w:r>
              <w:rPr>
                <w:rFonts w:hint="eastAsia" w:ascii="宋体" w:hAnsi="宋体" w:eastAsia="宋体" w:cs="宋体"/>
                <w:b/>
                <w:bCs/>
                <w:kern w:val="10"/>
                <w:szCs w:val="21"/>
              </w:rPr>
              <w:t>现场踏勘</w:t>
            </w:r>
          </w:p>
        </w:tc>
        <w:tc>
          <w:tcPr>
            <w:tcW w:w="7910" w:type="dxa"/>
            <w:gridSpan w:val="3"/>
            <w:tcBorders>
              <w:top w:val="single" w:color="000000" w:sz="2" w:space="0"/>
              <w:left w:val="single" w:color="auto" w:sz="4" w:space="0"/>
              <w:bottom w:val="single" w:color="auto" w:sz="4" w:space="0"/>
              <w:right w:val="single" w:color="000000" w:sz="8" w:space="0"/>
            </w:tcBorders>
            <w:vAlign w:val="center"/>
          </w:tcPr>
          <w:p w14:paraId="425B781D">
            <w:pPr>
              <w:spacing w:line="240" w:lineRule="auto"/>
              <w:rPr>
                <w:rFonts w:hint="eastAsia" w:ascii="宋体" w:hAnsi="宋体" w:eastAsia="宋体" w:cs="宋体"/>
              </w:rPr>
            </w:pPr>
            <w:r>
              <w:rPr>
                <w:rFonts w:hint="eastAsia" w:ascii="宋体" w:hAnsi="宋体" w:eastAsia="宋体" w:cs="宋体"/>
              </w:rPr>
              <w:t>不组织现场踏勘。</w:t>
            </w:r>
          </w:p>
        </w:tc>
      </w:tr>
      <w:tr w14:paraId="4AB10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jc w:val="center"/>
        </w:trPr>
        <w:tc>
          <w:tcPr>
            <w:tcW w:w="652" w:type="dxa"/>
            <w:tcBorders>
              <w:top w:val="single" w:color="000000" w:sz="2" w:space="0"/>
              <w:left w:val="single" w:color="000000" w:sz="8" w:space="0"/>
              <w:bottom w:val="single" w:color="auto" w:sz="4" w:space="0"/>
              <w:right w:val="single" w:color="000000" w:sz="2" w:space="0"/>
            </w:tcBorders>
            <w:vAlign w:val="center"/>
          </w:tcPr>
          <w:p w14:paraId="024746E6">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15</w:t>
            </w:r>
          </w:p>
        </w:tc>
        <w:tc>
          <w:tcPr>
            <w:tcW w:w="9358" w:type="dxa"/>
            <w:gridSpan w:val="4"/>
            <w:tcBorders>
              <w:top w:val="single" w:color="000000" w:sz="2" w:space="0"/>
              <w:left w:val="single" w:color="000000" w:sz="2" w:space="0"/>
              <w:bottom w:val="single" w:color="auto" w:sz="4" w:space="0"/>
              <w:right w:val="single" w:color="000000" w:sz="8" w:space="0"/>
            </w:tcBorders>
            <w:vAlign w:val="center"/>
          </w:tcPr>
          <w:p w14:paraId="7778EA65">
            <w:pPr>
              <w:adjustRightInd w:val="0"/>
              <w:snapToGrid w:val="0"/>
              <w:spacing w:line="240" w:lineRule="auto"/>
              <w:rPr>
                <w:rFonts w:hint="eastAsia" w:ascii="宋体" w:hAnsi="宋体" w:eastAsia="宋体" w:cs="宋体"/>
                <w:kern w:val="0"/>
                <w:szCs w:val="21"/>
              </w:rPr>
            </w:pPr>
            <w:r>
              <w:rPr>
                <w:rFonts w:hint="eastAsia" w:ascii="宋体" w:hAnsi="宋体" w:eastAsia="宋体" w:cs="宋体"/>
                <w:b/>
                <w:snapToGrid w:val="0"/>
                <w:kern w:val="10"/>
                <w:szCs w:val="21"/>
              </w:rPr>
              <w:t>带“▲”条款系指实质性要求条款。</w:t>
            </w:r>
          </w:p>
        </w:tc>
      </w:tr>
      <w:tr w14:paraId="67D2E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51B51DEB">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16</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14:paraId="0FE0935D">
            <w:pPr>
              <w:adjustRightInd w:val="0"/>
              <w:snapToGrid w:val="0"/>
              <w:spacing w:line="240" w:lineRule="auto"/>
              <w:contextualSpacing/>
              <w:rPr>
                <w:rFonts w:hint="eastAsia" w:ascii="宋体" w:hAnsi="宋体" w:eastAsia="宋体" w:cs="宋体"/>
                <w:bCs/>
                <w:snapToGrid w:val="0"/>
                <w:kern w:val="10"/>
                <w:szCs w:val="21"/>
              </w:rPr>
            </w:pPr>
            <w:r>
              <w:rPr>
                <w:rFonts w:hint="eastAsia" w:ascii="宋体" w:hAnsi="宋体" w:eastAsia="宋体" w:cs="宋体"/>
                <w:b w:val="0"/>
                <w:bCs/>
                <w:snapToGrid w:val="0"/>
                <w:kern w:val="10"/>
                <w:szCs w:val="21"/>
              </w:rPr>
              <w:t>1、</w:t>
            </w:r>
            <w:r>
              <w:rPr>
                <w:rFonts w:hint="eastAsia" w:ascii="宋体" w:hAnsi="宋体" w:eastAsia="宋体" w:cs="宋体"/>
                <w:bCs/>
                <w:snapToGrid w:val="0"/>
                <w:kern w:val="10"/>
                <w:szCs w:val="21"/>
                <w:lang w:eastAsia="zh-CN"/>
              </w:rPr>
              <w:t>响应截止</w:t>
            </w:r>
            <w:r>
              <w:rPr>
                <w:rFonts w:hint="eastAsia" w:ascii="宋体" w:hAnsi="宋体" w:eastAsia="宋体" w:cs="宋体"/>
                <w:bCs/>
                <w:snapToGrid w:val="0"/>
                <w:kern w:val="10"/>
                <w:szCs w:val="21"/>
              </w:rPr>
              <w:t>后，在投标有效期内，供应商不能撤销磋商响应文件。供应商强行撤销磋商响应文件的，应按预算金额的2%赔偿对</w:t>
            </w:r>
            <w:r>
              <w:rPr>
                <w:rFonts w:hint="eastAsia" w:ascii="宋体" w:hAnsi="宋体" w:eastAsia="宋体" w:cs="宋体"/>
                <w:bCs/>
                <w:snapToGrid w:val="0"/>
                <w:kern w:val="10"/>
                <w:szCs w:val="21"/>
                <w:lang w:eastAsia="zh-CN"/>
              </w:rPr>
              <w:t>采购代理机构</w:t>
            </w:r>
            <w:r>
              <w:rPr>
                <w:rFonts w:hint="eastAsia" w:ascii="宋体" w:hAnsi="宋体" w:eastAsia="宋体" w:cs="宋体"/>
                <w:bCs/>
                <w:snapToGrid w:val="0"/>
                <w:kern w:val="10"/>
                <w:szCs w:val="21"/>
              </w:rPr>
              <w:t>造成的损失。</w:t>
            </w:r>
          </w:p>
          <w:p w14:paraId="51BC26D2">
            <w:pPr>
              <w:adjustRightInd w:val="0"/>
              <w:snapToGrid w:val="0"/>
              <w:spacing w:line="240" w:lineRule="auto"/>
              <w:contextualSpacing/>
              <w:rPr>
                <w:rFonts w:hint="eastAsia" w:ascii="宋体" w:hAnsi="宋体" w:eastAsia="宋体" w:cs="宋体"/>
                <w:bCs/>
                <w:snapToGrid w:val="0"/>
                <w:kern w:val="10"/>
                <w:szCs w:val="21"/>
              </w:rPr>
            </w:pPr>
            <w:r>
              <w:rPr>
                <w:rFonts w:hint="eastAsia" w:ascii="宋体" w:hAnsi="宋体" w:eastAsia="宋体" w:cs="宋体"/>
                <w:bCs/>
                <w:snapToGrid w:val="0"/>
                <w:kern w:val="10"/>
                <w:szCs w:val="21"/>
              </w:rPr>
              <w:t>2、成交后，供应商拒绝签订合同的，采购人可以按照评审报告推荐的成交候选人名单排序，确定下一候选人为成交供应商，也可以重新开展政府采购活动。供应商成交后拒绝签订合同的，应按预算金额的2%对采购人进行赔偿。赔偿金额不足以弥补采购人损失的，供应商应继续承担超过部分的损失。</w:t>
            </w:r>
          </w:p>
          <w:p w14:paraId="2CDAAD2A">
            <w:pPr>
              <w:adjustRightInd w:val="0"/>
              <w:snapToGrid w:val="0"/>
              <w:spacing w:line="240" w:lineRule="auto"/>
              <w:contextualSpacing/>
              <w:rPr>
                <w:rFonts w:hint="eastAsia" w:ascii="宋体" w:hAnsi="宋体" w:eastAsia="宋体" w:cs="宋体"/>
                <w:bCs/>
                <w:snapToGrid w:val="0"/>
                <w:kern w:val="10"/>
                <w:szCs w:val="21"/>
              </w:rPr>
            </w:pPr>
            <w:r>
              <w:rPr>
                <w:rFonts w:hint="eastAsia" w:ascii="宋体" w:hAnsi="宋体" w:eastAsia="宋体" w:cs="宋体"/>
                <w:bCs/>
                <w:snapToGrid w:val="0"/>
                <w:kern w:val="10"/>
                <w:szCs w:val="21"/>
              </w:rPr>
              <w:t>3、存在下列行为的，</w:t>
            </w:r>
            <w:r>
              <w:rPr>
                <w:rFonts w:hint="eastAsia" w:ascii="宋体" w:hAnsi="宋体" w:eastAsia="宋体" w:cs="宋体"/>
                <w:bCs/>
                <w:snapToGrid w:val="0"/>
                <w:kern w:val="10"/>
                <w:szCs w:val="21"/>
                <w:lang w:eastAsia="zh-CN"/>
              </w:rPr>
              <w:t>采购代理机构</w:t>
            </w:r>
            <w:r>
              <w:rPr>
                <w:rFonts w:hint="eastAsia" w:ascii="宋体" w:hAnsi="宋体" w:eastAsia="宋体" w:cs="宋体"/>
                <w:bCs/>
                <w:snapToGrid w:val="0"/>
                <w:kern w:val="10"/>
                <w:szCs w:val="21"/>
              </w:rPr>
              <w:t>将其失信行为上报政府采购主管部门，由主管部门按有关规定对其违法失信行为记录进行公开：</w:t>
            </w:r>
          </w:p>
          <w:p w14:paraId="7A6B64A4">
            <w:pPr>
              <w:adjustRightInd w:val="0"/>
              <w:snapToGrid w:val="0"/>
              <w:spacing w:line="240" w:lineRule="auto"/>
              <w:contextualSpacing/>
              <w:rPr>
                <w:rFonts w:hint="eastAsia" w:ascii="宋体" w:hAnsi="宋体" w:eastAsia="宋体" w:cs="宋体"/>
                <w:bCs/>
                <w:snapToGrid w:val="0"/>
                <w:kern w:val="10"/>
                <w:szCs w:val="21"/>
              </w:rPr>
            </w:pPr>
            <w:r>
              <w:rPr>
                <w:rFonts w:hint="eastAsia" w:ascii="宋体" w:hAnsi="宋体" w:eastAsia="宋体" w:cs="宋体"/>
                <w:bCs/>
                <w:snapToGrid w:val="0"/>
                <w:kern w:val="10"/>
                <w:szCs w:val="21"/>
              </w:rPr>
              <w:t>（1）成交或者成交后，拒绝签订政府采购合同的。</w:t>
            </w:r>
          </w:p>
          <w:p w14:paraId="28622BE1">
            <w:pPr>
              <w:adjustRightInd w:val="0"/>
              <w:snapToGrid w:val="0"/>
              <w:spacing w:line="240" w:lineRule="auto"/>
              <w:contextualSpacing/>
              <w:rPr>
                <w:rFonts w:hint="eastAsia" w:ascii="宋体" w:hAnsi="宋体" w:eastAsia="宋体" w:cs="宋体"/>
                <w:b/>
                <w:bCs/>
                <w:kern w:val="10"/>
                <w:szCs w:val="21"/>
              </w:rPr>
            </w:pPr>
            <w:r>
              <w:rPr>
                <w:rFonts w:hint="eastAsia" w:ascii="宋体" w:hAnsi="宋体" w:eastAsia="宋体" w:cs="宋体"/>
                <w:bCs/>
                <w:snapToGrid w:val="0"/>
                <w:kern w:val="10"/>
                <w:szCs w:val="21"/>
              </w:rPr>
              <w:t>（2）投标有效期内撤销磋商响应文件的。</w:t>
            </w:r>
          </w:p>
        </w:tc>
      </w:tr>
      <w:tr w14:paraId="4BCBD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7135EEAF">
            <w:pPr>
              <w:adjustRightInd w:val="0"/>
              <w:snapToGrid w:val="0"/>
              <w:spacing w:line="240" w:lineRule="auto"/>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18</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14:paraId="5C269182">
            <w:pPr>
              <w:adjustRightInd w:val="0"/>
              <w:snapToGrid w:val="0"/>
              <w:spacing w:line="240" w:lineRule="auto"/>
              <w:contextualSpacing/>
              <w:rPr>
                <w:rFonts w:hint="eastAsia" w:ascii="宋体" w:hAnsi="宋体" w:eastAsia="宋体" w:cs="宋体"/>
                <w:szCs w:val="21"/>
              </w:rPr>
            </w:pPr>
            <w:r>
              <w:rPr>
                <w:rFonts w:hint="eastAsia" w:ascii="宋体" w:hAnsi="宋体" w:eastAsia="宋体" w:cs="宋体"/>
                <w:szCs w:val="21"/>
              </w:rPr>
              <w:t>1、本项目属于专门面向中小企业采购的预留份额项目。参加本次采购活动的供应商提供的货物全部由符合政策要求的中小企业制造。</w:t>
            </w:r>
          </w:p>
          <w:p w14:paraId="3D54F931">
            <w:pPr>
              <w:adjustRightInd w:val="0"/>
              <w:snapToGrid w:val="0"/>
              <w:spacing w:line="240" w:lineRule="auto"/>
              <w:contextualSpacing/>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bCs/>
                <w:snapToGrid w:val="0"/>
                <w:kern w:val="10"/>
                <w:szCs w:val="21"/>
                <w:u w:val="single"/>
              </w:rPr>
              <w:t>本次采购标的</w:t>
            </w:r>
            <w:r>
              <w:rPr>
                <w:rFonts w:hint="eastAsia" w:ascii="宋体" w:hAnsi="宋体" w:eastAsia="宋体" w:cs="宋体"/>
                <w:szCs w:val="21"/>
              </w:rPr>
              <w:t>为：</w:t>
            </w:r>
            <w:r>
              <w:rPr>
                <w:rFonts w:hint="eastAsia" w:ascii="宋体" w:hAnsi="宋体" w:eastAsia="宋体" w:cs="宋体"/>
                <w:b/>
                <w:bCs/>
                <w:szCs w:val="21"/>
                <w:u w:val="single"/>
              </w:rPr>
              <w:t>便携式舌脉象仪，</w:t>
            </w:r>
            <w:r>
              <w:rPr>
                <w:rFonts w:hint="eastAsia" w:ascii="宋体" w:hAnsi="宋体" w:eastAsia="宋体" w:cs="宋体"/>
                <w:szCs w:val="21"/>
              </w:rPr>
              <w:t>对</w:t>
            </w:r>
            <w:r>
              <w:rPr>
                <w:rFonts w:hint="eastAsia" w:ascii="宋体" w:hAnsi="宋体" w:eastAsia="宋体" w:cs="宋体"/>
                <w:b/>
                <w:bCs/>
                <w:snapToGrid w:val="0"/>
                <w:kern w:val="10"/>
                <w:szCs w:val="21"/>
                <w:u w:val="single"/>
              </w:rPr>
              <w:t>应的中小企业划分标准所属行业是：工业；</w:t>
            </w:r>
          </w:p>
          <w:p w14:paraId="4E326396">
            <w:pPr>
              <w:adjustRightInd w:val="0"/>
              <w:snapToGrid w:val="0"/>
              <w:spacing w:line="240" w:lineRule="auto"/>
              <w:contextualSpacing/>
              <w:jc w:val="left"/>
              <w:rPr>
                <w:rFonts w:hint="eastAsia" w:ascii="宋体" w:hAnsi="宋体" w:eastAsia="宋体" w:cs="宋体"/>
                <w:szCs w:val="21"/>
                <w:lang w:val="en-US" w:eastAsia="zh-CN"/>
              </w:rPr>
            </w:pPr>
            <w:r>
              <w:rPr>
                <w:rFonts w:hint="eastAsia" w:ascii="宋体" w:hAnsi="宋体" w:eastAsia="宋体" w:cs="宋体"/>
                <w:szCs w:val="21"/>
                <w:lang w:val="en-US" w:eastAsia="zh-CN"/>
              </w:rPr>
              <w:t>标准：</w:t>
            </w:r>
          </w:p>
          <w:p w14:paraId="2A0E3EDD">
            <w:pPr>
              <w:widowControl/>
              <w:autoSpaceDE w:val="0"/>
              <w:autoSpaceDN w:val="0"/>
              <w:snapToGrid w:val="0"/>
              <w:spacing w:line="240" w:lineRule="auto"/>
              <w:jc w:val="left"/>
              <w:textAlignment w:val="bottom"/>
              <w:rPr>
                <w:rFonts w:hint="default" w:ascii="宋体" w:hAnsi="宋体" w:eastAsia="宋体" w:cs="宋体"/>
                <w:szCs w:val="21"/>
                <w:lang w:val="en-US" w:eastAsia="zh-CN"/>
              </w:rPr>
            </w:pPr>
            <w:r>
              <w:rPr>
                <w:rFonts w:hint="eastAsia" w:ascii="宋体" w:hAnsi="宋体" w:eastAsia="宋体" w:cs="宋体"/>
                <w:b/>
                <w:bCs/>
                <w:szCs w:val="21"/>
                <w:lang w:val="en-US" w:eastAsia="zh-CN"/>
              </w:rPr>
              <w:t>工业：</w:t>
            </w:r>
            <w:r>
              <w:rPr>
                <w:rFonts w:hint="eastAsia" w:ascii="宋体" w:hAnsi="宋体" w:eastAsia="宋体" w:cs="宋体"/>
                <w:b/>
                <w:bCs/>
                <w:szCs w:val="21"/>
                <w:u w:val="singl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84C2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7B0F79B4">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19</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14:paraId="697DCCCE">
            <w:pPr>
              <w:adjustRightInd w:val="0"/>
              <w:snapToGrid w:val="0"/>
              <w:spacing w:line="240" w:lineRule="auto"/>
              <w:ind w:left="105" w:leftChars="50"/>
              <w:contextualSpacing/>
              <w:rPr>
                <w:rFonts w:hint="eastAsia" w:ascii="宋体" w:hAnsi="宋体" w:eastAsia="宋体" w:cs="宋体"/>
                <w:szCs w:val="21"/>
              </w:rPr>
            </w:pPr>
            <w:r>
              <w:rPr>
                <w:rFonts w:hint="eastAsia" w:ascii="宋体" w:hAnsi="宋体" w:eastAsia="宋体" w:cs="宋体"/>
                <w:szCs w:val="21"/>
              </w:rPr>
              <w:t>根据《关于在政府采购活动中查询及使用信用记录有关问题的通知》财库[2016]125号的规定：</w:t>
            </w:r>
          </w:p>
          <w:p w14:paraId="4AF8B2DB">
            <w:pPr>
              <w:adjustRightInd w:val="0"/>
              <w:snapToGrid w:val="0"/>
              <w:spacing w:line="240" w:lineRule="auto"/>
              <w:ind w:left="105" w:leftChars="50"/>
              <w:contextualSpacing/>
              <w:rPr>
                <w:rFonts w:hint="eastAsia" w:ascii="宋体" w:hAnsi="宋体" w:eastAsia="宋体" w:cs="宋体"/>
                <w:szCs w:val="21"/>
              </w:rPr>
            </w:pPr>
            <w:r>
              <w:rPr>
                <w:rFonts w:hint="eastAsia" w:ascii="宋体" w:hAnsi="宋体" w:eastAsia="宋体" w:cs="宋体"/>
                <w:kern w:val="0"/>
                <w:szCs w:val="21"/>
              </w:rPr>
              <w:t>（</w:t>
            </w:r>
            <w:r>
              <w:rPr>
                <w:rFonts w:hint="eastAsia" w:ascii="宋体" w:hAnsi="宋体" w:eastAsia="宋体" w:cs="宋体"/>
                <w:szCs w:val="21"/>
              </w:rPr>
              <w:t>1）采购人或采购代理机构将对本项目供应商的信用记录进行查询。查询渠道为信用中国网站（www.creditchina.gov.cn）、中国政府采购网（www.ccgp.gov.cn）。</w:t>
            </w:r>
          </w:p>
          <w:p w14:paraId="63A956FC">
            <w:pPr>
              <w:adjustRightInd w:val="0"/>
              <w:snapToGrid w:val="0"/>
              <w:spacing w:line="240" w:lineRule="auto"/>
              <w:ind w:left="105" w:leftChars="50"/>
              <w:contextualSpacing/>
              <w:rPr>
                <w:rFonts w:hint="eastAsia" w:ascii="宋体" w:hAnsi="宋体" w:eastAsia="宋体" w:cs="宋体"/>
                <w:szCs w:val="21"/>
              </w:rPr>
            </w:pPr>
            <w:r>
              <w:rPr>
                <w:rFonts w:hint="eastAsia" w:ascii="宋体" w:hAnsi="宋体" w:eastAsia="宋体" w:cs="宋体"/>
                <w:kern w:val="0"/>
                <w:szCs w:val="21"/>
              </w:rPr>
              <w:t>（</w:t>
            </w:r>
            <w:r>
              <w:rPr>
                <w:rFonts w:hint="eastAsia" w:ascii="宋体" w:hAnsi="宋体" w:eastAsia="宋体" w:cs="宋体"/>
                <w:szCs w:val="21"/>
              </w:rPr>
              <w:t>2）截止时点：提交磋商响应文件（响应文件）截止时间前3年内。</w:t>
            </w:r>
          </w:p>
          <w:p w14:paraId="20924712">
            <w:pPr>
              <w:adjustRightInd w:val="0"/>
              <w:snapToGrid w:val="0"/>
              <w:spacing w:line="240" w:lineRule="auto"/>
              <w:ind w:left="105" w:leftChars="50"/>
              <w:contextualSpacing/>
              <w:rPr>
                <w:rFonts w:hint="eastAsia" w:ascii="宋体" w:hAnsi="宋体" w:eastAsia="宋体" w:cs="宋体"/>
                <w:szCs w:val="21"/>
              </w:rPr>
            </w:pPr>
            <w:r>
              <w:rPr>
                <w:rFonts w:hint="eastAsia" w:ascii="宋体" w:hAnsi="宋体" w:eastAsia="宋体" w:cs="宋体"/>
                <w:kern w:val="0"/>
                <w:szCs w:val="21"/>
              </w:rPr>
              <w:t>（</w:t>
            </w:r>
            <w:r>
              <w:rPr>
                <w:rFonts w:hint="eastAsia" w:ascii="宋体" w:hAnsi="宋体" w:eastAsia="宋体" w:cs="宋体"/>
                <w:szCs w:val="21"/>
              </w:rPr>
              <w:t>3）查询记录和证据的留存：信用信息查询记录和证据以网页截图等方式留存。</w:t>
            </w:r>
          </w:p>
          <w:p w14:paraId="772F6D4A">
            <w:pPr>
              <w:adjustRightInd w:val="0"/>
              <w:snapToGrid w:val="0"/>
              <w:spacing w:line="240" w:lineRule="auto"/>
              <w:ind w:left="105" w:leftChars="50"/>
              <w:contextualSpacing/>
              <w:rPr>
                <w:rFonts w:hint="eastAsia" w:ascii="宋体" w:hAnsi="宋体" w:eastAsia="宋体" w:cs="宋体"/>
                <w:szCs w:val="21"/>
              </w:rPr>
            </w:pPr>
            <w:r>
              <w:rPr>
                <w:rFonts w:hint="eastAsia" w:ascii="宋体" w:hAnsi="宋体" w:eastAsia="宋体" w:cs="宋体"/>
                <w:kern w:val="0"/>
                <w:szCs w:val="21"/>
              </w:rPr>
              <w:t>（</w:t>
            </w:r>
            <w:r>
              <w:rPr>
                <w:rFonts w:hint="eastAsia" w:ascii="宋体" w:hAnsi="宋体" w:eastAsia="宋体" w:cs="宋体"/>
                <w:szCs w:val="21"/>
              </w:rPr>
              <w:t>4）使用规则：被列入失信被执行人、重大税收违法失信主体、政府采购严重违法失信行为记录名单及其它不符合《中华人民共和国政府采购法》第二十二条规定条件的，其投标将被拒绝。</w:t>
            </w:r>
          </w:p>
          <w:p w14:paraId="41A9E812">
            <w:pPr>
              <w:adjustRightInd w:val="0"/>
              <w:snapToGrid w:val="0"/>
              <w:spacing w:line="240" w:lineRule="auto"/>
              <w:ind w:left="105" w:leftChars="50"/>
              <w:contextualSpacing/>
              <w:rPr>
                <w:rFonts w:hint="eastAsia" w:ascii="宋体" w:hAnsi="宋体" w:eastAsia="宋体" w:cs="宋体"/>
                <w:szCs w:val="21"/>
                <w:lang w:eastAsia="zh-CN"/>
              </w:rPr>
            </w:pPr>
            <w:r>
              <w:rPr>
                <w:rFonts w:hint="eastAsia" w:ascii="宋体" w:hAnsi="宋体" w:eastAsia="宋体" w:cs="宋体"/>
                <w:kern w:val="0"/>
                <w:szCs w:val="21"/>
              </w:rPr>
              <w:t>（</w:t>
            </w:r>
            <w:r>
              <w:rPr>
                <w:rFonts w:hint="eastAsia" w:ascii="宋体" w:hAnsi="宋体" w:eastAsia="宋体" w:cs="宋体"/>
                <w:szCs w:val="21"/>
              </w:rPr>
              <w:t xml:space="preserve">5）联合体成员任意一方存在不良信用记录的，视同联合体存在不良信用记录 </w:t>
            </w:r>
          </w:p>
        </w:tc>
      </w:tr>
      <w:tr w14:paraId="491BC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75ADB56E">
            <w:pPr>
              <w:adjustRightInd w:val="0"/>
              <w:snapToGrid w:val="0"/>
              <w:spacing w:line="240" w:lineRule="auto"/>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20</w:t>
            </w:r>
          </w:p>
        </w:tc>
        <w:tc>
          <w:tcPr>
            <w:tcW w:w="2013" w:type="dxa"/>
            <w:gridSpan w:val="2"/>
            <w:tcBorders>
              <w:top w:val="single" w:color="000000" w:sz="2" w:space="0"/>
              <w:left w:val="single" w:color="000000" w:sz="2" w:space="0"/>
              <w:bottom w:val="single" w:color="000000" w:sz="2" w:space="0"/>
              <w:right w:val="single" w:color="auto" w:sz="4" w:space="0"/>
            </w:tcBorders>
            <w:vAlign w:val="center"/>
          </w:tcPr>
          <w:p w14:paraId="51F8F9A2">
            <w:pPr>
              <w:adjustRightInd w:val="0"/>
              <w:snapToGrid w:val="0"/>
              <w:spacing w:line="240" w:lineRule="auto"/>
              <w:ind w:left="105" w:leftChars="50" w:firstLine="420" w:firstLineChars="200"/>
              <w:contextualSpacing/>
              <w:rPr>
                <w:rFonts w:hint="eastAsia" w:ascii="宋体" w:hAnsi="宋体" w:eastAsia="宋体" w:cs="宋体"/>
                <w:szCs w:val="21"/>
              </w:rPr>
            </w:pPr>
            <w:r>
              <w:rPr>
                <w:rFonts w:hint="eastAsia" w:ascii="宋体" w:hAnsi="宋体" w:eastAsia="宋体" w:cs="宋体"/>
                <w:szCs w:val="21"/>
              </w:rPr>
              <w:t>磋商报价</w:t>
            </w:r>
          </w:p>
        </w:tc>
        <w:tc>
          <w:tcPr>
            <w:tcW w:w="7345" w:type="dxa"/>
            <w:gridSpan w:val="2"/>
            <w:tcBorders>
              <w:top w:val="single" w:color="000000" w:sz="2" w:space="0"/>
              <w:left w:val="single" w:color="auto" w:sz="4" w:space="0"/>
              <w:bottom w:val="single" w:color="000000" w:sz="2" w:space="0"/>
              <w:right w:val="single" w:color="000000" w:sz="8" w:space="0"/>
            </w:tcBorders>
            <w:vAlign w:val="center"/>
          </w:tcPr>
          <w:p w14:paraId="18A69654">
            <w:pPr>
              <w:spacing w:line="240" w:lineRule="auto"/>
              <w:rPr>
                <w:rFonts w:hint="eastAsia" w:ascii="宋体" w:hAnsi="宋体" w:eastAsia="宋体" w:cs="宋体"/>
                <w:b/>
                <w:szCs w:val="21"/>
              </w:rPr>
            </w:pPr>
            <w:r>
              <w:rPr>
                <w:rFonts w:hint="eastAsia" w:ascii="宋体" w:hAnsi="宋体" w:eastAsia="宋体" w:cs="宋体"/>
                <w:b/>
                <w:szCs w:val="21"/>
              </w:rPr>
              <w:t>1.磋商响应报价是指一次性报出不得更改的价格。</w:t>
            </w:r>
          </w:p>
          <w:p w14:paraId="725CB7B7">
            <w:pPr>
              <w:spacing w:line="240" w:lineRule="auto"/>
              <w:rPr>
                <w:rFonts w:hint="eastAsia" w:ascii="宋体" w:hAnsi="宋体" w:eastAsia="宋体" w:cs="宋体"/>
                <w:szCs w:val="21"/>
              </w:rPr>
            </w:pPr>
            <w:r>
              <w:rPr>
                <w:rFonts w:hint="eastAsia" w:ascii="宋体" w:hAnsi="宋体" w:eastAsia="宋体" w:cs="宋体"/>
                <w:szCs w:val="21"/>
              </w:rPr>
              <w:t>2.磋商响应报价应按磋商文件中相关附表格式填写，即磋商响应报价为货物到采购人指定地点所产生的全部费用。</w:t>
            </w:r>
          </w:p>
        </w:tc>
      </w:tr>
      <w:tr w14:paraId="4C5E2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6029BB64">
            <w:pPr>
              <w:adjustRightInd w:val="0"/>
              <w:snapToGrid w:val="0"/>
              <w:spacing w:line="24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21</w:t>
            </w:r>
          </w:p>
        </w:tc>
        <w:tc>
          <w:tcPr>
            <w:tcW w:w="2013" w:type="dxa"/>
            <w:gridSpan w:val="2"/>
            <w:tcBorders>
              <w:top w:val="single" w:color="000000" w:sz="2" w:space="0"/>
              <w:left w:val="single" w:color="000000" w:sz="2" w:space="0"/>
              <w:bottom w:val="single" w:color="000000" w:sz="2" w:space="0"/>
              <w:right w:val="single" w:color="auto" w:sz="4" w:space="0"/>
            </w:tcBorders>
            <w:vAlign w:val="center"/>
          </w:tcPr>
          <w:p w14:paraId="7D531EE9">
            <w:pPr>
              <w:adjustRightInd w:val="0"/>
              <w:snapToGrid w:val="0"/>
              <w:spacing w:line="240" w:lineRule="auto"/>
              <w:ind w:left="105" w:leftChars="50" w:firstLine="420" w:firstLineChars="200"/>
              <w:contextualSpacing/>
              <w:rPr>
                <w:rFonts w:hint="eastAsia" w:ascii="宋体" w:hAnsi="宋体" w:eastAsia="宋体" w:cs="宋体"/>
                <w:kern w:val="0"/>
                <w:szCs w:val="21"/>
              </w:rPr>
            </w:pPr>
            <w:r>
              <w:rPr>
                <w:rFonts w:hint="eastAsia" w:ascii="宋体" w:hAnsi="宋体" w:eastAsia="宋体" w:cs="宋体"/>
                <w:szCs w:val="21"/>
              </w:rPr>
              <w:t>重要提醒</w:t>
            </w:r>
          </w:p>
        </w:tc>
        <w:tc>
          <w:tcPr>
            <w:tcW w:w="7345" w:type="dxa"/>
            <w:gridSpan w:val="2"/>
            <w:tcBorders>
              <w:top w:val="single" w:color="000000" w:sz="2" w:space="0"/>
              <w:left w:val="single" w:color="auto" w:sz="4" w:space="0"/>
              <w:bottom w:val="single" w:color="000000" w:sz="2" w:space="0"/>
              <w:right w:val="single" w:color="000000" w:sz="8" w:space="0"/>
            </w:tcBorders>
            <w:vAlign w:val="center"/>
          </w:tcPr>
          <w:p w14:paraId="7FAFA061">
            <w:pPr>
              <w:adjustRightInd w:val="0"/>
              <w:snapToGrid w:val="0"/>
              <w:spacing w:line="240" w:lineRule="auto"/>
              <w:ind w:left="105" w:leftChars="50"/>
              <w:contextualSpacing/>
              <w:rPr>
                <w:rFonts w:hint="eastAsia"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bCs/>
                <w:szCs w:val="21"/>
                <w:lang w:eastAsia="zh-CN"/>
              </w:rPr>
              <w:t>磋商供应商</w:t>
            </w:r>
            <w:r>
              <w:rPr>
                <w:rFonts w:hint="eastAsia" w:ascii="宋体" w:hAnsi="宋体" w:eastAsia="宋体" w:cs="宋体"/>
                <w:b/>
                <w:bCs/>
                <w:szCs w:val="21"/>
              </w:rPr>
              <w:t>应仔细对照投标须知条款阅读本表，如本表与须知内容就同一事项规定不一致的，以本表为准。</w:t>
            </w:r>
          </w:p>
          <w:p w14:paraId="3BE7AFD9">
            <w:pPr>
              <w:adjustRightInd w:val="0"/>
              <w:snapToGrid w:val="0"/>
              <w:spacing w:line="240" w:lineRule="auto"/>
              <w:ind w:left="105" w:leftChars="50"/>
              <w:contextualSpacing/>
              <w:rPr>
                <w:rFonts w:hint="eastAsia" w:ascii="宋体" w:hAnsi="宋体" w:eastAsia="宋体" w:cs="宋体"/>
                <w:b/>
                <w:bCs/>
                <w:szCs w:val="21"/>
              </w:rPr>
            </w:pPr>
            <w:r>
              <w:rPr>
                <w:rFonts w:hint="eastAsia" w:ascii="宋体" w:hAnsi="宋体" w:eastAsia="宋体" w:cs="宋体"/>
                <w:b/>
                <w:bCs/>
                <w:szCs w:val="21"/>
              </w:rPr>
              <w:t>（2）</w:t>
            </w:r>
            <w:r>
              <w:rPr>
                <w:rFonts w:hint="eastAsia" w:ascii="宋体" w:hAnsi="宋体" w:eastAsia="宋体" w:cs="宋体"/>
                <w:b/>
                <w:bCs/>
                <w:szCs w:val="21"/>
                <w:lang w:eastAsia="zh-CN"/>
              </w:rPr>
              <w:t>磋商供应商</w:t>
            </w:r>
            <w:r>
              <w:rPr>
                <w:rFonts w:hint="eastAsia" w:ascii="宋体" w:hAnsi="宋体" w:eastAsia="宋体" w:cs="宋体"/>
                <w:b/>
                <w:bCs/>
                <w:szCs w:val="21"/>
              </w:rPr>
              <w:t>在编制磋商响应文件时应作出符合客观事实的真实响应，采购人不接受任何不符客观事实的“响应”或者“应标”，情节严重的可视为“提供虚假材料”行为，并参照“提供虚假材料”进行处理。</w:t>
            </w:r>
          </w:p>
          <w:p w14:paraId="46A68A46">
            <w:pPr>
              <w:adjustRightInd w:val="0"/>
              <w:snapToGrid w:val="0"/>
              <w:spacing w:line="240" w:lineRule="auto"/>
              <w:ind w:left="105" w:leftChars="50"/>
              <w:contextualSpacing/>
              <w:rPr>
                <w:rFonts w:hint="eastAsia" w:ascii="宋体" w:hAnsi="宋体" w:eastAsia="宋体" w:cs="宋体"/>
                <w:b/>
                <w:bCs/>
                <w:szCs w:val="21"/>
              </w:rPr>
            </w:pPr>
            <w:r>
              <w:rPr>
                <w:rFonts w:hint="eastAsia" w:ascii="宋体" w:hAnsi="宋体" w:eastAsia="宋体" w:cs="宋体"/>
                <w:b/>
                <w:bCs/>
                <w:szCs w:val="21"/>
              </w:rPr>
              <w:t>（3）采购文件成交注“▲”的技术或商务条款均为实质性要求条款，不满足实质性要求条款的投标无效。</w:t>
            </w:r>
          </w:p>
          <w:p w14:paraId="1921620E">
            <w:pPr>
              <w:adjustRightInd w:val="0"/>
              <w:snapToGrid w:val="0"/>
              <w:spacing w:line="240" w:lineRule="auto"/>
              <w:ind w:left="105" w:leftChars="50"/>
              <w:contextualSpacing/>
              <w:rPr>
                <w:rFonts w:hint="eastAsia" w:ascii="宋体" w:hAnsi="宋体" w:eastAsia="宋体" w:cs="宋体"/>
                <w:kern w:val="0"/>
                <w:szCs w:val="21"/>
              </w:rPr>
            </w:pPr>
            <w:r>
              <w:rPr>
                <w:rFonts w:hint="eastAsia" w:ascii="宋体" w:hAnsi="宋体" w:eastAsia="宋体" w:cs="宋体"/>
                <w:b/>
                <w:bCs/>
                <w:szCs w:val="21"/>
              </w:rPr>
              <w:t>（4）采购文件中所有加粗及加下划线的条款着重提请各供应商注意，请各供应商认真查看采购文件中的每一个条款及要求，因误读、漏读、错读采购文件内容而造成的一切后果，由供应商自行承担。</w:t>
            </w:r>
          </w:p>
        </w:tc>
      </w:tr>
      <w:tr w14:paraId="3514D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14:paraId="68075359">
            <w:pPr>
              <w:adjustRightInd w:val="0"/>
              <w:snapToGrid w:val="0"/>
              <w:spacing w:line="240" w:lineRule="auto"/>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22</w:t>
            </w:r>
          </w:p>
        </w:tc>
        <w:tc>
          <w:tcPr>
            <w:tcW w:w="2013" w:type="dxa"/>
            <w:gridSpan w:val="2"/>
            <w:tcBorders>
              <w:top w:val="single" w:color="000000" w:sz="2" w:space="0"/>
              <w:left w:val="single" w:color="000000" w:sz="2" w:space="0"/>
              <w:bottom w:val="single" w:color="000000" w:sz="2" w:space="0"/>
              <w:right w:val="single" w:color="auto" w:sz="4" w:space="0"/>
            </w:tcBorders>
            <w:vAlign w:val="center"/>
          </w:tcPr>
          <w:p w14:paraId="17EC6ED4">
            <w:pPr>
              <w:snapToGrid w:val="0"/>
              <w:spacing w:line="240" w:lineRule="auto"/>
              <w:jc w:val="center"/>
              <w:rPr>
                <w:rFonts w:hint="eastAsia" w:ascii="宋体" w:hAnsi="宋体" w:eastAsia="宋体" w:cs="宋体"/>
                <w:szCs w:val="21"/>
              </w:rPr>
            </w:pPr>
            <w:r>
              <w:rPr>
                <w:rFonts w:hint="eastAsia" w:ascii="宋体" w:hAnsi="宋体" w:eastAsia="宋体" w:cs="宋体"/>
                <w:szCs w:val="21"/>
              </w:rPr>
              <w:t>其他</w:t>
            </w:r>
          </w:p>
        </w:tc>
        <w:tc>
          <w:tcPr>
            <w:tcW w:w="7345" w:type="dxa"/>
            <w:gridSpan w:val="2"/>
            <w:tcBorders>
              <w:top w:val="single" w:color="000000" w:sz="2" w:space="0"/>
              <w:left w:val="single" w:color="auto" w:sz="4" w:space="0"/>
              <w:bottom w:val="single" w:color="000000" w:sz="2" w:space="0"/>
              <w:right w:val="single" w:color="000000" w:sz="8" w:space="0"/>
            </w:tcBorders>
            <w:vAlign w:val="center"/>
          </w:tcPr>
          <w:p w14:paraId="7A08A08B">
            <w:pPr>
              <w:autoSpaceDE w:val="0"/>
              <w:autoSpaceDN w:val="0"/>
              <w:snapToGrid w:val="0"/>
              <w:spacing w:line="240" w:lineRule="auto"/>
              <w:textAlignment w:val="bottom"/>
              <w:rPr>
                <w:rFonts w:hint="eastAsia" w:ascii="宋体" w:hAnsi="宋体" w:eastAsia="宋体" w:cs="宋体"/>
                <w:b/>
                <w:bCs/>
                <w:szCs w:val="21"/>
              </w:rPr>
            </w:pPr>
            <w:r>
              <w:rPr>
                <w:rFonts w:hint="eastAsia" w:ascii="宋体" w:hAnsi="宋体" w:eastAsia="宋体" w:cs="宋体"/>
                <w:szCs w:val="21"/>
                <w:highlight w:val="none"/>
              </w:rPr>
              <w:t>本项目允许分包：</w:t>
            </w:r>
            <w:r>
              <w:rPr>
                <w:rFonts w:hint="eastAsia" w:ascii="宋体" w:hAnsi="宋体" w:eastAsia="宋体" w:cs="宋体"/>
                <w:b/>
                <w:bCs/>
                <w:szCs w:val="21"/>
                <w:highlight w:val="none"/>
              </w:rPr>
              <w:t xml:space="preserve">同意将非主体、非关键性的 </w:t>
            </w:r>
            <w:r>
              <w:rPr>
                <w:rFonts w:hint="eastAsia" w:ascii="宋体" w:hAnsi="宋体" w:eastAsia="宋体" w:cs="宋体"/>
                <w:b/>
                <w:bCs/>
                <w:szCs w:val="21"/>
                <w:highlight w:val="none"/>
                <w:u w:val="single"/>
              </w:rPr>
              <w:t xml:space="preserve">运输 </w:t>
            </w:r>
            <w:r>
              <w:rPr>
                <w:rFonts w:hint="eastAsia" w:ascii="宋体" w:hAnsi="宋体" w:eastAsia="宋体" w:cs="宋体"/>
                <w:b/>
                <w:bCs/>
                <w:szCs w:val="21"/>
                <w:highlight w:val="none"/>
              </w:rPr>
              <w:t>工作分包。</w:t>
            </w:r>
          </w:p>
        </w:tc>
      </w:tr>
    </w:tbl>
    <w:p w14:paraId="096445A9">
      <w:pPr>
        <w:shd w:val="clear" w:color="auto" w:fill="FFFFFF"/>
        <w:spacing w:line="360" w:lineRule="auto"/>
        <w:jc w:val="center"/>
        <w:outlineLvl w:val="1"/>
        <w:rPr>
          <w:rFonts w:hint="eastAsia" w:ascii="宋体" w:hAnsi="宋体" w:eastAsia="宋体" w:cs="宋体"/>
          <w:b/>
          <w:bCs/>
          <w:sz w:val="24"/>
        </w:rPr>
      </w:pPr>
      <w:r>
        <w:rPr>
          <w:rFonts w:hint="eastAsia" w:ascii="宋体" w:hAnsi="宋体" w:eastAsia="宋体" w:cs="宋体"/>
          <w:kern w:val="0"/>
          <w:sz w:val="24"/>
        </w:rPr>
        <w:br w:type="page"/>
      </w:r>
      <w:bookmarkEnd w:id="14"/>
      <w:bookmarkStart w:id="17" w:name="_Toc361217423"/>
      <w:bookmarkStart w:id="18" w:name="_Toc442428808"/>
      <w:bookmarkStart w:id="19" w:name="_Toc354996696"/>
      <w:bookmarkStart w:id="20" w:name="_Toc30204"/>
      <w:bookmarkStart w:id="21" w:name="_Toc233618972"/>
      <w:bookmarkStart w:id="22" w:name="_Toc226106467"/>
      <w:bookmarkStart w:id="23" w:name="_Toc225840109"/>
      <w:bookmarkStart w:id="24" w:name="_Toc226521904"/>
      <w:bookmarkStart w:id="25" w:name="_Toc226106516"/>
      <w:r>
        <w:rPr>
          <w:rFonts w:hint="eastAsia" w:ascii="宋体" w:hAnsi="宋体" w:eastAsia="宋体" w:cs="宋体"/>
          <w:b/>
          <w:bCs/>
          <w:sz w:val="24"/>
        </w:rPr>
        <w:t>一、总 则</w:t>
      </w:r>
      <w:bookmarkEnd w:id="17"/>
      <w:bookmarkEnd w:id="18"/>
      <w:bookmarkEnd w:id="19"/>
      <w:bookmarkEnd w:id="20"/>
      <w:bookmarkEnd w:id="21"/>
    </w:p>
    <w:p w14:paraId="1EF5240A">
      <w:pPr>
        <w:shd w:val="clear" w:color="auto" w:fill="FFFFFF"/>
        <w:adjustRightInd w:val="0"/>
        <w:snapToGrid w:val="0"/>
        <w:spacing w:line="360" w:lineRule="auto"/>
        <w:rPr>
          <w:rFonts w:hint="eastAsia" w:ascii="宋体" w:hAnsi="宋体" w:eastAsia="宋体" w:cs="宋体"/>
          <w:b/>
          <w:bCs/>
          <w:szCs w:val="21"/>
        </w:rPr>
      </w:pPr>
      <w:bookmarkStart w:id="26" w:name="_Hlt74730295"/>
      <w:bookmarkEnd w:id="26"/>
      <w:bookmarkStart w:id="27" w:name="_Hlt74714665"/>
      <w:bookmarkEnd w:id="27"/>
      <w:bookmarkStart w:id="28" w:name="_Toc91899872"/>
      <w:bookmarkStart w:id="29" w:name="_Hlt74730208"/>
      <w:bookmarkStart w:id="30" w:name="_Hlt74730112"/>
      <w:r>
        <w:rPr>
          <w:rFonts w:hint="eastAsia" w:ascii="宋体" w:hAnsi="宋体" w:eastAsia="宋体" w:cs="宋体"/>
          <w:b/>
          <w:bCs/>
          <w:szCs w:val="21"/>
        </w:rPr>
        <w:t>1</w:t>
      </w:r>
      <w:r>
        <w:rPr>
          <w:rFonts w:hint="eastAsia" w:ascii="宋体" w:hAnsi="宋体" w:eastAsia="宋体" w:cs="宋体"/>
          <w:b/>
          <w:bCs/>
          <w:kern w:val="0"/>
          <w:szCs w:val="21"/>
          <w:lang w:val="zh-CN"/>
        </w:rPr>
        <w:t>、</w:t>
      </w:r>
      <w:r>
        <w:rPr>
          <w:rFonts w:hint="eastAsia" w:ascii="宋体" w:hAnsi="宋体" w:eastAsia="宋体" w:cs="宋体"/>
          <w:b/>
          <w:bCs/>
          <w:szCs w:val="21"/>
        </w:rPr>
        <w:t>项目说明</w:t>
      </w:r>
      <w:bookmarkEnd w:id="28"/>
    </w:p>
    <w:p w14:paraId="42BF2D3E">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 项目说明见投标须知前附表(以下称“前附表”)所述。</w:t>
      </w:r>
    </w:p>
    <w:p w14:paraId="53065344">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1.2 采购单位浙江中医药大学为本项目的采购人(合同中的甲方)，浙江豪圣建设项目管理有限公司为采购代理机构，浙江省财政厅为监督管理部门。自愿参加本次项目采购的公司为供应商，经磋商产生并经批准供应商成交人(合同中的乙方)。</w:t>
      </w:r>
    </w:p>
    <w:p w14:paraId="4773DA0E">
      <w:pPr>
        <w:shd w:val="clear" w:color="auto" w:fill="FFFFFF"/>
        <w:adjustRightInd w:val="0"/>
        <w:snapToGrid w:val="0"/>
        <w:spacing w:line="360" w:lineRule="auto"/>
        <w:rPr>
          <w:rFonts w:hint="eastAsia" w:ascii="宋体" w:hAnsi="宋体" w:eastAsia="宋体" w:cs="宋体"/>
          <w:b/>
          <w:bCs/>
          <w:szCs w:val="21"/>
        </w:rPr>
      </w:pPr>
      <w:bookmarkStart w:id="31" w:name="_Toc91899873"/>
      <w:r>
        <w:rPr>
          <w:rFonts w:hint="eastAsia" w:ascii="宋体" w:hAnsi="宋体" w:eastAsia="宋体" w:cs="宋体"/>
          <w:b/>
          <w:bCs/>
          <w:szCs w:val="21"/>
        </w:rPr>
        <w:t>2</w:t>
      </w:r>
      <w:r>
        <w:rPr>
          <w:rFonts w:hint="eastAsia" w:ascii="宋体" w:hAnsi="宋体" w:eastAsia="宋体" w:cs="宋体"/>
          <w:b/>
          <w:bCs/>
          <w:kern w:val="0"/>
          <w:szCs w:val="21"/>
          <w:lang w:val="zh-CN"/>
        </w:rPr>
        <w:t>、</w:t>
      </w:r>
      <w:r>
        <w:rPr>
          <w:rFonts w:hint="eastAsia" w:ascii="宋体" w:hAnsi="宋体" w:eastAsia="宋体" w:cs="宋体"/>
          <w:b/>
          <w:bCs/>
          <w:szCs w:val="21"/>
        </w:rPr>
        <w:t>采购方式</w:t>
      </w:r>
      <w:bookmarkEnd w:id="31"/>
    </w:p>
    <w:p w14:paraId="6787444E">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竞争性磋商。</w:t>
      </w:r>
      <w:bookmarkEnd w:id="29"/>
      <w:bookmarkEnd w:id="30"/>
      <w:bookmarkStart w:id="32" w:name="_Hlt74388212"/>
      <w:bookmarkEnd w:id="32"/>
      <w:bookmarkStart w:id="33" w:name="_Hlt68516771"/>
      <w:bookmarkEnd w:id="33"/>
    </w:p>
    <w:p w14:paraId="1B147630">
      <w:pPr>
        <w:shd w:val="clear" w:color="auto" w:fill="FFFFFF"/>
        <w:adjustRightInd w:val="0"/>
        <w:snapToGrid w:val="0"/>
        <w:spacing w:line="360" w:lineRule="auto"/>
        <w:rPr>
          <w:rFonts w:hint="eastAsia" w:ascii="宋体" w:hAnsi="宋体" w:eastAsia="宋体" w:cs="宋体"/>
          <w:b/>
          <w:bCs/>
          <w:szCs w:val="21"/>
        </w:rPr>
      </w:pPr>
      <w:bookmarkStart w:id="34" w:name="_Hlt74730301"/>
      <w:bookmarkStart w:id="35" w:name="_Toc91899876"/>
      <w:r>
        <w:rPr>
          <w:rFonts w:hint="eastAsia" w:ascii="宋体" w:hAnsi="宋体" w:eastAsia="宋体" w:cs="宋体"/>
          <w:b/>
          <w:bCs/>
          <w:szCs w:val="21"/>
        </w:rPr>
        <w:t>3</w:t>
      </w:r>
      <w:bookmarkEnd w:id="34"/>
      <w:bookmarkEnd w:id="35"/>
      <w:bookmarkStart w:id="36" w:name="_Hlt74730303"/>
      <w:bookmarkStart w:id="37" w:name="_Toc91899877"/>
      <w:r>
        <w:rPr>
          <w:rFonts w:hint="eastAsia" w:ascii="宋体" w:hAnsi="宋体" w:eastAsia="宋体" w:cs="宋体"/>
          <w:b/>
          <w:bCs/>
          <w:kern w:val="0"/>
          <w:szCs w:val="21"/>
          <w:lang w:val="zh-CN"/>
        </w:rPr>
        <w:t>、定义</w:t>
      </w:r>
    </w:p>
    <w:p w14:paraId="73E81409">
      <w:pPr>
        <w:shd w:val="clear" w:color="auto" w:fill="FFFFFF"/>
        <w:adjustRightInd w:val="0"/>
        <w:snapToGrid w:val="0"/>
        <w:spacing w:line="360" w:lineRule="auto"/>
        <w:ind w:firstLine="422" w:firstLineChars="200"/>
        <w:rPr>
          <w:rFonts w:hint="eastAsia" w:ascii="宋体" w:hAnsi="宋体" w:eastAsia="宋体" w:cs="宋体"/>
          <w:kern w:val="0"/>
          <w:szCs w:val="21"/>
        </w:rPr>
      </w:pPr>
      <w:r>
        <w:rPr>
          <w:rFonts w:hint="eastAsia" w:ascii="宋体" w:hAnsi="宋体" w:eastAsia="宋体" w:cs="宋体"/>
          <w:b/>
          <w:bCs/>
          <w:kern w:val="0"/>
          <w:szCs w:val="21"/>
          <w:lang w:val="zh-CN"/>
        </w:rPr>
        <w:t>3.1  合格的供应商应具备的资格要求，</w:t>
      </w:r>
      <w:r>
        <w:rPr>
          <w:rFonts w:hint="eastAsia" w:ascii="宋体" w:hAnsi="宋体" w:eastAsia="宋体" w:cs="宋体"/>
          <w:kern w:val="0"/>
          <w:szCs w:val="21"/>
          <w:lang w:val="zh-CN"/>
        </w:rPr>
        <w:t>见磋商文件第一部分“竞争性磋商公告”。</w:t>
      </w:r>
    </w:p>
    <w:p w14:paraId="1EA73B09">
      <w:pPr>
        <w:adjustRightInd w:val="0"/>
        <w:snapToGrid w:val="0"/>
        <w:spacing w:line="360" w:lineRule="auto"/>
        <w:ind w:firstLine="422" w:firstLineChars="200"/>
        <w:contextualSpacing/>
        <w:rPr>
          <w:rFonts w:hint="eastAsia" w:ascii="宋体" w:hAnsi="宋体" w:eastAsia="宋体" w:cs="宋体"/>
          <w:szCs w:val="21"/>
          <w:lang w:val="zh-CN"/>
        </w:rPr>
      </w:pPr>
      <w:r>
        <w:rPr>
          <w:rFonts w:hint="eastAsia" w:ascii="宋体" w:hAnsi="宋体" w:eastAsia="宋体" w:cs="宋体"/>
          <w:b/>
          <w:bCs/>
          <w:kern w:val="0"/>
          <w:szCs w:val="21"/>
          <w:lang w:val="zh-CN"/>
        </w:rPr>
        <w:t>3.</w:t>
      </w:r>
      <w:r>
        <w:rPr>
          <w:rFonts w:hint="eastAsia" w:ascii="宋体" w:hAnsi="宋体" w:eastAsia="宋体" w:cs="宋体"/>
          <w:b/>
          <w:bCs/>
          <w:kern w:val="0"/>
          <w:szCs w:val="21"/>
        </w:rPr>
        <w:t>2</w:t>
      </w:r>
      <w:r>
        <w:rPr>
          <w:rFonts w:hint="eastAsia" w:ascii="宋体" w:hAnsi="宋体" w:eastAsia="宋体" w:cs="宋体"/>
          <w:b/>
          <w:bCs/>
          <w:kern w:val="0"/>
          <w:szCs w:val="21"/>
          <w:lang w:val="zh-CN"/>
        </w:rPr>
        <w:t xml:space="preserve">  </w:t>
      </w:r>
      <w:r>
        <w:rPr>
          <w:rFonts w:hint="eastAsia" w:ascii="宋体" w:hAnsi="宋体" w:eastAsia="宋体" w:cs="宋体"/>
          <w:szCs w:val="21"/>
        </w:rPr>
        <w:t>“产品”系指供方按磋商文件规定，须向采购人提供的一切设备、保险、税金、备品备件、工具、手册及其它有关技术资料和材料。</w:t>
      </w:r>
    </w:p>
    <w:p w14:paraId="4E0D2DCE">
      <w:pPr>
        <w:shd w:val="clear" w:color="auto" w:fill="FFFFFF"/>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4</w:t>
      </w:r>
      <w:r>
        <w:rPr>
          <w:rFonts w:hint="eastAsia" w:ascii="宋体" w:hAnsi="宋体" w:eastAsia="宋体" w:cs="宋体"/>
          <w:b/>
          <w:bCs/>
          <w:szCs w:val="21"/>
          <w:lang w:val="zh-CN"/>
        </w:rPr>
        <w:t>、</w:t>
      </w:r>
      <w:r>
        <w:rPr>
          <w:rFonts w:hint="eastAsia" w:ascii="宋体" w:hAnsi="宋体" w:eastAsia="宋体" w:cs="宋体"/>
          <w:b/>
          <w:bCs/>
          <w:szCs w:val="21"/>
        </w:rPr>
        <w:t>投标费用</w:t>
      </w:r>
    </w:p>
    <w:p w14:paraId="38FB9FFD">
      <w:pPr>
        <w:adjustRightInd w:val="0"/>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rPr>
        <w:t>供应商需自行承担涉及投标的一切税、费用</w:t>
      </w:r>
      <w:r>
        <w:rPr>
          <w:rFonts w:hint="eastAsia" w:ascii="宋体" w:hAnsi="宋体" w:eastAsia="宋体" w:cs="宋体"/>
          <w:kern w:val="0"/>
          <w:szCs w:val="21"/>
          <w:lang w:val="zh-CN"/>
        </w:rPr>
        <w:t>。</w:t>
      </w:r>
    </w:p>
    <w:p w14:paraId="2F8AFCEC">
      <w:pPr>
        <w:pStyle w:val="44"/>
        <w:rPr>
          <w:rFonts w:hint="eastAsia" w:ascii="宋体" w:hAnsi="宋体" w:eastAsia="宋体" w:cs="宋体"/>
        </w:rPr>
      </w:pPr>
    </w:p>
    <w:bookmarkEnd w:id="36"/>
    <w:bookmarkEnd w:id="37"/>
    <w:p w14:paraId="50C7F582">
      <w:pPr>
        <w:shd w:val="clear" w:color="auto" w:fill="FFFFFF"/>
        <w:tabs>
          <w:tab w:val="left" w:pos="365"/>
        </w:tabs>
        <w:adjustRightInd w:val="0"/>
        <w:snapToGrid w:val="0"/>
        <w:spacing w:line="360" w:lineRule="auto"/>
        <w:jc w:val="center"/>
        <w:outlineLvl w:val="1"/>
        <w:rPr>
          <w:rFonts w:hint="eastAsia" w:ascii="宋体" w:hAnsi="宋体" w:eastAsia="宋体" w:cs="宋体"/>
          <w:b/>
          <w:bCs/>
          <w:sz w:val="24"/>
        </w:rPr>
      </w:pPr>
      <w:bookmarkStart w:id="38" w:name="_Hlt68057669"/>
      <w:bookmarkEnd w:id="38"/>
      <w:bookmarkStart w:id="39" w:name="_Hlt74707468"/>
      <w:bookmarkEnd w:id="39"/>
      <w:bookmarkStart w:id="40" w:name="_Hlt75236290"/>
      <w:bookmarkEnd w:id="40"/>
      <w:bookmarkStart w:id="41" w:name="_Hlt68072990"/>
      <w:bookmarkEnd w:id="41"/>
      <w:bookmarkStart w:id="42" w:name="_Hlt74729768"/>
      <w:bookmarkEnd w:id="42"/>
      <w:bookmarkStart w:id="43" w:name="_Toc354996697"/>
      <w:bookmarkStart w:id="44" w:name="_Toc361217424"/>
      <w:bookmarkStart w:id="45" w:name="_Toc233618973"/>
      <w:bookmarkStart w:id="46" w:name="_Toc442428809"/>
      <w:bookmarkStart w:id="47" w:name="_Toc2667"/>
      <w:r>
        <w:rPr>
          <w:rFonts w:hint="eastAsia" w:ascii="宋体" w:hAnsi="宋体" w:eastAsia="宋体" w:cs="宋体"/>
          <w:b/>
          <w:bCs/>
          <w:sz w:val="24"/>
        </w:rPr>
        <w:t>二、</w:t>
      </w:r>
      <w:bookmarkEnd w:id="43"/>
      <w:bookmarkEnd w:id="44"/>
      <w:bookmarkEnd w:id="45"/>
      <w:r>
        <w:rPr>
          <w:rFonts w:hint="eastAsia" w:ascii="宋体" w:hAnsi="宋体" w:eastAsia="宋体" w:cs="宋体"/>
          <w:b/>
          <w:bCs/>
          <w:sz w:val="24"/>
        </w:rPr>
        <w:t>磋商文件</w:t>
      </w:r>
      <w:bookmarkEnd w:id="46"/>
      <w:bookmarkEnd w:id="47"/>
    </w:p>
    <w:p w14:paraId="598755CE">
      <w:pPr>
        <w:pStyle w:val="25"/>
        <w:adjustRightInd w:val="0"/>
        <w:snapToGrid w:val="0"/>
        <w:spacing w:line="360" w:lineRule="auto"/>
        <w:rPr>
          <w:rFonts w:hint="eastAsia" w:ascii="宋体" w:hAnsi="宋体" w:eastAsia="宋体" w:cs="宋体"/>
          <w:b/>
        </w:rPr>
      </w:pPr>
      <w:bookmarkStart w:id="48" w:name="_Hlt74730307"/>
      <w:bookmarkStart w:id="49" w:name="_Toc91899880"/>
      <w:r>
        <w:rPr>
          <w:rFonts w:hint="eastAsia" w:ascii="宋体" w:hAnsi="宋体" w:eastAsia="宋体" w:cs="宋体"/>
          <w:b/>
        </w:rPr>
        <w:t>5、磋商文件的组成</w:t>
      </w:r>
    </w:p>
    <w:p w14:paraId="319B5C53">
      <w:pPr>
        <w:pStyle w:val="25"/>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5.1磋商文件包括下列文件及附件：</w:t>
      </w:r>
    </w:p>
    <w:p w14:paraId="51385FF5">
      <w:pPr>
        <w:adjustRightInd w:val="0"/>
        <w:snapToGrid w:val="0"/>
        <w:spacing w:line="360" w:lineRule="auto"/>
        <w:ind w:firstLine="840" w:firstLineChars="400"/>
        <w:rPr>
          <w:rFonts w:hint="eastAsia" w:ascii="宋体" w:hAnsi="宋体" w:eastAsia="宋体" w:cs="宋体"/>
          <w:szCs w:val="21"/>
        </w:rPr>
      </w:pPr>
      <w:r>
        <w:rPr>
          <w:rFonts w:hint="eastAsia" w:ascii="宋体" w:hAnsi="宋体" w:eastAsia="宋体" w:cs="宋体"/>
          <w:szCs w:val="21"/>
        </w:rPr>
        <w:t>第一部分 竞争性磋商公告。</w:t>
      </w:r>
    </w:p>
    <w:p w14:paraId="597C5087">
      <w:pPr>
        <w:adjustRightInd w:val="0"/>
        <w:snapToGrid w:val="0"/>
        <w:spacing w:line="360" w:lineRule="auto"/>
        <w:ind w:firstLine="840" w:firstLineChars="400"/>
        <w:rPr>
          <w:rFonts w:hint="eastAsia" w:ascii="宋体" w:hAnsi="宋体" w:eastAsia="宋体" w:cs="宋体"/>
          <w:szCs w:val="21"/>
        </w:rPr>
      </w:pPr>
      <w:r>
        <w:rPr>
          <w:rFonts w:hint="eastAsia" w:ascii="宋体" w:hAnsi="宋体" w:eastAsia="宋体" w:cs="宋体"/>
          <w:szCs w:val="21"/>
        </w:rPr>
        <w:t>第二部分 编制和提交磋商响应文件须知。</w:t>
      </w:r>
    </w:p>
    <w:p w14:paraId="36FB61F7">
      <w:pPr>
        <w:adjustRightInd w:val="0"/>
        <w:snapToGrid w:val="0"/>
        <w:spacing w:line="360" w:lineRule="auto"/>
        <w:ind w:firstLine="840" w:firstLineChars="400"/>
        <w:rPr>
          <w:rFonts w:hint="eastAsia" w:ascii="宋体" w:hAnsi="宋体" w:eastAsia="宋体" w:cs="宋体"/>
          <w:szCs w:val="21"/>
        </w:rPr>
      </w:pPr>
      <w:r>
        <w:rPr>
          <w:rFonts w:hint="eastAsia" w:ascii="宋体" w:hAnsi="宋体" w:eastAsia="宋体" w:cs="宋体"/>
          <w:szCs w:val="21"/>
        </w:rPr>
        <w:t xml:space="preserve">第三部分 </w:t>
      </w:r>
      <w:r>
        <w:rPr>
          <w:rFonts w:hint="eastAsia" w:ascii="宋体" w:hAnsi="宋体" w:eastAsia="宋体" w:cs="宋体"/>
          <w:kern w:val="0"/>
          <w:szCs w:val="21"/>
          <w:lang w:val="zh-CN"/>
        </w:rPr>
        <w:t>项目技术规范和</w:t>
      </w:r>
      <w:r>
        <w:rPr>
          <w:rFonts w:hint="eastAsia" w:ascii="宋体" w:hAnsi="宋体" w:eastAsia="宋体" w:cs="宋体"/>
          <w:kern w:val="0"/>
          <w:szCs w:val="21"/>
          <w:lang w:val="en-US" w:eastAsia="zh-CN"/>
        </w:rPr>
        <w:t>采购</w:t>
      </w:r>
      <w:r>
        <w:rPr>
          <w:rFonts w:hint="eastAsia" w:ascii="宋体" w:hAnsi="宋体" w:eastAsia="宋体" w:cs="宋体"/>
          <w:kern w:val="0"/>
          <w:szCs w:val="21"/>
        </w:rPr>
        <w:t>需求</w:t>
      </w:r>
      <w:r>
        <w:rPr>
          <w:rFonts w:hint="eastAsia" w:ascii="宋体" w:hAnsi="宋体" w:eastAsia="宋体" w:cs="宋体"/>
          <w:szCs w:val="21"/>
        </w:rPr>
        <w:t>。</w:t>
      </w:r>
    </w:p>
    <w:p w14:paraId="23A41870">
      <w:pPr>
        <w:adjustRightInd w:val="0"/>
        <w:snapToGrid w:val="0"/>
        <w:spacing w:line="360" w:lineRule="auto"/>
        <w:ind w:firstLine="840" w:firstLineChars="400"/>
        <w:rPr>
          <w:rFonts w:hint="eastAsia" w:ascii="宋体" w:hAnsi="宋体" w:eastAsia="宋体" w:cs="宋体"/>
          <w:szCs w:val="21"/>
        </w:rPr>
      </w:pPr>
      <w:r>
        <w:rPr>
          <w:rFonts w:hint="eastAsia" w:ascii="宋体" w:hAnsi="宋体" w:eastAsia="宋体" w:cs="宋体"/>
          <w:szCs w:val="21"/>
        </w:rPr>
        <w:t>第四部分 合同条款。</w:t>
      </w:r>
    </w:p>
    <w:p w14:paraId="6E22E53C">
      <w:pPr>
        <w:adjustRightInd w:val="0"/>
        <w:snapToGrid w:val="0"/>
        <w:spacing w:line="360" w:lineRule="auto"/>
        <w:ind w:firstLine="840" w:firstLineChars="400"/>
        <w:rPr>
          <w:rFonts w:hint="eastAsia" w:ascii="宋体" w:hAnsi="宋体" w:eastAsia="宋体" w:cs="宋体"/>
          <w:szCs w:val="21"/>
        </w:rPr>
      </w:pPr>
      <w:r>
        <w:rPr>
          <w:rFonts w:hint="eastAsia" w:ascii="宋体" w:hAnsi="宋体" w:eastAsia="宋体" w:cs="宋体"/>
          <w:szCs w:val="21"/>
        </w:rPr>
        <w:t>第五部分 应提交的有关格式范例。</w:t>
      </w:r>
    </w:p>
    <w:p w14:paraId="7D9C1D03">
      <w:pPr>
        <w:adjustRightInd w:val="0"/>
        <w:snapToGrid w:val="0"/>
        <w:spacing w:line="360" w:lineRule="auto"/>
        <w:ind w:firstLine="840" w:firstLineChars="400"/>
        <w:rPr>
          <w:rFonts w:hint="eastAsia" w:ascii="宋体" w:hAnsi="宋体" w:eastAsia="宋体" w:cs="宋体"/>
          <w:szCs w:val="21"/>
        </w:rPr>
      </w:pPr>
      <w:r>
        <w:rPr>
          <w:rFonts w:hint="eastAsia" w:ascii="宋体" w:hAnsi="宋体" w:eastAsia="宋体" w:cs="宋体"/>
          <w:szCs w:val="21"/>
        </w:rPr>
        <w:t>第六部分 评标办法。</w:t>
      </w:r>
    </w:p>
    <w:p w14:paraId="3596641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5.2供应商应认真审阅磋商文件中所有的内容，包括编制和提交磋商响应文件须知、项目技术规范和招标需求、采购合同的主要条款、应提交的有关格式范例等。如果供应商编制的磋商响应文件没有从实质上响应磋商文件的要求，其磋商响应文件将被采购代理机构拒绝。</w:t>
      </w:r>
    </w:p>
    <w:p w14:paraId="077BD26F">
      <w:pPr>
        <w:pStyle w:val="25"/>
        <w:adjustRightInd w:val="0"/>
        <w:snapToGrid w:val="0"/>
        <w:spacing w:line="360" w:lineRule="auto"/>
        <w:rPr>
          <w:rFonts w:hint="eastAsia" w:ascii="宋体" w:hAnsi="宋体" w:eastAsia="宋体" w:cs="宋体"/>
        </w:rPr>
      </w:pPr>
      <w:r>
        <w:rPr>
          <w:rFonts w:hint="eastAsia" w:ascii="宋体" w:hAnsi="宋体" w:eastAsia="宋体" w:cs="宋体"/>
          <w:b/>
        </w:rPr>
        <w:t>6、磋商文件的澄清</w:t>
      </w:r>
    </w:p>
    <w:p w14:paraId="4D801C79">
      <w:pPr>
        <w:pStyle w:val="99"/>
        <w:adjustRightInd w:val="0"/>
        <w:snapToGrid w:val="0"/>
        <w:spacing w:before="0"/>
        <w:ind w:left="120" w:leftChars="57" w:firstLine="420"/>
        <w:rPr>
          <w:rFonts w:hint="eastAsia" w:ascii="宋体" w:hAnsi="宋体" w:eastAsia="宋体" w:cs="宋体"/>
          <w:sz w:val="21"/>
          <w:szCs w:val="21"/>
        </w:rPr>
      </w:pPr>
      <w:r>
        <w:rPr>
          <w:rFonts w:hint="eastAsia" w:ascii="宋体" w:hAnsi="宋体" w:eastAsia="宋体" w:cs="宋体"/>
          <w:sz w:val="21"/>
          <w:szCs w:val="21"/>
        </w:rPr>
        <w:t>6.1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得磋商文件的供应商。</w:t>
      </w:r>
    </w:p>
    <w:p w14:paraId="55D1F32D">
      <w:pPr>
        <w:tabs>
          <w:tab w:val="left" w:pos="3780"/>
        </w:tabs>
        <w:adjustRightInd w:val="0"/>
        <w:snapToGrid w:val="0"/>
        <w:spacing w:line="360" w:lineRule="auto"/>
        <w:ind w:firstLine="525" w:firstLineChars="250"/>
        <w:rPr>
          <w:rFonts w:hint="eastAsia" w:ascii="宋体" w:hAnsi="宋体" w:eastAsia="宋体" w:cs="宋体"/>
          <w:szCs w:val="21"/>
        </w:rPr>
      </w:pPr>
      <w:r>
        <w:rPr>
          <w:rFonts w:hint="eastAsia" w:ascii="宋体" w:hAnsi="宋体" w:eastAsia="宋体" w:cs="宋体"/>
          <w:szCs w:val="21"/>
        </w:rPr>
        <w:t>6.2 供应商一旦参与本次采购活动，即被视为接受了本采购文件的所有内容，如有任何异议，均已在答疑截止时间前提出。</w:t>
      </w:r>
    </w:p>
    <w:p w14:paraId="317B444E">
      <w:pPr>
        <w:pStyle w:val="25"/>
        <w:adjustRightInd w:val="0"/>
        <w:snapToGrid w:val="0"/>
        <w:spacing w:line="360" w:lineRule="auto"/>
        <w:rPr>
          <w:rFonts w:hint="eastAsia" w:ascii="宋体" w:hAnsi="宋体" w:eastAsia="宋体" w:cs="宋体"/>
          <w:b/>
        </w:rPr>
      </w:pPr>
      <w:r>
        <w:rPr>
          <w:rFonts w:hint="eastAsia" w:ascii="宋体" w:hAnsi="宋体" w:eastAsia="宋体" w:cs="宋体"/>
          <w:b/>
        </w:rPr>
        <w:t>7、磋商文件的修改</w:t>
      </w:r>
    </w:p>
    <w:p w14:paraId="2ABB1C1B">
      <w:pPr>
        <w:pStyle w:val="25"/>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7.1 磋商文件澄清、答复、修改、补充的内容为磋商文件的组成部分。当磋商文件与磋商文件的答复、澄清、修改、补充通知就同一内容的表述不一致时，以最后发出的书面文件为准。</w:t>
      </w:r>
    </w:p>
    <w:p w14:paraId="2A99122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7.2 若有必要，采购代理机构将酌情延长递交磋商响应文件的截止日期。</w:t>
      </w:r>
    </w:p>
    <w:p w14:paraId="6EBCFFE3">
      <w:pPr>
        <w:shd w:val="clear" w:color="auto" w:fill="FFFFFF"/>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8</w:t>
      </w:r>
      <w:r>
        <w:rPr>
          <w:rFonts w:hint="eastAsia" w:ascii="宋体" w:hAnsi="宋体" w:eastAsia="宋体" w:cs="宋体"/>
          <w:b/>
          <w:bCs/>
          <w:kern w:val="0"/>
          <w:szCs w:val="21"/>
          <w:lang w:val="zh-CN"/>
        </w:rPr>
        <w:t>、</w:t>
      </w:r>
      <w:r>
        <w:rPr>
          <w:rFonts w:hint="eastAsia" w:ascii="宋体" w:hAnsi="宋体" w:eastAsia="宋体" w:cs="宋体"/>
          <w:b/>
          <w:szCs w:val="21"/>
        </w:rPr>
        <w:t>磋商响应</w:t>
      </w:r>
      <w:r>
        <w:rPr>
          <w:rFonts w:hint="eastAsia" w:ascii="宋体" w:hAnsi="宋体" w:eastAsia="宋体" w:cs="宋体"/>
          <w:b/>
          <w:bCs/>
          <w:szCs w:val="21"/>
        </w:rPr>
        <w:t>报价</w:t>
      </w:r>
    </w:p>
    <w:p w14:paraId="3C479451">
      <w:pPr>
        <w:pStyle w:val="99"/>
        <w:adjustRightInd w:val="0"/>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8.1  报价</w:t>
      </w:r>
    </w:p>
    <w:p w14:paraId="57AB33FF">
      <w:pPr>
        <w:pStyle w:val="99"/>
        <w:adjustRightInd w:val="0"/>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有关本项目所需的一切税、费用均计入报价。项目费用包括履行合同所需的全部费用，包括并不限于工时费、服务费、运输费、安装调试费、培训费、税费及其他一切费用。</w:t>
      </w:r>
      <w:r>
        <w:rPr>
          <w:rFonts w:hint="eastAsia" w:ascii="宋体" w:hAnsi="宋体" w:eastAsia="宋体" w:cs="宋体"/>
          <w:sz w:val="21"/>
          <w:szCs w:val="21"/>
          <w:lang w:eastAsia="zh-CN"/>
        </w:rPr>
        <w:t>磋商供应商</w:t>
      </w:r>
      <w:r>
        <w:rPr>
          <w:rFonts w:hint="eastAsia" w:ascii="宋体" w:hAnsi="宋体" w:eastAsia="宋体" w:cs="宋体"/>
          <w:sz w:val="21"/>
          <w:szCs w:val="21"/>
        </w:rPr>
        <w:t>应根据《开标一览表》填写相关内容。《开标一览表》是报价的唯一载体。</w:t>
      </w:r>
    </w:p>
    <w:p w14:paraId="05BEC0C0">
      <w:pPr>
        <w:pStyle w:val="99"/>
        <w:adjustRightInd w:val="0"/>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8.2  其它费用处理</w:t>
      </w:r>
    </w:p>
    <w:p w14:paraId="5EA31127">
      <w:pPr>
        <w:pStyle w:val="99"/>
        <w:adjustRightInd w:val="0"/>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采购文件未列明，而</w:t>
      </w:r>
      <w:r>
        <w:rPr>
          <w:rFonts w:hint="eastAsia" w:ascii="宋体" w:hAnsi="宋体" w:eastAsia="宋体" w:cs="宋体"/>
          <w:sz w:val="21"/>
          <w:szCs w:val="21"/>
          <w:lang w:eastAsia="zh-CN"/>
        </w:rPr>
        <w:t>磋商供应商</w:t>
      </w:r>
      <w:r>
        <w:rPr>
          <w:rFonts w:hint="eastAsia" w:ascii="宋体" w:hAnsi="宋体" w:eastAsia="宋体" w:cs="宋体"/>
          <w:sz w:val="21"/>
          <w:szCs w:val="21"/>
        </w:rPr>
        <w:t>认为必需的费用也需列入报价。</w:t>
      </w:r>
      <w:r>
        <w:rPr>
          <w:rFonts w:hint="eastAsia" w:ascii="宋体" w:hAnsi="宋体" w:eastAsia="宋体" w:cs="宋体"/>
          <w:sz w:val="21"/>
          <w:szCs w:val="21"/>
          <w:lang w:eastAsia="zh-CN"/>
        </w:rPr>
        <w:t>磋商供应商</w:t>
      </w:r>
      <w:r>
        <w:rPr>
          <w:rFonts w:hint="eastAsia" w:ascii="宋体" w:hAnsi="宋体" w:eastAsia="宋体" w:cs="宋体"/>
          <w:sz w:val="21"/>
          <w:szCs w:val="21"/>
        </w:rPr>
        <w:t>在磋商响应文件报价中应充分考虑所有可能发生的费用，否则采购人将视</w:t>
      </w:r>
      <w:r>
        <w:rPr>
          <w:rFonts w:hint="eastAsia" w:ascii="宋体" w:hAnsi="宋体" w:eastAsia="宋体" w:cs="宋体"/>
          <w:sz w:val="21"/>
          <w:szCs w:val="21"/>
          <w:lang w:eastAsia="zh-CN"/>
        </w:rPr>
        <w:t>响应总价</w:t>
      </w:r>
      <w:r>
        <w:rPr>
          <w:rFonts w:hint="eastAsia" w:ascii="宋体" w:hAnsi="宋体" w:eastAsia="宋体" w:cs="宋体"/>
          <w:sz w:val="21"/>
          <w:szCs w:val="21"/>
        </w:rPr>
        <w:t>中已包括所有费用。</w:t>
      </w:r>
    </w:p>
    <w:p w14:paraId="0FDA7F3A">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8.3  投标货币</w:t>
      </w:r>
    </w:p>
    <w:p w14:paraId="474B44D9">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磋商响应文件中价格全部采用人民币报价。报价应是唯一的，不接受有选择的报价。</w:t>
      </w:r>
    </w:p>
    <w:p w14:paraId="6CD47E58">
      <w:pPr>
        <w:shd w:val="clear" w:color="auto" w:fill="FFFFFF"/>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8.4  其他注意事项：</w:t>
      </w:r>
    </w:p>
    <w:p w14:paraId="2736973C">
      <w:pPr>
        <w:tabs>
          <w:tab w:val="left" w:pos="3780"/>
        </w:tabs>
        <w:adjustRightInd w:val="0"/>
        <w:snapToGrid w:val="0"/>
        <w:spacing w:line="360" w:lineRule="auto"/>
        <w:ind w:firstLine="420" w:firstLineChars="200"/>
        <w:rPr>
          <w:rFonts w:hint="eastAsia" w:ascii="宋体" w:hAnsi="宋体" w:eastAsia="宋体" w:cs="宋体"/>
          <w:szCs w:val="21"/>
        </w:rPr>
      </w:pPr>
      <w:bookmarkStart w:id="50" w:name="_Toc442428810"/>
      <w:bookmarkStart w:id="51" w:name="_Toc394001375"/>
      <w:bookmarkStart w:id="52" w:name="_Toc351898258"/>
      <w:r>
        <w:rPr>
          <w:rFonts w:hint="eastAsia" w:ascii="宋体" w:hAnsi="宋体" w:eastAsia="宋体" w:cs="宋体"/>
          <w:szCs w:val="21"/>
        </w:rPr>
        <w:t>磋商响应人在磋商响应活动中提供任何虚假材料，其磋商响应无效，并报浙江省财政厅查处。</w:t>
      </w:r>
    </w:p>
    <w:p w14:paraId="45475FE0">
      <w:pPr>
        <w:shd w:val="clear" w:color="auto" w:fill="FFFFFF"/>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8.5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0BA4046">
      <w:pPr>
        <w:shd w:val="clear" w:color="auto" w:fill="FFFFFF"/>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中小企业划分标准：《中小企业划分标准》（工信部联企业[2011]300号）。</w:t>
      </w:r>
    </w:p>
    <w:p w14:paraId="6C3A73A1">
      <w:pPr>
        <w:shd w:val="clear" w:color="auto" w:fill="FFFFFF"/>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在政府采购活动中，供应商提供的货物、工程或者服务符合下列情形的，享受《政府采购促进中小企业发展管理办法》（财库〔2020〕46号）规定的中小企业扶持政策：</w:t>
      </w:r>
    </w:p>
    <w:p w14:paraId="7BF97B53">
      <w:pPr>
        <w:shd w:val="clear" w:color="auto" w:fill="FFFFFF"/>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（1）在货物采购项目中，货物由中小企业制造，即货物由中小企业生产且使用该中小企业商号或者注册商标。</w:t>
      </w:r>
    </w:p>
    <w:p w14:paraId="245B805F">
      <w:pPr>
        <w:shd w:val="clear" w:color="auto" w:fill="FFFFFF"/>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（2）在工程采购项目中，工程由中小企业承建，即工程施工单位为中小企业。</w:t>
      </w:r>
    </w:p>
    <w:p w14:paraId="6E9669BE">
      <w:pPr>
        <w:shd w:val="clear" w:color="auto" w:fill="FFFFFF"/>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7819F90A">
      <w:pPr>
        <w:shd w:val="clear" w:color="auto" w:fill="FFFFFF"/>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14:paraId="27466775">
      <w:pPr>
        <w:tabs>
          <w:tab w:val="left" w:pos="3780"/>
        </w:tabs>
        <w:adjustRightInd w:val="0"/>
        <w:snapToGrid w:val="0"/>
        <w:spacing w:line="360" w:lineRule="auto"/>
        <w:ind w:firstLine="466" w:firstLineChars="222"/>
        <w:rPr>
          <w:rFonts w:hint="eastAsia" w:ascii="宋体" w:hAnsi="宋体" w:eastAsia="宋体" w:cs="宋体"/>
          <w:szCs w:val="21"/>
        </w:rPr>
      </w:pPr>
      <w:r>
        <w:rPr>
          <w:rFonts w:hint="eastAsia" w:ascii="宋体" w:hAnsi="宋体" w:eastAsia="宋体" w:cs="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B3DD092">
      <w:pPr>
        <w:tabs>
          <w:tab w:val="left" w:pos="3780"/>
        </w:tabs>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残疾人福利性单位：符合《财政部民政部中国残疾人联合会关于促进残疾人就业政府采购政策的通知》（财库（2017）141号）的规定单位。</w:t>
      </w:r>
    </w:p>
    <w:p w14:paraId="6E517A51">
      <w:pPr>
        <w:pStyle w:val="44"/>
        <w:rPr>
          <w:rFonts w:hint="eastAsia" w:ascii="宋体" w:hAnsi="宋体" w:eastAsia="宋体" w:cs="宋体"/>
        </w:rPr>
      </w:pPr>
    </w:p>
    <w:p w14:paraId="0B7D21A6">
      <w:pPr>
        <w:spacing w:line="360" w:lineRule="auto"/>
        <w:jc w:val="center"/>
        <w:outlineLvl w:val="1"/>
        <w:rPr>
          <w:rFonts w:hint="eastAsia" w:ascii="宋体" w:hAnsi="宋体" w:eastAsia="宋体" w:cs="宋体"/>
          <w:b/>
          <w:sz w:val="24"/>
        </w:rPr>
      </w:pPr>
      <w:bookmarkStart w:id="53" w:name="_Toc22278"/>
      <w:r>
        <w:rPr>
          <w:rFonts w:hint="eastAsia" w:ascii="宋体" w:hAnsi="宋体" w:eastAsia="宋体" w:cs="宋体"/>
          <w:b/>
          <w:sz w:val="24"/>
        </w:rPr>
        <w:t>三、磋商响应文件的编制</w:t>
      </w:r>
      <w:bookmarkEnd w:id="50"/>
      <w:bookmarkEnd w:id="51"/>
      <w:bookmarkEnd w:id="52"/>
      <w:bookmarkEnd w:id="53"/>
    </w:p>
    <w:p w14:paraId="38F2FAAD">
      <w:pPr>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9、磋商响应文件的语言</w:t>
      </w:r>
    </w:p>
    <w:p w14:paraId="69F51AD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供应商提交的磋商响应文件，以及供应商与采购有关投标的所有来往电函应使用中文，供应商可以提交用其它语言印制的资料，但必须译成中文，如有差异和矛盾以中文为准。</w:t>
      </w:r>
    </w:p>
    <w:bookmarkEnd w:id="48"/>
    <w:bookmarkEnd w:id="49"/>
    <w:p w14:paraId="55A6B5DE">
      <w:pPr>
        <w:shd w:val="clear" w:color="auto" w:fill="FFFFFF"/>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10</w:t>
      </w:r>
      <w:r>
        <w:rPr>
          <w:rFonts w:hint="eastAsia" w:ascii="宋体" w:hAnsi="宋体" w:eastAsia="宋体" w:cs="宋体"/>
          <w:b/>
          <w:bCs/>
          <w:kern w:val="0"/>
          <w:szCs w:val="21"/>
          <w:lang w:val="zh-CN"/>
        </w:rPr>
        <w:t>、</w:t>
      </w:r>
      <w:r>
        <w:rPr>
          <w:rFonts w:hint="eastAsia" w:ascii="宋体" w:hAnsi="宋体" w:eastAsia="宋体" w:cs="宋体"/>
          <w:b/>
          <w:bCs/>
          <w:szCs w:val="21"/>
        </w:rPr>
        <w:t>磋商响应文件的组成</w:t>
      </w:r>
    </w:p>
    <w:p w14:paraId="2472EE90">
      <w:pPr>
        <w:adjustRightInd w:val="0"/>
        <w:snapToGrid w:val="0"/>
        <w:spacing w:line="360" w:lineRule="auto"/>
        <w:ind w:firstLine="420" w:firstLineChars="200"/>
        <w:contextualSpacing/>
        <w:rPr>
          <w:rFonts w:hint="eastAsia" w:ascii="宋体" w:hAnsi="宋体" w:eastAsia="宋体" w:cs="宋体"/>
          <w:bCs/>
          <w:szCs w:val="21"/>
          <w:lang w:val="zh-CN"/>
        </w:rPr>
      </w:pPr>
      <w:r>
        <w:rPr>
          <w:rFonts w:hint="eastAsia" w:ascii="宋体" w:hAnsi="宋体" w:eastAsia="宋体" w:cs="宋体"/>
          <w:bCs/>
          <w:szCs w:val="21"/>
        </w:rPr>
        <w:t>磋商响应文件应当包括以下主要内容：</w:t>
      </w:r>
      <w:r>
        <w:rPr>
          <w:rFonts w:hint="eastAsia" w:ascii="宋体" w:hAnsi="宋体" w:eastAsia="宋体" w:cs="宋体"/>
          <w:bCs/>
          <w:szCs w:val="21"/>
          <w:lang w:val="zh-CN"/>
        </w:rPr>
        <w:t>资格文件、报价文件、商务技术文件</w:t>
      </w:r>
      <w:r>
        <w:rPr>
          <w:rFonts w:hint="eastAsia" w:ascii="宋体" w:hAnsi="宋体" w:eastAsia="宋体" w:cs="宋体"/>
          <w:bCs/>
          <w:szCs w:val="21"/>
        </w:rPr>
        <w:t>。</w:t>
      </w:r>
      <w:r>
        <w:rPr>
          <w:rFonts w:hint="eastAsia" w:ascii="宋体" w:hAnsi="宋体" w:eastAsia="宋体" w:cs="宋体"/>
          <w:b/>
          <w:bCs/>
          <w:kern w:val="0"/>
          <w:szCs w:val="21"/>
          <w:lang w:val="zh-CN"/>
        </w:rPr>
        <w:t>（其中电子</w:t>
      </w:r>
      <w:r>
        <w:rPr>
          <w:rFonts w:hint="eastAsia" w:ascii="宋体" w:hAnsi="宋体" w:eastAsia="宋体" w:cs="宋体"/>
          <w:b/>
          <w:bCs/>
          <w:kern w:val="0"/>
          <w:szCs w:val="21"/>
        </w:rPr>
        <w:t>磋商</w:t>
      </w:r>
      <w:r>
        <w:rPr>
          <w:rFonts w:hint="eastAsia" w:ascii="宋体" w:hAnsi="宋体" w:eastAsia="宋体" w:cs="宋体"/>
          <w:b/>
          <w:bCs/>
          <w:kern w:val="0"/>
          <w:szCs w:val="21"/>
          <w:lang w:val="zh-CN"/>
        </w:rPr>
        <w:t>响应文件中所须加盖公章部分均采用CA签章）</w:t>
      </w:r>
    </w:p>
    <w:p w14:paraId="76B36086">
      <w:pPr>
        <w:pStyle w:val="25"/>
        <w:adjustRightInd w:val="0"/>
        <w:snapToGrid w:val="0"/>
        <w:spacing w:line="360" w:lineRule="auto"/>
        <w:ind w:firstLine="420" w:firstLineChars="200"/>
        <w:rPr>
          <w:rFonts w:hint="eastAsia" w:ascii="宋体" w:hAnsi="宋体" w:eastAsia="宋体" w:cs="宋体"/>
          <w:bCs/>
        </w:rPr>
      </w:pPr>
      <w:r>
        <w:rPr>
          <w:rFonts w:hint="eastAsia" w:ascii="宋体" w:hAnsi="宋体" w:eastAsia="宋体" w:cs="宋体"/>
          <w:bCs/>
        </w:rPr>
        <w:t xml:space="preserve">10.1 </w:t>
      </w:r>
      <w:r>
        <w:rPr>
          <w:rFonts w:hint="eastAsia" w:ascii="宋体" w:hAnsi="宋体" w:eastAsia="宋体" w:cs="宋体"/>
          <w:bCs/>
          <w:lang w:val="zh-CN"/>
        </w:rPr>
        <w:t xml:space="preserve"> 资格文件</w:t>
      </w:r>
      <w:r>
        <w:rPr>
          <w:rFonts w:hint="eastAsia" w:ascii="宋体" w:hAnsi="宋体" w:eastAsia="宋体" w:cs="宋体"/>
          <w:bCs/>
        </w:rPr>
        <w:t>至少应包括以下内容：</w:t>
      </w:r>
    </w:p>
    <w:p w14:paraId="6561890F">
      <w:pPr>
        <w:pStyle w:val="25"/>
        <w:adjustRightInd w:val="0"/>
        <w:snapToGrid w:val="0"/>
        <w:spacing w:line="360" w:lineRule="auto"/>
        <w:ind w:firstLine="422" w:firstLineChars="200"/>
        <w:rPr>
          <w:rFonts w:hint="eastAsia" w:ascii="宋体" w:hAnsi="宋体" w:eastAsia="宋体" w:cs="宋体"/>
          <w:b/>
        </w:rPr>
      </w:pPr>
      <w:r>
        <w:rPr>
          <w:rFonts w:hint="eastAsia" w:ascii="宋体" w:hAnsi="宋体" w:eastAsia="宋体" w:cs="宋体"/>
          <w:b/>
        </w:rPr>
        <w:t>资格审查资料</w:t>
      </w:r>
    </w:p>
    <w:p w14:paraId="1C11A816">
      <w:pPr>
        <w:pStyle w:val="25"/>
        <w:adjustRightInd w:val="0"/>
        <w:snapToGrid w:val="0"/>
        <w:spacing w:line="360" w:lineRule="auto"/>
        <w:ind w:firstLine="420" w:firstLineChars="200"/>
        <w:rPr>
          <w:rFonts w:hint="eastAsia" w:ascii="宋体" w:hAnsi="宋体" w:eastAsia="宋体" w:cs="宋体"/>
          <w:bCs/>
          <w:lang w:val="zh-CN"/>
        </w:rPr>
      </w:pPr>
      <w:r>
        <w:rPr>
          <w:rFonts w:hint="eastAsia" w:ascii="宋体" w:hAnsi="宋体" w:eastAsia="宋体" w:cs="宋体"/>
          <w:bCs/>
          <w:lang w:val="zh-CN"/>
        </w:rPr>
        <w:t xml:space="preserve">10.2  </w:t>
      </w:r>
      <w:r>
        <w:rPr>
          <w:rFonts w:hint="eastAsia" w:ascii="宋体" w:hAnsi="宋体" w:eastAsia="宋体" w:cs="宋体"/>
          <w:bCs/>
        </w:rPr>
        <w:t>报价文件至少应包括以下内容：</w:t>
      </w:r>
    </w:p>
    <w:p w14:paraId="3C5BE123">
      <w:pPr>
        <w:pStyle w:val="25"/>
        <w:adjustRightInd w:val="0"/>
        <w:snapToGrid w:val="0"/>
        <w:spacing w:line="360" w:lineRule="auto"/>
        <w:ind w:firstLine="420" w:firstLineChars="200"/>
        <w:rPr>
          <w:rFonts w:hint="eastAsia" w:ascii="宋体" w:hAnsi="宋体" w:eastAsia="宋体" w:cs="宋体"/>
          <w:bCs/>
          <w:lang w:eastAsia="zh-CN"/>
        </w:rPr>
      </w:pPr>
      <w:r>
        <w:rPr>
          <w:rFonts w:hint="eastAsia" w:ascii="宋体" w:hAnsi="宋体" w:eastAsia="宋体" w:cs="宋体"/>
          <w:bCs/>
        </w:rPr>
        <w:t>（1）</w:t>
      </w:r>
      <w:r>
        <w:rPr>
          <w:rFonts w:hint="eastAsia" w:ascii="宋体" w:hAnsi="宋体" w:eastAsia="宋体" w:cs="宋体"/>
          <w:bCs/>
          <w:lang w:eastAsia="zh-CN"/>
        </w:rPr>
        <w:t>磋商响应函</w:t>
      </w:r>
    </w:p>
    <w:p w14:paraId="712B79E6">
      <w:pPr>
        <w:pStyle w:val="25"/>
        <w:adjustRightInd w:val="0"/>
        <w:snapToGrid w:val="0"/>
        <w:spacing w:line="360" w:lineRule="auto"/>
        <w:ind w:firstLine="420" w:firstLineChars="200"/>
        <w:rPr>
          <w:rFonts w:hint="eastAsia" w:ascii="宋体" w:hAnsi="宋体" w:eastAsia="宋体" w:cs="宋体"/>
          <w:bCs/>
        </w:rPr>
      </w:pPr>
      <w:r>
        <w:rPr>
          <w:rFonts w:hint="eastAsia" w:ascii="宋体" w:hAnsi="宋体" w:eastAsia="宋体" w:cs="宋体"/>
          <w:bCs/>
        </w:rPr>
        <w:t>（2）开标一览表</w:t>
      </w:r>
    </w:p>
    <w:p w14:paraId="50E0ECBA">
      <w:pPr>
        <w:pStyle w:val="25"/>
        <w:adjustRightInd w:val="0"/>
        <w:snapToGrid w:val="0"/>
        <w:spacing w:line="360" w:lineRule="auto"/>
        <w:ind w:firstLine="420" w:firstLineChars="200"/>
        <w:rPr>
          <w:rFonts w:hint="eastAsia" w:ascii="宋体" w:hAnsi="宋体" w:eastAsia="宋体" w:cs="宋体"/>
          <w:bCs/>
        </w:rPr>
      </w:pPr>
      <w:r>
        <w:rPr>
          <w:rFonts w:hint="eastAsia" w:ascii="宋体" w:hAnsi="宋体" w:eastAsia="宋体" w:cs="宋体"/>
          <w:bCs/>
        </w:rPr>
        <w:t>（3）磋商价格组成明细表</w:t>
      </w:r>
    </w:p>
    <w:p w14:paraId="6457FF26">
      <w:pPr>
        <w:pStyle w:val="25"/>
        <w:adjustRightInd w:val="0"/>
        <w:snapToGrid w:val="0"/>
        <w:spacing w:line="360" w:lineRule="auto"/>
        <w:ind w:firstLine="420" w:firstLineChars="200"/>
        <w:rPr>
          <w:rFonts w:hint="eastAsia" w:ascii="宋体" w:hAnsi="宋体" w:eastAsia="宋体" w:cs="宋体"/>
          <w:bCs/>
        </w:rPr>
      </w:pPr>
      <w:r>
        <w:rPr>
          <w:rFonts w:hint="eastAsia" w:ascii="宋体" w:hAnsi="宋体" w:eastAsia="宋体" w:cs="宋体"/>
          <w:bCs/>
        </w:rPr>
        <w:t>（4）交纳采购代理服务费承诺书</w:t>
      </w:r>
    </w:p>
    <w:p w14:paraId="050872A1">
      <w:pPr>
        <w:pStyle w:val="25"/>
        <w:adjustRightInd w:val="0"/>
        <w:snapToGrid w:val="0"/>
        <w:spacing w:line="360" w:lineRule="auto"/>
        <w:ind w:firstLine="420" w:firstLineChars="200"/>
        <w:rPr>
          <w:rFonts w:hint="eastAsia" w:ascii="宋体" w:hAnsi="宋体" w:eastAsia="宋体" w:cs="宋体"/>
          <w:bCs/>
          <w:lang w:val="zh-CN"/>
        </w:rPr>
      </w:pPr>
      <w:r>
        <w:rPr>
          <w:rFonts w:hint="eastAsia" w:ascii="宋体" w:hAnsi="宋体" w:eastAsia="宋体" w:cs="宋体"/>
          <w:bCs/>
          <w:lang w:val="zh-CN"/>
        </w:rPr>
        <w:t xml:space="preserve">10.3  </w:t>
      </w:r>
      <w:r>
        <w:rPr>
          <w:rFonts w:hint="eastAsia" w:ascii="宋体" w:hAnsi="宋体" w:eastAsia="宋体" w:cs="宋体"/>
          <w:bCs/>
        </w:rPr>
        <w:t>商务</w:t>
      </w:r>
      <w:r>
        <w:rPr>
          <w:rFonts w:hint="eastAsia" w:ascii="宋体" w:hAnsi="宋体" w:eastAsia="宋体" w:cs="宋体"/>
          <w:bCs/>
          <w:lang w:val="zh-CN"/>
        </w:rPr>
        <w:t>技术文件</w:t>
      </w:r>
      <w:r>
        <w:rPr>
          <w:rFonts w:hint="eastAsia" w:ascii="宋体" w:hAnsi="宋体" w:eastAsia="宋体" w:cs="宋体"/>
          <w:bCs/>
        </w:rPr>
        <w:t>至少应包括以下内容</w:t>
      </w:r>
      <w:r>
        <w:rPr>
          <w:rFonts w:hint="eastAsia" w:ascii="宋体" w:hAnsi="宋体" w:eastAsia="宋体" w:cs="宋体"/>
          <w:bCs/>
          <w:lang w:val="zh-CN"/>
        </w:rPr>
        <w:t>：</w:t>
      </w:r>
    </w:p>
    <w:p w14:paraId="08F89A1B">
      <w:pPr>
        <w:pStyle w:val="25"/>
        <w:adjustRightInd w:val="0"/>
        <w:snapToGrid w:val="0"/>
        <w:spacing w:line="360" w:lineRule="auto"/>
        <w:ind w:firstLine="420" w:firstLineChars="200"/>
        <w:rPr>
          <w:rFonts w:hint="eastAsia" w:ascii="宋体" w:hAnsi="宋体" w:eastAsia="宋体" w:cs="宋体"/>
          <w:bCs/>
          <w:lang w:val="zh-CN"/>
        </w:rPr>
      </w:pPr>
      <w:r>
        <w:rPr>
          <w:rFonts w:hint="eastAsia" w:ascii="宋体" w:hAnsi="宋体" w:eastAsia="宋体" w:cs="宋体"/>
          <w:bCs/>
          <w:lang w:val="zh-CN"/>
        </w:rPr>
        <w:t>（1）法定代表人授权委托书</w:t>
      </w:r>
    </w:p>
    <w:p w14:paraId="32ED1256">
      <w:pPr>
        <w:pStyle w:val="25"/>
        <w:adjustRightInd w:val="0"/>
        <w:snapToGrid w:val="0"/>
        <w:spacing w:line="360" w:lineRule="auto"/>
        <w:ind w:firstLine="420" w:firstLineChars="200"/>
        <w:rPr>
          <w:rFonts w:hint="eastAsia" w:ascii="宋体" w:hAnsi="宋体" w:eastAsia="宋体" w:cs="宋体"/>
          <w:bCs/>
          <w:lang w:val="zh-CN"/>
        </w:rPr>
      </w:pPr>
      <w:r>
        <w:rPr>
          <w:rFonts w:hint="eastAsia" w:ascii="宋体" w:hAnsi="宋体" w:eastAsia="宋体" w:cs="宋体"/>
          <w:bCs/>
          <w:lang w:val="zh-CN"/>
        </w:rPr>
        <w:t>（2）法定代表人及授权代表人的身份证</w:t>
      </w:r>
    </w:p>
    <w:p w14:paraId="0944E8D1">
      <w:pPr>
        <w:pStyle w:val="25"/>
        <w:adjustRightInd w:val="0"/>
        <w:snapToGrid w:val="0"/>
        <w:spacing w:line="360" w:lineRule="auto"/>
        <w:ind w:firstLine="420" w:firstLineChars="200"/>
        <w:rPr>
          <w:rFonts w:hint="eastAsia" w:ascii="宋体" w:hAnsi="宋体" w:eastAsia="宋体" w:cs="宋体"/>
          <w:bCs/>
          <w:lang w:val="zh-CN"/>
        </w:rPr>
      </w:pPr>
      <w:r>
        <w:rPr>
          <w:rFonts w:hint="eastAsia" w:ascii="宋体" w:hAnsi="宋体" w:eastAsia="宋体" w:cs="宋体"/>
          <w:bCs/>
          <w:lang w:val="zh-CN"/>
        </w:rPr>
        <w:t>（3）公司介绍及提供同类项目经验。</w:t>
      </w:r>
      <w:r>
        <w:rPr>
          <w:rFonts w:hint="eastAsia" w:ascii="宋体" w:hAnsi="宋体" w:eastAsia="宋体" w:cs="宋体"/>
          <w:b/>
          <w:lang w:val="zh-CN"/>
        </w:rPr>
        <w:t>（联合体参加的，联合体各方分别提供与联合体协议中规定的分工内容相应的业绩证明材料，分工内容相同的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p>
    <w:p w14:paraId="12A9BF1F">
      <w:pPr>
        <w:pStyle w:val="25"/>
        <w:adjustRightInd w:val="0"/>
        <w:snapToGrid w:val="0"/>
        <w:spacing w:line="360" w:lineRule="auto"/>
        <w:ind w:firstLine="420" w:firstLineChars="200"/>
        <w:rPr>
          <w:rFonts w:hint="eastAsia" w:ascii="宋体" w:hAnsi="宋体" w:eastAsia="宋体" w:cs="宋体"/>
          <w:bCs/>
          <w:lang w:val="zh-CN"/>
        </w:rPr>
      </w:pPr>
      <w:r>
        <w:rPr>
          <w:rFonts w:hint="eastAsia" w:ascii="宋体" w:hAnsi="宋体" w:eastAsia="宋体" w:cs="宋体"/>
          <w:bCs/>
          <w:lang w:val="zh-CN"/>
        </w:rPr>
        <w:t>（4）资质文件（如有）</w:t>
      </w:r>
    </w:p>
    <w:p w14:paraId="61CD1715">
      <w:pPr>
        <w:pStyle w:val="25"/>
        <w:adjustRightInd w:val="0"/>
        <w:snapToGrid w:val="0"/>
        <w:spacing w:line="360" w:lineRule="auto"/>
        <w:ind w:firstLine="420" w:firstLineChars="200"/>
        <w:rPr>
          <w:rFonts w:hint="eastAsia" w:ascii="宋体" w:hAnsi="宋体" w:eastAsia="宋体" w:cs="宋体"/>
          <w:bCs/>
          <w:lang w:val="zh-CN"/>
        </w:rPr>
      </w:pPr>
      <w:r>
        <w:rPr>
          <w:rFonts w:hint="eastAsia" w:ascii="宋体" w:hAnsi="宋体" w:eastAsia="宋体" w:cs="宋体"/>
          <w:bCs/>
          <w:lang w:val="zh-CN"/>
        </w:rPr>
        <w:t>（5）</w:t>
      </w:r>
      <w:r>
        <w:rPr>
          <w:rFonts w:hint="eastAsia" w:ascii="宋体" w:hAnsi="宋体" w:eastAsia="宋体" w:cs="宋体"/>
          <w:bCs/>
        </w:rPr>
        <w:t>商务、</w:t>
      </w:r>
      <w:r>
        <w:rPr>
          <w:rFonts w:hint="eastAsia" w:ascii="宋体" w:hAnsi="宋体" w:eastAsia="宋体" w:cs="宋体"/>
          <w:bCs/>
          <w:lang w:val="zh-CN"/>
        </w:rPr>
        <w:t>技术偏离表</w:t>
      </w:r>
    </w:p>
    <w:p w14:paraId="451B3599">
      <w:pPr>
        <w:pStyle w:val="25"/>
        <w:adjustRightInd w:val="0"/>
        <w:snapToGrid w:val="0"/>
        <w:spacing w:line="360" w:lineRule="auto"/>
        <w:ind w:firstLine="420" w:firstLineChars="200"/>
        <w:rPr>
          <w:rFonts w:hint="eastAsia" w:ascii="宋体" w:hAnsi="宋体" w:eastAsia="宋体" w:cs="宋体"/>
          <w:bCs/>
          <w:lang w:val="zh-CN"/>
        </w:rPr>
      </w:pPr>
      <w:r>
        <w:rPr>
          <w:rFonts w:hint="eastAsia" w:ascii="宋体" w:hAnsi="宋体" w:eastAsia="宋体" w:cs="宋体"/>
          <w:bCs/>
          <w:lang w:val="zh-CN"/>
        </w:rPr>
        <w:t>（6）评标标准相应的商务技术资料</w:t>
      </w:r>
    </w:p>
    <w:p w14:paraId="42D91993">
      <w:pPr>
        <w:pStyle w:val="25"/>
        <w:adjustRightInd w:val="0"/>
        <w:snapToGrid w:val="0"/>
        <w:spacing w:line="360" w:lineRule="auto"/>
        <w:ind w:left="420" w:leftChars="200" w:firstLine="0" w:firstLineChars="0"/>
        <w:rPr>
          <w:rFonts w:hint="eastAsia" w:ascii="宋体" w:hAnsi="宋体" w:eastAsia="宋体" w:cs="宋体"/>
          <w:bCs/>
        </w:rPr>
      </w:pPr>
      <w:r>
        <w:rPr>
          <w:rFonts w:hint="eastAsia" w:ascii="宋体" w:hAnsi="宋体" w:eastAsia="宋体" w:cs="宋体"/>
          <w:lang w:val="zh-CN"/>
        </w:rPr>
        <w:t>（</w:t>
      </w:r>
      <w:r>
        <w:rPr>
          <w:rFonts w:hint="eastAsia" w:ascii="宋体" w:hAnsi="宋体" w:eastAsia="宋体" w:cs="宋体"/>
        </w:rPr>
        <w:t>7</w:t>
      </w:r>
      <w:r>
        <w:rPr>
          <w:rFonts w:hint="eastAsia" w:ascii="宋体" w:hAnsi="宋体" w:eastAsia="宋体" w:cs="宋体"/>
          <w:lang w:val="zh-CN"/>
        </w:rPr>
        <w:t>）分包意向协议（需明确分包的金额比重、中小企业声明函中需体现分包商的信息）（如有）</w:t>
      </w:r>
      <w:r>
        <w:rPr>
          <w:rFonts w:hint="eastAsia" w:ascii="宋体" w:hAnsi="宋体" w:eastAsia="宋体" w:cs="宋体"/>
          <w:bCs/>
          <w:lang w:val="zh-CN"/>
        </w:rPr>
        <w:t>（</w:t>
      </w:r>
      <w:r>
        <w:rPr>
          <w:rFonts w:hint="eastAsia" w:ascii="宋体" w:hAnsi="宋体" w:eastAsia="宋体" w:cs="宋体"/>
          <w:bCs/>
        </w:rPr>
        <w:t>8</w:t>
      </w:r>
      <w:r>
        <w:rPr>
          <w:rFonts w:hint="eastAsia" w:ascii="宋体" w:hAnsi="宋体" w:eastAsia="宋体" w:cs="宋体"/>
          <w:bCs/>
          <w:lang w:val="zh-CN"/>
        </w:rPr>
        <w:t>）其他必要提供的资料</w:t>
      </w:r>
    </w:p>
    <w:p w14:paraId="5630A336">
      <w:pPr>
        <w:pStyle w:val="25"/>
        <w:adjustRightInd w:val="0"/>
        <w:snapToGrid w:val="0"/>
        <w:spacing w:line="360" w:lineRule="auto"/>
        <w:ind w:firstLine="420" w:firstLineChars="200"/>
        <w:rPr>
          <w:rFonts w:hint="eastAsia" w:ascii="宋体" w:hAnsi="宋体" w:eastAsia="宋体" w:cs="宋体"/>
          <w:bCs/>
          <w:lang w:val="zh-CN"/>
        </w:rPr>
      </w:pPr>
      <w:r>
        <w:rPr>
          <w:rFonts w:hint="eastAsia" w:ascii="宋体" w:hAnsi="宋体" w:eastAsia="宋体" w:cs="宋体"/>
          <w:bCs/>
          <w:lang w:val="zh-CN"/>
        </w:rPr>
        <w:t>注：上述组成响应文件的各项资料中本</w:t>
      </w:r>
      <w:r>
        <w:rPr>
          <w:rFonts w:hint="eastAsia" w:ascii="宋体" w:hAnsi="宋体" w:eastAsia="宋体" w:cs="宋体"/>
          <w:bCs/>
        </w:rPr>
        <w:t>磋商</w:t>
      </w:r>
      <w:r>
        <w:rPr>
          <w:rFonts w:hint="eastAsia" w:ascii="宋体" w:hAnsi="宋体" w:eastAsia="宋体" w:cs="宋体"/>
          <w:bCs/>
          <w:lang w:val="zh-CN"/>
        </w:rPr>
        <w:t>文件的有规定格式的，应统一按本</w:t>
      </w:r>
      <w:r>
        <w:rPr>
          <w:rFonts w:hint="eastAsia" w:ascii="宋体" w:hAnsi="宋体" w:eastAsia="宋体" w:cs="宋体"/>
          <w:bCs/>
        </w:rPr>
        <w:t>磋商</w:t>
      </w:r>
      <w:r>
        <w:rPr>
          <w:rFonts w:hint="eastAsia" w:ascii="宋体" w:hAnsi="宋体" w:eastAsia="宋体" w:cs="宋体"/>
          <w:bCs/>
          <w:lang w:val="zh-CN"/>
        </w:rPr>
        <w:t>文件的规定格式填写。未有规定格式的资料，供应商应自行编制，但至少要包含以上要求的内容。</w:t>
      </w:r>
    </w:p>
    <w:p w14:paraId="4BE19573">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lang w:val="zh-CN"/>
        </w:rPr>
        <w:t>供应商应当按照磋商文件的要求编制响应文件，并对其提交的响应文件的真实性、合法性承担法律责任</w:t>
      </w:r>
      <w:r>
        <w:rPr>
          <w:rFonts w:hint="eastAsia" w:ascii="宋体" w:hAnsi="宋体" w:eastAsia="宋体" w:cs="宋体"/>
          <w:b/>
          <w:bCs/>
          <w:szCs w:val="21"/>
        </w:rPr>
        <w:t>。</w:t>
      </w:r>
    </w:p>
    <w:p w14:paraId="0C6470AB">
      <w:pPr>
        <w:spacing w:line="360" w:lineRule="auto"/>
        <w:ind w:firstLine="422" w:firstLineChars="200"/>
        <w:rPr>
          <w:rFonts w:hint="eastAsia" w:ascii="宋体" w:hAnsi="宋体" w:eastAsia="宋体" w:cs="宋体"/>
          <w:b/>
          <w:bCs/>
        </w:rPr>
      </w:pPr>
      <w:r>
        <w:rPr>
          <w:rFonts w:hint="eastAsia" w:ascii="宋体" w:hAnsi="宋体" w:eastAsia="宋体" w:cs="宋体"/>
          <w:b/>
          <w:bCs/>
        </w:rPr>
        <w:t>注：1、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w:t>
      </w:r>
      <w:r>
        <w:rPr>
          <w:rFonts w:hint="eastAsia" w:ascii="宋体" w:hAnsi="宋体" w:eastAsia="宋体" w:cs="宋体"/>
          <w:b/>
          <w:bCs/>
          <w:lang w:eastAsia="zh-CN"/>
        </w:rPr>
        <w:t>响应文件</w:t>
      </w:r>
      <w:r>
        <w:rPr>
          <w:rFonts w:hint="eastAsia" w:ascii="宋体" w:hAnsi="宋体" w:eastAsia="宋体" w:cs="宋体"/>
          <w:b/>
          <w:bCs/>
        </w:rPr>
        <w:t>将被作无效</w:t>
      </w:r>
      <w:r>
        <w:rPr>
          <w:rFonts w:hint="eastAsia" w:ascii="宋体" w:hAnsi="宋体" w:eastAsia="宋体" w:cs="宋体"/>
          <w:b/>
          <w:bCs/>
          <w:lang w:eastAsia="zh-CN"/>
        </w:rPr>
        <w:t>响应文件</w:t>
      </w:r>
      <w:r>
        <w:rPr>
          <w:rFonts w:hint="eastAsia" w:ascii="宋体" w:hAnsi="宋体" w:eastAsia="宋体" w:cs="宋体"/>
          <w:b/>
          <w:bCs/>
        </w:rPr>
        <w:t>处理。(▲如以联合体形式参加政府采购活动的，联合体协议不符合</w:t>
      </w:r>
      <w:r>
        <w:rPr>
          <w:rFonts w:hint="eastAsia" w:ascii="宋体" w:hAnsi="宋体" w:eastAsia="宋体" w:cs="宋体"/>
          <w:b/>
          <w:bCs/>
          <w:lang w:eastAsia="zh-CN"/>
        </w:rPr>
        <w:t>响应文件</w:t>
      </w:r>
      <w:r>
        <w:rPr>
          <w:rFonts w:hint="eastAsia" w:ascii="宋体" w:hAnsi="宋体" w:eastAsia="宋体" w:cs="宋体"/>
          <w:b/>
          <w:bCs/>
        </w:rPr>
        <w:t>规定的联合体协议要求的，投标无效。）</w:t>
      </w:r>
    </w:p>
    <w:p w14:paraId="109F82AE">
      <w:pPr>
        <w:spacing w:line="360" w:lineRule="auto"/>
        <w:ind w:firstLine="422" w:firstLineChars="200"/>
        <w:rPr>
          <w:rFonts w:hint="eastAsia" w:ascii="宋体" w:hAnsi="宋体" w:eastAsia="宋体" w:cs="宋体"/>
          <w:b/>
          <w:bCs/>
          <w:szCs w:val="21"/>
        </w:rPr>
      </w:pPr>
      <w:r>
        <w:rPr>
          <w:rFonts w:hint="eastAsia" w:ascii="宋体" w:hAnsi="宋体" w:eastAsia="宋体" w:cs="宋体"/>
          <w:b/>
          <w:bCs/>
        </w:rPr>
        <w:t>2、联合体各方资信情况证明文件（营业执照、符合资格条件的声明函、业绩证明材料）由各方成员盖章签字，其他内容以联合体牵头单位为主签署</w:t>
      </w:r>
      <w:r>
        <w:rPr>
          <w:rFonts w:hint="eastAsia" w:ascii="宋体" w:hAnsi="宋体" w:eastAsia="宋体" w:cs="宋体"/>
          <w:b/>
          <w:bCs/>
          <w:lang w:eastAsia="zh-CN"/>
        </w:rPr>
        <w:t>响应文件</w:t>
      </w:r>
      <w:r>
        <w:rPr>
          <w:rFonts w:hint="eastAsia" w:ascii="宋体" w:hAnsi="宋体" w:eastAsia="宋体" w:cs="宋体"/>
          <w:b/>
          <w:bCs/>
        </w:rPr>
        <w:t>。</w:t>
      </w:r>
    </w:p>
    <w:p w14:paraId="0F1B86E7">
      <w:pPr>
        <w:shd w:val="clear" w:color="auto" w:fill="FFFFFF"/>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11</w:t>
      </w:r>
      <w:r>
        <w:rPr>
          <w:rFonts w:hint="eastAsia" w:ascii="宋体" w:hAnsi="宋体" w:eastAsia="宋体" w:cs="宋体"/>
          <w:b/>
          <w:bCs/>
          <w:kern w:val="0"/>
          <w:szCs w:val="21"/>
          <w:lang w:val="zh-CN"/>
        </w:rPr>
        <w:t>、</w:t>
      </w:r>
      <w:r>
        <w:rPr>
          <w:rFonts w:hint="eastAsia" w:ascii="宋体" w:hAnsi="宋体" w:eastAsia="宋体" w:cs="宋体"/>
          <w:b/>
          <w:bCs/>
          <w:szCs w:val="21"/>
        </w:rPr>
        <w:t>磋商保证金</w:t>
      </w:r>
    </w:p>
    <w:p w14:paraId="1754FD26">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无</w:t>
      </w:r>
    </w:p>
    <w:p w14:paraId="08E79B3A">
      <w:pPr>
        <w:shd w:val="clear" w:color="auto" w:fill="FFFFFF"/>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12</w:t>
      </w:r>
      <w:r>
        <w:rPr>
          <w:rFonts w:hint="eastAsia" w:ascii="宋体" w:hAnsi="宋体" w:eastAsia="宋体" w:cs="宋体"/>
          <w:b/>
          <w:bCs/>
          <w:kern w:val="0"/>
          <w:szCs w:val="21"/>
          <w:lang w:val="zh-CN"/>
        </w:rPr>
        <w:t>、</w:t>
      </w:r>
      <w:r>
        <w:rPr>
          <w:rFonts w:hint="eastAsia" w:ascii="宋体" w:hAnsi="宋体" w:eastAsia="宋体" w:cs="宋体"/>
          <w:b/>
          <w:bCs/>
          <w:szCs w:val="21"/>
        </w:rPr>
        <w:t>磋商响应文件的编制和签章</w:t>
      </w:r>
    </w:p>
    <w:p w14:paraId="003EB43E">
      <w:pPr>
        <w:shd w:val="clear" w:color="auto" w:fill="FFFFFF"/>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12.1本项目通过“政府采购云平台（www.zcygov.cn）”实行在线投标响应（电子投标）。供应商应通过“政采云电子交易客户端”，并按照本采购文件和“政府采购云平台”的要求编制并加密磋商响应文件。</w:t>
      </w:r>
    </w:p>
    <w:p w14:paraId="5BB3476C">
      <w:pPr>
        <w:shd w:val="clear" w:color="auto" w:fill="FFFFFF"/>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12.2磋商响应供应商应当按照“10</w:t>
      </w:r>
      <w:r>
        <w:rPr>
          <w:rFonts w:hint="eastAsia" w:ascii="宋体" w:hAnsi="宋体" w:eastAsia="宋体" w:cs="宋体"/>
          <w:b/>
          <w:bCs/>
          <w:szCs w:val="21"/>
          <w:lang w:val="zh-CN"/>
        </w:rPr>
        <w:t>、</w:t>
      </w:r>
      <w:r>
        <w:rPr>
          <w:rFonts w:hint="eastAsia" w:ascii="宋体" w:hAnsi="宋体" w:eastAsia="宋体" w:cs="宋体"/>
          <w:b/>
          <w:bCs/>
          <w:szCs w:val="21"/>
        </w:rPr>
        <w:t>磋商响应文件的组成”规定的内容及顺序在“政采云电子交易客户端”编制磋商响应文件。</w:t>
      </w:r>
      <w:r>
        <w:rPr>
          <w:rFonts w:hint="eastAsia" w:ascii="宋体" w:hAnsi="宋体" w:eastAsia="宋体" w:cs="宋体"/>
          <w:b/>
          <w:kern w:val="0"/>
          <w:szCs w:val="21"/>
        </w:rPr>
        <w:t>其中《资格文件》和《商务技术文件》中不得出现本项目</w:t>
      </w:r>
      <w:r>
        <w:rPr>
          <w:rFonts w:hint="eastAsia" w:ascii="宋体" w:hAnsi="宋体" w:eastAsia="宋体" w:cs="宋体"/>
          <w:b/>
          <w:szCs w:val="21"/>
        </w:rPr>
        <w:t>磋商响应文件</w:t>
      </w:r>
      <w:r>
        <w:rPr>
          <w:rFonts w:hint="eastAsia" w:ascii="宋体" w:hAnsi="宋体" w:eastAsia="宋体" w:cs="宋体"/>
          <w:b/>
          <w:kern w:val="0"/>
          <w:szCs w:val="21"/>
        </w:rPr>
        <w:t>报价，如因磋商响应人原因提前泄露</w:t>
      </w:r>
      <w:r>
        <w:rPr>
          <w:rFonts w:hint="eastAsia" w:ascii="宋体" w:hAnsi="宋体" w:eastAsia="宋体" w:cs="宋体"/>
          <w:b/>
          <w:szCs w:val="21"/>
        </w:rPr>
        <w:t>磋商响应文件</w:t>
      </w:r>
      <w:r>
        <w:rPr>
          <w:rFonts w:hint="eastAsia" w:ascii="宋体" w:hAnsi="宋体" w:eastAsia="宋体" w:cs="宋体"/>
          <w:b/>
          <w:kern w:val="0"/>
          <w:szCs w:val="21"/>
        </w:rPr>
        <w:t>报价，后果自负。</w:t>
      </w:r>
    </w:p>
    <w:p w14:paraId="13FB7803">
      <w:pPr>
        <w:adjustRightInd w:val="0"/>
        <w:snapToGrid w:val="0"/>
        <w:spacing w:line="360" w:lineRule="auto"/>
        <w:ind w:firstLine="371" w:firstLineChars="176"/>
        <w:rPr>
          <w:rFonts w:hint="eastAsia" w:ascii="宋体" w:hAnsi="宋体" w:eastAsia="宋体" w:cs="宋体"/>
          <w:b/>
          <w:bCs/>
          <w:szCs w:val="21"/>
        </w:rPr>
      </w:pPr>
      <w:r>
        <w:rPr>
          <w:rFonts w:hint="eastAsia" w:ascii="宋体" w:hAnsi="宋体" w:eastAsia="宋体" w:cs="宋体"/>
          <w:b/>
          <w:bCs/>
          <w:szCs w:val="21"/>
        </w:rPr>
        <w:t>12.3本文件《第五部分应提交的有关格式范例》中有提供格式的，磋商响应供应商须参照格式进行编制（格式中要求提供相关证明材料的还需后附相关证明材料），并按格式要求在指定位置根据要求进行关联定位并签章。本文件《第五部分  应提交的有关格式范例》未提供格式的，请各磋商响应单位自行拟定格式，并加盖单位公章。</w:t>
      </w:r>
      <w:r>
        <w:rPr>
          <w:rFonts w:hint="eastAsia" w:ascii="宋体" w:hAnsi="宋体" w:eastAsia="宋体" w:cs="宋体"/>
          <w:b/>
          <w:kern w:val="0"/>
          <w:szCs w:val="21"/>
        </w:rPr>
        <w:t>电子签章操作指南详见采购公告附件</w:t>
      </w:r>
      <w:r>
        <w:rPr>
          <w:rFonts w:hint="eastAsia" w:ascii="宋体" w:hAnsi="宋体" w:eastAsia="宋体" w:cs="宋体"/>
          <w:b/>
          <w:szCs w:val="21"/>
        </w:rPr>
        <w:t>《供应商项目采购-电子招投标操作指南》</w:t>
      </w:r>
      <w:r>
        <w:rPr>
          <w:rFonts w:hint="eastAsia" w:ascii="宋体" w:hAnsi="宋体" w:eastAsia="宋体" w:cs="宋体"/>
          <w:szCs w:val="21"/>
        </w:rPr>
        <w:t>。</w:t>
      </w:r>
    </w:p>
    <w:p w14:paraId="5459671C">
      <w:pPr>
        <w:shd w:val="clear" w:color="auto" w:fill="FFFFFF"/>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12.4本章节“10</w:t>
      </w:r>
      <w:r>
        <w:rPr>
          <w:rFonts w:hint="eastAsia" w:ascii="宋体" w:hAnsi="宋体" w:eastAsia="宋体" w:cs="宋体"/>
          <w:b/>
          <w:bCs/>
          <w:szCs w:val="21"/>
          <w:lang w:val="zh-CN"/>
        </w:rPr>
        <w:t>、</w:t>
      </w:r>
      <w:r>
        <w:rPr>
          <w:rFonts w:hint="eastAsia" w:ascii="宋体" w:hAnsi="宋体" w:eastAsia="宋体" w:cs="宋体"/>
          <w:b/>
          <w:bCs/>
          <w:szCs w:val="21"/>
        </w:rPr>
        <w:t>磋商响应文件的组成”内容中约定可以提供复制件的相关证明材料加盖磋商响应供应商公章（例如：各类资格资质证书、业绩材料、荣誉证书等）。</w:t>
      </w:r>
    </w:p>
    <w:p w14:paraId="0BE5B105">
      <w:pPr>
        <w:shd w:val="clear" w:color="auto" w:fill="FFFFFF"/>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12.5本章节“10</w:t>
      </w:r>
      <w:r>
        <w:rPr>
          <w:rFonts w:hint="eastAsia" w:ascii="宋体" w:hAnsi="宋体" w:eastAsia="宋体" w:cs="宋体"/>
          <w:b/>
          <w:bCs/>
          <w:szCs w:val="21"/>
          <w:lang w:val="zh-CN"/>
        </w:rPr>
        <w:t>、</w:t>
      </w:r>
      <w:r>
        <w:rPr>
          <w:rFonts w:hint="eastAsia" w:ascii="宋体" w:hAnsi="宋体" w:eastAsia="宋体" w:cs="宋体"/>
          <w:b/>
          <w:bCs/>
          <w:szCs w:val="21"/>
        </w:rPr>
        <w:t>磋商响应文件的组成”内容中标注“▲”的内容为必须提供的内容，未提供的磋商响应无效。</w:t>
      </w:r>
    </w:p>
    <w:p w14:paraId="5D4070B1">
      <w:pPr>
        <w:shd w:val="clear" w:color="auto" w:fill="FFFFFF"/>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12.6《磋商响应文件》内容不完整、编排混乱导致《磋商响应文件》被误读、漏读或者查找不到相关内容的，是磋商响应供应商的责任。</w:t>
      </w:r>
    </w:p>
    <w:p w14:paraId="6E53CE87">
      <w:pPr>
        <w:shd w:val="clear" w:color="auto" w:fill="FFFFFF"/>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12.7《磋商响应文件》因字迹潦草或表达不清所引起的后果由磋商响应供应商负责。</w:t>
      </w:r>
    </w:p>
    <w:p w14:paraId="427D8F40">
      <w:pPr>
        <w:shd w:val="clear" w:color="auto" w:fill="FFFFFF"/>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12.8磋商响应供应商没有按照“10</w:t>
      </w:r>
      <w:r>
        <w:rPr>
          <w:rFonts w:hint="eastAsia" w:ascii="宋体" w:hAnsi="宋体" w:eastAsia="宋体" w:cs="宋体"/>
          <w:b/>
          <w:bCs/>
          <w:szCs w:val="21"/>
          <w:lang w:val="zh-CN"/>
        </w:rPr>
        <w:t>、</w:t>
      </w:r>
      <w:r>
        <w:rPr>
          <w:rFonts w:hint="eastAsia" w:ascii="宋体" w:hAnsi="宋体" w:eastAsia="宋体" w:cs="宋体"/>
          <w:b/>
          <w:bCs/>
          <w:szCs w:val="21"/>
        </w:rPr>
        <w:t>磋商响应文件的组成”要求提供全部资料，或者没有仔细阅读采购文件，或者没有对采购文件在各方面的要求作出实质性响应是磋商响应供应商的风险，由此造成的一切后果由磋商响应供应商自行承担。</w:t>
      </w:r>
    </w:p>
    <w:p w14:paraId="239C5F21">
      <w:pPr>
        <w:shd w:val="clear" w:color="auto" w:fill="FFFFFF"/>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rPr>
        <w:t>单位为主签署</w:t>
      </w:r>
      <w:r>
        <w:rPr>
          <w:rFonts w:hint="eastAsia" w:ascii="宋体" w:hAnsi="宋体" w:eastAsia="宋体" w:cs="宋体"/>
          <w:b/>
          <w:bCs/>
          <w:lang w:eastAsia="zh-CN"/>
        </w:rPr>
        <w:t>响应文件</w:t>
      </w:r>
      <w:r>
        <w:rPr>
          <w:rFonts w:hint="eastAsia" w:ascii="宋体" w:hAnsi="宋体" w:eastAsia="宋体" w:cs="宋体"/>
          <w:b/>
          <w:bCs/>
        </w:rPr>
        <w:t>。</w:t>
      </w:r>
    </w:p>
    <w:p w14:paraId="2AB969AE">
      <w:pPr>
        <w:adjustRightInd w:val="0"/>
        <w:snapToGrid w:val="0"/>
        <w:spacing w:line="360" w:lineRule="auto"/>
        <w:jc w:val="center"/>
        <w:outlineLvl w:val="9"/>
        <w:rPr>
          <w:rFonts w:hint="eastAsia" w:ascii="宋体" w:hAnsi="宋体" w:eastAsia="宋体" w:cs="宋体"/>
          <w:b/>
          <w:sz w:val="24"/>
        </w:rPr>
      </w:pPr>
      <w:bookmarkStart w:id="54" w:name="_Toc361155992"/>
      <w:bookmarkStart w:id="55" w:name="_Toc442428811"/>
      <w:bookmarkStart w:id="56" w:name="_Toc354996699"/>
      <w:bookmarkStart w:id="57" w:name="_Toc91899892"/>
      <w:bookmarkStart w:id="58" w:name="_Toc86216991"/>
      <w:bookmarkStart w:id="59" w:name="_Toc233618975"/>
      <w:bookmarkStart w:id="60" w:name="_Toc361217426"/>
    </w:p>
    <w:p w14:paraId="587F5CDE">
      <w:pPr>
        <w:adjustRightInd w:val="0"/>
        <w:snapToGrid w:val="0"/>
        <w:spacing w:line="360" w:lineRule="auto"/>
        <w:jc w:val="center"/>
        <w:outlineLvl w:val="1"/>
        <w:rPr>
          <w:rFonts w:hint="eastAsia" w:ascii="宋体" w:hAnsi="宋体" w:eastAsia="宋体" w:cs="宋体"/>
          <w:b/>
          <w:sz w:val="24"/>
        </w:rPr>
      </w:pPr>
      <w:bookmarkStart w:id="61" w:name="_Toc19506"/>
      <w:r>
        <w:rPr>
          <w:rFonts w:hint="eastAsia" w:ascii="宋体" w:hAnsi="宋体" w:eastAsia="宋体" w:cs="宋体"/>
          <w:b/>
          <w:sz w:val="24"/>
        </w:rPr>
        <w:t>四、磋商响应文件的递交</w:t>
      </w:r>
      <w:bookmarkEnd w:id="54"/>
      <w:bookmarkEnd w:id="55"/>
      <w:bookmarkEnd w:id="61"/>
    </w:p>
    <w:p w14:paraId="3E157741">
      <w:pPr>
        <w:pStyle w:val="99"/>
        <w:adjustRightInd w:val="0"/>
        <w:snapToGrid w:val="0"/>
        <w:spacing w:before="0"/>
        <w:ind w:firstLine="0" w:firstLineChars="0"/>
        <w:contextualSpacing/>
        <w:rPr>
          <w:rFonts w:hint="eastAsia" w:ascii="宋体" w:hAnsi="宋体" w:eastAsia="宋体" w:cs="宋体"/>
          <w:b/>
          <w:sz w:val="21"/>
          <w:szCs w:val="21"/>
        </w:rPr>
      </w:pPr>
      <w:r>
        <w:rPr>
          <w:rFonts w:hint="eastAsia" w:ascii="宋体" w:hAnsi="宋体" w:eastAsia="宋体" w:cs="宋体"/>
          <w:b/>
          <w:sz w:val="21"/>
          <w:szCs w:val="21"/>
        </w:rPr>
        <w:t>13、磋商响应文件的上传和递交</w:t>
      </w:r>
    </w:p>
    <w:p w14:paraId="451B109F">
      <w:pPr>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13.1本项目实行网上投标。</w:t>
      </w:r>
    </w:p>
    <w:p w14:paraId="5F4C1492">
      <w:pPr>
        <w:adjustRightInd w:val="0"/>
        <w:snapToGrid w:val="0"/>
        <w:spacing w:line="360" w:lineRule="auto"/>
        <w:ind w:firstLine="420" w:firstLineChars="200"/>
        <w:contextualSpacing/>
        <w:rPr>
          <w:rFonts w:hint="eastAsia" w:ascii="宋体" w:hAnsi="宋体" w:eastAsia="宋体" w:cs="宋体"/>
          <w:b/>
          <w:bCs/>
          <w:szCs w:val="21"/>
        </w:rPr>
      </w:pPr>
      <w:r>
        <w:rPr>
          <w:rFonts w:hint="eastAsia" w:ascii="宋体" w:hAnsi="宋体" w:eastAsia="宋体" w:cs="宋体"/>
          <w:szCs w:val="21"/>
        </w:rPr>
        <w:t>供应商应准备电子响应文件、以介质存储的数据电文形式（U盘）的备份响应文件二类：</w:t>
      </w:r>
      <w:r>
        <w:rPr>
          <w:rFonts w:hint="eastAsia" w:ascii="宋体" w:hAnsi="宋体" w:eastAsia="宋体" w:cs="宋体"/>
          <w:szCs w:val="21"/>
        </w:rPr>
        <w:cr/>
      </w:r>
      <w:r>
        <w:rPr>
          <w:rFonts w:hint="eastAsia" w:ascii="宋体" w:hAnsi="宋体" w:eastAsia="宋体" w:cs="宋体"/>
          <w:b/>
          <w:bCs/>
          <w:szCs w:val="21"/>
        </w:rPr>
        <w:t xml:space="preserve">  （1）电子响应文件，按政采云平台项目采购-电子招投标操作指南及本采购文件要求递交。</w:t>
      </w:r>
      <w:r>
        <w:rPr>
          <w:rFonts w:hint="eastAsia" w:ascii="宋体" w:hAnsi="宋体" w:eastAsia="宋体" w:cs="宋体"/>
          <w:b/>
          <w:bCs/>
          <w:szCs w:val="21"/>
        </w:rPr>
        <w:cr/>
      </w:r>
      <w:r>
        <w:rPr>
          <w:rFonts w:hint="eastAsia" w:ascii="宋体" w:hAnsi="宋体" w:eastAsia="宋体" w:cs="宋体"/>
          <w:b/>
          <w:bCs/>
          <w:szCs w:val="21"/>
        </w:rPr>
        <w:t xml:space="preserve">  （2）以介质存储的数据电文形式（U盘）的备份响应文件，按政采云平台项目采购-电子招投标操作指南中上传的电子响应文件格式，以U盘形式提供。数量为1份。</w:t>
      </w:r>
    </w:p>
    <w:p w14:paraId="5D969D48">
      <w:pPr>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13.2磋商响应文件均由资格文件、商务技术文件、报价文件组成。</w:t>
      </w:r>
    </w:p>
    <w:p w14:paraId="0635BE65">
      <w:pPr>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13.3仅提供备份响应文件，造成项目开评标活动无法进行下去的，磋商响应无效，相关风险由供应商自行承担。</w:t>
      </w:r>
    </w:p>
    <w:p w14:paraId="12437752">
      <w:pPr>
        <w:pStyle w:val="99"/>
        <w:adjustRightInd w:val="0"/>
        <w:snapToGrid w:val="0"/>
        <w:spacing w:before="0"/>
        <w:ind w:firstLine="428"/>
        <w:contextualSpacing/>
        <w:rPr>
          <w:rFonts w:hint="eastAsia" w:ascii="宋体" w:hAnsi="宋体" w:eastAsia="宋体" w:cs="宋体"/>
          <w:b/>
          <w:bCs/>
          <w:sz w:val="21"/>
          <w:szCs w:val="21"/>
        </w:rPr>
      </w:pPr>
      <w:r>
        <w:rPr>
          <w:rFonts w:hint="eastAsia" w:ascii="宋体" w:hAnsi="宋体" w:eastAsia="宋体" w:cs="宋体"/>
          <w:b/>
          <w:bCs/>
          <w:sz w:val="21"/>
          <w:szCs w:val="21"/>
        </w:rPr>
        <w:t xml:space="preserve">13.4 </w:t>
      </w:r>
      <w:r>
        <w:rPr>
          <w:rFonts w:hint="eastAsia" w:ascii="宋体" w:hAnsi="宋体" w:eastAsia="宋体" w:cs="宋体"/>
          <w:sz w:val="21"/>
          <w:szCs w:val="21"/>
        </w:rPr>
        <w:t>“备份磋商响应文件”</w:t>
      </w:r>
      <w:r>
        <w:rPr>
          <w:rFonts w:hint="eastAsia" w:ascii="宋体" w:hAnsi="宋体" w:eastAsia="宋体" w:cs="宋体"/>
          <w:b/>
          <w:bCs/>
          <w:sz w:val="21"/>
          <w:szCs w:val="21"/>
        </w:rPr>
        <w:t>递交至前附表所述的单位和地址。</w:t>
      </w:r>
    </w:p>
    <w:p w14:paraId="27630590">
      <w:pPr>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13.5“电子加密磋商响应文件”解密和异常情况处理。</w:t>
      </w:r>
    </w:p>
    <w:p w14:paraId="1C23F816">
      <w:pPr>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13.5.1“电子加密磋商响应文件”解密：见《前附表》。</w:t>
      </w:r>
    </w:p>
    <w:p w14:paraId="5A4F0C77">
      <w:pPr>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13.6磋商响应文件的补充、修改或撤回</w:t>
      </w:r>
    </w:p>
    <w:p w14:paraId="7AEB3C03">
      <w:pPr>
        <w:adjustRightInd w:val="0"/>
        <w:snapToGrid w:val="0"/>
        <w:spacing w:line="360" w:lineRule="auto"/>
        <w:ind w:firstLine="422" w:firstLineChars="200"/>
        <w:contextualSpacing/>
        <w:rPr>
          <w:rFonts w:hint="eastAsia" w:ascii="宋体" w:hAnsi="宋体" w:eastAsia="宋体" w:cs="宋体"/>
          <w:kern w:val="0"/>
          <w:szCs w:val="21"/>
        </w:rPr>
      </w:pPr>
      <w:r>
        <w:rPr>
          <w:rFonts w:hint="eastAsia" w:ascii="宋体" w:hAnsi="宋体" w:eastAsia="宋体" w:cs="宋体"/>
          <w:b/>
          <w:bCs/>
          <w:szCs w:val="21"/>
        </w:rPr>
        <w:t>13.6.1供应商应当在磋商响应截止时间前完成磋商响应文件的上传、递交，并可以补充、修改或者撤回磋商响应文件。补充或者修改磋商响应文件的，应当先行撤回原文件，补充、修改后重新上传、递交。磋商响应截止时间前未完成上传、递交的，视为撤回磋商响应文件。磋商响应截止时间后递交的磋商响应文件，“政府采购云平台”将予以拒收</w:t>
      </w:r>
      <w:r>
        <w:rPr>
          <w:rFonts w:hint="eastAsia" w:ascii="宋体" w:hAnsi="宋体" w:eastAsia="宋体" w:cs="宋体"/>
          <w:b/>
          <w:kern w:val="0"/>
          <w:szCs w:val="21"/>
        </w:rPr>
        <w:t>。</w:t>
      </w:r>
    </w:p>
    <w:p w14:paraId="324D4DEF">
      <w:pPr>
        <w:pStyle w:val="99"/>
        <w:adjustRightInd w:val="0"/>
        <w:snapToGrid w:val="0"/>
        <w:spacing w:before="0"/>
        <w:ind w:firstLine="428"/>
        <w:contextualSpacing/>
        <w:rPr>
          <w:rFonts w:hint="eastAsia" w:ascii="宋体" w:hAnsi="宋体" w:eastAsia="宋体" w:cs="宋体"/>
          <w:sz w:val="21"/>
          <w:szCs w:val="21"/>
        </w:rPr>
      </w:pPr>
      <w:r>
        <w:rPr>
          <w:rFonts w:hint="eastAsia" w:ascii="宋体" w:hAnsi="宋体" w:eastAsia="宋体" w:cs="宋体"/>
          <w:b/>
          <w:kern w:val="0"/>
          <w:sz w:val="21"/>
          <w:szCs w:val="21"/>
        </w:rPr>
        <w:t>13.6.2</w:t>
      </w:r>
      <w:r>
        <w:rPr>
          <w:rFonts w:hint="eastAsia" w:ascii="宋体" w:hAnsi="宋体" w:eastAsia="宋体" w:cs="宋体"/>
          <w:sz w:val="21"/>
          <w:szCs w:val="21"/>
        </w:rPr>
        <w:t xml:space="preserve"> 磋商响应人应按前附表规定的时间、地点完成磋商响应文件的上传、解密。</w:t>
      </w:r>
    </w:p>
    <w:p w14:paraId="04FEA4BC">
      <w:pPr>
        <w:pStyle w:val="99"/>
        <w:adjustRightInd w:val="0"/>
        <w:snapToGrid w:val="0"/>
        <w:spacing w:before="0"/>
        <w:ind w:firstLine="428"/>
        <w:contextualSpacing/>
        <w:rPr>
          <w:rFonts w:hint="eastAsia" w:ascii="宋体" w:hAnsi="宋体" w:eastAsia="宋体" w:cs="宋体"/>
          <w:sz w:val="21"/>
          <w:szCs w:val="21"/>
        </w:rPr>
      </w:pPr>
      <w:r>
        <w:rPr>
          <w:rFonts w:hint="eastAsia" w:ascii="宋体" w:hAnsi="宋体" w:eastAsia="宋体" w:cs="宋体"/>
          <w:b/>
          <w:kern w:val="0"/>
          <w:sz w:val="21"/>
          <w:szCs w:val="21"/>
        </w:rPr>
        <w:t>13.6.3</w:t>
      </w:r>
      <w:r>
        <w:rPr>
          <w:rFonts w:hint="eastAsia" w:ascii="宋体" w:hAnsi="宋体" w:eastAsia="宋体" w:cs="宋体"/>
          <w:sz w:val="21"/>
          <w:szCs w:val="21"/>
        </w:rPr>
        <w:t>磋商响应人应按前附表规定的时间、地点完成“备份磋商响应文件”的递交，</w:t>
      </w:r>
      <w:r>
        <w:rPr>
          <w:rFonts w:hint="eastAsia" w:ascii="宋体" w:hAnsi="宋体" w:eastAsia="宋体" w:cs="宋体"/>
          <w:sz w:val="21"/>
          <w:szCs w:val="21"/>
          <w:lang w:eastAsia="zh-CN"/>
        </w:rPr>
        <w:t>采购代理机构</w:t>
      </w:r>
      <w:r>
        <w:rPr>
          <w:rFonts w:hint="eastAsia" w:ascii="宋体" w:hAnsi="宋体" w:eastAsia="宋体" w:cs="宋体"/>
          <w:sz w:val="21"/>
          <w:szCs w:val="21"/>
        </w:rPr>
        <w:t>将拒绝接受逾期送达的“备份磋商响应文件”。</w:t>
      </w:r>
    </w:p>
    <w:p w14:paraId="52FE7E30">
      <w:pPr>
        <w:pStyle w:val="99"/>
        <w:adjustRightInd w:val="0"/>
        <w:snapToGrid w:val="0"/>
        <w:spacing w:before="0"/>
        <w:ind w:firstLine="428"/>
        <w:contextualSpacing/>
        <w:rPr>
          <w:rFonts w:hint="eastAsia" w:ascii="宋体" w:hAnsi="宋体" w:eastAsia="宋体" w:cs="宋体"/>
          <w:b/>
          <w:kern w:val="0"/>
          <w:sz w:val="21"/>
          <w:szCs w:val="21"/>
        </w:rPr>
      </w:pPr>
      <w:r>
        <w:rPr>
          <w:rFonts w:hint="eastAsia" w:ascii="宋体" w:hAnsi="宋体" w:eastAsia="宋体" w:cs="宋体"/>
          <w:b/>
          <w:kern w:val="0"/>
          <w:sz w:val="21"/>
          <w:szCs w:val="21"/>
        </w:rPr>
        <w:t>13.6.4</w:t>
      </w:r>
      <w:r>
        <w:rPr>
          <w:rFonts w:hint="eastAsia" w:ascii="宋体" w:hAnsi="宋体" w:eastAsia="宋体" w:cs="宋体"/>
          <w:sz w:val="21"/>
          <w:szCs w:val="21"/>
        </w:rPr>
        <w:t xml:space="preserve"> </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可以按本须知规定以补充通知的方式，酌情延长递交磋商响应文件的截止日期。在上述情况下，</w:t>
      </w:r>
      <w:r>
        <w:rPr>
          <w:rFonts w:hint="eastAsia" w:ascii="宋体" w:hAnsi="宋体" w:eastAsia="宋体" w:cs="宋体"/>
          <w:sz w:val="21"/>
          <w:szCs w:val="21"/>
          <w:lang w:eastAsia="zh-CN"/>
        </w:rPr>
        <w:t>采购代理机构</w:t>
      </w:r>
      <w:r>
        <w:rPr>
          <w:rFonts w:hint="eastAsia" w:ascii="宋体" w:hAnsi="宋体" w:eastAsia="宋体" w:cs="宋体"/>
          <w:sz w:val="21"/>
          <w:szCs w:val="21"/>
        </w:rPr>
        <w:t>与磋商响应人以前在磋商响应截止期方面的全部权利、责任和义务，将适用于延长至新的磋商响应截止期。</w:t>
      </w:r>
    </w:p>
    <w:p w14:paraId="79F223D8">
      <w:pPr>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13.6.5磋商上传截止时间后，磋商响应供应商不得撤回、修改《磋商响应文件》。</w:t>
      </w:r>
    </w:p>
    <w:p w14:paraId="5CBEDFDC">
      <w:pPr>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13.7磋商响应文件的备选方案</w:t>
      </w:r>
    </w:p>
    <w:p w14:paraId="50555E4D">
      <w:pPr>
        <w:adjustRightInd w:val="0"/>
        <w:snapToGrid w:val="0"/>
        <w:spacing w:line="360" w:lineRule="auto"/>
        <w:ind w:firstLine="422" w:firstLineChars="200"/>
        <w:contextualSpacing/>
        <w:rPr>
          <w:rFonts w:hint="eastAsia" w:ascii="宋体" w:hAnsi="宋体" w:eastAsia="宋体" w:cs="宋体"/>
          <w:b/>
          <w:bCs/>
          <w:szCs w:val="21"/>
        </w:rPr>
      </w:pPr>
      <w:r>
        <w:rPr>
          <w:rFonts w:hint="eastAsia" w:ascii="宋体" w:hAnsi="宋体" w:eastAsia="宋体" w:cs="宋体"/>
          <w:b/>
          <w:bCs/>
          <w:szCs w:val="21"/>
        </w:rPr>
        <w:t>13.7.1磋商响应供应商不得递交任何的磋商响应备选（替代）方案，否则其磋商响应文件将作无效标处理。与“电子加密磋商响应文件”同时生成的“备份磋商响应文件”不是磋商响应备选（替代）方案。</w:t>
      </w:r>
    </w:p>
    <w:p w14:paraId="70FD7C2C">
      <w:pPr>
        <w:pStyle w:val="44"/>
        <w:rPr>
          <w:rFonts w:hint="eastAsia" w:ascii="宋体" w:hAnsi="宋体" w:eastAsia="宋体" w:cs="宋体"/>
        </w:rPr>
      </w:pPr>
    </w:p>
    <w:p w14:paraId="55B41F86">
      <w:pPr>
        <w:adjustRightInd w:val="0"/>
        <w:snapToGrid w:val="0"/>
        <w:spacing w:line="360" w:lineRule="auto"/>
        <w:jc w:val="center"/>
        <w:outlineLvl w:val="1"/>
        <w:rPr>
          <w:rFonts w:hint="eastAsia" w:ascii="宋体" w:hAnsi="宋体" w:eastAsia="宋体" w:cs="宋体"/>
          <w:b/>
          <w:sz w:val="24"/>
        </w:rPr>
      </w:pPr>
      <w:bookmarkStart w:id="62" w:name="_Toc442428812"/>
      <w:bookmarkStart w:id="63" w:name="_Toc12711"/>
      <w:r>
        <w:rPr>
          <w:rFonts w:hint="eastAsia" w:ascii="宋体" w:hAnsi="宋体" w:eastAsia="宋体" w:cs="宋体"/>
          <w:b/>
          <w:sz w:val="24"/>
        </w:rPr>
        <w:t>五、开 标</w:t>
      </w:r>
      <w:bookmarkEnd w:id="62"/>
      <w:bookmarkEnd w:id="63"/>
    </w:p>
    <w:p w14:paraId="5E8E9A4A">
      <w:pPr>
        <w:pStyle w:val="99"/>
        <w:adjustRightInd w:val="0"/>
        <w:snapToGrid w:val="0"/>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14</w:t>
      </w:r>
      <w:r>
        <w:rPr>
          <w:rFonts w:hint="eastAsia" w:ascii="宋体" w:hAnsi="宋体" w:eastAsia="宋体" w:cs="宋体"/>
          <w:b/>
          <w:kern w:val="0"/>
          <w:sz w:val="21"/>
          <w:szCs w:val="21"/>
          <w:lang w:val="zh-CN"/>
        </w:rPr>
        <w:t>、开标形式</w:t>
      </w:r>
    </w:p>
    <w:p w14:paraId="64661BF6">
      <w:pPr>
        <w:adjustRightInd w:val="0"/>
        <w:snapToGrid w:val="0"/>
        <w:spacing w:line="360" w:lineRule="auto"/>
        <w:ind w:firstLine="371" w:firstLineChars="177"/>
        <w:rPr>
          <w:rFonts w:hint="eastAsia" w:ascii="宋体" w:hAnsi="宋体" w:eastAsia="宋体" w:cs="宋体"/>
          <w:b/>
          <w:szCs w:val="21"/>
        </w:rPr>
      </w:pPr>
      <w:r>
        <w:rPr>
          <w:rFonts w:hint="eastAsia" w:ascii="宋体" w:hAnsi="宋体" w:eastAsia="宋体" w:cs="宋体"/>
          <w:szCs w:val="21"/>
        </w:rPr>
        <w:t xml:space="preserve">14.1 </w:t>
      </w:r>
      <w:r>
        <w:rPr>
          <w:rFonts w:hint="eastAsia" w:ascii="宋体" w:hAnsi="宋体" w:eastAsia="宋体" w:cs="宋体"/>
          <w:b/>
          <w:szCs w:val="21"/>
        </w:rPr>
        <w:t>采购组织机构将按照采购文件规定的时间通过“政府采购云平台”组织开标、开启磋商响应文件，所有供应商均应当准时在线参加。</w:t>
      </w:r>
    </w:p>
    <w:p w14:paraId="478026EE">
      <w:pPr>
        <w:pStyle w:val="99"/>
        <w:adjustRightInd w:val="0"/>
        <w:snapToGrid w:val="0"/>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15、开标准备</w:t>
      </w:r>
    </w:p>
    <w:p w14:paraId="668B4067">
      <w:pPr>
        <w:adjustRightInd w:val="0"/>
        <w:snapToGrid w:val="0"/>
        <w:spacing w:line="360" w:lineRule="auto"/>
        <w:ind w:firstLine="369" w:firstLineChars="176"/>
        <w:rPr>
          <w:rFonts w:hint="eastAsia" w:ascii="宋体" w:hAnsi="宋体" w:eastAsia="宋体" w:cs="宋体"/>
          <w:kern w:val="0"/>
          <w:szCs w:val="21"/>
        </w:rPr>
      </w:pPr>
      <w:r>
        <w:rPr>
          <w:rFonts w:hint="eastAsia" w:ascii="宋体" w:hAnsi="宋体" w:eastAsia="宋体" w:cs="宋体"/>
          <w:szCs w:val="21"/>
        </w:rPr>
        <w:t>15</w:t>
      </w:r>
      <w:r>
        <w:rPr>
          <w:rFonts w:hint="eastAsia" w:ascii="宋体" w:hAnsi="宋体" w:eastAsia="宋体" w:cs="宋体"/>
          <w:kern w:val="0"/>
          <w:szCs w:val="21"/>
        </w:rPr>
        <w:t>.1开标的准备工作由采购组织机构负责落实。</w:t>
      </w:r>
    </w:p>
    <w:p w14:paraId="4E26432D">
      <w:pPr>
        <w:adjustRightInd w:val="0"/>
        <w:snapToGrid w:val="0"/>
        <w:spacing w:line="360" w:lineRule="auto"/>
        <w:ind w:firstLine="369" w:firstLineChars="176"/>
        <w:rPr>
          <w:rFonts w:hint="eastAsia" w:ascii="宋体" w:hAnsi="宋体" w:eastAsia="宋体" w:cs="宋体"/>
          <w:kern w:val="0"/>
          <w:szCs w:val="21"/>
        </w:rPr>
      </w:pPr>
      <w:r>
        <w:rPr>
          <w:rFonts w:hint="eastAsia" w:ascii="宋体" w:hAnsi="宋体" w:eastAsia="宋体" w:cs="宋体"/>
          <w:szCs w:val="21"/>
        </w:rPr>
        <w:t>15</w:t>
      </w:r>
      <w:r>
        <w:rPr>
          <w:rFonts w:hint="eastAsia" w:ascii="宋体" w:hAnsi="宋体" w:eastAsia="宋体" w:cs="宋体"/>
          <w:kern w:val="0"/>
          <w:szCs w:val="21"/>
        </w:rPr>
        <w:t>.2</w:t>
      </w:r>
      <w:r>
        <w:rPr>
          <w:rFonts w:hint="eastAsia" w:ascii="宋体" w:hAnsi="宋体" w:eastAsia="宋体" w:cs="宋体"/>
          <w:b/>
          <w:szCs w:val="21"/>
        </w:rPr>
        <w:t>采购组织机构将按照采购文件规定的时间通过“政府采购云平台”组织开标、开启磋商响应文件，所有供应商均应当准时在线参加。磋商响应</w:t>
      </w:r>
      <w:r>
        <w:rPr>
          <w:rFonts w:hint="eastAsia" w:ascii="宋体" w:hAnsi="宋体" w:eastAsia="宋体" w:cs="宋体"/>
          <w:b/>
          <w:kern w:val="0"/>
          <w:szCs w:val="21"/>
        </w:rPr>
        <w:t>供应商如不在线参加开标大会的，视同认可开标结果，事后不得对采购相关人员、开标过程和开标结果提出异议，同时磋商响应供应商因未在线参加开标而导致磋商响应文件无法按时解密等一切后果由供应商自己承担。</w:t>
      </w:r>
    </w:p>
    <w:p w14:paraId="402DB061">
      <w:pPr>
        <w:pStyle w:val="99"/>
        <w:adjustRightInd w:val="0"/>
        <w:snapToGrid w:val="0"/>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15.3开标流程（两阶段）</w:t>
      </w:r>
    </w:p>
    <w:p w14:paraId="2FAE80A1">
      <w:pPr>
        <w:adjustRightInd w:val="0"/>
        <w:snapToGrid w:val="0"/>
        <w:spacing w:line="360" w:lineRule="auto"/>
        <w:ind w:firstLine="371" w:firstLineChars="177"/>
        <w:jc w:val="left"/>
        <w:rPr>
          <w:rFonts w:hint="eastAsia" w:ascii="宋体" w:hAnsi="宋体" w:eastAsia="宋体" w:cs="宋体"/>
          <w:b/>
          <w:kern w:val="0"/>
          <w:szCs w:val="21"/>
        </w:rPr>
      </w:pPr>
      <w:r>
        <w:rPr>
          <w:rFonts w:hint="eastAsia" w:ascii="宋体" w:hAnsi="宋体" w:eastAsia="宋体" w:cs="宋体"/>
          <w:szCs w:val="21"/>
        </w:rPr>
        <w:t>15.3</w:t>
      </w:r>
      <w:r>
        <w:rPr>
          <w:rFonts w:hint="eastAsia" w:ascii="宋体" w:hAnsi="宋体" w:eastAsia="宋体" w:cs="宋体"/>
          <w:b/>
          <w:kern w:val="0"/>
          <w:szCs w:val="21"/>
        </w:rPr>
        <w:t>.1开标第一阶段</w:t>
      </w:r>
    </w:p>
    <w:p w14:paraId="7B0713AC">
      <w:pPr>
        <w:adjustRightInd w:val="0"/>
        <w:snapToGrid w:val="0"/>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（1）向各</w:t>
      </w:r>
      <w:r>
        <w:rPr>
          <w:rFonts w:hint="eastAsia" w:ascii="宋体" w:hAnsi="宋体" w:eastAsia="宋体" w:cs="宋体"/>
          <w:szCs w:val="21"/>
        </w:rPr>
        <w:t>磋商响应</w:t>
      </w:r>
      <w:r>
        <w:rPr>
          <w:rFonts w:hint="eastAsia" w:ascii="宋体" w:hAnsi="宋体" w:eastAsia="宋体" w:cs="宋体"/>
          <w:kern w:val="0"/>
          <w:szCs w:val="21"/>
        </w:rPr>
        <w:t>供应商发出电子加密磋商响应文件【开始解密】通知，由供应商按采购文件规定的时间内自行进行电子加密磋商响应文件解密。</w:t>
      </w:r>
      <w:r>
        <w:rPr>
          <w:rFonts w:hint="eastAsia" w:ascii="宋体" w:hAnsi="宋体" w:eastAsia="宋体" w:cs="宋体"/>
          <w:kern w:val="0"/>
          <w:szCs w:val="21"/>
          <w:lang w:eastAsia="zh-CN"/>
        </w:rPr>
        <w:t>磋商供应商</w:t>
      </w:r>
      <w:r>
        <w:rPr>
          <w:rFonts w:hint="eastAsia" w:ascii="宋体" w:hAnsi="宋体" w:eastAsia="宋体" w:cs="宋体"/>
          <w:kern w:val="0"/>
          <w:szCs w:val="21"/>
        </w:rPr>
        <w:t>在规定的时间内无法完成已递交的“电子加密磋商响应文件”解密的，如已按规定递交了备份磋商响应文件的，将由采购组织机构按“政府采购云平台”操作规范将备份磋商响应文件上传至“政府采购云平台”，上传成功后，“电子加密磋商响应文件”自动失效。</w:t>
      </w:r>
    </w:p>
    <w:p w14:paraId="695F7C4C">
      <w:pPr>
        <w:adjustRightInd w:val="0"/>
        <w:snapToGrid w:val="0"/>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（2）开启磋商响应文件，进入资格审查。</w:t>
      </w:r>
    </w:p>
    <w:p w14:paraId="6D68A1F3">
      <w:pPr>
        <w:adjustRightInd w:val="0"/>
        <w:snapToGrid w:val="0"/>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（3）对资格审查通过的</w:t>
      </w:r>
      <w:r>
        <w:rPr>
          <w:rFonts w:hint="eastAsia" w:ascii="宋体" w:hAnsi="宋体" w:eastAsia="宋体" w:cs="宋体"/>
          <w:szCs w:val="21"/>
        </w:rPr>
        <w:t>磋商响应</w:t>
      </w:r>
      <w:r>
        <w:rPr>
          <w:rFonts w:hint="eastAsia" w:ascii="宋体" w:hAnsi="宋体" w:eastAsia="宋体" w:cs="宋体"/>
          <w:kern w:val="0"/>
          <w:szCs w:val="21"/>
        </w:rPr>
        <w:t>供应商的商务技术文件进入符合性审查、商务技术评审。</w:t>
      </w:r>
    </w:p>
    <w:p w14:paraId="1E7F334F">
      <w:pPr>
        <w:adjustRightInd w:val="0"/>
        <w:snapToGrid w:val="0"/>
        <w:spacing w:line="360" w:lineRule="auto"/>
        <w:ind w:firstLine="373" w:firstLineChars="177"/>
        <w:jc w:val="left"/>
        <w:rPr>
          <w:rFonts w:hint="eastAsia" w:ascii="宋体" w:hAnsi="宋体" w:eastAsia="宋体" w:cs="宋体"/>
          <w:b/>
          <w:kern w:val="0"/>
          <w:szCs w:val="21"/>
        </w:rPr>
      </w:pPr>
      <w:r>
        <w:rPr>
          <w:rFonts w:hint="eastAsia" w:ascii="宋体" w:hAnsi="宋体" w:eastAsia="宋体" w:cs="宋体"/>
          <w:b/>
          <w:kern w:val="0"/>
          <w:szCs w:val="21"/>
        </w:rPr>
        <w:t>备注：开标大会的第一阶段结束后，磋商小组将对依法对磋商响应供应商的资格进行审查，资格审查结束后进入符合性审查和商务技术的评审工作，具体见本章节“磋商响应供应商资格审查”相关规定。</w:t>
      </w:r>
    </w:p>
    <w:p w14:paraId="567126FB">
      <w:pPr>
        <w:adjustRightInd w:val="0"/>
        <w:snapToGrid w:val="0"/>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szCs w:val="21"/>
        </w:rPr>
        <w:t>15.3</w:t>
      </w:r>
      <w:r>
        <w:rPr>
          <w:rFonts w:hint="eastAsia" w:ascii="宋体" w:hAnsi="宋体" w:eastAsia="宋体" w:cs="宋体"/>
          <w:kern w:val="0"/>
          <w:szCs w:val="21"/>
        </w:rPr>
        <w:t>.2开标大会第二阶段</w:t>
      </w:r>
    </w:p>
    <w:p w14:paraId="631B7BAD">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15.3</w:t>
      </w:r>
      <w:r>
        <w:rPr>
          <w:rFonts w:hint="eastAsia" w:ascii="宋体" w:hAnsi="宋体" w:eastAsia="宋体" w:cs="宋体"/>
          <w:kern w:val="0"/>
          <w:szCs w:val="21"/>
        </w:rPr>
        <w:t>.2.1符合性审查、商务技术评审结束后，举行开标大会第二阶段会议。首先公布符合性审查、商务技术评审无效供应商名称及理由。公布经商务技术评审后有效</w:t>
      </w:r>
      <w:r>
        <w:rPr>
          <w:rFonts w:hint="eastAsia" w:ascii="宋体" w:hAnsi="宋体" w:eastAsia="宋体" w:cs="宋体"/>
          <w:szCs w:val="21"/>
        </w:rPr>
        <w:t>磋商响应</w:t>
      </w:r>
      <w:r>
        <w:rPr>
          <w:rFonts w:hint="eastAsia" w:ascii="宋体" w:hAnsi="宋体" w:eastAsia="宋体" w:cs="宋体"/>
          <w:kern w:val="0"/>
          <w:szCs w:val="21"/>
        </w:rPr>
        <w:t>供应商的名单。</w:t>
      </w:r>
    </w:p>
    <w:p w14:paraId="4B6456C6">
      <w:pPr>
        <w:adjustRightInd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15.3.2.2</w:t>
      </w:r>
      <w:r>
        <w:rPr>
          <w:rFonts w:hint="eastAsia" w:ascii="宋体" w:hAnsi="宋体" w:eastAsia="宋体" w:cs="宋体"/>
          <w:szCs w:val="21"/>
        </w:rPr>
        <w:t>磋商结束后，</w:t>
      </w:r>
      <w:r>
        <w:rPr>
          <w:rFonts w:hint="eastAsia" w:ascii="宋体" w:hAnsi="宋体" w:eastAsia="宋体" w:cs="宋体"/>
          <w:kern w:val="0"/>
          <w:szCs w:val="21"/>
        </w:rPr>
        <w:t>开启符合性审查、商务技术评审有效</w:t>
      </w:r>
      <w:r>
        <w:rPr>
          <w:rFonts w:hint="eastAsia" w:ascii="宋体" w:hAnsi="宋体" w:eastAsia="宋体" w:cs="宋体"/>
          <w:szCs w:val="21"/>
        </w:rPr>
        <w:t>磋商响应</w:t>
      </w:r>
      <w:r>
        <w:rPr>
          <w:rFonts w:hint="eastAsia" w:ascii="宋体" w:hAnsi="宋体" w:eastAsia="宋体" w:cs="宋体"/>
          <w:kern w:val="0"/>
          <w:szCs w:val="21"/>
        </w:rPr>
        <w:t>供应商的初次报价文件，经磋商小组评审及磋商，</w:t>
      </w:r>
      <w:r>
        <w:rPr>
          <w:rFonts w:hint="eastAsia" w:ascii="宋体" w:hAnsi="宋体" w:eastAsia="宋体" w:cs="宋体"/>
          <w:szCs w:val="21"/>
        </w:rPr>
        <w:t>要求所有实质性响应的供应商在规定时间内提交最后报价，采购代理机构</w:t>
      </w:r>
      <w:r>
        <w:rPr>
          <w:rFonts w:hint="eastAsia" w:ascii="宋体" w:hAnsi="宋体" w:eastAsia="宋体" w:cs="宋体"/>
          <w:kern w:val="0"/>
          <w:szCs w:val="21"/>
        </w:rPr>
        <w:t>向各</w:t>
      </w:r>
      <w:r>
        <w:rPr>
          <w:rFonts w:hint="eastAsia" w:ascii="宋体" w:hAnsi="宋体" w:eastAsia="宋体" w:cs="宋体"/>
          <w:szCs w:val="21"/>
        </w:rPr>
        <w:t>磋商响应</w:t>
      </w:r>
      <w:r>
        <w:rPr>
          <w:rFonts w:hint="eastAsia" w:ascii="宋体" w:hAnsi="宋体" w:eastAsia="宋体" w:cs="宋体"/>
          <w:kern w:val="0"/>
          <w:szCs w:val="21"/>
        </w:rPr>
        <w:t>供应商发出最终报价文件通知，由供应商按采购文件规定的时间内自行填写最终报价加盖签章并上传。</w:t>
      </w:r>
    </w:p>
    <w:p w14:paraId="7F1A91E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15.3.2.2.1</w:t>
      </w:r>
      <w:r>
        <w:rPr>
          <w:rFonts w:hint="eastAsia" w:ascii="宋体" w:hAnsi="宋体" w:eastAsia="宋体" w:cs="宋体"/>
          <w:szCs w:val="21"/>
        </w:rPr>
        <w:t>最后报价是磋商响应文件的有效组成部分。</w:t>
      </w:r>
    </w:p>
    <w:p w14:paraId="244F07A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15.3.2.2.2</w:t>
      </w:r>
      <w:r>
        <w:rPr>
          <w:rFonts w:hint="eastAsia" w:ascii="宋体" w:hAnsi="宋体" w:eastAsia="宋体" w:cs="宋体"/>
          <w:szCs w:val="21"/>
        </w:rPr>
        <w:t>已提交磋商响应文件的供应商，在提交最后报价之前，若因磋商文件实质性变动导致供应商无法满足采购需求的，允许供应商退出磋商。</w:t>
      </w:r>
    </w:p>
    <w:p w14:paraId="1750B907">
      <w:pPr>
        <w:adjustRightInd w:val="0"/>
        <w:snapToGrid w:val="0"/>
        <w:spacing w:line="360" w:lineRule="auto"/>
        <w:ind w:firstLine="420" w:firstLineChars="200"/>
        <w:jc w:val="left"/>
        <w:rPr>
          <w:rFonts w:hint="eastAsia" w:ascii="宋体" w:hAnsi="宋体" w:eastAsia="宋体" w:cs="宋体"/>
          <w:strike/>
          <w:szCs w:val="21"/>
        </w:rPr>
      </w:pPr>
      <w:r>
        <w:rPr>
          <w:rFonts w:hint="eastAsia" w:ascii="宋体" w:hAnsi="宋体" w:eastAsia="宋体" w:cs="宋体"/>
          <w:kern w:val="0"/>
          <w:szCs w:val="21"/>
        </w:rPr>
        <w:t>15.3.2.3公布其商务技术部分得分情况。公布开标一览表有关内容，制作开标记录表，供应商予以确认。（不予确认的应说明理由，否则视为无异议）。</w:t>
      </w:r>
    </w:p>
    <w:p w14:paraId="2C738D20">
      <w:pPr>
        <w:adjustRightInd w:val="0"/>
        <w:snapToGrid w:val="0"/>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15.3.2.4评审结束后，公布成交候选供应商名单，及采购人最终确定成交供应商名单的时间和公告方式等。</w:t>
      </w:r>
    </w:p>
    <w:p w14:paraId="3B3D18BD">
      <w:pPr>
        <w:adjustRightInd w:val="0"/>
        <w:snapToGrid w:val="0"/>
        <w:spacing w:line="360" w:lineRule="auto"/>
        <w:ind w:firstLine="373" w:firstLineChars="177"/>
        <w:jc w:val="left"/>
        <w:rPr>
          <w:rFonts w:hint="eastAsia" w:ascii="宋体" w:hAnsi="宋体" w:eastAsia="宋体" w:cs="宋体"/>
          <w:b/>
          <w:kern w:val="0"/>
          <w:szCs w:val="21"/>
        </w:rPr>
      </w:pPr>
      <w:r>
        <w:rPr>
          <w:rFonts w:hint="eastAsia" w:ascii="宋体" w:hAnsi="宋体" w:eastAsia="宋体" w:cs="宋体"/>
          <w:b/>
          <w:kern w:val="0"/>
          <w:szCs w:val="21"/>
        </w:rPr>
        <w:t>特别说明：如遇“政府采购云平台”电子化开标或磋商程序调整的，按调整后程序执行。</w:t>
      </w:r>
    </w:p>
    <w:p w14:paraId="18A713F7">
      <w:pPr>
        <w:adjustRightInd w:val="0"/>
        <w:snapToGrid w:val="0"/>
        <w:spacing w:line="360" w:lineRule="auto"/>
        <w:ind w:firstLine="420" w:firstLineChars="200"/>
        <w:rPr>
          <w:rFonts w:hint="eastAsia" w:ascii="宋体" w:hAnsi="宋体" w:eastAsia="宋体" w:cs="宋体"/>
          <w:kern w:val="0"/>
          <w:szCs w:val="21"/>
        </w:rPr>
      </w:pPr>
      <w:bookmarkStart w:id="64" w:name="_Toc24550037"/>
      <w:bookmarkStart w:id="65" w:name="_Toc33194393"/>
      <w:bookmarkStart w:id="66" w:name="_Toc14504"/>
      <w:r>
        <w:rPr>
          <w:rFonts w:hint="eastAsia" w:ascii="宋体" w:hAnsi="宋体" w:eastAsia="宋体" w:cs="宋体"/>
          <w:kern w:val="0"/>
          <w:szCs w:val="21"/>
        </w:rPr>
        <w:t>15.4磋商响应供应商资格审查</w:t>
      </w:r>
      <w:bookmarkEnd w:id="64"/>
      <w:bookmarkEnd w:id="65"/>
      <w:bookmarkEnd w:id="66"/>
    </w:p>
    <w:p w14:paraId="010145CD">
      <w:pPr>
        <w:adjustRightInd w:val="0"/>
        <w:snapToGrid w:val="0"/>
        <w:spacing w:line="360" w:lineRule="auto"/>
        <w:ind w:firstLine="420" w:firstLineChars="200"/>
        <w:rPr>
          <w:rFonts w:hint="eastAsia" w:ascii="宋体" w:hAnsi="宋体" w:eastAsia="宋体" w:cs="宋体"/>
          <w:bCs/>
          <w:szCs w:val="21"/>
        </w:rPr>
      </w:pPr>
      <w:r>
        <w:rPr>
          <w:rFonts w:hint="eastAsia" w:ascii="宋体" w:hAnsi="宋体" w:eastAsia="宋体" w:cs="宋体"/>
          <w:kern w:val="0"/>
          <w:szCs w:val="21"/>
        </w:rPr>
        <w:t>15.4.1开标大会第一阶段结束后，磋商小组首先依法对各磋商响应供应商的资格进行审查，审查各磋商响应供应商的资格是否满足采购文件的要求。磋商小组对磋商响应供应商所提交的资</w:t>
      </w:r>
      <w:r>
        <w:rPr>
          <w:rFonts w:hint="eastAsia" w:ascii="宋体" w:hAnsi="宋体" w:eastAsia="宋体" w:cs="宋体"/>
          <w:bCs/>
          <w:szCs w:val="21"/>
        </w:rPr>
        <w:t>格证明材料仅负审核的责任。如发现</w:t>
      </w:r>
      <w:r>
        <w:rPr>
          <w:rFonts w:hint="eastAsia" w:ascii="宋体" w:hAnsi="宋体" w:eastAsia="宋体" w:cs="宋体"/>
          <w:szCs w:val="21"/>
        </w:rPr>
        <w:t>磋商响应</w:t>
      </w:r>
      <w:r>
        <w:rPr>
          <w:rFonts w:hint="eastAsia" w:ascii="宋体" w:hAnsi="宋体" w:eastAsia="宋体" w:cs="宋体"/>
          <w:bCs/>
          <w:szCs w:val="21"/>
        </w:rPr>
        <w:t>供应商所提交的资格证明材料不合法或与事实不符，采购人可取消其成交资格并追究</w:t>
      </w:r>
      <w:r>
        <w:rPr>
          <w:rFonts w:hint="eastAsia" w:ascii="宋体" w:hAnsi="宋体" w:eastAsia="宋体" w:cs="宋体"/>
          <w:szCs w:val="21"/>
        </w:rPr>
        <w:t>磋商响应</w:t>
      </w:r>
      <w:r>
        <w:rPr>
          <w:rFonts w:hint="eastAsia" w:ascii="宋体" w:hAnsi="宋体" w:eastAsia="宋体" w:cs="宋体"/>
          <w:bCs/>
          <w:szCs w:val="21"/>
        </w:rPr>
        <w:t>供应商的法律责任。</w:t>
      </w:r>
    </w:p>
    <w:p w14:paraId="59048519">
      <w:pPr>
        <w:adjustRightInd w:val="0"/>
        <w:snapToGrid w:val="0"/>
        <w:spacing w:line="360" w:lineRule="auto"/>
        <w:ind w:firstLine="373" w:firstLineChars="177"/>
        <w:rPr>
          <w:rFonts w:hint="eastAsia" w:ascii="宋体" w:hAnsi="宋体" w:eastAsia="宋体" w:cs="宋体"/>
          <w:b/>
          <w:kern w:val="0"/>
          <w:szCs w:val="21"/>
        </w:rPr>
      </w:pPr>
      <w:r>
        <w:rPr>
          <w:rFonts w:hint="eastAsia" w:ascii="宋体" w:hAnsi="宋体" w:eastAsia="宋体" w:cs="宋体"/>
          <w:b/>
          <w:szCs w:val="21"/>
        </w:rPr>
        <w:t>15.4.2磋商响应供应商提交的资格证明材料无法证明其符合采购文件规定的“磋商响应供应商资格要求”的，</w:t>
      </w:r>
      <w:r>
        <w:rPr>
          <w:rFonts w:hint="eastAsia" w:ascii="宋体" w:hAnsi="宋体" w:eastAsia="宋体" w:cs="宋体"/>
          <w:b/>
          <w:kern w:val="0"/>
          <w:szCs w:val="21"/>
        </w:rPr>
        <w:t>磋商小组将对其作资格审查不通过处理（无效磋商响应），不再后续磋商。</w:t>
      </w:r>
    </w:p>
    <w:p w14:paraId="1AA3EAA1">
      <w:pPr>
        <w:adjustRightInd w:val="0"/>
        <w:snapToGrid w:val="0"/>
        <w:spacing w:line="360" w:lineRule="auto"/>
        <w:ind w:firstLine="373" w:firstLineChars="177"/>
        <w:rPr>
          <w:rFonts w:hint="eastAsia" w:ascii="宋体" w:hAnsi="宋体" w:eastAsia="宋体" w:cs="宋体"/>
          <w:szCs w:val="21"/>
        </w:rPr>
      </w:pPr>
      <w:r>
        <w:rPr>
          <w:rFonts w:hint="eastAsia" w:ascii="宋体" w:hAnsi="宋体" w:eastAsia="宋体" w:cs="宋体"/>
          <w:b/>
          <w:szCs w:val="21"/>
        </w:rPr>
        <w:t>15.4</w:t>
      </w:r>
      <w:r>
        <w:rPr>
          <w:rFonts w:hint="eastAsia" w:ascii="宋体" w:hAnsi="宋体" w:eastAsia="宋体" w:cs="宋体"/>
          <w:b/>
          <w:kern w:val="0"/>
          <w:szCs w:val="21"/>
        </w:rPr>
        <w:t>.3单位负责人为同一人或者存在直接控股、管理关系的不同供应商参加同一合同项下的政府采购活动的，相关磋商响应供应商均作资格无效处理。</w:t>
      </w:r>
    </w:p>
    <w:p w14:paraId="05943657">
      <w:pPr>
        <w:adjustRightInd w:val="0"/>
        <w:snapToGrid w:val="0"/>
        <w:spacing w:line="360" w:lineRule="auto"/>
        <w:jc w:val="center"/>
        <w:outlineLvl w:val="9"/>
        <w:rPr>
          <w:rFonts w:hint="eastAsia" w:ascii="宋体" w:hAnsi="宋体" w:eastAsia="宋体" w:cs="宋体"/>
          <w:b/>
          <w:sz w:val="24"/>
        </w:rPr>
      </w:pPr>
      <w:bookmarkStart w:id="67" w:name="_Toc442428813"/>
    </w:p>
    <w:p w14:paraId="3B6AEFB7">
      <w:pPr>
        <w:adjustRightInd w:val="0"/>
        <w:snapToGrid w:val="0"/>
        <w:spacing w:line="360" w:lineRule="auto"/>
        <w:jc w:val="center"/>
        <w:outlineLvl w:val="1"/>
        <w:rPr>
          <w:rFonts w:hint="eastAsia" w:ascii="宋体" w:hAnsi="宋体" w:eastAsia="宋体" w:cs="宋体"/>
          <w:b/>
          <w:sz w:val="24"/>
        </w:rPr>
      </w:pPr>
      <w:bookmarkStart w:id="68" w:name="_Toc28812"/>
      <w:r>
        <w:rPr>
          <w:rFonts w:hint="eastAsia" w:ascii="宋体" w:hAnsi="宋体" w:eastAsia="宋体" w:cs="宋体"/>
          <w:b/>
          <w:sz w:val="24"/>
        </w:rPr>
        <w:t>六、磋 商</w:t>
      </w:r>
      <w:bookmarkEnd w:id="67"/>
      <w:bookmarkEnd w:id="68"/>
    </w:p>
    <w:p w14:paraId="10C9DFED">
      <w:pPr>
        <w:pStyle w:val="25"/>
        <w:adjustRightInd w:val="0"/>
        <w:snapToGrid w:val="0"/>
        <w:spacing w:line="360" w:lineRule="auto"/>
        <w:rPr>
          <w:rFonts w:hint="eastAsia" w:ascii="宋体" w:hAnsi="宋体" w:eastAsia="宋体" w:cs="宋体"/>
          <w:b/>
        </w:rPr>
      </w:pPr>
      <w:r>
        <w:rPr>
          <w:rFonts w:hint="eastAsia" w:ascii="宋体" w:hAnsi="宋体" w:eastAsia="宋体" w:cs="宋体"/>
          <w:b/>
        </w:rPr>
        <w:t>16</w:t>
      </w:r>
      <w:r>
        <w:rPr>
          <w:rFonts w:hint="eastAsia" w:ascii="宋体" w:hAnsi="宋体" w:eastAsia="宋体" w:cs="宋体"/>
          <w:b/>
          <w:kern w:val="0"/>
          <w:lang w:val="zh-CN"/>
        </w:rPr>
        <w:t>、</w:t>
      </w:r>
      <w:r>
        <w:rPr>
          <w:rFonts w:hint="eastAsia" w:ascii="宋体" w:hAnsi="宋体" w:eastAsia="宋体" w:cs="宋体"/>
          <w:b/>
        </w:rPr>
        <w:t>磋商小组</w:t>
      </w:r>
    </w:p>
    <w:p w14:paraId="7B0DCC8F">
      <w:pPr>
        <w:pStyle w:val="25"/>
        <w:adjustRightInd w:val="0"/>
        <w:snapToGrid w:val="0"/>
        <w:spacing w:line="360" w:lineRule="auto"/>
        <w:ind w:firstLine="420" w:firstLineChars="200"/>
        <w:rPr>
          <w:rFonts w:hint="eastAsia" w:ascii="宋体" w:hAnsi="宋体" w:eastAsia="宋体" w:cs="宋体"/>
          <w:lang w:val="zh-CN"/>
        </w:rPr>
      </w:pPr>
      <w:r>
        <w:rPr>
          <w:rFonts w:hint="eastAsia" w:ascii="宋体" w:hAnsi="宋体" w:eastAsia="宋体" w:cs="宋体"/>
        </w:rPr>
        <w:t>16.1采购代理机构依法组成由3人(含)以上奇数的人员组成的磋商小组，负责对磋商响应文件进行审查、质询、评审和比较等。磋商小组</w:t>
      </w:r>
      <w:r>
        <w:rPr>
          <w:rFonts w:hint="eastAsia" w:ascii="宋体" w:hAnsi="宋体" w:eastAsia="宋体" w:cs="宋体"/>
          <w:lang w:val="zh-CN"/>
        </w:rPr>
        <w:t>由采购人代表和政府采购咨询专家或经批准推荐的行业临时专家组成，其中政府采购咨询专家或经批准推荐的行业临时专家人数不少于成员总数的三分之二。</w:t>
      </w:r>
    </w:p>
    <w:p w14:paraId="68F777AA">
      <w:pPr>
        <w:pStyle w:val="25"/>
        <w:adjustRightInd w:val="0"/>
        <w:snapToGrid w:val="0"/>
        <w:spacing w:line="360" w:lineRule="auto"/>
        <w:rPr>
          <w:rFonts w:hint="eastAsia" w:ascii="宋体" w:hAnsi="宋体" w:eastAsia="宋体" w:cs="宋体"/>
          <w:b/>
        </w:rPr>
      </w:pPr>
      <w:r>
        <w:rPr>
          <w:rFonts w:hint="eastAsia" w:ascii="宋体" w:hAnsi="宋体" w:eastAsia="宋体" w:cs="宋体"/>
          <w:b/>
        </w:rPr>
        <w:t>16.2磋商小组的职责</w:t>
      </w:r>
    </w:p>
    <w:p w14:paraId="5B78F688">
      <w:pPr>
        <w:pStyle w:val="25"/>
        <w:adjustRightInd w:val="0"/>
        <w:snapToGrid w:val="0"/>
        <w:spacing w:line="360" w:lineRule="auto"/>
        <w:ind w:firstLine="422" w:firstLineChars="200"/>
        <w:rPr>
          <w:rFonts w:hint="eastAsia" w:ascii="宋体" w:hAnsi="宋体" w:eastAsia="宋体" w:cs="宋体"/>
          <w:b/>
        </w:rPr>
      </w:pPr>
      <w:r>
        <w:rPr>
          <w:rFonts w:hint="eastAsia" w:ascii="宋体" w:hAnsi="宋体" w:eastAsia="宋体" w:cs="宋体"/>
          <w:b/>
        </w:rPr>
        <w:t>16.2.1磋商小组负责具体磋商事务，并独立履行下列职责：</w:t>
      </w:r>
    </w:p>
    <w:p w14:paraId="5854515E">
      <w:pPr>
        <w:adjustRightInd w:val="0"/>
        <w:snapToGrid w:val="0"/>
        <w:spacing w:line="360" w:lineRule="auto"/>
        <w:ind w:firstLine="369" w:firstLineChars="176"/>
        <w:rPr>
          <w:rFonts w:hint="eastAsia" w:ascii="宋体" w:hAnsi="宋体" w:eastAsia="宋体" w:cs="宋体"/>
          <w:kern w:val="0"/>
          <w:szCs w:val="21"/>
        </w:rPr>
      </w:pPr>
      <w:r>
        <w:rPr>
          <w:rFonts w:hint="eastAsia" w:ascii="宋体" w:hAnsi="宋体" w:eastAsia="宋体" w:cs="宋体"/>
          <w:kern w:val="0"/>
          <w:szCs w:val="21"/>
        </w:rPr>
        <w:t>（1）审查、评价磋商响应文件是否符合采购文件的商务、技术等实质性要求。</w:t>
      </w:r>
    </w:p>
    <w:p w14:paraId="20D665DA">
      <w:pPr>
        <w:adjustRightInd w:val="0"/>
        <w:snapToGrid w:val="0"/>
        <w:spacing w:line="360" w:lineRule="auto"/>
        <w:ind w:firstLine="369" w:firstLineChars="176"/>
        <w:rPr>
          <w:rFonts w:hint="eastAsia" w:ascii="宋体" w:hAnsi="宋体" w:eastAsia="宋体" w:cs="宋体"/>
          <w:kern w:val="0"/>
          <w:szCs w:val="21"/>
        </w:rPr>
      </w:pPr>
      <w:r>
        <w:rPr>
          <w:rFonts w:hint="eastAsia" w:ascii="宋体" w:hAnsi="宋体" w:eastAsia="宋体" w:cs="宋体"/>
          <w:kern w:val="0"/>
          <w:szCs w:val="21"/>
        </w:rPr>
        <w:t>（2）要求</w:t>
      </w:r>
      <w:r>
        <w:rPr>
          <w:rFonts w:hint="eastAsia" w:ascii="宋体" w:hAnsi="宋体" w:eastAsia="宋体" w:cs="宋体"/>
          <w:szCs w:val="21"/>
        </w:rPr>
        <w:t>磋商响应</w:t>
      </w:r>
      <w:r>
        <w:rPr>
          <w:rFonts w:hint="eastAsia" w:ascii="宋体" w:hAnsi="宋体" w:eastAsia="宋体" w:cs="宋体"/>
          <w:kern w:val="0"/>
          <w:szCs w:val="21"/>
        </w:rPr>
        <w:t>人对磋商响应文件有关事项作出澄清或者说明。</w:t>
      </w:r>
    </w:p>
    <w:p w14:paraId="7A5FA98F">
      <w:pPr>
        <w:adjustRightInd w:val="0"/>
        <w:snapToGrid w:val="0"/>
        <w:spacing w:line="360" w:lineRule="auto"/>
        <w:ind w:firstLine="369" w:firstLineChars="176"/>
        <w:rPr>
          <w:rFonts w:hint="eastAsia" w:ascii="宋体" w:hAnsi="宋体" w:eastAsia="宋体" w:cs="宋体"/>
          <w:kern w:val="0"/>
          <w:szCs w:val="21"/>
        </w:rPr>
      </w:pPr>
      <w:r>
        <w:rPr>
          <w:rFonts w:hint="eastAsia" w:ascii="宋体" w:hAnsi="宋体" w:eastAsia="宋体" w:cs="宋体"/>
          <w:kern w:val="0"/>
          <w:szCs w:val="21"/>
        </w:rPr>
        <w:t>（3）对磋商响应文件进行比较和评价。</w:t>
      </w:r>
    </w:p>
    <w:p w14:paraId="738D00B8">
      <w:pPr>
        <w:adjustRightInd w:val="0"/>
        <w:snapToGrid w:val="0"/>
        <w:spacing w:line="360" w:lineRule="auto"/>
        <w:ind w:firstLine="369" w:firstLineChars="176"/>
        <w:rPr>
          <w:rFonts w:hint="eastAsia" w:ascii="宋体" w:hAnsi="宋体" w:eastAsia="宋体" w:cs="宋体"/>
          <w:kern w:val="0"/>
          <w:szCs w:val="21"/>
        </w:rPr>
      </w:pPr>
      <w:r>
        <w:rPr>
          <w:rFonts w:hint="eastAsia" w:ascii="宋体" w:hAnsi="宋体" w:eastAsia="宋体" w:cs="宋体"/>
          <w:kern w:val="0"/>
          <w:szCs w:val="21"/>
        </w:rPr>
        <w:t>（4）确定成交候选人名单，以及根据采购人委托直接确定成交人。</w:t>
      </w:r>
    </w:p>
    <w:p w14:paraId="36EC3446">
      <w:pPr>
        <w:pStyle w:val="25"/>
        <w:adjustRightInd w:val="0"/>
        <w:snapToGrid w:val="0"/>
        <w:spacing w:line="360" w:lineRule="auto"/>
        <w:ind w:firstLine="420" w:firstLineChars="200"/>
        <w:rPr>
          <w:rFonts w:hint="eastAsia" w:ascii="宋体" w:hAnsi="宋体" w:eastAsia="宋体" w:cs="宋体"/>
          <w:lang w:val="zh-CN"/>
        </w:rPr>
      </w:pPr>
      <w:r>
        <w:rPr>
          <w:rFonts w:hint="eastAsia" w:ascii="宋体" w:hAnsi="宋体" w:eastAsia="宋体" w:cs="宋体"/>
          <w:kern w:val="0"/>
        </w:rPr>
        <w:t>（5）向采购人、采购代理机构或者有关部门报告磋商中发现的违法行为。</w:t>
      </w:r>
    </w:p>
    <w:p w14:paraId="41779744">
      <w:pPr>
        <w:pStyle w:val="25"/>
        <w:adjustRightInd w:val="0"/>
        <w:snapToGrid w:val="0"/>
        <w:spacing w:line="360" w:lineRule="auto"/>
        <w:rPr>
          <w:rFonts w:hint="eastAsia" w:ascii="宋体" w:hAnsi="宋体" w:eastAsia="宋体" w:cs="宋体"/>
          <w:b/>
        </w:rPr>
      </w:pPr>
      <w:r>
        <w:rPr>
          <w:rFonts w:hint="eastAsia" w:ascii="宋体" w:hAnsi="宋体" w:eastAsia="宋体" w:cs="宋体"/>
          <w:b/>
        </w:rPr>
        <w:t>16.3磋商原则</w:t>
      </w:r>
    </w:p>
    <w:p w14:paraId="583F7013">
      <w:pPr>
        <w:adjustRightInd w:val="0"/>
        <w:snapToGrid w:val="0"/>
        <w:spacing w:line="360" w:lineRule="auto"/>
        <w:ind w:firstLine="371" w:firstLineChars="177"/>
        <w:rPr>
          <w:rFonts w:hint="eastAsia" w:ascii="宋体" w:hAnsi="宋体" w:eastAsia="宋体" w:cs="宋体"/>
          <w:szCs w:val="21"/>
        </w:rPr>
      </w:pPr>
      <w:r>
        <w:rPr>
          <w:rFonts w:hint="eastAsia" w:ascii="宋体" w:hAnsi="宋体" w:eastAsia="宋体" w:cs="宋体"/>
          <w:szCs w:val="21"/>
        </w:rPr>
        <w:t>16.3.1磋商原则：</w:t>
      </w:r>
      <w:r>
        <w:rPr>
          <w:rFonts w:hint="eastAsia" w:ascii="宋体" w:hAnsi="宋体" w:eastAsia="宋体" w:cs="宋体"/>
          <w:kern w:val="0"/>
          <w:szCs w:val="21"/>
        </w:rPr>
        <w:t>磋商小组</w:t>
      </w:r>
      <w:r>
        <w:rPr>
          <w:rFonts w:hint="eastAsia" w:ascii="宋体" w:hAnsi="宋体" w:eastAsia="宋体" w:cs="宋体"/>
          <w:szCs w:val="21"/>
        </w:rPr>
        <w:t>按照客观、公正、审慎、择优的原则，根据采购文件规定的磋商程序、磋商方法和磋商标准进行独立评审。</w:t>
      </w:r>
    </w:p>
    <w:p w14:paraId="054E09E7">
      <w:pPr>
        <w:adjustRightInd w:val="0"/>
        <w:snapToGrid w:val="0"/>
        <w:spacing w:line="360" w:lineRule="auto"/>
        <w:ind w:firstLine="371" w:firstLineChars="177"/>
        <w:rPr>
          <w:rFonts w:hint="eastAsia" w:ascii="宋体" w:hAnsi="宋体" w:eastAsia="宋体" w:cs="宋体"/>
          <w:szCs w:val="21"/>
        </w:rPr>
      </w:pPr>
      <w:r>
        <w:rPr>
          <w:rFonts w:hint="eastAsia" w:ascii="宋体" w:hAnsi="宋体" w:eastAsia="宋体" w:cs="宋体"/>
          <w:szCs w:val="21"/>
        </w:rPr>
        <w:t>16.3.2磋商工作将依据采购</w:t>
      </w:r>
      <w:r>
        <w:rPr>
          <w:rFonts w:hint="eastAsia" w:ascii="宋体" w:hAnsi="宋体" w:eastAsia="宋体" w:cs="宋体"/>
          <w:kern w:val="0"/>
          <w:szCs w:val="21"/>
        </w:rPr>
        <w:t>文件、磋商响应文件及采购文件中事先已列明的内容进行（如现场方案讲解、演示等）。</w:t>
      </w:r>
    </w:p>
    <w:p w14:paraId="519E529B">
      <w:pPr>
        <w:pStyle w:val="25"/>
        <w:adjustRightInd w:val="0"/>
        <w:snapToGrid w:val="0"/>
        <w:spacing w:line="360" w:lineRule="auto"/>
        <w:rPr>
          <w:rFonts w:hint="eastAsia" w:ascii="宋体" w:hAnsi="宋体" w:eastAsia="宋体" w:cs="宋体"/>
          <w:b/>
        </w:rPr>
      </w:pPr>
      <w:r>
        <w:rPr>
          <w:rFonts w:hint="eastAsia" w:ascii="宋体" w:hAnsi="宋体" w:eastAsia="宋体" w:cs="宋体"/>
          <w:b/>
        </w:rPr>
        <w:t>16.4磋商意见的争议处理</w:t>
      </w:r>
    </w:p>
    <w:p w14:paraId="00DD7612">
      <w:pPr>
        <w:adjustRightInd w:val="0"/>
        <w:snapToGrid w:val="0"/>
        <w:spacing w:line="360" w:lineRule="auto"/>
        <w:ind w:firstLine="371" w:firstLineChars="177"/>
        <w:rPr>
          <w:rFonts w:hint="eastAsia" w:ascii="宋体" w:hAnsi="宋体" w:eastAsia="宋体" w:cs="宋体"/>
          <w:bCs/>
          <w:szCs w:val="21"/>
        </w:rPr>
      </w:pPr>
      <w:r>
        <w:rPr>
          <w:rFonts w:hint="eastAsia" w:ascii="宋体" w:hAnsi="宋体" w:eastAsia="宋体" w:cs="宋体"/>
          <w:szCs w:val="21"/>
        </w:rPr>
        <w:t>16.4</w:t>
      </w:r>
      <w:r>
        <w:rPr>
          <w:rFonts w:hint="eastAsia" w:ascii="宋体" w:hAnsi="宋体" w:eastAsia="宋体" w:cs="宋体"/>
          <w:bCs/>
          <w:szCs w:val="21"/>
        </w:rPr>
        <w:t>.1磋商小组成员对需要共同认定的事项存在争议的，按照少数服从多数的原则作出结论。持不同意见的磋商小组成员应当在评审报告上签署不同意见及理由，否则视为同意评审报告。</w:t>
      </w:r>
    </w:p>
    <w:p w14:paraId="0372B8C0">
      <w:pPr>
        <w:pStyle w:val="25"/>
        <w:adjustRightInd w:val="0"/>
        <w:snapToGrid w:val="0"/>
        <w:spacing w:line="360" w:lineRule="auto"/>
        <w:rPr>
          <w:rFonts w:hint="eastAsia" w:ascii="宋体" w:hAnsi="宋体" w:eastAsia="宋体" w:cs="宋体"/>
          <w:b/>
        </w:rPr>
      </w:pPr>
      <w:bookmarkStart w:id="69" w:name="_Toc33194395"/>
      <w:bookmarkStart w:id="70" w:name="_Toc11216"/>
      <w:bookmarkStart w:id="71" w:name="_Toc18559"/>
      <w:bookmarkStart w:id="72" w:name="_Toc20694"/>
      <w:bookmarkStart w:id="73" w:name="_Toc24550044"/>
      <w:r>
        <w:rPr>
          <w:rFonts w:hint="eastAsia" w:ascii="宋体" w:hAnsi="宋体" w:eastAsia="宋体" w:cs="宋体"/>
          <w:b/>
        </w:rPr>
        <w:t>16.5磋商小组纪律</w:t>
      </w:r>
    </w:p>
    <w:p w14:paraId="646BAFAD">
      <w:pPr>
        <w:adjustRightInd w:val="0"/>
        <w:snapToGrid w:val="0"/>
        <w:spacing w:line="360" w:lineRule="auto"/>
        <w:ind w:firstLine="371" w:firstLineChars="177"/>
        <w:rPr>
          <w:rFonts w:hint="eastAsia" w:ascii="宋体" w:hAnsi="宋体" w:eastAsia="宋体" w:cs="宋体"/>
          <w:kern w:val="0"/>
          <w:szCs w:val="21"/>
        </w:rPr>
      </w:pPr>
      <w:r>
        <w:rPr>
          <w:rFonts w:hint="eastAsia" w:ascii="宋体" w:hAnsi="宋体" w:eastAsia="宋体" w:cs="宋体"/>
          <w:szCs w:val="21"/>
        </w:rPr>
        <w:t>16.5.1磋商小组成员必须严格遵守保密规定，不得泄露磋商的有关情况</w:t>
      </w:r>
      <w:r>
        <w:rPr>
          <w:rFonts w:hint="eastAsia" w:ascii="宋体" w:hAnsi="宋体" w:eastAsia="宋体" w:cs="宋体"/>
          <w:kern w:val="0"/>
          <w:szCs w:val="21"/>
        </w:rPr>
        <w:t>，任何单位和个人不得干扰、影响评标的正常进行，磋商小组成员不得私下与</w:t>
      </w:r>
      <w:r>
        <w:rPr>
          <w:rFonts w:hint="eastAsia" w:ascii="宋体" w:hAnsi="宋体" w:eastAsia="宋体" w:cs="宋体"/>
          <w:szCs w:val="21"/>
        </w:rPr>
        <w:t>磋商响应</w:t>
      </w:r>
      <w:r>
        <w:rPr>
          <w:rFonts w:hint="eastAsia" w:ascii="宋体" w:hAnsi="宋体" w:eastAsia="宋体" w:cs="宋体"/>
          <w:kern w:val="0"/>
          <w:szCs w:val="21"/>
        </w:rPr>
        <w:t>供应商接触，不得出现浙江省政府采购活动现场组织管理办法中规定的其他禁止行为。</w:t>
      </w:r>
    </w:p>
    <w:p w14:paraId="15FCD9F5">
      <w:pPr>
        <w:pStyle w:val="25"/>
        <w:adjustRightInd w:val="0"/>
        <w:snapToGrid w:val="0"/>
        <w:spacing w:line="360" w:lineRule="auto"/>
        <w:rPr>
          <w:rFonts w:hint="eastAsia" w:ascii="宋体" w:hAnsi="宋体" w:eastAsia="宋体" w:cs="宋体"/>
          <w:b/>
        </w:rPr>
      </w:pPr>
      <w:r>
        <w:rPr>
          <w:rFonts w:hint="eastAsia" w:ascii="宋体" w:hAnsi="宋体" w:eastAsia="宋体" w:cs="宋体"/>
          <w:b/>
        </w:rPr>
        <w:t>16.6磋商流程及内容</w:t>
      </w:r>
      <w:bookmarkEnd w:id="69"/>
      <w:bookmarkEnd w:id="70"/>
      <w:bookmarkEnd w:id="71"/>
      <w:bookmarkEnd w:id="72"/>
      <w:bookmarkEnd w:id="73"/>
    </w:p>
    <w:p w14:paraId="331F00F4">
      <w:pPr>
        <w:adjustRightInd w:val="0"/>
        <w:snapToGrid w:val="0"/>
        <w:spacing w:line="360" w:lineRule="auto"/>
        <w:ind w:firstLine="371" w:firstLineChars="176"/>
        <w:rPr>
          <w:rFonts w:hint="eastAsia" w:ascii="宋体" w:hAnsi="宋体" w:eastAsia="宋体" w:cs="宋体"/>
          <w:szCs w:val="21"/>
        </w:rPr>
      </w:pPr>
      <w:r>
        <w:rPr>
          <w:rFonts w:hint="eastAsia" w:ascii="宋体" w:hAnsi="宋体" w:eastAsia="宋体" w:cs="宋体"/>
          <w:b/>
          <w:kern w:val="0"/>
          <w:szCs w:val="21"/>
        </w:rPr>
        <w:t>本项目具体的磋商事务由磋商小组负责，磋商流程及内容如下：</w:t>
      </w:r>
    </w:p>
    <w:p w14:paraId="761C21B2">
      <w:pPr>
        <w:pStyle w:val="25"/>
        <w:adjustRightInd w:val="0"/>
        <w:snapToGrid w:val="0"/>
        <w:spacing w:line="360" w:lineRule="auto"/>
        <w:rPr>
          <w:rFonts w:hint="eastAsia" w:ascii="宋体" w:hAnsi="宋体" w:eastAsia="宋体" w:cs="宋体"/>
          <w:b/>
        </w:rPr>
      </w:pPr>
      <w:r>
        <w:rPr>
          <w:rFonts w:hint="eastAsia" w:ascii="宋体" w:hAnsi="宋体" w:eastAsia="宋体" w:cs="宋体"/>
          <w:b/>
        </w:rPr>
        <w:t>16.6.1 磋商前准备</w:t>
      </w:r>
    </w:p>
    <w:p w14:paraId="53D46F92">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szCs w:val="21"/>
        </w:rPr>
        <w:t>16.6</w:t>
      </w:r>
      <w:r>
        <w:rPr>
          <w:rFonts w:hint="eastAsia" w:ascii="宋体" w:hAnsi="宋体" w:eastAsia="宋体" w:cs="宋体"/>
          <w:kern w:val="0"/>
          <w:szCs w:val="21"/>
        </w:rPr>
        <w:t>.1.1由磋商小组成员推选磋商小组组长，采购人代表不得担任磋商小组组长。</w:t>
      </w:r>
    </w:p>
    <w:p w14:paraId="36F19F14">
      <w:pPr>
        <w:adjustRightInd w:val="0"/>
        <w:snapToGrid w:val="0"/>
        <w:spacing w:line="360" w:lineRule="auto"/>
        <w:ind w:firstLine="420" w:firstLineChars="200"/>
        <w:rPr>
          <w:rFonts w:hint="eastAsia" w:ascii="宋体" w:hAnsi="宋体" w:eastAsia="宋体" w:cs="宋体"/>
          <w:b/>
          <w:kern w:val="0"/>
          <w:szCs w:val="21"/>
        </w:rPr>
      </w:pPr>
      <w:r>
        <w:rPr>
          <w:rFonts w:hint="eastAsia" w:ascii="宋体" w:hAnsi="宋体" w:eastAsia="宋体" w:cs="宋体"/>
          <w:szCs w:val="21"/>
        </w:rPr>
        <w:t>16.6</w:t>
      </w:r>
      <w:r>
        <w:rPr>
          <w:rFonts w:hint="eastAsia" w:ascii="宋体" w:hAnsi="宋体" w:eastAsia="宋体" w:cs="宋体"/>
          <w:kern w:val="0"/>
          <w:szCs w:val="21"/>
        </w:rPr>
        <w:t>.1.2由磋商小组组长召集所有磋商小组成员阅读采购文件及相关补充、质疑、答复文件、项目书面说明等材料，熟悉采购项目基本情况、采购需求、合同主要条款、</w:t>
      </w:r>
      <w:r>
        <w:rPr>
          <w:rFonts w:hint="eastAsia" w:ascii="宋体" w:hAnsi="宋体" w:eastAsia="宋体" w:cs="宋体"/>
          <w:szCs w:val="21"/>
        </w:rPr>
        <w:t>磋商响应</w:t>
      </w:r>
      <w:r>
        <w:rPr>
          <w:rFonts w:hint="eastAsia" w:ascii="宋体" w:hAnsi="宋体" w:eastAsia="宋体" w:cs="宋体"/>
          <w:kern w:val="0"/>
          <w:szCs w:val="21"/>
        </w:rPr>
        <w:t>文件无效情形、磋商办法、磋商标准，以及其他与磋商有关的内容。</w:t>
      </w:r>
    </w:p>
    <w:p w14:paraId="3BC6BF60">
      <w:pPr>
        <w:pStyle w:val="25"/>
        <w:adjustRightInd w:val="0"/>
        <w:snapToGrid w:val="0"/>
        <w:spacing w:line="360" w:lineRule="auto"/>
        <w:rPr>
          <w:rFonts w:hint="eastAsia" w:ascii="宋体" w:hAnsi="宋体" w:eastAsia="宋体" w:cs="宋体"/>
          <w:b/>
        </w:rPr>
      </w:pPr>
      <w:r>
        <w:rPr>
          <w:rFonts w:hint="eastAsia" w:ascii="宋体" w:hAnsi="宋体" w:eastAsia="宋体" w:cs="宋体"/>
          <w:b/>
        </w:rPr>
        <w:t>16.6.2响应文件的符合性审查</w:t>
      </w:r>
    </w:p>
    <w:p w14:paraId="053D0EAB">
      <w:pPr>
        <w:adjustRightInd w:val="0"/>
        <w:snapToGrid w:val="0"/>
        <w:spacing w:line="360" w:lineRule="auto"/>
        <w:ind w:firstLine="373" w:firstLineChars="177"/>
        <w:rPr>
          <w:rFonts w:hint="eastAsia" w:ascii="宋体" w:hAnsi="宋体" w:eastAsia="宋体" w:cs="宋体"/>
          <w:b/>
          <w:kern w:val="0"/>
          <w:szCs w:val="21"/>
        </w:rPr>
      </w:pPr>
      <w:r>
        <w:rPr>
          <w:rFonts w:hint="eastAsia" w:ascii="宋体" w:hAnsi="宋体" w:eastAsia="宋体" w:cs="宋体"/>
          <w:b/>
          <w:kern w:val="0"/>
          <w:szCs w:val="21"/>
        </w:rPr>
        <w:t>对所有通过资格审查的磋商响应供应商的响应文件进行审查、评价响应文件是否符合采购文件的商务、技术、服务等实质性要求。</w:t>
      </w:r>
    </w:p>
    <w:p w14:paraId="659639F3">
      <w:pPr>
        <w:adjustRightInd w:val="0"/>
        <w:snapToGrid w:val="0"/>
        <w:spacing w:line="360" w:lineRule="auto"/>
        <w:ind w:firstLine="371" w:firstLineChars="177"/>
        <w:rPr>
          <w:rFonts w:hint="eastAsia" w:ascii="宋体" w:hAnsi="宋体" w:eastAsia="宋体" w:cs="宋体"/>
          <w:szCs w:val="21"/>
        </w:rPr>
      </w:pPr>
      <w:r>
        <w:rPr>
          <w:rFonts w:hint="eastAsia" w:ascii="宋体" w:hAnsi="宋体" w:eastAsia="宋体" w:cs="宋体"/>
          <w:szCs w:val="21"/>
        </w:rPr>
        <w:t>16.6.2.1磋商小组首先对所有通过资格审查的响应文件进行符合性审查，审查每份响应文件是否实质上响应了采购文件的要求（实质性响应的文件是指响应文件符合采购文件规定的实质性内容、条件和规定）。</w:t>
      </w:r>
    </w:p>
    <w:p w14:paraId="47316057">
      <w:pPr>
        <w:pStyle w:val="25"/>
        <w:adjustRightInd w:val="0"/>
        <w:snapToGrid w:val="0"/>
        <w:spacing w:line="360" w:lineRule="auto"/>
        <w:rPr>
          <w:rFonts w:hint="eastAsia" w:ascii="宋体" w:hAnsi="宋体" w:eastAsia="宋体" w:cs="宋体"/>
          <w:b/>
        </w:rPr>
      </w:pPr>
      <w:r>
        <w:rPr>
          <w:rFonts w:hint="eastAsia" w:ascii="宋体" w:hAnsi="宋体" w:eastAsia="宋体" w:cs="宋体"/>
          <w:b/>
        </w:rPr>
        <w:t>16.6.3 响应文件的澄清、说明或补正</w:t>
      </w:r>
    </w:p>
    <w:p w14:paraId="0058E73D">
      <w:pPr>
        <w:adjustRightInd w:val="0"/>
        <w:snapToGrid w:val="0"/>
        <w:spacing w:line="360" w:lineRule="auto"/>
        <w:ind w:firstLine="371" w:firstLineChars="177"/>
        <w:rPr>
          <w:rFonts w:hint="eastAsia" w:ascii="宋体" w:hAnsi="宋体" w:eastAsia="宋体" w:cs="宋体"/>
          <w:kern w:val="0"/>
          <w:szCs w:val="21"/>
        </w:rPr>
      </w:pPr>
      <w:r>
        <w:rPr>
          <w:rFonts w:hint="eastAsia" w:ascii="宋体" w:hAnsi="宋体" w:eastAsia="宋体" w:cs="宋体"/>
          <w:szCs w:val="21"/>
        </w:rPr>
        <w:t>16.6</w:t>
      </w:r>
      <w:r>
        <w:rPr>
          <w:rFonts w:hint="eastAsia" w:ascii="宋体" w:hAnsi="宋体" w:eastAsia="宋体" w:cs="宋体"/>
          <w:kern w:val="0"/>
          <w:szCs w:val="21"/>
        </w:rPr>
        <w:t>.3.1对于响应文件中含义不明确、同类问题表述不一致或者有明显文字和计算错误的内容，将以书面形式（或通过“政府采购云平台”在线询标）的形式要求</w:t>
      </w:r>
      <w:r>
        <w:rPr>
          <w:rFonts w:hint="eastAsia" w:ascii="宋体" w:hAnsi="宋体" w:eastAsia="宋体" w:cs="宋体"/>
          <w:szCs w:val="21"/>
        </w:rPr>
        <w:t>磋商响应</w:t>
      </w:r>
      <w:r>
        <w:rPr>
          <w:rFonts w:hint="eastAsia" w:ascii="宋体" w:hAnsi="宋体" w:eastAsia="宋体" w:cs="宋体"/>
          <w:kern w:val="0"/>
          <w:szCs w:val="21"/>
        </w:rPr>
        <w:t>供应商在规定的时间内作出必要的澄清、说明或者补正，</w:t>
      </w:r>
      <w:r>
        <w:rPr>
          <w:rFonts w:hint="eastAsia" w:ascii="宋体" w:hAnsi="宋体" w:eastAsia="宋体" w:cs="宋体"/>
          <w:szCs w:val="21"/>
        </w:rPr>
        <w:t>磋商响应</w:t>
      </w:r>
      <w:r>
        <w:rPr>
          <w:rFonts w:hint="eastAsia" w:ascii="宋体" w:hAnsi="宋体" w:eastAsia="宋体" w:cs="宋体"/>
          <w:kern w:val="0"/>
          <w:szCs w:val="21"/>
        </w:rPr>
        <w:t>供应商澄清、说明或补正时间为30分钟。</w:t>
      </w:r>
    </w:p>
    <w:p w14:paraId="4245E23F">
      <w:pPr>
        <w:adjustRightInd w:val="0"/>
        <w:snapToGrid w:val="0"/>
        <w:spacing w:line="360" w:lineRule="auto"/>
        <w:ind w:firstLine="371" w:firstLineChars="177"/>
        <w:rPr>
          <w:rFonts w:hint="eastAsia" w:ascii="宋体" w:hAnsi="宋体" w:eastAsia="宋体" w:cs="宋体"/>
          <w:kern w:val="0"/>
          <w:szCs w:val="21"/>
        </w:rPr>
      </w:pPr>
      <w:r>
        <w:rPr>
          <w:rFonts w:hint="eastAsia" w:ascii="宋体" w:hAnsi="宋体" w:eastAsia="宋体" w:cs="宋体"/>
          <w:szCs w:val="21"/>
        </w:rPr>
        <w:t>16.6</w:t>
      </w:r>
      <w:r>
        <w:rPr>
          <w:rFonts w:hint="eastAsia" w:ascii="宋体" w:hAnsi="宋体" w:eastAsia="宋体" w:cs="宋体"/>
          <w:kern w:val="0"/>
          <w:szCs w:val="21"/>
        </w:rPr>
        <w:t>.3.2</w:t>
      </w:r>
      <w:r>
        <w:rPr>
          <w:rFonts w:hint="eastAsia" w:ascii="宋体" w:hAnsi="宋体" w:eastAsia="宋体" w:cs="宋体"/>
          <w:szCs w:val="21"/>
        </w:rPr>
        <w:t>磋商响应</w:t>
      </w:r>
      <w:r>
        <w:rPr>
          <w:rFonts w:hint="eastAsia" w:ascii="宋体" w:hAnsi="宋体" w:eastAsia="宋体" w:cs="宋体"/>
          <w:kern w:val="0"/>
          <w:szCs w:val="21"/>
        </w:rPr>
        <w:t>供应商的澄清、说明或者补正应当采用书面（或通过“政府采购云平台”在线答复）形式提交，并加盖公章。</w:t>
      </w:r>
      <w:r>
        <w:rPr>
          <w:rFonts w:hint="eastAsia" w:ascii="宋体" w:hAnsi="宋体" w:eastAsia="宋体" w:cs="宋体"/>
          <w:szCs w:val="21"/>
        </w:rPr>
        <w:t>磋商响应</w:t>
      </w:r>
      <w:r>
        <w:rPr>
          <w:rFonts w:hint="eastAsia" w:ascii="宋体" w:hAnsi="宋体" w:eastAsia="宋体" w:cs="宋体"/>
          <w:kern w:val="0"/>
          <w:szCs w:val="21"/>
        </w:rPr>
        <w:t>供应商的澄清、说明或者补正不得超出</w:t>
      </w:r>
      <w:r>
        <w:rPr>
          <w:rFonts w:hint="eastAsia" w:ascii="宋体" w:hAnsi="宋体" w:eastAsia="宋体" w:cs="宋体"/>
          <w:szCs w:val="21"/>
        </w:rPr>
        <w:t>磋商响应</w:t>
      </w:r>
      <w:r>
        <w:rPr>
          <w:rFonts w:hint="eastAsia" w:ascii="宋体" w:hAnsi="宋体" w:eastAsia="宋体" w:cs="宋体"/>
          <w:kern w:val="0"/>
          <w:szCs w:val="21"/>
        </w:rPr>
        <w:t>文件的范围或者改变</w:t>
      </w:r>
      <w:r>
        <w:rPr>
          <w:rFonts w:hint="eastAsia" w:ascii="宋体" w:hAnsi="宋体" w:eastAsia="宋体" w:cs="宋体"/>
          <w:szCs w:val="21"/>
        </w:rPr>
        <w:t>磋商响应</w:t>
      </w:r>
      <w:r>
        <w:rPr>
          <w:rFonts w:hint="eastAsia" w:ascii="宋体" w:hAnsi="宋体" w:eastAsia="宋体" w:cs="宋体"/>
          <w:kern w:val="0"/>
          <w:szCs w:val="21"/>
        </w:rPr>
        <w:t>文件的实质性内容。</w:t>
      </w:r>
    </w:p>
    <w:p w14:paraId="6706CE3A">
      <w:pPr>
        <w:pStyle w:val="25"/>
        <w:adjustRightInd w:val="0"/>
        <w:snapToGrid w:val="0"/>
        <w:spacing w:line="360" w:lineRule="auto"/>
        <w:rPr>
          <w:rFonts w:hint="eastAsia" w:ascii="宋体" w:hAnsi="宋体" w:eastAsia="宋体" w:cs="宋体"/>
          <w:b/>
        </w:rPr>
      </w:pPr>
      <w:r>
        <w:rPr>
          <w:rFonts w:hint="eastAsia" w:ascii="宋体" w:hAnsi="宋体" w:eastAsia="宋体" w:cs="宋体"/>
          <w:b/>
        </w:rPr>
        <w:t>16.6.4 磋商响应文件的错误修正</w:t>
      </w:r>
    </w:p>
    <w:p w14:paraId="22F24B25">
      <w:pPr>
        <w:adjustRightInd w:val="0"/>
        <w:snapToGrid w:val="0"/>
        <w:spacing w:line="360" w:lineRule="auto"/>
        <w:ind w:firstLine="369" w:firstLineChars="175"/>
        <w:rPr>
          <w:rFonts w:hint="eastAsia" w:ascii="宋体" w:hAnsi="宋体" w:eastAsia="宋体" w:cs="宋体"/>
          <w:b/>
          <w:bCs/>
          <w:kern w:val="0"/>
          <w:szCs w:val="21"/>
        </w:rPr>
      </w:pPr>
      <w:r>
        <w:rPr>
          <w:rFonts w:hint="eastAsia" w:ascii="宋体" w:hAnsi="宋体" w:eastAsia="宋体" w:cs="宋体"/>
          <w:b/>
          <w:bCs/>
          <w:szCs w:val="21"/>
        </w:rPr>
        <w:t>16.6</w:t>
      </w:r>
      <w:r>
        <w:rPr>
          <w:rFonts w:hint="eastAsia" w:ascii="宋体" w:hAnsi="宋体" w:eastAsia="宋体" w:cs="宋体"/>
          <w:b/>
          <w:bCs/>
          <w:kern w:val="0"/>
          <w:szCs w:val="21"/>
        </w:rPr>
        <w:t>.4.1《磋商响应文件》如果出现计算或表达上的错误，修正错误的原则如下：</w:t>
      </w:r>
    </w:p>
    <w:p w14:paraId="3E57DD19">
      <w:pPr>
        <w:adjustRightInd w:val="0"/>
        <w:snapToGrid w:val="0"/>
        <w:spacing w:line="360" w:lineRule="auto"/>
        <w:ind w:firstLine="367" w:firstLineChars="175"/>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rPr>
        <w:t>磋商响应文件</w:t>
      </w:r>
      <w:r>
        <w:rPr>
          <w:rFonts w:hint="eastAsia" w:ascii="宋体" w:hAnsi="宋体" w:eastAsia="宋体" w:cs="宋体"/>
          <w:kern w:val="0"/>
          <w:szCs w:val="21"/>
        </w:rPr>
        <w:t>中开标一览表（报价表）内容与</w:t>
      </w:r>
      <w:r>
        <w:rPr>
          <w:rFonts w:hint="eastAsia" w:ascii="宋体" w:hAnsi="宋体" w:eastAsia="宋体" w:cs="宋体"/>
          <w:szCs w:val="21"/>
        </w:rPr>
        <w:t>磋商响应文件</w:t>
      </w:r>
      <w:r>
        <w:rPr>
          <w:rFonts w:hint="eastAsia" w:ascii="宋体" w:hAnsi="宋体" w:eastAsia="宋体" w:cs="宋体"/>
          <w:kern w:val="0"/>
          <w:szCs w:val="21"/>
        </w:rPr>
        <w:t>中相应内容不一致的，以开标一览表（报价表）为准。</w:t>
      </w:r>
    </w:p>
    <w:p w14:paraId="2B2C768E">
      <w:pPr>
        <w:adjustRightInd w:val="0"/>
        <w:snapToGrid w:val="0"/>
        <w:spacing w:line="360" w:lineRule="auto"/>
        <w:ind w:firstLine="367" w:firstLineChars="175"/>
        <w:rPr>
          <w:rFonts w:hint="eastAsia" w:ascii="宋体" w:hAnsi="宋体" w:eastAsia="宋体" w:cs="宋体"/>
          <w:kern w:val="0"/>
          <w:szCs w:val="21"/>
        </w:rPr>
      </w:pPr>
      <w:r>
        <w:rPr>
          <w:rFonts w:hint="eastAsia" w:ascii="宋体" w:hAnsi="宋体" w:eastAsia="宋体" w:cs="宋体"/>
          <w:kern w:val="0"/>
          <w:szCs w:val="21"/>
        </w:rPr>
        <w:t>（2）大写金额和小写金额不一致的，以大写金额为准。</w:t>
      </w:r>
    </w:p>
    <w:p w14:paraId="30EDD6CB">
      <w:pPr>
        <w:adjustRightInd w:val="0"/>
        <w:snapToGrid w:val="0"/>
        <w:spacing w:line="360" w:lineRule="auto"/>
        <w:ind w:firstLine="367" w:firstLineChars="175"/>
        <w:rPr>
          <w:rFonts w:hint="eastAsia" w:ascii="宋体" w:hAnsi="宋体" w:eastAsia="宋体" w:cs="宋体"/>
          <w:kern w:val="0"/>
          <w:szCs w:val="21"/>
        </w:rPr>
      </w:pPr>
      <w:r>
        <w:rPr>
          <w:rFonts w:hint="eastAsia" w:ascii="宋体" w:hAnsi="宋体" w:eastAsia="宋体" w:cs="宋体"/>
          <w:kern w:val="0"/>
          <w:szCs w:val="21"/>
        </w:rPr>
        <w:t>（3）单价金额小数点或者百分比有明显错位的，应以开标一览表的总价为准，并修改单价。</w:t>
      </w:r>
    </w:p>
    <w:p w14:paraId="65C925A8">
      <w:pPr>
        <w:adjustRightInd w:val="0"/>
        <w:snapToGrid w:val="0"/>
        <w:spacing w:line="360" w:lineRule="auto"/>
        <w:ind w:firstLine="367" w:firstLineChars="175"/>
        <w:rPr>
          <w:rFonts w:hint="eastAsia" w:ascii="宋体" w:hAnsi="宋体" w:eastAsia="宋体" w:cs="宋体"/>
          <w:kern w:val="0"/>
          <w:szCs w:val="21"/>
        </w:rPr>
      </w:pPr>
      <w:r>
        <w:rPr>
          <w:rFonts w:hint="eastAsia" w:ascii="宋体" w:hAnsi="宋体" w:eastAsia="宋体" w:cs="宋体"/>
          <w:kern w:val="0"/>
          <w:szCs w:val="21"/>
        </w:rPr>
        <w:t>（4）总价金额与按单价汇总金额不一致的，以单价金额计算结果为准。</w:t>
      </w:r>
    </w:p>
    <w:p w14:paraId="36B844EB">
      <w:pPr>
        <w:adjustRightInd w:val="0"/>
        <w:snapToGrid w:val="0"/>
        <w:spacing w:line="360" w:lineRule="auto"/>
        <w:ind w:firstLine="367" w:firstLineChars="175"/>
        <w:rPr>
          <w:rFonts w:hint="eastAsia" w:ascii="宋体" w:hAnsi="宋体" w:eastAsia="宋体" w:cs="宋体"/>
          <w:kern w:val="0"/>
          <w:szCs w:val="21"/>
        </w:rPr>
      </w:pPr>
      <w:r>
        <w:rPr>
          <w:rFonts w:hint="eastAsia" w:ascii="宋体" w:hAnsi="宋体" w:eastAsia="宋体" w:cs="宋体"/>
          <w:szCs w:val="21"/>
        </w:rPr>
        <w:t>16.6</w:t>
      </w:r>
      <w:r>
        <w:rPr>
          <w:rFonts w:hint="eastAsia" w:ascii="宋体" w:hAnsi="宋体" w:eastAsia="宋体" w:cs="宋体"/>
          <w:kern w:val="0"/>
          <w:szCs w:val="21"/>
        </w:rPr>
        <w:t>.4.2对不同文字文本《</w:t>
      </w:r>
      <w:r>
        <w:rPr>
          <w:rFonts w:hint="eastAsia" w:ascii="宋体" w:hAnsi="宋体" w:eastAsia="宋体" w:cs="宋体"/>
          <w:szCs w:val="21"/>
        </w:rPr>
        <w:t>磋商响应文件</w:t>
      </w:r>
      <w:r>
        <w:rPr>
          <w:rFonts w:hint="eastAsia" w:ascii="宋体" w:hAnsi="宋体" w:eastAsia="宋体" w:cs="宋体"/>
          <w:kern w:val="0"/>
          <w:szCs w:val="21"/>
        </w:rPr>
        <w:t>》的解释发生异议的，以中文文本为准。</w:t>
      </w:r>
    </w:p>
    <w:p w14:paraId="76965341">
      <w:pPr>
        <w:pStyle w:val="25"/>
        <w:adjustRightInd w:val="0"/>
        <w:snapToGrid w:val="0"/>
        <w:spacing w:line="360" w:lineRule="auto"/>
        <w:rPr>
          <w:rFonts w:hint="eastAsia" w:ascii="宋体" w:hAnsi="宋体" w:eastAsia="宋体" w:cs="宋体"/>
          <w:b/>
        </w:rPr>
      </w:pPr>
      <w:r>
        <w:rPr>
          <w:rFonts w:hint="eastAsia" w:ascii="宋体" w:hAnsi="宋体" w:eastAsia="宋体" w:cs="宋体"/>
          <w:b/>
        </w:rPr>
        <w:t>16.7 磋商响应文件有下列情况之一者将视为无效：</w:t>
      </w:r>
    </w:p>
    <w:p w14:paraId="5F7CEAF4">
      <w:pPr>
        <w:adjustRightInd w:val="0"/>
        <w:snapToGrid w:val="0"/>
        <w:spacing w:line="360" w:lineRule="auto"/>
        <w:ind w:firstLine="371" w:firstLineChars="176"/>
        <w:rPr>
          <w:rFonts w:hint="eastAsia" w:ascii="宋体" w:hAnsi="宋体" w:eastAsia="宋体" w:cs="宋体"/>
          <w:b/>
          <w:szCs w:val="21"/>
        </w:rPr>
      </w:pPr>
      <w:bookmarkStart w:id="74" w:name="_Hlk33211013"/>
      <w:r>
        <w:rPr>
          <w:rFonts w:hint="eastAsia" w:ascii="宋体" w:hAnsi="宋体" w:eastAsia="宋体" w:cs="宋体"/>
          <w:b/>
          <w:bCs/>
          <w:szCs w:val="21"/>
        </w:rPr>
        <w:t>16.7</w:t>
      </w:r>
      <w:r>
        <w:rPr>
          <w:rFonts w:hint="eastAsia" w:ascii="宋体" w:hAnsi="宋体" w:eastAsia="宋体" w:cs="宋体"/>
          <w:b/>
          <w:bCs/>
          <w:kern w:val="0"/>
          <w:szCs w:val="21"/>
        </w:rPr>
        <w:t>.1商务、技术文件符合性审查中，存在下列情形之一的，经磋商小组认定后作无效标处</w:t>
      </w:r>
      <w:r>
        <w:rPr>
          <w:rFonts w:hint="eastAsia" w:ascii="宋体" w:hAnsi="宋体" w:eastAsia="宋体" w:cs="宋体"/>
          <w:b/>
          <w:szCs w:val="21"/>
        </w:rPr>
        <w:t>理：</w:t>
      </w:r>
    </w:p>
    <w:p w14:paraId="21C659F2">
      <w:pPr>
        <w:numPr>
          <w:ilvl w:val="0"/>
          <w:numId w:val="0"/>
        </w:numPr>
        <w:spacing w:line="360" w:lineRule="auto"/>
        <w:ind w:firstLine="422" w:firstLineChars="200"/>
        <w:rPr>
          <w:rFonts w:hint="eastAsia" w:ascii="宋体" w:hAnsi="宋体" w:eastAsia="宋体" w:cs="宋体"/>
          <w:b/>
          <w:szCs w:val="21"/>
        </w:rPr>
      </w:pPr>
      <w:bookmarkStart w:id="75" w:name="_Toc33194396"/>
      <w:bookmarkStart w:id="76" w:name="_Toc8287"/>
      <w:bookmarkStart w:id="77" w:name="_Toc32019"/>
      <w:bookmarkStart w:id="78" w:name="_Toc22573"/>
      <w:r>
        <w:rPr>
          <w:rFonts w:hint="eastAsia" w:ascii="宋体" w:hAnsi="宋体" w:eastAsia="宋体" w:cs="宋体"/>
          <w:b/>
          <w:szCs w:val="21"/>
          <w:lang w:eastAsia="zh-CN"/>
        </w:rPr>
        <w:t>（</w:t>
      </w:r>
      <w:r>
        <w:rPr>
          <w:rFonts w:hint="eastAsia" w:ascii="宋体" w:hAnsi="宋体" w:eastAsia="宋体" w:cs="宋体"/>
          <w:b/>
          <w:szCs w:val="21"/>
          <w:lang w:val="en-US" w:eastAsia="zh-CN"/>
        </w:rPr>
        <w:t>1</w:t>
      </w:r>
      <w:r>
        <w:rPr>
          <w:rFonts w:hint="eastAsia" w:ascii="宋体" w:hAnsi="宋体" w:eastAsia="宋体" w:cs="宋体"/>
          <w:b/>
          <w:szCs w:val="21"/>
          <w:lang w:eastAsia="zh-CN"/>
        </w:rPr>
        <w:t>）</w:t>
      </w:r>
      <w:r>
        <w:rPr>
          <w:rFonts w:hint="eastAsia" w:ascii="宋体" w:hAnsi="宋体" w:eastAsia="宋体" w:cs="宋体"/>
          <w:b/>
          <w:szCs w:val="21"/>
        </w:rPr>
        <w:t>磋商响应文件未有效授权，授权委托书等填写不完整</w:t>
      </w:r>
      <w:bookmarkEnd w:id="75"/>
      <w:bookmarkEnd w:id="76"/>
      <w:bookmarkEnd w:id="77"/>
      <w:bookmarkEnd w:id="78"/>
      <w:r>
        <w:rPr>
          <w:rFonts w:hint="eastAsia" w:ascii="宋体" w:hAnsi="宋体" w:eastAsia="宋体" w:cs="宋体"/>
          <w:b/>
          <w:szCs w:val="21"/>
        </w:rPr>
        <w:t>。</w:t>
      </w:r>
    </w:p>
    <w:p w14:paraId="182FDE13">
      <w:pPr>
        <w:numPr>
          <w:ilvl w:val="0"/>
          <w:numId w:val="0"/>
        </w:numPr>
        <w:spacing w:line="360" w:lineRule="auto"/>
        <w:ind w:leftChars="200"/>
        <w:rPr>
          <w:rFonts w:hint="eastAsia" w:ascii="宋体" w:hAnsi="宋体" w:eastAsia="宋体" w:cs="宋体"/>
          <w:b/>
          <w:szCs w:val="21"/>
        </w:rPr>
      </w:pPr>
      <w:r>
        <w:rPr>
          <w:rFonts w:hint="eastAsia" w:ascii="宋体" w:hAnsi="宋体" w:eastAsia="宋体" w:cs="宋体"/>
          <w:b/>
          <w:szCs w:val="21"/>
          <w:lang w:eastAsia="zh-CN"/>
        </w:rPr>
        <w:t>（</w:t>
      </w:r>
      <w:r>
        <w:rPr>
          <w:rFonts w:hint="eastAsia" w:ascii="宋体" w:hAnsi="宋体" w:eastAsia="宋体" w:cs="宋体"/>
          <w:b/>
          <w:szCs w:val="21"/>
          <w:lang w:val="en-US" w:eastAsia="zh-CN"/>
        </w:rPr>
        <w:t>2</w:t>
      </w:r>
      <w:r>
        <w:rPr>
          <w:rFonts w:hint="eastAsia" w:ascii="宋体" w:hAnsi="宋体" w:eastAsia="宋体" w:cs="宋体"/>
          <w:b/>
          <w:szCs w:val="21"/>
          <w:lang w:eastAsia="zh-CN"/>
        </w:rPr>
        <w:t>）</w:t>
      </w:r>
      <w:r>
        <w:rPr>
          <w:rFonts w:hint="eastAsia" w:ascii="宋体" w:hAnsi="宋体" w:eastAsia="宋体" w:cs="宋体"/>
          <w:b/>
          <w:szCs w:val="21"/>
        </w:rPr>
        <w:t>投标有效期不满足采购要求的。</w:t>
      </w:r>
    </w:p>
    <w:p w14:paraId="07B4F306">
      <w:pPr>
        <w:numPr>
          <w:ilvl w:val="0"/>
          <w:numId w:val="0"/>
        </w:numPr>
        <w:spacing w:line="360" w:lineRule="auto"/>
        <w:ind w:firstLine="422" w:firstLineChars="200"/>
        <w:rPr>
          <w:rFonts w:hint="eastAsia" w:ascii="宋体" w:hAnsi="宋体" w:eastAsia="宋体" w:cs="宋体"/>
          <w:b/>
          <w:szCs w:val="21"/>
        </w:rPr>
      </w:pPr>
      <w:r>
        <w:rPr>
          <w:rFonts w:hint="eastAsia" w:ascii="宋体" w:hAnsi="宋体" w:eastAsia="宋体" w:cs="宋体"/>
          <w:b/>
          <w:szCs w:val="21"/>
          <w:lang w:eastAsia="zh-CN"/>
        </w:rPr>
        <w:t>（</w:t>
      </w:r>
      <w:r>
        <w:rPr>
          <w:rFonts w:hint="eastAsia" w:ascii="宋体" w:hAnsi="宋体" w:eastAsia="宋体" w:cs="宋体"/>
          <w:b/>
          <w:szCs w:val="21"/>
          <w:lang w:val="en-US" w:eastAsia="zh-CN"/>
        </w:rPr>
        <w:t>3</w:t>
      </w:r>
      <w:r>
        <w:rPr>
          <w:rFonts w:hint="eastAsia" w:ascii="宋体" w:hAnsi="宋体" w:eastAsia="宋体" w:cs="宋体"/>
          <w:b/>
          <w:szCs w:val="21"/>
          <w:lang w:eastAsia="zh-CN"/>
        </w:rPr>
        <w:t>）</w:t>
      </w:r>
      <w:r>
        <w:rPr>
          <w:rFonts w:hint="eastAsia" w:ascii="宋体" w:hAnsi="宋体" w:eastAsia="宋体" w:cs="宋体"/>
          <w:b/>
          <w:szCs w:val="21"/>
        </w:rPr>
        <w:t>磋商响应文件没有对本采购文件作出实质性响应的，或不满足（不响应）本采购文件中标注“▲”的实质性要求条款的，或存在采购文件中明确规定的其他无效标情形的。</w:t>
      </w:r>
    </w:p>
    <w:p w14:paraId="0967012E">
      <w:pPr>
        <w:numPr>
          <w:ilvl w:val="0"/>
          <w:numId w:val="0"/>
        </w:numPr>
        <w:spacing w:line="360" w:lineRule="auto"/>
        <w:ind w:firstLine="422" w:firstLineChars="200"/>
        <w:rPr>
          <w:rFonts w:hint="eastAsia" w:ascii="宋体" w:hAnsi="宋体" w:eastAsia="宋体" w:cs="宋体"/>
          <w:b/>
          <w:szCs w:val="21"/>
        </w:rPr>
      </w:pPr>
      <w:r>
        <w:rPr>
          <w:rFonts w:hint="eastAsia" w:ascii="宋体" w:hAnsi="宋体" w:eastAsia="宋体" w:cs="宋体"/>
          <w:b/>
          <w:szCs w:val="21"/>
          <w:lang w:eastAsia="zh-CN"/>
        </w:rPr>
        <w:t>（</w:t>
      </w:r>
      <w:r>
        <w:rPr>
          <w:rFonts w:hint="eastAsia" w:ascii="宋体" w:hAnsi="宋体" w:eastAsia="宋体" w:cs="宋体"/>
          <w:b/>
          <w:szCs w:val="21"/>
          <w:lang w:val="en-US" w:eastAsia="zh-CN"/>
        </w:rPr>
        <w:t>4</w:t>
      </w:r>
      <w:r>
        <w:rPr>
          <w:rFonts w:hint="eastAsia" w:ascii="宋体" w:hAnsi="宋体" w:eastAsia="宋体" w:cs="宋体"/>
          <w:b/>
          <w:szCs w:val="21"/>
          <w:lang w:eastAsia="zh-CN"/>
        </w:rPr>
        <w:t>）</w:t>
      </w:r>
      <w:r>
        <w:rPr>
          <w:rFonts w:hint="eastAsia" w:ascii="宋体" w:hAnsi="宋体" w:eastAsia="宋体" w:cs="宋体"/>
          <w:b/>
          <w:szCs w:val="21"/>
        </w:rPr>
        <w:t>磋商响应文件存在一个或一个以上备选（替代）磋商响应方案的。</w:t>
      </w:r>
    </w:p>
    <w:p w14:paraId="56836CD5">
      <w:pPr>
        <w:numPr>
          <w:ilvl w:val="0"/>
          <w:numId w:val="0"/>
        </w:numPr>
        <w:spacing w:line="360" w:lineRule="auto"/>
        <w:ind w:firstLine="422" w:firstLineChars="200"/>
        <w:rPr>
          <w:rFonts w:hint="eastAsia" w:ascii="宋体" w:hAnsi="宋体" w:eastAsia="宋体" w:cs="宋体"/>
          <w:b/>
          <w:szCs w:val="21"/>
        </w:rPr>
      </w:pPr>
      <w:r>
        <w:rPr>
          <w:rFonts w:hint="eastAsia" w:ascii="宋体" w:hAnsi="宋体" w:eastAsia="宋体" w:cs="宋体"/>
          <w:b/>
          <w:szCs w:val="21"/>
          <w:lang w:eastAsia="zh-CN"/>
        </w:rPr>
        <w:t>（</w:t>
      </w:r>
      <w:r>
        <w:rPr>
          <w:rFonts w:hint="eastAsia" w:ascii="宋体" w:hAnsi="宋体" w:eastAsia="宋体" w:cs="宋体"/>
          <w:b/>
          <w:szCs w:val="21"/>
          <w:lang w:val="en-US" w:eastAsia="zh-CN"/>
        </w:rPr>
        <w:t>5</w:t>
      </w:r>
      <w:r>
        <w:rPr>
          <w:rFonts w:hint="eastAsia" w:ascii="宋体" w:hAnsi="宋体" w:eastAsia="宋体" w:cs="宋体"/>
          <w:b/>
          <w:szCs w:val="21"/>
          <w:lang w:eastAsia="zh-CN"/>
        </w:rPr>
        <w:t>）</w:t>
      </w:r>
      <w:r>
        <w:rPr>
          <w:rFonts w:hint="eastAsia" w:ascii="宋体" w:hAnsi="宋体" w:eastAsia="宋体" w:cs="宋体"/>
          <w:b/>
          <w:szCs w:val="21"/>
        </w:rPr>
        <w:t>磋商响应文件组成内容不齐全，本采购文件规定必须提供而未提供的（属于资格审查范围的除外）。</w:t>
      </w:r>
    </w:p>
    <w:p w14:paraId="36D46706">
      <w:pPr>
        <w:numPr>
          <w:ilvl w:val="0"/>
          <w:numId w:val="0"/>
        </w:numPr>
        <w:spacing w:line="360" w:lineRule="auto"/>
        <w:ind w:firstLine="422" w:firstLineChars="200"/>
        <w:rPr>
          <w:rFonts w:hint="eastAsia" w:ascii="宋体" w:hAnsi="宋体" w:eastAsia="宋体" w:cs="宋体"/>
          <w:b/>
          <w:szCs w:val="21"/>
        </w:rPr>
      </w:pPr>
      <w:r>
        <w:rPr>
          <w:rFonts w:hint="eastAsia" w:ascii="宋体" w:hAnsi="宋体" w:eastAsia="宋体" w:cs="宋体"/>
          <w:b/>
          <w:szCs w:val="21"/>
          <w:lang w:eastAsia="zh-CN"/>
        </w:rPr>
        <w:t>（</w:t>
      </w:r>
      <w:r>
        <w:rPr>
          <w:rFonts w:hint="eastAsia" w:ascii="宋体" w:hAnsi="宋体" w:eastAsia="宋体" w:cs="宋体"/>
          <w:b/>
          <w:szCs w:val="21"/>
          <w:lang w:val="en-US" w:eastAsia="zh-CN"/>
        </w:rPr>
        <w:t>6</w:t>
      </w:r>
      <w:r>
        <w:rPr>
          <w:rFonts w:hint="eastAsia" w:ascii="宋体" w:hAnsi="宋体" w:eastAsia="宋体" w:cs="宋体"/>
          <w:b/>
          <w:szCs w:val="21"/>
          <w:lang w:eastAsia="zh-CN"/>
        </w:rPr>
        <w:t>）</w:t>
      </w:r>
      <w:r>
        <w:rPr>
          <w:rFonts w:hint="eastAsia" w:ascii="宋体" w:hAnsi="宋体" w:eastAsia="宋体" w:cs="宋体"/>
          <w:b/>
          <w:szCs w:val="21"/>
        </w:rPr>
        <w:t>磋商响应文件标注的响应或偏离情况与事实不符，或提供了虚假材料的。</w:t>
      </w:r>
    </w:p>
    <w:p w14:paraId="37F237B2">
      <w:pPr>
        <w:numPr>
          <w:ilvl w:val="0"/>
          <w:numId w:val="0"/>
        </w:numPr>
        <w:spacing w:line="360" w:lineRule="auto"/>
        <w:ind w:firstLine="422" w:firstLineChars="200"/>
        <w:rPr>
          <w:rFonts w:hint="eastAsia" w:ascii="宋体" w:hAnsi="宋体" w:eastAsia="宋体" w:cs="宋体"/>
          <w:b/>
          <w:szCs w:val="21"/>
        </w:rPr>
      </w:pPr>
      <w:r>
        <w:rPr>
          <w:rFonts w:hint="eastAsia" w:ascii="宋体" w:hAnsi="宋体" w:eastAsia="宋体" w:cs="宋体"/>
          <w:b/>
          <w:szCs w:val="21"/>
          <w:lang w:eastAsia="zh-CN"/>
        </w:rPr>
        <w:t>（</w:t>
      </w:r>
      <w:r>
        <w:rPr>
          <w:rFonts w:hint="eastAsia" w:ascii="宋体" w:hAnsi="宋体" w:eastAsia="宋体" w:cs="宋体"/>
          <w:b/>
          <w:szCs w:val="21"/>
          <w:lang w:val="en-US" w:eastAsia="zh-CN"/>
        </w:rPr>
        <w:t>7</w:t>
      </w:r>
      <w:r>
        <w:rPr>
          <w:rFonts w:hint="eastAsia" w:ascii="宋体" w:hAnsi="宋体" w:eastAsia="宋体" w:cs="宋体"/>
          <w:b/>
          <w:szCs w:val="21"/>
          <w:lang w:eastAsia="zh-CN"/>
        </w:rPr>
        <w:t>）</w:t>
      </w:r>
      <w:r>
        <w:rPr>
          <w:rFonts w:hint="eastAsia" w:ascii="宋体" w:hAnsi="宋体" w:eastAsia="宋体" w:cs="宋体"/>
          <w:b/>
          <w:szCs w:val="21"/>
        </w:rPr>
        <w:t>不响应或擅自改变本采购文件要求或磋商响应文件有采购人不能接受的附加条件的。</w:t>
      </w:r>
    </w:p>
    <w:p w14:paraId="5C743A0C">
      <w:pPr>
        <w:numPr>
          <w:ilvl w:val="0"/>
          <w:numId w:val="0"/>
        </w:numPr>
        <w:spacing w:line="360" w:lineRule="auto"/>
        <w:ind w:firstLine="422" w:firstLineChars="200"/>
        <w:rPr>
          <w:rFonts w:hint="eastAsia" w:ascii="宋体" w:hAnsi="宋体" w:eastAsia="宋体" w:cs="宋体"/>
          <w:b/>
          <w:szCs w:val="21"/>
        </w:rPr>
      </w:pPr>
      <w:r>
        <w:rPr>
          <w:rFonts w:hint="eastAsia" w:ascii="宋体" w:hAnsi="宋体" w:eastAsia="宋体" w:cs="宋体"/>
          <w:b/>
          <w:szCs w:val="21"/>
          <w:lang w:eastAsia="zh-CN"/>
        </w:rPr>
        <w:t>（</w:t>
      </w:r>
      <w:r>
        <w:rPr>
          <w:rFonts w:hint="eastAsia" w:ascii="宋体" w:hAnsi="宋体" w:eastAsia="宋体" w:cs="宋体"/>
          <w:b/>
          <w:szCs w:val="21"/>
          <w:lang w:val="en-US" w:eastAsia="zh-CN"/>
        </w:rPr>
        <w:t>8</w:t>
      </w:r>
      <w:r>
        <w:rPr>
          <w:rFonts w:hint="eastAsia" w:ascii="宋体" w:hAnsi="宋体" w:eastAsia="宋体" w:cs="宋体"/>
          <w:b/>
          <w:szCs w:val="21"/>
          <w:lang w:eastAsia="zh-CN"/>
        </w:rPr>
        <w:t>）</w:t>
      </w:r>
      <w:r>
        <w:rPr>
          <w:rFonts w:hint="eastAsia" w:ascii="宋体" w:hAnsi="宋体" w:eastAsia="宋体" w:cs="宋体"/>
          <w:b/>
          <w:szCs w:val="21"/>
        </w:rPr>
        <w:t>参加同一合同项下政府采购活动的不同供应商之间存在利害关系并且存在影响政府采购公平竞争行为的。</w:t>
      </w:r>
    </w:p>
    <w:p w14:paraId="25B3D186">
      <w:pPr>
        <w:numPr>
          <w:ilvl w:val="0"/>
          <w:numId w:val="0"/>
        </w:numPr>
        <w:spacing w:line="360" w:lineRule="auto"/>
        <w:ind w:leftChars="200"/>
        <w:rPr>
          <w:rFonts w:hint="eastAsia" w:ascii="宋体" w:hAnsi="宋体" w:eastAsia="宋体" w:cs="宋体"/>
          <w:b/>
          <w:szCs w:val="21"/>
        </w:rPr>
      </w:pPr>
      <w:r>
        <w:rPr>
          <w:rFonts w:hint="eastAsia" w:ascii="宋体" w:hAnsi="宋体" w:eastAsia="宋体" w:cs="宋体"/>
          <w:b/>
          <w:szCs w:val="21"/>
        </w:rPr>
        <w:t>（9）供应商串通投标，妨碍其他</w:t>
      </w:r>
      <w:r>
        <w:rPr>
          <w:rFonts w:hint="eastAsia" w:ascii="宋体" w:hAnsi="宋体" w:eastAsia="宋体" w:cs="宋体"/>
          <w:b/>
          <w:szCs w:val="21"/>
          <w:lang w:eastAsia="zh-CN"/>
        </w:rPr>
        <w:t>供应商</w:t>
      </w:r>
      <w:r>
        <w:rPr>
          <w:rFonts w:hint="eastAsia" w:ascii="宋体" w:hAnsi="宋体" w:eastAsia="宋体" w:cs="宋体"/>
          <w:b/>
          <w:szCs w:val="21"/>
        </w:rPr>
        <w:t>的竞争行为，损害采购人或者其他</w:t>
      </w:r>
      <w:r>
        <w:rPr>
          <w:rFonts w:hint="eastAsia" w:ascii="宋体" w:hAnsi="宋体" w:eastAsia="宋体" w:cs="宋体"/>
          <w:b/>
          <w:szCs w:val="21"/>
          <w:lang w:eastAsia="zh-CN"/>
        </w:rPr>
        <w:t>供应商</w:t>
      </w:r>
      <w:r>
        <w:rPr>
          <w:rFonts w:hint="eastAsia" w:ascii="宋体" w:hAnsi="宋体" w:eastAsia="宋体" w:cs="宋体"/>
          <w:b/>
          <w:szCs w:val="21"/>
        </w:rPr>
        <w:t>的合法权益的</w:t>
      </w:r>
    </w:p>
    <w:p w14:paraId="78F9569C">
      <w:pPr>
        <w:numPr>
          <w:ilvl w:val="0"/>
          <w:numId w:val="0"/>
        </w:numPr>
        <w:spacing w:line="360" w:lineRule="auto"/>
        <w:ind w:firstLine="422" w:firstLineChars="200"/>
        <w:rPr>
          <w:rFonts w:hint="eastAsia" w:ascii="宋体" w:hAnsi="宋体" w:eastAsia="宋体" w:cs="宋体"/>
          <w:b/>
          <w:szCs w:val="21"/>
        </w:rPr>
      </w:pPr>
      <w:r>
        <w:rPr>
          <w:rFonts w:hint="eastAsia" w:ascii="宋体" w:hAnsi="宋体" w:cs="宋体"/>
          <w:b/>
          <w:szCs w:val="21"/>
          <w:lang w:eastAsia="zh-CN"/>
        </w:rPr>
        <w:t>（</w:t>
      </w:r>
      <w:r>
        <w:rPr>
          <w:rFonts w:hint="eastAsia" w:ascii="宋体" w:hAnsi="宋体" w:cs="宋体"/>
          <w:b/>
          <w:szCs w:val="21"/>
          <w:lang w:val="en-US" w:eastAsia="zh-CN"/>
        </w:rPr>
        <w:t>10</w:t>
      </w:r>
      <w:r>
        <w:rPr>
          <w:rFonts w:hint="eastAsia" w:ascii="宋体" w:hAnsi="宋体" w:cs="宋体"/>
          <w:b/>
          <w:szCs w:val="21"/>
          <w:lang w:eastAsia="zh-CN"/>
        </w:rPr>
        <w:t>）</w:t>
      </w:r>
      <w:r>
        <w:rPr>
          <w:rFonts w:hint="eastAsia" w:ascii="宋体" w:hAnsi="宋体" w:eastAsia="宋体" w:cs="宋体"/>
          <w:b/>
          <w:szCs w:val="21"/>
        </w:rPr>
        <w:t>参与同一标段（包）的投标人（供应商）存在MAC地址相同、计算机硬盘序列号相同、</w:t>
      </w:r>
      <w:r>
        <w:rPr>
          <w:rFonts w:hint="eastAsia" w:ascii="宋体" w:hAnsi="宋体" w:cs="宋体"/>
          <w:b/>
          <w:szCs w:val="21"/>
          <w:lang w:eastAsia="zh-CN"/>
        </w:rPr>
        <w:t>响应文件</w:t>
      </w:r>
      <w:r>
        <w:rPr>
          <w:rFonts w:hint="eastAsia" w:ascii="宋体" w:hAnsi="宋体" w:eastAsia="宋体" w:cs="宋体"/>
          <w:b/>
          <w:szCs w:val="21"/>
        </w:rPr>
        <w:t>细节错误一致且无合理解释、供应商手机号相同等情形的；</w:t>
      </w:r>
    </w:p>
    <w:p w14:paraId="4714D163">
      <w:pPr>
        <w:numPr>
          <w:ilvl w:val="0"/>
          <w:numId w:val="0"/>
        </w:num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w:t>
      </w:r>
      <w:r>
        <w:rPr>
          <w:rFonts w:hint="eastAsia" w:ascii="宋体" w:hAnsi="宋体" w:cs="宋体"/>
          <w:b/>
          <w:szCs w:val="21"/>
          <w:lang w:val="en-US" w:eastAsia="zh-CN"/>
        </w:rPr>
        <w:t>1</w:t>
      </w:r>
      <w:r>
        <w:rPr>
          <w:rFonts w:hint="eastAsia" w:ascii="宋体" w:hAnsi="宋体" w:eastAsia="宋体" w:cs="宋体"/>
          <w:b/>
          <w:szCs w:val="21"/>
        </w:rPr>
        <w:t>）违反国家或政府部门相关法律、法规、文件规定的。</w:t>
      </w:r>
      <w:bookmarkEnd w:id="74"/>
    </w:p>
    <w:p w14:paraId="3ADAC06D">
      <w:pPr>
        <w:adjustRightInd w:val="0"/>
        <w:snapToGrid w:val="0"/>
        <w:spacing w:line="360" w:lineRule="auto"/>
        <w:ind w:firstLine="373" w:firstLineChars="177"/>
        <w:rPr>
          <w:rFonts w:hint="eastAsia" w:ascii="宋体" w:hAnsi="宋体" w:eastAsia="宋体" w:cs="宋体"/>
          <w:b/>
          <w:kern w:val="0"/>
          <w:szCs w:val="21"/>
        </w:rPr>
      </w:pPr>
      <w:r>
        <w:rPr>
          <w:rFonts w:hint="eastAsia" w:ascii="宋体" w:hAnsi="宋体" w:eastAsia="宋体" w:cs="宋体"/>
          <w:b/>
          <w:bCs/>
          <w:szCs w:val="21"/>
        </w:rPr>
        <w:t>16.7</w:t>
      </w:r>
      <w:r>
        <w:rPr>
          <w:rFonts w:hint="eastAsia" w:ascii="宋体" w:hAnsi="宋体" w:eastAsia="宋体" w:cs="宋体"/>
          <w:b/>
          <w:bCs/>
          <w:kern w:val="0"/>
          <w:szCs w:val="21"/>
        </w:rPr>
        <w:t>.2报</w:t>
      </w:r>
      <w:r>
        <w:rPr>
          <w:rFonts w:hint="eastAsia" w:ascii="宋体" w:hAnsi="宋体" w:eastAsia="宋体" w:cs="宋体"/>
          <w:b/>
          <w:kern w:val="0"/>
          <w:szCs w:val="21"/>
        </w:rPr>
        <w:t>价文件符合性审查中，存在下列情形之一的，经磋商小组认定后作无效标处理：</w:t>
      </w:r>
    </w:p>
    <w:p w14:paraId="32D5FC6E">
      <w:pPr>
        <w:adjustRightInd w:val="0"/>
        <w:snapToGrid w:val="0"/>
        <w:spacing w:line="360" w:lineRule="auto"/>
        <w:ind w:firstLine="373" w:firstLineChars="177"/>
        <w:rPr>
          <w:rFonts w:hint="eastAsia" w:ascii="宋体" w:hAnsi="宋体" w:eastAsia="宋体" w:cs="宋体"/>
          <w:b/>
          <w:szCs w:val="21"/>
        </w:rPr>
      </w:pPr>
      <w:r>
        <w:rPr>
          <w:rFonts w:hint="eastAsia" w:ascii="宋体" w:hAnsi="宋体" w:eastAsia="宋体" w:cs="宋体"/>
          <w:b/>
          <w:szCs w:val="21"/>
        </w:rPr>
        <w:t>（1）未在政采云系统规定时间内提交最终报价的。</w:t>
      </w:r>
    </w:p>
    <w:p w14:paraId="419829D5">
      <w:pPr>
        <w:adjustRightInd w:val="0"/>
        <w:snapToGrid w:val="0"/>
        <w:spacing w:line="360" w:lineRule="auto"/>
        <w:ind w:firstLine="373" w:firstLineChars="177"/>
        <w:rPr>
          <w:rFonts w:hint="eastAsia" w:ascii="宋体" w:hAnsi="宋体" w:eastAsia="宋体" w:cs="宋体"/>
          <w:b/>
          <w:szCs w:val="21"/>
        </w:rPr>
      </w:pPr>
      <w:r>
        <w:rPr>
          <w:rFonts w:hint="eastAsia" w:ascii="宋体" w:hAnsi="宋体" w:eastAsia="宋体" w:cs="宋体"/>
          <w:b/>
          <w:szCs w:val="21"/>
        </w:rPr>
        <w:t>（2）未按照采购文件标明的币种报价的，或者磋商响应文件中报价涵盖的内容不符合采购文件要求的。</w:t>
      </w:r>
    </w:p>
    <w:p w14:paraId="602375D0">
      <w:pPr>
        <w:adjustRightInd w:val="0"/>
        <w:snapToGrid w:val="0"/>
        <w:spacing w:line="360" w:lineRule="auto"/>
        <w:ind w:firstLine="373" w:firstLineChars="177"/>
        <w:rPr>
          <w:rFonts w:hint="eastAsia" w:ascii="宋体" w:hAnsi="宋体" w:eastAsia="宋体" w:cs="宋体"/>
          <w:b/>
          <w:szCs w:val="21"/>
        </w:rPr>
      </w:pPr>
      <w:r>
        <w:rPr>
          <w:rFonts w:hint="eastAsia" w:ascii="宋体" w:hAnsi="宋体" w:eastAsia="宋体" w:cs="宋体"/>
          <w:b/>
          <w:szCs w:val="21"/>
        </w:rPr>
        <w:t>（3）《开标一览表》内容与《报价明细表》内容不一致且拒不接受修正的。</w:t>
      </w:r>
    </w:p>
    <w:p w14:paraId="7234CA47">
      <w:pPr>
        <w:adjustRightInd w:val="0"/>
        <w:snapToGrid w:val="0"/>
        <w:spacing w:line="360" w:lineRule="auto"/>
        <w:ind w:firstLine="373" w:firstLineChars="177"/>
        <w:rPr>
          <w:rFonts w:hint="eastAsia" w:ascii="宋体" w:hAnsi="宋体" w:eastAsia="宋体" w:cs="宋体"/>
          <w:b/>
          <w:szCs w:val="21"/>
        </w:rPr>
      </w:pPr>
      <w:r>
        <w:rPr>
          <w:rFonts w:hint="eastAsia" w:ascii="宋体" w:hAnsi="宋体" w:eastAsia="宋体" w:cs="宋体"/>
          <w:b/>
          <w:szCs w:val="21"/>
        </w:rPr>
        <w:t>（4）供应商的磋商报价为零的（包括响应文件中标明：免费或赠予）或磋商总报价未包含全部采购内容或超过了本项目采购预算/最高限价的。</w:t>
      </w:r>
    </w:p>
    <w:p w14:paraId="249E9786">
      <w:pPr>
        <w:shd w:val="clear" w:color="auto" w:fill="FFFFFF"/>
        <w:adjustRightInd w:val="0"/>
        <w:snapToGrid w:val="0"/>
        <w:spacing w:line="360" w:lineRule="auto"/>
        <w:ind w:firstLine="422" w:firstLineChars="200"/>
        <w:rPr>
          <w:rFonts w:hint="eastAsia" w:ascii="宋体" w:hAnsi="宋体" w:eastAsia="宋体" w:cs="宋体"/>
          <w:b/>
          <w:bCs/>
          <w:kern w:val="0"/>
          <w:szCs w:val="21"/>
        </w:rPr>
      </w:pPr>
      <w:r>
        <w:rPr>
          <w:rFonts w:hint="eastAsia" w:ascii="宋体" w:hAnsi="宋体" w:eastAsia="宋体" w:cs="宋体"/>
          <w:b/>
          <w:szCs w:val="21"/>
        </w:rPr>
        <w:t>（5）</w:t>
      </w:r>
      <w:r>
        <w:rPr>
          <w:rFonts w:hint="eastAsia" w:ascii="宋体" w:hAnsi="宋体" w:eastAsia="宋体" w:cs="宋体"/>
          <w:b/>
          <w:bCs/>
          <w:lang w:val="zh-CN"/>
        </w:rPr>
        <w:t>供应商不得进行影响产品质量或者诚信履约的恶意报价。供应商在项目评审前准备好报价核算、报价明细、报价说明等材料，以备评审专家核查。供应商报价低于项目</w:t>
      </w:r>
      <w:r>
        <w:rPr>
          <w:rFonts w:hint="eastAsia" w:ascii="宋体" w:hAnsi="宋体" w:eastAsia="宋体" w:cs="宋体"/>
          <w:b/>
          <w:bCs/>
        </w:rPr>
        <w:t>标项</w:t>
      </w:r>
      <w:r>
        <w:rPr>
          <w:rFonts w:hint="eastAsia" w:ascii="宋体" w:hAnsi="宋体" w:eastAsia="宋体" w:cs="宋体"/>
          <w:b/>
          <w:bCs/>
          <w:lang w:val="zh-CN"/>
        </w:rPr>
        <w:t>预算50%的，应当在报价文件中详细阐述不影响产品质量或者诚信履约的具体原因，</w:t>
      </w:r>
      <w:r>
        <w:rPr>
          <w:rFonts w:hint="eastAsia" w:ascii="宋体" w:hAnsi="宋体" w:eastAsia="宋体" w:cs="宋体"/>
          <w:b/>
          <w:bCs/>
          <w:kern w:val="0"/>
          <w:szCs w:val="21"/>
        </w:rPr>
        <w:t>供应商不能证明其报价合理性的，磋商小组应将该响应文件作无效处理。</w:t>
      </w:r>
    </w:p>
    <w:p w14:paraId="61B8E1F4">
      <w:pPr>
        <w:shd w:val="clear" w:color="auto" w:fill="FFFFFF"/>
        <w:adjustRightInd w:val="0"/>
        <w:snapToGrid w:val="0"/>
        <w:spacing w:line="360" w:lineRule="auto"/>
        <w:ind w:firstLine="422" w:firstLineChars="200"/>
        <w:rPr>
          <w:rFonts w:hint="eastAsia" w:ascii="宋体" w:hAnsi="宋体" w:eastAsia="宋体" w:cs="宋体"/>
          <w:b/>
          <w:kern w:val="0"/>
          <w:szCs w:val="21"/>
        </w:rPr>
      </w:pPr>
      <w:r>
        <w:rPr>
          <w:rFonts w:hint="eastAsia" w:ascii="宋体" w:hAnsi="宋体" w:eastAsia="宋体" w:cs="宋体"/>
          <w:b/>
          <w:szCs w:val="21"/>
        </w:rPr>
        <w:t>（6）违反国家或政府部门相关法律、法规、文件规定的。</w:t>
      </w:r>
    </w:p>
    <w:p w14:paraId="09356395">
      <w:pPr>
        <w:pStyle w:val="25"/>
        <w:adjustRightInd w:val="0"/>
        <w:snapToGrid w:val="0"/>
        <w:spacing w:line="360" w:lineRule="auto"/>
        <w:rPr>
          <w:rFonts w:hint="eastAsia" w:ascii="宋体" w:hAnsi="宋体" w:eastAsia="宋体" w:cs="宋体"/>
          <w:b/>
        </w:rPr>
      </w:pPr>
      <w:r>
        <w:rPr>
          <w:rFonts w:hint="eastAsia" w:ascii="宋体" w:hAnsi="宋体" w:eastAsia="宋体" w:cs="宋体"/>
          <w:b/>
        </w:rPr>
        <w:t>17、磋商响应文件的评估、比较、评分</w:t>
      </w:r>
    </w:p>
    <w:p w14:paraId="544B3A90">
      <w:pPr>
        <w:adjustRightInd w:val="0"/>
        <w:snapToGrid w:val="0"/>
        <w:spacing w:line="360" w:lineRule="auto"/>
        <w:ind w:firstLine="371" w:firstLineChars="177"/>
        <w:rPr>
          <w:rFonts w:hint="eastAsia" w:ascii="宋体" w:hAnsi="宋体" w:eastAsia="宋体" w:cs="宋体"/>
          <w:kern w:val="0"/>
          <w:szCs w:val="21"/>
        </w:rPr>
      </w:pPr>
      <w:r>
        <w:rPr>
          <w:rFonts w:hint="eastAsia" w:ascii="宋体" w:hAnsi="宋体" w:eastAsia="宋体" w:cs="宋体"/>
          <w:szCs w:val="21"/>
        </w:rPr>
        <w:t>17</w:t>
      </w:r>
      <w:r>
        <w:rPr>
          <w:rFonts w:hint="eastAsia" w:ascii="宋体" w:hAnsi="宋体" w:eastAsia="宋体" w:cs="宋体"/>
          <w:kern w:val="0"/>
          <w:szCs w:val="21"/>
        </w:rPr>
        <w:t>.1磋商小组应当按照采购文件中规定的磋商方法和标准，对符合性审查合格的</w:t>
      </w:r>
      <w:r>
        <w:rPr>
          <w:rFonts w:hint="eastAsia" w:ascii="宋体" w:hAnsi="宋体" w:eastAsia="宋体" w:cs="宋体"/>
          <w:szCs w:val="21"/>
        </w:rPr>
        <w:t>磋商响应</w:t>
      </w:r>
      <w:r>
        <w:rPr>
          <w:rFonts w:hint="eastAsia" w:ascii="宋体" w:hAnsi="宋体" w:eastAsia="宋体" w:cs="宋体"/>
          <w:kern w:val="0"/>
          <w:szCs w:val="21"/>
        </w:rPr>
        <w:t>文件进行商务和技术评估，综合比较与评价。评标时，磋商小组各成员将独立对每个</w:t>
      </w:r>
      <w:r>
        <w:rPr>
          <w:rFonts w:hint="eastAsia" w:ascii="宋体" w:hAnsi="宋体" w:eastAsia="宋体" w:cs="宋体"/>
          <w:szCs w:val="21"/>
        </w:rPr>
        <w:t>磋商响应</w:t>
      </w:r>
      <w:r>
        <w:rPr>
          <w:rFonts w:hint="eastAsia" w:ascii="宋体" w:hAnsi="宋体" w:eastAsia="宋体" w:cs="宋体"/>
          <w:kern w:val="0"/>
          <w:szCs w:val="21"/>
        </w:rPr>
        <w:t>人的</w:t>
      </w:r>
      <w:r>
        <w:rPr>
          <w:rFonts w:hint="eastAsia" w:ascii="宋体" w:hAnsi="宋体" w:eastAsia="宋体" w:cs="宋体"/>
          <w:szCs w:val="21"/>
        </w:rPr>
        <w:t>磋商响应</w:t>
      </w:r>
      <w:r>
        <w:rPr>
          <w:rFonts w:hint="eastAsia" w:ascii="宋体" w:hAnsi="宋体" w:eastAsia="宋体" w:cs="宋体"/>
          <w:kern w:val="0"/>
          <w:szCs w:val="21"/>
        </w:rPr>
        <w:t>文件进行评价，并汇总每个</w:t>
      </w:r>
      <w:r>
        <w:rPr>
          <w:rFonts w:hint="eastAsia" w:ascii="宋体" w:hAnsi="宋体" w:eastAsia="宋体" w:cs="宋体"/>
          <w:szCs w:val="21"/>
        </w:rPr>
        <w:t>磋商响应</w:t>
      </w:r>
      <w:r>
        <w:rPr>
          <w:rFonts w:hint="eastAsia" w:ascii="宋体" w:hAnsi="宋体" w:eastAsia="宋体" w:cs="宋体"/>
          <w:kern w:val="0"/>
          <w:szCs w:val="21"/>
        </w:rPr>
        <w:t>人的得分。</w:t>
      </w:r>
    </w:p>
    <w:p w14:paraId="26F14BE2">
      <w:pPr>
        <w:adjustRightInd w:val="0"/>
        <w:snapToGrid w:val="0"/>
        <w:spacing w:line="360" w:lineRule="auto"/>
        <w:ind w:firstLine="371" w:firstLineChars="177"/>
        <w:rPr>
          <w:rFonts w:hint="eastAsia" w:ascii="宋体" w:hAnsi="宋体" w:eastAsia="宋体" w:cs="宋体"/>
          <w:b/>
          <w:bCs/>
          <w:kern w:val="0"/>
          <w:szCs w:val="21"/>
        </w:rPr>
      </w:pPr>
      <w:r>
        <w:rPr>
          <w:rFonts w:hint="eastAsia" w:ascii="宋体" w:hAnsi="宋体" w:eastAsia="宋体" w:cs="宋体"/>
          <w:szCs w:val="21"/>
        </w:rPr>
        <w:t>17</w:t>
      </w:r>
      <w:r>
        <w:rPr>
          <w:rFonts w:hint="eastAsia" w:ascii="宋体" w:hAnsi="宋体" w:eastAsia="宋体" w:cs="宋体"/>
          <w:kern w:val="0"/>
          <w:szCs w:val="21"/>
        </w:rPr>
        <w:t>.2对采购组织机构工作人员汇总的磋商结果进行确认。如发现分值汇总计算错误、分项评分超出评分标准范围、客观评分不一致以及存在畸高、畸低（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0BA13D2B">
      <w:pPr>
        <w:pStyle w:val="25"/>
        <w:adjustRightInd w:val="0"/>
        <w:snapToGrid w:val="0"/>
        <w:spacing w:line="360" w:lineRule="auto"/>
        <w:rPr>
          <w:rFonts w:hint="eastAsia" w:ascii="宋体" w:hAnsi="宋体" w:eastAsia="宋体" w:cs="宋体"/>
          <w:b/>
        </w:rPr>
      </w:pPr>
      <w:r>
        <w:rPr>
          <w:rFonts w:hint="eastAsia" w:ascii="宋体" w:hAnsi="宋体" w:eastAsia="宋体" w:cs="宋体"/>
          <w:b/>
        </w:rPr>
        <w:t>18、修改磋商结果</w:t>
      </w:r>
    </w:p>
    <w:p w14:paraId="55DF1A66">
      <w:pPr>
        <w:adjustRightInd w:val="0"/>
        <w:snapToGrid w:val="0"/>
        <w:spacing w:line="360" w:lineRule="auto"/>
        <w:ind w:firstLine="426" w:firstLineChars="202"/>
        <w:rPr>
          <w:rFonts w:hint="eastAsia" w:ascii="宋体" w:hAnsi="宋体" w:eastAsia="宋体" w:cs="宋体"/>
          <w:b/>
          <w:szCs w:val="21"/>
        </w:rPr>
      </w:pPr>
      <w:r>
        <w:rPr>
          <w:rFonts w:hint="eastAsia" w:ascii="宋体" w:hAnsi="宋体" w:eastAsia="宋体" w:cs="宋体"/>
          <w:b/>
          <w:szCs w:val="21"/>
        </w:rPr>
        <w:t>18.1磋商结果汇总完成后，除下列情形外，任何人不得修改评标结果：</w:t>
      </w:r>
    </w:p>
    <w:p w14:paraId="56D799A7">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（1）分值汇总计算错误的。</w:t>
      </w:r>
    </w:p>
    <w:p w14:paraId="54015558">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（2）分项评分超出评分标准范围的。</w:t>
      </w:r>
    </w:p>
    <w:p w14:paraId="5471B8D2">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（3）磋商小组成员对客观评审因素评分不一致的。</w:t>
      </w:r>
    </w:p>
    <w:p w14:paraId="37BE7084">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（4）经磋商小组认定评分畸高、畸低的。</w:t>
      </w:r>
    </w:p>
    <w:p w14:paraId="0232AEBB">
      <w:pPr>
        <w:adjustRightInd w:val="0"/>
        <w:snapToGrid w:val="0"/>
        <w:spacing w:line="360" w:lineRule="auto"/>
        <w:ind w:firstLine="426" w:firstLineChars="202"/>
        <w:rPr>
          <w:rFonts w:hint="eastAsia" w:ascii="宋体" w:hAnsi="宋体" w:eastAsia="宋体" w:cs="宋体"/>
          <w:b/>
          <w:szCs w:val="21"/>
        </w:rPr>
      </w:pPr>
      <w:r>
        <w:rPr>
          <w:rFonts w:hint="eastAsia" w:ascii="宋体" w:hAnsi="宋体" w:eastAsia="宋体" w:cs="宋体"/>
          <w:b/>
          <w:bCs/>
          <w:szCs w:val="21"/>
        </w:rPr>
        <w:t>18.2</w:t>
      </w:r>
      <w:r>
        <w:rPr>
          <w:rFonts w:hint="eastAsia" w:ascii="宋体" w:hAnsi="宋体" w:eastAsia="宋体" w:cs="宋体"/>
          <w:b/>
          <w:szCs w:val="21"/>
        </w:rPr>
        <w:t>评标报告签署前，经复核发现存在以上情形之一的，磋商小组将当场修改评标结果，并在评标报告中记载。</w:t>
      </w:r>
    </w:p>
    <w:p w14:paraId="49DB5286">
      <w:pPr>
        <w:adjustRightInd w:val="0"/>
        <w:snapToGrid w:val="0"/>
        <w:spacing w:line="360" w:lineRule="auto"/>
        <w:rPr>
          <w:rFonts w:hint="eastAsia" w:ascii="宋体" w:hAnsi="宋体" w:eastAsia="宋体" w:cs="宋体"/>
          <w:b/>
          <w:szCs w:val="21"/>
        </w:rPr>
      </w:pPr>
      <w:r>
        <w:rPr>
          <w:rFonts w:hint="eastAsia" w:ascii="宋体" w:hAnsi="宋体" w:eastAsia="宋体" w:cs="宋体"/>
          <w:b/>
          <w:szCs w:val="21"/>
        </w:rPr>
        <w:t>19、供应商排序及推荐中标（成交）候选供应商</w:t>
      </w:r>
    </w:p>
    <w:p w14:paraId="5054B1B4">
      <w:pPr>
        <w:adjustRightInd w:val="0"/>
        <w:snapToGrid w:val="0"/>
        <w:spacing w:line="360" w:lineRule="auto"/>
        <w:ind w:firstLine="426" w:firstLineChars="202"/>
        <w:rPr>
          <w:rFonts w:hint="eastAsia" w:ascii="宋体" w:hAnsi="宋体" w:eastAsia="宋体" w:cs="宋体"/>
          <w:b/>
          <w:szCs w:val="21"/>
        </w:rPr>
      </w:pPr>
      <w:r>
        <w:rPr>
          <w:rFonts w:hint="eastAsia" w:ascii="宋体" w:hAnsi="宋体" w:eastAsia="宋体" w:cs="宋体"/>
          <w:b/>
          <w:szCs w:val="21"/>
        </w:rPr>
        <w:t>磋商小组根据以下规定确定供应商排名并推荐中标（成交）候选供应商。</w:t>
      </w:r>
    </w:p>
    <w:p w14:paraId="4CFE7B1F">
      <w:pPr>
        <w:adjustRightInd w:val="0"/>
        <w:snapToGrid w:val="0"/>
        <w:spacing w:line="360" w:lineRule="auto"/>
        <w:ind w:firstLine="426" w:firstLineChars="202"/>
        <w:rPr>
          <w:rFonts w:hint="eastAsia" w:ascii="宋体" w:hAnsi="宋体" w:eastAsia="宋体" w:cs="宋体"/>
          <w:b/>
          <w:szCs w:val="21"/>
        </w:rPr>
      </w:pPr>
      <w:r>
        <w:rPr>
          <w:rFonts w:hint="eastAsia" w:ascii="宋体" w:hAnsi="宋体" w:eastAsia="宋体" w:cs="宋体"/>
          <w:b/>
          <w:szCs w:val="21"/>
        </w:rPr>
        <w:t>19.1磋商小组根据各磋商响应供应商的综合得分（商务技术分与报价得分之和）从高到低依次进行排名排序。特殊情形按以下原则处理：</w:t>
      </w:r>
    </w:p>
    <w:p w14:paraId="5340D569">
      <w:pPr>
        <w:adjustRightInd w:val="0"/>
        <w:snapToGrid w:val="0"/>
        <w:spacing w:line="360" w:lineRule="auto"/>
        <w:ind w:firstLine="405" w:firstLineChars="193"/>
        <w:rPr>
          <w:rFonts w:hint="eastAsia" w:ascii="宋体" w:hAnsi="宋体" w:eastAsia="宋体" w:cs="宋体"/>
          <w:szCs w:val="21"/>
        </w:rPr>
      </w:pPr>
      <w:r>
        <w:rPr>
          <w:rFonts w:hint="eastAsia" w:ascii="宋体" w:hAnsi="宋体" w:eastAsia="宋体" w:cs="宋体"/>
          <w:szCs w:val="21"/>
        </w:rPr>
        <w:t>（1）综合得分相同的，按磋商响应报价低的优先原则确定排名。</w:t>
      </w:r>
    </w:p>
    <w:p w14:paraId="07C16D1F">
      <w:pPr>
        <w:adjustRightInd w:val="0"/>
        <w:snapToGrid w:val="0"/>
        <w:spacing w:line="360" w:lineRule="auto"/>
        <w:ind w:firstLine="405" w:firstLineChars="193"/>
        <w:rPr>
          <w:rFonts w:hint="eastAsia" w:ascii="宋体" w:hAnsi="宋体" w:eastAsia="宋体" w:cs="宋体"/>
          <w:szCs w:val="21"/>
        </w:rPr>
      </w:pPr>
      <w:r>
        <w:rPr>
          <w:rFonts w:hint="eastAsia" w:ascii="宋体" w:hAnsi="宋体" w:eastAsia="宋体" w:cs="宋体"/>
          <w:szCs w:val="21"/>
        </w:rPr>
        <w:t>（2）综合得分和磋商响应报价均相同的，按技术资信得分从高到低确定排名。</w:t>
      </w:r>
    </w:p>
    <w:p w14:paraId="1ED07F1E">
      <w:pPr>
        <w:adjustRightInd w:val="0"/>
        <w:snapToGrid w:val="0"/>
        <w:spacing w:line="360" w:lineRule="auto"/>
        <w:ind w:firstLine="405" w:firstLineChars="193"/>
        <w:rPr>
          <w:rFonts w:hint="eastAsia" w:ascii="宋体" w:hAnsi="宋体" w:eastAsia="宋体" w:cs="宋体"/>
          <w:b/>
          <w:szCs w:val="21"/>
        </w:rPr>
      </w:pPr>
      <w:r>
        <w:rPr>
          <w:rFonts w:hint="eastAsia" w:ascii="宋体" w:hAnsi="宋体" w:eastAsia="宋体" w:cs="宋体"/>
          <w:szCs w:val="21"/>
        </w:rPr>
        <w:t>（3）综合得分、磋商响应报价和技术资信得分均相同的由磋商小组全体成员记名投票按少数服从多数的原则确定排名。</w:t>
      </w:r>
    </w:p>
    <w:p w14:paraId="3104ADE8">
      <w:pPr>
        <w:pStyle w:val="25"/>
        <w:adjustRightInd w:val="0"/>
        <w:snapToGrid w:val="0"/>
        <w:spacing w:line="360" w:lineRule="auto"/>
        <w:rPr>
          <w:rFonts w:hint="eastAsia" w:ascii="宋体" w:hAnsi="宋体" w:eastAsia="宋体" w:cs="宋体"/>
          <w:b/>
        </w:rPr>
      </w:pPr>
      <w:r>
        <w:rPr>
          <w:rFonts w:hint="eastAsia" w:ascii="宋体" w:hAnsi="宋体" w:eastAsia="宋体" w:cs="宋体"/>
          <w:b/>
        </w:rPr>
        <w:t>20、起草、签署评审报告</w:t>
      </w:r>
    </w:p>
    <w:p w14:paraId="48947071">
      <w:pPr>
        <w:adjustRightInd w:val="0"/>
        <w:snapToGrid w:val="0"/>
        <w:spacing w:line="360" w:lineRule="auto"/>
        <w:ind w:firstLine="405" w:firstLineChars="193"/>
        <w:rPr>
          <w:rFonts w:hint="eastAsia" w:ascii="宋体" w:hAnsi="宋体" w:eastAsia="宋体" w:cs="宋体"/>
          <w:szCs w:val="21"/>
        </w:rPr>
      </w:pPr>
      <w:r>
        <w:rPr>
          <w:rFonts w:hint="eastAsia" w:ascii="宋体" w:hAnsi="宋体" w:eastAsia="宋体" w:cs="宋体"/>
          <w:szCs w:val="21"/>
        </w:rPr>
        <w:t>评审结束后，磋商小组将通过“政府采购云平台”起草评审报告，磋商小组成员应当在评审报告上签字，对自己的磋商意见承担法律责任。对评审报告有异议的，应当在评审报告上签署不同意见，并说明理由，否则视为同意评审报告。</w:t>
      </w:r>
    </w:p>
    <w:p w14:paraId="14D03ACD">
      <w:pPr>
        <w:shd w:val="clear" w:color="auto" w:fill="FFFFFF"/>
        <w:adjustRightInd w:val="0"/>
        <w:snapToGrid w:val="0"/>
        <w:spacing w:line="360" w:lineRule="auto"/>
        <w:rPr>
          <w:rFonts w:hint="eastAsia" w:ascii="宋体" w:hAnsi="宋体" w:eastAsia="宋体" w:cs="宋体"/>
          <w:b/>
          <w:bCs/>
          <w:szCs w:val="21"/>
        </w:rPr>
      </w:pPr>
      <w:r>
        <w:rPr>
          <w:rFonts w:hint="eastAsia" w:ascii="宋体" w:hAnsi="宋体" w:eastAsia="宋体" w:cs="宋体"/>
          <w:b/>
          <w:szCs w:val="21"/>
        </w:rPr>
        <w:t>21、磋商响应文件</w:t>
      </w:r>
      <w:bookmarkEnd w:id="56"/>
      <w:bookmarkEnd w:id="57"/>
      <w:bookmarkEnd w:id="58"/>
      <w:bookmarkEnd w:id="59"/>
      <w:bookmarkEnd w:id="60"/>
      <w:bookmarkStart w:id="79" w:name="_Toc91899903"/>
      <w:r>
        <w:rPr>
          <w:rFonts w:hint="eastAsia" w:ascii="宋体" w:hAnsi="宋体" w:eastAsia="宋体" w:cs="宋体"/>
          <w:b/>
          <w:bCs/>
          <w:szCs w:val="21"/>
        </w:rPr>
        <w:t>磋商内容的保密</w:t>
      </w:r>
    </w:p>
    <w:p w14:paraId="77B575B1">
      <w:pPr>
        <w:shd w:val="clear" w:color="auto" w:fill="FFFFFF"/>
        <w:adjustRightInd w:val="0"/>
        <w:snapToGrid w:val="0"/>
        <w:spacing w:line="360" w:lineRule="auto"/>
        <w:ind w:firstLine="422" w:firstLineChars="200"/>
        <w:rPr>
          <w:rFonts w:hint="eastAsia" w:ascii="宋体" w:hAnsi="宋体" w:eastAsia="宋体" w:cs="宋体"/>
          <w:szCs w:val="21"/>
        </w:rPr>
      </w:pPr>
      <w:r>
        <w:rPr>
          <w:rFonts w:hint="eastAsia" w:ascii="宋体" w:hAnsi="宋体" w:eastAsia="宋体" w:cs="宋体"/>
          <w:b/>
          <w:szCs w:val="21"/>
        </w:rPr>
        <w:t>21.1</w:t>
      </w:r>
      <w:r>
        <w:rPr>
          <w:rFonts w:hint="eastAsia" w:ascii="宋体" w:hAnsi="宋体" w:eastAsia="宋体" w:cs="宋体"/>
          <w:szCs w:val="21"/>
        </w:rPr>
        <w:t>开标后，直到宣布成交单位止，凡属于审查、澄清、评价和比较磋商响应供应商的所有资料，都不应向磋商响应人或与磋商无关的其他人泄露。</w:t>
      </w:r>
    </w:p>
    <w:p w14:paraId="3D47186C">
      <w:pPr>
        <w:shd w:val="clear" w:color="auto" w:fill="FFFFFF"/>
        <w:adjustRightInd w:val="0"/>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szCs w:val="21"/>
        </w:rPr>
        <w:t>21.2</w:t>
      </w:r>
      <w:r>
        <w:rPr>
          <w:rFonts w:hint="eastAsia" w:ascii="宋体" w:hAnsi="宋体" w:eastAsia="宋体" w:cs="宋体"/>
          <w:szCs w:val="21"/>
        </w:rPr>
        <w:t>在磋商响应文件的审查、澄清、评价和比较以及确定成交人过程中，磋商响应人对采购人、采购代理机构和磋商小组施加影响的任何行为，都将导致取消资格。</w:t>
      </w:r>
    </w:p>
    <w:p w14:paraId="2798F16C">
      <w:pPr>
        <w:pStyle w:val="13"/>
        <w:adjustRightInd w:val="0"/>
        <w:snapToGrid w:val="0"/>
        <w:spacing w:line="360" w:lineRule="auto"/>
        <w:ind w:firstLine="0"/>
        <w:rPr>
          <w:rFonts w:hint="eastAsia" w:ascii="宋体" w:hAnsi="宋体" w:eastAsia="宋体" w:cs="宋体"/>
          <w:b/>
          <w:sz w:val="21"/>
          <w:szCs w:val="21"/>
          <w:lang w:val="zh-CN"/>
        </w:rPr>
      </w:pPr>
      <w:r>
        <w:rPr>
          <w:rFonts w:hint="eastAsia" w:ascii="宋体" w:hAnsi="宋体" w:eastAsia="宋体" w:cs="宋体"/>
          <w:b/>
          <w:sz w:val="21"/>
          <w:szCs w:val="21"/>
          <w:lang w:val="zh-CN"/>
        </w:rPr>
        <w:t>2</w:t>
      </w:r>
      <w:r>
        <w:rPr>
          <w:rFonts w:hint="eastAsia" w:ascii="宋体" w:hAnsi="宋体" w:eastAsia="宋体" w:cs="宋体"/>
          <w:b/>
          <w:sz w:val="21"/>
          <w:szCs w:val="21"/>
        </w:rPr>
        <w:t>2</w:t>
      </w:r>
      <w:r>
        <w:rPr>
          <w:rFonts w:hint="eastAsia" w:ascii="宋体" w:hAnsi="宋体" w:eastAsia="宋体" w:cs="宋体"/>
          <w:b/>
          <w:sz w:val="21"/>
          <w:szCs w:val="21"/>
          <w:lang w:val="zh-CN"/>
        </w:rPr>
        <w:t>、废标</w:t>
      </w:r>
    </w:p>
    <w:p w14:paraId="19754AA1">
      <w:pPr>
        <w:pStyle w:val="13"/>
        <w:adjustRightInd w:val="0"/>
        <w:snapToGrid w:val="0"/>
        <w:spacing w:line="360" w:lineRule="auto"/>
        <w:ind w:firstLine="482"/>
        <w:rPr>
          <w:rFonts w:hint="eastAsia" w:ascii="宋体" w:hAnsi="宋体" w:eastAsia="宋体" w:cs="宋体"/>
          <w:b/>
          <w:sz w:val="21"/>
          <w:szCs w:val="21"/>
          <w:lang w:val="zh-CN"/>
        </w:rPr>
      </w:pPr>
      <w:r>
        <w:rPr>
          <w:rFonts w:hint="eastAsia" w:ascii="宋体" w:hAnsi="宋体" w:eastAsia="宋体" w:cs="宋体"/>
          <w:b/>
          <w:sz w:val="21"/>
          <w:szCs w:val="21"/>
          <w:lang w:val="zh-CN"/>
        </w:rPr>
        <w:t>在采购中，出现下列情形之一的，应予废标：</w:t>
      </w:r>
    </w:p>
    <w:p w14:paraId="77C7D87B">
      <w:pPr>
        <w:pStyle w:val="13"/>
        <w:adjustRightInd w:val="0"/>
        <w:snapToGrid w:val="0"/>
        <w:spacing w:line="360" w:lineRule="auto"/>
        <w:ind w:firstLine="482"/>
        <w:rPr>
          <w:rFonts w:hint="eastAsia" w:ascii="宋体" w:hAnsi="宋体" w:eastAsia="宋体" w:cs="宋体"/>
          <w:b/>
          <w:sz w:val="21"/>
          <w:szCs w:val="21"/>
          <w:lang w:val="zh-CN"/>
        </w:rPr>
      </w:pPr>
      <w:r>
        <w:rPr>
          <w:rFonts w:hint="eastAsia" w:ascii="宋体" w:hAnsi="宋体" w:eastAsia="宋体" w:cs="宋体"/>
          <w:b/>
          <w:sz w:val="21"/>
          <w:szCs w:val="21"/>
          <w:lang w:val="zh-CN"/>
        </w:rPr>
        <w:t>(1)根据《政府采购竞争性磋商采购方式管理暂行办法》，在采购过程中符合要求的供应商或者报价未超过采购预算的供应商不足3家的（</w:t>
      </w:r>
      <w:r>
        <w:rPr>
          <w:rFonts w:hint="eastAsia" w:ascii="宋体" w:hAnsi="宋体" w:eastAsia="宋体" w:cs="宋体"/>
          <w:b/>
          <w:sz w:val="21"/>
          <w:szCs w:val="21"/>
        </w:rPr>
        <w:t>满足财库〔2014〕214号第三条第四项情形的，提交最后报价的供应商可以为2家，或</w:t>
      </w:r>
      <w:r>
        <w:rPr>
          <w:rFonts w:hint="eastAsia" w:ascii="宋体" w:hAnsi="宋体" w:eastAsia="宋体" w:cs="宋体"/>
          <w:b/>
          <w:sz w:val="21"/>
          <w:szCs w:val="21"/>
          <w:lang w:val="zh-CN"/>
        </w:rPr>
        <w:t>财库〔2015〕124号文件规定情形除外）。</w:t>
      </w:r>
    </w:p>
    <w:p w14:paraId="37BE26BC">
      <w:pPr>
        <w:pStyle w:val="13"/>
        <w:adjustRightInd w:val="0"/>
        <w:snapToGrid w:val="0"/>
        <w:spacing w:line="360" w:lineRule="auto"/>
        <w:ind w:firstLine="482"/>
        <w:rPr>
          <w:rFonts w:hint="eastAsia" w:ascii="宋体" w:hAnsi="宋体" w:eastAsia="宋体" w:cs="宋体"/>
          <w:b/>
          <w:sz w:val="21"/>
          <w:szCs w:val="21"/>
          <w:lang w:val="zh-CN"/>
        </w:rPr>
      </w:pPr>
      <w:r>
        <w:rPr>
          <w:rFonts w:hint="eastAsia" w:ascii="宋体" w:hAnsi="宋体" w:eastAsia="宋体" w:cs="宋体"/>
          <w:b/>
          <w:sz w:val="21"/>
          <w:szCs w:val="21"/>
          <w:lang w:val="zh-CN"/>
        </w:rPr>
        <w:t>(2)出现影响采购公正的违法、违规行为的。</w:t>
      </w:r>
    </w:p>
    <w:p w14:paraId="7E6A78E1">
      <w:pPr>
        <w:pStyle w:val="13"/>
        <w:adjustRightInd w:val="0"/>
        <w:snapToGrid w:val="0"/>
        <w:spacing w:line="360" w:lineRule="auto"/>
        <w:ind w:firstLine="482"/>
        <w:rPr>
          <w:rFonts w:hint="eastAsia" w:ascii="宋体" w:hAnsi="宋体" w:eastAsia="宋体" w:cs="宋体"/>
          <w:b/>
          <w:sz w:val="21"/>
          <w:szCs w:val="21"/>
        </w:rPr>
      </w:pPr>
      <w:r>
        <w:rPr>
          <w:rFonts w:hint="eastAsia" w:ascii="宋体" w:hAnsi="宋体" w:eastAsia="宋体" w:cs="宋体"/>
          <w:b/>
          <w:sz w:val="21"/>
          <w:szCs w:val="21"/>
        </w:rPr>
        <w:t>(3)报价均超过标项预算，不能支付的。</w:t>
      </w:r>
    </w:p>
    <w:p w14:paraId="586785C1">
      <w:pPr>
        <w:pStyle w:val="13"/>
        <w:adjustRightInd w:val="0"/>
        <w:snapToGrid w:val="0"/>
        <w:spacing w:line="360" w:lineRule="auto"/>
        <w:ind w:firstLine="482"/>
        <w:rPr>
          <w:rFonts w:hint="eastAsia" w:ascii="宋体" w:hAnsi="宋体" w:eastAsia="宋体" w:cs="宋体"/>
          <w:b/>
          <w:sz w:val="21"/>
          <w:szCs w:val="21"/>
        </w:rPr>
      </w:pPr>
      <w:r>
        <w:rPr>
          <w:rFonts w:hint="eastAsia" w:ascii="宋体" w:hAnsi="宋体" w:eastAsia="宋体" w:cs="宋体"/>
          <w:b/>
          <w:sz w:val="21"/>
          <w:szCs w:val="21"/>
        </w:rPr>
        <w:t>(4)因重大变故，采购任务取消的。</w:t>
      </w:r>
    </w:p>
    <w:p w14:paraId="5725E1B7">
      <w:pPr>
        <w:pStyle w:val="25"/>
        <w:adjustRightInd w:val="0"/>
        <w:snapToGrid w:val="0"/>
        <w:spacing w:line="360" w:lineRule="auto"/>
        <w:rPr>
          <w:rFonts w:hint="eastAsia" w:ascii="宋体" w:hAnsi="宋体" w:eastAsia="宋体" w:cs="宋体"/>
          <w:b/>
        </w:rPr>
      </w:pPr>
      <w:r>
        <w:rPr>
          <w:rFonts w:hint="eastAsia" w:ascii="宋体" w:hAnsi="宋体" w:eastAsia="宋体" w:cs="宋体"/>
          <w:b/>
        </w:rPr>
        <w:t>23、可中止电子交易活动的情形</w:t>
      </w:r>
    </w:p>
    <w:p w14:paraId="214D6119">
      <w:pPr>
        <w:adjustRightInd w:val="0"/>
        <w:snapToGrid w:val="0"/>
        <w:spacing w:line="360" w:lineRule="auto"/>
        <w:ind w:firstLine="371" w:firstLineChars="176"/>
        <w:rPr>
          <w:rFonts w:hint="eastAsia" w:ascii="宋体" w:hAnsi="宋体" w:eastAsia="宋体" w:cs="宋体"/>
          <w:szCs w:val="21"/>
        </w:rPr>
      </w:pPr>
      <w:r>
        <w:rPr>
          <w:rFonts w:hint="eastAsia" w:ascii="宋体" w:hAnsi="宋体" w:eastAsia="宋体" w:cs="宋体"/>
          <w:b/>
          <w:szCs w:val="21"/>
        </w:rPr>
        <w:t>采购过程中出现以下情形，导致电子交易平台无法正常运行，或者无法保证电子交易的公平、公正和安全时，采购组织机构可中止电子交易活动：</w:t>
      </w:r>
    </w:p>
    <w:p w14:paraId="7E8D3F2C">
      <w:pPr>
        <w:adjustRightInd w:val="0"/>
        <w:snapToGrid w:val="0"/>
        <w:spacing w:line="360" w:lineRule="auto"/>
        <w:ind w:firstLine="369" w:firstLineChars="176"/>
        <w:rPr>
          <w:rFonts w:hint="eastAsia" w:ascii="宋体" w:hAnsi="宋体" w:eastAsia="宋体" w:cs="宋体"/>
          <w:szCs w:val="21"/>
        </w:rPr>
      </w:pPr>
      <w:r>
        <w:rPr>
          <w:rFonts w:hint="eastAsia" w:ascii="宋体" w:hAnsi="宋体" w:eastAsia="宋体" w:cs="宋体"/>
          <w:szCs w:val="21"/>
        </w:rPr>
        <w:t>（1）电子交易平台发生故障而无法登录访问的。</w:t>
      </w:r>
    </w:p>
    <w:p w14:paraId="1F2D3C89">
      <w:pPr>
        <w:adjustRightInd w:val="0"/>
        <w:snapToGrid w:val="0"/>
        <w:spacing w:line="360" w:lineRule="auto"/>
        <w:ind w:firstLine="369" w:firstLineChars="176"/>
        <w:rPr>
          <w:rFonts w:hint="eastAsia" w:ascii="宋体" w:hAnsi="宋体" w:eastAsia="宋体" w:cs="宋体"/>
          <w:szCs w:val="21"/>
        </w:rPr>
      </w:pPr>
      <w:r>
        <w:rPr>
          <w:rFonts w:hint="eastAsia" w:ascii="宋体" w:hAnsi="宋体" w:eastAsia="宋体" w:cs="宋体"/>
          <w:szCs w:val="21"/>
        </w:rPr>
        <w:t>（2）电子交易平台应用或数据库出现错误，不能进行正常操作的。</w:t>
      </w:r>
    </w:p>
    <w:p w14:paraId="382A10F7">
      <w:pPr>
        <w:adjustRightInd w:val="0"/>
        <w:snapToGrid w:val="0"/>
        <w:spacing w:line="360" w:lineRule="auto"/>
        <w:ind w:firstLine="369" w:firstLineChars="176"/>
        <w:rPr>
          <w:rFonts w:hint="eastAsia" w:ascii="宋体" w:hAnsi="宋体" w:eastAsia="宋体" w:cs="宋体"/>
          <w:szCs w:val="21"/>
        </w:rPr>
      </w:pPr>
      <w:r>
        <w:rPr>
          <w:rFonts w:hint="eastAsia" w:ascii="宋体" w:hAnsi="宋体" w:eastAsia="宋体" w:cs="宋体"/>
          <w:szCs w:val="21"/>
        </w:rPr>
        <w:t>（3）电子交易平台发现严重安全漏洞，有潜在泄密危险的。</w:t>
      </w:r>
    </w:p>
    <w:p w14:paraId="6B552F6C">
      <w:pPr>
        <w:adjustRightInd w:val="0"/>
        <w:snapToGrid w:val="0"/>
        <w:spacing w:line="360" w:lineRule="auto"/>
        <w:ind w:firstLine="369" w:firstLineChars="176"/>
        <w:rPr>
          <w:rFonts w:hint="eastAsia" w:ascii="宋体" w:hAnsi="宋体" w:eastAsia="宋体" w:cs="宋体"/>
          <w:szCs w:val="21"/>
        </w:rPr>
      </w:pPr>
      <w:r>
        <w:rPr>
          <w:rFonts w:hint="eastAsia" w:ascii="宋体" w:hAnsi="宋体" w:eastAsia="宋体" w:cs="宋体"/>
          <w:szCs w:val="21"/>
        </w:rPr>
        <w:t>（4）病毒发作导致不能进行正常操作的。</w:t>
      </w:r>
    </w:p>
    <w:p w14:paraId="6D5F754C">
      <w:pPr>
        <w:adjustRightInd w:val="0"/>
        <w:snapToGrid w:val="0"/>
        <w:spacing w:line="360" w:lineRule="auto"/>
        <w:ind w:firstLine="369" w:firstLineChars="176"/>
        <w:rPr>
          <w:rFonts w:hint="eastAsia" w:ascii="宋体" w:hAnsi="宋体" w:eastAsia="宋体" w:cs="宋体"/>
          <w:szCs w:val="21"/>
        </w:rPr>
      </w:pPr>
      <w:r>
        <w:rPr>
          <w:rFonts w:hint="eastAsia" w:ascii="宋体" w:hAnsi="宋体" w:eastAsia="宋体" w:cs="宋体"/>
          <w:szCs w:val="21"/>
        </w:rPr>
        <w:t>（5）其他无法保证电子交易的公平、公正和安全的情况。</w:t>
      </w:r>
    </w:p>
    <w:p w14:paraId="77F6BBAE">
      <w:pPr>
        <w:adjustRightInd w:val="0"/>
        <w:snapToGrid w:val="0"/>
        <w:spacing w:line="360" w:lineRule="auto"/>
        <w:ind w:firstLine="371" w:firstLineChars="176"/>
        <w:rPr>
          <w:rFonts w:hint="eastAsia" w:ascii="宋体" w:hAnsi="宋体" w:eastAsia="宋体" w:cs="宋体"/>
          <w:szCs w:val="21"/>
        </w:rPr>
      </w:pPr>
      <w:r>
        <w:rPr>
          <w:rFonts w:hint="eastAsia" w:ascii="宋体" w:hAnsi="宋体" w:eastAsia="宋体" w:cs="宋体"/>
          <w:b/>
          <w:szCs w:val="21"/>
        </w:rPr>
        <w:t>出现前款规定情形，不影响采购公平、公正性的，采购组织机构可以待上述情形消除后继续组织电子交易活动。影响或可能影响采购公平、公正性的，应当重新采购。</w:t>
      </w:r>
    </w:p>
    <w:p w14:paraId="0F60FF91">
      <w:pPr>
        <w:adjustRightInd w:val="0"/>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24、磋商小组将根据磋商文件和有关规定，履行评标工作职责，以磋商办法为标准，全面衡量各供应商对磋商文件的响应情况。对实质上响应磋商文件的供应商，以打分的方法，排出推荐成交的供应商的先后顺序，并按顺序提出授标建议。磋商结果报经采购人同意，最终确定成交人。</w:t>
      </w:r>
    </w:p>
    <w:p w14:paraId="738F9D7E">
      <w:pPr>
        <w:adjustRightInd w:val="0"/>
        <w:snapToGrid w:val="0"/>
        <w:spacing w:line="360" w:lineRule="auto"/>
        <w:ind w:firstLine="411" w:firstLineChars="196"/>
        <w:rPr>
          <w:rFonts w:hint="eastAsia" w:ascii="宋体" w:hAnsi="宋体" w:eastAsia="宋体" w:cs="宋体"/>
          <w:bCs/>
          <w:szCs w:val="21"/>
        </w:rPr>
      </w:pPr>
      <w:r>
        <w:rPr>
          <w:rFonts w:hint="eastAsia" w:ascii="宋体" w:hAnsi="宋体" w:eastAsia="宋体" w:cs="宋体"/>
          <w:bCs/>
          <w:szCs w:val="21"/>
        </w:rPr>
        <w:t>25、采购人应当根据磋商小组推荐的顺序确定成交人，不得在磋商小组推荐的成交候选人以外确定成交人。</w:t>
      </w:r>
    </w:p>
    <w:p w14:paraId="04B76F8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26、政府采</w:t>
      </w:r>
      <w:r>
        <w:rPr>
          <w:rFonts w:hint="eastAsia" w:ascii="宋体" w:hAnsi="宋体" w:eastAsia="宋体" w:cs="宋体"/>
          <w:szCs w:val="21"/>
        </w:rPr>
        <w:t>购法规、文件中另有规定的，按照相关规定执行。</w:t>
      </w:r>
    </w:p>
    <w:bookmarkEnd w:id="79"/>
    <w:p w14:paraId="152F601B">
      <w:pPr>
        <w:shd w:val="clear" w:color="auto" w:fill="FFFFFF"/>
        <w:adjustRightInd w:val="0"/>
        <w:snapToGrid w:val="0"/>
        <w:spacing w:line="360" w:lineRule="auto"/>
        <w:jc w:val="center"/>
        <w:outlineLvl w:val="9"/>
        <w:rPr>
          <w:rFonts w:hint="eastAsia" w:ascii="宋体" w:hAnsi="宋体" w:eastAsia="宋体" w:cs="宋体"/>
          <w:b/>
          <w:bCs/>
          <w:sz w:val="24"/>
        </w:rPr>
      </w:pPr>
      <w:bookmarkStart w:id="80" w:name="_Hlt75236103"/>
      <w:bookmarkEnd w:id="80"/>
      <w:bookmarkStart w:id="81" w:name="_Toc86216995"/>
      <w:bookmarkStart w:id="82" w:name="_Toc233618979"/>
      <w:bookmarkStart w:id="83" w:name="_Toc361217430"/>
      <w:bookmarkStart w:id="84" w:name="_Toc442428815"/>
      <w:bookmarkStart w:id="85" w:name="_Toc354996703"/>
      <w:bookmarkStart w:id="86" w:name="_Toc91899910"/>
    </w:p>
    <w:p w14:paraId="4F6B45E9">
      <w:pPr>
        <w:shd w:val="clear" w:color="auto" w:fill="FFFFFF"/>
        <w:adjustRightInd w:val="0"/>
        <w:snapToGrid w:val="0"/>
        <w:spacing w:line="360" w:lineRule="auto"/>
        <w:jc w:val="center"/>
        <w:outlineLvl w:val="1"/>
        <w:rPr>
          <w:rFonts w:hint="eastAsia" w:ascii="宋体" w:hAnsi="宋体" w:eastAsia="宋体" w:cs="宋体"/>
          <w:b/>
          <w:bCs/>
          <w:sz w:val="24"/>
        </w:rPr>
      </w:pPr>
      <w:bookmarkStart w:id="87" w:name="_Toc27524"/>
      <w:r>
        <w:rPr>
          <w:rFonts w:hint="eastAsia" w:ascii="宋体" w:hAnsi="宋体" w:eastAsia="宋体" w:cs="宋体"/>
          <w:b/>
          <w:bCs/>
          <w:sz w:val="24"/>
        </w:rPr>
        <w:t>七、</w:t>
      </w:r>
      <w:bookmarkEnd w:id="81"/>
      <w:r>
        <w:rPr>
          <w:rFonts w:hint="eastAsia" w:ascii="宋体" w:hAnsi="宋体" w:eastAsia="宋体" w:cs="宋体"/>
          <w:b/>
          <w:bCs/>
          <w:sz w:val="24"/>
        </w:rPr>
        <w:t>合同签订及其他</w:t>
      </w:r>
      <w:bookmarkEnd w:id="82"/>
      <w:bookmarkEnd w:id="83"/>
      <w:bookmarkEnd w:id="84"/>
      <w:bookmarkEnd w:id="85"/>
      <w:bookmarkEnd w:id="87"/>
    </w:p>
    <w:bookmarkEnd w:id="86"/>
    <w:p w14:paraId="67BC6E76">
      <w:pPr>
        <w:adjustRightInd w:val="0"/>
        <w:snapToGrid w:val="0"/>
        <w:spacing w:line="360" w:lineRule="auto"/>
        <w:rPr>
          <w:rFonts w:hint="eastAsia" w:ascii="宋体" w:hAnsi="宋体" w:eastAsia="宋体" w:cs="宋体"/>
          <w:b/>
          <w:szCs w:val="21"/>
        </w:rPr>
      </w:pPr>
      <w:r>
        <w:rPr>
          <w:rFonts w:hint="eastAsia" w:ascii="宋体" w:hAnsi="宋体" w:eastAsia="宋体" w:cs="宋体"/>
          <w:b/>
          <w:kern w:val="0"/>
          <w:szCs w:val="21"/>
        </w:rPr>
        <w:t>27</w:t>
      </w:r>
      <w:r>
        <w:rPr>
          <w:rFonts w:hint="eastAsia" w:ascii="宋体" w:hAnsi="宋体" w:eastAsia="宋体" w:cs="宋体"/>
          <w:b/>
          <w:kern w:val="0"/>
          <w:szCs w:val="21"/>
          <w:lang w:val="zh-CN"/>
        </w:rPr>
        <w:t>、</w:t>
      </w:r>
      <w:r>
        <w:rPr>
          <w:rFonts w:hint="eastAsia" w:ascii="宋体" w:hAnsi="宋体" w:eastAsia="宋体" w:cs="宋体"/>
          <w:b/>
          <w:szCs w:val="21"/>
        </w:rPr>
        <w:t>成交通知书</w:t>
      </w:r>
    </w:p>
    <w:p w14:paraId="1F84CAAF">
      <w:pPr>
        <w:pStyle w:val="99"/>
        <w:adjustRightInd w:val="0"/>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（1）确定成交人后，采购代理机构将在网站上公布竞争性磋商结果。</w:t>
      </w:r>
    </w:p>
    <w:p w14:paraId="377882EF">
      <w:pPr>
        <w:pStyle w:val="99"/>
        <w:adjustRightInd w:val="0"/>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（2）成交候选供应商全部接受合同条件并签订合同后，成交通知书成为合同的组成部分。</w:t>
      </w:r>
    </w:p>
    <w:p w14:paraId="32FEC6C5">
      <w:pPr>
        <w:pStyle w:val="99"/>
        <w:tabs>
          <w:tab w:val="left" w:pos="0"/>
        </w:tabs>
        <w:adjustRightInd w:val="0"/>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3）如成交人拒绝承担成交的项目，或提出采购人不能接受的条件，致使合同无法签订，采购人将取消其成交资格，并根据磋商小组推荐的成交候选人先后顺序，将下一顺序的成交候选供应商作为预成交人进行公示，或由采购人组织磋商小组复议后提出重新组织采购等建议。</w:t>
      </w:r>
    </w:p>
    <w:p w14:paraId="4E5CEB44">
      <w:pPr>
        <w:pStyle w:val="25"/>
        <w:adjustRightInd w:val="0"/>
        <w:snapToGrid w:val="0"/>
        <w:spacing w:line="360" w:lineRule="auto"/>
        <w:ind w:firstLine="540"/>
        <w:rPr>
          <w:rFonts w:hint="eastAsia" w:ascii="宋体" w:hAnsi="宋体" w:eastAsia="宋体" w:cs="宋体"/>
        </w:rPr>
      </w:pPr>
      <w:r>
        <w:rPr>
          <w:rFonts w:hint="eastAsia" w:ascii="宋体" w:hAnsi="宋体" w:eastAsia="宋体" w:cs="宋体"/>
        </w:rPr>
        <w:t>（4）如签订合同并生效后，供应商无故拒绝或延期，除按照合同条款处罚外，列入不良行为记录一次，并给予通报。</w:t>
      </w:r>
    </w:p>
    <w:p w14:paraId="0E60267C">
      <w:pPr>
        <w:pStyle w:val="99"/>
        <w:adjustRightInd w:val="0"/>
        <w:snapToGrid w:val="0"/>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28、合同的签订</w:t>
      </w:r>
    </w:p>
    <w:p w14:paraId="3CA293B2">
      <w:pPr>
        <w:pStyle w:val="99"/>
        <w:adjustRightInd w:val="0"/>
        <w:snapToGrid w:val="0"/>
        <w:spacing w:before="0"/>
        <w:ind w:firstLine="420"/>
        <w:rPr>
          <w:rFonts w:hint="eastAsia" w:ascii="宋体" w:hAnsi="宋体" w:eastAsia="宋体" w:cs="宋体"/>
          <w:sz w:val="21"/>
          <w:szCs w:val="21"/>
        </w:rPr>
      </w:pPr>
      <w:r>
        <w:rPr>
          <w:rFonts w:hint="eastAsia" w:ascii="宋体" w:hAnsi="宋体" w:eastAsia="宋体" w:cs="宋体"/>
          <w:sz w:val="21"/>
          <w:szCs w:val="21"/>
        </w:rPr>
        <w:t>成交人按规定的时间、地点，由授权代表与采购人签订合同。</w:t>
      </w:r>
    </w:p>
    <w:p w14:paraId="72BE662F">
      <w:pPr>
        <w:autoSpaceDE w:val="0"/>
        <w:autoSpaceDN w:val="0"/>
        <w:adjustRightInd w:val="0"/>
        <w:snapToGrid w:val="0"/>
        <w:spacing w:line="360" w:lineRule="auto"/>
        <w:contextualSpacing/>
        <w:rPr>
          <w:rFonts w:hint="eastAsia" w:ascii="宋体" w:hAnsi="宋体" w:eastAsia="宋体" w:cs="宋体"/>
          <w:b/>
          <w:szCs w:val="21"/>
          <w:lang w:eastAsia="zh-CN"/>
        </w:rPr>
      </w:pPr>
      <w:r>
        <w:rPr>
          <w:rFonts w:hint="eastAsia" w:ascii="宋体" w:hAnsi="宋体" w:eastAsia="宋体" w:cs="宋体"/>
          <w:b/>
          <w:szCs w:val="21"/>
        </w:rPr>
        <w:t>29、履约保证金：</w:t>
      </w:r>
      <w:r>
        <w:rPr>
          <w:rFonts w:hint="eastAsia" w:ascii="宋体" w:hAnsi="宋体" w:eastAsia="宋体" w:cs="宋体"/>
          <w:bCs/>
          <w:spacing w:val="-4"/>
          <w:szCs w:val="21"/>
        </w:rPr>
        <w:t>本合同总价款的1%作为履约保证金，本合同签订后七个工作日内由供应商支付给采购人，项目验收合格后，由采购人无息退回供应商（遇寒暑假及国定假日顺延）。</w:t>
      </w:r>
      <w:r>
        <w:rPr>
          <w:rFonts w:hint="eastAsia" w:ascii="宋体" w:hAnsi="宋体" w:eastAsia="宋体" w:cs="宋体"/>
          <w:b/>
          <w:szCs w:val="21"/>
        </w:rPr>
        <w:t xml:space="preserve"> </w:t>
      </w:r>
      <w:r>
        <w:rPr>
          <w:rFonts w:hint="eastAsia" w:ascii="宋体" w:hAnsi="宋体" w:eastAsia="宋体" w:cs="宋体"/>
          <w:bCs/>
          <w:spacing w:val="-4"/>
          <w:szCs w:val="21"/>
        </w:rPr>
        <w:t xml:space="preserve">拟签订的合同文本要求中标供应商提交履约保证金的，供应商应当以支票、汇票、本票或者金融机构、担保机构出具的保函等非现金形式提交。 </w:t>
      </w:r>
    </w:p>
    <w:p w14:paraId="5273AF58">
      <w:pPr>
        <w:autoSpaceDE w:val="0"/>
        <w:autoSpaceDN w:val="0"/>
        <w:adjustRightInd w:val="0"/>
        <w:snapToGrid w:val="0"/>
        <w:spacing w:line="360" w:lineRule="auto"/>
        <w:contextualSpacing/>
        <w:rPr>
          <w:rFonts w:hint="eastAsia" w:ascii="宋体" w:hAnsi="宋体" w:eastAsia="宋体" w:cs="宋体"/>
          <w:b/>
          <w:szCs w:val="21"/>
        </w:rPr>
      </w:pPr>
    </w:p>
    <w:p w14:paraId="27CA868D">
      <w:pPr>
        <w:adjustRightInd w:val="0"/>
        <w:snapToGrid w:val="0"/>
        <w:spacing w:line="360" w:lineRule="auto"/>
        <w:rPr>
          <w:rFonts w:hint="eastAsia" w:ascii="宋体" w:hAnsi="宋体" w:eastAsia="宋体" w:cs="宋体"/>
          <w:b/>
          <w:szCs w:val="21"/>
        </w:rPr>
      </w:pPr>
      <w:r>
        <w:rPr>
          <w:rFonts w:hint="eastAsia" w:ascii="宋体" w:hAnsi="宋体" w:eastAsia="宋体" w:cs="宋体"/>
          <w:b/>
          <w:szCs w:val="21"/>
        </w:rPr>
        <w:t>30、合同款结算方式</w:t>
      </w:r>
    </w:p>
    <w:p w14:paraId="6DEE87D8">
      <w:pPr>
        <w:pStyle w:val="13"/>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详见合同条款。</w:t>
      </w:r>
    </w:p>
    <w:p w14:paraId="21F09D6D">
      <w:pPr>
        <w:numPr>
          <w:ilvl w:val="0"/>
          <w:numId w:val="5"/>
        </w:numPr>
        <w:rPr>
          <w:rFonts w:hint="eastAsia" w:ascii="宋体" w:hAnsi="宋体" w:eastAsia="宋体" w:cs="宋体"/>
          <w:b/>
        </w:rPr>
      </w:pPr>
      <w:r>
        <w:rPr>
          <w:rFonts w:hint="eastAsia" w:ascii="宋体" w:hAnsi="宋体" w:eastAsia="宋体" w:cs="宋体"/>
          <w:b/>
          <w:kern w:val="0"/>
        </w:rPr>
        <w:t>项目完成时间</w:t>
      </w:r>
      <w:r>
        <w:rPr>
          <w:rFonts w:hint="eastAsia" w:ascii="宋体" w:hAnsi="宋体" w:eastAsia="宋体" w:cs="宋体"/>
          <w:b/>
        </w:rPr>
        <w:t>:</w:t>
      </w:r>
    </w:p>
    <w:p w14:paraId="386A1ECE">
      <w:pPr>
        <w:numPr>
          <w:ilvl w:val="255"/>
          <w:numId w:val="0"/>
        </w:numPr>
        <w:spacing w:line="360" w:lineRule="auto"/>
        <w:ind w:firstLine="420" w:firstLineChars="200"/>
        <w:rPr>
          <w:rFonts w:hint="eastAsia" w:ascii="宋体" w:hAnsi="宋体" w:eastAsia="宋体" w:cs="宋体"/>
        </w:rPr>
      </w:pPr>
      <w:r>
        <w:rPr>
          <w:rFonts w:hint="eastAsia" w:ascii="宋体" w:hAnsi="宋体" w:eastAsia="宋体" w:cs="宋体"/>
        </w:rPr>
        <w:t>详见采购文件。</w:t>
      </w:r>
    </w:p>
    <w:p w14:paraId="054948CA">
      <w:pPr>
        <w:pStyle w:val="25"/>
        <w:widowControl w:val="0"/>
        <w:adjustRightInd w:val="0"/>
        <w:snapToGrid w:val="0"/>
        <w:spacing w:line="360" w:lineRule="auto"/>
        <w:rPr>
          <w:rFonts w:hint="eastAsia" w:ascii="宋体" w:hAnsi="宋体" w:eastAsia="宋体" w:cs="宋体"/>
          <w:b/>
        </w:rPr>
      </w:pPr>
      <w:r>
        <w:rPr>
          <w:rFonts w:hint="eastAsia" w:ascii="宋体" w:hAnsi="宋体" w:eastAsia="宋体" w:cs="宋体"/>
          <w:b/>
        </w:rPr>
        <w:t>32</w:t>
      </w:r>
      <w:r>
        <w:rPr>
          <w:rFonts w:hint="eastAsia" w:ascii="宋体" w:hAnsi="宋体" w:eastAsia="宋体" w:cs="宋体"/>
          <w:b/>
          <w:kern w:val="0"/>
          <w:lang w:val="zh-CN"/>
        </w:rPr>
        <w:t>、</w:t>
      </w:r>
      <w:r>
        <w:rPr>
          <w:rFonts w:hint="eastAsia" w:ascii="宋体" w:hAnsi="宋体" w:eastAsia="宋体" w:cs="宋体"/>
          <w:b/>
        </w:rPr>
        <w:t>采购方式改变</w:t>
      </w:r>
    </w:p>
    <w:p w14:paraId="59EBF1E5">
      <w:pPr>
        <w:adjustRightInd w:val="0"/>
        <w:snapToGrid w:val="0"/>
        <w:spacing w:line="360" w:lineRule="auto"/>
        <w:ind w:firstLine="482"/>
        <w:rPr>
          <w:rFonts w:hint="eastAsia" w:ascii="宋体" w:hAnsi="宋体" w:eastAsia="宋体" w:cs="宋体"/>
          <w:kern w:val="0"/>
          <w:szCs w:val="21"/>
          <w:lang w:val="zh-CN"/>
        </w:rPr>
      </w:pPr>
      <w:r>
        <w:rPr>
          <w:rFonts w:hint="eastAsia" w:ascii="宋体" w:hAnsi="宋体" w:eastAsia="宋体" w:cs="宋体"/>
          <w:kern w:val="0"/>
          <w:szCs w:val="21"/>
          <w:lang w:val="zh-CN"/>
        </w:rPr>
        <w:t>在符合资格的供应商不足规定数量或供应商提供的货物、</w:t>
      </w:r>
      <w:r>
        <w:rPr>
          <w:rFonts w:hint="eastAsia" w:ascii="宋体" w:hAnsi="宋体" w:eastAsia="宋体" w:cs="宋体"/>
          <w:kern w:val="0"/>
          <w:szCs w:val="21"/>
        </w:rPr>
        <w:t>服务</w:t>
      </w:r>
      <w:r>
        <w:rPr>
          <w:rFonts w:hint="eastAsia" w:ascii="宋体" w:hAnsi="宋体" w:eastAsia="宋体" w:cs="宋体"/>
          <w:kern w:val="0"/>
          <w:szCs w:val="21"/>
          <w:lang w:val="zh-CN"/>
        </w:rPr>
        <w:t>及其报价、售后服务承诺等不能满足采购人要求，以及</w:t>
      </w:r>
      <w:r>
        <w:rPr>
          <w:rFonts w:hint="eastAsia" w:ascii="宋体" w:hAnsi="宋体" w:eastAsia="宋体" w:cs="宋体"/>
          <w:kern w:val="0"/>
          <w:szCs w:val="21"/>
        </w:rPr>
        <w:t>采购</w:t>
      </w:r>
      <w:r>
        <w:rPr>
          <w:rFonts w:hint="eastAsia" w:ascii="宋体" w:hAnsi="宋体" w:eastAsia="宋体" w:cs="宋体"/>
          <w:kern w:val="0"/>
          <w:szCs w:val="21"/>
          <w:lang w:val="zh-CN"/>
        </w:rPr>
        <w:t>过程中出现其他不正常情况时，经批准，采购代理机构将根据《政府采购货物和服务招标投标管理办法》(财政部第87号令)，重新选择合适的方式进行采购。</w:t>
      </w:r>
    </w:p>
    <w:p w14:paraId="6D288B0C">
      <w:pPr>
        <w:pStyle w:val="25"/>
        <w:adjustRightInd w:val="0"/>
        <w:snapToGrid w:val="0"/>
        <w:spacing w:line="360" w:lineRule="auto"/>
        <w:rPr>
          <w:rFonts w:hint="eastAsia" w:ascii="宋体" w:hAnsi="宋体" w:eastAsia="宋体" w:cs="宋体"/>
          <w:b/>
        </w:rPr>
      </w:pPr>
      <w:r>
        <w:rPr>
          <w:rFonts w:hint="eastAsia" w:ascii="宋体" w:hAnsi="宋体" w:eastAsia="宋体" w:cs="宋体"/>
          <w:b/>
        </w:rPr>
        <w:t>33、质疑与投诉</w:t>
      </w:r>
    </w:p>
    <w:p w14:paraId="32D711F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napToGrid w:val="0"/>
          <w:kern w:val="0"/>
          <w:szCs w:val="21"/>
        </w:rPr>
        <w:t>（1）</w:t>
      </w:r>
      <w:r>
        <w:rPr>
          <w:rFonts w:hint="eastAsia" w:ascii="宋体" w:hAnsi="宋体" w:eastAsia="宋体" w:cs="宋体"/>
          <w:szCs w:val="21"/>
        </w:rPr>
        <w:t>供应商认为采购文件、采购过程和成交、成交结果使自己的权益受到损害的，可以在知道或者应知其权益受到损害之日起七个工作日内，以书面形式向采购人、采购代理机构提出质疑。对可以质疑的采购文件提出质疑的，为收到采购文件之日或者采购文件公告期限届满之日。对采购过程提出质疑的，为各采购程序环节结束之日。对成交结果提出质疑的，为成交结果公告期限届满之日。</w:t>
      </w:r>
    </w:p>
    <w:p w14:paraId="24C257D9">
      <w:pPr>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2）采购人或者采购代理机构应当在3个工作日内对供应商依法提出的询问作出答复。供应商提出的询问或者质疑超出采购人对采购代理机构委托授权范围的，采购代理机构应当告知供应商向采购人提出。政府采购磋商小组应当配合采购人或者采购代理机构答复供应商的询问和质疑。</w:t>
      </w:r>
    </w:p>
    <w:p w14:paraId="4BAED4BF">
      <w:pPr>
        <w:shd w:val="clear" w:color="auto" w:fill="FFFFFF"/>
        <w:adjustRightInd w:val="0"/>
        <w:snapToGrid w:val="0"/>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（3）质疑供应商对采购人、采购代理机构的答复不满意或者采购人、采购代理机构未在规定时间内作出答复的，可以在答复期满后十五个工作日内向同级政府采购监管部门投诉。</w:t>
      </w:r>
    </w:p>
    <w:p w14:paraId="466874AE">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napToGrid w:val="0"/>
          <w:kern w:val="0"/>
          <w:szCs w:val="21"/>
        </w:rPr>
        <w:t>（4）</w:t>
      </w:r>
      <w:r>
        <w:rPr>
          <w:rFonts w:hint="eastAsia" w:ascii="宋体" w:hAnsi="宋体" w:eastAsia="宋体" w:cs="宋体"/>
          <w:szCs w:val="21"/>
        </w:rPr>
        <w:t>要求供应商在法定质疑期内一次性提出针对同一采购程序环节的质疑。</w:t>
      </w:r>
    </w:p>
    <w:p w14:paraId="422AF0FA">
      <w:pPr>
        <w:shd w:val="clear" w:color="auto" w:fill="FFFFFF"/>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34</w:t>
      </w:r>
      <w:r>
        <w:rPr>
          <w:rFonts w:hint="eastAsia" w:ascii="宋体" w:hAnsi="宋体" w:eastAsia="宋体" w:cs="宋体"/>
          <w:b/>
          <w:bCs/>
          <w:kern w:val="0"/>
          <w:szCs w:val="21"/>
          <w:lang w:val="zh-CN"/>
        </w:rPr>
        <w:t>、</w:t>
      </w:r>
      <w:r>
        <w:rPr>
          <w:rFonts w:hint="eastAsia" w:ascii="宋体" w:hAnsi="宋体" w:eastAsia="宋体" w:cs="宋体"/>
          <w:b/>
          <w:bCs/>
          <w:szCs w:val="21"/>
        </w:rPr>
        <w:t>解释权</w:t>
      </w:r>
    </w:p>
    <w:p w14:paraId="624DAB21">
      <w:pPr>
        <w:shd w:val="clear" w:color="auto" w:fill="FFFFFF"/>
        <w:adjustRightInd w:val="0"/>
        <w:snapToGrid w:val="0"/>
        <w:spacing w:line="360" w:lineRule="auto"/>
        <w:ind w:firstLine="480"/>
        <w:outlineLvl w:val="9"/>
        <w:rPr>
          <w:rFonts w:hint="eastAsia" w:ascii="宋体" w:hAnsi="宋体" w:eastAsia="宋体" w:cs="宋体"/>
        </w:rPr>
      </w:pPr>
      <w:bookmarkStart w:id="88" w:name="_Toc458069540"/>
      <w:bookmarkStart w:id="89" w:name="_Toc135"/>
      <w:bookmarkStart w:id="90" w:name="_Toc28543"/>
      <w:bookmarkStart w:id="91" w:name="_Toc18192"/>
      <w:bookmarkStart w:id="92" w:name="_Toc442428816"/>
      <w:bookmarkStart w:id="93" w:name="_Toc19670"/>
      <w:bookmarkStart w:id="94" w:name="_Toc464298330"/>
      <w:bookmarkStart w:id="95" w:name="_Toc12509"/>
      <w:bookmarkStart w:id="96" w:name="_Toc13691"/>
      <w:bookmarkStart w:id="97" w:name="_Toc9225"/>
      <w:r>
        <w:rPr>
          <w:rFonts w:hint="eastAsia" w:ascii="宋体" w:hAnsi="宋体" w:eastAsia="宋体" w:cs="宋体"/>
          <w:snapToGrid w:val="0"/>
          <w:kern w:val="0"/>
          <w:szCs w:val="21"/>
        </w:rPr>
        <w:t>磋商文件的解释权均属于</w:t>
      </w:r>
      <w:r>
        <w:rPr>
          <w:rFonts w:hint="eastAsia" w:ascii="宋体" w:hAnsi="宋体" w:eastAsia="宋体" w:cs="宋体"/>
          <w:szCs w:val="21"/>
        </w:rPr>
        <w:t>浙江中医药大学</w:t>
      </w:r>
      <w:r>
        <w:rPr>
          <w:rFonts w:hint="eastAsia" w:ascii="宋体" w:hAnsi="宋体" w:eastAsia="宋体" w:cs="宋体"/>
          <w:snapToGrid w:val="0"/>
          <w:kern w:val="0"/>
          <w:szCs w:val="21"/>
        </w:rPr>
        <w:t>和浙江豪圣建设项目管理有限公司</w:t>
      </w:r>
      <w:r>
        <w:rPr>
          <w:rFonts w:hint="eastAsia" w:ascii="宋体" w:hAnsi="宋体" w:eastAsia="宋体" w:cs="宋体"/>
          <w:snapToGrid w:val="0"/>
          <w:kern w:val="0"/>
          <w:sz w:val="24"/>
        </w:rPr>
        <w:t>。</w:t>
      </w:r>
      <w:bookmarkEnd w:id="88"/>
      <w:bookmarkEnd w:id="89"/>
      <w:bookmarkEnd w:id="90"/>
      <w:bookmarkEnd w:id="91"/>
      <w:bookmarkEnd w:id="92"/>
      <w:bookmarkEnd w:id="93"/>
      <w:bookmarkEnd w:id="94"/>
      <w:bookmarkEnd w:id="95"/>
      <w:bookmarkEnd w:id="96"/>
      <w:bookmarkEnd w:id="97"/>
    </w:p>
    <w:p w14:paraId="47C7D5C8">
      <w:pPr>
        <w:pageBreakBefore/>
        <w:shd w:val="clear" w:color="auto" w:fill="FFFFFF"/>
        <w:adjustRightInd w:val="0"/>
        <w:snapToGrid w:val="0"/>
        <w:jc w:val="center"/>
        <w:outlineLvl w:val="0"/>
        <w:rPr>
          <w:rFonts w:hint="eastAsia" w:ascii="宋体" w:hAnsi="宋体" w:eastAsia="宋体" w:cs="宋体"/>
          <w:b/>
          <w:kern w:val="0"/>
          <w:szCs w:val="21"/>
        </w:rPr>
      </w:pPr>
      <w:bookmarkStart w:id="98" w:name="_Toc458069541"/>
      <w:bookmarkStart w:id="99" w:name="_Toc853"/>
      <w:bookmarkStart w:id="100" w:name="_Toc233618985"/>
      <w:bookmarkStart w:id="101" w:name="_Toc91899916"/>
      <w:bookmarkStart w:id="102" w:name="_Toc354996705"/>
      <w:bookmarkStart w:id="103" w:name="_Toc361217432"/>
      <w:bookmarkStart w:id="104" w:name="_Toc35401305"/>
      <w:bookmarkStart w:id="105" w:name="_Toc37243119"/>
      <w:bookmarkStart w:id="106" w:name="_Toc233618986"/>
      <w:bookmarkStart w:id="107" w:name="_Toc354996706"/>
      <w:bookmarkStart w:id="108" w:name="_Toc361217433"/>
      <w:bookmarkStart w:id="109" w:name="_Toc86217003"/>
      <w:r>
        <w:rPr>
          <w:rFonts w:hint="eastAsia" w:ascii="宋体" w:hAnsi="宋体" w:eastAsia="宋体" w:cs="宋体"/>
          <w:b/>
          <w:bCs/>
          <w:sz w:val="36"/>
          <w:szCs w:val="36"/>
        </w:rPr>
        <w:t xml:space="preserve">第三部分 </w:t>
      </w:r>
      <w:bookmarkEnd w:id="98"/>
      <w:r>
        <w:rPr>
          <w:rFonts w:hint="eastAsia" w:ascii="宋体" w:hAnsi="宋体" w:eastAsia="宋体" w:cs="宋体"/>
          <w:b/>
          <w:bCs/>
          <w:sz w:val="36"/>
          <w:szCs w:val="36"/>
        </w:rPr>
        <w:t>项目技术规范和</w:t>
      </w:r>
      <w:r>
        <w:rPr>
          <w:rFonts w:hint="eastAsia" w:ascii="宋体" w:hAnsi="宋体" w:eastAsia="宋体" w:cs="宋体"/>
          <w:b/>
          <w:bCs/>
          <w:sz w:val="36"/>
          <w:szCs w:val="36"/>
          <w:lang w:val="en-US" w:eastAsia="zh-CN"/>
        </w:rPr>
        <w:t>采购</w:t>
      </w:r>
      <w:r>
        <w:rPr>
          <w:rFonts w:hint="eastAsia" w:ascii="宋体" w:hAnsi="宋体" w:eastAsia="宋体" w:cs="宋体"/>
          <w:b/>
          <w:bCs/>
          <w:sz w:val="36"/>
          <w:szCs w:val="36"/>
        </w:rPr>
        <w:t>需求</w:t>
      </w:r>
      <w:bookmarkEnd w:id="99"/>
    </w:p>
    <w:p w14:paraId="7F849B1C">
      <w:pPr>
        <w:spacing w:line="360" w:lineRule="auto"/>
        <w:ind w:firstLine="390" w:firstLineChars="200"/>
        <w:rPr>
          <w:rFonts w:hint="eastAsia" w:ascii="宋体" w:hAnsi="宋体" w:eastAsia="宋体" w:cs="宋体"/>
          <w:b/>
          <w:spacing w:val="-8"/>
          <w:szCs w:val="21"/>
        </w:rPr>
      </w:pPr>
      <w:bookmarkStart w:id="110" w:name="_Toc14159"/>
      <w:r>
        <w:rPr>
          <w:rFonts w:hint="eastAsia" w:ascii="宋体" w:hAnsi="宋体" w:eastAsia="宋体" w:cs="宋体"/>
          <w:b/>
          <w:spacing w:val="-8"/>
          <w:szCs w:val="21"/>
        </w:rPr>
        <w:t>一、采购清单（标的清单）</w:t>
      </w:r>
    </w:p>
    <w:tbl>
      <w:tblPr>
        <w:tblStyle w:val="4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4373"/>
        <w:gridCol w:w="1160"/>
        <w:gridCol w:w="1076"/>
        <w:gridCol w:w="1721"/>
      </w:tblGrid>
      <w:tr w14:paraId="4DAE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18" w:type="pct"/>
            <w:vAlign w:val="center"/>
          </w:tcPr>
          <w:p w14:paraId="0BF08169">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2300" w:type="pct"/>
            <w:vAlign w:val="center"/>
          </w:tcPr>
          <w:p w14:paraId="598CE2E7">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标</w:t>
            </w:r>
            <w:r>
              <w:rPr>
                <w:rFonts w:hint="eastAsia" w:ascii="宋体" w:hAnsi="宋体" w:eastAsia="宋体" w:cs="宋体"/>
                <w:b/>
                <w:bCs/>
                <w:szCs w:val="21"/>
                <w:highlight w:val="none"/>
                <w:lang w:val="en-US" w:eastAsia="zh-CN"/>
              </w:rPr>
              <w:t>的</w:t>
            </w:r>
            <w:r>
              <w:rPr>
                <w:rFonts w:hint="eastAsia" w:ascii="宋体" w:hAnsi="宋体" w:eastAsia="宋体" w:cs="宋体"/>
                <w:b/>
                <w:bCs/>
                <w:szCs w:val="21"/>
                <w:highlight w:val="none"/>
              </w:rPr>
              <w:t>名称</w:t>
            </w:r>
          </w:p>
        </w:tc>
        <w:tc>
          <w:tcPr>
            <w:tcW w:w="610" w:type="pct"/>
            <w:vAlign w:val="center"/>
          </w:tcPr>
          <w:p w14:paraId="7A55C62F">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数量</w:t>
            </w:r>
          </w:p>
        </w:tc>
        <w:tc>
          <w:tcPr>
            <w:tcW w:w="566" w:type="pct"/>
            <w:vAlign w:val="center"/>
          </w:tcPr>
          <w:p w14:paraId="3937A8EA">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单位</w:t>
            </w:r>
          </w:p>
        </w:tc>
        <w:tc>
          <w:tcPr>
            <w:tcW w:w="905" w:type="pct"/>
            <w:vAlign w:val="center"/>
          </w:tcPr>
          <w:p w14:paraId="046D43BC">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备注</w:t>
            </w:r>
          </w:p>
        </w:tc>
      </w:tr>
      <w:tr w14:paraId="3E93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8" w:type="pct"/>
            <w:vAlign w:val="center"/>
          </w:tcPr>
          <w:p w14:paraId="59BFB468">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1</w:t>
            </w:r>
          </w:p>
        </w:tc>
        <w:tc>
          <w:tcPr>
            <w:tcW w:w="2300" w:type="pct"/>
            <w:vAlign w:val="center"/>
          </w:tcPr>
          <w:p w14:paraId="49237C25">
            <w:pPr>
              <w:spacing w:line="360" w:lineRule="auto"/>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便携式舌脉象仪</w:t>
            </w:r>
          </w:p>
        </w:tc>
        <w:tc>
          <w:tcPr>
            <w:tcW w:w="610" w:type="pct"/>
            <w:vAlign w:val="center"/>
          </w:tcPr>
          <w:p w14:paraId="04DCA5B4">
            <w:pPr>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w:t>
            </w:r>
          </w:p>
        </w:tc>
        <w:tc>
          <w:tcPr>
            <w:tcW w:w="566" w:type="pct"/>
            <w:vAlign w:val="center"/>
          </w:tcPr>
          <w:p w14:paraId="417FCC86">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套</w:t>
            </w:r>
          </w:p>
        </w:tc>
        <w:tc>
          <w:tcPr>
            <w:tcW w:w="905" w:type="pct"/>
            <w:vAlign w:val="center"/>
          </w:tcPr>
          <w:p w14:paraId="0EC2DA3D">
            <w:pPr>
              <w:ind w:firstLine="210" w:firstLineChars="100"/>
              <w:jc w:val="center"/>
              <w:rPr>
                <w:rFonts w:hint="eastAsia" w:ascii="宋体" w:hAnsi="宋体" w:eastAsia="宋体" w:cs="宋体"/>
                <w:szCs w:val="21"/>
                <w:highlight w:val="none"/>
              </w:rPr>
            </w:pPr>
          </w:p>
        </w:tc>
      </w:tr>
    </w:tbl>
    <w:p w14:paraId="6FCC6FBE">
      <w:pPr>
        <w:pStyle w:val="20"/>
        <w:rPr>
          <w:rFonts w:hint="eastAsia" w:ascii="宋体" w:hAnsi="宋体" w:eastAsia="宋体" w:cs="宋体"/>
        </w:rPr>
      </w:pPr>
      <w:r>
        <w:rPr>
          <w:rFonts w:hint="eastAsia" w:ascii="宋体" w:hAnsi="宋体" w:eastAsia="宋体" w:cs="宋体"/>
          <w:highlight w:val="none"/>
        </w:rPr>
        <w:t xml:space="preserve"> </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注：中小企业声明函中需将此表中标的制造商及其他情况填写完整，请勿漏项！</w:t>
      </w:r>
      <w:r>
        <w:rPr>
          <w:rFonts w:hint="eastAsia" w:ascii="宋体" w:hAnsi="宋体" w:eastAsia="宋体" w:cs="宋体"/>
          <w:sz w:val="21"/>
          <w:szCs w:val="21"/>
          <w:highlight w:val="none"/>
        </w:rPr>
        <w:t>）</w:t>
      </w:r>
    </w:p>
    <w:p w14:paraId="6AF4DEB6">
      <w:pPr>
        <w:spacing w:line="360" w:lineRule="auto"/>
        <w:ind w:firstLine="390" w:firstLineChars="200"/>
        <w:rPr>
          <w:rFonts w:hint="eastAsia" w:ascii="宋体" w:hAnsi="宋体" w:eastAsia="宋体" w:cs="宋体"/>
          <w:szCs w:val="21"/>
        </w:rPr>
      </w:pPr>
      <w:r>
        <w:rPr>
          <w:rFonts w:hint="eastAsia" w:ascii="宋体" w:hAnsi="宋体" w:eastAsia="宋体" w:cs="宋体"/>
          <w:b/>
          <w:spacing w:val="-8"/>
          <w:szCs w:val="21"/>
        </w:rPr>
        <w:t>二、主要技术指标</w:t>
      </w:r>
      <w:r>
        <w:rPr>
          <w:rFonts w:hint="eastAsia" w:ascii="宋体" w:hAnsi="宋体" w:eastAsia="宋体" w:cs="宋体"/>
          <w:b/>
          <w:bCs/>
          <w:sz w:val="21"/>
          <w:szCs w:val="21"/>
          <w:highlight w:val="none"/>
        </w:rPr>
        <w:t>（参数及配置要求均为最低指标要求，</w:t>
      </w:r>
      <w:r>
        <w:rPr>
          <w:rFonts w:hint="eastAsia" w:ascii="宋体" w:hAnsi="宋体" w:cs="宋体"/>
          <w:b/>
          <w:bCs/>
          <w:sz w:val="21"/>
          <w:szCs w:val="21"/>
          <w:highlight w:val="none"/>
          <w:lang w:val="en-US" w:eastAsia="zh-CN"/>
        </w:rPr>
        <w:t>响应</w:t>
      </w:r>
      <w:r>
        <w:rPr>
          <w:rFonts w:hint="eastAsia" w:ascii="宋体" w:hAnsi="宋体" w:eastAsia="宋体" w:cs="宋体"/>
          <w:b/>
          <w:bCs/>
          <w:sz w:val="21"/>
          <w:szCs w:val="21"/>
          <w:highlight w:val="none"/>
        </w:rPr>
        <w:t>产品指标参数及配置应不低于该要求。</w:t>
      </w:r>
      <w:r>
        <w:rPr>
          <w:rFonts w:hint="eastAsia" w:ascii="宋体" w:hAnsi="宋体" w:cs="宋体"/>
          <w:b/>
          <w:bCs/>
          <w:sz w:val="21"/>
          <w:szCs w:val="21"/>
          <w:highlight w:val="none"/>
          <w:lang w:val="en-US" w:eastAsia="zh-CN"/>
        </w:rPr>
        <w:t>响应</w:t>
      </w:r>
      <w:r>
        <w:rPr>
          <w:rFonts w:hint="eastAsia" w:ascii="宋体" w:hAnsi="宋体" w:eastAsia="宋体" w:cs="宋体"/>
          <w:b/>
          <w:bCs/>
          <w:sz w:val="21"/>
          <w:szCs w:val="21"/>
          <w:highlight w:val="none"/>
        </w:rPr>
        <w:t>产品必须是该产品品牌官方网站产品目录中已有机型型号，不接受定制机。设备应该符合相应的生产标准和质量控制，以确保其性能和可靠性。(技术参数中要求提供的产品彩页、制造商官网截图、产品说明书等证明需为制造商公开发布的印刷资料或制造商互联网主页上的产品说明截图，技术证明材料不完整或无法完全证明参数的视为负偏离。证明材料不一致时，以制造商互联网主页截图为准，无官网的以产品彩页为准)）</w:t>
      </w:r>
    </w:p>
    <w:p w14:paraId="756AE221">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1.总体要求</w:t>
      </w:r>
    </w:p>
    <w:p w14:paraId="7DC9C26D">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1.1须具备“舌象”、“脉象”等中医诊断数据采集与分析功能，确保使用安全性、有效性</w:t>
      </w:r>
      <w:r>
        <w:rPr>
          <w:rFonts w:hint="eastAsia" w:ascii="宋体" w:hAnsi="宋体" w:eastAsia="宋体" w:cs="宋体"/>
          <w:sz w:val="21"/>
          <w:szCs w:val="21"/>
          <w:lang w:eastAsia="zh-CN"/>
        </w:rPr>
        <w:t>；</w:t>
      </w:r>
    </w:p>
    <w:p w14:paraId="29B38BA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1.2须符合《YY/T 1488-2016 舌象信息采集设备》及《YY/T 1489-2016 中医脉图采集设备》中华人民共和国医药行业标准要求</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128E7CE7">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1.3须通过电磁兼容（EMC）安全强制标准检验</w:t>
      </w:r>
      <w:r>
        <w:rPr>
          <w:rFonts w:hint="eastAsia" w:ascii="宋体" w:hAnsi="宋体" w:eastAsia="宋体" w:cs="宋体"/>
          <w:sz w:val="21"/>
          <w:szCs w:val="21"/>
          <w:lang w:eastAsia="zh-CN"/>
        </w:rPr>
        <w:t>；</w:t>
      </w:r>
    </w:p>
    <w:p w14:paraId="7E6358FB">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2.技术性能要求</w:t>
      </w:r>
    </w:p>
    <w:p w14:paraId="042309E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2.1舌象采集设备</w:t>
      </w:r>
    </w:p>
    <w:p w14:paraId="60DD5C04">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★2.1.1须采用手持便携式设计，方便随身携带；采集主机重量＜1.2kg；外观尺寸≤180×140×130mm</w:t>
      </w:r>
      <w:r>
        <w:rPr>
          <w:rFonts w:hint="eastAsia" w:ascii="宋体" w:hAnsi="宋体" w:eastAsia="宋体" w:cs="宋体"/>
          <w:b/>
          <w:bCs/>
          <w:sz w:val="21"/>
          <w:szCs w:val="21"/>
        </w:rPr>
        <w:t>（提供官网截图、彩页、厂家证明等相关有效支撑材料）</w:t>
      </w:r>
    </w:p>
    <w:p w14:paraId="2BBA2E53">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2.1.2外采集装置符合人体工程学设计，外采集装置与采集主机之间采用卡扣设计，便于拆卸更换；采集罩尺寸≤120×120×120mm</w:t>
      </w:r>
    </w:p>
    <w:p w14:paraId="02B87CCA">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2.1.3与患者接触的采集装置内部可更换一次性采集罩，避免交叉感染</w:t>
      </w:r>
    </w:p>
    <w:p w14:paraId="412A3231">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2.1.4采用专业图像采集设备，可支持实时采集图像预览</w:t>
      </w:r>
    </w:p>
    <w:p w14:paraId="2ACFE6B5">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2.1.5采用无线信号传输模式：采集主机与电脑主机应用无线模式进行数据传导，应用程序可实时查看采集样本</w:t>
      </w:r>
    </w:p>
    <w:p w14:paraId="330E1687">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2.1.6采集主机须具有充电存储功能，具有蓄电系统模块，无需接通网电源，可独立使用</w:t>
      </w:r>
    </w:p>
    <w:p w14:paraId="36F040B2">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2.1.7便携底座与采集主机之间采用智能遥控节能设计，采集主机与便携底座接触后，光源系统及通风系统自动关闭，图像采集模块独立待机</w:t>
      </w:r>
    </w:p>
    <w:p w14:paraId="5140EA6B">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★2.1.8舌象采集窗口照度值（Ec）：标称值（X）±10%</w:t>
      </w:r>
      <w:r>
        <w:rPr>
          <w:rFonts w:hint="eastAsia" w:ascii="宋体" w:hAnsi="宋体" w:eastAsia="宋体" w:cs="宋体"/>
          <w:b/>
          <w:bCs/>
          <w:sz w:val="21"/>
          <w:szCs w:val="21"/>
        </w:rPr>
        <w:t>（提供官网截图、彩页、厂家证明等相关有效支撑材料）</w:t>
      </w:r>
    </w:p>
    <w:p w14:paraId="32E636BA">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2.1.9设备系统可对舌象进行自动判读，可对舌质、舌色、苔色、苔质、舌形、局部特征等进行智能分析，输出不低于4类25种分析结果</w:t>
      </w:r>
    </w:p>
    <w:p w14:paraId="2222220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2.2脉象采集设备</w:t>
      </w:r>
    </w:p>
    <w:p w14:paraId="48C9C66A">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2.2.1脉象采集传感器触力面直径范围：3mm＜φ＜8mm</w:t>
      </w:r>
    </w:p>
    <w:p w14:paraId="79430704">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★2.2.2脉象采集传感器灵敏度：≥2.0mv/g FSO</w:t>
      </w:r>
      <w:r>
        <w:rPr>
          <w:rFonts w:hint="eastAsia" w:ascii="宋体" w:hAnsi="宋体" w:eastAsia="宋体" w:cs="宋体"/>
          <w:b/>
          <w:bCs/>
          <w:sz w:val="21"/>
          <w:szCs w:val="21"/>
        </w:rPr>
        <w:t>（提供官网截图、彩页、厂家证明等相关有效支撑材料）</w:t>
      </w:r>
    </w:p>
    <w:p w14:paraId="796CA471">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2.2.3脉象采集传感器触力面可承受：≥4.5㎏过载</w:t>
      </w:r>
    </w:p>
    <w:p w14:paraId="31A97A61">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2.2.4采用自动加压方式，自动寻找并确定最佳取脉压力，按照设定的分段加压值，自动进行分段加压，并确定最佳取脉压力</w:t>
      </w:r>
    </w:p>
    <w:p w14:paraId="72F142B6">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2.2.5须可自动输出定性脉象判读结果及脉象各项定量指标</w:t>
      </w:r>
    </w:p>
    <w:p w14:paraId="15FC7898">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2.2.6提供中医脉象图及相关测量参数，输出量化参数≥20种</w:t>
      </w:r>
    </w:p>
    <w:p w14:paraId="00D86492">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3.软件功能性要求</w:t>
      </w:r>
    </w:p>
    <w:p w14:paraId="3DC71CF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3.1中医体质辨识功能</w:t>
      </w:r>
    </w:p>
    <w:p w14:paraId="78F9D1F9">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3.1.1须符合中华中医药学会ZYYXH/T157-2009《中医体质分类与判定》标准，可输出9种基本体质以及百余种复合体质</w:t>
      </w:r>
    </w:p>
    <w:p w14:paraId="34D7C697">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3.1.2可提供体质成因解读，以及易发疾病的风险预警提示</w:t>
      </w:r>
    </w:p>
    <w:p w14:paraId="74E14BB0">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3.1.3可提供不同体质对应的当令季节的健康养生指导及干预服务</w:t>
      </w:r>
    </w:p>
    <w:p w14:paraId="1CB4EC0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3.2中医养生方案库以及中医适宜技术干预方案库</w:t>
      </w:r>
    </w:p>
    <w:p w14:paraId="179D2954">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3.2.1所提供的个体化辨体施养方案，包含四季食疗养生、足浴保健等内容，为被测试者提供个体化的健康养生指导建议</w:t>
      </w:r>
    </w:p>
    <w:p w14:paraId="116BAF0A">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3.2.2提供个性化中医适宜技术干预方案，应包括：足浴、耳穴、刮痧、拔罐等中医适宜技术</w:t>
      </w:r>
    </w:p>
    <w:p w14:paraId="6AB7DF14">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3.2.3养生方案具有自定义组合及编辑功能，并支持用户导入本地养生方案</w:t>
      </w:r>
    </w:p>
    <w:p w14:paraId="24B03EDF">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3.2.4开放数据接口，支持与医院系统、区域卫生数据平台对接</w:t>
      </w:r>
    </w:p>
    <w:p w14:paraId="5A14B97A">
      <w:pPr>
        <w:numPr>
          <w:ilvl w:val="0"/>
          <w:numId w:val="6"/>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最低配置要求</w:t>
      </w:r>
    </w:p>
    <w:p w14:paraId="05F6C1D8">
      <w:pPr>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便携式舌脉象仪2套</w:t>
      </w:r>
    </w:p>
    <w:p w14:paraId="766C8390">
      <w:pPr>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舌象采集罩</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2个</w:t>
      </w:r>
    </w:p>
    <w:p w14:paraId="3749FEF6">
      <w:pPr>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LED光源组件2个</w:t>
      </w:r>
    </w:p>
    <w:p w14:paraId="7953CD8E">
      <w:pPr>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设备底座2个</w:t>
      </w:r>
    </w:p>
    <w:p w14:paraId="62D268DC">
      <w:pPr>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抗过压脉搏传感器部件2个</w:t>
      </w:r>
    </w:p>
    <w:p w14:paraId="3BE1C62E">
      <w:pPr>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脉搏定位框2套</w:t>
      </w:r>
    </w:p>
    <w:p w14:paraId="206C66F0">
      <w:pPr>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中医舌象采集及分析模块2套</w:t>
      </w:r>
    </w:p>
    <w:p w14:paraId="43255BAF">
      <w:pPr>
        <w:spacing w:line="360" w:lineRule="auto"/>
        <w:ind w:firstLine="630" w:firstLineChars="300"/>
        <w:rPr>
          <w:rFonts w:hint="eastAsia" w:ascii="宋体" w:hAnsi="宋体" w:eastAsia="宋体" w:cs="宋体"/>
          <w:b/>
          <w:bCs/>
          <w:szCs w:val="21"/>
        </w:rPr>
      </w:pPr>
      <w:r>
        <w:rPr>
          <w:rFonts w:hint="eastAsia" w:ascii="宋体" w:hAnsi="宋体" w:eastAsia="宋体" w:cs="宋体"/>
          <w:sz w:val="21"/>
          <w:szCs w:val="21"/>
          <w:lang w:val="en-US" w:eastAsia="zh-CN"/>
        </w:rPr>
        <w:t>中医脉象采集及分析模块2套</w:t>
      </w:r>
    </w:p>
    <w:p w14:paraId="17DA2A76">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三、资信商务要求</w:t>
      </w:r>
    </w:p>
    <w:tbl>
      <w:tblPr>
        <w:tblStyle w:val="46"/>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1320"/>
        <w:gridCol w:w="7127"/>
      </w:tblGrid>
      <w:tr w14:paraId="0261AC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733" w:type="dxa"/>
            <w:noWrap w:val="0"/>
            <w:vAlign w:val="center"/>
          </w:tcPr>
          <w:p w14:paraId="5942D4F5">
            <w:pPr>
              <w:spacing w:line="240" w:lineRule="auto"/>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序号</w:t>
            </w:r>
          </w:p>
        </w:tc>
        <w:tc>
          <w:tcPr>
            <w:tcW w:w="1320" w:type="dxa"/>
            <w:noWrap w:val="0"/>
            <w:vAlign w:val="center"/>
          </w:tcPr>
          <w:p w14:paraId="34E8EC4B">
            <w:pPr>
              <w:spacing w:line="240" w:lineRule="auto"/>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内容</w:t>
            </w:r>
          </w:p>
        </w:tc>
        <w:tc>
          <w:tcPr>
            <w:tcW w:w="7127" w:type="dxa"/>
            <w:noWrap w:val="0"/>
            <w:vAlign w:val="center"/>
          </w:tcPr>
          <w:p w14:paraId="53970457">
            <w:pPr>
              <w:spacing w:line="240" w:lineRule="auto"/>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要求</w:t>
            </w:r>
          </w:p>
        </w:tc>
      </w:tr>
      <w:tr w14:paraId="65730A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733" w:type="dxa"/>
            <w:noWrap w:val="0"/>
            <w:vAlign w:val="center"/>
          </w:tcPr>
          <w:p w14:paraId="4DF818A9">
            <w:pPr>
              <w:spacing w:line="240" w:lineRule="auto"/>
              <w:jc w:val="center"/>
              <w:rPr>
                <w:rFonts w:hint="eastAsia" w:ascii="宋体" w:hAnsi="宋体" w:eastAsia="宋体" w:cs="宋体"/>
                <w:bCs/>
                <w:spacing w:val="-4"/>
                <w:sz w:val="21"/>
                <w:szCs w:val="21"/>
                <w:highlight w:val="none"/>
              </w:rPr>
            </w:pPr>
            <w:r>
              <w:rPr>
                <w:rFonts w:hint="eastAsia" w:ascii="宋体" w:hAnsi="宋体" w:eastAsia="宋体" w:cs="宋体"/>
                <w:bCs/>
                <w:spacing w:val="-4"/>
                <w:sz w:val="21"/>
                <w:szCs w:val="21"/>
                <w:highlight w:val="none"/>
              </w:rPr>
              <w:t>1</w:t>
            </w:r>
          </w:p>
        </w:tc>
        <w:tc>
          <w:tcPr>
            <w:tcW w:w="1320" w:type="dxa"/>
            <w:noWrap w:val="0"/>
            <w:vAlign w:val="center"/>
          </w:tcPr>
          <w:p w14:paraId="5F062239">
            <w:pPr>
              <w:spacing w:line="240" w:lineRule="auto"/>
              <w:jc w:val="center"/>
              <w:rPr>
                <w:rFonts w:hint="eastAsia" w:ascii="宋体" w:hAnsi="宋体" w:eastAsia="宋体" w:cs="宋体"/>
                <w:bCs/>
                <w:spacing w:val="-4"/>
                <w:sz w:val="21"/>
                <w:szCs w:val="21"/>
                <w:highlight w:val="none"/>
              </w:rPr>
            </w:pPr>
            <w:r>
              <w:rPr>
                <w:rFonts w:hint="eastAsia" w:ascii="宋体" w:hAnsi="宋体" w:eastAsia="宋体" w:cs="宋体"/>
                <w:bCs/>
                <w:spacing w:val="-4"/>
                <w:sz w:val="21"/>
                <w:szCs w:val="21"/>
                <w:highlight w:val="none"/>
              </w:rPr>
              <w:t>合同履约期限、地点</w:t>
            </w:r>
          </w:p>
        </w:tc>
        <w:tc>
          <w:tcPr>
            <w:tcW w:w="7127" w:type="dxa"/>
            <w:noWrap w:val="0"/>
            <w:vAlign w:val="center"/>
          </w:tcPr>
          <w:p w14:paraId="2126D9DA">
            <w:pPr>
              <w:spacing w:line="240" w:lineRule="auto"/>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履约时间：</w:t>
            </w:r>
            <w:r>
              <w:rPr>
                <w:rFonts w:hint="eastAsia" w:ascii="宋体" w:hAnsi="宋体" w:eastAsia="宋体" w:cs="宋体"/>
                <w:sz w:val="21"/>
                <w:szCs w:val="21"/>
                <w:highlight w:val="none"/>
              </w:rPr>
              <w:t>供应商应在本合同签订后</w:t>
            </w:r>
            <w:r>
              <w:rPr>
                <w:rFonts w:hint="eastAsia" w:ascii="宋体" w:hAnsi="宋体" w:eastAsia="宋体" w:cs="宋体"/>
                <w:sz w:val="21"/>
                <w:szCs w:val="21"/>
                <w:highlight w:val="none"/>
                <w:u w:val="none"/>
                <w:lang w:val="en-US" w:eastAsia="zh-CN"/>
              </w:rPr>
              <w:t>30</w:t>
            </w:r>
            <w:r>
              <w:rPr>
                <w:rFonts w:hint="eastAsia" w:ascii="宋体" w:hAnsi="宋体" w:eastAsia="宋体" w:cs="宋体"/>
                <w:sz w:val="21"/>
                <w:szCs w:val="21"/>
                <w:highlight w:val="none"/>
              </w:rPr>
              <w:t>天内将货物运送至采购人指定地点，并完成安装调试摆放，经采购人验收合格。同时向</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rPr>
              <w:t>提供货物的合格证、质量保证书或保修卡、使用说明等必备资料和必备配附件。</w:t>
            </w:r>
          </w:p>
          <w:p w14:paraId="1C054017">
            <w:pPr>
              <w:spacing w:line="240" w:lineRule="auto"/>
              <w:jc w:val="left"/>
              <w:rPr>
                <w:rFonts w:hint="eastAsia" w:ascii="宋体" w:hAnsi="宋体" w:eastAsia="宋体" w:cs="宋体"/>
                <w:bCs/>
                <w:spacing w:val="-4"/>
                <w:sz w:val="21"/>
                <w:szCs w:val="21"/>
                <w:highlight w:val="none"/>
              </w:rPr>
            </w:pPr>
            <w:r>
              <w:rPr>
                <w:rFonts w:hint="eastAsia" w:ascii="宋体" w:hAnsi="宋体" w:eastAsia="宋体" w:cs="宋体"/>
                <w:kern w:val="0"/>
                <w:sz w:val="21"/>
                <w:szCs w:val="21"/>
                <w:highlight w:val="none"/>
                <w:lang w:bidi="ar"/>
              </w:rPr>
              <w:t>履约地点：浙江中医药大学指定地点</w:t>
            </w:r>
          </w:p>
        </w:tc>
      </w:tr>
      <w:tr w14:paraId="16C8D3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733" w:type="dxa"/>
            <w:noWrap w:val="0"/>
            <w:vAlign w:val="center"/>
          </w:tcPr>
          <w:p w14:paraId="77EFC1A9">
            <w:pPr>
              <w:spacing w:line="240" w:lineRule="auto"/>
              <w:jc w:val="center"/>
              <w:rPr>
                <w:rFonts w:hint="eastAsia" w:ascii="宋体" w:hAnsi="宋体" w:eastAsia="宋体" w:cs="宋体"/>
                <w:bCs/>
                <w:spacing w:val="-4"/>
                <w:sz w:val="21"/>
                <w:szCs w:val="21"/>
                <w:highlight w:val="none"/>
              </w:rPr>
            </w:pPr>
            <w:r>
              <w:rPr>
                <w:rFonts w:hint="eastAsia" w:ascii="宋体" w:hAnsi="宋体" w:eastAsia="宋体" w:cs="宋体"/>
                <w:bCs/>
                <w:spacing w:val="-4"/>
                <w:sz w:val="21"/>
                <w:szCs w:val="21"/>
                <w:highlight w:val="none"/>
              </w:rPr>
              <w:t>2</w:t>
            </w:r>
          </w:p>
        </w:tc>
        <w:tc>
          <w:tcPr>
            <w:tcW w:w="1320" w:type="dxa"/>
            <w:noWrap w:val="0"/>
            <w:vAlign w:val="center"/>
          </w:tcPr>
          <w:p w14:paraId="17023F12">
            <w:pPr>
              <w:spacing w:line="240" w:lineRule="auto"/>
              <w:jc w:val="center"/>
              <w:rPr>
                <w:rFonts w:hint="eastAsia" w:ascii="宋体" w:hAnsi="宋体" w:eastAsia="宋体" w:cs="宋体"/>
                <w:bCs/>
                <w:spacing w:val="-4"/>
                <w:sz w:val="21"/>
                <w:szCs w:val="21"/>
                <w:highlight w:val="none"/>
              </w:rPr>
            </w:pPr>
            <w:r>
              <w:rPr>
                <w:rFonts w:hint="eastAsia" w:ascii="宋体" w:hAnsi="宋体" w:eastAsia="宋体" w:cs="宋体"/>
                <w:bCs/>
                <w:spacing w:val="-4"/>
                <w:sz w:val="21"/>
                <w:szCs w:val="21"/>
                <w:highlight w:val="none"/>
              </w:rPr>
              <w:t>售后服务</w:t>
            </w:r>
          </w:p>
        </w:tc>
        <w:tc>
          <w:tcPr>
            <w:tcW w:w="7127" w:type="dxa"/>
            <w:noWrap w:val="0"/>
            <w:vAlign w:val="center"/>
          </w:tcPr>
          <w:p w14:paraId="48032B54">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1.供应商提供的货物质保期为</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年，从货物验收合格交付采购人正常使用</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天之日起算，除人为原因造成的故障外，保修包换；质保期满后，供应商负责提供配件和维修服务，酌收备件成本费用，易损件长期提供。</w:t>
            </w:r>
          </w:p>
          <w:p w14:paraId="10CF129C">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2.供应商保证所供货物发生故障时，最迟在48小时内修复，并采取提供临时替用品等措施，以保证采购人的正常工作。</w:t>
            </w:r>
          </w:p>
        </w:tc>
      </w:tr>
      <w:tr w14:paraId="59DCA6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733" w:type="dxa"/>
            <w:noWrap w:val="0"/>
            <w:vAlign w:val="center"/>
          </w:tcPr>
          <w:p w14:paraId="6310CEA4">
            <w:pPr>
              <w:spacing w:line="240" w:lineRule="auto"/>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3</w:t>
            </w:r>
          </w:p>
        </w:tc>
        <w:tc>
          <w:tcPr>
            <w:tcW w:w="1320" w:type="dxa"/>
            <w:noWrap w:val="0"/>
            <w:vAlign w:val="center"/>
          </w:tcPr>
          <w:p w14:paraId="2480A647">
            <w:pPr>
              <w:spacing w:line="240" w:lineRule="auto"/>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履约保证金</w:t>
            </w:r>
          </w:p>
        </w:tc>
        <w:tc>
          <w:tcPr>
            <w:tcW w:w="7127" w:type="dxa"/>
            <w:noWrap w:val="0"/>
            <w:vAlign w:val="center"/>
          </w:tcPr>
          <w:p w14:paraId="2F48172F">
            <w:pPr>
              <w:spacing w:line="240" w:lineRule="auto"/>
              <w:jc w:val="left"/>
              <w:rPr>
                <w:rFonts w:hint="eastAsia" w:ascii="宋体" w:hAnsi="宋体" w:eastAsia="宋体" w:cs="宋体"/>
                <w:bCs/>
                <w:spacing w:val="-4"/>
                <w:sz w:val="21"/>
                <w:szCs w:val="21"/>
              </w:rPr>
            </w:pPr>
            <w:r>
              <w:rPr>
                <w:rFonts w:hint="eastAsia" w:ascii="宋体" w:hAnsi="宋体" w:eastAsia="宋体" w:cs="宋体"/>
                <w:bCs/>
                <w:spacing w:val="-4"/>
                <w:sz w:val="21"/>
                <w:szCs w:val="21"/>
              </w:rPr>
              <w:t>本合同总价款的1%作为履约保证金，本合同签订后七个工作日内由供应商支付给采购人，项目验收合格后，由采购人无息退回供应商（遇寒暑假及国定假日顺延）。</w:t>
            </w:r>
          </w:p>
        </w:tc>
      </w:tr>
      <w:tr w14:paraId="5531FB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733" w:type="dxa"/>
            <w:noWrap w:val="0"/>
            <w:vAlign w:val="center"/>
          </w:tcPr>
          <w:p w14:paraId="74B7D901">
            <w:pPr>
              <w:spacing w:line="240" w:lineRule="auto"/>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4</w:t>
            </w:r>
          </w:p>
        </w:tc>
        <w:tc>
          <w:tcPr>
            <w:tcW w:w="1320" w:type="dxa"/>
            <w:noWrap w:val="0"/>
            <w:vAlign w:val="center"/>
          </w:tcPr>
          <w:p w14:paraId="4738A3EB">
            <w:pPr>
              <w:spacing w:line="240" w:lineRule="auto"/>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付款方式和支付条件</w:t>
            </w:r>
          </w:p>
        </w:tc>
        <w:tc>
          <w:tcPr>
            <w:tcW w:w="7127" w:type="dxa"/>
            <w:noWrap w:val="0"/>
            <w:vAlign w:val="center"/>
          </w:tcPr>
          <w:p w14:paraId="719FE255">
            <w:pPr>
              <w:pStyle w:val="151"/>
              <w:spacing w:beforeLines="0" w:afterLines="0" w:line="240" w:lineRule="auto"/>
              <w:rPr>
                <w:rFonts w:hint="eastAsia" w:ascii="宋体" w:hAnsi="宋体" w:eastAsia="宋体" w:cs="宋体"/>
                <w:bCs/>
                <w:spacing w:val="-4"/>
                <w:kern w:val="2"/>
                <w:sz w:val="21"/>
                <w:szCs w:val="21"/>
              </w:rPr>
            </w:pPr>
            <w:r>
              <w:rPr>
                <w:rFonts w:hint="eastAsia" w:ascii="宋体" w:hAnsi="宋体" w:eastAsia="宋体" w:cs="宋体"/>
                <w:bCs/>
                <w:spacing w:val="-4"/>
                <w:kern w:val="2"/>
                <w:sz w:val="21"/>
                <w:szCs w:val="21"/>
              </w:rPr>
              <w:t>采购人收到</w:t>
            </w:r>
            <w:r>
              <w:rPr>
                <w:rFonts w:hint="eastAsia" w:ascii="宋体" w:hAnsi="宋体" w:cs="宋体"/>
                <w:bCs/>
                <w:spacing w:val="-4"/>
                <w:kern w:val="2"/>
                <w:sz w:val="21"/>
                <w:szCs w:val="21"/>
                <w:lang w:val="en-US" w:eastAsia="zh-CN"/>
              </w:rPr>
              <w:t>成交供应商</w:t>
            </w:r>
            <w:r>
              <w:rPr>
                <w:rFonts w:hint="eastAsia" w:ascii="宋体" w:hAnsi="宋体" w:eastAsia="宋体" w:cs="宋体"/>
                <w:bCs/>
                <w:spacing w:val="-4"/>
                <w:kern w:val="2"/>
                <w:sz w:val="21"/>
                <w:szCs w:val="21"/>
              </w:rPr>
              <w:t>支付的履约保证金及开具的正规发票后7个工作日内，向</w:t>
            </w:r>
            <w:r>
              <w:rPr>
                <w:rFonts w:hint="eastAsia" w:ascii="宋体" w:hAnsi="宋体" w:cs="宋体"/>
                <w:bCs/>
                <w:spacing w:val="-4"/>
                <w:kern w:val="2"/>
                <w:sz w:val="21"/>
                <w:szCs w:val="21"/>
                <w:lang w:val="en-US" w:eastAsia="zh-CN"/>
              </w:rPr>
              <w:t>成交供应商</w:t>
            </w:r>
            <w:r>
              <w:rPr>
                <w:rFonts w:hint="eastAsia" w:ascii="宋体" w:hAnsi="宋体" w:eastAsia="宋体" w:cs="宋体"/>
                <w:bCs/>
                <w:spacing w:val="-4"/>
                <w:kern w:val="2"/>
                <w:sz w:val="21"/>
                <w:szCs w:val="21"/>
              </w:rPr>
              <w:t>支付40%的货款。</w:t>
            </w:r>
          </w:p>
          <w:p w14:paraId="197AD29F">
            <w:pPr>
              <w:pStyle w:val="151"/>
              <w:spacing w:beforeLines="0" w:afterLines="0" w:line="240" w:lineRule="auto"/>
              <w:rPr>
                <w:rFonts w:hint="eastAsia" w:ascii="宋体" w:hAnsi="宋体" w:eastAsia="宋体" w:cs="宋体"/>
                <w:sz w:val="21"/>
                <w:szCs w:val="21"/>
              </w:rPr>
            </w:pPr>
            <w:r>
              <w:rPr>
                <w:rFonts w:hint="eastAsia" w:ascii="宋体" w:hAnsi="宋体" w:eastAsia="宋体" w:cs="宋体"/>
                <w:bCs/>
                <w:spacing w:val="-4"/>
                <w:kern w:val="2"/>
                <w:sz w:val="21"/>
                <w:szCs w:val="21"/>
              </w:rPr>
              <w:t>货物自</w:t>
            </w:r>
            <w:r>
              <w:rPr>
                <w:rFonts w:hint="eastAsia" w:ascii="宋体" w:hAnsi="宋体" w:cs="宋体"/>
                <w:bCs/>
                <w:spacing w:val="-4"/>
                <w:kern w:val="2"/>
                <w:sz w:val="21"/>
                <w:szCs w:val="21"/>
                <w:lang w:val="en-US" w:eastAsia="zh-CN"/>
              </w:rPr>
              <w:t>成交供应商</w:t>
            </w:r>
            <w:r>
              <w:rPr>
                <w:rFonts w:hint="eastAsia" w:ascii="宋体" w:hAnsi="宋体" w:eastAsia="宋体" w:cs="宋体"/>
                <w:bCs/>
                <w:spacing w:val="-4"/>
                <w:kern w:val="2"/>
                <w:sz w:val="21"/>
                <w:szCs w:val="21"/>
              </w:rPr>
              <w:t>送达采购人指定地点，完成安装调试完毕并经采购人验收合格和正常运行（使用）两周后7个工作日内，采购人收到</w:t>
            </w:r>
            <w:r>
              <w:rPr>
                <w:rFonts w:hint="eastAsia" w:ascii="宋体" w:hAnsi="宋体" w:cs="宋体"/>
                <w:bCs/>
                <w:spacing w:val="-4"/>
                <w:kern w:val="2"/>
                <w:sz w:val="21"/>
                <w:szCs w:val="21"/>
                <w:lang w:eastAsia="zh-CN"/>
              </w:rPr>
              <w:t>成交供应商</w:t>
            </w:r>
            <w:r>
              <w:rPr>
                <w:rFonts w:hint="eastAsia" w:ascii="宋体" w:hAnsi="宋体" w:eastAsia="宋体" w:cs="宋体"/>
                <w:bCs/>
                <w:spacing w:val="-4"/>
                <w:kern w:val="2"/>
                <w:sz w:val="21"/>
                <w:szCs w:val="21"/>
              </w:rPr>
              <w:t>开具的正规发票后向乙方支付剩余60%的货款。</w:t>
            </w:r>
          </w:p>
        </w:tc>
      </w:tr>
      <w:tr w14:paraId="3F4E88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33" w:type="dxa"/>
            <w:noWrap w:val="0"/>
            <w:vAlign w:val="center"/>
          </w:tcPr>
          <w:p w14:paraId="1402E848">
            <w:pPr>
              <w:spacing w:line="240" w:lineRule="auto"/>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5</w:t>
            </w:r>
          </w:p>
        </w:tc>
        <w:tc>
          <w:tcPr>
            <w:tcW w:w="1320" w:type="dxa"/>
            <w:noWrap w:val="0"/>
            <w:vAlign w:val="center"/>
          </w:tcPr>
          <w:p w14:paraId="2B041E2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培训</w:t>
            </w:r>
          </w:p>
        </w:tc>
        <w:tc>
          <w:tcPr>
            <w:tcW w:w="7127" w:type="dxa"/>
            <w:noWrap w:val="0"/>
            <w:vAlign w:val="center"/>
          </w:tcPr>
          <w:p w14:paraId="737F19B5">
            <w:pPr>
              <w:spacing w:line="240" w:lineRule="auto"/>
              <w:jc w:val="left"/>
              <w:rPr>
                <w:rFonts w:hint="eastAsia" w:ascii="宋体" w:hAnsi="宋体" w:eastAsia="宋体" w:cs="宋体"/>
                <w:sz w:val="21"/>
                <w:szCs w:val="21"/>
              </w:rPr>
            </w:pPr>
            <w:r>
              <w:rPr>
                <w:rFonts w:hint="eastAsia" w:ascii="宋体" w:hAnsi="宋体" w:cs="宋体"/>
                <w:bCs/>
                <w:spacing w:val="-4"/>
                <w:kern w:val="2"/>
                <w:sz w:val="21"/>
                <w:szCs w:val="21"/>
                <w:lang w:val="en-US" w:eastAsia="zh-CN"/>
              </w:rPr>
              <w:t>成交供应商</w:t>
            </w:r>
            <w:r>
              <w:rPr>
                <w:rFonts w:hint="eastAsia" w:ascii="宋体" w:hAnsi="宋体" w:eastAsia="宋体" w:cs="宋体"/>
                <w:kern w:val="0"/>
                <w:sz w:val="21"/>
                <w:szCs w:val="21"/>
                <w:lang w:bidi="ar"/>
              </w:rPr>
              <w:t>需提供操作必须的相关培训</w:t>
            </w:r>
          </w:p>
        </w:tc>
      </w:tr>
      <w:tr w14:paraId="24559A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33" w:type="dxa"/>
            <w:noWrap w:val="0"/>
            <w:vAlign w:val="center"/>
          </w:tcPr>
          <w:p w14:paraId="64E8C86F">
            <w:pPr>
              <w:spacing w:line="240" w:lineRule="auto"/>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6</w:t>
            </w:r>
          </w:p>
        </w:tc>
        <w:tc>
          <w:tcPr>
            <w:tcW w:w="1320" w:type="dxa"/>
            <w:noWrap w:val="0"/>
            <w:vAlign w:val="center"/>
          </w:tcPr>
          <w:p w14:paraId="701E9B1A">
            <w:pPr>
              <w:tabs>
                <w:tab w:val="left" w:pos="1440"/>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备品备件及耗材等要求</w:t>
            </w:r>
          </w:p>
        </w:tc>
        <w:tc>
          <w:tcPr>
            <w:tcW w:w="7127" w:type="dxa"/>
            <w:noWrap w:val="0"/>
            <w:vAlign w:val="center"/>
          </w:tcPr>
          <w:p w14:paraId="0DCFB747">
            <w:pPr>
              <w:spacing w:line="24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安装及调试所需的耗材与备件均由</w:t>
            </w:r>
            <w:r>
              <w:rPr>
                <w:rFonts w:hint="eastAsia" w:ascii="宋体" w:hAnsi="宋体" w:cs="宋体"/>
                <w:kern w:val="0"/>
                <w:sz w:val="21"/>
                <w:szCs w:val="21"/>
                <w:lang w:eastAsia="zh-CN" w:bidi="ar"/>
              </w:rPr>
              <w:t>成交供应商</w:t>
            </w:r>
            <w:r>
              <w:rPr>
                <w:rFonts w:hint="eastAsia" w:ascii="宋体" w:hAnsi="宋体" w:eastAsia="宋体" w:cs="宋体"/>
                <w:kern w:val="0"/>
                <w:sz w:val="21"/>
                <w:szCs w:val="21"/>
                <w:lang w:bidi="ar"/>
              </w:rPr>
              <w:t>提供</w:t>
            </w:r>
          </w:p>
        </w:tc>
      </w:tr>
      <w:tr w14:paraId="5D2151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33" w:type="dxa"/>
            <w:noWrap w:val="0"/>
            <w:vAlign w:val="center"/>
          </w:tcPr>
          <w:p w14:paraId="5A0D3775">
            <w:pPr>
              <w:spacing w:line="240" w:lineRule="auto"/>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7</w:t>
            </w:r>
          </w:p>
        </w:tc>
        <w:tc>
          <w:tcPr>
            <w:tcW w:w="1320" w:type="dxa"/>
            <w:noWrap w:val="0"/>
            <w:vAlign w:val="center"/>
          </w:tcPr>
          <w:p w14:paraId="5749AF82">
            <w:pPr>
              <w:spacing w:line="240" w:lineRule="auto"/>
              <w:jc w:val="center"/>
              <w:rPr>
                <w:rFonts w:hint="eastAsia" w:ascii="宋体" w:hAnsi="宋体" w:eastAsia="宋体" w:cs="宋体"/>
                <w:bCs/>
                <w:spacing w:val="-4"/>
                <w:sz w:val="21"/>
                <w:szCs w:val="21"/>
              </w:rPr>
            </w:pPr>
            <w:r>
              <w:rPr>
                <w:rFonts w:hint="eastAsia" w:ascii="宋体" w:hAnsi="宋体" w:eastAsia="宋体" w:cs="宋体"/>
                <w:sz w:val="21"/>
                <w:szCs w:val="21"/>
              </w:rPr>
              <w:t>其他</w:t>
            </w:r>
          </w:p>
        </w:tc>
        <w:tc>
          <w:tcPr>
            <w:tcW w:w="7127" w:type="dxa"/>
            <w:noWrap w:val="0"/>
            <w:vAlign w:val="center"/>
          </w:tcPr>
          <w:p w14:paraId="18865609">
            <w:pPr>
              <w:pStyle w:val="44"/>
              <w:adjustRightIn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rPr>
              <w:t>请供应商将有关本项目所需的所有费用在报价中充分考虑，合理、理性、谨慎地报价，</w:t>
            </w:r>
            <w:r>
              <w:rPr>
                <w:rFonts w:hint="eastAsia" w:hAnsi="宋体" w:cs="宋体"/>
                <w:sz w:val="21"/>
                <w:szCs w:val="21"/>
                <w:lang w:val="en-US" w:eastAsia="zh-CN"/>
              </w:rPr>
              <w:t>成交</w:t>
            </w:r>
            <w:r>
              <w:rPr>
                <w:rFonts w:hint="eastAsia" w:ascii="宋体" w:hAnsi="宋体" w:eastAsia="宋体" w:cs="宋体"/>
                <w:sz w:val="21"/>
                <w:szCs w:val="21"/>
              </w:rPr>
              <w:t>后采购人不再另行支付，成交供应商亦不得以任何理由要求增加费用。</w:t>
            </w:r>
          </w:p>
        </w:tc>
      </w:tr>
      <w:tr w14:paraId="138421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33" w:type="dxa"/>
            <w:noWrap w:val="0"/>
            <w:vAlign w:val="center"/>
          </w:tcPr>
          <w:p w14:paraId="6D416ED2">
            <w:pPr>
              <w:spacing w:line="240" w:lineRule="auto"/>
              <w:jc w:val="center"/>
              <w:rPr>
                <w:rFonts w:hint="eastAsia" w:ascii="宋体" w:hAnsi="宋体" w:eastAsia="宋体" w:cs="宋体"/>
                <w:bCs/>
                <w:spacing w:val="-4"/>
                <w:sz w:val="21"/>
                <w:szCs w:val="21"/>
              </w:rPr>
            </w:pPr>
            <w:r>
              <w:rPr>
                <w:rFonts w:hint="eastAsia" w:ascii="宋体" w:hAnsi="宋体" w:eastAsia="宋体" w:cs="宋体"/>
                <w:bCs/>
                <w:spacing w:val="-4"/>
                <w:sz w:val="21"/>
                <w:szCs w:val="21"/>
              </w:rPr>
              <w:t>8</w:t>
            </w:r>
          </w:p>
        </w:tc>
        <w:tc>
          <w:tcPr>
            <w:tcW w:w="1320" w:type="dxa"/>
            <w:noWrap w:val="0"/>
            <w:vAlign w:val="center"/>
          </w:tcPr>
          <w:p w14:paraId="5DB0B2E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违约责任</w:t>
            </w:r>
          </w:p>
        </w:tc>
        <w:tc>
          <w:tcPr>
            <w:tcW w:w="7127" w:type="dxa"/>
            <w:noWrap w:val="0"/>
            <w:vAlign w:val="center"/>
          </w:tcPr>
          <w:p w14:paraId="4E289862">
            <w:pPr>
              <w:spacing w:line="240" w:lineRule="auto"/>
              <w:rPr>
                <w:rFonts w:hint="eastAsia" w:ascii="宋体" w:hAnsi="宋体" w:eastAsia="宋体" w:cs="宋体"/>
                <w:sz w:val="21"/>
                <w:szCs w:val="21"/>
              </w:rPr>
            </w:pPr>
            <w:r>
              <w:rPr>
                <w:rFonts w:hint="eastAsia" w:ascii="宋体" w:hAnsi="宋体" w:eastAsia="宋体" w:cs="宋体"/>
                <w:sz w:val="21"/>
                <w:szCs w:val="21"/>
              </w:rPr>
              <w:t>1.供应商具有不按合同约定供货、单方面不履行合同义务等违约行为的，供应商除退还采购人已付全部款项外，还应向采购人支付合同总价款20％的违约赔偿金。</w:t>
            </w:r>
          </w:p>
          <w:p w14:paraId="1F4EDDE8">
            <w:pPr>
              <w:spacing w:line="240" w:lineRule="auto"/>
              <w:rPr>
                <w:rFonts w:hint="eastAsia" w:ascii="宋体" w:hAnsi="宋体" w:eastAsia="宋体" w:cs="宋体"/>
                <w:sz w:val="21"/>
                <w:szCs w:val="21"/>
              </w:rPr>
            </w:pPr>
            <w:r>
              <w:rPr>
                <w:rFonts w:hint="eastAsia" w:ascii="宋体" w:hAnsi="宋体" w:eastAsia="宋体" w:cs="宋体"/>
                <w:sz w:val="21"/>
                <w:szCs w:val="21"/>
              </w:rPr>
              <w:t>2.除本合同另有约定外，供应商逾期履行合同义务的，应向采购人偿付合同总价万分之五每日的违约金。逾期超5天以上的，采购人有权解除本合同，并要求供应商退还合同价款和支付本合同价款20%的违约金。</w:t>
            </w:r>
          </w:p>
          <w:p w14:paraId="66D87024">
            <w:pPr>
              <w:spacing w:line="240" w:lineRule="auto"/>
              <w:rPr>
                <w:rFonts w:hint="eastAsia" w:ascii="宋体" w:hAnsi="宋体" w:eastAsia="宋体" w:cs="宋体"/>
                <w:sz w:val="21"/>
                <w:szCs w:val="21"/>
              </w:rPr>
            </w:pPr>
            <w:r>
              <w:rPr>
                <w:rFonts w:hint="eastAsia" w:ascii="宋体" w:hAnsi="宋体" w:eastAsia="宋体" w:cs="宋体"/>
                <w:sz w:val="21"/>
                <w:szCs w:val="21"/>
              </w:rPr>
              <w:t>3.采购人逾期支付合同价款的，应向供应商偿付逾期金额万分之五每日的违约金。</w:t>
            </w:r>
          </w:p>
          <w:p w14:paraId="0032386D">
            <w:pPr>
              <w:spacing w:line="240" w:lineRule="auto"/>
              <w:rPr>
                <w:rFonts w:hint="eastAsia" w:ascii="宋体" w:hAnsi="宋体" w:eastAsia="宋体" w:cs="宋体"/>
                <w:sz w:val="21"/>
                <w:szCs w:val="21"/>
              </w:rPr>
            </w:pPr>
            <w:r>
              <w:rPr>
                <w:rFonts w:hint="eastAsia" w:ascii="宋体" w:hAnsi="宋体" w:eastAsia="宋体" w:cs="宋体"/>
                <w:sz w:val="21"/>
                <w:szCs w:val="21"/>
              </w:rPr>
              <w:t>4.本合同货物须由供应商直接供应，不得转让、转包、分包他人供应；否则，采购人有权解除合同、拒付（或要求退还）合同价款、没收履约保证金，并要求供应商支付合同总价款20%的违约金。</w:t>
            </w:r>
          </w:p>
          <w:p w14:paraId="6964A97F">
            <w:pPr>
              <w:spacing w:line="240" w:lineRule="auto"/>
              <w:rPr>
                <w:rFonts w:hint="eastAsia" w:ascii="宋体" w:hAnsi="宋体" w:eastAsia="宋体" w:cs="宋体"/>
                <w:sz w:val="21"/>
                <w:szCs w:val="21"/>
              </w:rPr>
            </w:pPr>
            <w:r>
              <w:rPr>
                <w:rFonts w:hint="eastAsia" w:ascii="宋体" w:hAnsi="宋体" w:eastAsia="宋体" w:cs="宋体"/>
                <w:sz w:val="21"/>
                <w:szCs w:val="21"/>
              </w:rPr>
              <w:t>5.供应商所供货物侵犯第三方知识产权的，供应商应承担由此造成的所有损失（包括但不限于侵权赔偿款、诉讼费、律师费、向采购人退还已收全款并按合同总价款的20%支付违约金等）。</w:t>
            </w:r>
          </w:p>
        </w:tc>
      </w:tr>
    </w:tbl>
    <w:p w14:paraId="3CC6C1FC">
      <w:pPr>
        <w:rPr>
          <w:rFonts w:hint="eastAsia" w:ascii="宋体" w:hAnsi="宋体" w:eastAsia="宋体" w:cs="宋体"/>
          <w:b/>
          <w:bCs/>
          <w:szCs w:val="21"/>
          <w:highlight w:val="yellow"/>
        </w:rPr>
        <w:sectPr>
          <w:footerReference r:id="rId4" w:type="default"/>
          <w:pgSz w:w="11906" w:h="16838"/>
          <w:pgMar w:top="1134" w:right="1304" w:bottom="1247" w:left="1304" w:header="794" w:footer="794" w:gutter="0"/>
          <w:pgNumType w:fmt="decimal" w:start="1"/>
          <w:cols w:space="720" w:num="1"/>
          <w:docGrid w:type="lines" w:linePitch="312" w:charSpace="0"/>
        </w:sectPr>
      </w:pPr>
    </w:p>
    <w:p w14:paraId="2571307F">
      <w:pPr>
        <w:pStyle w:val="2"/>
        <w:snapToGrid w:val="0"/>
        <w:jc w:val="center"/>
        <w:rPr>
          <w:rFonts w:hint="eastAsia" w:ascii="宋体" w:hAnsi="宋体" w:eastAsia="宋体" w:cs="宋体"/>
          <w:sz w:val="30"/>
          <w:szCs w:val="30"/>
        </w:rPr>
      </w:pPr>
      <w:bookmarkStart w:id="111" w:name="_Toc21163"/>
      <w:r>
        <w:rPr>
          <w:rFonts w:hint="eastAsia" w:ascii="宋体" w:hAnsi="宋体" w:eastAsia="宋体" w:cs="宋体"/>
          <w:sz w:val="32"/>
        </w:rPr>
        <w:t>第四部分</w:t>
      </w:r>
      <w:r>
        <w:rPr>
          <w:rFonts w:hint="eastAsia" w:ascii="宋体" w:hAnsi="宋体" w:eastAsia="宋体" w:cs="宋体"/>
          <w:sz w:val="32"/>
          <w:lang w:val="en-US" w:eastAsia="zh-CN"/>
        </w:rPr>
        <w:t xml:space="preserve"> </w:t>
      </w:r>
      <w:r>
        <w:rPr>
          <w:rFonts w:hint="eastAsia" w:ascii="宋体" w:hAnsi="宋体" w:eastAsia="宋体" w:cs="宋体"/>
          <w:sz w:val="32"/>
        </w:rPr>
        <w:t>合同条款</w:t>
      </w:r>
      <w:bookmarkEnd w:id="110"/>
      <w:bookmarkEnd w:id="111"/>
    </w:p>
    <w:bookmarkEnd w:id="100"/>
    <w:bookmarkEnd w:id="101"/>
    <w:bookmarkEnd w:id="102"/>
    <w:bookmarkEnd w:id="103"/>
    <w:bookmarkEnd w:id="104"/>
    <w:bookmarkEnd w:id="105"/>
    <w:p w14:paraId="7DA72448">
      <w:pPr>
        <w:spacing w:line="400" w:lineRule="exact"/>
        <w:jc w:val="center"/>
        <w:rPr>
          <w:rFonts w:hint="eastAsia" w:ascii="宋体" w:hAnsi="宋体" w:eastAsia="宋体" w:cs="宋体"/>
          <w:b/>
          <w:spacing w:val="-6"/>
          <w:sz w:val="24"/>
          <w:szCs w:val="24"/>
        </w:rPr>
      </w:pPr>
      <w:r>
        <w:rPr>
          <w:rFonts w:hint="eastAsia" w:ascii="宋体" w:hAnsi="宋体" w:eastAsia="宋体" w:cs="宋体"/>
          <w:b/>
          <w:spacing w:val="-6"/>
          <w:sz w:val="24"/>
          <w:szCs w:val="24"/>
        </w:rPr>
        <w:t>浙江中医药大学（</w:t>
      </w:r>
      <w:r>
        <w:rPr>
          <w:rFonts w:hint="eastAsia" w:ascii="宋体" w:hAnsi="宋体" w:eastAsia="宋体" w:cs="宋体"/>
          <w:b/>
          <w:spacing w:val="-6"/>
          <w:sz w:val="24"/>
          <w:szCs w:val="24"/>
          <w:u w:val="single"/>
        </w:rPr>
        <w:t xml:space="preserve">         </w:t>
      </w:r>
      <w:r>
        <w:rPr>
          <w:rFonts w:hint="eastAsia" w:ascii="宋体" w:hAnsi="宋体" w:eastAsia="宋体" w:cs="宋体"/>
          <w:b/>
          <w:spacing w:val="-6"/>
          <w:sz w:val="24"/>
          <w:szCs w:val="24"/>
        </w:rPr>
        <w:t>学院）</w:t>
      </w:r>
      <w:r>
        <w:rPr>
          <w:rFonts w:hint="eastAsia" w:ascii="宋体" w:hAnsi="宋体" w:eastAsia="宋体" w:cs="宋体"/>
          <w:b/>
          <w:spacing w:val="-6"/>
          <w:sz w:val="24"/>
          <w:szCs w:val="24"/>
          <w:u w:val="single"/>
        </w:rPr>
        <w:t xml:space="preserve">        </w:t>
      </w:r>
      <w:r>
        <w:rPr>
          <w:rFonts w:hint="eastAsia" w:ascii="宋体" w:hAnsi="宋体" w:eastAsia="宋体" w:cs="宋体"/>
          <w:b/>
          <w:spacing w:val="-6"/>
          <w:sz w:val="24"/>
          <w:szCs w:val="24"/>
        </w:rPr>
        <w:t>设备采购合同（国产货物）</w:t>
      </w:r>
    </w:p>
    <w:p w14:paraId="43CEBA82">
      <w:pPr>
        <w:snapToGrid w:val="0"/>
        <w:spacing w:line="360" w:lineRule="auto"/>
        <w:rPr>
          <w:rFonts w:hint="eastAsia" w:ascii="宋体" w:hAnsi="宋体" w:eastAsia="宋体" w:cs="宋体"/>
          <w:spacing w:val="-6"/>
          <w:szCs w:val="21"/>
        </w:rPr>
      </w:pPr>
    </w:p>
    <w:p w14:paraId="24CAB2FE">
      <w:pPr>
        <w:snapToGrid w:val="0"/>
        <w:spacing w:line="360" w:lineRule="auto"/>
        <w:rPr>
          <w:rFonts w:hint="eastAsia" w:ascii="宋体" w:hAnsi="宋体" w:eastAsia="宋体" w:cs="宋体"/>
          <w:spacing w:val="-6"/>
          <w:sz w:val="21"/>
          <w:szCs w:val="21"/>
          <w:u w:val="single"/>
        </w:rPr>
      </w:pPr>
      <w:r>
        <w:rPr>
          <w:rFonts w:hint="eastAsia" w:ascii="宋体" w:hAnsi="宋体" w:eastAsia="宋体" w:cs="宋体"/>
          <w:spacing w:val="-6"/>
          <w:sz w:val="21"/>
          <w:szCs w:val="21"/>
        </w:rPr>
        <w:t>项目编号：</w:t>
      </w:r>
      <w:r>
        <w:rPr>
          <w:rFonts w:hint="eastAsia" w:ascii="宋体" w:hAnsi="宋体" w:eastAsia="宋体" w:cs="宋体"/>
          <w:spacing w:val="-6"/>
          <w:sz w:val="21"/>
          <w:szCs w:val="21"/>
          <w:u w:val="single"/>
        </w:rPr>
        <w:t xml:space="preserve"> </w:t>
      </w:r>
      <w:r>
        <w:rPr>
          <w:rFonts w:hint="eastAsia" w:ascii="宋体" w:hAnsi="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p>
    <w:p w14:paraId="50FCC368">
      <w:pPr>
        <w:snapToGrid w:val="0"/>
        <w:spacing w:line="360" w:lineRule="auto"/>
        <w:rPr>
          <w:rFonts w:hint="eastAsia" w:ascii="宋体" w:hAnsi="宋体" w:eastAsia="宋体" w:cs="宋体"/>
          <w:spacing w:val="-6"/>
          <w:sz w:val="21"/>
          <w:szCs w:val="21"/>
          <w:u w:val="single"/>
        </w:rPr>
      </w:pPr>
      <w:r>
        <w:rPr>
          <w:rFonts w:hint="eastAsia" w:ascii="宋体" w:hAnsi="宋体" w:eastAsia="宋体" w:cs="宋体"/>
          <w:spacing w:val="-6"/>
          <w:sz w:val="21"/>
          <w:szCs w:val="21"/>
        </w:rPr>
        <w:t>确认书编号：</w:t>
      </w:r>
      <w:r>
        <w:rPr>
          <w:rFonts w:hint="eastAsia" w:ascii="宋体" w:hAnsi="宋体" w:eastAsia="宋体" w:cs="宋体"/>
          <w:spacing w:val="-6"/>
          <w:sz w:val="21"/>
          <w:szCs w:val="21"/>
          <w:u w:val="single"/>
        </w:rPr>
        <w:t xml:space="preserve"> [2024]64309号 </w:t>
      </w:r>
    </w:p>
    <w:p w14:paraId="3EA9488F">
      <w:pPr>
        <w:snapToGrid w:val="0"/>
        <w:spacing w:line="360" w:lineRule="auto"/>
        <w:rPr>
          <w:rFonts w:hint="eastAsia" w:ascii="宋体" w:hAnsi="宋体" w:eastAsia="宋体" w:cs="宋体"/>
          <w:spacing w:val="-6"/>
          <w:sz w:val="21"/>
          <w:szCs w:val="21"/>
        </w:rPr>
      </w:pPr>
      <w:r>
        <w:rPr>
          <w:rFonts w:hint="eastAsia" w:ascii="宋体" w:hAnsi="宋体" w:eastAsia="宋体" w:cs="宋体"/>
          <w:spacing w:val="-6"/>
          <w:sz w:val="21"/>
          <w:szCs w:val="21"/>
        </w:rPr>
        <w:t>甲方（采购人）：浙江中医药大学</w:t>
      </w:r>
    </w:p>
    <w:p w14:paraId="1F7DEA1A">
      <w:pPr>
        <w:snapToGrid w:val="0"/>
        <w:spacing w:line="360" w:lineRule="auto"/>
        <w:rPr>
          <w:rFonts w:hint="eastAsia" w:ascii="宋体" w:hAnsi="宋体" w:eastAsia="宋体" w:cs="宋体"/>
          <w:spacing w:val="-6"/>
          <w:sz w:val="21"/>
          <w:szCs w:val="21"/>
          <w:u w:val="single"/>
        </w:rPr>
      </w:pPr>
      <w:r>
        <w:rPr>
          <w:rFonts w:hint="eastAsia" w:ascii="宋体" w:hAnsi="宋体" w:eastAsia="宋体" w:cs="宋体"/>
          <w:spacing w:val="-6"/>
          <w:sz w:val="21"/>
          <w:szCs w:val="21"/>
        </w:rPr>
        <w:t>乙方（供应商）：</w:t>
      </w:r>
      <w:r>
        <w:rPr>
          <w:rFonts w:hint="eastAsia" w:ascii="宋体" w:hAnsi="宋体" w:eastAsia="宋体" w:cs="宋体"/>
          <w:spacing w:val="-6"/>
          <w:sz w:val="21"/>
          <w:szCs w:val="21"/>
          <w:u w:val="single"/>
        </w:rPr>
        <w:t xml:space="preserve">                                 </w:t>
      </w:r>
    </w:p>
    <w:p w14:paraId="78C14F3B">
      <w:pPr>
        <w:snapToGrid w:val="0"/>
        <w:spacing w:line="360" w:lineRule="auto"/>
        <w:rPr>
          <w:rFonts w:hint="eastAsia" w:ascii="宋体" w:hAnsi="宋体" w:eastAsia="宋体" w:cs="宋体"/>
          <w:spacing w:val="-6"/>
          <w:sz w:val="21"/>
          <w:szCs w:val="21"/>
        </w:rPr>
      </w:pPr>
      <w:r>
        <w:rPr>
          <w:rFonts w:hint="eastAsia" w:ascii="宋体" w:hAnsi="宋体" w:eastAsia="宋体" w:cs="宋体"/>
          <w:spacing w:val="-6"/>
          <w:sz w:val="21"/>
          <w:szCs w:val="21"/>
        </w:rPr>
        <w:t>采购代理机构（鉴证方）：浙江豪圣建设项目管理有限公司</w:t>
      </w:r>
    </w:p>
    <w:p w14:paraId="2AF87397">
      <w:pPr>
        <w:spacing w:line="360" w:lineRule="auto"/>
        <w:rPr>
          <w:rFonts w:hint="eastAsia" w:ascii="宋体" w:hAnsi="宋体" w:eastAsia="宋体" w:cs="宋体"/>
          <w:sz w:val="21"/>
          <w:szCs w:val="21"/>
        </w:rPr>
      </w:pPr>
      <w:r>
        <w:rPr>
          <w:rFonts w:hint="eastAsia" w:ascii="宋体" w:hAnsi="宋体" w:eastAsia="宋体" w:cs="宋体"/>
          <w:sz w:val="21"/>
          <w:szCs w:val="21"/>
        </w:rPr>
        <w:t>经采购代理机构对</w:t>
      </w:r>
      <w:r>
        <w:rPr>
          <w:rFonts w:hint="eastAsia" w:ascii="宋体" w:hAnsi="宋体" w:eastAsia="宋体" w:cs="宋体"/>
          <w:sz w:val="21"/>
          <w:szCs w:val="21"/>
          <w:u w:val="single"/>
        </w:rPr>
        <w:t xml:space="preserve">        </w:t>
      </w:r>
      <w:r>
        <w:rPr>
          <w:rFonts w:hint="eastAsia" w:ascii="宋体" w:hAnsi="宋体" w:eastAsia="宋体" w:cs="宋体"/>
          <w:sz w:val="21"/>
          <w:szCs w:val="21"/>
        </w:rPr>
        <w:t>设备通过</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竞争性磋商</w:t>
      </w:r>
      <w:r>
        <w:rPr>
          <w:rFonts w:hint="eastAsia" w:ascii="宋体" w:hAnsi="宋体" w:eastAsia="宋体" w:cs="宋体"/>
          <w:sz w:val="21"/>
          <w:szCs w:val="21"/>
          <w:u w:val="single"/>
        </w:rPr>
        <w:t xml:space="preserve"> </w:t>
      </w:r>
      <w:r>
        <w:rPr>
          <w:rFonts w:hint="eastAsia" w:ascii="宋体" w:hAnsi="宋体" w:eastAsia="宋体" w:cs="宋体"/>
          <w:sz w:val="21"/>
          <w:szCs w:val="21"/>
        </w:rPr>
        <w:t>方式采购，确定</w:t>
      </w:r>
      <w:r>
        <w:rPr>
          <w:rFonts w:hint="eastAsia" w:ascii="宋体" w:hAnsi="宋体" w:eastAsia="宋体" w:cs="宋体"/>
          <w:spacing w:val="-6"/>
          <w:sz w:val="21"/>
          <w:szCs w:val="21"/>
          <w:u w:val="single"/>
        </w:rPr>
        <w:t xml:space="preserve">         </w:t>
      </w:r>
      <w:r>
        <w:rPr>
          <w:rFonts w:hint="eastAsia" w:ascii="宋体" w:hAnsi="宋体" w:eastAsia="宋体" w:cs="宋体"/>
          <w:sz w:val="21"/>
          <w:szCs w:val="21"/>
        </w:rPr>
        <w:t>为</w:t>
      </w:r>
      <w:r>
        <w:rPr>
          <w:rFonts w:hint="eastAsia" w:ascii="宋体" w:hAnsi="宋体" w:cs="宋体"/>
          <w:sz w:val="21"/>
          <w:szCs w:val="21"/>
          <w:lang w:val="en-US" w:eastAsia="zh-CN"/>
        </w:rPr>
        <w:t>成交</w:t>
      </w:r>
      <w:r>
        <w:rPr>
          <w:rFonts w:hint="eastAsia" w:ascii="宋体" w:hAnsi="宋体" w:eastAsia="宋体" w:cs="宋体"/>
          <w:sz w:val="21"/>
          <w:szCs w:val="21"/>
        </w:rPr>
        <w:t>单位，甲、乙双方友好协商，达成以下条款：</w:t>
      </w:r>
    </w:p>
    <w:p w14:paraId="2166D64A">
      <w:pPr>
        <w:pStyle w:val="25"/>
        <w:spacing w:line="288"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 xml:space="preserve">第一条：采购商品清单及合同价格     </w:t>
      </w:r>
      <w:r>
        <w:rPr>
          <w:rFonts w:hint="eastAsia" w:ascii="宋体" w:hAnsi="宋体" w:eastAsia="宋体" w:cs="宋体"/>
          <w:sz w:val="21"/>
          <w:szCs w:val="21"/>
        </w:rPr>
        <w:t xml:space="preserve">                              单位：元</w:t>
      </w:r>
    </w:p>
    <w:tbl>
      <w:tblPr>
        <w:tblStyle w:val="46"/>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362"/>
        <w:gridCol w:w="906"/>
        <w:gridCol w:w="1311"/>
        <w:gridCol w:w="717"/>
        <w:gridCol w:w="1325"/>
        <w:gridCol w:w="1465"/>
      </w:tblGrid>
      <w:tr w14:paraId="43D1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606" w:type="dxa"/>
            <w:noWrap w:val="0"/>
            <w:vAlign w:val="center"/>
          </w:tcPr>
          <w:p w14:paraId="127E2FE1">
            <w:pPr>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1362" w:type="dxa"/>
            <w:noWrap w:val="0"/>
            <w:vAlign w:val="center"/>
          </w:tcPr>
          <w:p w14:paraId="4C4233A4">
            <w:pPr>
              <w:jc w:val="center"/>
              <w:rPr>
                <w:rFonts w:hint="eastAsia" w:ascii="宋体" w:hAnsi="宋体" w:eastAsia="宋体" w:cs="宋体"/>
                <w:b/>
                <w:bCs/>
                <w:sz w:val="21"/>
                <w:szCs w:val="21"/>
              </w:rPr>
            </w:pPr>
            <w:r>
              <w:rPr>
                <w:rFonts w:hint="eastAsia" w:ascii="宋体" w:hAnsi="宋体" w:eastAsia="宋体" w:cs="宋体"/>
                <w:b/>
                <w:bCs/>
                <w:sz w:val="21"/>
                <w:szCs w:val="21"/>
              </w:rPr>
              <w:t>厂家（全称）</w:t>
            </w:r>
          </w:p>
        </w:tc>
        <w:tc>
          <w:tcPr>
            <w:tcW w:w="906" w:type="dxa"/>
            <w:noWrap w:val="0"/>
            <w:vAlign w:val="center"/>
          </w:tcPr>
          <w:p w14:paraId="32833B2F">
            <w:pPr>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311" w:type="dxa"/>
            <w:noWrap w:val="0"/>
            <w:vAlign w:val="center"/>
          </w:tcPr>
          <w:p w14:paraId="50756065">
            <w:pPr>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717" w:type="dxa"/>
            <w:noWrap w:val="0"/>
            <w:vAlign w:val="center"/>
          </w:tcPr>
          <w:p w14:paraId="4FDD3853">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325" w:type="dxa"/>
            <w:noWrap w:val="0"/>
            <w:vAlign w:val="center"/>
          </w:tcPr>
          <w:p w14:paraId="6BE3EEB9">
            <w:pPr>
              <w:jc w:val="center"/>
              <w:rPr>
                <w:rFonts w:hint="eastAsia" w:ascii="宋体" w:hAnsi="宋体" w:eastAsia="宋体" w:cs="宋体"/>
                <w:b/>
                <w:bCs/>
                <w:sz w:val="21"/>
                <w:szCs w:val="21"/>
              </w:rPr>
            </w:pPr>
            <w:r>
              <w:rPr>
                <w:rFonts w:hint="eastAsia" w:ascii="宋体" w:hAnsi="宋体" w:eastAsia="宋体" w:cs="宋体"/>
                <w:b/>
                <w:bCs/>
                <w:sz w:val="21"/>
                <w:szCs w:val="21"/>
              </w:rPr>
              <w:t>含税单价</w:t>
            </w:r>
          </w:p>
        </w:tc>
        <w:tc>
          <w:tcPr>
            <w:tcW w:w="1465" w:type="dxa"/>
            <w:noWrap w:val="0"/>
            <w:vAlign w:val="center"/>
          </w:tcPr>
          <w:p w14:paraId="47A1160C">
            <w:pPr>
              <w:jc w:val="center"/>
              <w:rPr>
                <w:rFonts w:hint="eastAsia" w:ascii="宋体" w:hAnsi="宋体" w:eastAsia="宋体" w:cs="宋体"/>
                <w:b/>
                <w:bCs/>
                <w:sz w:val="21"/>
                <w:szCs w:val="21"/>
              </w:rPr>
            </w:pPr>
            <w:r>
              <w:rPr>
                <w:rFonts w:hint="eastAsia" w:ascii="宋体" w:hAnsi="宋体" w:eastAsia="宋体" w:cs="宋体"/>
                <w:b/>
                <w:bCs/>
                <w:sz w:val="21"/>
                <w:szCs w:val="21"/>
              </w:rPr>
              <w:t>含税总价</w:t>
            </w:r>
          </w:p>
        </w:tc>
      </w:tr>
      <w:tr w14:paraId="2CDD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606" w:type="dxa"/>
            <w:noWrap w:val="0"/>
            <w:vAlign w:val="center"/>
          </w:tcPr>
          <w:p w14:paraId="32D07150">
            <w:pPr>
              <w:jc w:val="center"/>
              <w:rPr>
                <w:rFonts w:hint="eastAsia" w:ascii="宋体" w:hAnsi="宋体" w:eastAsia="宋体" w:cs="宋体"/>
                <w:sz w:val="21"/>
                <w:szCs w:val="21"/>
              </w:rPr>
            </w:pPr>
            <w:r>
              <w:rPr>
                <w:rFonts w:hint="eastAsia" w:ascii="宋体" w:hAnsi="宋体" w:eastAsia="宋体" w:cs="宋体"/>
                <w:sz w:val="21"/>
                <w:szCs w:val="21"/>
              </w:rPr>
              <w:t>A</w:t>
            </w:r>
          </w:p>
        </w:tc>
        <w:tc>
          <w:tcPr>
            <w:tcW w:w="1362" w:type="dxa"/>
            <w:noWrap w:val="0"/>
            <w:vAlign w:val="center"/>
          </w:tcPr>
          <w:p w14:paraId="325D5FF4">
            <w:pPr>
              <w:jc w:val="center"/>
              <w:rPr>
                <w:rFonts w:hint="eastAsia" w:ascii="宋体" w:hAnsi="宋体" w:eastAsia="宋体" w:cs="宋体"/>
                <w:sz w:val="21"/>
                <w:szCs w:val="21"/>
              </w:rPr>
            </w:pPr>
          </w:p>
        </w:tc>
        <w:tc>
          <w:tcPr>
            <w:tcW w:w="906" w:type="dxa"/>
            <w:noWrap w:val="0"/>
            <w:vAlign w:val="center"/>
          </w:tcPr>
          <w:p w14:paraId="1D2AC7B0">
            <w:pPr>
              <w:jc w:val="center"/>
              <w:rPr>
                <w:rFonts w:hint="eastAsia" w:ascii="宋体" w:hAnsi="宋体" w:eastAsia="宋体" w:cs="宋体"/>
                <w:sz w:val="21"/>
                <w:szCs w:val="21"/>
              </w:rPr>
            </w:pPr>
          </w:p>
        </w:tc>
        <w:tc>
          <w:tcPr>
            <w:tcW w:w="1311" w:type="dxa"/>
            <w:noWrap w:val="0"/>
            <w:vAlign w:val="center"/>
          </w:tcPr>
          <w:p w14:paraId="7363FFD7">
            <w:pPr>
              <w:jc w:val="center"/>
              <w:rPr>
                <w:rFonts w:hint="eastAsia" w:ascii="宋体" w:hAnsi="宋体" w:eastAsia="宋体" w:cs="宋体"/>
                <w:bCs/>
                <w:sz w:val="21"/>
                <w:szCs w:val="21"/>
              </w:rPr>
            </w:pPr>
          </w:p>
        </w:tc>
        <w:tc>
          <w:tcPr>
            <w:tcW w:w="717" w:type="dxa"/>
            <w:noWrap w:val="0"/>
            <w:vAlign w:val="center"/>
          </w:tcPr>
          <w:p w14:paraId="3058AB10">
            <w:pPr>
              <w:jc w:val="center"/>
              <w:rPr>
                <w:rFonts w:hint="eastAsia" w:ascii="宋体" w:hAnsi="宋体" w:eastAsia="宋体" w:cs="宋体"/>
                <w:sz w:val="21"/>
                <w:szCs w:val="21"/>
              </w:rPr>
            </w:pPr>
          </w:p>
        </w:tc>
        <w:tc>
          <w:tcPr>
            <w:tcW w:w="1325" w:type="dxa"/>
            <w:noWrap w:val="0"/>
            <w:vAlign w:val="center"/>
          </w:tcPr>
          <w:p w14:paraId="6C807D1C">
            <w:pPr>
              <w:jc w:val="center"/>
              <w:rPr>
                <w:rFonts w:hint="eastAsia" w:ascii="宋体" w:hAnsi="宋体" w:eastAsia="宋体" w:cs="宋体"/>
                <w:sz w:val="21"/>
                <w:szCs w:val="21"/>
              </w:rPr>
            </w:pPr>
          </w:p>
        </w:tc>
        <w:tc>
          <w:tcPr>
            <w:tcW w:w="1465" w:type="dxa"/>
            <w:noWrap w:val="0"/>
            <w:vAlign w:val="center"/>
          </w:tcPr>
          <w:p w14:paraId="3F080D16">
            <w:pPr>
              <w:jc w:val="center"/>
              <w:rPr>
                <w:rFonts w:hint="eastAsia" w:ascii="宋体" w:hAnsi="宋体" w:eastAsia="宋体" w:cs="宋体"/>
                <w:sz w:val="21"/>
                <w:szCs w:val="21"/>
              </w:rPr>
            </w:pPr>
          </w:p>
        </w:tc>
      </w:tr>
      <w:tr w14:paraId="536D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606" w:type="dxa"/>
            <w:noWrap w:val="0"/>
            <w:vAlign w:val="center"/>
          </w:tcPr>
          <w:p w14:paraId="769D7B18">
            <w:pPr>
              <w:tabs>
                <w:tab w:val="left" w:pos="1418"/>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B</w:t>
            </w:r>
          </w:p>
        </w:tc>
        <w:tc>
          <w:tcPr>
            <w:tcW w:w="1362" w:type="dxa"/>
            <w:noWrap w:val="0"/>
            <w:vAlign w:val="center"/>
          </w:tcPr>
          <w:p w14:paraId="5F820EF4">
            <w:pPr>
              <w:jc w:val="center"/>
              <w:rPr>
                <w:rFonts w:hint="eastAsia" w:ascii="宋体" w:hAnsi="宋体" w:eastAsia="宋体" w:cs="宋体"/>
                <w:sz w:val="21"/>
                <w:szCs w:val="21"/>
              </w:rPr>
            </w:pPr>
          </w:p>
        </w:tc>
        <w:tc>
          <w:tcPr>
            <w:tcW w:w="906" w:type="dxa"/>
            <w:noWrap w:val="0"/>
            <w:vAlign w:val="center"/>
          </w:tcPr>
          <w:p w14:paraId="79B3F98A">
            <w:pPr>
              <w:jc w:val="center"/>
              <w:rPr>
                <w:rFonts w:hint="eastAsia" w:ascii="宋体" w:hAnsi="宋体" w:eastAsia="宋体" w:cs="宋体"/>
                <w:sz w:val="21"/>
                <w:szCs w:val="21"/>
              </w:rPr>
            </w:pPr>
          </w:p>
        </w:tc>
        <w:tc>
          <w:tcPr>
            <w:tcW w:w="1311" w:type="dxa"/>
            <w:noWrap w:val="0"/>
            <w:vAlign w:val="center"/>
          </w:tcPr>
          <w:p w14:paraId="2BD15DDD">
            <w:pPr>
              <w:jc w:val="center"/>
              <w:rPr>
                <w:rFonts w:hint="eastAsia" w:ascii="宋体" w:hAnsi="宋体" w:eastAsia="宋体" w:cs="宋体"/>
                <w:bCs/>
                <w:sz w:val="21"/>
                <w:szCs w:val="21"/>
              </w:rPr>
            </w:pPr>
          </w:p>
        </w:tc>
        <w:tc>
          <w:tcPr>
            <w:tcW w:w="717" w:type="dxa"/>
            <w:noWrap w:val="0"/>
            <w:vAlign w:val="center"/>
          </w:tcPr>
          <w:p w14:paraId="391936CD">
            <w:pPr>
              <w:jc w:val="center"/>
              <w:rPr>
                <w:rFonts w:hint="eastAsia" w:ascii="宋体" w:hAnsi="宋体" w:eastAsia="宋体" w:cs="宋体"/>
                <w:sz w:val="21"/>
                <w:szCs w:val="21"/>
              </w:rPr>
            </w:pPr>
          </w:p>
        </w:tc>
        <w:tc>
          <w:tcPr>
            <w:tcW w:w="1325" w:type="dxa"/>
            <w:noWrap w:val="0"/>
            <w:vAlign w:val="center"/>
          </w:tcPr>
          <w:p w14:paraId="36162659">
            <w:pPr>
              <w:jc w:val="center"/>
              <w:rPr>
                <w:rFonts w:hint="eastAsia" w:ascii="宋体" w:hAnsi="宋体" w:eastAsia="宋体" w:cs="宋体"/>
                <w:sz w:val="21"/>
                <w:szCs w:val="21"/>
              </w:rPr>
            </w:pPr>
          </w:p>
        </w:tc>
        <w:tc>
          <w:tcPr>
            <w:tcW w:w="1465" w:type="dxa"/>
            <w:noWrap w:val="0"/>
            <w:vAlign w:val="center"/>
          </w:tcPr>
          <w:p w14:paraId="5CE1D042">
            <w:pPr>
              <w:jc w:val="center"/>
              <w:rPr>
                <w:rFonts w:hint="eastAsia" w:ascii="宋体" w:hAnsi="宋体" w:eastAsia="宋体" w:cs="宋体"/>
                <w:sz w:val="21"/>
                <w:szCs w:val="21"/>
              </w:rPr>
            </w:pPr>
          </w:p>
        </w:tc>
      </w:tr>
      <w:tr w14:paraId="7373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606" w:type="dxa"/>
            <w:noWrap w:val="0"/>
            <w:vAlign w:val="center"/>
          </w:tcPr>
          <w:p w14:paraId="577A6A94">
            <w:pPr>
              <w:tabs>
                <w:tab w:val="left" w:pos="1418"/>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p>
        </w:tc>
        <w:tc>
          <w:tcPr>
            <w:tcW w:w="1362" w:type="dxa"/>
            <w:noWrap w:val="0"/>
            <w:vAlign w:val="center"/>
          </w:tcPr>
          <w:p w14:paraId="0FCD813F">
            <w:pPr>
              <w:jc w:val="center"/>
              <w:rPr>
                <w:rFonts w:hint="eastAsia" w:ascii="宋体" w:hAnsi="宋体" w:eastAsia="宋体" w:cs="宋体"/>
                <w:sz w:val="21"/>
                <w:szCs w:val="21"/>
              </w:rPr>
            </w:pPr>
          </w:p>
        </w:tc>
        <w:tc>
          <w:tcPr>
            <w:tcW w:w="906" w:type="dxa"/>
            <w:noWrap w:val="0"/>
            <w:vAlign w:val="center"/>
          </w:tcPr>
          <w:p w14:paraId="283623FE">
            <w:pPr>
              <w:jc w:val="center"/>
              <w:rPr>
                <w:rFonts w:hint="eastAsia" w:ascii="宋体" w:hAnsi="宋体" w:eastAsia="宋体" w:cs="宋体"/>
                <w:sz w:val="21"/>
                <w:szCs w:val="21"/>
              </w:rPr>
            </w:pPr>
          </w:p>
        </w:tc>
        <w:tc>
          <w:tcPr>
            <w:tcW w:w="1311" w:type="dxa"/>
            <w:noWrap w:val="0"/>
            <w:vAlign w:val="center"/>
          </w:tcPr>
          <w:p w14:paraId="35123ED3">
            <w:pPr>
              <w:jc w:val="center"/>
              <w:rPr>
                <w:rFonts w:hint="eastAsia" w:ascii="宋体" w:hAnsi="宋体" w:eastAsia="宋体" w:cs="宋体"/>
                <w:bCs/>
                <w:sz w:val="21"/>
                <w:szCs w:val="21"/>
              </w:rPr>
            </w:pPr>
          </w:p>
        </w:tc>
        <w:tc>
          <w:tcPr>
            <w:tcW w:w="717" w:type="dxa"/>
            <w:noWrap w:val="0"/>
            <w:vAlign w:val="center"/>
          </w:tcPr>
          <w:p w14:paraId="679DC546">
            <w:pPr>
              <w:jc w:val="center"/>
              <w:rPr>
                <w:rFonts w:hint="eastAsia" w:ascii="宋体" w:hAnsi="宋体" w:eastAsia="宋体" w:cs="宋体"/>
                <w:sz w:val="21"/>
                <w:szCs w:val="21"/>
              </w:rPr>
            </w:pPr>
          </w:p>
        </w:tc>
        <w:tc>
          <w:tcPr>
            <w:tcW w:w="1325" w:type="dxa"/>
            <w:noWrap w:val="0"/>
            <w:vAlign w:val="center"/>
          </w:tcPr>
          <w:p w14:paraId="327FE884">
            <w:pPr>
              <w:jc w:val="center"/>
              <w:rPr>
                <w:rFonts w:hint="eastAsia" w:ascii="宋体" w:hAnsi="宋体" w:eastAsia="宋体" w:cs="宋体"/>
                <w:sz w:val="21"/>
                <w:szCs w:val="21"/>
              </w:rPr>
            </w:pPr>
          </w:p>
        </w:tc>
        <w:tc>
          <w:tcPr>
            <w:tcW w:w="1465" w:type="dxa"/>
            <w:noWrap w:val="0"/>
            <w:vAlign w:val="center"/>
          </w:tcPr>
          <w:p w14:paraId="7BF898CB">
            <w:pPr>
              <w:jc w:val="center"/>
              <w:rPr>
                <w:rFonts w:hint="eastAsia" w:ascii="宋体" w:hAnsi="宋体" w:eastAsia="宋体" w:cs="宋体"/>
                <w:sz w:val="21"/>
                <w:szCs w:val="21"/>
              </w:rPr>
            </w:pPr>
          </w:p>
        </w:tc>
      </w:tr>
      <w:tr w14:paraId="6B16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227" w:type="dxa"/>
            <w:gridSpan w:val="6"/>
            <w:noWrap w:val="0"/>
            <w:vAlign w:val="center"/>
          </w:tcPr>
          <w:p w14:paraId="596C7010">
            <w:pPr>
              <w:rPr>
                <w:rFonts w:hint="eastAsia" w:ascii="宋体" w:hAnsi="宋体" w:eastAsia="宋体" w:cs="宋体"/>
                <w:sz w:val="21"/>
                <w:szCs w:val="21"/>
              </w:rPr>
            </w:pPr>
            <w:r>
              <w:rPr>
                <w:rFonts w:hint="eastAsia" w:ascii="宋体" w:hAnsi="宋体" w:eastAsia="宋体" w:cs="宋体"/>
                <w:sz w:val="21"/>
                <w:szCs w:val="21"/>
              </w:rPr>
              <w:t>合计：</w:t>
            </w:r>
          </w:p>
        </w:tc>
        <w:tc>
          <w:tcPr>
            <w:tcW w:w="1465" w:type="dxa"/>
            <w:noWrap w:val="0"/>
            <w:vAlign w:val="center"/>
          </w:tcPr>
          <w:p w14:paraId="0AA4428D">
            <w:pPr>
              <w:jc w:val="center"/>
              <w:rPr>
                <w:rFonts w:hint="eastAsia" w:ascii="宋体" w:hAnsi="宋体" w:eastAsia="宋体" w:cs="宋体"/>
                <w:sz w:val="21"/>
                <w:szCs w:val="21"/>
              </w:rPr>
            </w:pPr>
          </w:p>
        </w:tc>
      </w:tr>
      <w:tr w14:paraId="0D30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8692" w:type="dxa"/>
            <w:gridSpan w:val="7"/>
            <w:noWrap w:val="0"/>
            <w:vAlign w:val="center"/>
          </w:tcPr>
          <w:p w14:paraId="63D573D0">
            <w:pPr>
              <w:rPr>
                <w:rFonts w:hint="eastAsia" w:ascii="宋体" w:hAnsi="宋体" w:eastAsia="宋体" w:cs="宋体"/>
                <w:sz w:val="21"/>
                <w:szCs w:val="21"/>
              </w:rPr>
            </w:pPr>
            <w:r>
              <w:rPr>
                <w:rFonts w:hint="eastAsia" w:ascii="宋体" w:hAnsi="宋体" w:eastAsia="宋体" w:cs="宋体"/>
                <w:sz w:val="21"/>
                <w:szCs w:val="21"/>
              </w:rPr>
              <w:t>合同总价（人民币大写）：</w:t>
            </w:r>
          </w:p>
        </w:tc>
      </w:tr>
    </w:tbl>
    <w:p w14:paraId="58D07B23">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注：以上合同总价包括完成所有产品供货及履行所有规定服务所产生的全部税、费。配置详见合同附件配置清单，型号规格材质在清单中未标明的，以采购文件、</w:t>
      </w:r>
      <w:r>
        <w:rPr>
          <w:rFonts w:hint="eastAsia" w:ascii="宋体" w:hAnsi="宋体" w:eastAsia="宋体" w:cs="宋体"/>
          <w:sz w:val="21"/>
          <w:szCs w:val="21"/>
          <w:u w:val="single"/>
        </w:rPr>
        <w:t xml:space="preserve">       </w:t>
      </w:r>
      <w:r>
        <w:rPr>
          <w:rFonts w:hint="eastAsia" w:ascii="宋体" w:hAnsi="宋体" w:eastAsia="宋体" w:cs="宋体"/>
          <w:sz w:val="21"/>
          <w:szCs w:val="21"/>
        </w:rPr>
        <w:t>文件标注的为准。</w:t>
      </w:r>
    </w:p>
    <w:p w14:paraId="16F6B625">
      <w:pPr>
        <w:pStyle w:val="25"/>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第二条：质量保证</w:t>
      </w:r>
    </w:p>
    <w:p w14:paraId="4B632C93">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乙方保证所供货物是</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月份后生产的符合本合同约定和国家技术标准的原厂全新合格产品；否则，甲方有权拒收或有权随时退货并要求乙方退还全款和支付合同总价款20%的违约金，由此产生的一切责任和后果由乙方承担。</w:t>
      </w:r>
    </w:p>
    <w:p w14:paraId="6D96DBAA">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乙方应根据运输距离及货物防潮、防锈、防震、防水、防破损等要求对货物实行包装，确保货物安全、完好送达甲方。</w:t>
      </w:r>
    </w:p>
    <w:p w14:paraId="358CD0E9">
      <w:pPr>
        <w:pStyle w:val="25"/>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第三条：交货时间、地点</w:t>
      </w:r>
    </w:p>
    <w:p w14:paraId="718659F1">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乙方应在本合同签订后</w:t>
      </w:r>
      <w:r>
        <w:rPr>
          <w:rFonts w:hint="eastAsia" w:ascii="宋体" w:hAnsi="宋体" w:eastAsia="宋体" w:cs="宋体"/>
          <w:sz w:val="21"/>
          <w:szCs w:val="21"/>
          <w:u w:val="single"/>
        </w:rPr>
        <w:t xml:space="preserve">   </w:t>
      </w:r>
      <w:r>
        <w:rPr>
          <w:rFonts w:hint="eastAsia" w:ascii="宋体" w:hAnsi="宋体" w:eastAsia="宋体" w:cs="宋体"/>
          <w:sz w:val="21"/>
          <w:szCs w:val="21"/>
        </w:rPr>
        <w:t>天内将货物运送至甲方</w:t>
      </w:r>
      <w:r>
        <w:rPr>
          <w:rFonts w:hint="eastAsia" w:ascii="宋体" w:hAnsi="宋体" w:eastAsia="宋体" w:cs="宋体"/>
          <w:sz w:val="21"/>
          <w:szCs w:val="21"/>
          <w:u w:val="single"/>
        </w:rPr>
        <w:t xml:space="preserve">    </w:t>
      </w:r>
      <w:r>
        <w:rPr>
          <w:rFonts w:hint="eastAsia" w:ascii="宋体" w:hAnsi="宋体" w:eastAsia="宋体" w:cs="宋体"/>
          <w:sz w:val="21"/>
          <w:szCs w:val="21"/>
        </w:rPr>
        <w:t>校区所在地，并完成安装调试摆放，经甲方验收合格。同时向甲方提供货物的合格证、质量保证书或保修卡、使用说明等必备资料和必备配附件。</w:t>
      </w:r>
    </w:p>
    <w:p w14:paraId="42F11A62">
      <w:pPr>
        <w:pStyle w:val="25"/>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第四条：售后服务</w:t>
      </w:r>
    </w:p>
    <w:p w14:paraId="0D25C5BC">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1.乙方提供的货物质保期为</w:t>
      </w:r>
      <w:r>
        <w:rPr>
          <w:rFonts w:hint="eastAsia" w:ascii="宋体" w:hAnsi="宋体" w:eastAsia="宋体" w:cs="宋体"/>
          <w:sz w:val="21"/>
          <w:szCs w:val="21"/>
          <w:u w:val="single"/>
        </w:rPr>
        <w:t xml:space="preserve">    </w:t>
      </w:r>
      <w:r>
        <w:rPr>
          <w:rFonts w:hint="eastAsia" w:ascii="宋体" w:hAnsi="宋体" w:eastAsia="宋体" w:cs="宋体"/>
          <w:sz w:val="21"/>
          <w:szCs w:val="21"/>
        </w:rPr>
        <w:t>年，从货物验收合格交付甲方正常使用10天之日起算，除人为原因造成的故障外，保修包换；质保期满后，乙方负责提供配件和维修服务，酌收备件成本费用，易损件长期提供。</w:t>
      </w:r>
    </w:p>
    <w:p w14:paraId="1B3B7316">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2.乙方保证所供货物发生故障时，最迟在</w:t>
      </w:r>
      <w:r>
        <w:rPr>
          <w:rFonts w:hint="eastAsia" w:ascii="宋体" w:hAnsi="宋体" w:eastAsia="宋体" w:cs="宋体"/>
          <w:sz w:val="21"/>
          <w:szCs w:val="21"/>
          <w:u w:val="single"/>
        </w:rPr>
        <w:t xml:space="preserve">    </w:t>
      </w:r>
      <w:r>
        <w:rPr>
          <w:rFonts w:hint="eastAsia" w:ascii="宋体" w:hAnsi="宋体" w:eastAsia="宋体" w:cs="宋体"/>
          <w:sz w:val="21"/>
          <w:szCs w:val="21"/>
        </w:rPr>
        <w:t>小时内修复，并采取提供临时替用品等措施，以保证甲方的正常工作。</w:t>
      </w:r>
    </w:p>
    <w:p w14:paraId="258F86BA">
      <w:pPr>
        <w:pStyle w:val="25"/>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第五条：验收</w:t>
      </w:r>
    </w:p>
    <w:p w14:paraId="139FDBD7">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将所供货物运至甲方并完成安装调试后，由甲方组织验收。货物从验收合格交付甲方使用次日起30天内（不含修理期），出现非甲方人为因素造成的无法排除的故障，或经两次修理后仍不能使用的，乙方除调换或退货外，还应向甲方支付合同总价款20%的违约金。</w:t>
      </w:r>
    </w:p>
    <w:p w14:paraId="320962DB">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第六条：履约保证金</w:t>
      </w:r>
    </w:p>
    <w:p w14:paraId="1CFB231C">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本合同总价款的1%作为履约保证金，本合同签订后七个工作日内由乙方支付给甲方，项目验收合格后，由甲方无息退回乙方（遇寒暑假及国定假日顺延）。</w:t>
      </w:r>
    </w:p>
    <w:p w14:paraId="0EA299D2">
      <w:pPr>
        <w:pStyle w:val="25"/>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第七条：付款方式</w:t>
      </w:r>
    </w:p>
    <w:p w14:paraId="339F9358">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甲方收到乙方支付的履约保证金及开具的正规发票后7个工作日内，向乙方支付40%的货款，即¥</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rPr>
        <w:t>）。货物自乙方送达甲方指定地点，完成安装调试完毕并经甲方验收合格和正常运行（使用）两周后7个工作日内，甲方收到乙方开具的正规发票后向乙方支付剩余60%的货款，即¥</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5A68838">
      <w:pPr>
        <w:pStyle w:val="25"/>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第八条：疫情防控要求</w:t>
      </w:r>
    </w:p>
    <w:p w14:paraId="28DB6B3E">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应严格按照“新冠”疫情防控管理要求，切实做好“人、物、环境”同防系列举措，送货进校前应主动向甲方提供消毒证明和送货工作人员的健康信息；如有涉疫风险物品，则应提供新冠病毒核核酸检测报告等相关物品安全和防疫检测信息。若发现乙方未按规定落实疫情防控措施的，甲方有权拒收货物；由于乙方原因导致甲方工作人员感染及后续问题的，一切责任由乙方承担，并作出相应补偿。</w:t>
      </w:r>
    </w:p>
    <w:p w14:paraId="17CB72F2">
      <w:pPr>
        <w:pStyle w:val="25"/>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第九条：违约责任</w:t>
      </w:r>
    </w:p>
    <w:p w14:paraId="317DED98">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1.乙方具有不按合同约定供货、单方面不履行合同义务等违约行为的，乙方除退还甲方已付全部款项外，还应向甲方支付合同总价款20％的违约赔偿金。</w:t>
      </w:r>
    </w:p>
    <w:p w14:paraId="005EE657">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2.除本合同另有约定外，乙方逾期履行合同义务的，应向甲方偿付合同总价万分之五每日的违约金。逾期超5天以上的，甲方有权解除本合同，并要求乙方退还合同价款和支付本合同价款20%的违约金。</w:t>
      </w:r>
    </w:p>
    <w:p w14:paraId="3C0A793F">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3.甲方逾期支付合同价款的，应向乙方偿付逾期金额万分之五每日的违约金。</w:t>
      </w:r>
    </w:p>
    <w:p w14:paraId="1FCA1C55">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4.本合同货物须由乙方直接供应，不得转让、转包、分包他人供应；否则，甲方有权解除合同、拒付（或要求退还）合同价款、没收履约保证金，并要求乙方支付合同总价款20%的违约金。</w:t>
      </w:r>
    </w:p>
    <w:p w14:paraId="077E7103">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5.乙方所供货物侵犯第三方知识产权的，乙方应承担由此造成的所有损失（包括但不限于侵权赔偿款、诉讼费、律师费、向甲方退还已收全款并按合同总价款的20%支付违约金等）。</w:t>
      </w:r>
    </w:p>
    <w:p w14:paraId="1B734336">
      <w:pPr>
        <w:pStyle w:val="25"/>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第十条：争议的解决</w:t>
      </w:r>
    </w:p>
    <w:p w14:paraId="585C7CCF">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本合同纠纷由双方协商解决，协商不成，由甲方所在地人民法院诉讼解决。</w:t>
      </w:r>
    </w:p>
    <w:p w14:paraId="39B9ABA6">
      <w:pPr>
        <w:pStyle w:val="25"/>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第十一条：合同的生效</w:t>
      </w:r>
    </w:p>
    <w:p w14:paraId="03304619">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1.本合同经甲、乙双方法定代表人或其委托代理人签字并加盖单位印章后生效。</w:t>
      </w:r>
    </w:p>
    <w:p w14:paraId="5DFC4527">
      <w:pPr>
        <w:pStyle w:val="2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2.本合同一式陆份，甲方执肆份，乙方和鉴证方各执壹份，具有同等法律效力。</w:t>
      </w:r>
    </w:p>
    <w:p w14:paraId="4CD93657">
      <w:pPr>
        <w:pStyle w:val="25"/>
        <w:spacing w:line="360" w:lineRule="auto"/>
        <w:ind w:firstLine="420" w:firstLineChars="200"/>
        <w:rPr>
          <w:rFonts w:hint="eastAsia" w:ascii="宋体" w:hAnsi="宋体" w:eastAsia="宋体" w:cs="宋体"/>
          <w:spacing w:val="-6"/>
          <w:sz w:val="21"/>
          <w:szCs w:val="21"/>
        </w:rPr>
      </w:pPr>
      <w:r>
        <w:rPr>
          <w:rFonts w:hint="eastAsia" w:ascii="宋体" w:hAnsi="宋体" w:eastAsia="宋体" w:cs="宋体"/>
          <w:sz w:val="21"/>
          <w:szCs w:val="21"/>
        </w:rPr>
        <w:t>3.本合同附件及</w:t>
      </w:r>
      <w:r>
        <w:rPr>
          <w:rFonts w:hint="eastAsia" w:ascii="宋体" w:hAnsi="宋体" w:eastAsia="宋体" w:cs="宋体"/>
          <w:sz w:val="21"/>
          <w:szCs w:val="21"/>
          <w:u w:val="single"/>
        </w:rPr>
        <w:t xml:space="preserve">    </w:t>
      </w:r>
      <w:r>
        <w:rPr>
          <w:rFonts w:hint="eastAsia" w:ascii="宋体" w:hAnsi="宋体" w:eastAsia="宋体" w:cs="宋体"/>
          <w:sz w:val="21"/>
          <w:szCs w:val="21"/>
        </w:rPr>
        <w:t>采购文件、响应/</w:t>
      </w:r>
      <w:r>
        <w:rPr>
          <w:rFonts w:hint="eastAsia" w:ascii="宋体" w:hAnsi="宋体" w:eastAsia="宋体" w:cs="宋体"/>
          <w:sz w:val="21"/>
          <w:szCs w:val="21"/>
          <w:lang w:eastAsia="zh-CN"/>
        </w:rPr>
        <w:t>响应文件</w:t>
      </w:r>
      <w:r>
        <w:rPr>
          <w:rFonts w:hint="eastAsia" w:ascii="宋体" w:hAnsi="宋体" w:eastAsia="宋体" w:cs="宋体"/>
          <w:sz w:val="21"/>
          <w:szCs w:val="21"/>
        </w:rPr>
        <w:t>、书面澄清（承诺）等与本合同具有同等法律效力。</w:t>
      </w:r>
    </w:p>
    <w:tbl>
      <w:tblPr>
        <w:tblStyle w:val="46"/>
        <w:tblpPr w:leftFromText="180" w:rightFromText="180" w:vertAnchor="text" w:horzAnchor="page" w:tblpX="1492" w:tblpY="36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5103"/>
      </w:tblGrid>
      <w:tr w14:paraId="5D4D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77" w:type="dxa"/>
            <w:noWrap w:val="0"/>
            <w:vAlign w:val="center"/>
          </w:tcPr>
          <w:p w14:paraId="67F331D1">
            <w:pPr>
              <w:spacing w:line="360" w:lineRule="auto"/>
              <w:jc w:val="left"/>
              <w:rPr>
                <w:rFonts w:hint="eastAsia" w:ascii="宋体" w:hAnsi="宋体" w:eastAsia="宋体" w:cs="宋体"/>
                <w:spacing w:val="-6"/>
                <w:sz w:val="21"/>
                <w:szCs w:val="21"/>
              </w:rPr>
            </w:pPr>
            <w:r>
              <w:rPr>
                <w:rFonts w:hint="eastAsia" w:ascii="宋体" w:hAnsi="宋体" w:eastAsia="宋体" w:cs="宋体"/>
                <w:b/>
                <w:bCs/>
                <w:spacing w:val="-6"/>
                <w:sz w:val="21"/>
                <w:szCs w:val="21"/>
              </w:rPr>
              <w:t>甲方（公章）：</w:t>
            </w:r>
            <w:r>
              <w:rPr>
                <w:rFonts w:hint="eastAsia" w:ascii="宋体" w:hAnsi="宋体" w:eastAsia="宋体" w:cs="宋体"/>
                <w:b/>
                <w:bCs/>
                <w:sz w:val="21"/>
                <w:szCs w:val="21"/>
              </w:rPr>
              <w:t>浙江中医药大学</w:t>
            </w:r>
          </w:p>
        </w:tc>
        <w:tc>
          <w:tcPr>
            <w:tcW w:w="5103" w:type="dxa"/>
            <w:noWrap w:val="0"/>
            <w:vAlign w:val="center"/>
          </w:tcPr>
          <w:p w14:paraId="29E7C407">
            <w:pPr>
              <w:spacing w:line="360" w:lineRule="auto"/>
              <w:jc w:val="left"/>
              <w:rPr>
                <w:rFonts w:hint="eastAsia" w:ascii="宋体" w:hAnsi="宋体" w:eastAsia="宋体" w:cs="宋体"/>
                <w:spacing w:val="-6"/>
                <w:sz w:val="21"/>
                <w:szCs w:val="21"/>
              </w:rPr>
            </w:pPr>
            <w:r>
              <w:rPr>
                <w:rFonts w:hint="eastAsia" w:ascii="宋体" w:hAnsi="宋体" w:eastAsia="宋体" w:cs="宋体"/>
                <w:b/>
                <w:spacing w:val="-6"/>
                <w:sz w:val="21"/>
                <w:szCs w:val="21"/>
              </w:rPr>
              <w:t>乙方（盖章）:</w:t>
            </w:r>
          </w:p>
        </w:tc>
      </w:tr>
      <w:tr w14:paraId="65A1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077" w:type="dxa"/>
            <w:noWrap w:val="0"/>
            <w:vAlign w:val="center"/>
          </w:tcPr>
          <w:p w14:paraId="5E06DBF6">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法定代表人或其委托代理人：</w:t>
            </w:r>
          </w:p>
          <w:p w14:paraId="57B71AD2">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（签字）</w:t>
            </w:r>
          </w:p>
        </w:tc>
        <w:tc>
          <w:tcPr>
            <w:tcW w:w="5103" w:type="dxa"/>
            <w:noWrap w:val="0"/>
            <w:vAlign w:val="center"/>
          </w:tcPr>
          <w:p w14:paraId="3444463C">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法定代表人或其委托代理人：</w:t>
            </w:r>
          </w:p>
          <w:p w14:paraId="6A8F2EF9">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（签字）</w:t>
            </w:r>
          </w:p>
        </w:tc>
      </w:tr>
      <w:tr w14:paraId="6CC9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077" w:type="dxa"/>
            <w:noWrap w:val="0"/>
            <w:vAlign w:val="center"/>
          </w:tcPr>
          <w:p w14:paraId="1C400B05">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地址：浙江省杭州市滨江滨文路548号</w:t>
            </w:r>
          </w:p>
        </w:tc>
        <w:tc>
          <w:tcPr>
            <w:tcW w:w="5103" w:type="dxa"/>
            <w:noWrap w:val="0"/>
            <w:vAlign w:val="center"/>
          </w:tcPr>
          <w:p w14:paraId="1C78B810">
            <w:pPr>
              <w:spacing w:line="360" w:lineRule="auto"/>
              <w:jc w:val="left"/>
              <w:rPr>
                <w:rFonts w:hint="eastAsia" w:ascii="宋体" w:hAnsi="宋体" w:eastAsia="宋体" w:cs="宋体"/>
                <w:spacing w:val="-6"/>
                <w:sz w:val="21"/>
                <w:szCs w:val="21"/>
              </w:rPr>
            </w:pPr>
            <w:r>
              <w:rPr>
                <w:rFonts w:hint="eastAsia" w:ascii="宋体" w:hAnsi="宋体" w:eastAsia="宋体" w:cs="宋体"/>
                <w:sz w:val="21"/>
                <w:szCs w:val="21"/>
              </w:rPr>
              <w:t>地址：</w:t>
            </w:r>
          </w:p>
        </w:tc>
      </w:tr>
      <w:tr w14:paraId="1001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077" w:type="dxa"/>
            <w:noWrap w:val="0"/>
            <w:vAlign w:val="center"/>
          </w:tcPr>
          <w:p w14:paraId="1B723FB1">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邮编：310053</w:t>
            </w:r>
          </w:p>
        </w:tc>
        <w:tc>
          <w:tcPr>
            <w:tcW w:w="5103" w:type="dxa"/>
            <w:noWrap w:val="0"/>
            <w:vAlign w:val="center"/>
          </w:tcPr>
          <w:p w14:paraId="69EEF4EE">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邮编：</w:t>
            </w:r>
          </w:p>
        </w:tc>
      </w:tr>
      <w:tr w14:paraId="7C06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077" w:type="dxa"/>
            <w:noWrap w:val="0"/>
            <w:vAlign w:val="center"/>
          </w:tcPr>
          <w:p w14:paraId="7E49A203">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电话：0571--86633302</w:t>
            </w:r>
          </w:p>
        </w:tc>
        <w:tc>
          <w:tcPr>
            <w:tcW w:w="5103" w:type="dxa"/>
            <w:noWrap w:val="0"/>
            <w:vAlign w:val="center"/>
          </w:tcPr>
          <w:p w14:paraId="523E1762">
            <w:pPr>
              <w:spacing w:line="360" w:lineRule="auto"/>
              <w:jc w:val="left"/>
              <w:rPr>
                <w:rFonts w:hint="eastAsia" w:ascii="宋体" w:hAnsi="宋体" w:eastAsia="宋体" w:cs="宋体"/>
                <w:spacing w:val="-6"/>
                <w:sz w:val="21"/>
                <w:szCs w:val="21"/>
              </w:rPr>
            </w:pPr>
            <w:r>
              <w:rPr>
                <w:rFonts w:hint="eastAsia" w:ascii="宋体" w:hAnsi="宋体" w:eastAsia="宋体" w:cs="宋体"/>
                <w:sz w:val="21"/>
                <w:szCs w:val="21"/>
              </w:rPr>
              <w:t>电话：</w:t>
            </w:r>
          </w:p>
        </w:tc>
      </w:tr>
      <w:tr w14:paraId="3FD4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077" w:type="dxa"/>
            <w:noWrap w:val="0"/>
            <w:vAlign w:val="center"/>
          </w:tcPr>
          <w:p w14:paraId="51DCEA88">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传真：0571--86633302</w:t>
            </w:r>
          </w:p>
        </w:tc>
        <w:tc>
          <w:tcPr>
            <w:tcW w:w="5103" w:type="dxa"/>
            <w:noWrap w:val="0"/>
            <w:vAlign w:val="center"/>
          </w:tcPr>
          <w:p w14:paraId="5000CFE3">
            <w:pPr>
              <w:spacing w:line="360" w:lineRule="auto"/>
              <w:jc w:val="left"/>
              <w:rPr>
                <w:rFonts w:hint="eastAsia" w:ascii="宋体" w:hAnsi="宋体" w:eastAsia="宋体" w:cs="宋体"/>
                <w:spacing w:val="-6"/>
                <w:sz w:val="21"/>
                <w:szCs w:val="21"/>
              </w:rPr>
            </w:pPr>
            <w:r>
              <w:rPr>
                <w:rFonts w:hint="eastAsia" w:ascii="宋体" w:hAnsi="宋体" w:eastAsia="宋体" w:cs="宋体"/>
                <w:sz w:val="21"/>
                <w:szCs w:val="21"/>
              </w:rPr>
              <w:t>传真：</w:t>
            </w:r>
          </w:p>
        </w:tc>
      </w:tr>
      <w:tr w14:paraId="5067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077" w:type="dxa"/>
            <w:noWrap w:val="0"/>
            <w:vAlign w:val="center"/>
          </w:tcPr>
          <w:p w14:paraId="509FA5C0">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电子邮箱：</w:t>
            </w:r>
          </w:p>
        </w:tc>
        <w:tc>
          <w:tcPr>
            <w:tcW w:w="5103" w:type="dxa"/>
            <w:noWrap w:val="0"/>
            <w:vAlign w:val="center"/>
          </w:tcPr>
          <w:p w14:paraId="0B007FFA">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电子邮箱：</w:t>
            </w:r>
          </w:p>
        </w:tc>
      </w:tr>
      <w:tr w14:paraId="3674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077" w:type="dxa"/>
            <w:noWrap w:val="0"/>
            <w:vAlign w:val="center"/>
          </w:tcPr>
          <w:p w14:paraId="0042C2F1">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开户银行：工商银行景江苑支行</w:t>
            </w:r>
          </w:p>
        </w:tc>
        <w:tc>
          <w:tcPr>
            <w:tcW w:w="5103" w:type="dxa"/>
            <w:noWrap w:val="0"/>
            <w:vAlign w:val="center"/>
          </w:tcPr>
          <w:p w14:paraId="36446F5B">
            <w:pPr>
              <w:spacing w:line="360" w:lineRule="auto"/>
              <w:jc w:val="left"/>
              <w:rPr>
                <w:rFonts w:hint="eastAsia" w:ascii="宋体" w:hAnsi="宋体" w:eastAsia="宋体" w:cs="宋体"/>
                <w:spacing w:val="-6"/>
                <w:sz w:val="21"/>
                <w:szCs w:val="21"/>
              </w:rPr>
            </w:pPr>
            <w:r>
              <w:rPr>
                <w:rFonts w:hint="eastAsia" w:ascii="宋体" w:hAnsi="宋体" w:eastAsia="宋体" w:cs="宋体"/>
                <w:sz w:val="21"/>
                <w:szCs w:val="21"/>
              </w:rPr>
              <w:t>开户银行：</w:t>
            </w:r>
          </w:p>
        </w:tc>
      </w:tr>
      <w:tr w14:paraId="3DDA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077" w:type="dxa"/>
            <w:noWrap w:val="0"/>
            <w:vAlign w:val="center"/>
          </w:tcPr>
          <w:p w14:paraId="59C6297A">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帐号：1202023419100001174</w:t>
            </w:r>
          </w:p>
        </w:tc>
        <w:tc>
          <w:tcPr>
            <w:tcW w:w="5103" w:type="dxa"/>
            <w:noWrap w:val="0"/>
            <w:vAlign w:val="center"/>
          </w:tcPr>
          <w:p w14:paraId="3A640258">
            <w:pPr>
              <w:spacing w:line="360" w:lineRule="auto"/>
              <w:jc w:val="left"/>
              <w:rPr>
                <w:rFonts w:hint="eastAsia" w:ascii="宋体" w:hAnsi="宋体" w:eastAsia="宋体" w:cs="宋体"/>
                <w:spacing w:val="-6"/>
                <w:sz w:val="21"/>
                <w:szCs w:val="21"/>
              </w:rPr>
            </w:pPr>
            <w:r>
              <w:rPr>
                <w:rFonts w:hint="eastAsia" w:ascii="宋体" w:hAnsi="宋体" w:eastAsia="宋体" w:cs="宋体"/>
                <w:sz w:val="21"/>
                <w:szCs w:val="21"/>
              </w:rPr>
              <w:t>帐号：</w:t>
            </w:r>
          </w:p>
        </w:tc>
      </w:tr>
      <w:tr w14:paraId="4953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80" w:type="dxa"/>
            <w:gridSpan w:val="2"/>
            <w:noWrap w:val="0"/>
            <w:vAlign w:val="center"/>
          </w:tcPr>
          <w:p w14:paraId="1C0702E3">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合同签订地点：浙江省杭州市滨江滨文路548号       签订时间：</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 xml:space="preserve">年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月</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日</w:t>
            </w:r>
          </w:p>
        </w:tc>
      </w:tr>
      <w:tr w14:paraId="21F8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80" w:type="dxa"/>
            <w:gridSpan w:val="2"/>
            <w:noWrap w:val="0"/>
            <w:vAlign w:val="center"/>
          </w:tcPr>
          <w:p w14:paraId="60BD6E24">
            <w:pPr>
              <w:spacing w:line="360" w:lineRule="auto"/>
              <w:jc w:val="left"/>
              <w:rPr>
                <w:rFonts w:hint="eastAsia" w:ascii="宋体" w:hAnsi="宋体" w:eastAsia="宋体" w:cs="宋体"/>
                <w:spacing w:val="-6"/>
                <w:sz w:val="21"/>
                <w:szCs w:val="21"/>
              </w:rPr>
            </w:pPr>
            <w:r>
              <w:rPr>
                <w:rFonts w:hint="eastAsia" w:ascii="宋体" w:hAnsi="宋体" w:eastAsia="宋体" w:cs="宋体"/>
                <w:b/>
                <w:bCs/>
                <w:spacing w:val="-6"/>
                <w:sz w:val="21"/>
                <w:szCs w:val="21"/>
              </w:rPr>
              <w:t>合同鉴证方（公章）：浙江豪圣建设项目管理有限公司</w:t>
            </w:r>
            <w:r>
              <w:rPr>
                <w:rFonts w:hint="eastAsia" w:ascii="宋体" w:hAnsi="宋体" w:eastAsia="宋体" w:cs="宋体"/>
                <w:b/>
                <w:bCs/>
                <w:sz w:val="21"/>
                <w:szCs w:val="21"/>
              </w:rPr>
              <w:t xml:space="preserve"> </w:t>
            </w:r>
          </w:p>
        </w:tc>
      </w:tr>
      <w:tr w14:paraId="5FAE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80" w:type="dxa"/>
            <w:gridSpan w:val="2"/>
            <w:noWrap w:val="0"/>
            <w:vAlign w:val="center"/>
          </w:tcPr>
          <w:p w14:paraId="45DD7DEB">
            <w:pPr>
              <w:spacing w:line="360" w:lineRule="auto"/>
              <w:rPr>
                <w:rFonts w:hint="eastAsia" w:ascii="宋体" w:hAnsi="宋体" w:eastAsia="宋体" w:cs="宋体"/>
                <w:spacing w:val="-6"/>
                <w:sz w:val="21"/>
                <w:szCs w:val="21"/>
              </w:rPr>
            </w:pPr>
            <w:r>
              <w:rPr>
                <w:rFonts w:hint="eastAsia" w:ascii="宋体" w:hAnsi="宋体" w:eastAsia="宋体" w:cs="宋体"/>
                <w:spacing w:val="-6"/>
                <w:sz w:val="21"/>
                <w:szCs w:val="21"/>
              </w:rPr>
              <w:t>地址：</w:t>
            </w:r>
          </w:p>
        </w:tc>
      </w:tr>
      <w:tr w14:paraId="3B13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180" w:type="dxa"/>
            <w:gridSpan w:val="2"/>
            <w:noWrap w:val="0"/>
            <w:vAlign w:val="center"/>
          </w:tcPr>
          <w:p w14:paraId="4276A65E">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代表人：</w:t>
            </w:r>
          </w:p>
          <w:p w14:paraId="12B0F7B1">
            <w:pPr>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(签字）</w:t>
            </w:r>
          </w:p>
        </w:tc>
      </w:tr>
      <w:tr w14:paraId="020F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80" w:type="dxa"/>
            <w:gridSpan w:val="2"/>
            <w:noWrap w:val="0"/>
            <w:vAlign w:val="center"/>
          </w:tcPr>
          <w:p w14:paraId="057E48C1">
            <w:pPr>
              <w:spacing w:line="360" w:lineRule="auto"/>
              <w:rPr>
                <w:rFonts w:hint="eastAsia" w:ascii="宋体" w:hAnsi="宋体" w:eastAsia="宋体" w:cs="宋体"/>
                <w:spacing w:val="-6"/>
                <w:sz w:val="21"/>
                <w:szCs w:val="21"/>
              </w:rPr>
            </w:pPr>
            <w:r>
              <w:rPr>
                <w:rFonts w:hint="eastAsia" w:ascii="宋体" w:hAnsi="宋体" w:eastAsia="宋体" w:cs="宋体"/>
                <w:spacing w:val="-6"/>
                <w:sz w:val="21"/>
                <w:szCs w:val="21"/>
              </w:rPr>
              <w:t xml:space="preserve">电话：                                           鉴证时间：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 xml:space="preserve">年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月</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日</w:t>
            </w:r>
          </w:p>
        </w:tc>
      </w:tr>
    </w:tbl>
    <w:p w14:paraId="403EFE23">
      <w:pPr>
        <w:jc w:val="left"/>
        <w:rPr>
          <w:rFonts w:hint="eastAsia" w:ascii="宋体" w:hAnsi="宋体" w:eastAsia="宋体" w:cs="宋体"/>
          <w:szCs w:val="21"/>
        </w:rPr>
      </w:pPr>
      <w:r>
        <w:rPr>
          <w:rFonts w:hint="eastAsia" w:ascii="宋体" w:hAnsi="宋体" w:eastAsia="宋体" w:cs="宋体"/>
          <w:szCs w:val="21"/>
        </w:rPr>
        <w:br w:type="page"/>
      </w:r>
    </w:p>
    <w:p w14:paraId="14BE9CB5">
      <w:pPr>
        <w:jc w:val="left"/>
        <w:rPr>
          <w:rFonts w:hint="eastAsia" w:ascii="宋体" w:hAnsi="宋体" w:eastAsia="宋体" w:cs="宋体"/>
          <w:sz w:val="21"/>
          <w:szCs w:val="21"/>
        </w:rPr>
      </w:pPr>
      <w:r>
        <w:rPr>
          <w:rFonts w:hint="eastAsia" w:ascii="宋体" w:hAnsi="宋体" w:eastAsia="宋体" w:cs="宋体"/>
          <w:sz w:val="21"/>
          <w:szCs w:val="21"/>
        </w:rPr>
        <w:t>附件：</w:t>
      </w:r>
    </w:p>
    <w:p w14:paraId="43079732">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一、配置清单（单台/套）</w:t>
      </w:r>
    </w:p>
    <w:p w14:paraId="6D05636B">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（一）产品名称：A</w:t>
      </w:r>
    </w:p>
    <w:p w14:paraId="1DAD5077">
      <w:pPr>
        <w:pStyle w:val="61"/>
        <w:autoSpaceDE/>
        <w:autoSpaceDN/>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1.配置</w:t>
      </w:r>
    </w:p>
    <w:p w14:paraId="37E7841F">
      <w:pPr>
        <w:pStyle w:val="62"/>
        <w:spacing w:line="360" w:lineRule="auto"/>
        <w:ind w:left="0" w:firstLine="420" w:firstLineChars="200"/>
        <w:rPr>
          <w:rFonts w:hint="eastAsia" w:ascii="宋体" w:hAnsi="宋体" w:eastAsia="宋体" w:cs="宋体"/>
          <w:bCs/>
          <w:sz w:val="21"/>
          <w:szCs w:val="21"/>
        </w:rPr>
      </w:pPr>
      <w:r>
        <w:rPr>
          <w:rFonts w:hint="eastAsia" w:ascii="宋体" w:hAnsi="宋体" w:eastAsia="宋体" w:cs="宋体"/>
          <w:bCs/>
          <w:sz w:val="21"/>
          <w:szCs w:val="21"/>
        </w:rPr>
        <w:t>（1）</w:t>
      </w:r>
    </w:p>
    <w:p w14:paraId="33C95312">
      <w:pPr>
        <w:pStyle w:val="62"/>
        <w:spacing w:line="360" w:lineRule="auto"/>
        <w:ind w:left="0" w:firstLine="420" w:firstLineChars="200"/>
        <w:rPr>
          <w:rFonts w:hint="eastAsia" w:ascii="宋体" w:hAnsi="宋体" w:eastAsia="宋体" w:cs="宋体"/>
          <w:bCs/>
          <w:sz w:val="21"/>
          <w:szCs w:val="21"/>
        </w:rPr>
      </w:pPr>
      <w:r>
        <w:rPr>
          <w:rFonts w:hint="eastAsia" w:ascii="宋体" w:hAnsi="宋体" w:eastAsia="宋体" w:cs="宋体"/>
          <w:bCs/>
          <w:sz w:val="21"/>
          <w:szCs w:val="21"/>
        </w:rPr>
        <w:t>（2）</w:t>
      </w:r>
    </w:p>
    <w:p w14:paraId="07AFF3B6">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w:t>
      </w:r>
    </w:p>
    <w:p w14:paraId="5E0B9D32">
      <w:pPr>
        <w:numPr>
          <w:ilvl w:val="0"/>
          <w:numId w:val="7"/>
        </w:numPr>
        <w:spacing w:line="360" w:lineRule="auto"/>
        <w:rPr>
          <w:rFonts w:hint="eastAsia" w:ascii="宋体" w:hAnsi="宋体" w:eastAsia="宋体" w:cs="宋体"/>
          <w:bCs/>
          <w:sz w:val="21"/>
          <w:szCs w:val="21"/>
        </w:rPr>
      </w:pPr>
      <w:r>
        <w:rPr>
          <w:rFonts w:hint="eastAsia" w:ascii="宋体" w:hAnsi="宋体" w:eastAsia="宋体" w:cs="宋体"/>
          <w:bCs/>
          <w:sz w:val="21"/>
          <w:szCs w:val="21"/>
        </w:rPr>
        <w:t>技术参数</w:t>
      </w:r>
    </w:p>
    <w:p w14:paraId="2125554C">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（1）</w:t>
      </w:r>
    </w:p>
    <w:p w14:paraId="44BD32EC">
      <w:pPr>
        <w:pStyle w:val="62"/>
        <w:spacing w:line="360" w:lineRule="auto"/>
        <w:ind w:left="0" w:firstLine="420" w:firstLineChars="200"/>
        <w:rPr>
          <w:rFonts w:hint="eastAsia" w:ascii="宋体" w:hAnsi="宋体" w:eastAsia="宋体" w:cs="宋体"/>
          <w:bCs/>
          <w:sz w:val="21"/>
          <w:szCs w:val="21"/>
        </w:rPr>
      </w:pPr>
      <w:r>
        <w:rPr>
          <w:rFonts w:hint="eastAsia" w:ascii="宋体" w:hAnsi="宋体" w:eastAsia="宋体" w:cs="宋体"/>
          <w:bCs/>
          <w:sz w:val="21"/>
          <w:szCs w:val="21"/>
        </w:rPr>
        <w:t>（2）</w:t>
      </w:r>
    </w:p>
    <w:p w14:paraId="3523E2D0">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w:t>
      </w:r>
    </w:p>
    <w:p w14:paraId="2B6395E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（二）产品名称：B</w:t>
      </w:r>
    </w:p>
    <w:p w14:paraId="1DAA9662">
      <w:pPr>
        <w:pStyle w:val="61"/>
        <w:autoSpaceDE/>
        <w:autoSpaceDN/>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1.配置</w:t>
      </w:r>
    </w:p>
    <w:p w14:paraId="313E6FB8">
      <w:pPr>
        <w:pStyle w:val="62"/>
        <w:spacing w:line="360" w:lineRule="auto"/>
        <w:ind w:left="0" w:firstLine="420" w:firstLineChars="200"/>
        <w:rPr>
          <w:rFonts w:hint="eastAsia" w:ascii="宋体" w:hAnsi="宋体" w:eastAsia="宋体" w:cs="宋体"/>
          <w:bCs/>
          <w:sz w:val="21"/>
          <w:szCs w:val="21"/>
        </w:rPr>
      </w:pPr>
      <w:r>
        <w:rPr>
          <w:rFonts w:hint="eastAsia" w:ascii="宋体" w:hAnsi="宋体" w:eastAsia="宋体" w:cs="宋体"/>
          <w:bCs/>
          <w:sz w:val="21"/>
          <w:szCs w:val="21"/>
        </w:rPr>
        <w:t>（1）</w:t>
      </w:r>
    </w:p>
    <w:p w14:paraId="535E4D05">
      <w:pPr>
        <w:pStyle w:val="62"/>
        <w:spacing w:line="360" w:lineRule="auto"/>
        <w:ind w:left="0" w:firstLine="420" w:firstLineChars="200"/>
        <w:rPr>
          <w:rFonts w:hint="eastAsia" w:ascii="宋体" w:hAnsi="宋体" w:eastAsia="宋体" w:cs="宋体"/>
          <w:bCs/>
          <w:sz w:val="21"/>
          <w:szCs w:val="21"/>
        </w:rPr>
      </w:pPr>
      <w:r>
        <w:rPr>
          <w:rFonts w:hint="eastAsia" w:ascii="宋体" w:hAnsi="宋体" w:eastAsia="宋体" w:cs="宋体"/>
          <w:bCs/>
          <w:sz w:val="21"/>
          <w:szCs w:val="21"/>
        </w:rPr>
        <w:t>（2）</w:t>
      </w:r>
    </w:p>
    <w:p w14:paraId="1604D6A8">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w:t>
      </w:r>
    </w:p>
    <w:p w14:paraId="5DD7A2B7">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2.技术参数</w:t>
      </w:r>
    </w:p>
    <w:p w14:paraId="5D2CF1DD">
      <w:pPr>
        <w:pStyle w:val="62"/>
        <w:spacing w:line="360" w:lineRule="auto"/>
        <w:ind w:left="0" w:firstLine="420" w:firstLineChars="200"/>
        <w:rPr>
          <w:rFonts w:hint="eastAsia" w:ascii="宋体" w:hAnsi="宋体" w:eastAsia="宋体" w:cs="宋体"/>
          <w:bCs/>
          <w:sz w:val="21"/>
          <w:szCs w:val="21"/>
        </w:rPr>
      </w:pPr>
      <w:r>
        <w:rPr>
          <w:rFonts w:hint="eastAsia" w:ascii="宋体" w:hAnsi="宋体" w:eastAsia="宋体" w:cs="宋体"/>
          <w:bCs/>
          <w:sz w:val="21"/>
          <w:szCs w:val="21"/>
        </w:rPr>
        <w:t>（1）</w:t>
      </w:r>
    </w:p>
    <w:p w14:paraId="5908B562">
      <w:pPr>
        <w:pStyle w:val="62"/>
        <w:spacing w:line="360" w:lineRule="auto"/>
        <w:ind w:left="0" w:firstLine="420" w:firstLineChars="200"/>
        <w:rPr>
          <w:rFonts w:hint="eastAsia" w:ascii="宋体" w:hAnsi="宋体" w:eastAsia="宋体" w:cs="宋体"/>
          <w:bCs/>
          <w:sz w:val="21"/>
          <w:szCs w:val="21"/>
        </w:rPr>
      </w:pPr>
      <w:r>
        <w:rPr>
          <w:rFonts w:hint="eastAsia" w:ascii="宋体" w:hAnsi="宋体" w:eastAsia="宋体" w:cs="宋体"/>
          <w:bCs/>
          <w:sz w:val="21"/>
          <w:szCs w:val="21"/>
        </w:rPr>
        <w:t>（2）</w:t>
      </w:r>
    </w:p>
    <w:p w14:paraId="5A7CF477">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w:t>
      </w:r>
    </w:p>
    <w:p w14:paraId="2DE5467E">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二、服务承诺</w:t>
      </w:r>
    </w:p>
    <w:p w14:paraId="56CCC1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1）质保期：</w:t>
      </w:r>
      <w:r>
        <w:rPr>
          <w:rFonts w:hint="eastAsia" w:ascii="宋体" w:hAnsi="宋体" w:eastAsia="宋体" w:cs="宋体"/>
          <w:sz w:val="21"/>
          <w:szCs w:val="21"/>
          <w:u w:val="single"/>
        </w:rPr>
        <w:t xml:space="preserve">  </w:t>
      </w:r>
      <w:r>
        <w:rPr>
          <w:rFonts w:hint="eastAsia" w:ascii="宋体" w:hAnsi="宋体" w:eastAsia="宋体" w:cs="宋体"/>
          <w:sz w:val="21"/>
          <w:szCs w:val="21"/>
        </w:rPr>
        <w:t>年，软件终身免费升级，保修期自货物验收合格交付甲方正常使用10天之日起算。乙方定期</w:t>
      </w:r>
      <w:r>
        <w:rPr>
          <w:rFonts w:hint="eastAsia" w:ascii="宋体" w:hAnsi="宋体" w:eastAsia="宋体" w:cs="宋体"/>
          <w:sz w:val="21"/>
          <w:szCs w:val="21"/>
          <w:u w:val="single"/>
        </w:rPr>
        <w:t xml:space="preserve">  </w:t>
      </w:r>
      <w:r>
        <w:rPr>
          <w:rFonts w:hint="eastAsia" w:ascii="宋体" w:hAnsi="宋体" w:eastAsia="宋体" w:cs="宋体"/>
          <w:sz w:val="21"/>
          <w:szCs w:val="21"/>
        </w:rPr>
        <w:t>个月对货物进行回访和维护保养，做好维护保养登记。</w:t>
      </w:r>
    </w:p>
    <w:p w14:paraId="500C758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2）凡发生故障及质量问题，保质期内，乙方接到甲方设备故障报修后立即响应，</w:t>
      </w:r>
      <w:r>
        <w:rPr>
          <w:rFonts w:hint="eastAsia" w:ascii="宋体" w:hAnsi="宋体" w:eastAsia="宋体" w:cs="宋体"/>
          <w:sz w:val="21"/>
          <w:szCs w:val="21"/>
          <w:u w:val="single"/>
        </w:rPr>
        <w:t xml:space="preserve">  </w:t>
      </w:r>
      <w:r>
        <w:rPr>
          <w:rFonts w:hint="eastAsia" w:ascii="宋体" w:hAnsi="宋体" w:eastAsia="宋体" w:cs="宋体"/>
          <w:sz w:val="21"/>
          <w:szCs w:val="21"/>
        </w:rPr>
        <w:t>小时内派维修工程师进行现场维修，</w:t>
      </w:r>
      <w:r>
        <w:rPr>
          <w:rFonts w:hint="eastAsia" w:ascii="宋体" w:hAnsi="宋体" w:eastAsia="宋体" w:cs="宋体"/>
          <w:sz w:val="21"/>
          <w:szCs w:val="21"/>
          <w:u w:val="single"/>
        </w:rPr>
        <w:t xml:space="preserve">    </w:t>
      </w:r>
      <w:r>
        <w:rPr>
          <w:rFonts w:hint="eastAsia" w:ascii="宋体" w:hAnsi="宋体" w:eastAsia="宋体" w:cs="宋体"/>
          <w:sz w:val="21"/>
          <w:szCs w:val="21"/>
        </w:rPr>
        <w:t>个小时内排出故障。如未能在规定时间排除故障,乙方向甲方免费提供备品（机）备件。</w:t>
      </w:r>
    </w:p>
    <w:p w14:paraId="73AD2C6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质保期内因不能排除的故障而影响工作的情况每发生一次，其质保期相应延长60天，质保期内因货物本身缺陷造成各种故障乙方免费予以更换，否则将没收质量保证金。质保期满后的维修，由乙方按前述约定完成,乙方仅收取零配件成本费用，免人工费、差旅费，所涉及软件终身免费升级。</w:t>
      </w:r>
    </w:p>
    <w:p w14:paraId="42A42DF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4）货物安装调试完成后，乙方负责给甲方提供免费培训，包括基本原理、操作使用、常见故障排除等内容。</w:t>
      </w:r>
    </w:p>
    <w:p w14:paraId="7DFBE63C">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3.中标单位营业执照</w:t>
      </w:r>
    </w:p>
    <w:p w14:paraId="2ED44C50">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4.提供主要中标产品代理商（经销商或分销商）厂家授权以及厂家营业执照</w:t>
      </w:r>
    </w:p>
    <w:p w14:paraId="265B08ED">
      <w:pPr>
        <w:spacing w:line="360" w:lineRule="auto"/>
        <w:ind w:firstLine="422" w:firstLineChars="200"/>
        <w:rPr>
          <w:rFonts w:hint="eastAsia" w:ascii="宋体" w:hAnsi="宋体" w:eastAsia="宋体" w:cs="宋体"/>
          <w:b/>
          <w:sz w:val="24"/>
          <w:szCs w:val="24"/>
        </w:rPr>
      </w:pPr>
      <w:r>
        <w:rPr>
          <w:rFonts w:hint="eastAsia" w:ascii="宋体" w:hAnsi="宋体" w:eastAsia="宋体" w:cs="宋体"/>
          <w:b/>
          <w:sz w:val="21"/>
          <w:szCs w:val="21"/>
        </w:rPr>
        <w:t>5.配置中涉及软件的，需提供相关证书，如软件著作权登记证书等，且软件名称与著作权登记证书必须一致。</w:t>
      </w:r>
    </w:p>
    <w:p w14:paraId="7273800E">
      <w:pPr>
        <w:jc w:val="center"/>
        <w:rPr>
          <w:rFonts w:hint="eastAsia" w:ascii="宋体" w:hAnsi="宋体" w:eastAsia="宋体" w:cs="宋体"/>
          <w:b/>
          <w:sz w:val="24"/>
          <w:szCs w:val="24"/>
        </w:rPr>
        <w:sectPr>
          <w:footerReference r:id="rId5" w:type="default"/>
          <w:pgSz w:w="11906" w:h="16838"/>
          <w:pgMar w:top="1134" w:right="1304" w:bottom="1247" w:left="1304" w:header="794" w:footer="794" w:gutter="0"/>
          <w:pgNumType w:fmt="decimal"/>
          <w:cols w:space="720" w:num="1"/>
          <w:docGrid w:type="lines" w:linePitch="312" w:charSpace="0"/>
        </w:sectPr>
      </w:pPr>
    </w:p>
    <w:p w14:paraId="4BAD52E6">
      <w:pPr>
        <w:jc w:val="center"/>
        <w:rPr>
          <w:rFonts w:hint="eastAsia" w:ascii="宋体" w:hAnsi="宋体" w:eastAsia="宋体" w:cs="宋体"/>
          <w:b/>
          <w:sz w:val="44"/>
          <w:szCs w:val="44"/>
        </w:rPr>
      </w:pPr>
      <w:r>
        <w:rPr>
          <w:rFonts w:hint="eastAsia" w:ascii="宋体" w:hAnsi="宋体" w:eastAsia="宋体" w:cs="宋体"/>
          <w:b/>
          <w:sz w:val="44"/>
          <w:szCs w:val="44"/>
        </w:rPr>
        <w:t>授权书</w:t>
      </w:r>
    </w:p>
    <w:p w14:paraId="59FE0828">
      <w:pPr>
        <w:spacing w:line="360" w:lineRule="auto"/>
        <w:jc w:val="center"/>
        <w:rPr>
          <w:rFonts w:hint="eastAsia" w:ascii="宋体" w:hAnsi="宋体" w:eastAsia="宋体" w:cs="宋体"/>
          <w:b/>
          <w:sz w:val="72"/>
          <w:szCs w:val="72"/>
        </w:rPr>
      </w:pPr>
    </w:p>
    <w:p w14:paraId="71174395">
      <w:pPr>
        <w:spacing w:line="360" w:lineRule="auto"/>
        <w:jc w:val="center"/>
        <w:rPr>
          <w:rFonts w:hint="eastAsia" w:ascii="宋体" w:hAnsi="宋体" w:eastAsia="宋体" w:cs="宋体"/>
          <w:b/>
          <w:sz w:val="72"/>
          <w:szCs w:val="72"/>
        </w:rPr>
      </w:pPr>
    </w:p>
    <w:p w14:paraId="7C1F2013">
      <w:pPr>
        <w:spacing w:line="360" w:lineRule="auto"/>
        <w:jc w:val="center"/>
        <w:rPr>
          <w:rFonts w:hint="eastAsia" w:ascii="宋体" w:hAnsi="宋体" w:eastAsia="宋体" w:cs="宋体"/>
          <w:b/>
          <w:sz w:val="21"/>
          <w:szCs w:val="21"/>
        </w:rPr>
      </w:pPr>
      <w:r>
        <w:rPr>
          <w:rFonts w:hint="eastAsia" w:ascii="宋体" w:hAnsi="宋体" w:eastAsia="宋体" w:cs="宋体"/>
          <w:sz w:val="21"/>
          <w:szCs w:val="21"/>
        </w:rPr>
        <w:t>兹授权</w:t>
      </w:r>
      <w:r>
        <w:rPr>
          <w:rFonts w:hint="eastAsia" w:ascii="宋体" w:hAnsi="宋体" w:eastAsia="宋体" w:cs="宋体"/>
          <w:sz w:val="21"/>
          <w:szCs w:val="21"/>
          <w:u w:val="single"/>
        </w:rPr>
        <w:t xml:space="preserve">                    </w:t>
      </w:r>
      <w:r>
        <w:rPr>
          <w:rFonts w:hint="eastAsia" w:ascii="宋体" w:hAnsi="宋体" w:eastAsia="宋体" w:cs="宋体"/>
          <w:sz w:val="21"/>
          <w:szCs w:val="21"/>
        </w:rPr>
        <w:t>公司为</w:t>
      </w:r>
      <w:r>
        <w:rPr>
          <w:rFonts w:hint="eastAsia" w:ascii="宋体" w:hAnsi="宋体" w:eastAsia="宋体" w:cs="宋体"/>
          <w:sz w:val="21"/>
          <w:szCs w:val="21"/>
          <w:u w:val="single"/>
        </w:rPr>
        <w:t xml:space="preserve">                  </w:t>
      </w:r>
      <w:r>
        <w:rPr>
          <w:rFonts w:hint="eastAsia" w:ascii="宋体" w:hAnsi="宋体" w:eastAsia="宋体" w:cs="宋体"/>
          <w:sz w:val="21"/>
          <w:szCs w:val="21"/>
        </w:rPr>
        <w:t>项目</w:t>
      </w:r>
    </w:p>
    <w:p w14:paraId="68950A25">
      <w:pPr>
        <w:spacing w:line="360" w:lineRule="auto"/>
        <w:rPr>
          <w:rFonts w:hint="eastAsia" w:ascii="宋体" w:hAnsi="宋体" w:eastAsia="宋体" w:cs="宋体"/>
          <w:sz w:val="21"/>
          <w:szCs w:val="21"/>
        </w:rPr>
      </w:pPr>
      <w:r>
        <w:rPr>
          <w:rFonts w:hint="eastAsia" w:ascii="宋体" w:hAnsi="宋体" w:eastAsia="宋体" w:cs="宋体"/>
          <w:sz w:val="21"/>
          <w:szCs w:val="21"/>
        </w:rPr>
        <w:t>（编号：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产品的经销商</w:t>
      </w:r>
      <w:r>
        <w:rPr>
          <w:rFonts w:hint="eastAsia" w:ascii="宋体" w:hAnsi="宋体" w:eastAsia="宋体" w:cs="宋体"/>
          <w:sz w:val="21"/>
          <w:szCs w:val="21"/>
        </w:rPr>
        <w:sym w:font="Wingdings 2" w:char="00A3"/>
      </w:r>
      <w:r>
        <w:rPr>
          <w:rFonts w:hint="eastAsia" w:ascii="宋体" w:hAnsi="宋体" w:eastAsia="宋体" w:cs="宋体"/>
          <w:sz w:val="21"/>
          <w:szCs w:val="21"/>
        </w:rPr>
        <w:t>/分销商</w:t>
      </w:r>
      <w:r>
        <w:rPr>
          <w:rFonts w:hint="eastAsia" w:ascii="宋体" w:hAnsi="宋体" w:eastAsia="宋体" w:cs="宋体"/>
          <w:sz w:val="21"/>
          <w:szCs w:val="21"/>
        </w:rPr>
        <w:sym w:font="Wingdings 2" w:char="00A3"/>
      </w:r>
      <w:r>
        <w:rPr>
          <w:rFonts w:hint="eastAsia" w:ascii="宋体" w:hAnsi="宋体" w:eastAsia="宋体" w:cs="宋体"/>
          <w:sz w:val="21"/>
          <w:szCs w:val="21"/>
        </w:rPr>
        <w:t>，有效期为</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1 </w:t>
      </w:r>
      <w:r>
        <w:rPr>
          <w:rFonts w:hint="eastAsia" w:ascii="宋体" w:hAnsi="宋体" w:eastAsia="宋体" w:cs="宋体"/>
          <w:sz w:val="21"/>
          <w:szCs w:val="21"/>
        </w:rPr>
        <w:t>月</w:t>
      </w:r>
      <w:r>
        <w:rPr>
          <w:rFonts w:hint="eastAsia" w:ascii="宋体" w:hAnsi="宋体" w:eastAsia="宋体" w:cs="宋体"/>
          <w:sz w:val="21"/>
          <w:szCs w:val="21"/>
          <w:u w:val="single"/>
        </w:rPr>
        <w:t xml:space="preserve"> 1 </w:t>
      </w:r>
      <w:r>
        <w:rPr>
          <w:rFonts w:hint="eastAsia" w:ascii="宋体" w:hAnsi="宋体" w:eastAsia="宋体" w:cs="宋体"/>
          <w:sz w:val="21"/>
          <w:szCs w:val="21"/>
        </w:rPr>
        <w:t>日至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12 </w:t>
      </w:r>
      <w:r>
        <w:rPr>
          <w:rFonts w:hint="eastAsia" w:ascii="宋体" w:hAnsi="宋体" w:eastAsia="宋体" w:cs="宋体"/>
          <w:sz w:val="21"/>
          <w:szCs w:val="21"/>
        </w:rPr>
        <w:t xml:space="preserve"> 月</w:t>
      </w:r>
      <w:r>
        <w:rPr>
          <w:rFonts w:hint="eastAsia" w:ascii="宋体" w:hAnsi="宋体" w:eastAsia="宋体" w:cs="宋体"/>
          <w:sz w:val="21"/>
          <w:szCs w:val="21"/>
          <w:u w:val="single"/>
        </w:rPr>
        <w:t xml:space="preserve">   31  </w:t>
      </w:r>
      <w:r>
        <w:rPr>
          <w:rFonts w:hint="eastAsia" w:ascii="宋体" w:hAnsi="宋体" w:eastAsia="宋体" w:cs="宋体"/>
          <w:sz w:val="21"/>
          <w:szCs w:val="21"/>
        </w:rPr>
        <w:t>日。</w:t>
      </w:r>
    </w:p>
    <w:p w14:paraId="5E547813">
      <w:pPr>
        <w:spacing w:line="360" w:lineRule="auto"/>
        <w:rPr>
          <w:rFonts w:hint="eastAsia" w:ascii="宋体" w:hAnsi="宋体" w:eastAsia="宋体" w:cs="宋体"/>
          <w:sz w:val="21"/>
          <w:szCs w:val="21"/>
        </w:rPr>
      </w:pPr>
    </w:p>
    <w:p w14:paraId="09321B61">
      <w:pPr>
        <w:spacing w:line="360" w:lineRule="auto"/>
        <w:rPr>
          <w:rFonts w:hint="eastAsia" w:ascii="宋体" w:hAnsi="宋体" w:eastAsia="宋体" w:cs="宋体"/>
          <w:sz w:val="21"/>
          <w:szCs w:val="21"/>
        </w:rPr>
      </w:pPr>
    </w:p>
    <w:p w14:paraId="6E4BABA7">
      <w:pPr>
        <w:spacing w:line="360" w:lineRule="auto"/>
        <w:rPr>
          <w:rFonts w:hint="eastAsia" w:ascii="宋体" w:hAnsi="宋体" w:eastAsia="宋体" w:cs="宋体"/>
          <w:sz w:val="21"/>
          <w:szCs w:val="21"/>
        </w:rPr>
      </w:pPr>
    </w:p>
    <w:p w14:paraId="5492C1B5">
      <w:pPr>
        <w:spacing w:line="360" w:lineRule="auto"/>
        <w:rPr>
          <w:rFonts w:hint="eastAsia" w:ascii="宋体" w:hAnsi="宋体" w:eastAsia="宋体" w:cs="宋体"/>
          <w:sz w:val="21"/>
          <w:szCs w:val="21"/>
        </w:rPr>
      </w:pPr>
    </w:p>
    <w:p w14:paraId="32370CE0">
      <w:pPr>
        <w:spacing w:line="360" w:lineRule="auto"/>
        <w:rPr>
          <w:rFonts w:hint="eastAsia" w:ascii="宋体" w:hAnsi="宋体" w:eastAsia="宋体" w:cs="宋体"/>
          <w:sz w:val="21"/>
          <w:szCs w:val="21"/>
        </w:rPr>
      </w:pPr>
    </w:p>
    <w:p w14:paraId="2D0B30E9">
      <w:pPr>
        <w:spacing w:line="360" w:lineRule="auto"/>
        <w:rPr>
          <w:rFonts w:hint="eastAsia" w:ascii="宋体" w:hAnsi="宋体" w:eastAsia="宋体" w:cs="宋体"/>
          <w:sz w:val="21"/>
          <w:szCs w:val="21"/>
        </w:rPr>
      </w:pPr>
    </w:p>
    <w:p w14:paraId="0991B233">
      <w:pPr>
        <w:spacing w:line="360" w:lineRule="auto"/>
        <w:rPr>
          <w:rFonts w:hint="eastAsia" w:ascii="宋体" w:hAnsi="宋体" w:eastAsia="宋体" w:cs="宋体"/>
          <w:sz w:val="21"/>
          <w:szCs w:val="21"/>
        </w:rPr>
      </w:pPr>
    </w:p>
    <w:p w14:paraId="6688C3A1">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授权机构：</w:t>
      </w:r>
      <w:r>
        <w:rPr>
          <w:rFonts w:hint="eastAsia" w:ascii="宋体" w:hAnsi="宋体" w:eastAsia="宋体" w:cs="宋体"/>
          <w:sz w:val="21"/>
          <w:szCs w:val="21"/>
          <w:u w:val="single"/>
        </w:rPr>
        <w:t xml:space="preserve">                   </w:t>
      </w:r>
      <w:r>
        <w:rPr>
          <w:rFonts w:hint="eastAsia" w:ascii="宋体" w:hAnsi="宋体" w:eastAsia="宋体" w:cs="宋体"/>
          <w:sz w:val="21"/>
          <w:szCs w:val="21"/>
        </w:rPr>
        <w:t>（公章）</w:t>
      </w:r>
    </w:p>
    <w:p w14:paraId="43BE001B">
      <w:pPr>
        <w:pStyle w:val="25"/>
        <w:rPr>
          <w:rFonts w:hint="eastAsia" w:ascii="宋体" w:hAnsi="宋体" w:eastAsia="宋体" w:cs="宋体"/>
          <w:b/>
          <w:sz w:val="28"/>
          <w:szCs w:val="28"/>
        </w:rPr>
      </w:pPr>
      <w:r>
        <w:rPr>
          <w:rFonts w:hint="eastAsia" w:ascii="宋体" w:hAnsi="宋体" w:eastAsia="宋体" w:cs="宋体"/>
          <w:sz w:val="21"/>
          <w:szCs w:val="21"/>
        </w:rPr>
        <w:t xml:space="preserve">            授权时间：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155975E3">
      <w:pPr>
        <w:pStyle w:val="2"/>
        <w:pageBreakBefore/>
        <w:tabs>
          <w:tab w:val="left" w:pos="432"/>
        </w:tabs>
        <w:rPr>
          <w:rFonts w:hint="eastAsia" w:ascii="宋体" w:hAnsi="宋体" w:eastAsia="宋体" w:cs="宋体"/>
          <w:sz w:val="36"/>
        </w:rPr>
      </w:pPr>
      <w:bookmarkStart w:id="112" w:name="_Toc19836"/>
      <w:r>
        <w:rPr>
          <w:rFonts w:hint="eastAsia" w:ascii="宋体" w:hAnsi="宋体" w:eastAsia="宋体" w:cs="宋体"/>
          <w:sz w:val="36"/>
        </w:rPr>
        <w:t>第五部分 应提交的有关格式范例</w:t>
      </w:r>
      <w:bookmarkEnd w:id="112"/>
    </w:p>
    <w:p w14:paraId="7071CF4F">
      <w:pPr>
        <w:spacing w:line="360" w:lineRule="auto"/>
        <w:ind w:left="681" w:leftChars="224" w:hanging="211" w:hangingChars="100"/>
        <w:rPr>
          <w:rFonts w:hint="eastAsia" w:ascii="宋体" w:hAnsi="宋体" w:eastAsia="宋体" w:cs="宋体"/>
          <w:b/>
          <w:szCs w:val="21"/>
        </w:rPr>
      </w:pPr>
      <w:r>
        <w:rPr>
          <w:rFonts w:hint="eastAsia" w:ascii="宋体" w:hAnsi="宋体" w:eastAsia="宋体" w:cs="宋体"/>
          <w:b/>
          <w:szCs w:val="21"/>
        </w:rPr>
        <w:t>一、重要提示</w:t>
      </w:r>
    </w:p>
    <w:p w14:paraId="6ACA9FD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1、本章节中有提供格式的，磋商响应供应商须参照本章节提供的格式进行编制（格式中要求提供相关证明材料的还需后附相关证明材料），并按格式要求在指定位置根据要求进行签章）</w:t>
      </w:r>
    </w:p>
    <w:p w14:paraId="393BAD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2、本章节未提供格式的，请各</w:t>
      </w:r>
      <w:r>
        <w:rPr>
          <w:rFonts w:hint="eastAsia" w:ascii="宋体" w:hAnsi="宋体" w:eastAsia="宋体" w:cs="宋体"/>
          <w:b/>
          <w:szCs w:val="21"/>
        </w:rPr>
        <w:t>磋商响应</w:t>
      </w:r>
      <w:r>
        <w:rPr>
          <w:rFonts w:hint="eastAsia" w:ascii="宋体" w:hAnsi="宋体" w:eastAsia="宋体" w:cs="宋体"/>
          <w:szCs w:val="21"/>
        </w:rPr>
        <w:t>单位自行拟定格式，并加盖单位公章。</w:t>
      </w:r>
    </w:p>
    <w:p w14:paraId="71CD9DF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3、可以提供复制件的相关证明材料须加盖磋商响应文件供应商公章（例如：各类资格资质证书、业绩材料、许可材料、荣誉证书等）。</w:t>
      </w:r>
    </w:p>
    <w:p w14:paraId="5D333D7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4、磋商响应文件内容组成清单中标注“▲”的内容为必须提供的内容，未提供的投标无效。</w:t>
      </w:r>
    </w:p>
    <w:p w14:paraId="55451813">
      <w:pPr>
        <w:spacing w:line="360" w:lineRule="auto"/>
        <w:ind w:firstLine="420" w:firstLineChars="200"/>
        <w:rPr>
          <w:rFonts w:hint="eastAsia" w:ascii="宋体" w:hAnsi="宋体" w:eastAsia="宋体" w:cs="宋体"/>
          <w:b/>
          <w:szCs w:val="21"/>
        </w:rPr>
      </w:pPr>
      <w:r>
        <w:rPr>
          <w:rFonts w:hint="eastAsia" w:ascii="宋体" w:hAnsi="宋体" w:eastAsia="宋体" w:cs="宋体"/>
          <w:szCs w:val="21"/>
        </w:rPr>
        <w:t>5、</w:t>
      </w:r>
      <w:r>
        <w:rPr>
          <w:rFonts w:hint="eastAsia" w:ascii="宋体" w:hAnsi="宋体" w:eastAsia="宋体" w:cs="宋体"/>
          <w:szCs w:val="21"/>
          <w:lang w:eastAsia="zh-CN"/>
        </w:rPr>
        <w:t>响应文件</w:t>
      </w:r>
      <w:r>
        <w:rPr>
          <w:rFonts w:hint="eastAsia" w:ascii="宋体" w:hAnsi="宋体" w:eastAsia="宋体" w:cs="宋体"/>
          <w:szCs w:val="21"/>
        </w:rPr>
        <w:t>内容须与评分表内容进行关联定位，如未按要求进行关联定位，后果自负。</w:t>
      </w:r>
    </w:p>
    <w:p w14:paraId="4BC1C931">
      <w:pPr>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二、供应商提交磋商响应文件须知：</w:t>
      </w:r>
    </w:p>
    <w:p w14:paraId="3DA5C3B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1、供应商应严格按照以下顺序填写和提交下述规定的全部格式文件以及其他有关资料，混乱的编排导致磋商响应文件被误读或磋商小组查找不到有效文件是供应商的风险。</w:t>
      </w:r>
    </w:p>
    <w:p w14:paraId="6AD4FBD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2、所附表格中要求回答的全部问题和/或信息都必须正面回答。</w:t>
      </w:r>
    </w:p>
    <w:p w14:paraId="0510FA4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3、本声明书保证全部声明和问题的回答是真实的和准确的。</w:t>
      </w:r>
    </w:p>
    <w:p w14:paraId="48DB6C0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4、磋商小组将应用供应商提交的资料作出自己的判断。</w:t>
      </w:r>
    </w:p>
    <w:p w14:paraId="2ABAA20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5、供应商提交的材料将在一定期限内被保密保存，但不退还。</w:t>
      </w:r>
    </w:p>
    <w:p w14:paraId="5DD86527">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6、全部文件应按供应商须知中规定的语言和份数提交。磋商响应文件组成漏项或未按规定的格式编制，内容不全或内容字迹模糊辨认不清的情况，将有可能被磋商小组认定为投标无效。</w:t>
      </w:r>
    </w:p>
    <w:bookmarkEnd w:id="106"/>
    <w:bookmarkEnd w:id="107"/>
    <w:bookmarkEnd w:id="108"/>
    <w:bookmarkEnd w:id="109"/>
    <w:p w14:paraId="107B921C">
      <w:pPr>
        <w:shd w:val="clear" w:color="auto" w:fill="FFFFFF"/>
        <w:spacing w:line="360" w:lineRule="auto"/>
        <w:ind w:firstLine="480" w:firstLineChars="200"/>
        <w:rPr>
          <w:rFonts w:hint="eastAsia" w:ascii="宋体" w:hAnsi="宋体" w:eastAsia="宋体" w:cs="宋体"/>
          <w:sz w:val="24"/>
        </w:rPr>
      </w:pPr>
    </w:p>
    <w:bookmarkEnd w:id="22"/>
    <w:bookmarkEnd w:id="23"/>
    <w:bookmarkEnd w:id="24"/>
    <w:bookmarkEnd w:id="25"/>
    <w:p w14:paraId="5D52DA6F">
      <w:pPr>
        <w:pageBreakBefore/>
        <w:shd w:val="clear" w:color="auto" w:fill="FFFFFF"/>
        <w:spacing w:line="360" w:lineRule="auto"/>
        <w:jc w:val="center"/>
        <w:outlineLvl w:val="9"/>
        <w:rPr>
          <w:rFonts w:hint="eastAsia" w:ascii="宋体" w:hAnsi="宋体" w:eastAsia="宋体" w:cs="宋体"/>
          <w:b/>
          <w:bCs/>
          <w:sz w:val="32"/>
          <w:szCs w:val="32"/>
        </w:rPr>
      </w:pPr>
      <w:bookmarkStart w:id="113" w:name="_Toc233618989"/>
      <w:r>
        <w:rPr>
          <w:rFonts w:hint="eastAsia" w:ascii="宋体" w:hAnsi="宋体" w:eastAsia="宋体" w:cs="宋体"/>
          <w:b/>
          <w:bCs/>
          <w:sz w:val="32"/>
          <w:szCs w:val="32"/>
        </w:rPr>
        <w:t>磋商响应文件封面</w:t>
      </w:r>
    </w:p>
    <w:p w14:paraId="354877A9">
      <w:pPr>
        <w:shd w:val="clear" w:color="auto" w:fill="FFFFFF"/>
        <w:snapToGrid w:val="0"/>
        <w:spacing w:line="360" w:lineRule="auto"/>
        <w:rPr>
          <w:rFonts w:hint="eastAsia" w:ascii="宋体" w:hAnsi="宋体" w:eastAsia="宋体" w:cs="宋体"/>
          <w:b/>
          <w:spacing w:val="-11"/>
          <w:kern w:val="0"/>
          <w:sz w:val="44"/>
          <w:szCs w:val="44"/>
          <w:lang w:val="zh-CN"/>
        </w:rPr>
      </w:pPr>
    </w:p>
    <w:p w14:paraId="4F958EB2">
      <w:pPr>
        <w:shd w:val="clear" w:color="auto" w:fill="FFFFFF"/>
        <w:snapToGrid w:val="0"/>
        <w:spacing w:line="360" w:lineRule="auto"/>
        <w:jc w:val="center"/>
        <w:rPr>
          <w:rFonts w:hint="eastAsia" w:ascii="宋体" w:hAnsi="宋体" w:eastAsia="宋体" w:cs="宋体"/>
          <w:b/>
          <w:bCs/>
          <w:sz w:val="44"/>
          <w:szCs w:val="44"/>
        </w:rPr>
      </w:pPr>
      <w:r>
        <w:rPr>
          <w:rFonts w:hint="eastAsia" w:ascii="宋体" w:hAnsi="宋体" w:eastAsia="宋体" w:cs="宋体"/>
          <w:b/>
          <w:spacing w:val="-11"/>
          <w:kern w:val="0"/>
          <w:sz w:val="44"/>
          <w:szCs w:val="44"/>
          <w:lang w:val="zh-CN"/>
        </w:rPr>
        <w:t>浙江中医药大学便携式舌脉象仪采购</w:t>
      </w:r>
      <w:r>
        <w:rPr>
          <w:rFonts w:hint="eastAsia" w:ascii="宋体" w:hAnsi="宋体" w:eastAsia="宋体" w:cs="宋体"/>
          <w:b/>
          <w:bCs/>
          <w:sz w:val="44"/>
          <w:szCs w:val="44"/>
        </w:rPr>
        <w:t>（资格文件/报价文件/商务技术文件）</w:t>
      </w:r>
    </w:p>
    <w:p w14:paraId="5011BA6D">
      <w:pPr>
        <w:shd w:val="clear" w:color="auto" w:fill="FFFFFF"/>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项目编号</w:t>
      </w:r>
      <w:r>
        <w:rPr>
          <w:rFonts w:hint="eastAsia" w:ascii="宋体" w:hAnsi="宋体" w:eastAsia="宋体" w:cs="宋体"/>
          <w:b/>
          <w:bCs/>
          <w:sz w:val="32"/>
          <w:szCs w:val="32"/>
        </w:rPr>
        <w:t>：</w:t>
      </w:r>
      <w:r>
        <w:rPr>
          <w:rFonts w:hint="eastAsia" w:ascii="宋体" w:hAnsi="宋体" w:eastAsia="宋体" w:cs="宋体"/>
          <w:b/>
          <w:bCs/>
          <w:sz w:val="32"/>
          <w:szCs w:val="32"/>
          <w:lang w:eastAsia="zh-CN"/>
        </w:rPr>
        <w:t>HSZB-2024-879</w:t>
      </w:r>
      <w:r>
        <w:rPr>
          <w:rFonts w:hint="eastAsia" w:ascii="宋体" w:hAnsi="宋体" w:eastAsia="宋体" w:cs="宋体"/>
          <w:b/>
          <w:bCs/>
          <w:sz w:val="32"/>
          <w:szCs w:val="32"/>
        </w:rPr>
        <w:t xml:space="preserve"> </w:t>
      </w:r>
    </w:p>
    <w:p w14:paraId="2C36362C">
      <w:pPr>
        <w:shd w:val="clear" w:color="auto" w:fill="FFFFFF"/>
        <w:spacing w:line="360" w:lineRule="auto"/>
        <w:jc w:val="center"/>
        <w:rPr>
          <w:rFonts w:hint="eastAsia" w:ascii="宋体" w:hAnsi="宋体" w:eastAsia="宋体" w:cs="宋体"/>
          <w:sz w:val="72"/>
          <w:szCs w:val="72"/>
        </w:rPr>
      </w:pPr>
      <w:r>
        <w:rPr>
          <w:rFonts w:hint="eastAsia" w:ascii="宋体" w:hAnsi="宋体" w:eastAsia="宋体" w:cs="宋体"/>
          <w:sz w:val="72"/>
          <w:szCs w:val="72"/>
        </w:rPr>
        <w:t>磋</w:t>
      </w:r>
    </w:p>
    <w:p w14:paraId="27B4E332">
      <w:pPr>
        <w:shd w:val="clear" w:color="auto" w:fill="FFFFFF"/>
        <w:spacing w:line="360" w:lineRule="auto"/>
        <w:jc w:val="center"/>
        <w:rPr>
          <w:rFonts w:hint="eastAsia" w:ascii="宋体" w:hAnsi="宋体" w:eastAsia="宋体" w:cs="宋体"/>
          <w:sz w:val="72"/>
          <w:szCs w:val="72"/>
        </w:rPr>
      </w:pPr>
      <w:r>
        <w:rPr>
          <w:rFonts w:hint="eastAsia" w:ascii="宋体" w:hAnsi="宋体" w:eastAsia="宋体" w:cs="宋体"/>
          <w:sz w:val="72"/>
          <w:szCs w:val="72"/>
        </w:rPr>
        <w:t>商</w:t>
      </w:r>
    </w:p>
    <w:p w14:paraId="058B7B3D">
      <w:pPr>
        <w:shd w:val="clear" w:color="auto" w:fill="FFFFFF"/>
        <w:spacing w:line="360" w:lineRule="auto"/>
        <w:jc w:val="center"/>
        <w:rPr>
          <w:rFonts w:hint="eastAsia" w:ascii="宋体" w:hAnsi="宋体" w:eastAsia="宋体" w:cs="宋体"/>
          <w:sz w:val="72"/>
          <w:szCs w:val="72"/>
        </w:rPr>
      </w:pPr>
      <w:r>
        <w:rPr>
          <w:rFonts w:hint="eastAsia" w:ascii="宋体" w:hAnsi="宋体" w:eastAsia="宋体" w:cs="宋体"/>
          <w:sz w:val="72"/>
          <w:szCs w:val="72"/>
        </w:rPr>
        <w:t>响</w:t>
      </w:r>
    </w:p>
    <w:p w14:paraId="184A01B9">
      <w:pPr>
        <w:shd w:val="clear" w:color="auto" w:fill="FFFFFF"/>
        <w:spacing w:line="360" w:lineRule="auto"/>
        <w:jc w:val="center"/>
        <w:rPr>
          <w:rFonts w:hint="eastAsia" w:ascii="宋体" w:hAnsi="宋体" w:eastAsia="宋体" w:cs="宋体"/>
          <w:sz w:val="72"/>
          <w:szCs w:val="72"/>
        </w:rPr>
      </w:pPr>
      <w:r>
        <w:rPr>
          <w:rFonts w:hint="eastAsia" w:ascii="宋体" w:hAnsi="宋体" w:eastAsia="宋体" w:cs="宋体"/>
          <w:sz w:val="72"/>
          <w:szCs w:val="72"/>
        </w:rPr>
        <w:t>应</w:t>
      </w:r>
    </w:p>
    <w:p w14:paraId="46B72069">
      <w:pPr>
        <w:shd w:val="clear" w:color="auto" w:fill="FFFFFF"/>
        <w:spacing w:line="360" w:lineRule="auto"/>
        <w:jc w:val="center"/>
        <w:rPr>
          <w:rFonts w:hint="eastAsia" w:ascii="宋体" w:hAnsi="宋体" w:eastAsia="宋体" w:cs="宋体"/>
          <w:sz w:val="72"/>
          <w:szCs w:val="72"/>
        </w:rPr>
      </w:pPr>
      <w:r>
        <w:rPr>
          <w:rFonts w:hint="eastAsia" w:ascii="宋体" w:hAnsi="宋体" w:eastAsia="宋体" w:cs="宋体"/>
          <w:sz w:val="72"/>
          <w:szCs w:val="72"/>
        </w:rPr>
        <w:t>文</w:t>
      </w:r>
    </w:p>
    <w:p w14:paraId="313844AD">
      <w:pPr>
        <w:shd w:val="clear" w:color="auto" w:fill="FFFFFF"/>
        <w:spacing w:line="360" w:lineRule="auto"/>
        <w:jc w:val="center"/>
        <w:rPr>
          <w:rFonts w:hint="eastAsia" w:ascii="宋体" w:hAnsi="宋体" w:eastAsia="宋体" w:cs="宋体"/>
          <w:sz w:val="72"/>
          <w:szCs w:val="72"/>
        </w:rPr>
      </w:pPr>
      <w:r>
        <w:rPr>
          <w:rFonts w:hint="eastAsia" w:ascii="宋体" w:hAnsi="宋体" w:eastAsia="宋体" w:cs="宋体"/>
          <w:sz w:val="72"/>
          <w:szCs w:val="72"/>
        </w:rPr>
        <w:t>件</w:t>
      </w:r>
    </w:p>
    <w:p w14:paraId="580128A7">
      <w:pPr>
        <w:shd w:val="clear" w:color="auto" w:fill="FFFFFF"/>
        <w:spacing w:line="360" w:lineRule="auto"/>
        <w:jc w:val="center"/>
        <w:rPr>
          <w:rFonts w:hint="eastAsia" w:ascii="宋体" w:hAnsi="宋体" w:eastAsia="宋体" w:cs="宋体"/>
          <w:sz w:val="72"/>
          <w:szCs w:val="72"/>
        </w:rPr>
      </w:pPr>
    </w:p>
    <w:p w14:paraId="685694D8">
      <w:pPr>
        <w:shd w:val="clear" w:color="auto" w:fill="FFFFFF"/>
        <w:spacing w:line="360" w:lineRule="auto"/>
        <w:ind w:firstLine="2400" w:firstLineChars="750"/>
        <w:rPr>
          <w:rFonts w:hint="eastAsia" w:ascii="宋体" w:hAnsi="宋体" w:eastAsia="宋体" w:cs="宋体"/>
          <w:sz w:val="32"/>
          <w:szCs w:val="32"/>
        </w:rPr>
      </w:pPr>
      <w:r>
        <w:rPr>
          <w:rFonts w:hint="eastAsia" w:ascii="宋体" w:hAnsi="宋体" w:eastAsia="宋体" w:cs="宋体"/>
          <w:sz w:val="32"/>
          <w:szCs w:val="32"/>
        </w:rPr>
        <w:t>供应商全称：（加盖单位公章）</w:t>
      </w:r>
    </w:p>
    <w:p w14:paraId="65BFF8EE">
      <w:pPr>
        <w:shd w:val="clear" w:color="auto" w:fill="FFFFFF"/>
        <w:spacing w:line="360" w:lineRule="auto"/>
        <w:jc w:val="center"/>
        <w:rPr>
          <w:rFonts w:hint="eastAsia" w:ascii="宋体" w:hAnsi="宋体" w:eastAsia="宋体" w:cs="宋体"/>
          <w:sz w:val="24"/>
        </w:rPr>
      </w:pPr>
      <w:r>
        <w:rPr>
          <w:rFonts w:hint="eastAsia" w:ascii="宋体" w:hAnsi="宋体" w:eastAsia="宋体" w:cs="宋体"/>
          <w:sz w:val="32"/>
          <w:szCs w:val="32"/>
        </w:rPr>
        <w:t>年   月   日</w:t>
      </w:r>
    </w:p>
    <w:p w14:paraId="726A3B2F">
      <w:pPr>
        <w:rPr>
          <w:rFonts w:hint="eastAsia" w:ascii="宋体" w:hAnsi="宋体" w:eastAsia="宋体" w:cs="宋体"/>
        </w:rPr>
      </w:pPr>
      <w:bookmarkStart w:id="114" w:name="_Toc14604"/>
      <w:bookmarkStart w:id="115" w:name="_Toc29864"/>
      <w:bookmarkStart w:id="116" w:name="_Toc11786"/>
      <w:r>
        <w:rPr>
          <w:rFonts w:hint="eastAsia" w:ascii="宋体" w:hAnsi="宋体" w:eastAsia="宋体" w:cs="宋体"/>
        </w:rPr>
        <w:br w:type="page"/>
      </w:r>
    </w:p>
    <w:p w14:paraId="562EE83A">
      <w:pPr>
        <w:pStyle w:val="3"/>
        <w:numPr>
          <w:ilvl w:val="0"/>
          <w:numId w:val="0"/>
        </w:numPr>
        <w:adjustRightInd w:val="0"/>
        <w:snapToGrid w:val="0"/>
        <w:rPr>
          <w:rFonts w:hint="eastAsia" w:ascii="宋体" w:hAnsi="宋体" w:eastAsia="宋体" w:cs="宋体"/>
        </w:rPr>
      </w:pPr>
      <w:bookmarkStart w:id="117" w:name="_Toc23294"/>
      <w:r>
        <w:rPr>
          <w:rFonts w:hint="eastAsia" w:ascii="宋体" w:hAnsi="宋体" w:eastAsia="宋体" w:cs="宋体"/>
        </w:rPr>
        <w:t>资格文件</w:t>
      </w:r>
      <w:bookmarkEnd w:id="114"/>
      <w:bookmarkEnd w:id="115"/>
      <w:bookmarkEnd w:id="116"/>
      <w:bookmarkEnd w:id="117"/>
    </w:p>
    <w:p w14:paraId="6980F3D4">
      <w:pPr>
        <w:snapToGrid w:val="0"/>
        <w:spacing w:line="300" w:lineRule="auto"/>
        <w:ind w:left="-1"/>
        <w:jc w:val="center"/>
        <w:rPr>
          <w:rFonts w:hint="eastAsia" w:ascii="宋体" w:hAnsi="宋体" w:eastAsia="宋体" w:cs="宋体"/>
          <w:b/>
          <w:bCs/>
          <w:sz w:val="28"/>
          <w:szCs w:val="28"/>
        </w:rPr>
      </w:pPr>
      <w:r>
        <w:rPr>
          <w:rFonts w:hint="eastAsia" w:ascii="宋体" w:hAnsi="宋体" w:eastAsia="宋体" w:cs="宋体"/>
          <w:b/>
          <w:bCs/>
          <w:sz w:val="28"/>
          <w:szCs w:val="28"/>
        </w:rPr>
        <w:t>资格条件表</w:t>
      </w:r>
    </w:p>
    <w:p w14:paraId="130F5746">
      <w:pPr>
        <w:snapToGrid w:val="0"/>
        <w:spacing w:line="300" w:lineRule="auto"/>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浙江中医药大学便携式舌脉象仪采购</w:t>
      </w:r>
      <w:r>
        <w:rPr>
          <w:rFonts w:hint="eastAsia" w:ascii="宋体" w:hAnsi="宋体" w:eastAsia="宋体" w:cs="宋体"/>
          <w:lang w:val="en-US" w:eastAsia="zh-CN"/>
        </w:rPr>
        <w:t xml:space="preserve">         </w:t>
      </w:r>
      <w:r>
        <w:rPr>
          <w:rFonts w:hint="eastAsia" w:ascii="宋体" w:hAnsi="宋体" w:eastAsia="宋体" w:cs="宋体"/>
        </w:rPr>
        <w:t>项目编号：</w:t>
      </w:r>
      <w:r>
        <w:rPr>
          <w:rFonts w:hint="eastAsia" w:ascii="宋体" w:hAnsi="宋体" w:eastAsia="宋体" w:cs="宋体"/>
          <w:lang w:eastAsia="zh-CN"/>
        </w:rPr>
        <w:t>HSZB-2024-879</w:t>
      </w:r>
      <w:r>
        <w:rPr>
          <w:rFonts w:hint="eastAsia" w:ascii="宋体" w:hAnsi="宋体" w:eastAsia="宋体" w:cs="宋体"/>
        </w:rPr>
        <w:t xml:space="preserve"> </w:t>
      </w:r>
    </w:p>
    <w:tbl>
      <w:tblPr>
        <w:tblStyle w:val="4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4745"/>
        <w:gridCol w:w="3955"/>
      </w:tblGrid>
      <w:tr w14:paraId="31CC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09" w:type="pct"/>
            <w:vAlign w:val="center"/>
          </w:tcPr>
          <w:p w14:paraId="647E9156">
            <w:pPr>
              <w:jc w:val="left"/>
              <w:rPr>
                <w:rFonts w:hint="eastAsia" w:ascii="宋体" w:hAnsi="宋体" w:eastAsia="宋体" w:cs="宋体"/>
              </w:rPr>
            </w:pPr>
            <w:r>
              <w:rPr>
                <w:rFonts w:hint="eastAsia" w:ascii="宋体" w:hAnsi="宋体" w:eastAsia="宋体" w:cs="宋体"/>
              </w:rPr>
              <w:t>序号</w:t>
            </w:r>
          </w:p>
        </w:tc>
        <w:tc>
          <w:tcPr>
            <w:tcW w:w="2503" w:type="pct"/>
            <w:vAlign w:val="center"/>
          </w:tcPr>
          <w:p w14:paraId="33C3BB47">
            <w:pPr>
              <w:jc w:val="left"/>
              <w:rPr>
                <w:rFonts w:hint="eastAsia" w:ascii="宋体" w:hAnsi="宋体" w:eastAsia="宋体" w:cs="宋体"/>
              </w:rPr>
            </w:pPr>
            <w:r>
              <w:rPr>
                <w:rFonts w:hint="eastAsia" w:ascii="宋体" w:hAnsi="宋体" w:eastAsia="宋体" w:cs="宋体"/>
              </w:rPr>
              <w:t>资格条件</w:t>
            </w:r>
          </w:p>
        </w:tc>
        <w:tc>
          <w:tcPr>
            <w:tcW w:w="2086" w:type="pct"/>
            <w:vAlign w:val="center"/>
          </w:tcPr>
          <w:p w14:paraId="65A36F6C">
            <w:pPr>
              <w:jc w:val="left"/>
              <w:rPr>
                <w:rFonts w:hint="eastAsia" w:ascii="宋体" w:hAnsi="宋体" w:eastAsia="宋体" w:cs="宋体"/>
              </w:rPr>
            </w:pPr>
            <w:r>
              <w:rPr>
                <w:rFonts w:hint="eastAsia" w:ascii="宋体" w:hAnsi="宋体" w:eastAsia="宋体" w:cs="宋体"/>
              </w:rPr>
              <w:t>应提供的资格审查资料（除承诺函、说明、声明外的其他证件提供扫描件）</w:t>
            </w:r>
          </w:p>
        </w:tc>
      </w:tr>
      <w:tr w14:paraId="3F2D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09" w:type="pct"/>
            <w:vAlign w:val="center"/>
          </w:tcPr>
          <w:p w14:paraId="08230925">
            <w:pPr>
              <w:jc w:val="center"/>
              <w:rPr>
                <w:rFonts w:hint="eastAsia" w:ascii="宋体" w:hAnsi="宋体" w:eastAsia="宋体" w:cs="宋体"/>
              </w:rPr>
            </w:pPr>
            <w:r>
              <w:rPr>
                <w:rFonts w:hint="eastAsia" w:ascii="宋体" w:hAnsi="宋体" w:eastAsia="宋体" w:cs="宋体"/>
              </w:rPr>
              <w:t>1</w:t>
            </w:r>
          </w:p>
        </w:tc>
        <w:tc>
          <w:tcPr>
            <w:tcW w:w="2503" w:type="pct"/>
            <w:vAlign w:val="center"/>
          </w:tcPr>
          <w:p w14:paraId="4AD2C2ED">
            <w:pPr>
              <w:jc w:val="left"/>
              <w:rPr>
                <w:rFonts w:hint="eastAsia" w:ascii="宋体" w:hAnsi="宋体" w:eastAsia="宋体" w:cs="宋体"/>
              </w:rPr>
            </w:pPr>
            <w:r>
              <w:rPr>
                <w:rFonts w:hint="eastAsia" w:ascii="宋体" w:hAnsi="宋体" w:eastAsia="宋体" w:cs="宋体"/>
              </w:rPr>
              <w:t>基本资格要求：</w:t>
            </w:r>
          </w:p>
        </w:tc>
        <w:tc>
          <w:tcPr>
            <w:tcW w:w="2086" w:type="pct"/>
            <w:vAlign w:val="center"/>
          </w:tcPr>
          <w:p w14:paraId="696FBDB0">
            <w:pPr>
              <w:jc w:val="left"/>
              <w:rPr>
                <w:rFonts w:hint="eastAsia" w:ascii="宋体" w:hAnsi="宋体" w:eastAsia="宋体" w:cs="宋体"/>
              </w:rPr>
            </w:pPr>
          </w:p>
        </w:tc>
      </w:tr>
      <w:tr w14:paraId="5FF6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409" w:type="pct"/>
            <w:vAlign w:val="center"/>
          </w:tcPr>
          <w:p w14:paraId="468F8904">
            <w:pPr>
              <w:jc w:val="center"/>
              <w:rPr>
                <w:rFonts w:hint="eastAsia" w:ascii="宋体" w:hAnsi="宋体" w:eastAsia="宋体" w:cs="宋体"/>
              </w:rPr>
            </w:pPr>
            <w:r>
              <w:rPr>
                <w:rFonts w:hint="eastAsia" w:ascii="宋体" w:hAnsi="宋体" w:eastAsia="宋体" w:cs="宋体"/>
              </w:rPr>
              <w:t>（1）</w:t>
            </w:r>
          </w:p>
        </w:tc>
        <w:tc>
          <w:tcPr>
            <w:tcW w:w="2503" w:type="pct"/>
            <w:vAlign w:val="center"/>
          </w:tcPr>
          <w:p w14:paraId="074D2B1F">
            <w:pPr>
              <w:jc w:val="left"/>
              <w:rPr>
                <w:rFonts w:hint="eastAsia" w:ascii="宋体" w:hAnsi="宋体" w:eastAsia="宋体" w:cs="宋体"/>
              </w:rPr>
            </w:pPr>
            <w:r>
              <w:rPr>
                <w:rFonts w:hint="eastAsia" w:ascii="宋体" w:hAnsi="宋体" w:eastAsia="宋体" w:cs="宋体"/>
              </w:rPr>
              <w:t>1.满足《中华人民共和国政府采购法》第二十二条规定；未被“信用中国”（www.creditchina.gov.cn)、中国政府采购网（www.ccgp.gov.cn）列入失信被执行人、重大税收违法失信主体、政府采购严重违法失信行为记录名单。</w:t>
            </w:r>
          </w:p>
        </w:tc>
        <w:tc>
          <w:tcPr>
            <w:tcW w:w="2086" w:type="pct"/>
            <w:vAlign w:val="center"/>
          </w:tcPr>
          <w:p w14:paraId="2037E5E2">
            <w:pPr>
              <w:jc w:val="left"/>
              <w:rPr>
                <w:rFonts w:hint="eastAsia" w:ascii="宋体" w:hAnsi="宋体" w:eastAsia="宋体" w:cs="宋体"/>
              </w:rPr>
            </w:pPr>
            <w:r>
              <w:rPr>
                <w:rFonts w:hint="eastAsia" w:ascii="宋体" w:hAnsi="宋体" w:eastAsia="宋体" w:cs="宋体"/>
                <w:lang w:bidi="ar"/>
              </w:rPr>
              <w:t>1）符合参加政府采购活动应当具备的一般条件的承诺函</w:t>
            </w:r>
          </w:p>
        </w:tc>
      </w:tr>
      <w:tr w14:paraId="6C9E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09" w:type="pct"/>
            <w:vAlign w:val="center"/>
          </w:tcPr>
          <w:p w14:paraId="37E98214">
            <w:pPr>
              <w:jc w:val="center"/>
              <w:rPr>
                <w:rFonts w:hint="eastAsia" w:ascii="宋体" w:hAnsi="宋体" w:eastAsia="宋体" w:cs="宋体"/>
              </w:rPr>
            </w:pPr>
            <w:r>
              <w:rPr>
                <w:rFonts w:hint="eastAsia" w:ascii="宋体" w:hAnsi="宋体" w:eastAsia="宋体" w:cs="宋体"/>
              </w:rPr>
              <w:t>2</w:t>
            </w:r>
          </w:p>
        </w:tc>
        <w:tc>
          <w:tcPr>
            <w:tcW w:w="2503" w:type="pct"/>
            <w:vAlign w:val="center"/>
          </w:tcPr>
          <w:p w14:paraId="55DD3BE0">
            <w:pPr>
              <w:jc w:val="left"/>
              <w:rPr>
                <w:rFonts w:hint="eastAsia" w:ascii="宋体" w:hAnsi="宋体" w:eastAsia="宋体" w:cs="宋体"/>
              </w:rPr>
            </w:pPr>
            <w:r>
              <w:rPr>
                <w:rFonts w:hint="eastAsia" w:ascii="宋体" w:hAnsi="宋体" w:eastAsia="宋体" w:cs="宋体"/>
              </w:rPr>
              <w:t>落实政府采购政策需满足的资格要求</w:t>
            </w:r>
          </w:p>
        </w:tc>
        <w:tc>
          <w:tcPr>
            <w:tcW w:w="2086" w:type="pct"/>
            <w:vAlign w:val="center"/>
          </w:tcPr>
          <w:p w14:paraId="2BD03DBD">
            <w:pPr>
              <w:jc w:val="left"/>
              <w:rPr>
                <w:rFonts w:hint="eastAsia" w:ascii="宋体" w:hAnsi="宋体" w:eastAsia="宋体" w:cs="宋体"/>
                <w:lang w:bidi="ar"/>
              </w:rPr>
            </w:pPr>
          </w:p>
        </w:tc>
      </w:tr>
      <w:tr w14:paraId="1FCB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09" w:type="pct"/>
            <w:vAlign w:val="center"/>
          </w:tcPr>
          <w:p w14:paraId="31433E07">
            <w:pPr>
              <w:jc w:val="center"/>
              <w:rPr>
                <w:rFonts w:hint="eastAsia" w:ascii="宋体" w:hAnsi="宋体" w:eastAsia="宋体" w:cs="宋体"/>
              </w:rPr>
            </w:pPr>
            <w:r>
              <w:rPr>
                <w:rFonts w:hint="eastAsia" w:ascii="宋体" w:hAnsi="宋体" w:eastAsia="宋体" w:cs="宋体"/>
              </w:rPr>
              <w:t>（1）</w:t>
            </w:r>
          </w:p>
        </w:tc>
        <w:tc>
          <w:tcPr>
            <w:tcW w:w="2503" w:type="pct"/>
            <w:vAlign w:val="center"/>
          </w:tcPr>
          <w:p w14:paraId="00B981C5">
            <w:pPr>
              <w:jc w:val="left"/>
              <w:rPr>
                <w:rFonts w:hint="eastAsia" w:ascii="宋体" w:hAnsi="宋体" w:eastAsia="宋体" w:cs="宋体"/>
              </w:rPr>
            </w:pPr>
            <w:r>
              <w:rPr>
                <w:rFonts w:hint="eastAsia" w:ascii="宋体" w:hAnsi="宋体" w:eastAsia="宋体" w:cs="宋体"/>
              </w:rPr>
              <w:t>本项目专门面向中小企业采购的项目</w:t>
            </w:r>
          </w:p>
        </w:tc>
        <w:tc>
          <w:tcPr>
            <w:tcW w:w="2086" w:type="pct"/>
            <w:vAlign w:val="center"/>
          </w:tcPr>
          <w:p w14:paraId="75D72669">
            <w:pPr>
              <w:jc w:val="left"/>
              <w:rPr>
                <w:rFonts w:hint="eastAsia" w:ascii="宋体" w:hAnsi="宋体" w:eastAsia="宋体" w:cs="宋体"/>
                <w:lang w:bidi="ar"/>
              </w:rPr>
            </w:pPr>
            <w:r>
              <w:rPr>
                <w:rFonts w:hint="eastAsia" w:ascii="宋体" w:hAnsi="宋体" w:eastAsia="宋体" w:cs="宋体"/>
                <w:lang w:bidi="ar"/>
              </w:rPr>
              <w:t>按磋商文件要求提供</w:t>
            </w:r>
          </w:p>
        </w:tc>
      </w:tr>
      <w:tr w14:paraId="77DC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09" w:type="pct"/>
            <w:vAlign w:val="center"/>
          </w:tcPr>
          <w:p w14:paraId="0B9B6AC6">
            <w:pPr>
              <w:jc w:val="center"/>
              <w:rPr>
                <w:rFonts w:hint="eastAsia" w:ascii="宋体" w:hAnsi="宋体" w:eastAsia="宋体" w:cs="宋体"/>
              </w:rPr>
            </w:pPr>
            <w:r>
              <w:rPr>
                <w:rFonts w:hint="eastAsia" w:ascii="宋体" w:hAnsi="宋体" w:eastAsia="宋体" w:cs="宋体"/>
              </w:rPr>
              <w:t>3</w:t>
            </w:r>
          </w:p>
        </w:tc>
        <w:tc>
          <w:tcPr>
            <w:tcW w:w="2503" w:type="pct"/>
            <w:vAlign w:val="center"/>
          </w:tcPr>
          <w:p w14:paraId="2D1987A0">
            <w:pPr>
              <w:jc w:val="left"/>
              <w:rPr>
                <w:rFonts w:hint="eastAsia" w:ascii="宋体" w:hAnsi="宋体" w:eastAsia="宋体" w:cs="宋体"/>
              </w:rPr>
            </w:pPr>
            <w:r>
              <w:rPr>
                <w:rFonts w:hint="eastAsia" w:ascii="宋体" w:hAnsi="宋体" w:eastAsia="宋体" w:cs="宋体"/>
              </w:rPr>
              <w:t>联合体（如有）</w:t>
            </w:r>
          </w:p>
        </w:tc>
        <w:tc>
          <w:tcPr>
            <w:tcW w:w="2086" w:type="pct"/>
            <w:vAlign w:val="center"/>
          </w:tcPr>
          <w:p w14:paraId="1C995E5B">
            <w:pPr>
              <w:jc w:val="left"/>
              <w:rPr>
                <w:rFonts w:hint="eastAsia" w:ascii="宋体" w:hAnsi="宋体" w:eastAsia="宋体" w:cs="宋体"/>
              </w:rPr>
            </w:pPr>
            <w:r>
              <w:rPr>
                <w:rFonts w:hint="eastAsia" w:ascii="宋体" w:hAnsi="宋体" w:eastAsia="宋体" w:cs="宋体"/>
              </w:rPr>
              <w:t>联合体协议（如为联合体投标的，须提供）</w:t>
            </w:r>
          </w:p>
        </w:tc>
      </w:tr>
      <w:tr w14:paraId="67C6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09" w:type="pct"/>
            <w:vAlign w:val="center"/>
          </w:tcPr>
          <w:p w14:paraId="45C40EBD">
            <w:pPr>
              <w:jc w:val="center"/>
              <w:rPr>
                <w:rFonts w:hint="eastAsia" w:ascii="宋体" w:hAnsi="宋体" w:eastAsia="宋体" w:cs="宋体"/>
              </w:rPr>
            </w:pPr>
            <w:r>
              <w:rPr>
                <w:rFonts w:hint="eastAsia" w:ascii="宋体" w:hAnsi="宋体" w:eastAsia="宋体" w:cs="宋体"/>
              </w:rPr>
              <w:t>4</w:t>
            </w:r>
          </w:p>
        </w:tc>
        <w:tc>
          <w:tcPr>
            <w:tcW w:w="2503" w:type="pct"/>
            <w:vAlign w:val="center"/>
          </w:tcPr>
          <w:p w14:paraId="14706279">
            <w:pPr>
              <w:jc w:val="left"/>
              <w:rPr>
                <w:rFonts w:hint="eastAsia" w:ascii="宋体" w:hAnsi="宋体" w:eastAsia="宋体" w:cs="宋体"/>
              </w:rPr>
            </w:pPr>
            <w:r>
              <w:rPr>
                <w:rFonts w:hint="eastAsia" w:ascii="宋体" w:hAnsi="宋体" w:eastAsia="宋体" w:cs="宋体"/>
              </w:rPr>
              <w:t>特定资格要求：</w:t>
            </w:r>
          </w:p>
        </w:tc>
        <w:tc>
          <w:tcPr>
            <w:tcW w:w="2086" w:type="pct"/>
            <w:vAlign w:val="center"/>
          </w:tcPr>
          <w:p w14:paraId="227D4429">
            <w:pPr>
              <w:jc w:val="left"/>
              <w:rPr>
                <w:rFonts w:hint="eastAsia" w:ascii="宋体" w:hAnsi="宋体" w:eastAsia="宋体" w:cs="宋体"/>
              </w:rPr>
            </w:pPr>
            <w:r>
              <w:rPr>
                <w:rFonts w:hint="eastAsia" w:ascii="宋体" w:hAnsi="宋体" w:eastAsia="宋体" w:cs="宋体"/>
              </w:rPr>
              <w:t>/</w:t>
            </w:r>
          </w:p>
        </w:tc>
      </w:tr>
    </w:tbl>
    <w:p w14:paraId="10F7E275">
      <w:pPr>
        <w:snapToGrid w:val="0"/>
        <w:spacing w:line="300" w:lineRule="auto"/>
        <w:ind w:firstLine="422" w:firstLineChars="200"/>
        <w:jc w:val="left"/>
        <w:rPr>
          <w:rFonts w:hint="eastAsia" w:ascii="宋体" w:hAnsi="宋体" w:eastAsia="宋体" w:cs="宋体"/>
          <w:b/>
          <w:bCs/>
          <w:szCs w:val="21"/>
          <w:u w:val="single"/>
        </w:rPr>
      </w:pPr>
      <w:r>
        <w:rPr>
          <w:rFonts w:hint="eastAsia" w:ascii="宋体" w:hAnsi="宋体" w:eastAsia="宋体" w:cs="宋体"/>
          <w:b/>
          <w:bCs/>
          <w:szCs w:val="21"/>
          <w:u w:val="single"/>
        </w:rPr>
        <w:t>证明材料需加盖</w:t>
      </w:r>
      <w:r>
        <w:rPr>
          <w:rFonts w:hint="eastAsia" w:ascii="宋体" w:hAnsi="宋体" w:eastAsia="宋体" w:cs="宋体"/>
          <w:b/>
          <w:bCs/>
          <w:szCs w:val="21"/>
          <w:u w:val="single"/>
          <w:lang w:eastAsia="zh-CN"/>
        </w:rPr>
        <w:t>磋商供应商</w:t>
      </w:r>
      <w:r>
        <w:rPr>
          <w:rFonts w:hint="eastAsia" w:ascii="宋体" w:hAnsi="宋体" w:eastAsia="宋体" w:cs="宋体"/>
          <w:b/>
          <w:bCs/>
          <w:szCs w:val="21"/>
          <w:u w:val="single"/>
        </w:rPr>
        <w:t>单位公章。</w:t>
      </w:r>
    </w:p>
    <w:p w14:paraId="2F71A698">
      <w:pPr>
        <w:snapToGrid w:val="0"/>
        <w:spacing w:line="300" w:lineRule="auto"/>
        <w:ind w:firstLine="422" w:firstLineChars="200"/>
        <w:jc w:val="left"/>
        <w:rPr>
          <w:rFonts w:hint="eastAsia" w:ascii="宋体" w:hAnsi="宋体" w:eastAsia="宋体" w:cs="宋体"/>
          <w:b/>
          <w:bCs/>
          <w:szCs w:val="21"/>
          <w:u w:val="single"/>
        </w:rPr>
      </w:pPr>
      <w:r>
        <w:rPr>
          <w:rFonts w:hint="eastAsia" w:ascii="宋体" w:hAnsi="宋体" w:eastAsia="宋体" w:cs="宋体"/>
          <w:b/>
          <w:bCs/>
          <w:szCs w:val="21"/>
          <w:u w:val="single"/>
        </w:rPr>
        <w:t>各声明函格式附后</w:t>
      </w:r>
    </w:p>
    <w:p w14:paraId="6BEDE7A2">
      <w:pPr>
        <w:snapToGrid w:val="0"/>
        <w:spacing w:line="300" w:lineRule="auto"/>
        <w:jc w:val="center"/>
        <w:rPr>
          <w:rFonts w:hint="eastAsia" w:ascii="宋体" w:hAnsi="宋体" w:eastAsia="宋体" w:cs="宋体"/>
          <w:b/>
          <w:kern w:val="0"/>
          <w:sz w:val="32"/>
          <w:szCs w:val="28"/>
        </w:rPr>
      </w:pPr>
    </w:p>
    <w:p w14:paraId="13DB5E39">
      <w:pPr>
        <w:snapToGrid w:val="0"/>
        <w:spacing w:line="300" w:lineRule="auto"/>
        <w:jc w:val="center"/>
        <w:rPr>
          <w:rFonts w:hint="eastAsia" w:ascii="宋体" w:hAnsi="宋体" w:eastAsia="宋体" w:cs="宋体"/>
          <w:b/>
          <w:kern w:val="0"/>
          <w:sz w:val="32"/>
          <w:szCs w:val="28"/>
        </w:rPr>
      </w:pPr>
    </w:p>
    <w:p w14:paraId="49EBEDF3">
      <w:pPr>
        <w:rPr>
          <w:rFonts w:hint="eastAsia" w:ascii="宋体" w:hAnsi="宋体" w:eastAsia="宋体" w:cs="宋体"/>
        </w:rPr>
      </w:pPr>
    </w:p>
    <w:p w14:paraId="19CF9E01">
      <w:pPr>
        <w:pStyle w:val="44"/>
        <w:ind w:firstLine="0"/>
        <w:rPr>
          <w:rFonts w:hint="eastAsia" w:ascii="宋体" w:hAnsi="宋体" w:eastAsia="宋体" w:cs="宋体"/>
          <w:lang w:val="en-US"/>
        </w:rPr>
      </w:pPr>
    </w:p>
    <w:p w14:paraId="5885C171">
      <w:pPr>
        <w:snapToGrid w:val="0"/>
        <w:spacing w:line="300" w:lineRule="auto"/>
        <w:jc w:val="center"/>
        <w:rPr>
          <w:rFonts w:hint="eastAsia" w:ascii="宋体" w:hAnsi="宋体" w:eastAsia="宋体" w:cs="宋体"/>
          <w:b/>
          <w:kern w:val="0"/>
          <w:sz w:val="32"/>
          <w:szCs w:val="28"/>
        </w:rPr>
      </w:pPr>
      <w:r>
        <w:rPr>
          <w:rFonts w:hint="eastAsia" w:ascii="宋体" w:hAnsi="宋体" w:eastAsia="宋体" w:cs="宋体"/>
          <w:b/>
          <w:kern w:val="0"/>
          <w:sz w:val="32"/>
          <w:szCs w:val="28"/>
        </w:rPr>
        <w:br w:type="page"/>
      </w:r>
      <w:r>
        <w:rPr>
          <w:rFonts w:hint="eastAsia" w:ascii="宋体" w:hAnsi="宋体" w:eastAsia="宋体" w:cs="宋体"/>
          <w:b/>
          <w:kern w:val="0"/>
          <w:sz w:val="32"/>
          <w:szCs w:val="28"/>
        </w:rPr>
        <w:t>一、 符合参加政府采购活动应当具备的一般条件的承诺函</w:t>
      </w:r>
    </w:p>
    <w:p w14:paraId="114A4B06">
      <w:pPr>
        <w:snapToGrid w:val="0"/>
        <w:spacing w:line="360" w:lineRule="auto"/>
        <w:rPr>
          <w:rFonts w:hint="eastAsia" w:ascii="宋体" w:hAnsi="宋体" w:eastAsia="宋体" w:cs="宋体"/>
          <w:szCs w:val="21"/>
        </w:rPr>
      </w:pPr>
    </w:p>
    <w:p w14:paraId="6961A60C">
      <w:pPr>
        <w:snapToGrid w:val="0"/>
        <w:spacing w:line="360" w:lineRule="auto"/>
        <w:ind w:firstLine="210" w:firstLineChars="100"/>
        <w:rPr>
          <w:rFonts w:hint="eastAsia" w:ascii="宋体" w:hAnsi="宋体" w:eastAsia="宋体" w:cs="宋体"/>
          <w:szCs w:val="21"/>
        </w:rPr>
      </w:pPr>
      <w:r>
        <w:rPr>
          <w:rFonts w:hint="eastAsia" w:ascii="宋体" w:hAnsi="宋体" w:eastAsia="宋体" w:cs="宋体"/>
          <w:szCs w:val="21"/>
          <w:lang w:eastAsia="zh-CN"/>
        </w:rPr>
        <w:t>浙江中医药大学</w:t>
      </w:r>
      <w:r>
        <w:rPr>
          <w:rFonts w:hint="eastAsia" w:ascii="宋体" w:hAnsi="宋体" w:eastAsia="宋体" w:cs="宋体"/>
          <w:szCs w:val="21"/>
        </w:rPr>
        <w:t>、</w:t>
      </w:r>
      <w:r>
        <w:rPr>
          <w:rFonts w:hint="eastAsia" w:ascii="宋体" w:hAnsi="宋体" w:eastAsia="宋体" w:cs="宋体"/>
          <w:szCs w:val="21"/>
          <w:lang w:eastAsia="zh-CN"/>
        </w:rPr>
        <w:t>浙江豪圣建设项目管理有限公司</w:t>
      </w:r>
      <w:r>
        <w:rPr>
          <w:rFonts w:hint="eastAsia" w:ascii="宋体" w:hAnsi="宋体" w:eastAsia="宋体" w:cs="宋体"/>
          <w:szCs w:val="21"/>
        </w:rPr>
        <w:t>：</w:t>
      </w:r>
    </w:p>
    <w:p w14:paraId="4A4BD625">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我方参与浙江中医药大学便携式舌脉象仪采购【</w:t>
      </w:r>
      <w:r>
        <w:rPr>
          <w:rFonts w:hint="eastAsia" w:ascii="宋体" w:hAnsi="宋体" w:eastAsia="宋体" w:cs="宋体"/>
          <w:szCs w:val="21"/>
          <w:lang w:eastAsia="zh-CN"/>
        </w:rPr>
        <w:t>项目编号</w:t>
      </w:r>
      <w:r>
        <w:rPr>
          <w:rFonts w:hint="eastAsia" w:ascii="宋体" w:hAnsi="宋体" w:eastAsia="宋体" w:cs="宋体"/>
          <w:szCs w:val="21"/>
        </w:rPr>
        <w:t>：HSZB-2024-879】政府采购活动，郑重承诺：</w:t>
      </w:r>
    </w:p>
    <w:p w14:paraId="7588A077">
      <w:pPr>
        <w:snapToGrid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（一）具备《中华人民共和国政府采购法》第二十二条第一款规定的条件：</w:t>
      </w:r>
    </w:p>
    <w:p w14:paraId="1B173442">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1、具有独立承担民事责任的能力。</w:t>
      </w:r>
    </w:p>
    <w:p w14:paraId="1644E7D1">
      <w:pPr>
        <w:snapToGrid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 xml:space="preserve">2、具有良好的商业信誉和健全的财务会计制度。 </w:t>
      </w:r>
    </w:p>
    <w:p w14:paraId="5DBD073B">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3、具有履行合同所必需的设备和专业技术能力。</w:t>
      </w:r>
    </w:p>
    <w:p w14:paraId="4B850984">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4、有依法缴纳税收和社会保障资金的良好记录。</w:t>
      </w:r>
    </w:p>
    <w:p w14:paraId="1B76C851">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5、参加政府采购活动前三年内，在经营活动中没有重大违法记录。</w:t>
      </w:r>
    </w:p>
    <w:p w14:paraId="27058FB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6、具有法律、行政法规规定的其他条件。</w:t>
      </w:r>
    </w:p>
    <w:p w14:paraId="77C1D64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（二）未被信用中国（www.creditchina.gov.cn)、中国政府采购网（www.ccgp.gov.cn）列入失信被执行人、重大税收违法失信主体、政府采购严重违法失信行为记录名单。</w:t>
      </w:r>
    </w:p>
    <w:p w14:paraId="12DFEECF">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（三）不存在以下情况：</w:t>
      </w:r>
    </w:p>
    <w:p w14:paraId="0EA546C6">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1、单位负责人为同一人或者存在直接控股、管理关系的不同供应商参加同一合同项下的政府采购活动的。</w:t>
      </w:r>
    </w:p>
    <w:p w14:paraId="691788D1">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2、为采购项目提供整体设计、规范编制或者项目管理、监理、检测等服务后再参加该采购项目的其他采购活动的。</w:t>
      </w:r>
    </w:p>
    <w:p w14:paraId="3D671B86">
      <w:pPr>
        <w:snapToGrid w:val="0"/>
        <w:spacing w:line="360" w:lineRule="auto"/>
        <w:ind w:firstLine="4830" w:firstLineChars="2300"/>
        <w:rPr>
          <w:rFonts w:hint="eastAsia" w:ascii="宋体" w:hAnsi="宋体" w:eastAsia="宋体" w:cs="宋体"/>
          <w:kern w:val="0"/>
          <w:szCs w:val="21"/>
        </w:rPr>
      </w:pPr>
      <w:r>
        <w:rPr>
          <w:rFonts w:hint="eastAsia" w:ascii="宋体" w:hAnsi="宋体" w:eastAsia="宋体" w:cs="宋体"/>
          <w:kern w:val="0"/>
          <w:szCs w:val="21"/>
          <w:lang w:val="zh-CN"/>
        </w:rPr>
        <w:t>供应商名称(</w:t>
      </w:r>
      <w:r>
        <w:rPr>
          <w:rFonts w:hint="eastAsia" w:ascii="宋体" w:hAnsi="宋体" w:eastAsia="宋体" w:cs="宋体"/>
          <w:kern w:val="0"/>
          <w:szCs w:val="21"/>
        </w:rPr>
        <w:t>公章</w:t>
      </w:r>
      <w:r>
        <w:rPr>
          <w:rFonts w:hint="eastAsia" w:ascii="宋体" w:hAnsi="宋体" w:eastAsia="宋体" w:cs="宋体"/>
          <w:kern w:val="0"/>
          <w:szCs w:val="21"/>
          <w:lang w:val="zh-CN"/>
        </w:rPr>
        <w:t>)：</w:t>
      </w:r>
    </w:p>
    <w:p w14:paraId="42B6015A">
      <w:pPr>
        <w:snapToGrid w:val="0"/>
        <w:spacing w:line="360" w:lineRule="auto"/>
        <w:rPr>
          <w:rFonts w:hint="eastAsia" w:ascii="宋体" w:hAnsi="宋体" w:eastAsia="宋体" w:cs="宋体"/>
          <w:kern w:val="0"/>
          <w:szCs w:val="21"/>
        </w:rPr>
      </w:pPr>
      <w:r>
        <w:rPr>
          <w:rFonts w:hint="eastAsia" w:ascii="宋体" w:hAnsi="宋体" w:eastAsia="宋体" w:cs="宋体"/>
          <w:kern w:val="0"/>
          <w:szCs w:val="21"/>
          <w:lang w:val="zh-CN"/>
        </w:rPr>
        <w:t xml:space="preserve">                        </w:t>
      </w:r>
      <w:r>
        <w:rPr>
          <w:rFonts w:hint="eastAsia" w:ascii="宋体" w:hAnsi="宋体" w:eastAsia="宋体" w:cs="宋体"/>
          <w:kern w:val="0"/>
          <w:szCs w:val="21"/>
        </w:rPr>
        <w:t xml:space="preserve">                      </w:t>
      </w:r>
      <w:r>
        <w:rPr>
          <w:rFonts w:hint="eastAsia" w:ascii="宋体" w:hAnsi="宋体" w:eastAsia="宋体" w:cs="宋体"/>
          <w:kern w:val="0"/>
          <w:szCs w:val="21"/>
          <w:lang w:val="zh-CN"/>
        </w:rPr>
        <w:t>日期</w:t>
      </w:r>
      <w:r>
        <w:rPr>
          <w:rFonts w:hint="eastAsia" w:ascii="宋体" w:hAnsi="宋体" w:eastAsia="宋体" w:cs="宋体"/>
          <w:kern w:val="0"/>
          <w:szCs w:val="21"/>
        </w:rPr>
        <w:t xml:space="preserve">：  年  </w:t>
      </w:r>
      <w:r>
        <w:rPr>
          <w:rFonts w:hint="eastAsia" w:ascii="宋体" w:hAnsi="宋体" w:eastAsia="宋体" w:cs="宋体"/>
          <w:kern w:val="0"/>
          <w:szCs w:val="21"/>
          <w:lang w:val="zh-CN"/>
        </w:rPr>
        <w:t>月</w:t>
      </w:r>
      <w:r>
        <w:rPr>
          <w:rFonts w:hint="eastAsia" w:ascii="宋体" w:hAnsi="宋体" w:eastAsia="宋体" w:cs="宋体"/>
          <w:kern w:val="0"/>
          <w:szCs w:val="21"/>
        </w:rPr>
        <w:t xml:space="preserve">   </w:t>
      </w:r>
      <w:r>
        <w:rPr>
          <w:rFonts w:hint="eastAsia" w:ascii="宋体" w:hAnsi="宋体" w:eastAsia="宋体" w:cs="宋体"/>
          <w:kern w:val="0"/>
          <w:szCs w:val="21"/>
          <w:lang w:val="zh-CN"/>
        </w:rPr>
        <w:t>日</w:t>
      </w:r>
    </w:p>
    <w:p w14:paraId="5B0466D7">
      <w:pPr>
        <w:pStyle w:val="20"/>
        <w:rPr>
          <w:rFonts w:hint="eastAsia" w:ascii="宋体" w:hAnsi="宋体" w:eastAsia="宋体" w:cs="宋体"/>
        </w:rPr>
      </w:pPr>
    </w:p>
    <w:p w14:paraId="6B0E1392">
      <w:pPr>
        <w:snapToGrid w:val="0"/>
        <w:spacing w:line="300" w:lineRule="auto"/>
        <w:ind w:firstLine="420" w:firstLineChars="200"/>
        <w:jc w:val="left"/>
        <w:rPr>
          <w:rFonts w:hint="eastAsia" w:ascii="宋体" w:hAnsi="宋体" w:eastAsia="宋体" w:cs="宋体"/>
          <w:szCs w:val="21"/>
        </w:rPr>
      </w:pPr>
    </w:p>
    <w:p w14:paraId="5B72FDCF">
      <w:pPr>
        <w:pStyle w:val="25"/>
        <w:spacing w:line="420" w:lineRule="exact"/>
        <w:jc w:val="center"/>
        <w:rPr>
          <w:rFonts w:hint="eastAsia" w:ascii="宋体" w:hAnsi="宋体" w:eastAsia="宋体" w:cs="宋体"/>
        </w:rPr>
      </w:pPr>
      <w:r>
        <w:rPr>
          <w:rFonts w:hint="eastAsia" w:ascii="宋体" w:hAnsi="宋体" w:eastAsia="宋体" w:cs="宋体"/>
          <w:b/>
          <w:sz w:val="32"/>
          <w:szCs w:val="32"/>
        </w:rPr>
        <w:br w:type="page"/>
      </w:r>
      <w:r>
        <w:rPr>
          <w:rFonts w:hint="eastAsia" w:ascii="宋体" w:hAnsi="宋体" w:eastAsia="宋体" w:cs="宋体"/>
          <w:b/>
          <w:sz w:val="32"/>
          <w:szCs w:val="32"/>
          <w:lang w:val="en-US" w:eastAsia="zh-CN"/>
        </w:rPr>
        <w:t>二</w:t>
      </w:r>
      <w:r>
        <w:rPr>
          <w:rFonts w:hint="eastAsia" w:ascii="宋体" w:hAnsi="宋体" w:eastAsia="宋体" w:cs="宋体"/>
          <w:b/>
          <w:sz w:val="32"/>
          <w:szCs w:val="32"/>
        </w:rPr>
        <w:t>、</w:t>
      </w:r>
      <w:r>
        <w:rPr>
          <w:rFonts w:hint="eastAsia" w:ascii="宋体" w:hAnsi="宋体" w:eastAsia="宋体" w:cs="宋体"/>
          <w:b/>
          <w:kern w:val="0"/>
          <w:sz w:val="32"/>
          <w:szCs w:val="32"/>
        </w:rPr>
        <w:t>联合体协议（如为联合体投标的，须提供）</w:t>
      </w:r>
    </w:p>
    <w:p w14:paraId="0EC629CF">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联合</w:t>
      </w:r>
      <w:r>
        <w:rPr>
          <w:rFonts w:hint="eastAsia" w:ascii="宋体" w:hAnsi="宋体" w:eastAsia="宋体" w:cs="宋体"/>
          <w:b/>
          <w:kern w:val="0"/>
          <w:sz w:val="32"/>
          <w:szCs w:val="32"/>
        </w:rPr>
        <w:t>体</w:t>
      </w:r>
      <w:r>
        <w:rPr>
          <w:rFonts w:hint="eastAsia" w:ascii="宋体" w:hAnsi="宋体" w:eastAsia="宋体" w:cs="宋体"/>
          <w:b/>
          <w:kern w:val="0"/>
          <w:sz w:val="32"/>
          <w:szCs w:val="32"/>
          <w:lang w:val="zh-CN"/>
        </w:rPr>
        <w:t>协议</w:t>
      </w:r>
    </w:p>
    <w:p w14:paraId="7F5DB23B">
      <w:pPr>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（以联合体形式投标的，提供联合协议。本项目不接受联合体投标或者</w:t>
      </w:r>
      <w:r>
        <w:rPr>
          <w:rFonts w:hint="eastAsia" w:ascii="宋体" w:hAnsi="宋体" w:eastAsia="宋体" w:cs="宋体"/>
          <w:b/>
          <w:szCs w:val="21"/>
          <w:lang w:eastAsia="zh-CN"/>
        </w:rPr>
        <w:t>供应商</w:t>
      </w:r>
      <w:r>
        <w:rPr>
          <w:rFonts w:hint="eastAsia" w:ascii="宋体" w:hAnsi="宋体" w:eastAsia="宋体" w:cs="宋体"/>
          <w:b/>
          <w:szCs w:val="21"/>
        </w:rPr>
        <w:t>不以联合体形式投标的，则不需要提供）</w:t>
      </w:r>
    </w:p>
    <w:p w14:paraId="42D36DCF">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u w:val="single"/>
        </w:rPr>
        <w:t>（联合体所有成员名称）</w:t>
      </w:r>
      <w:r>
        <w:rPr>
          <w:rFonts w:hint="eastAsia" w:ascii="宋体" w:hAnsi="宋体" w:eastAsia="宋体" w:cs="宋体"/>
          <w:kern w:val="0"/>
          <w:szCs w:val="21"/>
        </w:rPr>
        <w:t>自愿</w:t>
      </w:r>
      <w:r>
        <w:rPr>
          <w:rFonts w:hint="eastAsia" w:ascii="宋体" w:hAnsi="宋体" w:eastAsia="宋体" w:cs="宋体"/>
          <w:kern w:val="0"/>
          <w:szCs w:val="21"/>
          <w:lang w:val="zh-CN"/>
        </w:rPr>
        <w:t>组成一个联合体，以一个供应商的身份</w:t>
      </w:r>
      <w:r>
        <w:rPr>
          <w:rFonts w:hint="eastAsia" w:ascii="宋体" w:hAnsi="宋体" w:eastAsia="宋体" w:cs="宋体"/>
          <w:kern w:val="0"/>
          <w:szCs w:val="21"/>
        </w:rPr>
        <w:t>参加</w:t>
      </w:r>
      <w:r>
        <w:rPr>
          <w:rFonts w:hint="eastAsia" w:ascii="宋体" w:hAnsi="宋体" w:eastAsia="宋体" w:cs="宋体"/>
          <w:szCs w:val="21"/>
        </w:rPr>
        <w:t>（项目名称）</w:t>
      </w:r>
      <w:r>
        <w:rPr>
          <w:rFonts w:hint="eastAsia" w:ascii="宋体" w:hAnsi="宋体" w:eastAsia="宋体" w:cs="宋体"/>
          <w:kern w:val="0"/>
          <w:szCs w:val="21"/>
          <w:lang w:val="zh-CN"/>
        </w:rPr>
        <w:t xml:space="preserve">【项目编号：（项目编号）】响应。 </w:t>
      </w:r>
    </w:p>
    <w:p w14:paraId="25A34C6E">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，代表所有联合体成员负责响应和合同实施阶段的主办、协调工作</w:t>
      </w:r>
      <w:r>
        <w:rPr>
          <w:rFonts w:hint="eastAsia" w:ascii="宋体" w:hAnsi="宋体" w:eastAsia="宋体" w:cs="宋体"/>
          <w:kern w:val="0"/>
          <w:szCs w:val="21"/>
          <w:lang w:val="zh-CN"/>
        </w:rPr>
        <w:t>。</w:t>
      </w:r>
    </w:p>
    <w:p w14:paraId="2BF5A03B">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授权代表根据磋商文件规定及采购内容而对采购人、采购代理机构所作的任何合法承诺，包括书面澄清及相应等均对联合体各方产生约束力。</w:t>
      </w:r>
    </w:p>
    <w:p w14:paraId="6DC90274">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三、本次联合响应中，分工如下：</w:t>
      </w:r>
    </w:p>
    <w:p w14:paraId="33A9B960">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78C97502">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u w:val="single"/>
        </w:rPr>
        <w:t>（联合体成员2）</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7ACD5B81">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四、联合体成员中小企业合同份额（如果有）。</w:t>
      </w:r>
    </w:p>
    <w:p w14:paraId="4C534E40">
      <w:pPr>
        <w:snapToGrid w:val="0"/>
        <w:spacing w:line="360" w:lineRule="auto"/>
        <w:ind w:firstLine="420" w:firstLineChars="200"/>
        <w:rPr>
          <w:rFonts w:hint="eastAsia"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118" w:name="_Hlk101131882"/>
      <w:r>
        <w:rPr>
          <w:rFonts w:hint="eastAsia" w:ascii="宋体" w:hAnsi="宋体" w:eastAsia="宋体" w:cs="宋体"/>
          <w:kern w:val="0"/>
          <w:szCs w:val="21"/>
          <w:u w:val="single"/>
        </w:rPr>
        <w:t>联合体成员X,……</w:t>
      </w:r>
      <w:bookmarkEnd w:id="118"/>
      <w:r>
        <w:rPr>
          <w:rFonts w:hint="eastAsia" w:ascii="宋体" w:hAnsi="宋体" w:eastAsia="宋体" w:cs="宋体"/>
          <w:kern w:val="0"/>
          <w:szCs w:val="21"/>
          <w:u w:val="single"/>
        </w:rPr>
        <w:t>）</w:t>
      </w:r>
      <w:r>
        <w:rPr>
          <w:rFonts w:hint="eastAsia" w:ascii="宋体" w:hAnsi="宋体" w:eastAsia="宋体" w:cs="宋体"/>
          <w:kern w:val="0"/>
          <w:szCs w:val="21"/>
        </w:rPr>
        <w:t>提供的货物由小微企业制造，其合同份额占到合同总金额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119" w:name="_Hlk101133598"/>
      <w:r>
        <w:rPr>
          <w:rFonts w:hint="eastAsia" w:ascii="宋体" w:hAnsi="宋体" w:eastAsia="宋体" w:cs="宋体"/>
          <w:b/>
          <w:kern w:val="0"/>
          <w:szCs w:val="21"/>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119"/>
      <w:r>
        <w:rPr>
          <w:rFonts w:hint="eastAsia" w:ascii="宋体" w:hAnsi="宋体" w:eastAsia="宋体" w:cs="宋体"/>
          <w:b/>
          <w:kern w:val="0"/>
          <w:szCs w:val="21"/>
          <w:lang w:val="zh-CN"/>
        </w:rPr>
        <w:t>）</w:t>
      </w:r>
    </w:p>
    <w:p w14:paraId="1968DC74">
      <w:pPr>
        <w:spacing w:line="360" w:lineRule="auto"/>
        <w:ind w:firstLine="420" w:firstLineChars="200"/>
        <w:rPr>
          <w:rFonts w:hint="eastAsia" w:ascii="宋体" w:hAnsi="宋体" w:eastAsia="宋体" w:cs="宋体"/>
          <w:b/>
          <w:bCs/>
          <w:kern w:val="0"/>
          <w:szCs w:val="21"/>
          <w:lang w:val="zh-CN"/>
        </w:rPr>
      </w:pPr>
      <w:r>
        <w:rPr>
          <w:rFonts w:hint="eastAsia" w:ascii="宋体" w:hAnsi="宋体" w:eastAsia="宋体" w:cs="宋体"/>
          <w:szCs w:val="21"/>
        </w:rPr>
        <w:t>2、</w:t>
      </w:r>
      <w:bookmarkStart w:id="120"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%，其中小微企业合同金额达到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120"/>
    </w:p>
    <w:p w14:paraId="09A45412">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五、如果成交，</w:t>
      </w:r>
      <w:r>
        <w:rPr>
          <w:rFonts w:hint="eastAsia" w:ascii="宋体" w:hAnsi="宋体" w:eastAsia="宋体" w:cs="宋体"/>
          <w:szCs w:val="21"/>
        </w:rPr>
        <w:t>联合体各成员方共同与采购人签订合同，并就采购合同约定的事项对采购人承担连带责任。</w:t>
      </w:r>
    </w:p>
    <w:p w14:paraId="5F6386CA">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六、有关本次联合响应的其他事宜：</w:t>
      </w:r>
    </w:p>
    <w:p w14:paraId="4B4FC9AE">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14:paraId="591EC9BE">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14:paraId="094AF1A5">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3、本协议提交采购人、采购代理机构后，联合体各方不得以任何形式对上述内容进行修改或撤销。</w:t>
      </w:r>
    </w:p>
    <w:p w14:paraId="37A08950">
      <w:pPr>
        <w:snapToGrid w:val="0"/>
        <w:spacing w:line="360" w:lineRule="auto"/>
        <w:ind w:firstLine="420" w:firstLineChars="200"/>
        <w:jc w:val="right"/>
        <w:rPr>
          <w:rFonts w:hint="eastAsia" w:ascii="宋体" w:hAnsi="宋体" w:eastAsia="宋体" w:cs="宋体"/>
          <w:kern w:val="0"/>
          <w:szCs w:val="21"/>
          <w:lang w:val="zh-CN"/>
        </w:rPr>
      </w:pPr>
      <w:r>
        <w:rPr>
          <w:rFonts w:hint="eastAsia" w:ascii="宋体" w:hAnsi="宋体" w:eastAsia="宋体" w:cs="宋体"/>
          <w:kern w:val="0"/>
          <w:szCs w:val="21"/>
          <w:lang w:val="zh-CN"/>
        </w:rPr>
        <w:t>联合体成员名称(电子签名/公章)：</w:t>
      </w:r>
    </w:p>
    <w:p w14:paraId="1C1FD850">
      <w:pPr>
        <w:snapToGrid w:val="0"/>
        <w:spacing w:line="360" w:lineRule="auto"/>
        <w:ind w:firstLine="420" w:firstLineChars="200"/>
        <w:jc w:val="right"/>
        <w:rPr>
          <w:rFonts w:hint="eastAsia" w:ascii="宋体" w:hAnsi="宋体" w:eastAsia="宋体" w:cs="宋体"/>
          <w:kern w:val="0"/>
          <w:szCs w:val="21"/>
          <w:lang w:val="zh-CN"/>
        </w:rPr>
      </w:pPr>
      <w:r>
        <w:rPr>
          <w:rFonts w:hint="eastAsia" w:ascii="宋体" w:hAnsi="宋体" w:eastAsia="宋体" w:cs="宋体"/>
          <w:kern w:val="0"/>
          <w:szCs w:val="21"/>
          <w:lang w:val="zh-CN"/>
        </w:rPr>
        <w:t>联合体成员名称(电子签名/公章)：</w:t>
      </w:r>
    </w:p>
    <w:p w14:paraId="20D95050">
      <w:pPr>
        <w:snapToGrid w:val="0"/>
        <w:spacing w:line="360" w:lineRule="auto"/>
        <w:ind w:firstLine="420" w:firstLineChars="200"/>
        <w:jc w:val="right"/>
        <w:rPr>
          <w:rFonts w:hint="eastAsia" w:ascii="宋体" w:hAnsi="宋体" w:eastAsia="宋体" w:cs="宋体"/>
          <w:kern w:val="0"/>
          <w:sz w:val="24"/>
          <w:lang w:val="zh-CN"/>
        </w:rPr>
      </w:pPr>
      <w:r>
        <w:rPr>
          <w:rFonts w:hint="eastAsia" w:ascii="宋体" w:hAnsi="宋体" w:eastAsia="宋体" w:cs="宋体"/>
          <w:kern w:val="0"/>
          <w:szCs w:val="21"/>
          <w:lang w:val="zh-CN"/>
        </w:rPr>
        <w:t>日期：  年  月   日</w:t>
      </w:r>
    </w:p>
    <w:p w14:paraId="5327213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注：按本格式和要求提供。</w:t>
      </w:r>
    </w:p>
    <w:p w14:paraId="7EF71DEA">
      <w:pPr>
        <w:ind w:firstLine="422" w:firstLineChars="200"/>
        <w:rPr>
          <w:rFonts w:hint="eastAsia" w:ascii="宋体" w:hAnsi="宋体" w:eastAsia="宋体" w:cs="宋体"/>
          <w:b/>
          <w:bCs/>
          <w:lang w:val="zh-CN"/>
        </w:rPr>
      </w:pPr>
      <w:r>
        <w:rPr>
          <w:rFonts w:hint="eastAsia" w:ascii="宋体" w:hAnsi="宋体" w:eastAsia="宋体" w:cs="宋体"/>
          <w:b/>
          <w:bCs/>
          <w:lang w:val="zh-CN"/>
        </w:rPr>
        <w:t>▲特别重要提示：供应商如为联合体投标应在制作投标响应文件前通过“政采云”平台自行组成联合体，如制作投标响应文件未通过“政采云”平台自行组成联合体的，将可能被视为投标无效。</w:t>
      </w:r>
    </w:p>
    <w:p w14:paraId="1FAEB0BA">
      <w:pPr>
        <w:spacing w:line="360" w:lineRule="auto"/>
        <w:ind w:firstLine="422" w:firstLineChars="200"/>
        <w:rPr>
          <w:rFonts w:hint="eastAsia" w:ascii="宋体" w:hAnsi="宋体" w:eastAsia="宋体" w:cs="宋体"/>
          <w:b/>
          <w:bCs/>
        </w:rPr>
        <w:sectPr>
          <w:headerReference r:id="rId6" w:type="default"/>
          <w:footerReference r:id="rId7" w:type="default"/>
          <w:pgSz w:w="11906" w:h="16838"/>
          <w:pgMar w:top="1134" w:right="1247" w:bottom="1247" w:left="1304" w:header="794" w:footer="794" w:gutter="0"/>
          <w:pgNumType w:fmt="decimal"/>
          <w:cols w:space="720" w:num="1"/>
          <w:docGrid w:type="lines" w:linePitch="312" w:charSpace="0"/>
        </w:sectPr>
      </w:pPr>
    </w:p>
    <w:p w14:paraId="0B0FBE5B">
      <w:pPr>
        <w:jc w:val="center"/>
        <w:rPr>
          <w:rFonts w:hint="eastAsia" w:ascii="宋体" w:hAnsi="宋体" w:eastAsia="宋体" w:cs="宋体"/>
          <w:b/>
          <w:sz w:val="32"/>
          <w:szCs w:val="32"/>
        </w:rPr>
      </w:pPr>
      <w:r>
        <w:rPr>
          <w:rFonts w:hint="eastAsia" w:ascii="宋体" w:hAnsi="宋体" w:cs="宋体"/>
          <w:b/>
          <w:sz w:val="32"/>
          <w:szCs w:val="32"/>
          <w:lang w:val="en-US" w:eastAsia="zh-CN"/>
        </w:rPr>
        <w:t>三、</w:t>
      </w:r>
      <w:r>
        <w:rPr>
          <w:rFonts w:hint="eastAsia" w:ascii="宋体" w:hAnsi="宋体" w:eastAsia="宋体" w:cs="宋体"/>
          <w:b/>
          <w:sz w:val="32"/>
          <w:szCs w:val="32"/>
        </w:rPr>
        <w:t>中小企业声明函或监狱企业、残疾人福利性单位及其他相关的充分的证明材料</w:t>
      </w:r>
    </w:p>
    <w:p w14:paraId="7D278DF3">
      <w:pPr>
        <w:tabs>
          <w:tab w:val="left" w:pos="0"/>
        </w:tabs>
        <w:ind w:left="0" w:firstLine="0"/>
        <w:outlineLvl w:val="9"/>
        <w:rPr>
          <w:rFonts w:hint="eastAsia" w:ascii="宋体" w:hAnsi="宋体" w:eastAsia="宋体" w:cs="宋体"/>
        </w:rPr>
      </w:pPr>
    </w:p>
    <w:p w14:paraId="7CADC8FB">
      <w:pPr>
        <w:spacing w:line="360" w:lineRule="auto"/>
        <w:jc w:val="center"/>
        <w:rPr>
          <w:rFonts w:hint="eastAsia" w:ascii="宋体" w:hAnsi="宋体" w:eastAsia="宋体" w:cs="宋体"/>
          <w:b/>
          <w:szCs w:val="21"/>
        </w:rPr>
      </w:pPr>
      <w:r>
        <w:rPr>
          <w:rFonts w:hint="eastAsia" w:ascii="宋体" w:hAnsi="宋体" w:eastAsia="宋体" w:cs="宋体"/>
          <w:b/>
          <w:szCs w:val="21"/>
        </w:rPr>
        <w:t>中小企业声明函（货物）</w:t>
      </w:r>
    </w:p>
    <w:p w14:paraId="21674EF4">
      <w:pPr>
        <w:spacing w:line="360" w:lineRule="auto"/>
        <w:rPr>
          <w:rFonts w:hint="eastAsia" w:ascii="宋体" w:hAnsi="宋体" w:eastAsia="宋体" w:cs="宋体"/>
          <w:szCs w:val="21"/>
        </w:rPr>
      </w:pPr>
    </w:p>
    <w:p w14:paraId="3FA7D7D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本公司（联合体）郑重声明，根据《政府采购促进中小企业发展管理办法》（财库﹝2020﹞46 号）的规定，本公司（联合体）参加</w:t>
      </w:r>
      <w:r>
        <w:rPr>
          <w:rFonts w:hint="eastAsia" w:ascii="宋体" w:hAnsi="宋体" w:eastAsia="宋体" w:cs="宋体"/>
          <w:kern w:val="0"/>
          <w:szCs w:val="21"/>
        </w:rPr>
        <w:t>浙江中医药大学</w:t>
      </w:r>
      <w:r>
        <w:rPr>
          <w:rFonts w:hint="eastAsia" w:ascii="宋体" w:hAnsi="宋体" w:eastAsia="宋体" w:cs="宋体"/>
          <w:szCs w:val="21"/>
        </w:rPr>
        <w:t>的</w:t>
      </w:r>
      <w:r>
        <w:rPr>
          <w:rFonts w:hint="eastAsia" w:ascii="宋体" w:hAnsi="宋体" w:eastAsia="宋体" w:cs="宋体"/>
          <w:kern w:val="0"/>
          <w:szCs w:val="21"/>
          <w:lang w:eastAsia="zh-CN"/>
        </w:rPr>
        <w:t>便携式舌脉象仪采购</w:t>
      </w:r>
      <w:r>
        <w:rPr>
          <w:rFonts w:hint="eastAsia" w:ascii="宋体" w:hAnsi="宋体" w:eastAsia="宋体" w:cs="宋体"/>
          <w:szCs w:val="21"/>
        </w:rPr>
        <w:t>活动，提供的货物全部由符合政策要求的中小企业制造。相关企业（含联合体中的中小企业、签订分包意向协议的中小企业）的具体情况如下：</w:t>
      </w:r>
    </w:p>
    <w:p w14:paraId="7C698A0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rPr>
        <w:t xml:space="preserve">. </w:t>
      </w:r>
      <w:r>
        <w:rPr>
          <w:rFonts w:hint="eastAsia" w:ascii="宋体" w:hAnsi="宋体" w:eastAsia="宋体" w:cs="宋体"/>
          <w:b/>
          <w:bCs/>
          <w:szCs w:val="21"/>
          <w:u w:val="single"/>
        </w:rPr>
        <w:t xml:space="preserve"> 便携式舌脉象仪 </w:t>
      </w:r>
      <w:r>
        <w:rPr>
          <w:rFonts w:hint="eastAsia" w:ascii="宋体" w:hAnsi="宋体" w:eastAsia="宋体" w:cs="宋体"/>
          <w:szCs w:val="21"/>
        </w:rPr>
        <w:t xml:space="preserve">，属于 </w:t>
      </w:r>
      <w:r>
        <w:rPr>
          <w:rFonts w:hint="eastAsia" w:ascii="宋体" w:hAnsi="宋体" w:eastAsia="宋体" w:cs="宋体"/>
          <w:b/>
          <w:bCs/>
          <w:szCs w:val="21"/>
          <w:u w:val="single"/>
        </w:rPr>
        <w:t xml:space="preserve"> 工业 </w:t>
      </w:r>
      <w:r>
        <w:rPr>
          <w:rFonts w:hint="eastAsia" w:ascii="宋体" w:hAnsi="宋体" w:eastAsia="宋体" w:cs="宋体"/>
          <w:szCs w:val="21"/>
        </w:rPr>
        <w:t>行业 ；制造商为</w:t>
      </w:r>
      <w:r>
        <w:rPr>
          <w:rFonts w:hint="eastAsia" w:ascii="宋体" w:hAnsi="宋体" w:eastAsia="宋体" w:cs="宋体"/>
          <w:szCs w:val="21"/>
          <w:u w:val="single"/>
        </w:rPr>
        <w:t xml:space="preserve"> （企业名称）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14:paraId="1E544B4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bCs/>
          <w:szCs w:val="21"/>
        </w:rPr>
        <w:t xml:space="preserve"> </w:t>
      </w:r>
      <w:r>
        <w:rPr>
          <w:rFonts w:hint="eastAsia" w:ascii="宋体" w:hAnsi="宋体" w:eastAsia="宋体" w:cs="宋体"/>
          <w:b/>
          <w:bCs/>
          <w:szCs w:val="21"/>
          <w:u w:val="single"/>
        </w:rPr>
        <w:t xml:space="preserve">       </w:t>
      </w:r>
      <w:r>
        <w:rPr>
          <w:rFonts w:hint="eastAsia" w:ascii="宋体" w:hAnsi="宋体" w:eastAsia="宋体" w:cs="宋体"/>
          <w:szCs w:val="21"/>
        </w:rPr>
        <w:t>，属于</w:t>
      </w:r>
      <w:r>
        <w:rPr>
          <w:rFonts w:hint="eastAsia" w:ascii="宋体" w:hAnsi="宋体" w:eastAsia="宋体" w:cs="宋体"/>
          <w:szCs w:val="21"/>
          <w:u w:val="single"/>
        </w:rPr>
        <w:t xml:space="preserve"> </w:t>
      </w:r>
      <w:r>
        <w:rPr>
          <w:rFonts w:hint="eastAsia" w:ascii="宋体" w:hAnsi="宋体" w:eastAsia="宋体" w:cs="宋体"/>
          <w:b/>
          <w:bCs/>
          <w:szCs w:val="21"/>
          <w:u w:val="single"/>
        </w:rPr>
        <w:t>工业</w:t>
      </w:r>
      <w:r>
        <w:rPr>
          <w:rFonts w:hint="eastAsia" w:ascii="宋体" w:hAnsi="宋体" w:eastAsia="宋体" w:cs="宋体"/>
          <w:szCs w:val="21"/>
          <w:u w:val="single"/>
        </w:rPr>
        <w:t xml:space="preserve">   </w:t>
      </w:r>
      <w:r>
        <w:rPr>
          <w:rFonts w:hint="eastAsia" w:ascii="宋体" w:hAnsi="宋体" w:eastAsia="宋体" w:cs="宋体"/>
          <w:szCs w:val="21"/>
        </w:rPr>
        <w:t>行业 ；制造商为</w:t>
      </w:r>
      <w:r>
        <w:rPr>
          <w:rFonts w:hint="eastAsia" w:ascii="宋体" w:hAnsi="宋体" w:eastAsia="宋体" w:cs="宋体"/>
          <w:szCs w:val="21"/>
          <w:u w:val="single"/>
        </w:rPr>
        <w:t xml:space="preserve"> （企业名称）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14:paraId="2E388FF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w:t>
      </w:r>
    </w:p>
    <w:p w14:paraId="34DE5BA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709426A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本企业对上述声明内容的真实性负责。如有虚假，将依法承担相应责任。</w:t>
      </w:r>
    </w:p>
    <w:p w14:paraId="0E0A3E6D">
      <w:pPr>
        <w:spacing w:line="360" w:lineRule="auto"/>
        <w:ind w:right="1760" w:firstLine="5040" w:firstLineChars="2400"/>
        <w:jc w:val="both"/>
        <w:rPr>
          <w:rFonts w:hint="eastAsia"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名称（公章）：</w:t>
      </w:r>
    </w:p>
    <w:p w14:paraId="2675E55A">
      <w:pPr>
        <w:spacing w:line="360" w:lineRule="auto"/>
        <w:ind w:right="1120" w:firstLine="5040" w:firstLineChars="2400"/>
        <w:rPr>
          <w:rFonts w:hint="eastAsia" w:ascii="宋体" w:hAnsi="宋体" w:eastAsia="宋体" w:cs="宋体"/>
          <w:szCs w:val="21"/>
        </w:rPr>
      </w:pPr>
      <w:r>
        <w:rPr>
          <w:rFonts w:hint="eastAsia" w:ascii="宋体" w:hAnsi="宋体" w:eastAsia="宋体" w:cs="宋体"/>
          <w:szCs w:val="21"/>
        </w:rPr>
        <w:t>日 期：</w:t>
      </w:r>
    </w:p>
    <w:p w14:paraId="3748DFBD">
      <w:pPr>
        <w:spacing w:line="360" w:lineRule="auto"/>
        <w:ind w:firstLine="310" w:firstLineChars="147"/>
        <w:jc w:val="left"/>
        <w:rPr>
          <w:rFonts w:hint="eastAsia" w:ascii="宋体" w:hAnsi="宋体" w:eastAsia="宋体" w:cs="宋体"/>
          <w:b/>
          <w:szCs w:val="21"/>
        </w:rPr>
      </w:pPr>
    </w:p>
    <w:p w14:paraId="1B79ACCC">
      <w:pPr>
        <w:spacing w:line="360" w:lineRule="auto"/>
        <w:ind w:right="420"/>
        <w:jc w:val="left"/>
        <w:rPr>
          <w:rFonts w:hint="eastAsia" w:ascii="宋体" w:hAnsi="宋体" w:eastAsia="宋体" w:cs="宋体"/>
          <w:b/>
          <w:kern w:val="0"/>
          <w:szCs w:val="21"/>
          <w:lang w:eastAsia="zh-CN"/>
        </w:rPr>
      </w:pPr>
      <w:r>
        <w:rPr>
          <w:rFonts w:hint="eastAsia" w:ascii="宋体" w:hAnsi="宋体" w:eastAsia="宋体" w:cs="宋体"/>
          <w:szCs w:val="21"/>
        </w:rPr>
        <w:t xml:space="preserve">   注：填写要求：从业人员、营业收入、资产总额填报上一年度数据，无上一年度数据的新成立企业可不填报；中型企业、小型企业、微型企业等3种企业类型，结合以上数据，依据《中小企业划型标准规定》（工信部联企业〔2011〕300号）确定；</w:t>
      </w:r>
      <w:r>
        <w:rPr>
          <w:rFonts w:hint="eastAsia" w:ascii="宋体" w:hAnsi="宋体" w:cs="宋体"/>
          <w:szCs w:val="21"/>
          <w:lang w:eastAsia="zh-CN"/>
        </w:rPr>
        <w:t>供应商</w:t>
      </w:r>
      <w:r>
        <w:rPr>
          <w:rFonts w:hint="eastAsia" w:ascii="宋体" w:hAnsi="宋体" w:eastAsia="宋体" w:cs="宋体"/>
          <w:szCs w:val="21"/>
        </w:rPr>
        <w:t xml:space="preserve">提供的《中小企业声明函》与实际情况不符的或者未按以上要求填写的，中小企业声明函无效，不享受中小企业扶持政策。声明内容不实的，属于提供虚假材料谋取中标、成交的，依法承担法律责任。 </w:t>
      </w:r>
    </w:p>
    <w:p w14:paraId="2E47C91A">
      <w:pPr>
        <w:snapToGrid w:val="0"/>
        <w:spacing w:line="360" w:lineRule="auto"/>
        <w:ind w:firstLine="602" w:firstLineChars="200"/>
        <w:jc w:val="center"/>
        <w:rPr>
          <w:rFonts w:hint="eastAsia" w:ascii="宋体" w:hAnsi="宋体" w:eastAsia="宋体" w:cs="宋体"/>
          <w:b/>
          <w:kern w:val="0"/>
          <w:sz w:val="30"/>
          <w:szCs w:val="30"/>
        </w:rPr>
      </w:pPr>
    </w:p>
    <w:p w14:paraId="316A7FE9">
      <w:pPr>
        <w:snapToGrid w:val="0"/>
        <w:spacing w:line="360" w:lineRule="auto"/>
        <w:ind w:firstLine="602" w:firstLineChars="200"/>
        <w:jc w:val="center"/>
        <w:rPr>
          <w:rFonts w:hint="eastAsia" w:ascii="宋体" w:hAnsi="宋体" w:eastAsia="宋体" w:cs="宋体"/>
          <w:b/>
          <w:kern w:val="0"/>
          <w:sz w:val="30"/>
          <w:szCs w:val="30"/>
        </w:rPr>
      </w:pPr>
    </w:p>
    <w:p w14:paraId="6547AC15">
      <w:pPr>
        <w:rPr>
          <w:rFonts w:hint="eastAsia" w:ascii="宋体" w:hAnsi="宋体" w:eastAsia="宋体" w:cs="宋体"/>
          <w:b/>
          <w:kern w:val="0"/>
          <w:sz w:val="30"/>
          <w:szCs w:val="30"/>
        </w:rPr>
      </w:pPr>
      <w:r>
        <w:rPr>
          <w:rFonts w:hint="eastAsia" w:ascii="宋体" w:hAnsi="宋体" w:eastAsia="宋体" w:cs="宋体"/>
          <w:b/>
          <w:kern w:val="0"/>
          <w:sz w:val="30"/>
          <w:szCs w:val="30"/>
        </w:rPr>
        <w:br w:type="page"/>
      </w:r>
    </w:p>
    <w:p w14:paraId="0EE8CD1F">
      <w:pPr>
        <w:snapToGrid w:val="0"/>
        <w:spacing w:line="360" w:lineRule="auto"/>
        <w:jc w:val="center"/>
        <w:rPr>
          <w:rFonts w:hint="eastAsia" w:ascii="宋体" w:hAnsi="宋体" w:eastAsia="宋体" w:cs="宋体"/>
          <w:b/>
          <w:kern w:val="0"/>
          <w:sz w:val="30"/>
          <w:szCs w:val="30"/>
        </w:rPr>
      </w:pPr>
      <w:r>
        <w:rPr>
          <w:rFonts w:hint="eastAsia" w:ascii="宋体" w:hAnsi="宋体" w:eastAsia="宋体" w:cs="宋体"/>
          <w:b/>
          <w:kern w:val="0"/>
          <w:sz w:val="30"/>
          <w:szCs w:val="30"/>
        </w:rPr>
        <w:t>残疾人福利性单位声明函及其相关的充分的证明材料（如有）</w:t>
      </w:r>
    </w:p>
    <w:p w14:paraId="1D5A7E38">
      <w:pPr>
        <w:pStyle w:val="13"/>
        <w:ind w:firstLine="883"/>
        <w:rPr>
          <w:rFonts w:hint="eastAsia" w:ascii="宋体" w:hAnsi="宋体" w:eastAsia="宋体" w:cs="宋体"/>
        </w:rPr>
      </w:pPr>
    </w:p>
    <w:p w14:paraId="1962EC48">
      <w:pPr>
        <w:snapToGrid w:val="0"/>
        <w:spacing w:line="360" w:lineRule="auto"/>
        <w:ind w:firstLine="602" w:firstLineChars="200"/>
        <w:jc w:val="center"/>
        <w:rPr>
          <w:rFonts w:hint="eastAsia" w:ascii="宋体" w:hAnsi="宋体" w:eastAsia="宋体" w:cs="宋体"/>
          <w:b/>
          <w:kern w:val="0"/>
          <w:sz w:val="30"/>
          <w:szCs w:val="30"/>
        </w:rPr>
      </w:pPr>
      <w:r>
        <w:rPr>
          <w:rFonts w:hint="eastAsia" w:ascii="宋体" w:hAnsi="宋体" w:eastAsia="宋体" w:cs="宋体"/>
          <w:b/>
          <w:kern w:val="0"/>
          <w:sz w:val="30"/>
          <w:szCs w:val="30"/>
        </w:rPr>
        <w:t>残疾人福利性单位声明函</w:t>
      </w:r>
    </w:p>
    <w:p w14:paraId="41D7D638">
      <w:pPr>
        <w:snapToGrid w:val="0"/>
        <w:spacing w:line="360" w:lineRule="auto"/>
        <w:ind w:firstLine="422" w:firstLineChars="200"/>
        <w:rPr>
          <w:rFonts w:hint="eastAsia" w:ascii="宋体" w:hAnsi="宋体" w:eastAsia="宋体" w:cs="宋体"/>
          <w:b/>
          <w:kern w:val="0"/>
          <w:szCs w:val="21"/>
        </w:rPr>
      </w:pPr>
    </w:p>
    <w:p w14:paraId="6D27B972">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03464F">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本单位对上述声明的真实性负责。如有虚假，将依法承担相应责任。</w:t>
      </w:r>
    </w:p>
    <w:p w14:paraId="614E428D">
      <w:pPr>
        <w:snapToGrid w:val="0"/>
        <w:spacing w:line="360" w:lineRule="auto"/>
        <w:ind w:firstLine="420" w:firstLineChars="200"/>
        <w:rPr>
          <w:rFonts w:hint="eastAsia" w:ascii="宋体" w:hAnsi="宋体" w:eastAsia="宋体" w:cs="宋体"/>
          <w:szCs w:val="21"/>
        </w:rPr>
      </w:pPr>
    </w:p>
    <w:p w14:paraId="6903FD49">
      <w:pPr>
        <w:tabs>
          <w:tab w:val="left" w:pos="4860"/>
        </w:tabs>
        <w:snapToGrid w:val="0"/>
        <w:spacing w:line="360" w:lineRule="auto"/>
        <w:ind w:right="1560" w:firstLine="420" w:firstLineChars="200"/>
        <w:jc w:val="left"/>
        <w:rPr>
          <w:rFonts w:hint="eastAsia" w:ascii="宋体" w:hAnsi="宋体" w:eastAsia="宋体" w:cs="宋体"/>
          <w:szCs w:val="21"/>
        </w:rPr>
      </w:pPr>
      <w:r>
        <w:rPr>
          <w:rFonts w:hint="eastAsia" w:ascii="宋体" w:hAnsi="宋体" w:eastAsia="宋体" w:cs="宋体"/>
          <w:szCs w:val="21"/>
        </w:rPr>
        <w:t xml:space="preserve">       单位名称（盖章）：       日  期：</w:t>
      </w:r>
    </w:p>
    <w:p w14:paraId="10F1A380">
      <w:pPr>
        <w:snapToGrid w:val="0"/>
        <w:spacing w:line="360" w:lineRule="auto"/>
        <w:ind w:firstLine="420" w:firstLineChars="200"/>
        <w:rPr>
          <w:rFonts w:hint="eastAsia" w:ascii="宋体" w:hAnsi="宋体" w:eastAsia="宋体" w:cs="宋体"/>
          <w:szCs w:val="21"/>
        </w:rPr>
      </w:pPr>
    </w:p>
    <w:p w14:paraId="7FB75E3A">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注：符合《关于促进残疾人就业政府采购政策的通知》（财库〔2017〕141号）规定的条件并提供《残疾人福利性单位声明函》的残疾人福利性单位视同小型、微型企业；</w:t>
      </w:r>
    </w:p>
    <w:p w14:paraId="270EC89E">
      <w:pPr>
        <w:spacing w:line="360" w:lineRule="auto"/>
        <w:ind w:firstLine="420" w:firstLineChars="200"/>
        <w:jc w:val="left"/>
        <w:rPr>
          <w:rFonts w:hint="eastAsia" w:ascii="宋体" w:hAnsi="宋体" w:eastAsia="宋体" w:cs="宋体"/>
          <w:b/>
          <w:sz w:val="32"/>
          <w:szCs w:val="32"/>
          <w:lang w:val="en-US" w:eastAsia="zh-CN"/>
        </w:rPr>
      </w:pPr>
      <w:r>
        <w:rPr>
          <w:rFonts w:hint="eastAsia" w:ascii="宋体" w:hAnsi="宋体" w:eastAsia="宋体" w:cs="宋体"/>
          <w:szCs w:val="21"/>
        </w:rPr>
        <w:t>根据《关于政府采购支持监狱企业发展有关问题的通知》（财库[2014]68号）的规定，</w:t>
      </w:r>
      <w:r>
        <w:rPr>
          <w:rFonts w:hint="eastAsia" w:ascii="宋体" w:hAnsi="宋体" w:cs="宋体"/>
          <w:szCs w:val="21"/>
          <w:lang w:eastAsia="zh-CN"/>
        </w:rPr>
        <w:t>供应商</w:t>
      </w:r>
      <w:r>
        <w:rPr>
          <w:rFonts w:hint="eastAsia" w:ascii="宋体" w:hAnsi="宋体" w:eastAsia="宋体" w:cs="宋体"/>
          <w:szCs w:val="21"/>
        </w:rPr>
        <w:t>提供由省级以上监狱管理局、戒毒管理局（含新疆生产建设兵团）出具的属于监狱企业证明文件的，视同为小型和微型企业。</w:t>
      </w:r>
    </w:p>
    <w:p w14:paraId="2BF967C0">
      <w:pPr>
        <w:jc w:val="center"/>
        <w:rPr>
          <w:rFonts w:hint="eastAsia" w:ascii="宋体" w:hAnsi="宋体" w:eastAsia="宋体" w:cs="宋体"/>
          <w:b/>
          <w:sz w:val="32"/>
          <w:szCs w:val="32"/>
          <w:lang w:val="en-US" w:eastAsia="zh-CN"/>
        </w:rPr>
      </w:pPr>
    </w:p>
    <w:p w14:paraId="64CABE46">
      <w:pP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br w:type="page"/>
      </w:r>
    </w:p>
    <w:p w14:paraId="740D54CC">
      <w:pPr>
        <w:jc w:val="center"/>
        <w:rPr>
          <w:rFonts w:hint="eastAsia" w:ascii="宋体" w:hAnsi="宋体" w:eastAsia="宋体" w:cs="宋体"/>
        </w:rPr>
      </w:pPr>
      <w:r>
        <w:rPr>
          <w:rFonts w:hint="eastAsia" w:ascii="宋体" w:hAnsi="宋体" w:eastAsia="宋体" w:cs="宋体"/>
          <w:b/>
          <w:sz w:val="32"/>
          <w:szCs w:val="32"/>
          <w:lang w:val="en-US" w:eastAsia="zh-CN"/>
        </w:rPr>
        <w:t>四</w:t>
      </w:r>
      <w:r>
        <w:rPr>
          <w:rFonts w:hint="eastAsia" w:ascii="宋体" w:hAnsi="宋体" w:eastAsia="宋体" w:cs="宋体"/>
          <w:b/>
          <w:sz w:val="32"/>
          <w:szCs w:val="32"/>
        </w:rPr>
        <w:t>、符合特定资格条件的相关证明材料（如有）</w:t>
      </w:r>
    </w:p>
    <w:p w14:paraId="1DDD8AE6">
      <w:pPr>
        <w:snapToGrid w:val="0"/>
        <w:spacing w:before="50" w:after="50" w:line="360" w:lineRule="auto"/>
        <w:jc w:val="center"/>
        <w:rPr>
          <w:rFonts w:hint="eastAsia" w:ascii="宋体" w:hAnsi="宋体" w:eastAsia="宋体" w:cs="宋体"/>
          <w:b/>
          <w:kern w:val="0"/>
          <w:sz w:val="32"/>
          <w:szCs w:val="32"/>
        </w:rPr>
      </w:pPr>
    </w:p>
    <w:p w14:paraId="62C1CF9E">
      <w:pPr>
        <w:rPr>
          <w:rFonts w:hint="eastAsia" w:ascii="宋体" w:hAnsi="宋体" w:eastAsia="宋体" w:cs="宋体"/>
          <w:szCs w:val="21"/>
        </w:rPr>
      </w:pPr>
      <w:r>
        <w:rPr>
          <w:rFonts w:hint="eastAsia" w:ascii="宋体" w:hAnsi="宋体" w:eastAsia="宋体" w:cs="宋体"/>
          <w:szCs w:val="21"/>
        </w:rPr>
        <w:br w:type="page"/>
      </w:r>
    </w:p>
    <w:p w14:paraId="0492EB03">
      <w:pPr>
        <w:shd w:val="clear" w:color="auto" w:fill="FFFFFF"/>
        <w:adjustRightInd w:val="0"/>
        <w:snapToGrid w:val="0"/>
        <w:spacing w:line="360" w:lineRule="auto"/>
        <w:jc w:val="center"/>
        <w:outlineLvl w:val="1"/>
        <w:rPr>
          <w:rFonts w:hint="eastAsia" w:ascii="宋体" w:hAnsi="宋体" w:eastAsia="宋体" w:cs="宋体"/>
          <w:b/>
          <w:kern w:val="36"/>
          <w:sz w:val="32"/>
          <w:szCs w:val="28"/>
        </w:rPr>
      </w:pPr>
      <w:bookmarkStart w:id="121" w:name="_Toc18112"/>
      <w:bookmarkStart w:id="122" w:name="_Toc20294"/>
      <w:bookmarkStart w:id="123" w:name="_Toc354996707"/>
      <w:bookmarkStart w:id="124" w:name="_Toc2547"/>
      <w:bookmarkStart w:id="125" w:name="_Toc31953"/>
      <w:r>
        <w:rPr>
          <w:rFonts w:hint="eastAsia" w:ascii="宋体" w:hAnsi="宋体" w:eastAsia="宋体" w:cs="宋体"/>
          <w:b/>
          <w:kern w:val="36"/>
          <w:sz w:val="32"/>
          <w:szCs w:val="28"/>
        </w:rPr>
        <w:t>报价文件</w:t>
      </w:r>
      <w:bookmarkEnd w:id="121"/>
      <w:bookmarkEnd w:id="122"/>
      <w:bookmarkEnd w:id="123"/>
      <w:bookmarkEnd w:id="124"/>
      <w:bookmarkEnd w:id="125"/>
    </w:p>
    <w:p w14:paraId="456ACE38">
      <w:pPr>
        <w:shd w:val="clear" w:color="auto" w:fill="FFFFFF"/>
        <w:adjustRightInd w:val="0"/>
        <w:snapToGrid w:val="0"/>
        <w:spacing w:line="360" w:lineRule="auto"/>
        <w:jc w:val="center"/>
        <w:rPr>
          <w:rFonts w:hint="eastAsia" w:ascii="宋体" w:hAnsi="宋体" w:eastAsia="宋体" w:cs="宋体"/>
          <w:b/>
          <w:bCs/>
          <w:kern w:val="0"/>
          <w:sz w:val="24"/>
        </w:rPr>
      </w:pPr>
    </w:p>
    <w:p w14:paraId="79EA13B1">
      <w:pPr>
        <w:shd w:val="clear" w:color="auto" w:fill="FFFFFF"/>
        <w:adjustRightInd w:val="0"/>
        <w:snapToGrid w:val="0"/>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目录</w:t>
      </w:r>
    </w:p>
    <w:p w14:paraId="5492BF5A">
      <w:pPr>
        <w:shd w:val="clear" w:color="auto" w:fill="FFFFFF"/>
        <w:adjustRightInd w:val="0"/>
        <w:snapToGrid w:val="0"/>
        <w:spacing w:line="360" w:lineRule="auto"/>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eastAsia="zh-CN"/>
        </w:rPr>
        <w:t>磋商响应函</w:t>
      </w:r>
      <w:r>
        <w:rPr>
          <w:rFonts w:hint="eastAsia" w:ascii="宋体" w:hAnsi="宋体" w:eastAsia="宋体" w:cs="宋体"/>
          <w:kern w:val="0"/>
          <w:szCs w:val="21"/>
        </w:rPr>
        <w:t>…………………………………………………………………（页码）</w:t>
      </w:r>
    </w:p>
    <w:p w14:paraId="7B4F11DA">
      <w:pPr>
        <w:shd w:val="clear" w:color="auto" w:fill="FFFFFF"/>
        <w:adjustRightInd w:val="0"/>
        <w:snapToGrid w:val="0"/>
        <w:spacing w:line="360" w:lineRule="auto"/>
        <w:rPr>
          <w:rFonts w:hint="eastAsia" w:ascii="宋体" w:hAnsi="宋体" w:eastAsia="宋体" w:cs="宋体"/>
          <w:kern w:val="0"/>
          <w:szCs w:val="21"/>
        </w:rPr>
      </w:pPr>
      <w:r>
        <w:rPr>
          <w:rFonts w:hint="eastAsia" w:ascii="宋体" w:hAnsi="宋体" w:eastAsia="宋体" w:cs="宋体"/>
          <w:kern w:val="0"/>
          <w:szCs w:val="21"/>
        </w:rPr>
        <w:t>（2）开标一览表…………………………………………………………………（页码）</w:t>
      </w:r>
    </w:p>
    <w:p w14:paraId="0EB31C5D">
      <w:pPr>
        <w:shd w:val="clear" w:color="auto" w:fill="FFFFFF"/>
        <w:adjustRightInd w:val="0"/>
        <w:snapToGrid w:val="0"/>
        <w:spacing w:line="360" w:lineRule="auto"/>
        <w:rPr>
          <w:rFonts w:hint="eastAsia" w:ascii="宋体" w:hAnsi="宋体" w:eastAsia="宋体" w:cs="宋体"/>
          <w:kern w:val="0"/>
          <w:szCs w:val="21"/>
        </w:rPr>
      </w:pPr>
      <w:r>
        <w:rPr>
          <w:rFonts w:hint="eastAsia" w:ascii="宋体" w:hAnsi="宋体" w:eastAsia="宋体" w:cs="宋体"/>
          <w:kern w:val="0"/>
          <w:szCs w:val="21"/>
        </w:rPr>
        <w:t>（3）磋商价格组成明细表………………………………………………………（页码）</w:t>
      </w:r>
    </w:p>
    <w:p w14:paraId="47BBAA88">
      <w:pPr>
        <w:shd w:val="clear" w:color="auto" w:fill="FFFFFF"/>
        <w:adjustRightInd w:val="0"/>
        <w:snapToGrid w:val="0"/>
        <w:spacing w:line="360" w:lineRule="auto"/>
        <w:rPr>
          <w:rFonts w:hint="eastAsia" w:ascii="宋体" w:hAnsi="宋体" w:eastAsia="宋体" w:cs="宋体"/>
          <w:kern w:val="0"/>
          <w:szCs w:val="21"/>
        </w:rPr>
      </w:pPr>
      <w:r>
        <w:rPr>
          <w:rFonts w:hint="eastAsia" w:ascii="宋体" w:hAnsi="宋体" w:eastAsia="宋体" w:cs="宋体"/>
          <w:kern w:val="0"/>
          <w:szCs w:val="21"/>
        </w:rPr>
        <w:t>（4）交纳采购代理服务费承诺书………………………………………………（页码）</w:t>
      </w:r>
    </w:p>
    <w:p w14:paraId="4A47C568">
      <w:pPr>
        <w:pageBreakBefore/>
        <w:shd w:val="clear" w:color="auto" w:fill="FFFFFF"/>
        <w:adjustRightInd w:val="0"/>
        <w:snapToGrid w:val="0"/>
        <w:spacing w:line="360" w:lineRule="auto"/>
        <w:jc w:val="center"/>
        <w:outlineLvl w:val="2"/>
        <w:rPr>
          <w:rFonts w:hint="eastAsia" w:ascii="宋体" w:hAnsi="宋体" w:eastAsia="宋体" w:cs="宋体"/>
          <w:b/>
          <w:bCs/>
          <w:sz w:val="24"/>
          <w:lang w:eastAsia="zh-CN"/>
        </w:rPr>
      </w:pPr>
      <w:bookmarkStart w:id="126" w:name="_Toc233618990"/>
      <w:r>
        <w:rPr>
          <w:rFonts w:hint="eastAsia" w:ascii="宋体" w:hAnsi="宋体" w:eastAsia="宋体" w:cs="宋体"/>
          <w:b/>
          <w:bCs/>
          <w:kern w:val="0"/>
          <w:sz w:val="24"/>
        </w:rPr>
        <w:t>一、</w:t>
      </w:r>
      <w:bookmarkEnd w:id="126"/>
      <w:r>
        <w:rPr>
          <w:rFonts w:hint="eastAsia" w:ascii="宋体" w:hAnsi="宋体" w:eastAsia="宋体" w:cs="宋体"/>
          <w:b/>
          <w:bCs/>
          <w:kern w:val="0"/>
          <w:sz w:val="24"/>
          <w:lang w:eastAsia="zh-CN"/>
        </w:rPr>
        <w:t>磋商响应函</w:t>
      </w:r>
    </w:p>
    <w:p w14:paraId="26516182">
      <w:pPr>
        <w:shd w:val="clear" w:color="auto" w:fill="FFFFFF"/>
        <w:adjustRightInd w:val="0"/>
        <w:snapToGrid w:val="0"/>
        <w:spacing w:line="360" w:lineRule="auto"/>
        <w:rPr>
          <w:rFonts w:hint="eastAsia" w:ascii="宋体" w:hAnsi="宋体" w:eastAsia="宋体" w:cs="宋体"/>
          <w:szCs w:val="21"/>
        </w:rPr>
      </w:pPr>
      <w:r>
        <w:rPr>
          <w:rFonts w:hint="eastAsia" w:ascii="宋体" w:hAnsi="宋体" w:eastAsia="宋体" w:cs="宋体"/>
          <w:szCs w:val="21"/>
        </w:rPr>
        <w:t>浙江中医药大学、浙江豪圣建设项目管理有限公司：</w:t>
      </w:r>
    </w:p>
    <w:p w14:paraId="3D73C734">
      <w:pPr>
        <w:shd w:val="clear" w:color="auto" w:fill="FFFFFF"/>
        <w:adjustRightInd w:val="0"/>
        <w:snapToGrid w:val="0"/>
        <w:spacing w:line="360" w:lineRule="auto"/>
        <w:rPr>
          <w:rFonts w:hint="eastAsia" w:ascii="宋体" w:hAnsi="宋体" w:eastAsia="宋体" w:cs="宋体"/>
          <w:szCs w:val="21"/>
        </w:rPr>
      </w:pPr>
      <w:r>
        <w:rPr>
          <w:rFonts w:hint="eastAsia" w:ascii="宋体" w:hAnsi="宋体" w:eastAsia="宋体" w:cs="宋体"/>
          <w:kern w:val="0"/>
          <w:szCs w:val="21"/>
          <w:lang w:val="zh-CN"/>
        </w:rPr>
        <w:t xml:space="preserve">    </w:t>
      </w:r>
      <w:r>
        <w:rPr>
          <w:rFonts w:hint="eastAsia" w:ascii="宋体" w:hAnsi="宋体" w:eastAsia="宋体" w:cs="宋体"/>
          <w:kern w:val="0"/>
          <w:szCs w:val="21"/>
          <w:u w:val="single"/>
          <w:lang w:val="zh-CN"/>
        </w:rPr>
        <w:t xml:space="preserve">                                   </w:t>
      </w:r>
      <w:r>
        <w:rPr>
          <w:rFonts w:hint="eastAsia" w:ascii="宋体" w:hAnsi="宋体" w:eastAsia="宋体" w:cs="宋体"/>
          <w:szCs w:val="21"/>
        </w:rPr>
        <w:t>(</w:t>
      </w:r>
      <w:r>
        <w:rPr>
          <w:rFonts w:hint="eastAsia" w:ascii="宋体" w:hAnsi="宋体" w:eastAsia="宋体" w:cs="宋体"/>
          <w:szCs w:val="21"/>
          <w:lang w:eastAsia="zh-CN"/>
        </w:rPr>
        <w:t>磋商供应商</w:t>
      </w:r>
      <w:r>
        <w:rPr>
          <w:rFonts w:hint="eastAsia" w:ascii="宋体" w:hAnsi="宋体" w:eastAsia="宋体" w:cs="宋体"/>
          <w:szCs w:val="21"/>
        </w:rPr>
        <w:t>全称)授权</w:t>
      </w:r>
      <w:r>
        <w:rPr>
          <w:rFonts w:hint="eastAsia" w:ascii="宋体" w:hAnsi="宋体" w:eastAsia="宋体" w:cs="宋体"/>
          <w:kern w:val="0"/>
          <w:szCs w:val="21"/>
          <w:u w:val="single"/>
          <w:lang w:val="zh-CN"/>
        </w:rPr>
        <w:t xml:space="preserve">          </w:t>
      </w:r>
      <w:r>
        <w:rPr>
          <w:rFonts w:hint="eastAsia" w:ascii="宋体" w:hAnsi="宋体" w:eastAsia="宋体" w:cs="宋体"/>
          <w:szCs w:val="21"/>
        </w:rPr>
        <w:t>(全权代表姓名)</w:t>
      </w:r>
      <w:r>
        <w:rPr>
          <w:rFonts w:hint="eastAsia" w:ascii="宋体" w:hAnsi="宋体" w:eastAsia="宋体" w:cs="宋体"/>
          <w:kern w:val="0"/>
          <w:szCs w:val="21"/>
          <w:u w:val="single"/>
          <w:lang w:val="zh-CN"/>
        </w:rPr>
        <w:t xml:space="preserve">              </w:t>
      </w:r>
      <w:r>
        <w:rPr>
          <w:rFonts w:hint="eastAsia" w:ascii="宋体" w:hAnsi="宋体" w:eastAsia="宋体" w:cs="宋体"/>
          <w:szCs w:val="21"/>
        </w:rPr>
        <w:t>(职务、职称)为全权代表，参加贵方组织的</w:t>
      </w:r>
      <w:r>
        <w:rPr>
          <w:rFonts w:hint="eastAsia" w:ascii="宋体" w:hAnsi="宋体" w:eastAsia="宋体" w:cs="宋体"/>
          <w:szCs w:val="21"/>
          <w:lang w:eastAsia="zh-CN"/>
        </w:rPr>
        <w:t>浙江中医药大学便携式舌脉象仪采购</w:t>
      </w:r>
      <w:r>
        <w:rPr>
          <w:rFonts w:hint="eastAsia" w:ascii="宋体" w:hAnsi="宋体" w:eastAsia="宋体" w:cs="宋体"/>
          <w:szCs w:val="21"/>
        </w:rPr>
        <w:t>(</w:t>
      </w:r>
      <w:r>
        <w:rPr>
          <w:rFonts w:hint="eastAsia" w:ascii="宋体" w:hAnsi="宋体" w:eastAsia="宋体" w:cs="宋体"/>
          <w:szCs w:val="21"/>
          <w:lang w:eastAsia="zh-CN"/>
        </w:rPr>
        <w:t>项目编号</w:t>
      </w:r>
      <w:r>
        <w:rPr>
          <w:rFonts w:hint="eastAsia" w:ascii="宋体" w:hAnsi="宋体" w:eastAsia="宋体" w:cs="宋体"/>
          <w:szCs w:val="21"/>
        </w:rPr>
        <w:t>：</w:t>
      </w:r>
      <w:r>
        <w:rPr>
          <w:rFonts w:hint="eastAsia" w:ascii="宋体" w:hAnsi="宋体" w:eastAsia="宋体" w:cs="宋体"/>
          <w:szCs w:val="21"/>
          <w:lang w:eastAsia="zh-CN"/>
        </w:rPr>
        <w:t>HSZB-2024-879</w:t>
      </w:r>
      <w:r>
        <w:rPr>
          <w:rFonts w:hint="eastAsia" w:ascii="宋体" w:hAnsi="宋体" w:eastAsia="宋体" w:cs="宋体"/>
          <w:kern w:val="0"/>
          <w:szCs w:val="21"/>
          <w:lang w:val="zh-CN"/>
        </w:rPr>
        <w:t>)</w:t>
      </w:r>
      <w:r>
        <w:rPr>
          <w:rFonts w:hint="eastAsia" w:ascii="宋体" w:hAnsi="宋体" w:eastAsia="宋体" w:cs="宋体"/>
          <w:szCs w:val="21"/>
        </w:rPr>
        <w:t>招标的有关活动，并对此项目进行磋商。为此：</w:t>
      </w:r>
    </w:p>
    <w:p w14:paraId="56691135">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1、我方同意在供应商</w:t>
      </w:r>
      <w:r>
        <w:rPr>
          <w:rFonts w:hint="eastAsia" w:ascii="宋体" w:hAnsi="宋体" w:eastAsia="宋体" w:cs="宋体"/>
          <w:kern w:val="44"/>
          <w:szCs w:val="21"/>
        </w:rPr>
        <w:t>编制和提交磋商响应文件须知</w:t>
      </w:r>
      <w:r>
        <w:rPr>
          <w:rFonts w:hint="eastAsia" w:ascii="宋体" w:hAnsi="宋体" w:eastAsia="宋体" w:cs="宋体"/>
          <w:szCs w:val="21"/>
        </w:rPr>
        <w:t>规定的开标日期起遵守本标书中的承诺且在投标有效期满之前均具有约束力。</w:t>
      </w:r>
    </w:p>
    <w:p w14:paraId="28BB6734">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2、我方承诺已经具备《中华人民共和国政府采购法》中规定的参加政府采购活动的供应商应当具备的条件：</w:t>
      </w:r>
    </w:p>
    <w:p w14:paraId="46B42A54">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(1)具有独立承担民事责任的能力。</w:t>
      </w:r>
    </w:p>
    <w:p w14:paraId="482CA5FB">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(2)遵守国家法律、行政法规，具有良好的信誉和商业道德。</w:t>
      </w:r>
    </w:p>
    <w:p w14:paraId="3B71D1E9">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(3)具有履行合同的能力和良好的履行合同记录。</w:t>
      </w:r>
    </w:p>
    <w:p w14:paraId="01FDFF8C">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(4)良好的资金、财务状况。</w:t>
      </w:r>
    </w:p>
    <w:p w14:paraId="70077A3C">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(5)提供的产品和服务符合中国政府规定的相应标准和环保标准。</w:t>
      </w:r>
    </w:p>
    <w:p w14:paraId="6BA5849A">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(6)没有违反政府采购法规、政策的记录。</w:t>
      </w:r>
    </w:p>
    <w:p w14:paraId="01680358">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(7)没有发生重大经济纠纷和走私犯罪记录。</w:t>
      </w:r>
    </w:p>
    <w:p w14:paraId="6995AA6B">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3、提供</w:t>
      </w:r>
      <w:r>
        <w:rPr>
          <w:rFonts w:hint="eastAsia" w:ascii="宋体" w:hAnsi="宋体" w:eastAsia="宋体" w:cs="宋体"/>
          <w:kern w:val="44"/>
          <w:szCs w:val="21"/>
        </w:rPr>
        <w:t>编制和提交磋商响应文件须知</w:t>
      </w:r>
      <w:r>
        <w:rPr>
          <w:rFonts w:hint="eastAsia" w:ascii="宋体" w:hAnsi="宋体" w:eastAsia="宋体" w:cs="宋体"/>
          <w:szCs w:val="21"/>
        </w:rPr>
        <w:t>规定的全部磋商响应文件，包括资格文件、报价文件、商务技术文件。具体内容为：</w:t>
      </w:r>
    </w:p>
    <w:p w14:paraId="65F49F22">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(1)资格文件。</w:t>
      </w:r>
    </w:p>
    <w:p w14:paraId="26BA26B2">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(2)报价文件。</w:t>
      </w:r>
    </w:p>
    <w:p w14:paraId="5371531C">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zh-CN"/>
        </w:rPr>
        <w:t>商务</w:t>
      </w:r>
      <w:r>
        <w:rPr>
          <w:rFonts w:hint="eastAsia" w:ascii="宋体" w:hAnsi="宋体" w:eastAsia="宋体" w:cs="宋体"/>
          <w:kern w:val="0"/>
          <w:szCs w:val="21"/>
          <w:lang w:val="zh-CN"/>
        </w:rPr>
        <w:t>技术文件</w:t>
      </w:r>
      <w:r>
        <w:rPr>
          <w:rFonts w:hint="eastAsia" w:ascii="宋体" w:hAnsi="宋体" w:eastAsia="宋体" w:cs="宋体"/>
          <w:szCs w:val="21"/>
        </w:rPr>
        <w:t>。</w:t>
      </w:r>
    </w:p>
    <w:p w14:paraId="5AD8D78A">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kern w:val="44"/>
          <w:szCs w:val="21"/>
        </w:rPr>
        <w:t>编制和提交磋商响应文件须知</w:t>
      </w:r>
      <w:r>
        <w:rPr>
          <w:rFonts w:hint="eastAsia" w:ascii="宋体" w:hAnsi="宋体" w:eastAsia="宋体" w:cs="宋体"/>
          <w:szCs w:val="21"/>
        </w:rPr>
        <w:t>要求供应商提交的全部文件。</w:t>
      </w:r>
    </w:p>
    <w:p w14:paraId="39CAB21E">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(5)按采购文件要求提供和交付的货物和服务的报价详见开标一览表。</w:t>
      </w:r>
    </w:p>
    <w:p w14:paraId="0CC085D0">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(6)保证忠实地执行双方所签订的合同，并承担合同规定的责任和义务。</w:t>
      </w:r>
    </w:p>
    <w:p w14:paraId="324762A2">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(7)保证遵守采购文件中的其他有关规定。</w:t>
      </w:r>
    </w:p>
    <w:p w14:paraId="3E55B8CA">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4、投标有效期内不撤销响应文件。强行撤销的，承诺按本项目预算金额的2%赔偿对</w:t>
      </w:r>
      <w:r>
        <w:rPr>
          <w:rFonts w:hint="eastAsia" w:ascii="宋体" w:hAnsi="宋体" w:eastAsia="宋体" w:cs="宋体"/>
          <w:szCs w:val="21"/>
          <w:lang w:eastAsia="zh-CN"/>
        </w:rPr>
        <w:t>采购代理机构</w:t>
      </w:r>
      <w:r>
        <w:rPr>
          <w:rFonts w:hint="eastAsia" w:ascii="宋体" w:hAnsi="宋体" w:eastAsia="宋体" w:cs="宋体"/>
          <w:szCs w:val="21"/>
        </w:rPr>
        <w:t>造成的损失。</w:t>
      </w:r>
    </w:p>
    <w:p w14:paraId="2387B2F3">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5、我方完全理解贵方不一定要接受最低价的投标。</w:t>
      </w:r>
    </w:p>
    <w:p w14:paraId="0CD83098">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6、我方愿意向贵方提供任何与该项投标有关的数据、情况和服务资料。若贵方需要，我方愿意提供我方作出的一切承诺的证明材料。</w:t>
      </w:r>
    </w:p>
    <w:p w14:paraId="6D4326B1">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7、我方已详细审核全部采购文件，包括采购文件修改书（如有的话）、参考资料及有关附件，确认无误。我方完全理解并接受采购文件的各项规定和要求，对采购文件的合理性、合法性不再有异议。</w:t>
      </w:r>
    </w:p>
    <w:p w14:paraId="53BEF0DD">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773A8F2">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(1)提供虚假材料谋取成交、成交的。</w:t>
      </w:r>
    </w:p>
    <w:p w14:paraId="0316FE7A">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(2)采取不正当手段诋毁、排挤其他供应商的。</w:t>
      </w:r>
    </w:p>
    <w:p w14:paraId="7F09F8C4">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(3)与采购人、其它供应商或者</w:t>
      </w:r>
      <w:r>
        <w:rPr>
          <w:rFonts w:hint="eastAsia" w:ascii="宋体" w:hAnsi="宋体" w:eastAsia="宋体" w:cs="宋体"/>
          <w:szCs w:val="21"/>
          <w:lang w:eastAsia="zh-CN"/>
        </w:rPr>
        <w:t>采购代理机构</w:t>
      </w:r>
      <w:r>
        <w:rPr>
          <w:rFonts w:hint="eastAsia" w:ascii="宋体" w:hAnsi="宋体" w:eastAsia="宋体" w:cs="宋体"/>
          <w:szCs w:val="21"/>
        </w:rPr>
        <w:t>恶意串通的。</w:t>
      </w:r>
    </w:p>
    <w:p w14:paraId="2258581D">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(4)向采购人、</w:t>
      </w:r>
      <w:r>
        <w:rPr>
          <w:rFonts w:hint="eastAsia" w:ascii="宋体" w:hAnsi="宋体" w:eastAsia="宋体" w:cs="宋体"/>
          <w:szCs w:val="21"/>
          <w:lang w:eastAsia="zh-CN"/>
        </w:rPr>
        <w:t>采购代理机构</w:t>
      </w:r>
      <w:r>
        <w:rPr>
          <w:rFonts w:hint="eastAsia" w:ascii="宋体" w:hAnsi="宋体" w:eastAsia="宋体" w:cs="宋体"/>
          <w:szCs w:val="21"/>
        </w:rPr>
        <w:t>行贿或者提供其他不正当利益的。</w:t>
      </w:r>
    </w:p>
    <w:p w14:paraId="7B584EFB">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(5)在招标采购过程中与采购人进行协商谈判的。</w:t>
      </w:r>
    </w:p>
    <w:p w14:paraId="79664D08">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(6)拒绝有关部门监督检查或提供虚假情况的。</w:t>
      </w:r>
    </w:p>
    <w:p w14:paraId="5FBFBA44">
      <w:pPr>
        <w:shd w:val="clear" w:color="auto" w:fill="FFFFFF"/>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供应商有前款第(1)至(5)项情形之一的，成交、成交无效。</w:t>
      </w:r>
    </w:p>
    <w:p w14:paraId="0BACA1D7">
      <w:pPr>
        <w:shd w:val="clear" w:color="auto" w:fill="FFFFFF"/>
        <w:adjustRightInd w:val="0"/>
        <w:snapToGrid w:val="0"/>
        <w:spacing w:line="360" w:lineRule="auto"/>
        <w:ind w:left="420" w:leftChars="200"/>
        <w:rPr>
          <w:rFonts w:hint="eastAsia" w:ascii="宋体" w:hAnsi="宋体" w:eastAsia="宋体" w:cs="宋体"/>
          <w:kern w:val="0"/>
          <w:szCs w:val="21"/>
          <w:lang w:val="zh-CN"/>
        </w:rPr>
      </w:pPr>
    </w:p>
    <w:p w14:paraId="11D86392">
      <w:pPr>
        <w:shd w:val="clear" w:color="auto" w:fill="FFFFFF"/>
        <w:adjustRightInd w:val="0"/>
        <w:snapToGrid w:val="0"/>
        <w:spacing w:line="360" w:lineRule="auto"/>
        <w:ind w:left="420" w:leftChars="200"/>
        <w:rPr>
          <w:rFonts w:hint="eastAsia" w:ascii="宋体" w:hAnsi="宋体" w:eastAsia="宋体" w:cs="宋体"/>
          <w:kern w:val="0"/>
          <w:szCs w:val="21"/>
          <w:lang w:val="zh-CN"/>
        </w:rPr>
      </w:pPr>
    </w:p>
    <w:p w14:paraId="736D9DC1">
      <w:pPr>
        <w:shd w:val="clear" w:color="auto" w:fill="FFFFFF"/>
        <w:adjustRightInd w:val="0"/>
        <w:snapToGrid w:val="0"/>
        <w:spacing w:line="360" w:lineRule="auto"/>
        <w:ind w:firstLine="420" w:firstLineChars="200"/>
        <w:rPr>
          <w:rFonts w:hint="eastAsia" w:ascii="宋体" w:hAnsi="宋体" w:eastAsia="宋体" w:cs="宋体"/>
          <w:kern w:val="0"/>
          <w:szCs w:val="21"/>
        </w:rPr>
      </w:pPr>
    </w:p>
    <w:p w14:paraId="6571366A">
      <w:pPr>
        <w:shd w:val="clear" w:color="auto" w:fill="FFFFFF"/>
        <w:adjustRightInd w:val="0"/>
        <w:snapToGrid w:val="0"/>
        <w:spacing w:line="360" w:lineRule="auto"/>
        <w:ind w:firstLine="420" w:firstLineChars="200"/>
        <w:rPr>
          <w:rFonts w:hint="eastAsia" w:ascii="宋体" w:hAnsi="宋体" w:eastAsia="宋体" w:cs="宋体"/>
          <w:kern w:val="0"/>
          <w:szCs w:val="21"/>
          <w:u w:val="single"/>
          <w:lang w:val="zh-CN"/>
        </w:rPr>
      </w:pPr>
      <w:r>
        <w:rPr>
          <w:rFonts w:hint="eastAsia" w:ascii="宋体" w:hAnsi="宋体" w:eastAsia="宋体" w:cs="宋体"/>
          <w:kern w:val="0"/>
          <w:szCs w:val="21"/>
          <w:lang w:eastAsia="zh-CN"/>
        </w:rPr>
        <w:t>磋商供应商</w:t>
      </w:r>
      <w:r>
        <w:rPr>
          <w:rFonts w:hint="eastAsia" w:ascii="宋体" w:hAnsi="宋体" w:eastAsia="宋体" w:cs="宋体"/>
          <w:kern w:val="0"/>
          <w:szCs w:val="21"/>
        </w:rPr>
        <w:t>公</w:t>
      </w:r>
      <w:r>
        <w:rPr>
          <w:rFonts w:hint="eastAsia" w:ascii="宋体" w:hAnsi="宋体" w:eastAsia="宋体" w:cs="宋体"/>
          <w:kern w:val="0"/>
          <w:szCs w:val="21"/>
          <w:lang w:val="zh-CN"/>
        </w:rPr>
        <w:t>章：</w:t>
      </w:r>
      <w:r>
        <w:rPr>
          <w:rFonts w:hint="eastAsia" w:ascii="宋体" w:hAnsi="宋体" w:eastAsia="宋体" w:cs="宋体"/>
          <w:kern w:val="0"/>
          <w:szCs w:val="21"/>
          <w:u w:val="single"/>
          <w:lang w:val="zh-CN"/>
        </w:rPr>
        <w:t xml:space="preserve">                                           </w:t>
      </w:r>
    </w:p>
    <w:p w14:paraId="6B5AF972">
      <w:pPr>
        <w:shd w:val="clear" w:color="auto" w:fill="FFFFFF"/>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zh-CN"/>
        </w:rPr>
        <w:t xml:space="preserve">联系电话： </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 xml:space="preserve">传真：  </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 xml:space="preserve">电子邮件：  </w:t>
      </w:r>
      <w:r>
        <w:rPr>
          <w:rFonts w:hint="eastAsia" w:ascii="宋体" w:hAnsi="宋体" w:eastAsia="宋体" w:cs="宋体"/>
          <w:kern w:val="0"/>
          <w:szCs w:val="21"/>
          <w:u w:val="single"/>
          <w:lang w:val="zh-CN"/>
        </w:rPr>
        <w:t xml:space="preserve">              </w:t>
      </w:r>
    </w:p>
    <w:p w14:paraId="49569C28">
      <w:pPr>
        <w:shd w:val="clear" w:color="auto" w:fill="FFFFFF"/>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zh-CN"/>
        </w:rPr>
        <w:t>联系地址：</w:t>
      </w:r>
      <w:r>
        <w:rPr>
          <w:rFonts w:hint="eastAsia" w:ascii="宋体" w:hAnsi="宋体" w:eastAsia="宋体" w:cs="宋体"/>
          <w:kern w:val="0"/>
          <w:szCs w:val="21"/>
          <w:u w:val="single"/>
          <w:lang w:val="zh-CN"/>
        </w:rPr>
        <w:t xml:space="preserve">                                                                        </w:t>
      </w:r>
    </w:p>
    <w:p w14:paraId="06E1B408">
      <w:pPr>
        <w:shd w:val="clear" w:color="auto" w:fill="FFFFFF"/>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zh-CN"/>
        </w:rPr>
        <w:t>邮政编码：</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传真号码：</w:t>
      </w:r>
      <w:r>
        <w:rPr>
          <w:rFonts w:hint="eastAsia" w:ascii="宋体" w:hAnsi="宋体" w:eastAsia="宋体" w:cs="宋体"/>
          <w:kern w:val="0"/>
          <w:szCs w:val="21"/>
          <w:u w:val="single"/>
          <w:lang w:val="zh-CN"/>
        </w:rPr>
        <w:t xml:space="preserve">                     </w:t>
      </w:r>
    </w:p>
    <w:p w14:paraId="0AB37BB7">
      <w:pPr>
        <w:shd w:val="clear" w:color="auto" w:fill="FFFFFF"/>
        <w:adjustRightInd w:val="0"/>
        <w:snapToGrid w:val="0"/>
        <w:spacing w:line="360" w:lineRule="auto"/>
        <w:ind w:firstLine="420" w:firstLineChars="200"/>
        <w:rPr>
          <w:rFonts w:hint="eastAsia" w:ascii="宋体" w:hAnsi="宋体" w:eastAsia="宋体" w:cs="宋体"/>
          <w:kern w:val="0"/>
          <w:szCs w:val="21"/>
          <w:u w:val="single"/>
        </w:rPr>
      </w:pPr>
      <w:r>
        <w:rPr>
          <w:rFonts w:hint="eastAsia" w:ascii="宋体" w:hAnsi="宋体" w:eastAsia="宋体" w:cs="宋体"/>
          <w:kern w:val="0"/>
          <w:szCs w:val="21"/>
          <w:lang w:val="zh-CN"/>
        </w:rPr>
        <w:t>日</w:t>
      </w:r>
      <w:r>
        <w:rPr>
          <w:rFonts w:hint="eastAsia" w:ascii="宋体" w:hAnsi="宋体" w:eastAsia="宋体" w:cs="宋体"/>
          <w:kern w:val="0"/>
          <w:szCs w:val="21"/>
        </w:rPr>
        <w:t xml:space="preserve">    </w:t>
      </w:r>
      <w:r>
        <w:rPr>
          <w:rFonts w:hint="eastAsia" w:ascii="宋体" w:hAnsi="宋体" w:eastAsia="宋体" w:cs="宋体"/>
          <w:kern w:val="0"/>
          <w:szCs w:val="21"/>
          <w:lang w:val="zh-CN"/>
        </w:rPr>
        <w:t>期</w:t>
      </w: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lang w:val="zh-CN"/>
        </w:rPr>
        <w:t>年</w:t>
      </w:r>
      <w:r>
        <w:rPr>
          <w:rFonts w:hint="eastAsia" w:ascii="宋体" w:hAnsi="宋体" w:eastAsia="宋体" w:cs="宋体"/>
          <w:kern w:val="0"/>
          <w:szCs w:val="21"/>
          <w:u w:val="single"/>
        </w:rPr>
        <w:t xml:space="preserve">  </w:t>
      </w:r>
      <w:r>
        <w:rPr>
          <w:rFonts w:hint="eastAsia" w:ascii="宋体" w:hAnsi="宋体" w:eastAsia="宋体" w:cs="宋体"/>
          <w:kern w:val="0"/>
          <w:szCs w:val="21"/>
          <w:lang w:val="zh-CN"/>
        </w:rPr>
        <w:t>月</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日</w:t>
      </w:r>
    </w:p>
    <w:p w14:paraId="684FC6C8">
      <w:pPr>
        <w:shd w:val="clear" w:color="auto" w:fill="FFFFFF"/>
        <w:adjustRightInd w:val="0"/>
        <w:snapToGrid w:val="0"/>
        <w:spacing w:line="360" w:lineRule="auto"/>
        <w:rPr>
          <w:rFonts w:hint="eastAsia" w:ascii="宋体" w:hAnsi="宋体" w:eastAsia="宋体" w:cs="宋体"/>
          <w:b/>
          <w:bCs/>
          <w:kern w:val="0"/>
          <w:szCs w:val="21"/>
          <w:lang w:val="zh-CN"/>
        </w:rPr>
      </w:pPr>
      <w:r>
        <w:rPr>
          <w:rFonts w:hint="eastAsia" w:ascii="宋体" w:hAnsi="宋体" w:eastAsia="宋体" w:cs="宋体"/>
          <w:b/>
          <w:bCs/>
          <w:kern w:val="0"/>
          <w:szCs w:val="21"/>
          <w:lang w:val="zh-CN"/>
        </w:rPr>
        <w:t>注：未按照本</w:t>
      </w:r>
      <w:r>
        <w:rPr>
          <w:rFonts w:hint="eastAsia" w:ascii="宋体" w:hAnsi="宋体" w:eastAsia="宋体" w:cs="宋体"/>
          <w:b/>
          <w:bCs/>
          <w:kern w:val="0"/>
          <w:szCs w:val="21"/>
        </w:rPr>
        <w:t>项目</w:t>
      </w:r>
      <w:r>
        <w:rPr>
          <w:rFonts w:hint="eastAsia" w:ascii="宋体" w:hAnsi="宋体" w:eastAsia="宋体" w:cs="宋体"/>
          <w:b/>
          <w:bCs/>
          <w:kern w:val="0"/>
          <w:szCs w:val="21"/>
          <w:lang w:val="zh-CN"/>
        </w:rPr>
        <w:t>响应函要求填报的将被视为非实质性响应，从而可能导致该磋商响应文件被拒绝。</w:t>
      </w:r>
    </w:p>
    <w:p w14:paraId="106AF714">
      <w:pPr>
        <w:pStyle w:val="61"/>
        <w:rPr>
          <w:rFonts w:hint="eastAsia" w:ascii="宋体" w:hAnsi="宋体" w:eastAsia="宋体" w:cs="宋体"/>
          <w:b/>
          <w:bCs/>
          <w:color w:val="auto"/>
          <w:sz w:val="21"/>
          <w:szCs w:val="21"/>
          <w:lang w:val="zh-CN"/>
        </w:rPr>
      </w:pPr>
    </w:p>
    <w:p w14:paraId="052F76B2">
      <w:pPr>
        <w:pageBreakBefore/>
        <w:shd w:val="clear" w:color="auto" w:fill="FFFFFF"/>
        <w:adjustRightInd w:val="0"/>
        <w:snapToGrid w:val="0"/>
        <w:spacing w:line="360" w:lineRule="auto"/>
        <w:jc w:val="center"/>
        <w:outlineLvl w:val="2"/>
        <w:rPr>
          <w:rFonts w:hint="eastAsia" w:ascii="宋体" w:hAnsi="宋体" w:eastAsia="宋体" w:cs="宋体"/>
          <w:b/>
          <w:sz w:val="28"/>
          <w:szCs w:val="28"/>
        </w:rPr>
      </w:pPr>
      <w:r>
        <w:rPr>
          <w:rFonts w:hint="eastAsia" w:ascii="宋体" w:hAnsi="宋体" w:eastAsia="宋体" w:cs="宋体"/>
          <w:b/>
          <w:sz w:val="28"/>
          <w:szCs w:val="28"/>
        </w:rPr>
        <w:t>二、开标一览表</w:t>
      </w:r>
    </w:p>
    <w:p w14:paraId="020B799C">
      <w:pPr>
        <w:shd w:val="clear" w:color="auto" w:fill="FFFFFF"/>
        <w:adjustRightInd w:val="0"/>
        <w:snapToGrid w:val="0"/>
        <w:spacing w:line="360" w:lineRule="auto"/>
        <w:rPr>
          <w:rFonts w:hint="eastAsia" w:ascii="宋体" w:hAnsi="宋体" w:eastAsia="宋体" w:cs="宋体"/>
          <w:szCs w:val="21"/>
        </w:rPr>
      </w:pPr>
    </w:p>
    <w:p w14:paraId="709FC772">
      <w:pPr>
        <w:shd w:val="clear" w:color="auto" w:fill="FFFFFF"/>
        <w:adjustRightInd w:val="0"/>
        <w:snapToGrid w:val="0"/>
        <w:spacing w:line="360" w:lineRule="auto"/>
        <w:rPr>
          <w:rFonts w:hint="eastAsia" w:ascii="宋体" w:hAnsi="宋体" w:eastAsia="宋体" w:cs="宋体"/>
          <w:b/>
          <w:bCs/>
          <w:szCs w:val="21"/>
        </w:rPr>
      </w:pPr>
      <w:r>
        <w:rPr>
          <w:rFonts w:hint="eastAsia" w:ascii="宋体" w:hAnsi="宋体" w:eastAsia="宋体" w:cs="宋体"/>
          <w:szCs w:val="21"/>
        </w:rPr>
        <w:t>浙江中医药大学、浙江豪圣建设项目管理有限公司：</w:t>
      </w:r>
    </w:p>
    <w:p w14:paraId="10CA82E9">
      <w:pPr>
        <w:pStyle w:val="63"/>
        <w:spacing w:line="360" w:lineRule="auto"/>
        <w:ind w:left="0" w:firstLine="420" w:firstLineChars="200"/>
        <w:rPr>
          <w:rFonts w:hint="eastAsia" w:ascii="宋体" w:hAnsi="宋体" w:eastAsia="宋体" w:cs="宋体"/>
          <w:szCs w:val="21"/>
          <w:lang w:val="zh-CN"/>
        </w:rPr>
      </w:pPr>
      <w:r>
        <w:rPr>
          <w:rFonts w:hint="eastAsia" w:ascii="宋体" w:hAnsi="宋体" w:eastAsia="宋体" w:cs="宋体"/>
          <w:szCs w:val="21"/>
          <w:lang w:val="zh-CN"/>
        </w:rPr>
        <w:t>按你方磋商文件要求，本磋商响</w:t>
      </w:r>
      <w:r>
        <w:rPr>
          <w:rFonts w:hint="eastAsia" w:ascii="宋体" w:hAnsi="宋体" w:eastAsia="宋体" w:cs="宋体"/>
          <w:szCs w:val="21"/>
        </w:rPr>
        <w:t>应</w:t>
      </w:r>
      <w:r>
        <w:rPr>
          <w:rFonts w:hint="eastAsia" w:ascii="宋体" w:hAnsi="宋体" w:eastAsia="宋体" w:cs="宋体"/>
          <w:szCs w:val="21"/>
          <w:lang w:val="zh-CN"/>
        </w:rPr>
        <w:t>方，谨此向你方发出要约如下：如你方接受本磋商响应文件，我方承诺按照如下开标一览表的价格完成</w:t>
      </w:r>
      <w:r>
        <w:rPr>
          <w:rFonts w:hint="eastAsia" w:ascii="宋体" w:hAnsi="宋体" w:eastAsia="宋体" w:cs="宋体"/>
          <w:szCs w:val="21"/>
          <w:lang w:val="en-US" w:eastAsia="zh-CN"/>
        </w:rPr>
        <w:t>项目</w:t>
      </w:r>
      <w:r>
        <w:rPr>
          <w:rFonts w:hint="eastAsia" w:ascii="宋体" w:hAnsi="宋体" w:eastAsia="宋体" w:cs="宋体"/>
          <w:szCs w:val="21"/>
          <w:lang w:val="zh-CN"/>
        </w:rPr>
        <w:t>编号：HSZB-2024-879，项目名称：浙江中医药大学便携式舌脉象仪采购的磋商文件实施。</w:t>
      </w:r>
    </w:p>
    <w:tbl>
      <w:tblPr>
        <w:tblStyle w:val="46"/>
        <w:tblW w:w="39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3697"/>
        <w:gridCol w:w="1871"/>
        <w:gridCol w:w="786"/>
      </w:tblGrid>
      <w:tr w14:paraId="4CD3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579" w:type="pct"/>
            <w:vAlign w:val="center"/>
          </w:tcPr>
          <w:p w14:paraId="09E82FEE">
            <w:pPr>
              <w:spacing w:line="360" w:lineRule="auto"/>
              <w:jc w:val="center"/>
              <w:rPr>
                <w:rFonts w:hint="eastAsia" w:ascii="宋体" w:hAnsi="宋体" w:eastAsia="宋体" w:cs="宋体"/>
                <w:kern w:val="0"/>
                <w:szCs w:val="21"/>
                <w:lang w:val="zh-CN"/>
              </w:rPr>
            </w:pPr>
            <w:r>
              <w:rPr>
                <w:rFonts w:hint="eastAsia" w:ascii="宋体" w:hAnsi="宋体" w:eastAsia="宋体" w:cs="宋体"/>
                <w:kern w:val="0"/>
                <w:szCs w:val="21"/>
                <w:lang w:val="zh-CN"/>
              </w:rPr>
              <w:t>序号</w:t>
            </w:r>
          </w:p>
        </w:tc>
        <w:tc>
          <w:tcPr>
            <w:tcW w:w="2571" w:type="pct"/>
            <w:vAlign w:val="center"/>
          </w:tcPr>
          <w:p w14:paraId="03C41245">
            <w:pPr>
              <w:spacing w:line="360" w:lineRule="auto"/>
              <w:jc w:val="center"/>
              <w:rPr>
                <w:rFonts w:hint="eastAsia" w:ascii="宋体" w:hAnsi="宋体" w:eastAsia="宋体" w:cs="宋体"/>
                <w:kern w:val="0"/>
                <w:szCs w:val="21"/>
                <w:lang w:val="zh-CN"/>
              </w:rPr>
            </w:pPr>
            <w:r>
              <w:rPr>
                <w:rFonts w:hint="eastAsia" w:ascii="宋体" w:hAnsi="宋体" w:eastAsia="宋体" w:cs="宋体"/>
                <w:kern w:val="0"/>
                <w:szCs w:val="21"/>
                <w:lang w:val="zh-CN"/>
              </w:rPr>
              <w:t>项目名称</w:t>
            </w:r>
          </w:p>
        </w:tc>
        <w:tc>
          <w:tcPr>
            <w:tcW w:w="1301" w:type="pct"/>
            <w:vAlign w:val="center"/>
          </w:tcPr>
          <w:p w14:paraId="412858FD">
            <w:pPr>
              <w:spacing w:line="360" w:lineRule="auto"/>
              <w:jc w:val="center"/>
              <w:rPr>
                <w:rFonts w:hint="eastAsia" w:ascii="宋体" w:hAnsi="宋体" w:eastAsia="宋体" w:cs="宋体"/>
                <w:kern w:val="0"/>
                <w:szCs w:val="21"/>
                <w:lang w:val="zh-CN"/>
              </w:rPr>
            </w:pPr>
            <w:r>
              <w:rPr>
                <w:rFonts w:hint="eastAsia" w:ascii="宋体" w:hAnsi="宋体" w:eastAsia="宋体" w:cs="宋体"/>
                <w:kern w:val="0"/>
                <w:szCs w:val="21"/>
                <w:lang w:val="zh-CN"/>
              </w:rPr>
              <w:t>响应报价（元）</w:t>
            </w:r>
          </w:p>
        </w:tc>
        <w:tc>
          <w:tcPr>
            <w:tcW w:w="547" w:type="pct"/>
            <w:vAlign w:val="center"/>
          </w:tcPr>
          <w:p w14:paraId="2F00CD22">
            <w:pPr>
              <w:spacing w:line="360" w:lineRule="auto"/>
              <w:jc w:val="center"/>
              <w:rPr>
                <w:rFonts w:hint="eastAsia" w:ascii="宋体" w:hAnsi="宋体" w:eastAsia="宋体" w:cs="宋体"/>
                <w:kern w:val="0"/>
                <w:szCs w:val="21"/>
                <w:lang w:val="zh-CN"/>
              </w:rPr>
            </w:pPr>
            <w:r>
              <w:rPr>
                <w:rFonts w:hint="eastAsia" w:ascii="宋体" w:hAnsi="宋体" w:eastAsia="宋体" w:cs="宋体"/>
                <w:kern w:val="0"/>
                <w:szCs w:val="21"/>
                <w:lang w:val="zh-CN"/>
              </w:rPr>
              <w:t>备注</w:t>
            </w:r>
          </w:p>
        </w:tc>
      </w:tr>
      <w:tr w14:paraId="479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79" w:type="pct"/>
            <w:vAlign w:val="center"/>
          </w:tcPr>
          <w:p w14:paraId="46BE00D8">
            <w:pPr>
              <w:spacing w:line="360" w:lineRule="auto"/>
              <w:jc w:val="center"/>
              <w:rPr>
                <w:rFonts w:hint="eastAsia" w:ascii="宋体" w:hAnsi="宋体" w:eastAsia="宋体" w:cs="宋体"/>
                <w:kern w:val="0"/>
                <w:szCs w:val="21"/>
                <w:lang w:val="zh-CN"/>
              </w:rPr>
            </w:pPr>
            <w:r>
              <w:rPr>
                <w:rFonts w:hint="eastAsia" w:ascii="宋体" w:hAnsi="宋体" w:eastAsia="宋体" w:cs="宋体"/>
                <w:kern w:val="0"/>
                <w:szCs w:val="21"/>
                <w:lang w:val="zh-CN"/>
              </w:rPr>
              <w:t>1</w:t>
            </w:r>
          </w:p>
        </w:tc>
        <w:tc>
          <w:tcPr>
            <w:tcW w:w="2571" w:type="pct"/>
            <w:vAlign w:val="center"/>
          </w:tcPr>
          <w:p w14:paraId="4DB9539E">
            <w:pPr>
              <w:autoSpaceDE w:val="0"/>
              <w:autoSpaceDN w:val="0"/>
              <w:adjustRightInd w:val="0"/>
              <w:snapToGrid w:val="0"/>
              <w:spacing w:line="300" w:lineRule="auto"/>
              <w:jc w:val="center"/>
              <w:textAlignment w:val="bottom"/>
              <w:rPr>
                <w:rFonts w:hint="eastAsia" w:ascii="宋体" w:hAnsi="宋体" w:eastAsia="宋体" w:cs="宋体"/>
                <w:kern w:val="0"/>
                <w:szCs w:val="21"/>
                <w:lang w:val="zh-CN"/>
              </w:rPr>
            </w:pPr>
            <w:r>
              <w:rPr>
                <w:rFonts w:hint="eastAsia" w:ascii="宋体" w:hAnsi="宋体" w:eastAsia="宋体" w:cs="宋体"/>
                <w:kern w:val="0"/>
                <w:szCs w:val="21"/>
                <w:lang w:val="zh-CN"/>
              </w:rPr>
              <w:t>浙江中医药大学便携式舌脉象仪采购</w:t>
            </w:r>
          </w:p>
        </w:tc>
        <w:tc>
          <w:tcPr>
            <w:tcW w:w="1301" w:type="pct"/>
            <w:vAlign w:val="center"/>
          </w:tcPr>
          <w:p w14:paraId="586040B8">
            <w:pPr>
              <w:jc w:val="center"/>
              <w:rPr>
                <w:rFonts w:hint="eastAsia" w:ascii="宋体" w:hAnsi="宋体" w:eastAsia="宋体" w:cs="宋体"/>
                <w:kern w:val="0"/>
                <w:szCs w:val="21"/>
                <w:lang w:val="zh-CN"/>
              </w:rPr>
            </w:pPr>
          </w:p>
        </w:tc>
        <w:tc>
          <w:tcPr>
            <w:tcW w:w="547" w:type="pct"/>
            <w:vAlign w:val="center"/>
          </w:tcPr>
          <w:p w14:paraId="5237BE87">
            <w:pPr>
              <w:jc w:val="center"/>
              <w:rPr>
                <w:rFonts w:hint="eastAsia" w:ascii="宋体" w:hAnsi="宋体" w:eastAsia="宋体" w:cs="宋体"/>
                <w:kern w:val="0"/>
                <w:szCs w:val="21"/>
                <w:lang w:val="zh-CN"/>
              </w:rPr>
            </w:pPr>
          </w:p>
        </w:tc>
      </w:tr>
    </w:tbl>
    <w:p w14:paraId="6ED1923C">
      <w:pPr>
        <w:snapToGrid w:val="0"/>
        <w:spacing w:before="50" w:after="50" w:line="360" w:lineRule="exact"/>
        <w:jc w:val="left"/>
        <w:rPr>
          <w:rFonts w:hint="eastAsia" w:ascii="宋体" w:hAnsi="宋体" w:eastAsia="宋体" w:cs="宋体"/>
          <w:szCs w:val="21"/>
        </w:rPr>
      </w:pPr>
      <w:r>
        <w:rPr>
          <w:rFonts w:hint="eastAsia" w:ascii="宋体" w:hAnsi="宋体" w:eastAsia="宋体" w:cs="宋体"/>
          <w:szCs w:val="21"/>
        </w:rPr>
        <w:t>注: 1、报价一经涂改，应在涂改处加盖单位公章或者由法定代表人或授权委托人签字或盖章，否则其投标作无效标处理。</w:t>
      </w:r>
    </w:p>
    <w:p w14:paraId="42208222">
      <w:pPr>
        <w:snapToGrid w:val="0"/>
        <w:spacing w:before="50" w:after="50"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2、以上报价应与“</w:t>
      </w:r>
      <w:r>
        <w:rPr>
          <w:rFonts w:hint="eastAsia" w:ascii="宋体" w:hAnsi="宋体" w:eastAsia="宋体" w:cs="宋体"/>
          <w:szCs w:val="21"/>
          <w:lang w:val="en-US" w:eastAsia="zh-CN"/>
        </w:rPr>
        <w:t>报价</w:t>
      </w:r>
      <w:r>
        <w:rPr>
          <w:rFonts w:hint="eastAsia" w:ascii="宋体" w:hAnsi="宋体" w:eastAsia="宋体" w:cs="宋体"/>
          <w:szCs w:val="21"/>
        </w:rPr>
        <w:t>明细表”中的“合计”数相一致。</w:t>
      </w:r>
    </w:p>
    <w:p w14:paraId="6B35E582">
      <w:pPr>
        <w:snapToGrid w:val="0"/>
        <w:spacing w:before="50" w:after="50"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3、项目费用包括履行合同所需的全部费用，包括并不限于工时费、服务费、运输费、安装调试费、培训费、税费及其他一切费用。采购文件未列明，而</w:t>
      </w:r>
      <w:r>
        <w:rPr>
          <w:rFonts w:hint="eastAsia" w:ascii="宋体" w:hAnsi="宋体" w:eastAsia="宋体" w:cs="宋体"/>
          <w:szCs w:val="21"/>
          <w:lang w:eastAsia="zh-CN"/>
        </w:rPr>
        <w:t>磋商供应商</w:t>
      </w:r>
      <w:r>
        <w:rPr>
          <w:rFonts w:hint="eastAsia" w:ascii="宋体" w:hAnsi="宋体" w:eastAsia="宋体" w:cs="宋体"/>
          <w:szCs w:val="21"/>
        </w:rPr>
        <w:t>认为必需的费用也需列入报价。</w:t>
      </w:r>
      <w:r>
        <w:rPr>
          <w:rFonts w:hint="eastAsia" w:ascii="宋体" w:hAnsi="宋体" w:eastAsia="宋体" w:cs="宋体"/>
          <w:szCs w:val="21"/>
          <w:lang w:eastAsia="zh-CN"/>
        </w:rPr>
        <w:t>磋商供应商</w:t>
      </w:r>
      <w:r>
        <w:rPr>
          <w:rFonts w:hint="eastAsia" w:ascii="宋体" w:hAnsi="宋体" w:eastAsia="宋体" w:cs="宋体"/>
          <w:szCs w:val="21"/>
        </w:rPr>
        <w:t>在报价中应充分考虑所有可能发生的费用，否则采购人将视</w:t>
      </w:r>
      <w:r>
        <w:rPr>
          <w:rFonts w:hint="eastAsia" w:ascii="宋体" w:hAnsi="宋体" w:eastAsia="宋体" w:cs="宋体"/>
          <w:szCs w:val="21"/>
          <w:lang w:eastAsia="zh-CN"/>
        </w:rPr>
        <w:t>响应总价</w:t>
      </w:r>
      <w:r>
        <w:rPr>
          <w:rFonts w:hint="eastAsia" w:ascii="宋体" w:hAnsi="宋体" w:eastAsia="宋体" w:cs="宋体"/>
          <w:szCs w:val="21"/>
        </w:rPr>
        <w:t>中已包括所有费用。</w:t>
      </w:r>
    </w:p>
    <w:p w14:paraId="669FFF67">
      <w:pPr>
        <w:shd w:val="clear" w:color="auto" w:fill="FFFFFF"/>
        <w:adjustRightInd w:val="0"/>
        <w:snapToGrid w:val="0"/>
        <w:spacing w:line="360" w:lineRule="auto"/>
        <w:rPr>
          <w:rFonts w:hint="eastAsia" w:ascii="宋体" w:hAnsi="宋体" w:eastAsia="宋体" w:cs="宋体"/>
          <w:kern w:val="0"/>
          <w:szCs w:val="21"/>
        </w:rPr>
      </w:pPr>
    </w:p>
    <w:p w14:paraId="0A66DC59">
      <w:pPr>
        <w:shd w:val="clear" w:color="auto" w:fill="FFFFFF"/>
        <w:adjustRightInd w:val="0"/>
        <w:snapToGrid w:val="0"/>
        <w:spacing w:line="360" w:lineRule="auto"/>
        <w:rPr>
          <w:rFonts w:hint="eastAsia" w:ascii="宋体" w:hAnsi="宋体" w:eastAsia="宋体" w:cs="宋体"/>
          <w:kern w:val="0"/>
          <w:szCs w:val="21"/>
        </w:rPr>
      </w:pPr>
      <w:r>
        <w:rPr>
          <w:rFonts w:hint="eastAsia" w:ascii="宋体" w:hAnsi="宋体" w:eastAsia="宋体" w:cs="宋体"/>
          <w:kern w:val="0"/>
          <w:szCs w:val="21"/>
        </w:rPr>
        <w:t>供应商名称（公章）:</w:t>
      </w:r>
      <w:r>
        <w:rPr>
          <w:rFonts w:hint="eastAsia" w:ascii="宋体" w:hAnsi="宋体" w:eastAsia="宋体" w:cs="宋体"/>
          <w:kern w:val="0"/>
          <w:szCs w:val="21"/>
          <w:u w:val="single"/>
          <w:lang w:val="zh-CN"/>
        </w:rPr>
        <w:t xml:space="preserve">                </w:t>
      </w:r>
    </w:p>
    <w:p w14:paraId="017C94EA">
      <w:pPr>
        <w:rPr>
          <w:rFonts w:hint="eastAsia" w:ascii="宋体" w:hAnsi="宋体" w:eastAsia="宋体" w:cs="宋体"/>
          <w:lang w:val="zh-CN"/>
        </w:rPr>
      </w:pPr>
      <w:r>
        <w:rPr>
          <w:rFonts w:hint="eastAsia" w:ascii="宋体" w:hAnsi="宋体" w:eastAsia="宋体" w:cs="宋体"/>
          <w:kern w:val="0"/>
          <w:szCs w:val="21"/>
          <w:lang w:val="zh-CN"/>
        </w:rPr>
        <w:t>日期：</w:t>
      </w:r>
      <w:r>
        <w:rPr>
          <w:rFonts w:hint="eastAsia" w:ascii="宋体" w:hAnsi="宋体" w:eastAsia="宋体" w:cs="宋体"/>
          <w:kern w:val="0"/>
          <w:szCs w:val="21"/>
          <w:u w:val="single"/>
          <w:lang w:val="zh-CN"/>
        </w:rPr>
        <w:t xml:space="preserve">                </w:t>
      </w:r>
    </w:p>
    <w:p w14:paraId="6CDFBBB3">
      <w:pPr>
        <w:pStyle w:val="61"/>
        <w:rPr>
          <w:rFonts w:hint="eastAsia" w:ascii="宋体" w:hAnsi="宋体" w:eastAsia="宋体" w:cs="宋体"/>
          <w:color w:val="auto"/>
          <w:lang w:val="zh-CN"/>
        </w:rPr>
      </w:pPr>
    </w:p>
    <w:p w14:paraId="1AF99EF8">
      <w:pPr>
        <w:pStyle w:val="63"/>
        <w:rPr>
          <w:rFonts w:hint="eastAsia" w:ascii="宋体" w:hAnsi="宋体" w:eastAsia="宋体" w:cs="宋体"/>
          <w:lang w:val="zh-CN"/>
        </w:rPr>
      </w:pPr>
    </w:p>
    <w:p w14:paraId="310D4456">
      <w:pPr>
        <w:rPr>
          <w:rFonts w:hint="eastAsia" w:ascii="宋体" w:hAnsi="宋体" w:eastAsia="宋体" w:cs="宋体"/>
          <w:lang w:val="zh-CN"/>
        </w:rPr>
      </w:pPr>
    </w:p>
    <w:p w14:paraId="0542B25E">
      <w:pPr>
        <w:shd w:val="clear" w:color="auto" w:fill="FFFFFF"/>
        <w:adjustRightInd w:val="0"/>
        <w:snapToGrid w:val="0"/>
        <w:spacing w:line="360" w:lineRule="auto"/>
        <w:rPr>
          <w:rFonts w:hint="eastAsia" w:ascii="宋体" w:hAnsi="宋体" w:eastAsia="宋体" w:cs="宋体"/>
          <w:b/>
          <w:bCs/>
          <w:kern w:val="0"/>
          <w:sz w:val="24"/>
          <w:lang w:val="zh-CN"/>
        </w:rPr>
        <w:sectPr>
          <w:pgSz w:w="11906" w:h="16838"/>
          <w:pgMar w:top="1478" w:right="1474" w:bottom="860" w:left="1588" w:header="851" w:footer="992" w:gutter="0"/>
          <w:pgNumType w:fmt="decimal"/>
          <w:cols w:space="720" w:num="1"/>
          <w:docGrid w:type="lines" w:linePitch="312" w:charSpace="0"/>
        </w:sectPr>
      </w:pPr>
    </w:p>
    <w:p w14:paraId="79E03F0B">
      <w:pPr>
        <w:pageBreakBefore/>
        <w:shd w:val="clear" w:color="auto" w:fill="FFFFFF"/>
        <w:adjustRightInd w:val="0"/>
        <w:snapToGrid w:val="0"/>
        <w:spacing w:line="360" w:lineRule="auto"/>
        <w:jc w:val="center"/>
        <w:outlineLvl w:val="2"/>
        <w:rPr>
          <w:rFonts w:hint="eastAsia" w:ascii="宋体" w:hAnsi="宋体" w:eastAsia="宋体" w:cs="宋体"/>
          <w:b/>
          <w:sz w:val="24"/>
        </w:rPr>
      </w:pPr>
      <w:r>
        <w:rPr>
          <w:rFonts w:hint="eastAsia" w:ascii="宋体" w:hAnsi="宋体" w:eastAsia="宋体" w:cs="宋体"/>
          <w:b/>
          <w:bCs/>
          <w:sz w:val="24"/>
        </w:rPr>
        <w:t>三、报价明细表</w:t>
      </w:r>
    </w:p>
    <w:p w14:paraId="44B3385F">
      <w:pPr>
        <w:shd w:val="clear" w:color="auto" w:fill="FFFFFF"/>
        <w:adjustRightInd w:val="0"/>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项目名称：浙江中医药大学便携式舌脉象仪采购采购</w:t>
      </w:r>
    </w:p>
    <w:p w14:paraId="61DBC362">
      <w:pPr>
        <w:shd w:val="clear" w:color="auto" w:fill="FFFFFF"/>
        <w:adjustRightInd w:val="0"/>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项目编号：HSZB-2024-879</w:t>
      </w:r>
    </w:p>
    <w:p w14:paraId="64B6FD5E">
      <w:pPr>
        <w:shd w:val="clear" w:color="auto" w:fill="FFFFFF"/>
        <w:adjustRightInd w:val="0"/>
        <w:snapToGrid w:val="0"/>
        <w:spacing w:line="360" w:lineRule="auto"/>
        <w:ind w:firstLine="420" w:firstLineChars="200"/>
        <w:jc w:val="right"/>
        <w:rPr>
          <w:rFonts w:hint="eastAsia" w:ascii="宋体" w:hAnsi="宋体" w:eastAsia="宋体" w:cs="宋体"/>
          <w:kern w:val="0"/>
          <w:szCs w:val="21"/>
          <w:lang w:val="zh-CN"/>
        </w:rPr>
      </w:pPr>
      <w:r>
        <w:rPr>
          <w:rFonts w:hint="eastAsia" w:ascii="宋体" w:hAnsi="宋体" w:eastAsia="宋体" w:cs="宋体"/>
          <w:kern w:val="0"/>
          <w:szCs w:val="21"/>
          <w:lang w:val="zh-CN"/>
        </w:rPr>
        <w:t>金额单位：人民币（元）</w:t>
      </w:r>
    </w:p>
    <w:tbl>
      <w:tblPr>
        <w:tblStyle w:val="46"/>
        <w:tblW w:w="5730" w:type="pct"/>
        <w:tblInd w:w="-10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5"/>
        <w:gridCol w:w="2273"/>
        <w:gridCol w:w="1379"/>
        <w:gridCol w:w="632"/>
        <w:gridCol w:w="681"/>
        <w:gridCol w:w="1079"/>
        <w:gridCol w:w="1060"/>
        <w:gridCol w:w="2336"/>
      </w:tblGrid>
      <w:tr w14:paraId="1122F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352" w:type="pct"/>
            <w:tcMar>
              <w:top w:w="12" w:type="dxa"/>
              <w:left w:w="12" w:type="dxa"/>
              <w:right w:w="12" w:type="dxa"/>
            </w:tcMar>
            <w:vAlign w:val="center"/>
          </w:tcPr>
          <w:p w14:paraId="289B7733">
            <w:pPr>
              <w:spacing w:line="360" w:lineRule="exact"/>
              <w:jc w:val="center"/>
              <w:rPr>
                <w:rFonts w:hint="eastAsia" w:ascii="宋体" w:hAnsi="宋体" w:eastAsia="宋体" w:cs="宋体"/>
                <w:b/>
                <w:szCs w:val="21"/>
              </w:rPr>
            </w:pPr>
            <w:r>
              <w:rPr>
                <w:rFonts w:hint="eastAsia" w:ascii="宋体" w:hAnsi="宋体" w:eastAsia="宋体" w:cs="宋体"/>
                <w:b/>
                <w:szCs w:val="21"/>
              </w:rPr>
              <w:t>序号</w:t>
            </w:r>
          </w:p>
        </w:tc>
        <w:tc>
          <w:tcPr>
            <w:tcW w:w="1119" w:type="pct"/>
            <w:tcMar>
              <w:top w:w="12" w:type="dxa"/>
              <w:left w:w="12" w:type="dxa"/>
              <w:right w:w="12" w:type="dxa"/>
            </w:tcMar>
            <w:vAlign w:val="center"/>
          </w:tcPr>
          <w:p w14:paraId="5AF8BC42">
            <w:pPr>
              <w:spacing w:line="360" w:lineRule="exact"/>
              <w:jc w:val="center"/>
              <w:rPr>
                <w:rFonts w:hint="eastAsia" w:ascii="宋体" w:hAnsi="宋体" w:eastAsia="宋体" w:cs="宋体"/>
                <w:b/>
                <w:szCs w:val="21"/>
              </w:rPr>
            </w:pPr>
            <w:r>
              <w:rPr>
                <w:rFonts w:hint="eastAsia" w:ascii="宋体" w:hAnsi="宋体" w:eastAsia="宋体" w:cs="宋体"/>
                <w:b/>
                <w:szCs w:val="21"/>
              </w:rPr>
              <w:t>名称</w:t>
            </w:r>
          </w:p>
        </w:tc>
        <w:tc>
          <w:tcPr>
            <w:tcW w:w="679" w:type="pct"/>
            <w:tcMar>
              <w:top w:w="12" w:type="dxa"/>
              <w:left w:w="12" w:type="dxa"/>
              <w:right w:w="12" w:type="dxa"/>
            </w:tcMar>
            <w:vAlign w:val="center"/>
          </w:tcPr>
          <w:p w14:paraId="09137FDA">
            <w:pPr>
              <w:spacing w:line="360" w:lineRule="exact"/>
              <w:jc w:val="center"/>
              <w:rPr>
                <w:rFonts w:hint="eastAsia" w:ascii="宋体" w:hAnsi="宋体" w:eastAsia="宋体" w:cs="宋体"/>
                <w:b/>
                <w:szCs w:val="21"/>
              </w:rPr>
            </w:pPr>
            <w:r>
              <w:rPr>
                <w:rFonts w:hint="eastAsia" w:ascii="宋体" w:hAnsi="宋体" w:eastAsia="宋体" w:cs="宋体"/>
                <w:b/>
                <w:szCs w:val="21"/>
              </w:rPr>
              <w:t>品牌型号</w:t>
            </w:r>
          </w:p>
        </w:tc>
        <w:tc>
          <w:tcPr>
            <w:tcW w:w="311" w:type="pct"/>
            <w:tcMar>
              <w:top w:w="12" w:type="dxa"/>
              <w:left w:w="12" w:type="dxa"/>
              <w:right w:w="12" w:type="dxa"/>
            </w:tcMar>
            <w:vAlign w:val="center"/>
          </w:tcPr>
          <w:p w14:paraId="1976CFD0">
            <w:pPr>
              <w:spacing w:line="360" w:lineRule="exact"/>
              <w:jc w:val="center"/>
              <w:rPr>
                <w:rFonts w:hint="eastAsia" w:ascii="宋体" w:hAnsi="宋体" w:eastAsia="宋体" w:cs="宋体"/>
                <w:b/>
                <w:szCs w:val="21"/>
              </w:rPr>
            </w:pPr>
            <w:r>
              <w:rPr>
                <w:rFonts w:hint="eastAsia" w:ascii="宋体" w:hAnsi="宋体" w:eastAsia="宋体" w:cs="宋体"/>
                <w:b/>
                <w:szCs w:val="21"/>
              </w:rPr>
              <w:t>单位</w:t>
            </w:r>
          </w:p>
        </w:tc>
        <w:tc>
          <w:tcPr>
            <w:tcW w:w="335" w:type="pct"/>
            <w:tcMar>
              <w:top w:w="12" w:type="dxa"/>
              <w:left w:w="12" w:type="dxa"/>
              <w:right w:w="12" w:type="dxa"/>
            </w:tcMar>
            <w:vAlign w:val="center"/>
          </w:tcPr>
          <w:p w14:paraId="5FB09F07">
            <w:pPr>
              <w:spacing w:line="360" w:lineRule="exact"/>
              <w:jc w:val="center"/>
              <w:rPr>
                <w:rFonts w:hint="eastAsia" w:ascii="宋体" w:hAnsi="宋体" w:eastAsia="宋体" w:cs="宋体"/>
                <w:b/>
                <w:szCs w:val="21"/>
              </w:rPr>
            </w:pPr>
            <w:r>
              <w:rPr>
                <w:rFonts w:hint="eastAsia" w:ascii="宋体" w:hAnsi="宋体" w:eastAsia="宋体" w:cs="宋体"/>
                <w:b/>
                <w:szCs w:val="21"/>
              </w:rPr>
              <w:t>数量</w:t>
            </w:r>
          </w:p>
        </w:tc>
        <w:tc>
          <w:tcPr>
            <w:tcW w:w="529" w:type="pct"/>
            <w:vAlign w:val="center"/>
          </w:tcPr>
          <w:p w14:paraId="705E2D15">
            <w:pPr>
              <w:spacing w:line="360" w:lineRule="exact"/>
              <w:jc w:val="center"/>
              <w:rPr>
                <w:rFonts w:hint="eastAsia" w:ascii="宋体" w:hAnsi="宋体" w:eastAsia="宋体" w:cs="宋体"/>
                <w:b/>
                <w:szCs w:val="21"/>
              </w:rPr>
            </w:pPr>
            <w:r>
              <w:rPr>
                <w:rFonts w:hint="eastAsia" w:ascii="宋体" w:hAnsi="宋体" w:eastAsia="宋体" w:cs="宋体"/>
                <w:b/>
                <w:szCs w:val="21"/>
              </w:rPr>
              <w:t>单价</w:t>
            </w:r>
          </w:p>
        </w:tc>
        <w:tc>
          <w:tcPr>
            <w:tcW w:w="522" w:type="pct"/>
            <w:vAlign w:val="center"/>
          </w:tcPr>
          <w:p w14:paraId="46950369">
            <w:pPr>
              <w:spacing w:line="360" w:lineRule="exact"/>
              <w:jc w:val="center"/>
              <w:rPr>
                <w:rFonts w:hint="eastAsia" w:ascii="宋体" w:hAnsi="宋体" w:eastAsia="宋体" w:cs="宋体"/>
                <w:b/>
                <w:szCs w:val="21"/>
              </w:rPr>
            </w:pPr>
            <w:r>
              <w:rPr>
                <w:rFonts w:hint="eastAsia" w:ascii="宋体" w:hAnsi="宋体" w:eastAsia="宋体" w:cs="宋体"/>
                <w:b/>
                <w:szCs w:val="21"/>
              </w:rPr>
              <w:t>小计</w:t>
            </w:r>
          </w:p>
        </w:tc>
        <w:tc>
          <w:tcPr>
            <w:tcW w:w="1149" w:type="pct"/>
            <w:vAlign w:val="center"/>
          </w:tcPr>
          <w:p w14:paraId="26B294A8">
            <w:pPr>
              <w:spacing w:line="360" w:lineRule="exact"/>
              <w:jc w:val="center"/>
              <w:rPr>
                <w:rFonts w:hint="eastAsia" w:ascii="宋体" w:hAnsi="宋体" w:eastAsia="宋体" w:cs="宋体"/>
                <w:b/>
                <w:szCs w:val="21"/>
              </w:rPr>
            </w:pPr>
            <w:r>
              <w:rPr>
                <w:rFonts w:hint="eastAsia" w:ascii="宋体" w:hAnsi="宋体" w:eastAsia="宋体" w:cs="宋体"/>
                <w:b/>
                <w:szCs w:val="21"/>
                <w:lang w:val="en-US" w:eastAsia="zh-CN"/>
              </w:rPr>
              <w:t>备注</w:t>
            </w:r>
          </w:p>
        </w:tc>
      </w:tr>
      <w:tr w14:paraId="6C3B5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352" w:type="pct"/>
            <w:tcMar>
              <w:top w:w="12" w:type="dxa"/>
              <w:left w:w="12" w:type="dxa"/>
              <w:right w:w="12" w:type="dxa"/>
            </w:tcMar>
            <w:vAlign w:val="center"/>
          </w:tcPr>
          <w:p w14:paraId="3DB2F052">
            <w:pPr>
              <w:spacing w:line="36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1119" w:type="pct"/>
            <w:tcMar>
              <w:top w:w="12" w:type="dxa"/>
              <w:left w:w="12" w:type="dxa"/>
              <w:right w:w="12" w:type="dxa"/>
            </w:tcMar>
            <w:vAlign w:val="center"/>
          </w:tcPr>
          <w:p w14:paraId="7916D09F">
            <w:pPr>
              <w:jc w:val="center"/>
              <w:rPr>
                <w:rFonts w:hint="eastAsia" w:ascii="宋体" w:hAnsi="宋体" w:eastAsia="宋体" w:cs="宋体"/>
                <w:szCs w:val="21"/>
              </w:rPr>
            </w:pPr>
          </w:p>
        </w:tc>
        <w:tc>
          <w:tcPr>
            <w:tcW w:w="679" w:type="pct"/>
            <w:noWrap/>
            <w:tcMar>
              <w:top w:w="12" w:type="dxa"/>
              <w:left w:w="12" w:type="dxa"/>
              <w:right w:w="12" w:type="dxa"/>
            </w:tcMar>
            <w:vAlign w:val="center"/>
          </w:tcPr>
          <w:p w14:paraId="2CECE87D">
            <w:pPr>
              <w:jc w:val="center"/>
              <w:rPr>
                <w:rFonts w:hint="eastAsia" w:ascii="宋体" w:hAnsi="宋体" w:eastAsia="宋体" w:cs="宋体"/>
                <w:kern w:val="0"/>
                <w:szCs w:val="21"/>
              </w:rPr>
            </w:pPr>
          </w:p>
        </w:tc>
        <w:tc>
          <w:tcPr>
            <w:tcW w:w="311" w:type="pct"/>
            <w:noWrap/>
            <w:tcMar>
              <w:top w:w="12" w:type="dxa"/>
              <w:left w:w="12" w:type="dxa"/>
              <w:right w:w="12" w:type="dxa"/>
            </w:tcMar>
            <w:vAlign w:val="center"/>
          </w:tcPr>
          <w:p w14:paraId="10998B0B">
            <w:pPr>
              <w:jc w:val="center"/>
              <w:rPr>
                <w:rFonts w:hint="eastAsia" w:ascii="宋体" w:hAnsi="宋体" w:eastAsia="宋体" w:cs="宋体"/>
                <w:kern w:val="0"/>
                <w:szCs w:val="21"/>
              </w:rPr>
            </w:pPr>
          </w:p>
        </w:tc>
        <w:tc>
          <w:tcPr>
            <w:tcW w:w="335" w:type="pct"/>
            <w:tcMar>
              <w:top w:w="12" w:type="dxa"/>
              <w:left w:w="12" w:type="dxa"/>
              <w:right w:w="12" w:type="dxa"/>
            </w:tcMar>
            <w:vAlign w:val="center"/>
          </w:tcPr>
          <w:p w14:paraId="09BCA4A7">
            <w:pPr>
              <w:jc w:val="center"/>
              <w:rPr>
                <w:rFonts w:hint="eastAsia" w:ascii="宋体" w:hAnsi="宋体" w:eastAsia="宋体" w:cs="宋体"/>
                <w:szCs w:val="21"/>
              </w:rPr>
            </w:pPr>
          </w:p>
        </w:tc>
        <w:tc>
          <w:tcPr>
            <w:tcW w:w="529" w:type="pct"/>
          </w:tcPr>
          <w:p w14:paraId="590D2486">
            <w:pPr>
              <w:spacing w:line="360" w:lineRule="exact"/>
              <w:jc w:val="center"/>
              <w:textAlignment w:val="center"/>
              <w:rPr>
                <w:rFonts w:hint="eastAsia" w:ascii="宋体" w:hAnsi="宋体" w:eastAsia="宋体" w:cs="宋体"/>
                <w:szCs w:val="21"/>
              </w:rPr>
            </w:pPr>
          </w:p>
        </w:tc>
        <w:tc>
          <w:tcPr>
            <w:tcW w:w="522" w:type="pct"/>
          </w:tcPr>
          <w:p w14:paraId="0B3F8642">
            <w:pPr>
              <w:spacing w:line="360" w:lineRule="exact"/>
              <w:jc w:val="center"/>
              <w:textAlignment w:val="center"/>
              <w:rPr>
                <w:rFonts w:hint="eastAsia" w:ascii="宋体" w:hAnsi="宋体" w:eastAsia="宋体" w:cs="宋体"/>
                <w:szCs w:val="21"/>
              </w:rPr>
            </w:pPr>
          </w:p>
        </w:tc>
        <w:tc>
          <w:tcPr>
            <w:tcW w:w="1149" w:type="pct"/>
          </w:tcPr>
          <w:p w14:paraId="633AA7E9">
            <w:pPr>
              <w:spacing w:line="360" w:lineRule="exact"/>
              <w:jc w:val="center"/>
              <w:textAlignment w:val="center"/>
              <w:rPr>
                <w:rFonts w:hint="eastAsia" w:ascii="宋体" w:hAnsi="宋体" w:eastAsia="宋体" w:cs="宋体"/>
                <w:szCs w:val="21"/>
              </w:rPr>
            </w:pPr>
          </w:p>
        </w:tc>
      </w:tr>
      <w:tr w14:paraId="1E55B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352" w:type="pct"/>
            <w:tcMar>
              <w:top w:w="12" w:type="dxa"/>
              <w:left w:w="12" w:type="dxa"/>
              <w:right w:w="12" w:type="dxa"/>
            </w:tcMar>
            <w:vAlign w:val="center"/>
          </w:tcPr>
          <w:p w14:paraId="10D2514E">
            <w:pPr>
              <w:spacing w:line="36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w:t>
            </w:r>
          </w:p>
        </w:tc>
        <w:tc>
          <w:tcPr>
            <w:tcW w:w="1119" w:type="pct"/>
            <w:tcMar>
              <w:top w:w="12" w:type="dxa"/>
              <w:left w:w="12" w:type="dxa"/>
              <w:right w:w="12" w:type="dxa"/>
            </w:tcMar>
            <w:vAlign w:val="center"/>
          </w:tcPr>
          <w:p w14:paraId="47A951A0">
            <w:pPr>
              <w:jc w:val="center"/>
              <w:rPr>
                <w:rFonts w:hint="eastAsia" w:ascii="宋体" w:hAnsi="宋体" w:eastAsia="宋体" w:cs="宋体"/>
                <w:szCs w:val="21"/>
              </w:rPr>
            </w:pPr>
          </w:p>
        </w:tc>
        <w:tc>
          <w:tcPr>
            <w:tcW w:w="679" w:type="pct"/>
            <w:noWrap/>
            <w:tcMar>
              <w:top w:w="12" w:type="dxa"/>
              <w:left w:w="12" w:type="dxa"/>
              <w:right w:w="12" w:type="dxa"/>
            </w:tcMar>
            <w:vAlign w:val="center"/>
          </w:tcPr>
          <w:p w14:paraId="6D1D56F1">
            <w:pPr>
              <w:jc w:val="center"/>
              <w:rPr>
                <w:rFonts w:hint="eastAsia" w:ascii="宋体" w:hAnsi="宋体" w:eastAsia="宋体" w:cs="宋体"/>
                <w:kern w:val="0"/>
                <w:szCs w:val="21"/>
              </w:rPr>
            </w:pPr>
          </w:p>
        </w:tc>
        <w:tc>
          <w:tcPr>
            <w:tcW w:w="311" w:type="pct"/>
            <w:noWrap/>
            <w:tcMar>
              <w:top w:w="12" w:type="dxa"/>
              <w:left w:w="12" w:type="dxa"/>
              <w:right w:w="12" w:type="dxa"/>
            </w:tcMar>
            <w:vAlign w:val="center"/>
          </w:tcPr>
          <w:p w14:paraId="560E8364">
            <w:pPr>
              <w:jc w:val="center"/>
              <w:rPr>
                <w:rFonts w:hint="eastAsia" w:ascii="宋体" w:hAnsi="宋体" w:eastAsia="宋体" w:cs="宋体"/>
              </w:rPr>
            </w:pPr>
          </w:p>
        </w:tc>
        <w:tc>
          <w:tcPr>
            <w:tcW w:w="335" w:type="pct"/>
            <w:tcMar>
              <w:top w:w="12" w:type="dxa"/>
              <w:left w:w="12" w:type="dxa"/>
              <w:right w:w="12" w:type="dxa"/>
            </w:tcMar>
            <w:vAlign w:val="center"/>
          </w:tcPr>
          <w:p w14:paraId="71CCD75A">
            <w:pPr>
              <w:jc w:val="center"/>
              <w:rPr>
                <w:rFonts w:hint="eastAsia" w:ascii="宋体" w:hAnsi="宋体" w:eastAsia="宋体" w:cs="宋体"/>
                <w:szCs w:val="21"/>
              </w:rPr>
            </w:pPr>
          </w:p>
        </w:tc>
        <w:tc>
          <w:tcPr>
            <w:tcW w:w="529" w:type="pct"/>
          </w:tcPr>
          <w:p w14:paraId="3DA7639A">
            <w:pPr>
              <w:spacing w:line="360" w:lineRule="exact"/>
              <w:jc w:val="center"/>
              <w:textAlignment w:val="center"/>
              <w:rPr>
                <w:rFonts w:hint="eastAsia" w:ascii="宋体" w:hAnsi="宋体" w:eastAsia="宋体" w:cs="宋体"/>
                <w:szCs w:val="21"/>
              </w:rPr>
            </w:pPr>
          </w:p>
        </w:tc>
        <w:tc>
          <w:tcPr>
            <w:tcW w:w="522" w:type="pct"/>
          </w:tcPr>
          <w:p w14:paraId="2319E979">
            <w:pPr>
              <w:spacing w:line="360" w:lineRule="exact"/>
              <w:jc w:val="center"/>
              <w:textAlignment w:val="center"/>
              <w:rPr>
                <w:rFonts w:hint="eastAsia" w:ascii="宋体" w:hAnsi="宋体" w:eastAsia="宋体" w:cs="宋体"/>
                <w:szCs w:val="21"/>
              </w:rPr>
            </w:pPr>
          </w:p>
        </w:tc>
        <w:tc>
          <w:tcPr>
            <w:tcW w:w="1149" w:type="pct"/>
          </w:tcPr>
          <w:p w14:paraId="2CEAD280">
            <w:pPr>
              <w:spacing w:line="360" w:lineRule="exact"/>
              <w:jc w:val="center"/>
              <w:textAlignment w:val="center"/>
              <w:rPr>
                <w:rFonts w:hint="eastAsia" w:ascii="宋体" w:hAnsi="宋体" w:eastAsia="宋体" w:cs="宋体"/>
                <w:szCs w:val="21"/>
              </w:rPr>
            </w:pPr>
          </w:p>
        </w:tc>
      </w:tr>
      <w:tr w14:paraId="4C4D5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352" w:type="pct"/>
            <w:tcMar>
              <w:top w:w="12" w:type="dxa"/>
              <w:left w:w="12" w:type="dxa"/>
              <w:right w:w="12" w:type="dxa"/>
            </w:tcMar>
            <w:vAlign w:val="center"/>
          </w:tcPr>
          <w:p w14:paraId="3BB15AC3">
            <w:pPr>
              <w:spacing w:line="36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w:t>
            </w:r>
          </w:p>
        </w:tc>
        <w:tc>
          <w:tcPr>
            <w:tcW w:w="1119" w:type="pct"/>
            <w:tcMar>
              <w:top w:w="12" w:type="dxa"/>
              <w:left w:w="12" w:type="dxa"/>
              <w:right w:w="12" w:type="dxa"/>
            </w:tcMar>
            <w:vAlign w:val="center"/>
          </w:tcPr>
          <w:p w14:paraId="61340D3D">
            <w:pPr>
              <w:jc w:val="center"/>
              <w:rPr>
                <w:rFonts w:hint="eastAsia" w:ascii="宋体" w:hAnsi="宋体" w:eastAsia="宋体" w:cs="宋体"/>
                <w:szCs w:val="21"/>
              </w:rPr>
            </w:pPr>
          </w:p>
        </w:tc>
        <w:tc>
          <w:tcPr>
            <w:tcW w:w="679" w:type="pct"/>
            <w:noWrap/>
            <w:tcMar>
              <w:top w:w="12" w:type="dxa"/>
              <w:left w:w="12" w:type="dxa"/>
              <w:right w:w="12" w:type="dxa"/>
            </w:tcMar>
            <w:vAlign w:val="center"/>
          </w:tcPr>
          <w:p w14:paraId="08D2445B">
            <w:pPr>
              <w:jc w:val="center"/>
              <w:rPr>
                <w:rFonts w:hint="eastAsia" w:ascii="宋体" w:hAnsi="宋体" w:eastAsia="宋体" w:cs="宋体"/>
                <w:kern w:val="0"/>
                <w:szCs w:val="21"/>
              </w:rPr>
            </w:pPr>
          </w:p>
        </w:tc>
        <w:tc>
          <w:tcPr>
            <w:tcW w:w="311" w:type="pct"/>
            <w:noWrap/>
            <w:tcMar>
              <w:top w:w="12" w:type="dxa"/>
              <w:left w:w="12" w:type="dxa"/>
              <w:right w:w="12" w:type="dxa"/>
            </w:tcMar>
            <w:vAlign w:val="center"/>
          </w:tcPr>
          <w:p w14:paraId="616AF273">
            <w:pPr>
              <w:jc w:val="center"/>
              <w:rPr>
                <w:rFonts w:hint="eastAsia" w:ascii="宋体" w:hAnsi="宋体" w:eastAsia="宋体" w:cs="宋体"/>
              </w:rPr>
            </w:pPr>
          </w:p>
        </w:tc>
        <w:tc>
          <w:tcPr>
            <w:tcW w:w="335" w:type="pct"/>
            <w:tcMar>
              <w:top w:w="12" w:type="dxa"/>
              <w:left w:w="12" w:type="dxa"/>
              <w:right w:w="12" w:type="dxa"/>
            </w:tcMar>
            <w:vAlign w:val="center"/>
          </w:tcPr>
          <w:p w14:paraId="1A1CEB0D">
            <w:pPr>
              <w:jc w:val="center"/>
              <w:rPr>
                <w:rFonts w:hint="eastAsia" w:ascii="宋体" w:hAnsi="宋体" w:eastAsia="宋体" w:cs="宋体"/>
                <w:szCs w:val="21"/>
              </w:rPr>
            </w:pPr>
          </w:p>
        </w:tc>
        <w:tc>
          <w:tcPr>
            <w:tcW w:w="529" w:type="pct"/>
          </w:tcPr>
          <w:p w14:paraId="0C0B8ED1">
            <w:pPr>
              <w:spacing w:line="360" w:lineRule="exact"/>
              <w:jc w:val="center"/>
              <w:textAlignment w:val="center"/>
              <w:rPr>
                <w:rFonts w:hint="eastAsia" w:ascii="宋体" w:hAnsi="宋体" w:eastAsia="宋体" w:cs="宋体"/>
                <w:szCs w:val="21"/>
              </w:rPr>
            </w:pPr>
          </w:p>
        </w:tc>
        <w:tc>
          <w:tcPr>
            <w:tcW w:w="522" w:type="pct"/>
          </w:tcPr>
          <w:p w14:paraId="528002F0">
            <w:pPr>
              <w:spacing w:line="360" w:lineRule="exact"/>
              <w:jc w:val="center"/>
              <w:textAlignment w:val="center"/>
              <w:rPr>
                <w:rFonts w:hint="eastAsia" w:ascii="宋体" w:hAnsi="宋体" w:eastAsia="宋体" w:cs="宋体"/>
                <w:szCs w:val="21"/>
              </w:rPr>
            </w:pPr>
          </w:p>
        </w:tc>
        <w:tc>
          <w:tcPr>
            <w:tcW w:w="1149" w:type="pct"/>
          </w:tcPr>
          <w:p w14:paraId="3560923B">
            <w:pPr>
              <w:spacing w:line="360" w:lineRule="exact"/>
              <w:jc w:val="center"/>
              <w:textAlignment w:val="center"/>
              <w:rPr>
                <w:rFonts w:hint="eastAsia" w:ascii="宋体" w:hAnsi="宋体" w:eastAsia="宋体" w:cs="宋体"/>
                <w:szCs w:val="21"/>
              </w:rPr>
            </w:pPr>
          </w:p>
        </w:tc>
      </w:tr>
      <w:tr w14:paraId="4F1FF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327" w:type="pct"/>
            <w:gridSpan w:val="6"/>
            <w:tcMar>
              <w:top w:w="12" w:type="dxa"/>
              <w:left w:w="12" w:type="dxa"/>
              <w:right w:w="12" w:type="dxa"/>
            </w:tcMar>
            <w:vAlign w:val="center"/>
          </w:tcPr>
          <w:p w14:paraId="34048219">
            <w:pPr>
              <w:spacing w:line="36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总报价(大写)</w:t>
            </w:r>
          </w:p>
        </w:tc>
        <w:tc>
          <w:tcPr>
            <w:tcW w:w="1672" w:type="pct"/>
            <w:gridSpan w:val="2"/>
            <w:vAlign w:val="center"/>
          </w:tcPr>
          <w:p w14:paraId="54CF7741">
            <w:pPr>
              <w:spacing w:line="360" w:lineRule="exact"/>
              <w:jc w:val="center"/>
              <w:textAlignment w:val="center"/>
              <w:rPr>
                <w:rFonts w:hint="eastAsia" w:ascii="宋体" w:hAnsi="宋体" w:eastAsia="宋体" w:cs="宋体"/>
                <w:szCs w:val="21"/>
              </w:rPr>
            </w:pPr>
          </w:p>
        </w:tc>
      </w:tr>
    </w:tbl>
    <w:p w14:paraId="38DCC57C">
      <w:pPr>
        <w:pStyle w:val="61"/>
        <w:rPr>
          <w:rFonts w:hint="eastAsia" w:ascii="宋体" w:hAnsi="宋体" w:eastAsia="宋体" w:cs="宋体"/>
          <w:lang w:val="zh-CN"/>
        </w:rPr>
      </w:pPr>
    </w:p>
    <w:p w14:paraId="425E8595">
      <w:pPr>
        <w:snapToGrid w:val="0"/>
        <w:spacing w:before="50" w:after="50" w:line="360" w:lineRule="exact"/>
        <w:jc w:val="left"/>
        <w:rPr>
          <w:rFonts w:hint="eastAsia" w:ascii="宋体" w:hAnsi="宋体" w:eastAsia="宋体" w:cs="宋体"/>
          <w:szCs w:val="21"/>
        </w:rPr>
      </w:pPr>
      <w:r>
        <w:rPr>
          <w:rFonts w:hint="eastAsia" w:ascii="宋体" w:hAnsi="宋体" w:eastAsia="宋体" w:cs="宋体"/>
          <w:szCs w:val="21"/>
        </w:rPr>
        <w:t>注：</w:t>
      </w:r>
    </w:p>
    <w:p w14:paraId="1B7623E8">
      <w:pPr>
        <w:snapToGrid w:val="0"/>
        <w:spacing w:before="50" w:after="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1、有关本项目实施所涉及的一切费用均计入报价。</w:t>
      </w:r>
      <w:r>
        <w:rPr>
          <w:rFonts w:hint="eastAsia" w:ascii="宋体" w:hAnsi="宋体" w:eastAsia="宋体" w:cs="宋体"/>
          <w:b/>
          <w:bCs/>
          <w:szCs w:val="21"/>
        </w:rPr>
        <w:t>采购人将以合同形式有偿取得货物或服务，不接受</w:t>
      </w:r>
      <w:r>
        <w:rPr>
          <w:rFonts w:hint="eastAsia" w:ascii="宋体" w:hAnsi="宋体" w:eastAsia="宋体" w:cs="宋体"/>
          <w:b/>
          <w:bCs/>
          <w:szCs w:val="21"/>
          <w:lang w:eastAsia="zh-CN"/>
        </w:rPr>
        <w:t>供应商</w:t>
      </w:r>
      <w:r>
        <w:rPr>
          <w:rFonts w:hint="eastAsia" w:ascii="宋体" w:hAnsi="宋体" w:eastAsia="宋体" w:cs="宋体"/>
          <w:b/>
          <w:bCs/>
          <w:szCs w:val="21"/>
        </w:rPr>
        <w:t>给予的赠品、回扣或者与采购无关的其他商品、服务，不得出现“0元”“免费赠送”等形式的无偿报价，否则视为</w:t>
      </w:r>
      <w:r>
        <w:rPr>
          <w:rFonts w:hint="eastAsia" w:ascii="宋体" w:hAnsi="宋体" w:eastAsia="宋体" w:cs="宋体"/>
          <w:b/>
          <w:bCs/>
          <w:szCs w:val="21"/>
          <w:lang w:eastAsia="zh-CN"/>
        </w:rPr>
        <w:t>响应文件</w:t>
      </w:r>
      <w:r>
        <w:rPr>
          <w:rFonts w:hint="eastAsia" w:ascii="宋体" w:hAnsi="宋体" w:eastAsia="宋体" w:cs="宋体"/>
          <w:b/>
          <w:bCs/>
          <w:szCs w:val="21"/>
        </w:rPr>
        <w:t>含有采购人不能接受的附加条件的，投标无效。</w:t>
      </w:r>
    </w:p>
    <w:p w14:paraId="69E71E8F">
      <w:pPr>
        <w:rPr>
          <w:rFonts w:hint="eastAsia" w:ascii="宋体" w:hAnsi="宋体" w:eastAsia="宋体" w:cs="宋体"/>
          <w:lang w:val="zh-CN"/>
        </w:rPr>
      </w:pPr>
    </w:p>
    <w:p w14:paraId="7FB40BF4">
      <w:pPr>
        <w:rPr>
          <w:rFonts w:hint="eastAsia" w:ascii="宋体" w:hAnsi="宋体" w:eastAsia="宋体" w:cs="宋体"/>
          <w:lang w:val="zh-CN"/>
        </w:rPr>
      </w:pPr>
    </w:p>
    <w:p w14:paraId="2445C845">
      <w:pPr>
        <w:shd w:val="clear" w:color="auto" w:fill="FFFFFF"/>
        <w:adjustRightInd w:val="0"/>
        <w:snapToGrid w:val="0"/>
        <w:spacing w:line="360" w:lineRule="auto"/>
        <w:jc w:val="left"/>
        <w:rPr>
          <w:rFonts w:hint="eastAsia" w:ascii="宋体" w:hAnsi="宋体" w:eastAsia="宋体" w:cs="宋体"/>
          <w:szCs w:val="21"/>
          <w:u w:val="single"/>
          <w:lang w:val="zh-CN"/>
        </w:rPr>
      </w:pPr>
      <w:r>
        <w:rPr>
          <w:rFonts w:hint="eastAsia" w:ascii="宋体" w:hAnsi="宋体" w:eastAsia="宋体" w:cs="宋体"/>
          <w:kern w:val="0"/>
          <w:szCs w:val="21"/>
        </w:rPr>
        <w:t>供应商名称（公章）:</w:t>
      </w:r>
      <w:r>
        <w:rPr>
          <w:rFonts w:hint="eastAsia" w:ascii="宋体" w:hAnsi="宋体" w:eastAsia="宋体" w:cs="宋体"/>
          <w:szCs w:val="21"/>
          <w:lang w:val="zh-CN"/>
        </w:rPr>
        <w:t>日期：</w:t>
      </w:r>
    </w:p>
    <w:p w14:paraId="73A3A1D9">
      <w:pPr>
        <w:jc w:val="left"/>
        <w:rPr>
          <w:rFonts w:hint="eastAsia" w:ascii="宋体" w:hAnsi="宋体" w:eastAsia="宋体" w:cs="宋体"/>
          <w:b/>
          <w:bCs/>
          <w:sz w:val="24"/>
        </w:rPr>
      </w:pPr>
      <w:r>
        <w:rPr>
          <w:rFonts w:hint="eastAsia" w:ascii="宋体" w:hAnsi="宋体" w:eastAsia="宋体" w:cs="宋体"/>
          <w:b/>
          <w:bCs/>
          <w:sz w:val="24"/>
        </w:rPr>
        <w:br w:type="page"/>
      </w:r>
    </w:p>
    <w:p w14:paraId="779A07AD">
      <w:pPr>
        <w:pageBreakBefore/>
        <w:shd w:val="clear" w:color="auto" w:fill="FFFFFF"/>
        <w:adjustRightInd w:val="0"/>
        <w:snapToGrid w:val="0"/>
        <w:spacing w:line="360" w:lineRule="auto"/>
        <w:ind w:firstLine="482" w:firstLineChars="200"/>
        <w:jc w:val="center"/>
        <w:outlineLvl w:val="2"/>
        <w:rPr>
          <w:rFonts w:hint="eastAsia" w:ascii="宋体" w:hAnsi="宋体" w:eastAsia="宋体" w:cs="宋体"/>
          <w:b/>
          <w:bCs/>
          <w:sz w:val="24"/>
        </w:rPr>
      </w:pPr>
      <w:bookmarkStart w:id="127" w:name="_Toc354996708"/>
      <w:r>
        <w:rPr>
          <w:rFonts w:hint="eastAsia" w:ascii="宋体" w:hAnsi="宋体" w:eastAsia="宋体" w:cs="宋体"/>
          <w:b/>
          <w:bCs/>
          <w:sz w:val="24"/>
        </w:rPr>
        <w:t>四、交纳采购代理服务费承诺书</w:t>
      </w:r>
    </w:p>
    <w:p w14:paraId="0517C54A">
      <w:pPr>
        <w:adjustRightInd w:val="0"/>
        <w:snapToGrid w:val="0"/>
        <w:spacing w:line="360" w:lineRule="auto"/>
        <w:outlineLvl w:val="9"/>
        <w:rPr>
          <w:rFonts w:hint="eastAsia" w:ascii="宋体" w:hAnsi="宋体" w:eastAsia="宋体" w:cs="宋体"/>
          <w:kern w:val="0"/>
          <w:szCs w:val="21"/>
        </w:rPr>
      </w:pPr>
    </w:p>
    <w:p w14:paraId="04209979">
      <w:pPr>
        <w:adjustRightInd w:val="0"/>
        <w:snapToGrid w:val="0"/>
        <w:spacing w:line="360" w:lineRule="auto"/>
        <w:ind w:firstLine="420" w:firstLineChars="200"/>
        <w:outlineLvl w:val="9"/>
        <w:rPr>
          <w:rFonts w:hint="eastAsia" w:ascii="宋体" w:hAnsi="宋体" w:eastAsia="宋体" w:cs="宋体"/>
          <w:kern w:val="0"/>
          <w:szCs w:val="21"/>
        </w:rPr>
      </w:pPr>
      <w:bookmarkStart w:id="128" w:name="_Toc10064"/>
      <w:bookmarkStart w:id="129" w:name="_Toc21508"/>
      <w:r>
        <w:rPr>
          <w:rFonts w:hint="eastAsia" w:ascii="宋体" w:hAnsi="宋体" w:eastAsia="宋体" w:cs="宋体"/>
          <w:kern w:val="0"/>
          <w:szCs w:val="21"/>
        </w:rPr>
        <w:t>浙江豪圣建设项目管理有限公司：</w:t>
      </w:r>
      <w:bookmarkEnd w:id="128"/>
      <w:bookmarkEnd w:id="129"/>
    </w:p>
    <w:p w14:paraId="15B9B228">
      <w:pPr>
        <w:adjustRightInd w:val="0"/>
        <w:snapToGrid w:val="0"/>
        <w:spacing w:line="360" w:lineRule="auto"/>
        <w:ind w:firstLine="420" w:firstLineChars="200"/>
        <w:outlineLvl w:val="9"/>
        <w:rPr>
          <w:rFonts w:hint="eastAsia" w:ascii="宋体" w:hAnsi="宋体" w:eastAsia="宋体" w:cs="宋体"/>
          <w:kern w:val="0"/>
          <w:szCs w:val="21"/>
        </w:rPr>
      </w:pPr>
      <w:bookmarkStart w:id="130" w:name="_Toc132"/>
      <w:bookmarkStart w:id="131" w:name="_Toc981"/>
      <w:r>
        <w:rPr>
          <w:rFonts w:hint="eastAsia" w:ascii="宋体" w:hAnsi="宋体" w:eastAsia="宋体" w:cs="宋体"/>
          <w:kern w:val="0"/>
          <w:szCs w:val="21"/>
        </w:rPr>
        <w:t>我公司在你公司组织的</w:t>
      </w:r>
      <w:r>
        <w:rPr>
          <w:rFonts w:hint="eastAsia" w:ascii="宋体" w:hAnsi="宋体" w:eastAsia="宋体" w:cs="宋体"/>
          <w:kern w:val="0"/>
          <w:szCs w:val="21"/>
          <w:lang w:eastAsia="zh-CN"/>
        </w:rPr>
        <w:t>浙江中医药大学便携式舌脉象仪采购</w:t>
      </w:r>
      <w:r>
        <w:rPr>
          <w:rFonts w:hint="eastAsia" w:ascii="宋体" w:hAnsi="宋体" w:eastAsia="宋体" w:cs="宋体"/>
          <w:kern w:val="0"/>
          <w:szCs w:val="21"/>
        </w:rPr>
        <w:t>（项目名称）</w:t>
      </w:r>
      <w:r>
        <w:rPr>
          <w:rFonts w:hint="eastAsia" w:ascii="宋体" w:hAnsi="宋体" w:eastAsia="宋体" w:cs="宋体"/>
          <w:kern w:val="0"/>
          <w:szCs w:val="21"/>
          <w:lang w:eastAsia="zh-CN"/>
        </w:rPr>
        <w:t>HSZB-2024-879</w:t>
      </w:r>
      <w:r>
        <w:rPr>
          <w:rFonts w:hint="eastAsia" w:ascii="宋体" w:hAnsi="宋体" w:eastAsia="宋体" w:cs="宋体"/>
          <w:kern w:val="0"/>
          <w:szCs w:val="21"/>
        </w:rPr>
        <w:t>（项目编号）的</w:t>
      </w:r>
      <w:r>
        <w:rPr>
          <w:rFonts w:hint="eastAsia" w:ascii="宋体" w:hAnsi="宋体" w:eastAsia="宋体" w:cs="宋体"/>
          <w:kern w:val="0"/>
          <w:szCs w:val="21"/>
          <w:lang w:val="en-US" w:eastAsia="zh-CN"/>
        </w:rPr>
        <w:t>采购</w:t>
      </w:r>
      <w:r>
        <w:rPr>
          <w:rFonts w:hint="eastAsia" w:ascii="宋体" w:hAnsi="宋体" w:eastAsia="宋体" w:cs="宋体"/>
          <w:kern w:val="0"/>
          <w:szCs w:val="21"/>
        </w:rPr>
        <w:t>中若获</w:t>
      </w:r>
      <w:r>
        <w:rPr>
          <w:rFonts w:hint="eastAsia" w:ascii="宋体" w:hAnsi="宋体" w:eastAsia="宋体" w:cs="宋体"/>
          <w:kern w:val="0"/>
          <w:szCs w:val="21"/>
          <w:lang w:val="en-US" w:eastAsia="zh-CN"/>
        </w:rPr>
        <w:t>成交</w:t>
      </w:r>
      <w:r>
        <w:rPr>
          <w:rFonts w:hint="eastAsia" w:ascii="宋体" w:hAnsi="宋体" w:eastAsia="宋体" w:cs="宋体"/>
          <w:kern w:val="0"/>
          <w:szCs w:val="21"/>
        </w:rPr>
        <w:t>，我公司保证在收到你公司通知后按采购文件中前附表的规定，向你公司即浙江豪圣建设项目管理有限公司支付采购代理服务费（户名：浙江豪圣建设项目管理有限公司。开户：上海浦东发展银行股份有限公司杭州和睦支行。账号：95160154800000653）。</w:t>
      </w:r>
      <w:bookmarkEnd w:id="130"/>
      <w:bookmarkEnd w:id="131"/>
    </w:p>
    <w:p w14:paraId="05698476">
      <w:pPr>
        <w:adjustRightInd w:val="0"/>
        <w:snapToGrid w:val="0"/>
        <w:spacing w:line="360" w:lineRule="auto"/>
        <w:outlineLvl w:val="9"/>
        <w:rPr>
          <w:rFonts w:hint="eastAsia" w:ascii="宋体" w:hAnsi="宋体" w:eastAsia="宋体" w:cs="宋体"/>
          <w:kern w:val="0"/>
          <w:szCs w:val="21"/>
        </w:rPr>
      </w:pPr>
    </w:p>
    <w:p w14:paraId="498D28BC">
      <w:pPr>
        <w:adjustRightInd w:val="0"/>
        <w:snapToGrid w:val="0"/>
        <w:spacing w:line="360" w:lineRule="auto"/>
        <w:outlineLvl w:val="9"/>
        <w:rPr>
          <w:rFonts w:hint="eastAsia" w:ascii="宋体" w:hAnsi="宋体" w:eastAsia="宋体" w:cs="宋体"/>
          <w:kern w:val="0"/>
          <w:szCs w:val="21"/>
        </w:rPr>
      </w:pPr>
      <w:bookmarkStart w:id="132" w:name="_Toc15703"/>
      <w:bookmarkStart w:id="133" w:name="_Toc17898"/>
      <w:r>
        <w:rPr>
          <w:rFonts w:hint="eastAsia" w:ascii="宋体" w:hAnsi="宋体" w:eastAsia="宋体" w:cs="宋体"/>
          <w:kern w:val="0"/>
          <w:szCs w:val="21"/>
        </w:rPr>
        <w:t>特此承诺。</w:t>
      </w:r>
      <w:bookmarkEnd w:id="132"/>
      <w:bookmarkEnd w:id="133"/>
    </w:p>
    <w:p w14:paraId="0FAE5EEA">
      <w:pPr>
        <w:adjustRightInd w:val="0"/>
        <w:snapToGrid w:val="0"/>
        <w:spacing w:line="360" w:lineRule="auto"/>
        <w:outlineLvl w:val="9"/>
        <w:rPr>
          <w:rFonts w:hint="eastAsia" w:ascii="宋体" w:hAnsi="宋体" w:eastAsia="宋体" w:cs="宋体"/>
          <w:kern w:val="0"/>
          <w:szCs w:val="21"/>
        </w:rPr>
      </w:pPr>
      <w:bookmarkStart w:id="134" w:name="_Toc14944"/>
      <w:bookmarkStart w:id="135" w:name="_Toc32162"/>
      <w:r>
        <w:rPr>
          <w:rFonts w:hint="eastAsia" w:ascii="宋体" w:hAnsi="宋体" w:eastAsia="宋体" w:cs="宋体"/>
          <w:kern w:val="0"/>
          <w:szCs w:val="21"/>
          <w:lang w:eastAsia="zh-CN"/>
        </w:rPr>
        <w:t>磋商供应商</w:t>
      </w:r>
      <w:r>
        <w:rPr>
          <w:rFonts w:hint="eastAsia" w:ascii="宋体" w:hAnsi="宋体" w:eastAsia="宋体" w:cs="宋体"/>
          <w:kern w:val="0"/>
          <w:szCs w:val="21"/>
        </w:rPr>
        <w:t>全称（盖单位公章）：</w:t>
      </w:r>
      <w:bookmarkEnd w:id="134"/>
      <w:bookmarkEnd w:id="135"/>
    </w:p>
    <w:p w14:paraId="4122202F">
      <w:pPr>
        <w:adjustRightInd w:val="0"/>
        <w:snapToGrid w:val="0"/>
        <w:spacing w:line="360" w:lineRule="auto"/>
        <w:outlineLvl w:val="9"/>
        <w:rPr>
          <w:rFonts w:hint="eastAsia" w:ascii="宋体" w:hAnsi="宋体" w:eastAsia="宋体" w:cs="宋体"/>
          <w:kern w:val="0"/>
          <w:szCs w:val="21"/>
        </w:rPr>
      </w:pPr>
      <w:bookmarkStart w:id="136" w:name="_Toc3564"/>
      <w:bookmarkStart w:id="137" w:name="_Toc31054"/>
      <w:r>
        <w:rPr>
          <w:rFonts w:hint="eastAsia" w:ascii="宋体" w:hAnsi="宋体" w:eastAsia="宋体" w:cs="宋体"/>
          <w:kern w:val="0"/>
          <w:szCs w:val="21"/>
        </w:rPr>
        <w:t>日期：年</w:t>
      </w:r>
      <w:bookmarkEnd w:id="136"/>
      <w:bookmarkEnd w:id="137"/>
      <w:r>
        <w:rPr>
          <w:rFonts w:hint="eastAsia" w:ascii="宋体" w:hAnsi="宋体" w:eastAsia="宋体" w:cs="宋体"/>
          <w:kern w:val="0"/>
          <w:szCs w:val="21"/>
        </w:rPr>
        <w:t xml:space="preserve"> 月 日</w:t>
      </w:r>
    </w:p>
    <w:p w14:paraId="7FCF02EE">
      <w:pPr>
        <w:adjustRightInd w:val="0"/>
        <w:snapToGrid w:val="0"/>
        <w:spacing w:line="360" w:lineRule="auto"/>
        <w:outlineLvl w:val="9"/>
        <w:rPr>
          <w:rFonts w:hint="eastAsia" w:ascii="宋体" w:hAnsi="宋体" w:eastAsia="宋体" w:cs="宋体"/>
          <w:kern w:val="0"/>
          <w:szCs w:val="21"/>
        </w:rPr>
      </w:pPr>
    </w:p>
    <w:p w14:paraId="2E4CABF5">
      <w:pPr>
        <w:pStyle w:val="21"/>
        <w:ind w:left="0" w:leftChars="0" w:right="1470"/>
        <w:rPr>
          <w:rFonts w:hint="eastAsia" w:ascii="宋体" w:hAnsi="宋体" w:eastAsia="宋体" w:cs="宋体"/>
        </w:rPr>
        <w:sectPr>
          <w:pgSz w:w="11906" w:h="16838"/>
          <w:pgMar w:top="2098" w:right="1474" w:bottom="1701" w:left="1588" w:header="851" w:footer="992" w:gutter="0"/>
          <w:pgNumType w:fmt="decimal"/>
          <w:cols w:space="720" w:num="1"/>
          <w:docGrid w:type="lines" w:linePitch="312" w:charSpace="0"/>
        </w:sectPr>
      </w:pPr>
    </w:p>
    <w:p w14:paraId="694E11AA">
      <w:pPr>
        <w:adjustRightInd w:val="0"/>
        <w:snapToGrid w:val="0"/>
        <w:spacing w:line="360" w:lineRule="auto"/>
        <w:jc w:val="center"/>
        <w:outlineLvl w:val="1"/>
        <w:rPr>
          <w:rFonts w:hint="eastAsia" w:ascii="宋体" w:hAnsi="宋体" w:eastAsia="宋体" w:cs="宋体"/>
          <w:b/>
          <w:kern w:val="0"/>
          <w:sz w:val="36"/>
          <w:szCs w:val="36"/>
        </w:rPr>
      </w:pPr>
      <w:bookmarkStart w:id="138" w:name="_Toc16984"/>
      <w:bookmarkStart w:id="139" w:name="_Toc8933"/>
      <w:bookmarkStart w:id="140" w:name="_Toc6131"/>
      <w:bookmarkStart w:id="141" w:name="_Toc2346"/>
      <w:r>
        <w:rPr>
          <w:rFonts w:hint="eastAsia" w:ascii="宋体" w:hAnsi="宋体" w:eastAsia="宋体" w:cs="宋体"/>
          <w:b/>
          <w:kern w:val="0"/>
          <w:sz w:val="36"/>
          <w:szCs w:val="36"/>
        </w:rPr>
        <w:t>商务</w:t>
      </w:r>
      <w:bookmarkEnd w:id="127"/>
      <w:bookmarkStart w:id="142" w:name="_Toc354996709"/>
      <w:r>
        <w:rPr>
          <w:rFonts w:hint="eastAsia" w:ascii="宋体" w:hAnsi="宋体" w:eastAsia="宋体" w:cs="宋体"/>
          <w:b/>
          <w:kern w:val="0"/>
          <w:sz w:val="36"/>
          <w:szCs w:val="36"/>
        </w:rPr>
        <w:t>技术文件</w:t>
      </w:r>
      <w:bookmarkEnd w:id="138"/>
      <w:bookmarkEnd w:id="139"/>
      <w:bookmarkEnd w:id="140"/>
      <w:bookmarkEnd w:id="141"/>
    </w:p>
    <w:p w14:paraId="7F3C2533">
      <w:pPr>
        <w:adjustRightInd w:val="0"/>
        <w:snapToGrid w:val="0"/>
        <w:jc w:val="center"/>
        <w:outlineLvl w:val="9"/>
        <w:rPr>
          <w:rFonts w:hint="eastAsia" w:ascii="宋体" w:hAnsi="宋体" w:eastAsia="宋体" w:cs="宋体"/>
          <w:b/>
          <w:bCs/>
          <w:sz w:val="32"/>
          <w:szCs w:val="40"/>
        </w:rPr>
      </w:pPr>
      <w:bookmarkStart w:id="143" w:name="_Toc28323"/>
      <w:bookmarkStart w:id="144" w:name="_Toc27129"/>
      <w:bookmarkStart w:id="145" w:name="_Toc7803"/>
      <w:bookmarkStart w:id="146" w:name="_Toc13194"/>
      <w:bookmarkStart w:id="147" w:name="_Toc23505"/>
      <w:bookmarkStart w:id="148" w:name="_Toc7049"/>
      <w:bookmarkStart w:id="149" w:name="_Toc6570"/>
      <w:bookmarkStart w:id="150" w:name="_Toc7660"/>
      <w:bookmarkStart w:id="151" w:name="_Toc20650"/>
      <w:bookmarkStart w:id="152" w:name="_Toc30182"/>
      <w:bookmarkStart w:id="153" w:name="_Toc25554"/>
      <w:r>
        <w:rPr>
          <w:rFonts w:hint="eastAsia" w:ascii="宋体" w:hAnsi="宋体" w:eastAsia="宋体" w:cs="宋体"/>
          <w:b/>
          <w:bCs/>
          <w:sz w:val="32"/>
          <w:szCs w:val="40"/>
        </w:rPr>
        <w:t>目录</w:t>
      </w:r>
      <w:bookmarkEnd w:id="143"/>
      <w:bookmarkEnd w:id="144"/>
      <w:bookmarkEnd w:id="145"/>
      <w:bookmarkEnd w:id="146"/>
      <w:bookmarkEnd w:id="147"/>
      <w:bookmarkEnd w:id="148"/>
      <w:bookmarkEnd w:id="149"/>
      <w:bookmarkEnd w:id="150"/>
      <w:bookmarkEnd w:id="151"/>
      <w:bookmarkEnd w:id="152"/>
      <w:bookmarkEnd w:id="153"/>
    </w:p>
    <w:p w14:paraId="177836C4">
      <w:pPr>
        <w:adjustRightInd w:val="0"/>
        <w:snapToGrid w:val="0"/>
        <w:jc w:val="center"/>
        <w:outlineLvl w:val="9"/>
        <w:rPr>
          <w:rFonts w:hint="eastAsia" w:ascii="宋体" w:hAnsi="宋体" w:eastAsia="宋体" w:cs="宋体"/>
          <w:b/>
          <w:bCs/>
          <w:sz w:val="32"/>
          <w:szCs w:val="40"/>
        </w:rPr>
      </w:pPr>
    </w:p>
    <w:p w14:paraId="5247B574">
      <w:pPr>
        <w:numPr>
          <w:ilvl w:val="0"/>
          <w:numId w:val="8"/>
        </w:numPr>
        <w:spacing w:line="360" w:lineRule="auto"/>
        <w:rPr>
          <w:rFonts w:hint="eastAsia" w:ascii="宋体" w:hAnsi="宋体" w:eastAsia="宋体" w:cs="宋体"/>
        </w:rPr>
      </w:pPr>
      <w:r>
        <w:rPr>
          <w:rFonts w:hint="eastAsia" w:ascii="宋体" w:hAnsi="宋体" w:eastAsia="宋体" w:cs="宋体"/>
        </w:rPr>
        <w:t>授权委托书………………………………………………………………………………（页码）</w:t>
      </w:r>
    </w:p>
    <w:p w14:paraId="52197753">
      <w:pPr>
        <w:numPr>
          <w:ilvl w:val="0"/>
          <w:numId w:val="8"/>
        </w:numPr>
        <w:spacing w:line="360" w:lineRule="auto"/>
        <w:ind w:left="0" w:leftChars="0" w:firstLine="0" w:firstLineChars="0"/>
        <w:rPr>
          <w:rFonts w:hint="eastAsia" w:ascii="宋体" w:hAnsi="宋体" w:eastAsia="宋体" w:cs="宋体"/>
        </w:rPr>
      </w:pPr>
      <w:r>
        <w:rPr>
          <w:rFonts w:hint="eastAsia" w:ascii="宋体" w:hAnsi="宋体" w:eastAsia="宋体" w:cs="宋体"/>
        </w:rPr>
        <w:t>法定代表人及授权委托人的身份证(复印件)…………………………………………（页码）</w:t>
      </w:r>
    </w:p>
    <w:p w14:paraId="67067470">
      <w:pPr>
        <w:numPr>
          <w:ilvl w:val="0"/>
          <w:numId w:val="8"/>
        </w:numPr>
        <w:spacing w:line="360" w:lineRule="auto"/>
        <w:ind w:left="0" w:leftChars="0" w:firstLine="0" w:firstLineChars="0"/>
        <w:rPr>
          <w:rFonts w:hint="eastAsia" w:ascii="宋体" w:hAnsi="宋体" w:eastAsia="宋体" w:cs="宋体"/>
        </w:rPr>
      </w:pPr>
      <w:r>
        <w:rPr>
          <w:rFonts w:hint="eastAsia" w:ascii="宋体" w:hAnsi="宋体" w:eastAsia="宋体" w:cs="宋体"/>
          <w:bCs/>
          <w:lang w:val="zh-CN"/>
        </w:rPr>
        <w:t>公司介绍及提供同类项目经验</w:t>
      </w:r>
      <w:r>
        <w:rPr>
          <w:rFonts w:hint="eastAsia" w:ascii="宋体" w:hAnsi="宋体" w:eastAsia="宋体" w:cs="宋体"/>
        </w:rPr>
        <w:t>…………………………………………………………（页码）</w:t>
      </w:r>
    </w:p>
    <w:p w14:paraId="0C452FDA">
      <w:pPr>
        <w:numPr>
          <w:ilvl w:val="0"/>
          <w:numId w:val="8"/>
        </w:numPr>
        <w:spacing w:line="360" w:lineRule="auto"/>
        <w:ind w:left="0" w:leftChars="0" w:firstLine="0" w:firstLineChars="0"/>
        <w:rPr>
          <w:rFonts w:hint="eastAsia" w:ascii="宋体" w:hAnsi="宋体" w:eastAsia="宋体" w:cs="宋体"/>
        </w:rPr>
      </w:pPr>
      <w:r>
        <w:rPr>
          <w:rFonts w:hint="eastAsia" w:ascii="宋体" w:hAnsi="宋体" w:eastAsia="宋体" w:cs="宋体"/>
          <w:bCs/>
          <w:lang w:val="zh-CN"/>
        </w:rPr>
        <w:t>资质文件（如有）</w:t>
      </w:r>
      <w:r>
        <w:rPr>
          <w:rFonts w:hint="eastAsia" w:ascii="宋体" w:hAnsi="宋体" w:eastAsia="宋体" w:cs="宋体"/>
        </w:rPr>
        <w:t>………………………………………………………………………（页码）</w:t>
      </w:r>
    </w:p>
    <w:p w14:paraId="1BD66EC6">
      <w:pPr>
        <w:numPr>
          <w:ilvl w:val="0"/>
          <w:numId w:val="8"/>
        </w:numPr>
        <w:spacing w:line="360" w:lineRule="auto"/>
        <w:ind w:left="0" w:leftChars="0" w:firstLine="0" w:firstLineChars="0"/>
        <w:rPr>
          <w:rFonts w:hint="eastAsia" w:ascii="宋体" w:hAnsi="宋体" w:eastAsia="宋体" w:cs="宋体"/>
        </w:rPr>
      </w:pPr>
      <w:r>
        <w:rPr>
          <w:rFonts w:hint="eastAsia" w:ascii="宋体" w:hAnsi="宋体" w:eastAsia="宋体" w:cs="宋体"/>
        </w:rPr>
        <w:t>商务、</w:t>
      </w:r>
      <w:r>
        <w:rPr>
          <w:rFonts w:hint="eastAsia" w:ascii="宋体" w:hAnsi="宋体" w:eastAsia="宋体" w:cs="宋体"/>
          <w:bCs/>
        </w:rPr>
        <w:t>技术偏离表</w:t>
      </w:r>
      <w:r>
        <w:rPr>
          <w:rFonts w:hint="eastAsia" w:ascii="宋体" w:hAnsi="宋体" w:eastAsia="宋体" w:cs="宋体"/>
        </w:rPr>
        <w:t>………………………………………………………………………（页码）</w:t>
      </w:r>
    </w:p>
    <w:p w14:paraId="6B5FC3DB">
      <w:pPr>
        <w:numPr>
          <w:ilvl w:val="0"/>
          <w:numId w:val="8"/>
        </w:numPr>
        <w:spacing w:line="360" w:lineRule="auto"/>
        <w:ind w:left="0" w:leftChars="0" w:firstLine="0" w:firstLineChars="0"/>
        <w:rPr>
          <w:rFonts w:hint="eastAsia" w:ascii="宋体" w:hAnsi="宋体" w:eastAsia="宋体" w:cs="宋体"/>
        </w:rPr>
      </w:pPr>
      <w:r>
        <w:rPr>
          <w:rFonts w:hint="eastAsia" w:ascii="宋体" w:hAnsi="宋体" w:eastAsia="宋体" w:cs="宋体"/>
          <w:lang w:val="zh-CN"/>
        </w:rPr>
        <w:t>评标标准相应的商务技术资料</w:t>
      </w:r>
      <w:r>
        <w:rPr>
          <w:rFonts w:hint="eastAsia" w:ascii="宋体" w:hAnsi="宋体" w:eastAsia="宋体" w:cs="宋体"/>
        </w:rPr>
        <w:t>………………………………………………………  （页码）</w:t>
      </w:r>
      <w:bookmarkEnd w:id="142"/>
    </w:p>
    <w:p w14:paraId="30A6D96F">
      <w:pPr>
        <w:numPr>
          <w:ilvl w:val="0"/>
          <w:numId w:val="8"/>
        </w:numPr>
        <w:spacing w:line="360" w:lineRule="auto"/>
        <w:ind w:left="0" w:leftChars="0" w:firstLine="0" w:firstLineChars="0"/>
        <w:rPr>
          <w:rFonts w:hint="eastAsia" w:ascii="宋体" w:hAnsi="宋体" w:eastAsia="宋体" w:cs="宋体"/>
        </w:rPr>
      </w:pPr>
      <w:r>
        <w:rPr>
          <w:rFonts w:hint="eastAsia" w:ascii="宋体" w:hAnsi="宋体" w:eastAsia="宋体" w:cs="宋体"/>
        </w:rPr>
        <w:t>分包意向协议（需明确分包的金额比重、中小企业声明函中需体现分包商的信息）（如有）…………………………………………………………………………………………… （页码）</w:t>
      </w:r>
    </w:p>
    <w:p w14:paraId="0E95B02D">
      <w:pPr>
        <w:numPr>
          <w:ilvl w:val="0"/>
          <w:numId w:val="0"/>
        </w:numPr>
        <w:spacing w:line="360" w:lineRule="auto"/>
        <w:ind w:leftChars="0"/>
        <w:rPr>
          <w:rFonts w:hint="eastAsia" w:ascii="宋体" w:hAnsi="宋体" w:eastAsia="宋体" w:cs="宋体"/>
        </w:rPr>
      </w:pPr>
      <w:r>
        <w:rPr>
          <w:rFonts w:hint="eastAsia" w:ascii="宋体" w:hAnsi="宋体" w:eastAsia="宋体" w:cs="宋体"/>
        </w:rPr>
        <w:t>（8）其他必要提供的材料………………………………………………………………… （页码）</w:t>
      </w:r>
    </w:p>
    <w:p w14:paraId="470F84E2">
      <w:pPr>
        <w:pStyle w:val="25"/>
        <w:adjustRightInd w:val="0"/>
        <w:snapToGrid w:val="0"/>
        <w:spacing w:line="360" w:lineRule="auto"/>
        <w:outlineLvl w:val="9"/>
        <w:rPr>
          <w:rFonts w:hint="eastAsia" w:ascii="宋体" w:hAnsi="宋体" w:eastAsia="宋体" w:cs="宋体"/>
          <w:sz w:val="24"/>
        </w:rPr>
      </w:pPr>
    </w:p>
    <w:p w14:paraId="5E0AA9F1">
      <w:pPr>
        <w:pStyle w:val="25"/>
        <w:adjustRightInd w:val="0"/>
        <w:snapToGrid w:val="0"/>
        <w:spacing w:line="360" w:lineRule="auto"/>
        <w:outlineLvl w:val="9"/>
        <w:rPr>
          <w:rFonts w:hint="eastAsia" w:ascii="宋体" w:hAnsi="宋体" w:eastAsia="宋体" w:cs="宋体"/>
          <w:sz w:val="24"/>
        </w:rPr>
      </w:pPr>
    </w:p>
    <w:p w14:paraId="4D6EB3BF">
      <w:pPr>
        <w:pStyle w:val="25"/>
        <w:adjustRightInd w:val="0"/>
        <w:snapToGrid w:val="0"/>
        <w:spacing w:line="360" w:lineRule="auto"/>
        <w:outlineLvl w:val="9"/>
        <w:rPr>
          <w:rFonts w:hint="eastAsia" w:ascii="宋体" w:hAnsi="宋体" w:eastAsia="宋体" w:cs="宋体"/>
          <w:sz w:val="24"/>
        </w:rPr>
      </w:pPr>
    </w:p>
    <w:p w14:paraId="7F35C453">
      <w:pPr>
        <w:pStyle w:val="25"/>
        <w:adjustRightInd w:val="0"/>
        <w:snapToGrid w:val="0"/>
        <w:spacing w:line="360" w:lineRule="auto"/>
        <w:outlineLvl w:val="9"/>
        <w:rPr>
          <w:rFonts w:hint="eastAsia" w:ascii="宋体" w:hAnsi="宋体" w:eastAsia="宋体" w:cs="宋体"/>
          <w:sz w:val="24"/>
        </w:rPr>
      </w:pPr>
    </w:p>
    <w:p w14:paraId="7624D276">
      <w:pPr>
        <w:pStyle w:val="25"/>
        <w:adjustRightInd w:val="0"/>
        <w:snapToGrid w:val="0"/>
        <w:spacing w:line="360" w:lineRule="auto"/>
        <w:outlineLvl w:val="2"/>
        <w:rPr>
          <w:rFonts w:hint="eastAsia" w:ascii="宋体" w:hAnsi="宋体" w:eastAsia="宋体" w:cs="宋体"/>
          <w:sz w:val="24"/>
        </w:rPr>
        <w:sectPr>
          <w:pgSz w:w="11906" w:h="16838"/>
          <w:pgMar w:top="2098" w:right="1474" w:bottom="1701" w:left="1588" w:header="851" w:footer="992" w:gutter="0"/>
          <w:pgNumType w:fmt="decimal"/>
          <w:cols w:space="720" w:num="1"/>
          <w:docGrid w:type="lines" w:linePitch="312" w:charSpace="0"/>
        </w:sectPr>
      </w:pPr>
    </w:p>
    <w:p w14:paraId="6FC9EFCD">
      <w:pPr>
        <w:pStyle w:val="25"/>
        <w:snapToGrid w:val="0"/>
        <w:spacing w:line="360" w:lineRule="auto"/>
        <w:jc w:val="center"/>
        <w:outlineLvl w:val="9"/>
        <w:rPr>
          <w:rFonts w:hint="eastAsia" w:ascii="宋体" w:hAnsi="宋体" w:eastAsia="宋体" w:cs="宋体"/>
          <w:b/>
          <w:sz w:val="32"/>
          <w:szCs w:val="32"/>
          <w:lang w:val="zh-CN"/>
        </w:rPr>
      </w:pPr>
      <w:bookmarkStart w:id="154" w:name="_Toc1020"/>
      <w:r>
        <w:rPr>
          <w:rFonts w:hint="eastAsia" w:ascii="宋体" w:hAnsi="宋体" w:eastAsia="宋体" w:cs="宋体"/>
          <w:b/>
          <w:sz w:val="32"/>
          <w:szCs w:val="32"/>
          <w:lang w:val="zh-CN"/>
        </w:rPr>
        <w:t>一、法定代表人授权委托书</w:t>
      </w:r>
      <w:bookmarkEnd w:id="154"/>
      <w:r>
        <w:rPr>
          <w:rFonts w:hint="eastAsia" w:ascii="宋体" w:hAnsi="宋体" w:eastAsia="宋体" w:cs="宋体"/>
          <w:b/>
          <w:sz w:val="32"/>
          <w:szCs w:val="32"/>
          <w:lang w:val="zh-CN"/>
        </w:rPr>
        <w:t>（</w:t>
      </w:r>
      <w:r>
        <w:rPr>
          <w:rFonts w:hint="eastAsia" w:ascii="宋体" w:hAnsi="宋体" w:eastAsia="宋体" w:cs="宋体"/>
          <w:b/>
          <w:kern w:val="0"/>
          <w:sz w:val="32"/>
          <w:szCs w:val="32"/>
          <w:lang w:val="zh-CN"/>
        </w:rPr>
        <w:t>适用于非联合体投标</w:t>
      </w:r>
      <w:r>
        <w:rPr>
          <w:rFonts w:hint="eastAsia" w:ascii="宋体" w:hAnsi="宋体" w:eastAsia="宋体" w:cs="宋体"/>
          <w:b/>
          <w:sz w:val="32"/>
          <w:szCs w:val="32"/>
          <w:lang w:val="zh-CN"/>
        </w:rPr>
        <w:t>）</w:t>
      </w:r>
    </w:p>
    <w:p w14:paraId="560BAA76">
      <w:pPr>
        <w:shd w:val="clear" w:color="auto" w:fill="FFFFFF"/>
        <w:snapToGrid w:val="0"/>
        <w:spacing w:line="360" w:lineRule="auto"/>
        <w:rPr>
          <w:rFonts w:hint="eastAsia" w:ascii="宋体" w:hAnsi="宋体" w:eastAsia="宋体" w:cs="宋体"/>
          <w:szCs w:val="21"/>
          <w:lang w:eastAsia="zh-CN"/>
        </w:rPr>
      </w:pPr>
      <w:r>
        <w:rPr>
          <w:rFonts w:hint="eastAsia" w:ascii="宋体" w:hAnsi="宋体" w:eastAsia="宋体" w:cs="宋体"/>
          <w:szCs w:val="21"/>
        </w:rPr>
        <w:t xml:space="preserve">浙江中医药大学  </w:t>
      </w:r>
    </w:p>
    <w:p w14:paraId="0006A04A">
      <w:pPr>
        <w:shd w:val="clear" w:color="auto" w:fill="FFFFFF"/>
        <w:snapToGrid w:val="0"/>
        <w:spacing w:line="360" w:lineRule="auto"/>
        <w:rPr>
          <w:rFonts w:hint="eastAsia" w:ascii="宋体" w:hAnsi="宋体" w:eastAsia="宋体" w:cs="宋体"/>
          <w:szCs w:val="21"/>
        </w:rPr>
      </w:pPr>
      <w:r>
        <w:rPr>
          <w:rFonts w:hint="eastAsia" w:ascii="宋体" w:hAnsi="宋体" w:eastAsia="宋体" w:cs="宋体"/>
          <w:szCs w:val="21"/>
        </w:rPr>
        <w:t>浙江豪圣建设项目管理有限公司：</w:t>
      </w:r>
    </w:p>
    <w:p w14:paraId="12072A41">
      <w:pPr>
        <w:shd w:val="clear" w:color="auto" w:fill="FFFFFF"/>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lang w:val="zh-CN"/>
        </w:rPr>
        <w:t>兹委派我公司</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先生/女士(其在本公司的职务是：</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，联系电话：</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手机：</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传真：</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)，代表我公司全权处理浙江中医药大学便携式舌脉象仪采购</w:t>
      </w:r>
      <w:r>
        <w:rPr>
          <w:rFonts w:hint="eastAsia" w:ascii="宋体" w:hAnsi="宋体" w:eastAsia="宋体" w:cs="宋体"/>
          <w:szCs w:val="21"/>
        </w:rPr>
        <w:t>(项目编号：HSZB-2024-879</w:t>
      </w:r>
      <w:r>
        <w:rPr>
          <w:rFonts w:hint="eastAsia" w:ascii="宋体" w:hAnsi="宋体" w:eastAsia="宋体" w:cs="宋体"/>
          <w:szCs w:val="21"/>
          <w:lang w:val="en-US" w:eastAsia="zh-CN"/>
        </w:rPr>
        <w:t xml:space="preserve"> </w:t>
      </w:r>
      <w:r>
        <w:rPr>
          <w:rFonts w:hint="eastAsia" w:ascii="宋体" w:hAnsi="宋体" w:eastAsia="宋体" w:cs="宋体"/>
          <w:szCs w:val="21"/>
        </w:rPr>
        <w:t>)政府采购投标的一切事项，若中标则全权代表本公司签订相关合同，</w:t>
      </w:r>
      <w:r>
        <w:rPr>
          <w:rFonts w:hint="eastAsia" w:ascii="宋体" w:hAnsi="宋体" w:eastAsia="宋体" w:cs="宋体"/>
          <w:kern w:val="0"/>
          <w:szCs w:val="21"/>
          <w:lang w:val="zh-CN"/>
        </w:rPr>
        <w:t>并负责处理合同履行等事宜。</w:t>
      </w:r>
    </w:p>
    <w:p w14:paraId="31483AFC">
      <w:pPr>
        <w:shd w:val="clear" w:color="auto" w:fill="FFFFFF"/>
        <w:snapToGrid w:val="0"/>
        <w:spacing w:line="360" w:lineRule="auto"/>
        <w:rPr>
          <w:rFonts w:hint="eastAsia" w:ascii="宋体" w:hAnsi="宋体" w:eastAsia="宋体" w:cs="宋体"/>
          <w:kern w:val="0"/>
          <w:szCs w:val="21"/>
        </w:rPr>
      </w:pPr>
      <w:r>
        <w:rPr>
          <w:rFonts w:hint="eastAsia" w:ascii="宋体" w:hAnsi="宋体" w:eastAsia="宋体" w:cs="宋体"/>
          <w:kern w:val="0"/>
          <w:szCs w:val="21"/>
          <w:lang w:val="zh-CN"/>
        </w:rPr>
        <w:t xml:space="preserve">    特此告知。</w:t>
      </w:r>
    </w:p>
    <w:p w14:paraId="369537F1">
      <w:pPr>
        <w:shd w:val="clear" w:color="auto" w:fill="FFFFFF"/>
        <w:snapToGrid w:val="0"/>
        <w:spacing w:line="360" w:lineRule="auto"/>
        <w:jc w:val="left"/>
        <w:rPr>
          <w:rFonts w:hint="eastAsia" w:ascii="宋体" w:hAnsi="宋体" w:eastAsia="宋体" w:cs="宋体"/>
          <w:kern w:val="0"/>
          <w:szCs w:val="21"/>
        </w:rPr>
      </w:pPr>
    </w:p>
    <w:p w14:paraId="5254C102">
      <w:pPr>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供应商名称（盖章） ：</w:t>
      </w:r>
    </w:p>
    <w:p w14:paraId="73969588">
      <w:pPr>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法定代表人或其授权代表（签字或盖章）：</w:t>
      </w:r>
    </w:p>
    <w:p w14:paraId="4519D116">
      <w:pPr>
        <w:snapToGrid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rPr>
        <w:t>日期：     年  月  日</w:t>
      </w:r>
    </w:p>
    <w:p w14:paraId="1EF31E18">
      <w:pPr>
        <w:shd w:val="clear" w:color="auto" w:fill="FFFFFF"/>
        <w:snapToGrid w:val="0"/>
        <w:spacing w:line="360" w:lineRule="auto"/>
        <w:ind w:right="480"/>
        <w:jc w:val="center"/>
        <w:rPr>
          <w:rFonts w:hint="eastAsia" w:ascii="宋体" w:hAnsi="宋体" w:eastAsia="宋体" w:cs="宋体"/>
          <w:b/>
          <w:bCs/>
          <w:kern w:val="0"/>
          <w:szCs w:val="21"/>
          <w:lang w:val="zh-CN"/>
        </w:rPr>
      </w:pPr>
    </w:p>
    <w:p w14:paraId="4B2C6357">
      <w:pPr>
        <w:pStyle w:val="25"/>
        <w:snapToGrid w:val="0"/>
        <w:spacing w:line="360" w:lineRule="auto"/>
        <w:ind w:firstLine="643" w:firstLineChars="200"/>
        <w:jc w:val="center"/>
        <w:outlineLvl w:val="9"/>
        <w:rPr>
          <w:rFonts w:hint="eastAsia" w:ascii="宋体" w:hAnsi="宋体" w:eastAsia="宋体" w:cs="宋体"/>
          <w:b/>
          <w:sz w:val="32"/>
          <w:szCs w:val="32"/>
          <w:lang w:val="zh-CN"/>
        </w:rPr>
      </w:pPr>
    </w:p>
    <w:p w14:paraId="3535C200">
      <w:pPr>
        <w:pStyle w:val="25"/>
        <w:snapToGrid w:val="0"/>
        <w:spacing w:line="360" w:lineRule="auto"/>
        <w:ind w:firstLine="643" w:firstLineChars="200"/>
        <w:jc w:val="center"/>
        <w:outlineLvl w:val="9"/>
        <w:rPr>
          <w:rFonts w:hint="eastAsia" w:ascii="宋体" w:hAnsi="宋体" w:eastAsia="宋体" w:cs="宋体"/>
          <w:b/>
          <w:sz w:val="32"/>
          <w:szCs w:val="32"/>
          <w:lang w:val="zh-CN"/>
        </w:rPr>
      </w:pPr>
      <w:r>
        <w:rPr>
          <w:rFonts w:hint="eastAsia" w:ascii="宋体" w:hAnsi="宋体" w:eastAsia="宋体" w:cs="宋体"/>
          <w:b/>
          <w:sz w:val="32"/>
          <w:szCs w:val="32"/>
          <w:lang w:val="zh-CN"/>
        </w:rPr>
        <w:t>法定代表人授权委托书（</w:t>
      </w:r>
      <w:r>
        <w:rPr>
          <w:rFonts w:hint="eastAsia" w:ascii="宋体" w:hAnsi="宋体" w:eastAsia="宋体" w:cs="宋体"/>
          <w:b/>
          <w:kern w:val="0"/>
          <w:sz w:val="32"/>
          <w:szCs w:val="32"/>
          <w:lang w:val="zh-CN"/>
        </w:rPr>
        <w:t>适用于联合体投标</w:t>
      </w:r>
      <w:r>
        <w:rPr>
          <w:rFonts w:hint="eastAsia" w:ascii="宋体" w:hAnsi="宋体" w:eastAsia="宋体" w:cs="宋体"/>
          <w:b/>
          <w:sz w:val="32"/>
          <w:szCs w:val="32"/>
          <w:lang w:val="zh-CN"/>
        </w:rPr>
        <w:t>）</w:t>
      </w:r>
    </w:p>
    <w:p w14:paraId="1CBE04EA">
      <w:pPr>
        <w:shd w:val="clear" w:color="auto" w:fill="FFFFFF"/>
        <w:snapToGrid w:val="0"/>
        <w:spacing w:line="360" w:lineRule="auto"/>
        <w:rPr>
          <w:rFonts w:hint="eastAsia" w:ascii="宋体" w:hAnsi="宋体" w:eastAsia="宋体" w:cs="宋体"/>
          <w:szCs w:val="21"/>
          <w:lang w:eastAsia="zh-CN"/>
        </w:rPr>
      </w:pPr>
      <w:r>
        <w:rPr>
          <w:rFonts w:hint="eastAsia" w:ascii="宋体" w:hAnsi="宋体" w:eastAsia="宋体" w:cs="宋体"/>
          <w:szCs w:val="21"/>
        </w:rPr>
        <w:t xml:space="preserve">浙江中医药大学  </w:t>
      </w:r>
    </w:p>
    <w:p w14:paraId="7213D64C">
      <w:pPr>
        <w:shd w:val="clear" w:color="auto" w:fill="FFFFFF"/>
        <w:snapToGrid w:val="0"/>
        <w:spacing w:line="360" w:lineRule="auto"/>
        <w:rPr>
          <w:rFonts w:hint="eastAsia" w:ascii="宋体" w:hAnsi="宋体" w:eastAsia="宋体" w:cs="宋体"/>
          <w:szCs w:val="21"/>
        </w:rPr>
      </w:pPr>
      <w:r>
        <w:rPr>
          <w:rFonts w:hint="eastAsia" w:ascii="宋体" w:hAnsi="宋体" w:eastAsia="宋体" w:cs="宋体"/>
          <w:szCs w:val="21"/>
        </w:rPr>
        <w:t>浙江豪圣建设项目管理有限公司：</w:t>
      </w:r>
    </w:p>
    <w:p w14:paraId="07671295">
      <w:pPr>
        <w:shd w:val="clear" w:color="auto" w:fill="FFFFFF"/>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lang w:val="zh-CN"/>
        </w:rPr>
        <w:t>兹委派我公司</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先生/女士(其在本公司的职务是：</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，联系电话：</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手机：</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传真：</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)，代表我公司全权处理浙江中医药大学便携式舌脉象仪采购</w:t>
      </w:r>
      <w:r>
        <w:rPr>
          <w:rFonts w:hint="eastAsia" w:ascii="宋体" w:hAnsi="宋体" w:eastAsia="宋体" w:cs="宋体"/>
          <w:szCs w:val="21"/>
        </w:rPr>
        <w:t>(项目编号：HSZB-2024-879 )政府采购投标的一切事项，若中标则全权代表本公司签订相关合同，</w:t>
      </w:r>
      <w:r>
        <w:rPr>
          <w:rFonts w:hint="eastAsia" w:ascii="宋体" w:hAnsi="宋体" w:eastAsia="宋体" w:cs="宋体"/>
          <w:kern w:val="0"/>
          <w:szCs w:val="21"/>
          <w:lang w:val="zh-CN"/>
        </w:rPr>
        <w:t>并负责处理合同履行等事宜。</w:t>
      </w:r>
    </w:p>
    <w:p w14:paraId="0A7BE902">
      <w:pPr>
        <w:shd w:val="clear" w:color="auto" w:fill="FFFFFF"/>
        <w:snapToGrid w:val="0"/>
        <w:spacing w:line="360" w:lineRule="auto"/>
        <w:rPr>
          <w:rFonts w:hint="eastAsia" w:ascii="宋体" w:hAnsi="宋体" w:eastAsia="宋体" w:cs="宋体"/>
          <w:kern w:val="0"/>
          <w:szCs w:val="21"/>
        </w:rPr>
      </w:pPr>
      <w:r>
        <w:rPr>
          <w:rFonts w:hint="eastAsia" w:ascii="宋体" w:hAnsi="宋体" w:eastAsia="宋体" w:cs="宋体"/>
          <w:kern w:val="0"/>
          <w:szCs w:val="21"/>
          <w:lang w:val="zh-CN"/>
        </w:rPr>
        <w:t xml:space="preserve">    特此告知。</w:t>
      </w:r>
    </w:p>
    <w:p w14:paraId="129419B4">
      <w:pPr>
        <w:shd w:val="clear" w:color="auto" w:fill="FFFFFF"/>
        <w:snapToGrid w:val="0"/>
        <w:spacing w:line="360" w:lineRule="auto"/>
        <w:jc w:val="left"/>
        <w:rPr>
          <w:rFonts w:hint="eastAsia" w:ascii="宋体" w:hAnsi="宋体" w:eastAsia="宋体" w:cs="宋体"/>
          <w:kern w:val="0"/>
          <w:szCs w:val="21"/>
        </w:rPr>
      </w:pPr>
    </w:p>
    <w:p w14:paraId="1DCAA579">
      <w:pPr>
        <w:snapToGrid w:val="0"/>
        <w:spacing w:line="360" w:lineRule="auto"/>
        <w:ind w:firstLine="4410" w:firstLineChars="2100"/>
        <w:rPr>
          <w:rFonts w:hint="eastAsia" w:ascii="宋体" w:hAnsi="宋体" w:eastAsia="宋体" w:cs="宋体"/>
          <w:kern w:val="0"/>
          <w:szCs w:val="21"/>
          <w:lang w:val="zh-CN"/>
        </w:rPr>
      </w:pPr>
      <w:r>
        <w:rPr>
          <w:rFonts w:hint="eastAsia" w:ascii="宋体" w:hAnsi="宋体" w:eastAsia="宋体" w:cs="宋体"/>
          <w:kern w:val="0"/>
          <w:szCs w:val="21"/>
          <w:lang w:val="zh-CN"/>
        </w:rPr>
        <w:t>联合体成员名称(公章)：</w:t>
      </w:r>
    </w:p>
    <w:p w14:paraId="3249CF24">
      <w:pPr>
        <w:snapToGrid w:val="0"/>
        <w:spacing w:line="360" w:lineRule="auto"/>
        <w:ind w:firstLine="4410" w:firstLineChars="2100"/>
        <w:rPr>
          <w:rFonts w:hint="eastAsia" w:ascii="宋体" w:hAnsi="宋体" w:eastAsia="宋体" w:cs="宋体"/>
          <w:kern w:val="0"/>
          <w:szCs w:val="21"/>
          <w:lang w:val="zh-CN"/>
        </w:rPr>
      </w:pPr>
      <w:r>
        <w:rPr>
          <w:rFonts w:hint="eastAsia" w:ascii="宋体" w:hAnsi="宋体" w:eastAsia="宋体" w:cs="宋体"/>
          <w:kern w:val="0"/>
          <w:szCs w:val="21"/>
          <w:lang w:val="zh-CN"/>
        </w:rPr>
        <w:t>联合体成员名称(公章)：</w:t>
      </w:r>
    </w:p>
    <w:p w14:paraId="748202FE">
      <w:pPr>
        <w:snapToGrid w:val="0"/>
        <w:spacing w:line="360" w:lineRule="auto"/>
        <w:ind w:firstLine="5040" w:firstLineChars="2400"/>
        <w:rPr>
          <w:rFonts w:hint="eastAsia" w:ascii="宋体" w:hAnsi="宋体" w:eastAsia="宋体" w:cs="宋体"/>
          <w:szCs w:val="21"/>
        </w:rPr>
      </w:pPr>
      <w:r>
        <w:rPr>
          <w:rFonts w:hint="eastAsia" w:ascii="宋体" w:hAnsi="宋体" w:eastAsia="宋体" w:cs="宋体"/>
          <w:kern w:val="0"/>
          <w:szCs w:val="21"/>
          <w:lang w:val="zh-CN"/>
        </w:rPr>
        <w:t>……</w:t>
      </w:r>
    </w:p>
    <w:p w14:paraId="0E407458">
      <w:pPr>
        <w:pStyle w:val="25"/>
        <w:snapToGrid w:val="0"/>
        <w:spacing w:line="360" w:lineRule="auto"/>
        <w:ind w:firstLine="420" w:firstLineChars="200"/>
        <w:jc w:val="center"/>
        <w:outlineLvl w:val="9"/>
        <w:rPr>
          <w:rFonts w:hint="eastAsia" w:ascii="宋体" w:hAnsi="宋体" w:eastAsia="宋体" w:cs="宋体"/>
          <w:b/>
          <w:lang w:val="zh-CN"/>
        </w:rPr>
      </w:pPr>
      <w:r>
        <w:rPr>
          <w:rFonts w:hint="eastAsia" w:ascii="宋体" w:hAnsi="宋体" w:eastAsia="宋体" w:cs="宋体"/>
          <w:kern w:val="0"/>
        </w:rPr>
        <w:t xml:space="preserve">                         日期：     年  月  日</w:t>
      </w:r>
    </w:p>
    <w:p w14:paraId="7977B29B">
      <w:pPr>
        <w:pStyle w:val="25"/>
        <w:snapToGrid w:val="0"/>
        <w:spacing w:line="360" w:lineRule="auto"/>
        <w:ind w:firstLine="422" w:firstLineChars="200"/>
        <w:jc w:val="center"/>
        <w:outlineLvl w:val="0"/>
        <w:rPr>
          <w:rFonts w:hint="eastAsia" w:ascii="宋体" w:hAnsi="宋体" w:eastAsia="宋体" w:cs="宋体"/>
          <w:b/>
          <w:lang w:val="zh-CN"/>
        </w:rPr>
        <w:sectPr>
          <w:pgSz w:w="11906" w:h="16838"/>
          <w:pgMar w:top="1134" w:right="1247" w:bottom="1247" w:left="1304" w:header="794" w:footer="794" w:gutter="0"/>
          <w:pgNumType w:fmt="decimal"/>
          <w:cols w:space="720" w:num="1"/>
          <w:docGrid w:type="lines" w:linePitch="312" w:charSpace="0"/>
        </w:sectPr>
      </w:pPr>
    </w:p>
    <w:p w14:paraId="474D029A">
      <w:pPr>
        <w:pStyle w:val="25"/>
        <w:snapToGrid w:val="0"/>
        <w:spacing w:line="360" w:lineRule="auto"/>
        <w:jc w:val="center"/>
        <w:outlineLvl w:val="9"/>
        <w:rPr>
          <w:rFonts w:hint="eastAsia" w:ascii="宋体" w:hAnsi="宋体" w:eastAsia="宋体" w:cs="宋体"/>
          <w:b/>
          <w:sz w:val="32"/>
          <w:szCs w:val="32"/>
          <w:lang w:val="zh-CN"/>
        </w:rPr>
      </w:pPr>
      <w:r>
        <w:rPr>
          <w:rFonts w:hint="eastAsia" w:ascii="宋体" w:hAnsi="宋体" w:eastAsia="宋体" w:cs="宋体"/>
          <w:b/>
          <w:sz w:val="32"/>
          <w:szCs w:val="32"/>
          <w:lang w:val="zh-CN"/>
        </w:rPr>
        <w:t>二、法定代表人及授权代表人的身份证 (复印件加盖公章)</w:t>
      </w:r>
    </w:p>
    <w:p w14:paraId="5D93B046">
      <w:pPr>
        <w:pStyle w:val="25"/>
        <w:snapToGrid w:val="0"/>
        <w:spacing w:line="360" w:lineRule="auto"/>
        <w:jc w:val="center"/>
        <w:outlineLvl w:val="9"/>
        <w:rPr>
          <w:rFonts w:hint="eastAsia" w:ascii="宋体" w:hAnsi="宋体" w:eastAsia="宋体" w:cs="宋体"/>
          <w:b/>
          <w:sz w:val="32"/>
          <w:szCs w:val="32"/>
          <w:lang w:val="zh-CN"/>
        </w:rPr>
      </w:pPr>
      <w:r>
        <w:rPr>
          <w:rFonts w:hint="eastAsia" w:ascii="宋体" w:hAnsi="宋体" w:eastAsia="宋体" w:cs="宋体"/>
          <w:b/>
          <w:sz w:val="32"/>
          <w:szCs w:val="32"/>
        </w:rPr>
        <w:t>三、</w:t>
      </w:r>
      <w:r>
        <w:rPr>
          <w:rFonts w:hint="eastAsia" w:ascii="宋体" w:hAnsi="宋体" w:eastAsia="宋体" w:cs="宋体"/>
          <w:b/>
          <w:sz w:val="32"/>
          <w:szCs w:val="32"/>
          <w:lang w:val="zh-CN"/>
        </w:rPr>
        <w:t>公司介绍及提供同类项目经验。</w:t>
      </w:r>
    </w:p>
    <w:p w14:paraId="3C202EB1">
      <w:pPr>
        <w:pStyle w:val="25"/>
        <w:snapToGrid w:val="0"/>
        <w:spacing w:line="360" w:lineRule="auto"/>
        <w:ind w:firstLine="643" w:firstLineChars="200"/>
        <w:jc w:val="center"/>
        <w:outlineLvl w:val="9"/>
        <w:rPr>
          <w:rFonts w:hint="eastAsia" w:ascii="宋体" w:hAnsi="宋体" w:eastAsia="宋体" w:cs="宋体"/>
          <w:b/>
          <w:sz w:val="32"/>
          <w:szCs w:val="32"/>
          <w:lang w:val="zh-CN"/>
        </w:rPr>
      </w:pPr>
      <w:r>
        <w:rPr>
          <w:rFonts w:hint="eastAsia" w:ascii="宋体" w:hAnsi="宋体" w:eastAsia="宋体" w:cs="宋体"/>
          <w:b/>
          <w:sz w:val="32"/>
          <w:szCs w:val="32"/>
        </w:rPr>
        <w:t>四、</w:t>
      </w:r>
      <w:r>
        <w:rPr>
          <w:rFonts w:hint="eastAsia" w:ascii="宋体" w:hAnsi="宋体" w:eastAsia="宋体" w:cs="宋体"/>
          <w:b/>
          <w:sz w:val="32"/>
          <w:szCs w:val="32"/>
          <w:lang w:val="zh-CN"/>
        </w:rPr>
        <w:t>资质文件（如有）。</w:t>
      </w:r>
    </w:p>
    <w:p w14:paraId="25DBFA12">
      <w:pPr>
        <w:pStyle w:val="25"/>
        <w:snapToGrid w:val="0"/>
        <w:spacing w:line="360" w:lineRule="auto"/>
        <w:ind w:firstLine="643" w:firstLineChars="200"/>
        <w:jc w:val="center"/>
        <w:outlineLvl w:val="9"/>
        <w:rPr>
          <w:rFonts w:hint="eastAsia" w:ascii="宋体" w:hAnsi="宋体" w:eastAsia="宋体" w:cs="宋体"/>
          <w:b/>
          <w:sz w:val="32"/>
          <w:szCs w:val="32"/>
        </w:rPr>
      </w:pPr>
    </w:p>
    <w:p w14:paraId="3F31497C">
      <w:pPr>
        <w:pStyle w:val="25"/>
        <w:snapToGrid w:val="0"/>
        <w:spacing w:line="360" w:lineRule="auto"/>
        <w:ind w:firstLine="643" w:firstLineChars="200"/>
        <w:jc w:val="center"/>
        <w:outlineLvl w:val="9"/>
        <w:rPr>
          <w:rFonts w:hint="eastAsia" w:ascii="宋体" w:hAnsi="宋体" w:eastAsia="宋体" w:cs="宋体"/>
          <w:b/>
          <w:sz w:val="32"/>
          <w:szCs w:val="32"/>
        </w:rPr>
      </w:pPr>
    </w:p>
    <w:p w14:paraId="2BE97E46">
      <w:pPr>
        <w:pStyle w:val="25"/>
        <w:snapToGrid w:val="0"/>
        <w:spacing w:line="360" w:lineRule="auto"/>
        <w:ind w:firstLine="643" w:firstLineChars="200"/>
        <w:jc w:val="center"/>
        <w:outlineLvl w:val="9"/>
        <w:rPr>
          <w:rFonts w:hint="eastAsia" w:ascii="宋体" w:hAnsi="宋体" w:eastAsia="宋体" w:cs="宋体"/>
          <w:b/>
          <w:sz w:val="32"/>
          <w:szCs w:val="32"/>
        </w:rPr>
      </w:pPr>
    </w:p>
    <w:p w14:paraId="514E2EBA">
      <w:pPr>
        <w:pStyle w:val="25"/>
        <w:snapToGrid w:val="0"/>
        <w:spacing w:line="360" w:lineRule="auto"/>
        <w:ind w:firstLine="643" w:firstLineChars="200"/>
        <w:jc w:val="center"/>
        <w:outlineLvl w:val="9"/>
        <w:rPr>
          <w:rFonts w:hint="eastAsia" w:ascii="宋体" w:hAnsi="宋体" w:eastAsia="宋体" w:cs="宋体"/>
          <w:b/>
          <w:sz w:val="32"/>
          <w:szCs w:val="32"/>
          <w:lang w:val="zh-CN"/>
        </w:rPr>
      </w:pPr>
      <w:r>
        <w:rPr>
          <w:rFonts w:hint="eastAsia" w:ascii="宋体" w:hAnsi="宋体" w:eastAsia="宋体" w:cs="宋体"/>
          <w:b/>
          <w:sz w:val="32"/>
          <w:szCs w:val="32"/>
        </w:rPr>
        <w:t>五、商务、</w:t>
      </w:r>
      <w:r>
        <w:rPr>
          <w:rFonts w:hint="eastAsia" w:ascii="宋体" w:hAnsi="宋体" w:eastAsia="宋体" w:cs="宋体"/>
          <w:b/>
          <w:sz w:val="32"/>
          <w:szCs w:val="32"/>
          <w:lang w:val="zh-CN"/>
        </w:rPr>
        <w:t>技术偏离表。</w:t>
      </w:r>
    </w:p>
    <w:p w14:paraId="71AFF21B">
      <w:pPr>
        <w:tabs>
          <w:tab w:val="left" w:pos="1418"/>
        </w:tabs>
        <w:snapToGrid w:val="0"/>
        <w:spacing w:before="50" w:after="50"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 xml:space="preserve">                   项目编号：</w:t>
      </w:r>
      <w:r>
        <w:rPr>
          <w:rFonts w:hint="eastAsia" w:ascii="宋体" w:hAnsi="宋体" w:eastAsia="宋体" w:cs="宋体"/>
          <w:sz w:val="24"/>
          <w:u w:val="single"/>
        </w:rPr>
        <w:t xml:space="preserve">              </w:t>
      </w:r>
      <w:r>
        <w:rPr>
          <w:rFonts w:hint="eastAsia" w:ascii="宋体" w:hAnsi="宋体" w:eastAsia="宋体" w:cs="宋体"/>
          <w:sz w:val="24"/>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2"/>
        <w:gridCol w:w="1946"/>
        <w:gridCol w:w="1960"/>
        <w:gridCol w:w="2240"/>
      </w:tblGrid>
      <w:tr w14:paraId="376F7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vAlign w:val="center"/>
          </w:tcPr>
          <w:p w14:paraId="441937C9">
            <w:pPr>
              <w:snapToGrid w:val="0"/>
              <w:spacing w:line="360" w:lineRule="auto"/>
              <w:jc w:val="center"/>
              <w:rPr>
                <w:rFonts w:hint="eastAsia" w:ascii="宋体" w:hAnsi="宋体" w:eastAsia="宋体" w:cs="宋体"/>
                <w:sz w:val="24"/>
              </w:rPr>
            </w:pPr>
            <w:r>
              <w:rPr>
                <w:rFonts w:hint="eastAsia" w:ascii="宋体" w:hAnsi="宋体" w:eastAsia="宋体" w:cs="宋体"/>
                <w:sz w:val="24"/>
              </w:rPr>
              <w:t>采购文件要求</w:t>
            </w:r>
          </w:p>
        </w:tc>
        <w:tc>
          <w:tcPr>
            <w:tcW w:w="1946" w:type="dxa"/>
            <w:tcBorders>
              <w:top w:val="single" w:color="auto" w:sz="4" w:space="0"/>
              <w:left w:val="single" w:color="auto" w:sz="4" w:space="0"/>
              <w:bottom w:val="single" w:color="auto" w:sz="4" w:space="0"/>
              <w:right w:val="single" w:color="auto" w:sz="4" w:space="0"/>
            </w:tcBorders>
            <w:vAlign w:val="center"/>
          </w:tcPr>
          <w:p w14:paraId="22FE1BC4">
            <w:pPr>
              <w:snapToGrid w:val="0"/>
              <w:spacing w:line="360" w:lineRule="auto"/>
              <w:jc w:val="center"/>
              <w:rPr>
                <w:rFonts w:hint="eastAsia" w:ascii="宋体" w:hAnsi="宋体" w:eastAsia="宋体" w:cs="宋体"/>
                <w:sz w:val="24"/>
              </w:rPr>
            </w:pPr>
            <w:r>
              <w:rPr>
                <w:rFonts w:hint="eastAsia" w:ascii="宋体" w:hAnsi="宋体" w:eastAsia="宋体" w:cs="宋体"/>
                <w:sz w:val="24"/>
              </w:rPr>
              <w:t>采购文件响应</w:t>
            </w:r>
          </w:p>
        </w:tc>
        <w:tc>
          <w:tcPr>
            <w:tcW w:w="1960" w:type="dxa"/>
            <w:tcBorders>
              <w:top w:val="single" w:color="auto" w:sz="4" w:space="0"/>
              <w:left w:val="single" w:color="auto" w:sz="4" w:space="0"/>
              <w:bottom w:val="single" w:color="auto" w:sz="4" w:space="0"/>
              <w:right w:val="single" w:color="auto" w:sz="4" w:space="0"/>
            </w:tcBorders>
            <w:vAlign w:val="center"/>
          </w:tcPr>
          <w:p w14:paraId="537F6552">
            <w:pPr>
              <w:snapToGrid w:val="0"/>
              <w:spacing w:line="360" w:lineRule="auto"/>
              <w:jc w:val="center"/>
              <w:rPr>
                <w:rFonts w:hint="eastAsia" w:ascii="宋体" w:hAnsi="宋体" w:eastAsia="宋体" w:cs="宋体"/>
                <w:sz w:val="24"/>
              </w:rPr>
            </w:pPr>
            <w:r>
              <w:rPr>
                <w:rFonts w:hint="eastAsia" w:ascii="宋体" w:hAnsi="宋体" w:eastAsia="宋体" w:cs="宋体"/>
                <w:sz w:val="24"/>
              </w:rPr>
              <w:t>偏离</w:t>
            </w:r>
          </w:p>
        </w:tc>
        <w:tc>
          <w:tcPr>
            <w:tcW w:w="2240" w:type="dxa"/>
            <w:tcBorders>
              <w:top w:val="single" w:color="auto" w:sz="4" w:space="0"/>
              <w:left w:val="single" w:color="auto" w:sz="4" w:space="0"/>
              <w:bottom w:val="single" w:color="auto" w:sz="4" w:space="0"/>
              <w:right w:val="single" w:color="auto" w:sz="4" w:space="0"/>
            </w:tcBorders>
            <w:vAlign w:val="center"/>
          </w:tcPr>
          <w:p w14:paraId="433E7D4B">
            <w:pPr>
              <w:snapToGrid w:val="0"/>
              <w:spacing w:line="360" w:lineRule="auto"/>
              <w:jc w:val="center"/>
              <w:rPr>
                <w:rFonts w:hint="eastAsia" w:ascii="宋体" w:hAnsi="宋体" w:eastAsia="宋体" w:cs="宋体"/>
                <w:sz w:val="24"/>
              </w:rPr>
            </w:pPr>
            <w:r>
              <w:rPr>
                <w:rFonts w:hint="eastAsia" w:ascii="宋体" w:hAnsi="宋体" w:eastAsia="宋体" w:cs="宋体"/>
                <w:sz w:val="24"/>
              </w:rPr>
              <w:t>说明</w:t>
            </w:r>
          </w:p>
        </w:tc>
      </w:tr>
      <w:tr w14:paraId="6413D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tcPr>
          <w:p w14:paraId="3496E262">
            <w:pPr>
              <w:snapToGrid w:val="0"/>
              <w:spacing w:line="360" w:lineRule="auto"/>
              <w:jc w:val="center"/>
              <w:rPr>
                <w:rFonts w:hint="eastAsia" w:ascii="宋体" w:hAnsi="宋体" w:eastAsia="宋体" w:cs="宋体"/>
                <w:sz w:val="24"/>
              </w:rPr>
            </w:pPr>
          </w:p>
        </w:tc>
        <w:tc>
          <w:tcPr>
            <w:tcW w:w="1946" w:type="dxa"/>
            <w:tcBorders>
              <w:top w:val="single" w:color="auto" w:sz="4" w:space="0"/>
              <w:left w:val="single" w:color="auto" w:sz="4" w:space="0"/>
              <w:bottom w:val="single" w:color="auto" w:sz="4" w:space="0"/>
              <w:right w:val="single" w:color="auto" w:sz="4" w:space="0"/>
            </w:tcBorders>
          </w:tcPr>
          <w:p w14:paraId="2EE1E45A">
            <w:pPr>
              <w:snapToGrid w:val="0"/>
              <w:spacing w:line="360" w:lineRule="auto"/>
              <w:jc w:val="center"/>
              <w:rPr>
                <w:rFonts w:hint="eastAsia" w:ascii="宋体" w:hAnsi="宋体" w:eastAsia="宋体" w:cs="宋体"/>
                <w:sz w:val="24"/>
              </w:rPr>
            </w:pPr>
          </w:p>
        </w:tc>
        <w:tc>
          <w:tcPr>
            <w:tcW w:w="1960" w:type="dxa"/>
            <w:tcBorders>
              <w:top w:val="single" w:color="auto" w:sz="4" w:space="0"/>
              <w:left w:val="single" w:color="auto" w:sz="4" w:space="0"/>
              <w:bottom w:val="single" w:color="auto" w:sz="4" w:space="0"/>
              <w:right w:val="single" w:color="auto" w:sz="4" w:space="0"/>
            </w:tcBorders>
          </w:tcPr>
          <w:p w14:paraId="67C2757A">
            <w:pPr>
              <w:snapToGrid w:val="0"/>
              <w:spacing w:line="360" w:lineRule="auto"/>
              <w:jc w:val="center"/>
              <w:rPr>
                <w:rFonts w:hint="eastAsia" w:ascii="宋体" w:hAnsi="宋体" w:eastAsia="宋体" w:cs="宋体"/>
                <w:sz w:val="24"/>
              </w:rPr>
            </w:pPr>
          </w:p>
        </w:tc>
        <w:tc>
          <w:tcPr>
            <w:tcW w:w="2240" w:type="dxa"/>
            <w:tcBorders>
              <w:top w:val="single" w:color="auto" w:sz="4" w:space="0"/>
              <w:left w:val="single" w:color="auto" w:sz="4" w:space="0"/>
              <w:bottom w:val="single" w:color="auto" w:sz="4" w:space="0"/>
              <w:right w:val="single" w:color="auto" w:sz="4" w:space="0"/>
            </w:tcBorders>
          </w:tcPr>
          <w:p w14:paraId="25B1DFA2">
            <w:pPr>
              <w:snapToGrid w:val="0"/>
              <w:spacing w:line="360" w:lineRule="auto"/>
              <w:jc w:val="center"/>
              <w:rPr>
                <w:rFonts w:hint="eastAsia" w:ascii="宋体" w:hAnsi="宋体" w:eastAsia="宋体" w:cs="宋体"/>
                <w:sz w:val="24"/>
              </w:rPr>
            </w:pPr>
          </w:p>
        </w:tc>
      </w:tr>
      <w:tr w14:paraId="1DA28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tcPr>
          <w:p w14:paraId="799F8CF6">
            <w:pPr>
              <w:snapToGrid w:val="0"/>
              <w:spacing w:line="360" w:lineRule="auto"/>
              <w:jc w:val="center"/>
              <w:rPr>
                <w:rFonts w:hint="eastAsia" w:ascii="宋体" w:hAnsi="宋体" w:eastAsia="宋体" w:cs="宋体"/>
                <w:sz w:val="24"/>
              </w:rPr>
            </w:pPr>
          </w:p>
        </w:tc>
        <w:tc>
          <w:tcPr>
            <w:tcW w:w="1946" w:type="dxa"/>
            <w:tcBorders>
              <w:top w:val="single" w:color="auto" w:sz="4" w:space="0"/>
              <w:left w:val="single" w:color="auto" w:sz="4" w:space="0"/>
              <w:bottom w:val="single" w:color="auto" w:sz="4" w:space="0"/>
              <w:right w:val="single" w:color="auto" w:sz="4" w:space="0"/>
            </w:tcBorders>
          </w:tcPr>
          <w:p w14:paraId="3ECB2F7C">
            <w:pPr>
              <w:snapToGrid w:val="0"/>
              <w:spacing w:line="360" w:lineRule="auto"/>
              <w:jc w:val="center"/>
              <w:rPr>
                <w:rFonts w:hint="eastAsia" w:ascii="宋体" w:hAnsi="宋体" w:eastAsia="宋体" w:cs="宋体"/>
                <w:sz w:val="24"/>
              </w:rPr>
            </w:pPr>
          </w:p>
        </w:tc>
        <w:tc>
          <w:tcPr>
            <w:tcW w:w="1960" w:type="dxa"/>
            <w:tcBorders>
              <w:top w:val="single" w:color="auto" w:sz="4" w:space="0"/>
              <w:left w:val="single" w:color="auto" w:sz="4" w:space="0"/>
              <w:bottom w:val="single" w:color="auto" w:sz="4" w:space="0"/>
              <w:right w:val="single" w:color="auto" w:sz="4" w:space="0"/>
            </w:tcBorders>
          </w:tcPr>
          <w:p w14:paraId="13010A03">
            <w:pPr>
              <w:snapToGrid w:val="0"/>
              <w:spacing w:line="360" w:lineRule="auto"/>
              <w:jc w:val="center"/>
              <w:rPr>
                <w:rFonts w:hint="eastAsia" w:ascii="宋体" w:hAnsi="宋体" w:eastAsia="宋体" w:cs="宋体"/>
                <w:sz w:val="24"/>
              </w:rPr>
            </w:pPr>
          </w:p>
        </w:tc>
        <w:tc>
          <w:tcPr>
            <w:tcW w:w="2240" w:type="dxa"/>
            <w:tcBorders>
              <w:top w:val="single" w:color="auto" w:sz="4" w:space="0"/>
              <w:left w:val="single" w:color="auto" w:sz="4" w:space="0"/>
              <w:bottom w:val="single" w:color="auto" w:sz="4" w:space="0"/>
              <w:right w:val="single" w:color="auto" w:sz="4" w:space="0"/>
            </w:tcBorders>
          </w:tcPr>
          <w:p w14:paraId="5DC69F8B">
            <w:pPr>
              <w:snapToGrid w:val="0"/>
              <w:spacing w:line="360" w:lineRule="auto"/>
              <w:jc w:val="center"/>
              <w:rPr>
                <w:rFonts w:hint="eastAsia" w:ascii="宋体" w:hAnsi="宋体" w:eastAsia="宋体" w:cs="宋体"/>
                <w:sz w:val="24"/>
              </w:rPr>
            </w:pPr>
          </w:p>
        </w:tc>
      </w:tr>
      <w:tr w14:paraId="0C17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tcPr>
          <w:p w14:paraId="20A83A2E">
            <w:pPr>
              <w:snapToGrid w:val="0"/>
              <w:spacing w:line="360" w:lineRule="auto"/>
              <w:jc w:val="center"/>
              <w:rPr>
                <w:rFonts w:hint="eastAsia" w:ascii="宋体" w:hAnsi="宋体" w:eastAsia="宋体" w:cs="宋体"/>
                <w:sz w:val="24"/>
              </w:rPr>
            </w:pPr>
          </w:p>
        </w:tc>
        <w:tc>
          <w:tcPr>
            <w:tcW w:w="1946" w:type="dxa"/>
            <w:tcBorders>
              <w:top w:val="single" w:color="auto" w:sz="4" w:space="0"/>
              <w:left w:val="single" w:color="auto" w:sz="4" w:space="0"/>
              <w:bottom w:val="single" w:color="auto" w:sz="4" w:space="0"/>
              <w:right w:val="single" w:color="auto" w:sz="4" w:space="0"/>
            </w:tcBorders>
          </w:tcPr>
          <w:p w14:paraId="7A726ADB">
            <w:pPr>
              <w:snapToGrid w:val="0"/>
              <w:spacing w:line="360" w:lineRule="auto"/>
              <w:jc w:val="center"/>
              <w:rPr>
                <w:rFonts w:hint="eastAsia" w:ascii="宋体" w:hAnsi="宋体" w:eastAsia="宋体" w:cs="宋体"/>
                <w:sz w:val="24"/>
              </w:rPr>
            </w:pPr>
          </w:p>
        </w:tc>
        <w:tc>
          <w:tcPr>
            <w:tcW w:w="1960" w:type="dxa"/>
            <w:tcBorders>
              <w:top w:val="single" w:color="auto" w:sz="4" w:space="0"/>
              <w:left w:val="single" w:color="auto" w:sz="4" w:space="0"/>
              <w:bottom w:val="single" w:color="auto" w:sz="4" w:space="0"/>
              <w:right w:val="single" w:color="auto" w:sz="4" w:space="0"/>
            </w:tcBorders>
          </w:tcPr>
          <w:p w14:paraId="16F654D3">
            <w:pPr>
              <w:snapToGrid w:val="0"/>
              <w:spacing w:line="360" w:lineRule="auto"/>
              <w:jc w:val="center"/>
              <w:rPr>
                <w:rFonts w:hint="eastAsia" w:ascii="宋体" w:hAnsi="宋体" w:eastAsia="宋体" w:cs="宋体"/>
                <w:sz w:val="24"/>
              </w:rPr>
            </w:pPr>
          </w:p>
        </w:tc>
        <w:tc>
          <w:tcPr>
            <w:tcW w:w="2240" w:type="dxa"/>
            <w:tcBorders>
              <w:top w:val="single" w:color="auto" w:sz="4" w:space="0"/>
              <w:left w:val="single" w:color="auto" w:sz="4" w:space="0"/>
              <w:bottom w:val="single" w:color="auto" w:sz="4" w:space="0"/>
              <w:right w:val="single" w:color="auto" w:sz="4" w:space="0"/>
            </w:tcBorders>
          </w:tcPr>
          <w:p w14:paraId="6C80BB09">
            <w:pPr>
              <w:snapToGrid w:val="0"/>
              <w:spacing w:line="360" w:lineRule="auto"/>
              <w:jc w:val="center"/>
              <w:rPr>
                <w:rFonts w:hint="eastAsia" w:ascii="宋体" w:hAnsi="宋体" w:eastAsia="宋体" w:cs="宋体"/>
                <w:sz w:val="24"/>
              </w:rPr>
            </w:pPr>
          </w:p>
        </w:tc>
      </w:tr>
    </w:tbl>
    <w:p w14:paraId="45CF28BF">
      <w:pPr>
        <w:snapToGrid w:val="0"/>
        <w:spacing w:line="360" w:lineRule="auto"/>
        <w:ind w:firstLine="211" w:firstLineChars="100"/>
        <w:rPr>
          <w:rFonts w:hint="eastAsia" w:ascii="宋体" w:hAnsi="宋体" w:eastAsia="宋体" w:cs="宋体"/>
          <w:b/>
          <w:bCs/>
        </w:rPr>
      </w:pPr>
    </w:p>
    <w:p w14:paraId="746530EB">
      <w:pPr>
        <w:autoSpaceDE w:val="0"/>
        <w:autoSpaceDN w:val="0"/>
        <w:snapToGrid w:val="0"/>
        <w:spacing w:line="360" w:lineRule="auto"/>
        <w:ind w:firstLine="5160" w:firstLineChars="2150"/>
        <w:rPr>
          <w:rFonts w:hint="eastAsia" w:ascii="宋体" w:hAnsi="宋体" w:eastAsia="宋体" w:cs="宋体"/>
          <w:kern w:val="0"/>
          <w:sz w:val="24"/>
          <w:lang w:val="zh-CN"/>
        </w:rPr>
      </w:pPr>
    </w:p>
    <w:p w14:paraId="4BFA97F9">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供应商名称（盖章） ：</w:t>
      </w:r>
    </w:p>
    <w:p w14:paraId="5D1FE1B8">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法定代表人或其授权代表（签字或盖章）：</w:t>
      </w:r>
    </w:p>
    <w:p w14:paraId="385AFA34">
      <w:pPr>
        <w:autoSpaceDE w:val="0"/>
        <w:autoSpaceDN w:val="0"/>
        <w:snapToGrid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rPr>
        <w:t>日期：     年  月  日</w:t>
      </w:r>
    </w:p>
    <w:p w14:paraId="41E64E62">
      <w:pPr>
        <w:snapToGrid w:val="0"/>
        <w:spacing w:line="360" w:lineRule="auto"/>
        <w:ind w:firstLine="211" w:firstLineChars="100"/>
        <w:rPr>
          <w:rFonts w:hint="eastAsia" w:ascii="宋体" w:hAnsi="宋体" w:eastAsia="宋体" w:cs="宋体"/>
          <w:b/>
          <w:bCs/>
        </w:rPr>
      </w:pPr>
    </w:p>
    <w:p w14:paraId="5075994A">
      <w:pPr>
        <w:pStyle w:val="25"/>
        <w:snapToGrid w:val="0"/>
        <w:spacing w:line="360" w:lineRule="auto"/>
        <w:ind w:firstLine="643" w:firstLineChars="200"/>
        <w:jc w:val="center"/>
        <w:outlineLvl w:val="0"/>
        <w:rPr>
          <w:rFonts w:hint="eastAsia" w:ascii="宋体" w:hAnsi="宋体" w:eastAsia="宋体" w:cs="宋体"/>
          <w:b/>
          <w:sz w:val="32"/>
          <w:szCs w:val="32"/>
          <w:lang w:val="zh-CN"/>
        </w:rPr>
        <w:sectPr>
          <w:pgSz w:w="11906" w:h="16838"/>
          <w:pgMar w:top="1134" w:right="1247" w:bottom="1247" w:left="1304" w:header="794" w:footer="794" w:gutter="0"/>
          <w:pgNumType w:fmt="decimal"/>
          <w:cols w:space="720" w:num="1"/>
          <w:docGrid w:type="lines" w:linePitch="312" w:charSpace="0"/>
        </w:sectPr>
      </w:pPr>
    </w:p>
    <w:p w14:paraId="6E94D542">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 xml:space="preserve"> 六、</w:t>
      </w:r>
      <w:r>
        <w:rPr>
          <w:rFonts w:hint="eastAsia" w:ascii="宋体" w:hAnsi="宋体" w:eastAsia="宋体" w:cs="宋体"/>
          <w:b/>
          <w:kern w:val="0"/>
          <w:sz w:val="32"/>
          <w:szCs w:val="32"/>
          <w:lang w:val="en-US" w:eastAsia="zh-CN"/>
        </w:rPr>
        <w:t>响应</w:t>
      </w:r>
      <w:r>
        <w:rPr>
          <w:rFonts w:hint="eastAsia" w:ascii="宋体" w:hAnsi="宋体" w:eastAsia="宋体" w:cs="宋体"/>
          <w:b/>
          <w:kern w:val="0"/>
          <w:sz w:val="32"/>
          <w:szCs w:val="32"/>
        </w:rPr>
        <w:t>标的清单</w:t>
      </w:r>
    </w:p>
    <w:p w14:paraId="285A6E11">
      <w:pPr>
        <w:pStyle w:val="25"/>
        <w:numPr>
          <w:ilvl w:val="255"/>
          <w:numId w:val="0"/>
        </w:numPr>
        <w:snapToGrid w:val="0"/>
        <w:spacing w:line="360" w:lineRule="auto"/>
        <w:jc w:val="center"/>
        <w:outlineLvl w:val="9"/>
        <w:rPr>
          <w:rFonts w:hint="eastAsia" w:ascii="宋体" w:hAnsi="宋体" w:eastAsia="宋体" w:cs="宋体"/>
          <w:b/>
          <w:sz w:val="32"/>
          <w:szCs w:val="32"/>
          <w:lang w:val="zh-CN"/>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81"/>
        <w:gridCol w:w="1416"/>
        <w:gridCol w:w="2152"/>
        <w:gridCol w:w="1673"/>
      </w:tblGrid>
      <w:tr w14:paraId="7D31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555603">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0731D8E">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581" w:type="dxa"/>
            <w:tcBorders>
              <w:top w:val="single" w:color="auto" w:sz="4" w:space="0"/>
              <w:left w:val="single" w:color="auto" w:sz="4" w:space="0"/>
              <w:bottom w:val="single" w:color="auto" w:sz="4" w:space="0"/>
              <w:right w:val="single" w:color="auto" w:sz="4" w:space="0"/>
            </w:tcBorders>
            <w:vAlign w:val="center"/>
          </w:tcPr>
          <w:p w14:paraId="20BF8A54">
            <w:pPr>
              <w:spacing w:line="360" w:lineRule="auto"/>
              <w:jc w:val="center"/>
              <w:rPr>
                <w:rFonts w:hint="eastAsia" w:ascii="宋体" w:hAnsi="宋体" w:eastAsia="宋体" w:cs="宋体"/>
                <w:b/>
                <w:sz w:val="24"/>
              </w:rPr>
            </w:pPr>
            <w:r>
              <w:rPr>
                <w:rFonts w:hint="eastAsia" w:ascii="宋体" w:hAnsi="宋体" w:eastAsia="宋体" w:cs="宋体"/>
                <w:b/>
                <w:sz w:val="24"/>
              </w:rPr>
              <w:t>品牌</w:t>
            </w:r>
          </w:p>
        </w:tc>
        <w:tc>
          <w:tcPr>
            <w:tcW w:w="1416" w:type="dxa"/>
            <w:tcBorders>
              <w:top w:val="single" w:color="auto" w:sz="4" w:space="0"/>
              <w:left w:val="single" w:color="auto" w:sz="4" w:space="0"/>
              <w:bottom w:val="single" w:color="auto" w:sz="4" w:space="0"/>
              <w:right w:val="single" w:color="auto" w:sz="4" w:space="0"/>
            </w:tcBorders>
            <w:vAlign w:val="center"/>
          </w:tcPr>
          <w:p w14:paraId="2F96416E">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2152" w:type="dxa"/>
            <w:tcBorders>
              <w:top w:val="single" w:color="auto" w:sz="4" w:space="0"/>
              <w:left w:val="single" w:color="auto" w:sz="4" w:space="0"/>
              <w:bottom w:val="single" w:color="auto" w:sz="4" w:space="0"/>
              <w:right w:val="single" w:color="auto" w:sz="4" w:space="0"/>
            </w:tcBorders>
            <w:vAlign w:val="center"/>
          </w:tcPr>
          <w:p w14:paraId="4F2230FD">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15D9371">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14:paraId="31E1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49AFA6">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0B4BF9">
            <w:pPr>
              <w:snapToGrid w:val="0"/>
              <w:spacing w:line="360" w:lineRule="auto"/>
              <w:jc w:val="center"/>
              <w:rPr>
                <w:rFonts w:hint="eastAsia" w:ascii="宋体" w:hAnsi="宋体" w:eastAsia="宋体" w:cs="宋体"/>
                <w:sz w:val="24"/>
              </w:rPr>
            </w:pPr>
          </w:p>
        </w:tc>
        <w:tc>
          <w:tcPr>
            <w:tcW w:w="1581" w:type="dxa"/>
            <w:tcBorders>
              <w:top w:val="single" w:color="auto" w:sz="4" w:space="0"/>
              <w:left w:val="single" w:color="auto" w:sz="4" w:space="0"/>
              <w:bottom w:val="single" w:color="auto" w:sz="4" w:space="0"/>
              <w:right w:val="single" w:color="auto" w:sz="4" w:space="0"/>
            </w:tcBorders>
            <w:vAlign w:val="center"/>
          </w:tcPr>
          <w:p w14:paraId="0EDC9B5E">
            <w:pPr>
              <w:snapToGrid w:val="0"/>
              <w:spacing w:line="360" w:lineRule="auto"/>
              <w:jc w:val="center"/>
              <w:rPr>
                <w:rFonts w:hint="eastAsia" w:ascii="宋体" w:hAnsi="宋体" w:eastAsia="宋体" w:cs="宋体"/>
                <w:sz w:val="24"/>
              </w:rPr>
            </w:pPr>
          </w:p>
        </w:tc>
        <w:tc>
          <w:tcPr>
            <w:tcW w:w="1416" w:type="dxa"/>
            <w:tcBorders>
              <w:top w:val="single" w:color="auto" w:sz="4" w:space="0"/>
              <w:left w:val="single" w:color="auto" w:sz="4" w:space="0"/>
              <w:bottom w:val="single" w:color="auto" w:sz="4" w:space="0"/>
              <w:right w:val="single" w:color="auto" w:sz="4" w:space="0"/>
            </w:tcBorders>
            <w:vAlign w:val="center"/>
          </w:tcPr>
          <w:p w14:paraId="4016E866">
            <w:pPr>
              <w:snapToGrid w:val="0"/>
              <w:spacing w:line="360" w:lineRule="auto"/>
              <w:jc w:val="center"/>
              <w:rPr>
                <w:rFonts w:hint="eastAsia" w:ascii="宋体" w:hAnsi="宋体" w:eastAsia="宋体" w:cs="宋体"/>
                <w:sz w:val="24"/>
              </w:rPr>
            </w:pPr>
          </w:p>
        </w:tc>
        <w:tc>
          <w:tcPr>
            <w:tcW w:w="2152" w:type="dxa"/>
            <w:tcBorders>
              <w:top w:val="single" w:color="auto" w:sz="4" w:space="0"/>
              <w:left w:val="single" w:color="auto" w:sz="4" w:space="0"/>
              <w:bottom w:val="single" w:color="auto" w:sz="4" w:space="0"/>
              <w:right w:val="single" w:color="auto" w:sz="4" w:space="0"/>
            </w:tcBorders>
            <w:vAlign w:val="center"/>
          </w:tcPr>
          <w:p w14:paraId="42F39931">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09BEE12">
            <w:pPr>
              <w:spacing w:line="360" w:lineRule="auto"/>
              <w:jc w:val="center"/>
              <w:rPr>
                <w:rFonts w:hint="eastAsia" w:ascii="宋体" w:hAnsi="宋体" w:eastAsia="宋体" w:cs="宋体"/>
                <w:sz w:val="24"/>
              </w:rPr>
            </w:pPr>
          </w:p>
        </w:tc>
      </w:tr>
      <w:tr w14:paraId="7EE5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63BF18">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C24970C">
            <w:pPr>
              <w:snapToGrid w:val="0"/>
              <w:spacing w:line="360" w:lineRule="auto"/>
              <w:jc w:val="center"/>
              <w:rPr>
                <w:rFonts w:hint="eastAsia" w:ascii="宋体" w:hAnsi="宋体" w:eastAsia="宋体" w:cs="宋体"/>
                <w:sz w:val="24"/>
              </w:rPr>
            </w:pPr>
          </w:p>
        </w:tc>
        <w:tc>
          <w:tcPr>
            <w:tcW w:w="1581" w:type="dxa"/>
            <w:tcBorders>
              <w:top w:val="single" w:color="auto" w:sz="4" w:space="0"/>
              <w:left w:val="single" w:color="auto" w:sz="4" w:space="0"/>
              <w:bottom w:val="single" w:color="auto" w:sz="4" w:space="0"/>
              <w:right w:val="single" w:color="auto" w:sz="4" w:space="0"/>
            </w:tcBorders>
            <w:vAlign w:val="center"/>
          </w:tcPr>
          <w:p w14:paraId="25773044">
            <w:pPr>
              <w:snapToGrid w:val="0"/>
              <w:spacing w:line="360" w:lineRule="auto"/>
              <w:jc w:val="center"/>
              <w:rPr>
                <w:rFonts w:hint="eastAsia" w:ascii="宋体" w:hAnsi="宋体" w:eastAsia="宋体" w:cs="宋体"/>
                <w:sz w:val="24"/>
              </w:rPr>
            </w:pPr>
          </w:p>
        </w:tc>
        <w:tc>
          <w:tcPr>
            <w:tcW w:w="1416" w:type="dxa"/>
            <w:tcBorders>
              <w:top w:val="single" w:color="auto" w:sz="4" w:space="0"/>
              <w:left w:val="single" w:color="auto" w:sz="4" w:space="0"/>
              <w:bottom w:val="single" w:color="auto" w:sz="4" w:space="0"/>
              <w:right w:val="single" w:color="auto" w:sz="4" w:space="0"/>
            </w:tcBorders>
            <w:vAlign w:val="center"/>
          </w:tcPr>
          <w:p w14:paraId="2782EBE6">
            <w:pPr>
              <w:snapToGrid w:val="0"/>
              <w:spacing w:line="360" w:lineRule="auto"/>
              <w:jc w:val="center"/>
              <w:rPr>
                <w:rFonts w:hint="eastAsia" w:ascii="宋体" w:hAnsi="宋体" w:eastAsia="宋体" w:cs="宋体"/>
                <w:sz w:val="24"/>
              </w:rPr>
            </w:pPr>
          </w:p>
        </w:tc>
        <w:tc>
          <w:tcPr>
            <w:tcW w:w="2152" w:type="dxa"/>
            <w:tcBorders>
              <w:top w:val="single" w:color="auto" w:sz="4" w:space="0"/>
              <w:left w:val="single" w:color="auto" w:sz="4" w:space="0"/>
              <w:bottom w:val="single" w:color="auto" w:sz="4" w:space="0"/>
              <w:right w:val="single" w:color="auto" w:sz="4" w:space="0"/>
            </w:tcBorders>
            <w:vAlign w:val="center"/>
          </w:tcPr>
          <w:p w14:paraId="1F0758EB">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511251E">
            <w:pPr>
              <w:spacing w:line="360" w:lineRule="auto"/>
              <w:jc w:val="center"/>
              <w:rPr>
                <w:rFonts w:hint="eastAsia" w:ascii="宋体" w:hAnsi="宋体" w:eastAsia="宋体" w:cs="宋体"/>
                <w:sz w:val="24"/>
              </w:rPr>
            </w:pPr>
          </w:p>
        </w:tc>
      </w:tr>
      <w:tr w14:paraId="0C09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F0126B">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671DDFF">
            <w:pPr>
              <w:snapToGrid w:val="0"/>
              <w:spacing w:line="360" w:lineRule="auto"/>
              <w:jc w:val="center"/>
              <w:rPr>
                <w:rFonts w:hint="eastAsia" w:ascii="宋体" w:hAnsi="宋体" w:eastAsia="宋体" w:cs="宋体"/>
                <w:sz w:val="24"/>
              </w:rPr>
            </w:pPr>
          </w:p>
        </w:tc>
        <w:tc>
          <w:tcPr>
            <w:tcW w:w="1581" w:type="dxa"/>
            <w:tcBorders>
              <w:top w:val="single" w:color="auto" w:sz="4" w:space="0"/>
              <w:left w:val="single" w:color="auto" w:sz="4" w:space="0"/>
              <w:bottom w:val="single" w:color="auto" w:sz="4" w:space="0"/>
              <w:right w:val="single" w:color="auto" w:sz="4" w:space="0"/>
            </w:tcBorders>
            <w:vAlign w:val="center"/>
          </w:tcPr>
          <w:p w14:paraId="4084E832">
            <w:pPr>
              <w:snapToGrid w:val="0"/>
              <w:spacing w:line="360" w:lineRule="auto"/>
              <w:jc w:val="center"/>
              <w:rPr>
                <w:rFonts w:hint="eastAsia" w:ascii="宋体" w:hAnsi="宋体" w:eastAsia="宋体" w:cs="宋体"/>
                <w:sz w:val="24"/>
              </w:rPr>
            </w:pPr>
          </w:p>
        </w:tc>
        <w:tc>
          <w:tcPr>
            <w:tcW w:w="1416" w:type="dxa"/>
            <w:tcBorders>
              <w:top w:val="single" w:color="auto" w:sz="4" w:space="0"/>
              <w:left w:val="single" w:color="auto" w:sz="4" w:space="0"/>
              <w:bottom w:val="single" w:color="auto" w:sz="4" w:space="0"/>
              <w:right w:val="single" w:color="auto" w:sz="4" w:space="0"/>
            </w:tcBorders>
            <w:vAlign w:val="center"/>
          </w:tcPr>
          <w:p w14:paraId="232A7F4C">
            <w:pPr>
              <w:snapToGrid w:val="0"/>
              <w:spacing w:line="360" w:lineRule="auto"/>
              <w:jc w:val="center"/>
              <w:rPr>
                <w:rFonts w:hint="eastAsia" w:ascii="宋体" w:hAnsi="宋体" w:eastAsia="宋体" w:cs="宋体"/>
                <w:sz w:val="24"/>
              </w:rPr>
            </w:pPr>
          </w:p>
        </w:tc>
        <w:tc>
          <w:tcPr>
            <w:tcW w:w="2152" w:type="dxa"/>
            <w:tcBorders>
              <w:top w:val="single" w:color="auto" w:sz="4" w:space="0"/>
              <w:left w:val="single" w:color="auto" w:sz="4" w:space="0"/>
              <w:bottom w:val="single" w:color="auto" w:sz="4" w:space="0"/>
              <w:right w:val="single" w:color="auto" w:sz="4" w:space="0"/>
            </w:tcBorders>
            <w:vAlign w:val="center"/>
          </w:tcPr>
          <w:p w14:paraId="3AB416B7">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1103078">
            <w:pPr>
              <w:spacing w:line="360" w:lineRule="auto"/>
              <w:jc w:val="center"/>
              <w:rPr>
                <w:rFonts w:hint="eastAsia" w:ascii="宋体" w:hAnsi="宋体" w:eastAsia="宋体" w:cs="宋体"/>
                <w:sz w:val="24"/>
              </w:rPr>
            </w:pPr>
          </w:p>
        </w:tc>
      </w:tr>
    </w:tbl>
    <w:p w14:paraId="298464D4">
      <w:pPr>
        <w:rPr>
          <w:rFonts w:hint="eastAsia" w:ascii="宋体" w:hAnsi="宋体" w:eastAsia="宋体" w:cs="宋体"/>
          <w:lang w:val="zh-CN"/>
        </w:rPr>
      </w:pPr>
    </w:p>
    <w:p w14:paraId="54FD843D">
      <w:pPr>
        <w:pStyle w:val="32"/>
        <w:rPr>
          <w:rFonts w:hint="eastAsia" w:ascii="宋体" w:hAnsi="宋体" w:eastAsia="宋体" w:cs="宋体"/>
          <w:lang w:val="zh-CN"/>
        </w:rPr>
      </w:pPr>
    </w:p>
    <w:p w14:paraId="68F84FED">
      <w:pPr>
        <w:pStyle w:val="25"/>
        <w:snapToGrid w:val="0"/>
        <w:spacing w:line="360" w:lineRule="auto"/>
        <w:jc w:val="center"/>
        <w:outlineLvl w:val="9"/>
        <w:rPr>
          <w:rFonts w:hint="eastAsia" w:ascii="宋体" w:hAnsi="宋体" w:eastAsia="宋体" w:cs="宋体"/>
          <w:b/>
          <w:sz w:val="32"/>
          <w:szCs w:val="32"/>
          <w:lang w:val="zh-CN"/>
        </w:rPr>
      </w:pPr>
      <w:r>
        <w:rPr>
          <w:rFonts w:hint="eastAsia" w:ascii="宋体" w:hAnsi="宋体" w:eastAsia="宋体" w:cs="宋体"/>
          <w:b/>
          <w:sz w:val="32"/>
          <w:szCs w:val="32"/>
        </w:rPr>
        <w:t>七</w:t>
      </w:r>
      <w:r>
        <w:rPr>
          <w:rFonts w:hint="eastAsia" w:ascii="宋体" w:hAnsi="宋体" w:eastAsia="宋体" w:cs="宋体"/>
          <w:b/>
          <w:sz w:val="32"/>
          <w:szCs w:val="32"/>
          <w:lang w:val="zh-CN"/>
        </w:rPr>
        <w:t>、评标标准相应的商务技术资料</w:t>
      </w:r>
    </w:p>
    <w:p w14:paraId="78B520F2">
      <w:pPr>
        <w:rPr>
          <w:rFonts w:hint="eastAsia" w:ascii="宋体" w:hAnsi="宋体" w:eastAsia="宋体" w:cs="宋体"/>
          <w:lang w:val="zh-CN"/>
        </w:rPr>
      </w:pPr>
    </w:p>
    <w:p w14:paraId="628CF966">
      <w:pPr>
        <w:pStyle w:val="32"/>
        <w:rPr>
          <w:rFonts w:hint="eastAsia" w:ascii="宋体" w:hAnsi="宋体" w:eastAsia="宋体" w:cs="宋体"/>
          <w:lang w:val="zh-CN"/>
        </w:rPr>
      </w:pPr>
    </w:p>
    <w:p w14:paraId="6C5F65A1">
      <w:pPr>
        <w:rPr>
          <w:rFonts w:hint="eastAsia" w:ascii="宋体" w:hAnsi="宋体" w:eastAsia="宋体" w:cs="宋体"/>
          <w:lang w:val="zh-CN"/>
        </w:rPr>
      </w:pPr>
    </w:p>
    <w:p w14:paraId="0CAB679B">
      <w:pPr>
        <w:pStyle w:val="32"/>
        <w:rPr>
          <w:rFonts w:hint="eastAsia" w:ascii="宋体" w:hAnsi="宋体" w:eastAsia="宋体" w:cs="宋体"/>
        </w:rPr>
      </w:pPr>
    </w:p>
    <w:p w14:paraId="20B6AC73">
      <w:pPr>
        <w:snapToGrid/>
        <w:spacing w:line="240" w:lineRule="auto"/>
        <w:ind w:firstLine="0" w:firstLineChars="0"/>
        <w:rPr>
          <w:ins w:id="0" w:author="豪圣 [2]" w:date="2024-04-11T13:59:15Z"/>
          <w:rFonts w:hint="eastAsia" w:ascii="宋体" w:hAnsi="宋体" w:eastAsia="宋体" w:cs="宋体"/>
          <w:b/>
          <w:sz w:val="32"/>
          <w:szCs w:val="32"/>
        </w:rPr>
      </w:pPr>
      <w:ins w:id="1" w:author="豪圣 [2]" w:date="2024-04-11T13:59:15Z">
        <w:r>
          <w:rPr>
            <w:rFonts w:hint="eastAsia" w:ascii="宋体" w:hAnsi="宋体" w:eastAsia="宋体" w:cs="宋体"/>
            <w:b/>
            <w:sz w:val="32"/>
            <w:szCs w:val="32"/>
          </w:rPr>
          <w:br w:type="page"/>
        </w:r>
      </w:ins>
    </w:p>
    <w:p w14:paraId="7ACE1C9B">
      <w:pPr>
        <w:snapToGrid w:val="0"/>
        <w:spacing w:line="360" w:lineRule="auto"/>
        <w:ind w:firstLine="2891" w:firstLineChars="900"/>
        <w:rPr>
          <w:rFonts w:hint="eastAsia" w:ascii="宋体" w:hAnsi="宋体" w:eastAsia="宋体" w:cs="宋体"/>
          <w:b/>
          <w:bCs/>
          <w:szCs w:val="21"/>
        </w:rPr>
      </w:pPr>
      <w:r>
        <w:rPr>
          <w:rFonts w:hint="eastAsia" w:ascii="宋体" w:hAnsi="宋体" w:eastAsia="宋体" w:cs="宋体"/>
          <w:b/>
          <w:sz w:val="32"/>
          <w:szCs w:val="32"/>
        </w:rPr>
        <w:t>八、分包意向协议</w:t>
      </w:r>
    </w:p>
    <w:p w14:paraId="6BE413A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成交后以分包方式履行合同的，提供分包意向协议；采购人不同意分包或者供应商成交后不以分包方式履行合同的，则不需要提供。</w:t>
      </w:r>
      <w:r>
        <w:rPr>
          <w:rFonts w:hint="eastAsia" w:ascii="宋体" w:hAnsi="宋体" w:eastAsia="宋体" w:cs="宋体"/>
          <w:szCs w:val="21"/>
        </w:rPr>
        <w:t>）</w:t>
      </w:r>
    </w:p>
    <w:p w14:paraId="2803242D">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u w:val="single"/>
        </w:rPr>
        <w:t>（供应商名称）</w:t>
      </w:r>
      <w:r>
        <w:rPr>
          <w:rFonts w:hint="eastAsia" w:ascii="宋体" w:hAnsi="宋体" w:eastAsia="宋体" w:cs="宋体"/>
          <w:kern w:val="0"/>
          <w:szCs w:val="21"/>
          <w:lang w:val="zh-CN"/>
        </w:rPr>
        <w:t>若成为</w:t>
      </w:r>
      <w:r>
        <w:rPr>
          <w:rFonts w:hint="eastAsia" w:ascii="宋体" w:hAnsi="宋体" w:eastAsia="宋体" w:cs="宋体"/>
          <w:szCs w:val="21"/>
        </w:rPr>
        <w:t>（项目名称）【项目编号：（</w:t>
      </w:r>
      <w:r>
        <w:rPr>
          <w:rFonts w:hint="eastAsia" w:ascii="宋体" w:hAnsi="宋体" w:eastAsia="宋体" w:cs="宋体"/>
          <w:szCs w:val="21"/>
          <w:lang w:eastAsia="zh-CN"/>
        </w:rPr>
        <w:t>项目编号</w:t>
      </w:r>
      <w:r>
        <w:rPr>
          <w:rFonts w:hint="eastAsia" w:ascii="宋体" w:hAnsi="宋体" w:eastAsia="宋体" w:cs="宋体"/>
          <w:szCs w:val="21"/>
        </w:rPr>
        <w:t>）】</w:t>
      </w:r>
      <w:r>
        <w:rPr>
          <w:rFonts w:hint="eastAsia" w:ascii="宋体" w:hAnsi="宋体" w:eastAsia="宋体" w:cs="宋体"/>
          <w:kern w:val="0"/>
          <w:szCs w:val="21"/>
          <w:lang w:val="zh-CN"/>
        </w:rPr>
        <w:t>的成交供应商，将依法采取分包方式履行合同。</w:t>
      </w:r>
      <w:r>
        <w:rPr>
          <w:rFonts w:hint="eastAsia" w:ascii="宋体" w:hAnsi="宋体" w:eastAsia="宋体" w:cs="宋体"/>
          <w:kern w:val="0"/>
          <w:szCs w:val="21"/>
          <w:u w:val="single"/>
        </w:rPr>
        <w:t>（供应商名称）</w:t>
      </w:r>
      <w:r>
        <w:rPr>
          <w:rFonts w:hint="eastAsia" w:ascii="宋体" w:hAnsi="宋体" w:eastAsia="宋体" w:cs="宋体"/>
          <w:kern w:val="0"/>
          <w:szCs w:val="21"/>
        </w:rPr>
        <w:t>与</w:t>
      </w:r>
      <w:r>
        <w:rPr>
          <w:rFonts w:hint="eastAsia" w:ascii="宋体" w:hAnsi="宋体" w:eastAsia="宋体" w:cs="宋体"/>
          <w:kern w:val="0"/>
          <w:szCs w:val="21"/>
          <w:u w:val="single"/>
        </w:rPr>
        <w:t>（所有分包供应商名称）</w:t>
      </w:r>
      <w:r>
        <w:rPr>
          <w:rFonts w:hint="eastAsia" w:ascii="宋体" w:hAnsi="宋体" w:eastAsia="宋体" w:cs="宋体"/>
          <w:kern w:val="0"/>
          <w:szCs w:val="21"/>
        </w:rPr>
        <w:t>达成分包意向协议</w:t>
      </w:r>
      <w:r>
        <w:rPr>
          <w:rFonts w:hint="eastAsia" w:ascii="宋体" w:hAnsi="宋体" w:eastAsia="宋体" w:cs="宋体"/>
          <w:kern w:val="0"/>
          <w:szCs w:val="21"/>
          <w:lang w:val="zh-CN"/>
        </w:rPr>
        <w:t xml:space="preserve">。 </w:t>
      </w:r>
    </w:p>
    <w:p w14:paraId="1EC5E40E">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一、分包标的及数量</w:t>
      </w:r>
    </w:p>
    <w:p w14:paraId="09A2BB45">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u w:val="single"/>
        </w:rPr>
        <w:t>（供应商名称）</w:t>
      </w:r>
      <w:r>
        <w:rPr>
          <w:rFonts w:hint="eastAsia" w:ascii="宋体" w:hAnsi="宋体" w:eastAsia="宋体" w:cs="宋体"/>
          <w:kern w:val="0"/>
          <w:szCs w:val="21"/>
          <w:lang w:val="zh-CN"/>
        </w:rPr>
        <w:t>将</w:t>
      </w:r>
      <w:r>
        <w:rPr>
          <w:rFonts w:hint="eastAsia" w:ascii="宋体" w:hAnsi="宋体" w:eastAsia="宋体" w:cs="宋体"/>
          <w:szCs w:val="21"/>
          <w:u w:val="single"/>
        </w:rPr>
        <w:t xml:space="preserve">  </w:t>
      </w:r>
      <w:r>
        <w:rPr>
          <w:rFonts w:hint="eastAsia" w:ascii="宋体" w:hAnsi="宋体" w:eastAsia="宋体" w:cs="宋体"/>
          <w:kern w:val="0"/>
          <w:szCs w:val="21"/>
          <w:u w:val="single"/>
        </w:rPr>
        <w:t xml:space="preserve"> XX工作内容   </w:t>
      </w:r>
      <w:r>
        <w:rPr>
          <w:rFonts w:hint="eastAsia" w:ascii="宋体" w:hAnsi="宋体" w:eastAsia="宋体" w:cs="宋体"/>
          <w:szCs w:val="21"/>
        </w:rPr>
        <w:t>分包给</w:t>
      </w:r>
      <w:r>
        <w:rPr>
          <w:rFonts w:hint="eastAsia" w:ascii="宋体" w:hAnsi="宋体" w:eastAsia="宋体" w:cs="宋体"/>
          <w:kern w:val="0"/>
          <w:szCs w:val="21"/>
          <w:u w:val="single"/>
        </w:rPr>
        <w:t>（分包供应商1名称）</w:t>
      </w:r>
      <w:r>
        <w:rPr>
          <w:rFonts w:hint="eastAsia" w:ascii="宋体" w:hAnsi="宋体" w:eastAsia="宋体" w:cs="宋体"/>
          <w:kern w:val="0"/>
          <w:szCs w:val="21"/>
          <w:lang w:val="zh-CN"/>
        </w:rPr>
        <w:t>，</w:t>
      </w:r>
      <w:r>
        <w:rPr>
          <w:rFonts w:hint="eastAsia" w:ascii="宋体" w:hAnsi="宋体" w:eastAsia="宋体" w:cs="宋体"/>
          <w:kern w:val="0"/>
          <w:szCs w:val="21"/>
          <w:u w:val="single"/>
        </w:rPr>
        <w:t>（分包供应商2名称），</w:t>
      </w:r>
      <w:r>
        <w:rPr>
          <w:rFonts w:hint="eastAsia" w:ascii="宋体" w:hAnsi="宋体" w:eastAsia="宋体" w:cs="宋体"/>
          <w:kern w:val="0"/>
          <w:szCs w:val="21"/>
          <w:lang w:val="zh-CN"/>
        </w:rPr>
        <w:t>具备承</w:t>
      </w:r>
      <w:r>
        <w:rPr>
          <w:rFonts w:hint="eastAsia" w:ascii="宋体" w:hAnsi="宋体" w:eastAsia="宋体" w:cs="宋体"/>
          <w:kern w:val="0"/>
          <w:szCs w:val="21"/>
        </w:rPr>
        <w:t>担</w:t>
      </w:r>
      <w:r>
        <w:rPr>
          <w:rFonts w:hint="eastAsia" w:ascii="宋体" w:hAnsi="宋体" w:eastAsia="宋体" w:cs="宋体"/>
          <w:kern w:val="0"/>
          <w:szCs w:val="21"/>
          <w:u w:val="single"/>
          <w:lang w:val="zh-CN"/>
        </w:rPr>
        <w:t>XX工作内容</w:t>
      </w:r>
      <w:r>
        <w:rPr>
          <w:rFonts w:hint="eastAsia" w:ascii="宋体" w:hAnsi="宋体" w:eastAsia="宋体" w:cs="宋体"/>
          <w:kern w:val="0"/>
          <w:szCs w:val="21"/>
          <w:lang w:val="zh-CN"/>
        </w:rPr>
        <w:t>相应资质条件且不得再次分包；</w:t>
      </w:r>
    </w:p>
    <w:p w14:paraId="5C4B8EC8">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二、分包供应商中小企业合同份额（如果有）</w:t>
      </w:r>
    </w:p>
    <w:p w14:paraId="33CF54B8">
      <w:pPr>
        <w:snapToGrid w:val="0"/>
        <w:spacing w:line="360" w:lineRule="auto"/>
        <w:ind w:firstLine="420" w:firstLineChars="200"/>
        <w:rPr>
          <w:rFonts w:hint="eastAsia" w:ascii="宋体" w:hAnsi="宋体" w:eastAsia="宋体" w:cs="宋体"/>
          <w:b/>
          <w:kern w:val="0"/>
          <w:szCs w:val="21"/>
          <w:lang w:val="zh-CN"/>
        </w:rPr>
      </w:pPr>
      <w:r>
        <w:rPr>
          <w:rFonts w:hint="eastAsia" w:ascii="宋体" w:hAnsi="宋体" w:eastAsia="宋体" w:cs="宋体"/>
          <w:kern w:val="0"/>
          <w:szCs w:val="21"/>
        </w:rPr>
        <w:t>1、</w:t>
      </w:r>
      <w:r>
        <w:rPr>
          <w:rFonts w:hint="eastAsia" w:ascii="宋体" w:hAnsi="宋体" w:eastAsia="宋体" w:cs="宋体"/>
          <w:kern w:val="0"/>
          <w:szCs w:val="21"/>
          <w:u w:val="single"/>
        </w:rPr>
        <w:t>（分包供应商X,……）提供的货物全部由小微企业制造，</w:t>
      </w:r>
      <w:r>
        <w:rPr>
          <w:rFonts w:hint="eastAsia" w:ascii="宋体" w:hAnsi="宋体" w:eastAsia="宋体" w:cs="宋体"/>
          <w:kern w:val="0"/>
          <w:szCs w:val="21"/>
        </w:rPr>
        <w:t>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szCs w:val="21"/>
        </w:rPr>
        <w:t>。</w:t>
      </w:r>
      <w:r>
        <w:rPr>
          <w:rFonts w:hint="eastAsia" w:ascii="宋体" w:hAnsi="宋体" w:eastAsia="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rPr>
        <w:t>拟享受以上价格扣除政策的，填写有关内容。</w:t>
      </w:r>
      <w:r>
        <w:rPr>
          <w:rFonts w:hint="eastAsia" w:ascii="宋体" w:hAnsi="宋体" w:eastAsia="宋体" w:cs="宋体"/>
          <w:b/>
          <w:kern w:val="0"/>
          <w:szCs w:val="21"/>
          <w:lang w:val="zh-CN"/>
        </w:rPr>
        <w:t>）</w:t>
      </w:r>
    </w:p>
    <w:p w14:paraId="02FF5252">
      <w:pPr>
        <w:spacing w:line="360" w:lineRule="auto"/>
        <w:ind w:firstLine="420" w:firstLineChars="200"/>
        <w:rPr>
          <w:rFonts w:hint="eastAsia" w:ascii="宋体" w:hAnsi="宋体" w:eastAsia="宋体" w:cs="宋体"/>
          <w:b/>
          <w:bCs/>
          <w:kern w:val="0"/>
          <w:szCs w:val="21"/>
          <w:lang w:val="zh-CN"/>
        </w:rPr>
      </w:pPr>
      <w:r>
        <w:rPr>
          <w:rFonts w:hint="eastAsia" w:ascii="宋体" w:hAnsi="宋体" w:eastAsia="宋体" w:cs="宋体"/>
          <w:szCs w:val="21"/>
        </w:rPr>
        <w:t>2、中小企业合同金额达到</w:t>
      </w:r>
      <w:r>
        <w:rPr>
          <w:rFonts w:hint="eastAsia" w:ascii="宋体" w:hAnsi="宋体" w:eastAsia="宋体" w:cs="宋体"/>
          <w:szCs w:val="21"/>
          <w:u w:val="single"/>
        </w:rPr>
        <w:t xml:space="preserve">  </w:t>
      </w:r>
      <w:r>
        <w:rPr>
          <w:rFonts w:hint="eastAsia" w:ascii="宋体" w:hAnsi="宋体" w:eastAsia="宋体" w:cs="宋体"/>
          <w:szCs w:val="21"/>
        </w:rPr>
        <w:t>%，其中小微企业合同金额达到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要求合同分包形式参加的项目或采购包，供应商按磋商文件第一部分竞争性磋商邀请公告申请人的资格要求中规定的</w:t>
      </w:r>
      <w:r>
        <w:rPr>
          <w:rFonts w:hint="eastAsia" w:ascii="宋体" w:hAnsi="宋体" w:eastAsia="宋体" w:cs="宋体"/>
          <w:b/>
          <w:kern w:val="0"/>
          <w:szCs w:val="21"/>
          <w:lang w:val="zh-CN"/>
        </w:rPr>
        <w:t>分包意向协议</w:t>
      </w:r>
      <w:r>
        <w:rPr>
          <w:rFonts w:hint="eastAsia" w:ascii="宋体" w:hAnsi="宋体" w:eastAsia="宋体" w:cs="宋体"/>
          <w:b/>
          <w:bCs/>
          <w:szCs w:val="21"/>
        </w:rPr>
        <w:t>中中小企业、小微企业合同金额应当达到的比例要求填写。</w:t>
      </w:r>
      <w:r>
        <w:rPr>
          <w:rFonts w:hint="eastAsia" w:ascii="宋体" w:hAnsi="宋体" w:eastAsia="宋体" w:cs="宋体"/>
          <w:b/>
          <w:bCs/>
          <w:kern w:val="0"/>
          <w:szCs w:val="21"/>
          <w:lang w:val="zh-CN"/>
        </w:rPr>
        <w:t>）</w:t>
      </w:r>
    </w:p>
    <w:p w14:paraId="765CAAEB">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三、分包工作履行期限、地点、方式</w:t>
      </w:r>
    </w:p>
    <w:p w14:paraId="0A76E54D">
      <w:pPr>
        <w:snapToGrid w:val="0"/>
        <w:spacing w:line="360" w:lineRule="auto"/>
        <w:ind w:firstLine="420" w:firstLineChars="200"/>
        <w:rPr>
          <w:rFonts w:hint="eastAsia" w:ascii="宋体" w:hAnsi="宋体" w:eastAsia="宋体" w:cs="宋体"/>
          <w:szCs w:val="21"/>
          <w:u w:val="single"/>
          <w:lang w:eastAsia="zh-CN"/>
        </w:rPr>
      </w:pPr>
      <w:r>
        <w:rPr>
          <w:rFonts w:hint="eastAsia" w:ascii="宋体" w:hAnsi="宋体" w:eastAsia="宋体" w:cs="宋体"/>
          <w:szCs w:val="21"/>
          <w:u w:val="single"/>
        </w:rPr>
        <w:t xml:space="preserve">                                                                                  </w:t>
      </w:r>
    </w:p>
    <w:p w14:paraId="1B135614">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四、质量</w:t>
      </w:r>
    </w:p>
    <w:p w14:paraId="6BF7827B">
      <w:pPr>
        <w:snapToGrid w:val="0"/>
        <w:spacing w:line="360" w:lineRule="auto"/>
        <w:ind w:firstLine="420" w:firstLineChars="200"/>
        <w:rPr>
          <w:rFonts w:hint="eastAsia" w:ascii="宋体" w:hAnsi="宋体" w:eastAsia="宋体" w:cs="宋体"/>
          <w:kern w:val="0"/>
          <w:szCs w:val="21"/>
          <w:lang w:val="zh-CN" w:eastAsia="zh-CN"/>
        </w:rPr>
      </w:pPr>
      <w:r>
        <w:rPr>
          <w:rFonts w:hint="eastAsia" w:ascii="宋体" w:hAnsi="宋体" w:eastAsia="宋体" w:cs="宋体"/>
          <w:szCs w:val="21"/>
          <w:u w:val="single"/>
        </w:rPr>
        <w:t xml:space="preserve">                                                                                       </w:t>
      </w:r>
    </w:p>
    <w:p w14:paraId="138CF2E8">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五、价款或者报酬</w:t>
      </w:r>
    </w:p>
    <w:p w14:paraId="612EED70">
      <w:pPr>
        <w:snapToGrid w:val="0"/>
        <w:spacing w:line="360" w:lineRule="auto"/>
        <w:ind w:firstLine="420" w:firstLineChars="200"/>
        <w:rPr>
          <w:rFonts w:hint="eastAsia" w:ascii="宋体" w:hAnsi="宋体" w:eastAsia="宋体" w:cs="宋体"/>
          <w:kern w:val="0"/>
          <w:szCs w:val="21"/>
          <w:lang w:val="zh-CN" w:eastAsia="zh-CN"/>
        </w:rPr>
      </w:pPr>
      <w:r>
        <w:rPr>
          <w:rFonts w:hint="eastAsia" w:ascii="宋体" w:hAnsi="宋体" w:eastAsia="宋体" w:cs="宋体"/>
          <w:szCs w:val="21"/>
          <w:u w:val="single"/>
        </w:rPr>
        <w:t xml:space="preserve">                                                                                     </w:t>
      </w:r>
    </w:p>
    <w:p w14:paraId="0880BD19">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六、违约责任</w:t>
      </w:r>
    </w:p>
    <w:p w14:paraId="77842D93">
      <w:pPr>
        <w:snapToGrid w:val="0"/>
        <w:spacing w:line="360" w:lineRule="auto"/>
        <w:ind w:firstLine="420" w:firstLineChars="200"/>
        <w:rPr>
          <w:rFonts w:hint="eastAsia" w:ascii="宋体" w:hAnsi="宋体" w:eastAsia="宋体" w:cs="宋体"/>
          <w:kern w:val="0"/>
          <w:szCs w:val="21"/>
          <w:lang w:val="zh-CN" w:eastAsia="zh-CN"/>
        </w:rPr>
      </w:pPr>
      <w:r>
        <w:rPr>
          <w:rFonts w:hint="eastAsia" w:ascii="宋体" w:hAnsi="宋体" w:eastAsia="宋体" w:cs="宋体"/>
          <w:szCs w:val="21"/>
          <w:u w:val="single"/>
        </w:rPr>
        <w:t xml:space="preserve">                                                                                     </w:t>
      </w:r>
    </w:p>
    <w:p w14:paraId="003F7E56">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七、争议解决的办法</w:t>
      </w:r>
    </w:p>
    <w:p w14:paraId="1B08F41C">
      <w:pPr>
        <w:snapToGrid w:val="0"/>
        <w:spacing w:line="360" w:lineRule="auto"/>
        <w:ind w:firstLine="420" w:firstLineChars="200"/>
        <w:rPr>
          <w:rFonts w:hint="eastAsia" w:ascii="宋体" w:hAnsi="宋体" w:eastAsia="宋体" w:cs="宋体"/>
          <w:kern w:val="0"/>
          <w:szCs w:val="21"/>
          <w:lang w:val="zh-CN" w:eastAsia="zh-CN"/>
        </w:rPr>
      </w:pPr>
      <w:r>
        <w:rPr>
          <w:rFonts w:hint="eastAsia" w:ascii="宋体" w:hAnsi="宋体" w:eastAsia="宋体" w:cs="宋体"/>
          <w:szCs w:val="21"/>
          <w:u w:val="single"/>
        </w:rPr>
        <w:t xml:space="preserve">                                                                                  </w:t>
      </w:r>
    </w:p>
    <w:p w14:paraId="4B201B89">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八、其他</w:t>
      </w:r>
    </w:p>
    <w:p w14:paraId="1EF98D5A">
      <w:pPr>
        <w:snapToGrid w:val="0"/>
        <w:ind w:firstLine="420" w:firstLineChars="200"/>
        <w:rPr>
          <w:rFonts w:hint="eastAsia" w:ascii="宋体" w:hAnsi="宋体" w:eastAsia="宋体" w:cs="宋体"/>
          <w:kern w:val="0"/>
          <w:szCs w:val="21"/>
          <w:lang w:val="zh-CN"/>
        </w:rPr>
      </w:pPr>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 xml:space="preserve">  。                                      供应商名称(电子签名)：</w:t>
      </w:r>
    </w:p>
    <w:p w14:paraId="7BE0A48F">
      <w:pPr>
        <w:snapToGrid w:val="0"/>
        <w:rPr>
          <w:rFonts w:hint="eastAsia" w:ascii="宋体" w:hAnsi="宋体" w:eastAsia="宋体" w:cs="宋体"/>
          <w:kern w:val="0"/>
          <w:szCs w:val="21"/>
          <w:lang w:val="zh-CN"/>
        </w:rPr>
      </w:pPr>
      <w:r>
        <w:rPr>
          <w:rFonts w:hint="eastAsia" w:ascii="宋体" w:hAnsi="宋体" w:eastAsia="宋体" w:cs="宋体"/>
          <w:kern w:val="0"/>
          <w:szCs w:val="21"/>
          <w:lang w:val="zh-CN"/>
        </w:rPr>
        <w:t>分包供应商名称(电子签名/公章)：</w:t>
      </w:r>
    </w:p>
    <w:p w14:paraId="28E1430A">
      <w:pPr>
        <w:rPr>
          <w:rFonts w:hint="eastAsia" w:ascii="宋体" w:hAnsi="宋体" w:eastAsia="宋体" w:cs="宋体"/>
          <w:kern w:val="0"/>
          <w:szCs w:val="21"/>
          <w:lang w:val="zh-CN"/>
        </w:rPr>
      </w:pPr>
      <w:r>
        <w:rPr>
          <w:rFonts w:hint="eastAsia" w:ascii="宋体" w:hAnsi="宋体" w:eastAsia="宋体" w:cs="宋体"/>
          <w:kern w:val="0"/>
          <w:szCs w:val="21"/>
          <w:lang w:val="zh-CN"/>
        </w:rPr>
        <w:t xml:space="preserve">                                        日期：  年  月   日</w:t>
      </w:r>
    </w:p>
    <w:p w14:paraId="6285B559">
      <w:pPr>
        <w:pStyle w:val="25"/>
        <w:snapToGrid w:val="0"/>
        <w:spacing w:line="360" w:lineRule="auto"/>
        <w:ind w:firstLine="422" w:firstLineChars="200"/>
        <w:rPr>
          <w:rFonts w:hint="eastAsia" w:ascii="宋体" w:hAnsi="宋体" w:eastAsia="宋体" w:cs="宋体"/>
          <w:b/>
        </w:rPr>
      </w:pPr>
    </w:p>
    <w:p w14:paraId="64957368">
      <w:pPr>
        <w:pStyle w:val="25"/>
        <w:snapToGrid w:val="0"/>
        <w:spacing w:line="360" w:lineRule="auto"/>
        <w:ind w:firstLine="643" w:firstLineChars="200"/>
        <w:jc w:val="center"/>
        <w:outlineLvl w:val="9"/>
        <w:rPr>
          <w:rFonts w:hint="eastAsia" w:ascii="宋体" w:hAnsi="宋体" w:eastAsia="宋体" w:cs="宋体"/>
          <w:b/>
          <w:sz w:val="32"/>
          <w:szCs w:val="32"/>
          <w:lang w:val="zh-CN"/>
        </w:rPr>
      </w:pPr>
      <w:r>
        <w:rPr>
          <w:rFonts w:hint="eastAsia" w:ascii="宋体" w:hAnsi="宋体" w:eastAsia="宋体" w:cs="宋体"/>
          <w:b/>
          <w:sz w:val="32"/>
          <w:szCs w:val="32"/>
        </w:rPr>
        <w:t>九、</w:t>
      </w:r>
      <w:r>
        <w:rPr>
          <w:rFonts w:hint="eastAsia" w:ascii="宋体" w:hAnsi="宋体" w:eastAsia="宋体" w:cs="宋体"/>
          <w:b/>
          <w:sz w:val="32"/>
          <w:szCs w:val="32"/>
          <w:lang w:val="zh-CN"/>
        </w:rPr>
        <w:t>其他必要提供的资料。</w:t>
      </w:r>
    </w:p>
    <w:p w14:paraId="51FB47BA">
      <w:pPr>
        <w:pStyle w:val="35"/>
        <w:rPr>
          <w:rFonts w:hint="eastAsia" w:ascii="宋体" w:hAnsi="宋体" w:eastAsia="宋体" w:cs="宋体"/>
          <w:lang w:val="zh-CN"/>
        </w:rPr>
      </w:pPr>
    </w:p>
    <w:bookmarkEnd w:id="113"/>
    <w:p w14:paraId="55E569D3">
      <w:pPr>
        <w:pStyle w:val="2"/>
        <w:pageBreakBefore/>
        <w:tabs>
          <w:tab w:val="left" w:pos="432"/>
        </w:tabs>
        <w:rPr>
          <w:rFonts w:hint="eastAsia" w:ascii="宋体" w:hAnsi="宋体" w:eastAsia="宋体" w:cs="宋体"/>
          <w:sz w:val="36"/>
        </w:rPr>
      </w:pPr>
      <w:r>
        <w:rPr>
          <w:rFonts w:hint="eastAsia" w:ascii="宋体" w:hAnsi="宋体" w:eastAsia="宋体" w:cs="宋体"/>
          <w:sz w:val="36"/>
        </w:rPr>
        <w:t xml:space="preserve"> </w:t>
      </w:r>
      <w:bookmarkStart w:id="155" w:name="_Toc6541"/>
      <w:r>
        <w:rPr>
          <w:rFonts w:hint="eastAsia" w:ascii="宋体" w:hAnsi="宋体" w:eastAsia="宋体" w:cs="宋体"/>
          <w:sz w:val="36"/>
        </w:rPr>
        <w:t>第六部分 评标办法</w:t>
      </w:r>
      <w:bookmarkEnd w:id="155"/>
    </w:p>
    <w:p w14:paraId="408A13D9">
      <w:pPr>
        <w:adjustRightInd w:val="0"/>
        <w:snapToGrid w:val="0"/>
        <w:spacing w:line="360" w:lineRule="auto"/>
        <w:rPr>
          <w:rFonts w:hint="eastAsia" w:ascii="宋体" w:hAnsi="宋体" w:eastAsia="宋体" w:cs="宋体"/>
          <w:b/>
          <w:szCs w:val="21"/>
        </w:rPr>
      </w:pPr>
    </w:p>
    <w:p w14:paraId="08750BDA">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本评审办法遵照《中华人民共和国政府采购法》</w:t>
      </w:r>
      <w:r>
        <w:rPr>
          <w:rFonts w:hint="eastAsia" w:ascii="宋体" w:hAnsi="宋体" w:eastAsia="宋体" w:cs="宋体"/>
          <w:kern w:val="0"/>
          <w:szCs w:val="21"/>
        </w:rPr>
        <w:t>、《政府采购竞争性磋商采购方式管理暂行办法》</w:t>
      </w:r>
      <w:r>
        <w:rPr>
          <w:rFonts w:hint="eastAsia" w:ascii="宋体" w:hAnsi="宋体" w:eastAsia="宋体" w:cs="宋体"/>
        </w:rPr>
        <w:t>等有关规定，并结合本项目的具体情况制定。</w:t>
      </w:r>
    </w:p>
    <w:p w14:paraId="2100A8B7">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本采购项目采用综合评分法。</w:t>
      </w:r>
    </w:p>
    <w:p w14:paraId="2116A700">
      <w:pPr>
        <w:adjustRightInd w:val="0"/>
        <w:snapToGrid w:val="0"/>
        <w:spacing w:line="360" w:lineRule="auto"/>
        <w:ind w:firstLine="422" w:firstLineChars="200"/>
        <w:rPr>
          <w:rFonts w:hint="eastAsia" w:ascii="宋体" w:hAnsi="宋体" w:eastAsia="宋体" w:cs="宋体"/>
          <w:b/>
          <w:bCs/>
        </w:rPr>
      </w:pPr>
      <w:r>
        <w:rPr>
          <w:rFonts w:hint="eastAsia" w:ascii="宋体" w:hAnsi="宋体" w:eastAsia="宋体" w:cs="宋体"/>
          <w:b/>
          <w:bCs/>
        </w:rPr>
        <w:t>一、总则</w:t>
      </w:r>
    </w:p>
    <w:p w14:paraId="11D17796">
      <w:pPr>
        <w:snapToGrid w:val="0"/>
        <w:spacing w:line="360" w:lineRule="auto"/>
        <w:ind w:firstLine="420" w:firstLineChars="200"/>
        <w:rPr>
          <w:rFonts w:hint="eastAsia" w:ascii="宋体" w:hAnsi="宋体" w:eastAsia="宋体" w:cs="宋体"/>
        </w:rPr>
      </w:pPr>
      <w:r>
        <w:rPr>
          <w:rFonts w:hint="eastAsia" w:ascii="宋体" w:hAnsi="宋体" w:eastAsia="宋体" w:cs="宋体"/>
        </w:rPr>
        <w:t>磋商小组成员应当按照客观、公正、审慎的原则，根据磋商文件规定的评审程序、评审方法和评审标准进行独立评审。</w:t>
      </w:r>
    </w:p>
    <w:p w14:paraId="6199B388">
      <w:pPr>
        <w:snapToGrid w:val="0"/>
        <w:spacing w:line="360" w:lineRule="auto"/>
        <w:ind w:firstLine="420" w:firstLineChars="200"/>
        <w:rPr>
          <w:rFonts w:hint="eastAsia" w:ascii="宋体" w:hAnsi="宋体" w:eastAsia="宋体" w:cs="宋体"/>
        </w:rPr>
      </w:pPr>
      <w:r>
        <w:rPr>
          <w:rFonts w:hint="eastAsia" w:ascii="宋体" w:hAnsi="宋体" w:eastAsia="宋体" w:cs="宋体"/>
        </w:rPr>
        <w:t>对落标人，磋商小组不作任何落标解释。</w:t>
      </w:r>
    </w:p>
    <w:p w14:paraId="36AFBFA1">
      <w:pPr>
        <w:adjustRightInd w:val="0"/>
        <w:snapToGrid w:val="0"/>
        <w:spacing w:line="360" w:lineRule="auto"/>
        <w:ind w:firstLine="422" w:firstLineChars="200"/>
        <w:rPr>
          <w:rFonts w:hint="eastAsia" w:ascii="宋体" w:hAnsi="宋体" w:eastAsia="宋体" w:cs="宋体"/>
          <w:b/>
          <w:bCs/>
        </w:rPr>
      </w:pPr>
      <w:r>
        <w:rPr>
          <w:rFonts w:hint="eastAsia" w:ascii="宋体" w:hAnsi="宋体" w:eastAsia="宋体" w:cs="宋体"/>
          <w:b/>
          <w:bCs/>
        </w:rPr>
        <w:t>二、评审组织</w:t>
      </w:r>
    </w:p>
    <w:p w14:paraId="3C25888D">
      <w:pPr>
        <w:snapToGrid w:val="0"/>
        <w:spacing w:line="360" w:lineRule="auto"/>
        <w:ind w:firstLine="420" w:firstLineChars="200"/>
        <w:rPr>
          <w:rFonts w:hint="eastAsia" w:ascii="宋体" w:hAnsi="宋体" w:eastAsia="宋体" w:cs="宋体"/>
        </w:rPr>
      </w:pPr>
      <w:r>
        <w:rPr>
          <w:rFonts w:hint="eastAsia" w:ascii="宋体" w:hAnsi="宋体" w:eastAsia="宋体" w:cs="宋体"/>
        </w:rPr>
        <w:t>评审工作由采购单位依法组建的磋商小组负责。磋商小组负责审标、询标、评审等工作，并向采购人提出评审意见和评审报告。</w:t>
      </w:r>
    </w:p>
    <w:p w14:paraId="0F4FF852">
      <w:pPr>
        <w:tabs>
          <w:tab w:val="left" w:pos="3219"/>
        </w:tabs>
        <w:adjustRightInd w:val="0"/>
        <w:snapToGrid w:val="0"/>
        <w:spacing w:line="360" w:lineRule="auto"/>
        <w:ind w:firstLine="420" w:firstLineChars="200"/>
        <w:rPr>
          <w:rFonts w:hint="eastAsia" w:ascii="宋体" w:hAnsi="宋体" w:eastAsia="宋体" w:cs="宋体"/>
          <w:b/>
          <w:bCs/>
        </w:rPr>
      </w:pPr>
      <w:r>
        <w:rPr>
          <w:rFonts w:hint="eastAsia" w:ascii="宋体" w:hAnsi="宋体" w:eastAsia="宋体" w:cs="宋体"/>
        </w:rPr>
        <w:t>三、</w:t>
      </w:r>
      <w:r>
        <w:rPr>
          <w:rFonts w:hint="eastAsia" w:ascii="宋体" w:hAnsi="宋体" w:eastAsia="宋体" w:cs="宋体"/>
          <w:b/>
          <w:bCs/>
        </w:rPr>
        <w:t>评标程序</w:t>
      </w:r>
    </w:p>
    <w:p w14:paraId="457B4616">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程序如下：</w:t>
      </w:r>
    </w:p>
    <w:p w14:paraId="6E1F40AB">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第一步：磋商小组根据评审原则和评审办法，对供应商的响应文件进行初审（符合性审查、报价评审）。</w:t>
      </w:r>
    </w:p>
    <w:p w14:paraId="070BBA05">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第二步：对初审合格的供应商进行磋商，供应商根据磋商文件的变动情况和磋商小组的要求重新提交响应文件。</w:t>
      </w:r>
    </w:p>
    <w:p w14:paraId="51105DBE">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第三步：对各供应商的商务技术标进行评审并汇总。</w:t>
      </w:r>
    </w:p>
    <w:p w14:paraId="1713D745">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第四步：商务和技术评审结束后，公布其商务和技术得分情况，公布最终报价。</w:t>
      </w:r>
    </w:p>
    <w:p w14:paraId="78EA82D7">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第五步：磋商小组以商务技术标和报价标合计分值由高到低的顺序依次推荐得分第一名的为第一中标候选单位，推荐得分第二名的为第二中标候选单位，推荐得分第三名的为第三中标候选单位，并提交书面评标报告。合计分值相同时以报价标得分高为先，合计分值、报价标得分均相同时由磋商小组全体成员记名投票按少数服从多数的原则确定中标候选顺序。</w:t>
      </w:r>
    </w:p>
    <w:p w14:paraId="32191209">
      <w:pPr>
        <w:tabs>
          <w:tab w:val="left" w:pos="3219"/>
        </w:tabs>
        <w:adjustRightInd w:val="0"/>
        <w:snapToGrid w:val="0"/>
        <w:spacing w:line="360" w:lineRule="auto"/>
        <w:ind w:firstLine="420" w:firstLineChars="200"/>
        <w:rPr>
          <w:rFonts w:hint="eastAsia" w:ascii="宋体" w:hAnsi="宋体" w:eastAsia="宋体" w:cs="宋体"/>
          <w:b/>
          <w:bCs/>
        </w:rPr>
      </w:pPr>
      <w:r>
        <w:rPr>
          <w:rFonts w:hint="eastAsia" w:ascii="宋体" w:hAnsi="宋体" w:eastAsia="宋体" w:cs="宋体"/>
        </w:rPr>
        <w:t>三、</w:t>
      </w:r>
      <w:r>
        <w:rPr>
          <w:rFonts w:hint="eastAsia" w:ascii="宋体" w:hAnsi="宋体" w:eastAsia="宋体" w:cs="宋体"/>
          <w:b/>
          <w:bCs/>
        </w:rPr>
        <w:t>磋商要求</w:t>
      </w:r>
    </w:p>
    <w:p w14:paraId="09174119">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1、磋商小组将按竞争性磋商有关规定与供应商进行封闭式磋商，磋商的内容包括（但不限于）供应商的报价、合同条款响应情况、技术方案的可行性、承诺的后期服务等。供应商有义务对磋商小组就响应文件中不明确的条款进行澄清，供应商在磋商时可以对其响应文件进行补充或调整，在磋商结束前，供应商应对其澄清、补充、调整的相关内容以书面方式进行最终确认，形成最终承诺书。磋商小组对供应商的磋商最多不超过2轮。在磋商过程中，采购人及磋商小组有权变更相关要求，不对因此而受影响的供应商承担责任。磋商中如有实质性变动，磋商小组将用书面形式通知参加磋商的供应商。</w:t>
      </w:r>
    </w:p>
    <w:p w14:paraId="2DEA343D">
      <w:pPr>
        <w:widowControl w:val="0"/>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2、磋商小组将要求所有参加磋商的供应商按磋商小组提出的要求并在规定时间内分别进行最终报价，各供应商在规定时间之后的报价将被视为无效。</w:t>
      </w:r>
    </w:p>
    <w:p w14:paraId="0575FAD2">
      <w:pPr>
        <w:widowControl w:val="0"/>
        <w:adjustRightInd w:val="0"/>
        <w:snapToGrid w:val="0"/>
        <w:spacing w:line="360" w:lineRule="auto"/>
        <w:ind w:firstLine="420" w:firstLineChars="200"/>
        <w:rPr>
          <w:rFonts w:hint="eastAsia" w:ascii="宋体" w:hAnsi="宋体" w:eastAsia="宋体" w:cs="宋体"/>
          <w:bCs/>
        </w:rPr>
      </w:pPr>
      <w:r>
        <w:rPr>
          <w:rFonts w:hint="eastAsia" w:ascii="宋体" w:hAnsi="宋体" w:eastAsia="宋体" w:cs="宋体"/>
          <w:bCs/>
        </w:rPr>
        <w:t>3、磋商结束后，磋商小组应当要求所有实质性响应的供应商在规定时间内提交最后报价，提交最后报价的供应商一般不得少于3家。</w:t>
      </w:r>
    </w:p>
    <w:p w14:paraId="2A20FECD">
      <w:pPr>
        <w:adjustRightInd w:val="0"/>
        <w:snapToGrid w:val="0"/>
        <w:spacing w:line="360" w:lineRule="auto"/>
        <w:ind w:firstLine="420" w:firstLineChars="200"/>
        <w:rPr>
          <w:rFonts w:hint="eastAsia" w:ascii="宋体" w:hAnsi="宋体" w:eastAsia="宋体" w:cs="宋体"/>
          <w:b/>
          <w:bCs/>
        </w:rPr>
      </w:pPr>
      <w:r>
        <w:rPr>
          <w:rFonts w:hint="eastAsia" w:ascii="宋体" w:hAnsi="宋体" w:eastAsia="宋体" w:cs="宋体"/>
          <w:bCs/>
        </w:rPr>
        <w:t>4、最后报价是供应商响应文件的有效组成部分。符合《政府采购竞争性磋商采购方式管理暂行办法》第三条第四项情形或满足财库[2015]24号文件的，提交最后报价的供应商可以为2家。</w:t>
      </w:r>
    </w:p>
    <w:p w14:paraId="4D66667C">
      <w:pPr>
        <w:adjustRightInd w:val="0"/>
        <w:snapToGrid w:val="0"/>
        <w:spacing w:line="360" w:lineRule="auto"/>
        <w:ind w:firstLine="422" w:firstLineChars="200"/>
        <w:rPr>
          <w:rFonts w:hint="eastAsia" w:ascii="宋体" w:hAnsi="宋体" w:eastAsia="宋体" w:cs="宋体"/>
          <w:b/>
          <w:bCs/>
        </w:rPr>
      </w:pPr>
      <w:r>
        <w:rPr>
          <w:rFonts w:hint="eastAsia" w:ascii="宋体" w:hAnsi="宋体" w:eastAsia="宋体" w:cs="宋体"/>
          <w:b/>
          <w:bCs/>
        </w:rPr>
        <w:t>四、评审细则</w:t>
      </w:r>
    </w:p>
    <w:p w14:paraId="52305DAB">
      <w:pPr>
        <w:pStyle w:val="28"/>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1.评标采用综合评分法，磋商小组从最终</w:t>
      </w:r>
      <w:r>
        <w:rPr>
          <w:rFonts w:hint="eastAsia" w:ascii="宋体" w:hAnsi="宋体" w:eastAsia="宋体" w:cs="宋体"/>
          <w:sz w:val="21"/>
          <w:szCs w:val="21"/>
          <w:lang w:eastAsia="zh-CN"/>
        </w:rPr>
        <w:t>响应报价</w:t>
      </w:r>
      <w:r>
        <w:rPr>
          <w:rFonts w:hint="eastAsia" w:ascii="宋体" w:hAnsi="宋体" w:eastAsia="宋体" w:cs="宋体"/>
          <w:sz w:val="21"/>
          <w:szCs w:val="21"/>
        </w:rPr>
        <w:t>、供应商的资信、业绩、技术方案、服务承诺、等方面进行评审。磋商小组根据评审情况，对各供应商的商务报价方面在分值范围内进行统一打分，对各供应商的资信商务方面在分值范围内进行统一打分，对各供应商的技术方面在分值范围内进行独立打分。</w:t>
      </w:r>
    </w:p>
    <w:p w14:paraId="361D1140">
      <w:pPr>
        <w:spacing w:line="360" w:lineRule="auto"/>
        <w:ind w:firstLine="420" w:firstLineChars="200"/>
        <w:rPr>
          <w:rFonts w:hint="eastAsia" w:ascii="宋体" w:hAnsi="宋体" w:eastAsia="宋体" w:cs="宋体"/>
        </w:rPr>
      </w:pPr>
      <w:r>
        <w:rPr>
          <w:rFonts w:hint="eastAsia" w:ascii="宋体" w:hAnsi="宋体" w:eastAsia="宋体" w:cs="宋体"/>
        </w:rPr>
        <w:t>2.采购人优先采购被认定为首台套产品和“制造精品”的自主创新产品。</w:t>
      </w:r>
    </w:p>
    <w:p w14:paraId="593FA191">
      <w:pPr>
        <w:spacing w:line="360" w:lineRule="auto"/>
        <w:ind w:firstLine="420" w:firstLineChars="200"/>
        <w:rPr>
          <w:rFonts w:hint="eastAsia" w:ascii="宋体" w:hAnsi="宋体" w:eastAsia="宋体" w:cs="宋体"/>
        </w:rPr>
      </w:pPr>
      <w:r>
        <w:rPr>
          <w:rFonts w:hint="eastAsia" w:ascii="宋体" w:hAnsi="宋体" w:eastAsia="宋体" w:cs="宋体"/>
        </w:rPr>
        <w:t>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DD68A2F">
      <w:pPr>
        <w:spacing w:line="360" w:lineRule="auto"/>
        <w:ind w:firstLine="420" w:firstLineChars="200"/>
        <w:rPr>
          <w:rFonts w:hint="eastAsia" w:ascii="宋体" w:hAnsi="宋体" w:eastAsia="宋体" w:cs="宋体"/>
        </w:rPr>
      </w:pPr>
      <w:r>
        <w:rPr>
          <w:rFonts w:hint="eastAsia" w:ascii="宋体" w:hAnsi="宋体" w:eastAsia="宋体" w:cs="宋体"/>
        </w:rPr>
        <w:t>3.提供相同品牌产品且通过资格审查、符合性审查的不同</w:t>
      </w:r>
      <w:r>
        <w:rPr>
          <w:rFonts w:hint="eastAsia" w:ascii="宋体" w:hAnsi="宋体" w:eastAsia="宋体" w:cs="宋体"/>
          <w:lang w:eastAsia="zh-CN"/>
        </w:rPr>
        <w:t>磋商供应商</w:t>
      </w:r>
      <w:r>
        <w:rPr>
          <w:rFonts w:hint="eastAsia" w:ascii="宋体" w:hAnsi="宋体" w:eastAsia="宋体" w:cs="宋体"/>
        </w:rPr>
        <w:t>参加同一标项投标的，按一家</w:t>
      </w:r>
      <w:r>
        <w:rPr>
          <w:rFonts w:hint="eastAsia" w:ascii="宋体" w:hAnsi="宋体" w:eastAsia="宋体" w:cs="宋体"/>
          <w:lang w:eastAsia="zh-CN"/>
        </w:rPr>
        <w:t>磋商供应商</w:t>
      </w:r>
      <w:r>
        <w:rPr>
          <w:rFonts w:hint="eastAsia" w:ascii="宋体" w:hAnsi="宋体" w:eastAsia="宋体" w:cs="宋体"/>
        </w:rPr>
        <w:t>计算，评审后得分最高的同品牌</w:t>
      </w:r>
      <w:r>
        <w:rPr>
          <w:rFonts w:hint="eastAsia" w:ascii="宋体" w:hAnsi="宋体" w:eastAsia="宋体" w:cs="宋体"/>
          <w:lang w:eastAsia="zh-CN"/>
        </w:rPr>
        <w:t>磋商供应商</w:t>
      </w:r>
      <w:r>
        <w:rPr>
          <w:rFonts w:hint="eastAsia" w:ascii="宋体" w:hAnsi="宋体" w:eastAsia="宋体" w:cs="宋体"/>
        </w:rPr>
        <w:t>获得</w:t>
      </w:r>
      <w:r>
        <w:rPr>
          <w:rFonts w:hint="eastAsia" w:ascii="宋体" w:hAnsi="宋体" w:eastAsia="宋体" w:cs="宋体"/>
          <w:lang w:eastAsia="zh-CN"/>
        </w:rPr>
        <w:t>成交供应商</w:t>
      </w:r>
      <w:r>
        <w:rPr>
          <w:rFonts w:hint="eastAsia" w:ascii="宋体" w:hAnsi="宋体" w:eastAsia="宋体" w:cs="宋体"/>
        </w:rPr>
        <w:t>推荐资格；评审得分相同时，取报价最低者；评审得分和报价均相同时，由磋商小组集体决定。</w:t>
      </w:r>
    </w:p>
    <w:p w14:paraId="7AE3103E">
      <w:pPr>
        <w:pStyle w:val="25"/>
        <w:spacing w:line="360" w:lineRule="auto"/>
        <w:ind w:firstLine="420" w:firstLineChars="200"/>
        <w:rPr>
          <w:rFonts w:hint="eastAsia" w:ascii="宋体" w:hAnsi="宋体" w:eastAsia="宋体" w:cs="宋体"/>
        </w:rPr>
      </w:pPr>
      <w:r>
        <w:rPr>
          <w:rFonts w:hint="eastAsia" w:ascii="宋体" w:hAnsi="宋体" w:eastAsia="宋体" w:cs="宋体"/>
        </w:rPr>
        <w:t>非单一产品采购项目中，多家供应商提供的核心产品品牌相同的，按前款规定处理。核心产品（如有）描述详见《第三部分：项目技术规范和招标需求》。</w:t>
      </w:r>
    </w:p>
    <w:p w14:paraId="732C3B5D">
      <w:pPr>
        <w:pStyle w:val="28"/>
        <w:adjustRightInd w:val="0"/>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每个供应商最终得分=商务技术分+报价分</w:t>
      </w:r>
    </w:p>
    <w:p w14:paraId="00DF6C41">
      <w:pPr>
        <w:pStyle w:val="28"/>
        <w:numPr>
          <w:ilvl w:val="0"/>
          <w:numId w:val="9"/>
        </w:numPr>
        <w:adjustRightInd w:val="0"/>
        <w:ind w:firstLine="420" w:firstLineChars="20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商务技术分：60分</w:t>
      </w:r>
    </w:p>
    <w:p w14:paraId="0D70D85D">
      <w:pPr>
        <w:pStyle w:val="28"/>
        <w:numPr>
          <w:ilvl w:val="0"/>
          <w:numId w:val="0"/>
        </w:numPr>
        <w:adjustRightInd w:val="0"/>
        <w:ind w:firstLine="420" w:firstLineChars="20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该评分分值由磋商小组根据评审情况在分值范围内统一打分（具体分值设定详见表格）。所有磋商小组成员评分的算术平均值作为该供应商的商务技术分。</w:t>
      </w:r>
    </w:p>
    <w:tbl>
      <w:tblPr>
        <w:tblStyle w:val="46"/>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15"/>
        <w:gridCol w:w="908"/>
      </w:tblGrid>
      <w:tr w14:paraId="42BE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4BF7870">
            <w:pPr>
              <w:adjustRightInd w:val="0"/>
              <w:snapToGrid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7815" w:type="dxa"/>
            <w:tcBorders>
              <w:top w:val="single" w:color="auto" w:sz="4" w:space="0"/>
              <w:left w:val="single" w:color="auto" w:sz="4" w:space="0"/>
              <w:bottom w:val="single" w:color="auto" w:sz="4" w:space="0"/>
              <w:right w:val="single" w:color="auto" w:sz="4" w:space="0"/>
            </w:tcBorders>
            <w:noWrap w:val="0"/>
            <w:vAlign w:val="center"/>
          </w:tcPr>
          <w:p w14:paraId="0B36E28C">
            <w:pPr>
              <w:adjustRightInd w:val="0"/>
              <w:snapToGrid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评分依据</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0AFAA0FD">
            <w:pPr>
              <w:adjustRightInd w:val="0"/>
              <w:snapToGrid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分值</w:t>
            </w:r>
          </w:p>
        </w:tc>
      </w:tr>
      <w:tr w14:paraId="3128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16" w:type="dxa"/>
            <w:tcBorders>
              <w:left w:val="single" w:color="auto" w:sz="4" w:space="0"/>
              <w:right w:val="single" w:color="auto" w:sz="4" w:space="0"/>
            </w:tcBorders>
            <w:noWrap w:val="0"/>
            <w:vAlign w:val="center"/>
          </w:tcPr>
          <w:p w14:paraId="59FEF960">
            <w:pPr>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815" w:type="dxa"/>
            <w:tcBorders>
              <w:top w:val="single" w:color="auto" w:sz="4" w:space="0"/>
              <w:left w:val="single" w:color="auto" w:sz="4" w:space="0"/>
              <w:bottom w:val="single" w:color="auto" w:sz="4" w:space="0"/>
              <w:right w:val="single" w:color="auto" w:sz="4" w:space="0"/>
            </w:tcBorders>
            <w:noWrap w:val="0"/>
            <w:vAlign w:val="center"/>
          </w:tcPr>
          <w:p w14:paraId="0F3384FF">
            <w:pPr>
              <w:pStyle w:val="25"/>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2021年1月1日至</w:t>
            </w:r>
            <w:r>
              <w:rPr>
                <w:rFonts w:hint="eastAsia" w:ascii="宋体" w:hAnsi="宋体" w:eastAsia="宋体" w:cs="宋体"/>
                <w:kern w:val="0"/>
                <w:sz w:val="21"/>
                <w:szCs w:val="21"/>
                <w:lang w:eastAsia="zh-CN"/>
              </w:rPr>
              <w:t>响应截止</w:t>
            </w:r>
            <w:r>
              <w:rPr>
                <w:rFonts w:hint="eastAsia" w:ascii="宋体" w:hAnsi="宋体" w:eastAsia="宋体" w:cs="宋体"/>
                <w:kern w:val="0"/>
                <w:sz w:val="21"/>
                <w:szCs w:val="21"/>
              </w:rPr>
              <w:t>时间，</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具有类似项目业绩情况，每提供一个得1分，最高得3分。（证明材料：合同</w:t>
            </w:r>
            <w:r>
              <w:rPr>
                <w:rFonts w:hint="eastAsia" w:ascii="宋体" w:hAnsi="宋体" w:eastAsia="宋体" w:cs="宋体"/>
                <w:kern w:val="0"/>
                <w:sz w:val="21"/>
                <w:szCs w:val="21"/>
                <w:lang w:val="en-US" w:eastAsia="zh-CN"/>
              </w:rPr>
              <w:t>扫描</w:t>
            </w:r>
            <w:r>
              <w:rPr>
                <w:rFonts w:hint="eastAsia" w:ascii="宋体" w:hAnsi="宋体" w:eastAsia="宋体" w:cs="宋体"/>
                <w:kern w:val="0"/>
                <w:sz w:val="21"/>
                <w:szCs w:val="21"/>
              </w:rPr>
              <w:t>件加盖公章，未提供不得分）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03978AAB">
            <w:pPr>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14:paraId="50E0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tcBorders>
              <w:left w:val="single" w:color="auto" w:sz="4" w:space="0"/>
              <w:right w:val="single" w:color="auto" w:sz="4" w:space="0"/>
            </w:tcBorders>
            <w:noWrap w:val="0"/>
            <w:vAlign w:val="center"/>
          </w:tcPr>
          <w:p w14:paraId="312B974C">
            <w:pPr>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815" w:type="dxa"/>
            <w:tcBorders>
              <w:top w:val="single" w:color="auto" w:sz="4" w:space="0"/>
              <w:left w:val="single" w:color="auto" w:sz="4" w:space="0"/>
              <w:bottom w:val="single" w:color="auto" w:sz="4" w:space="0"/>
              <w:right w:val="single" w:color="auto" w:sz="4" w:space="0"/>
            </w:tcBorders>
            <w:noWrap w:val="0"/>
            <w:vAlign w:val="center"/>
          </w:tcPr>
          <w:p w14:paraId="6997AAD2">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或制造商具有有效的质量、环境、职业健康管理体系认证证书的，每个得1分，最多3分。需提供相关 证明材料</w:t>
            </w:r>
            <w:r>
              <w:rPr>
                <w:rFonts w:hint="eastAsia" w:ascii="宋体" w:hAnsi="宋体" w:cs="宋体"/>
                <w:kern w:val="0"/>
                <w:sz w:val="21"/>
                <w:szCs w:val="21"/>
                <w:lang w:val="en-US" w:eastAsia="zh-CN"/>
              </w:rPr>
              <w:t>扫描</w:t>
            </w:r>
            <w:r>
              <w:rPr>
                <w:rFonts w:hint="eastAsia" w:ascii="宋体" w:hAnsi="宋体" w:eastAsia="宋体" w:cs="宋体"/>
                <w:kern w:val="0"/>
                <w:sz w:val="21"/>
                <w:szCs w:val="21"/>
              </w:rPr>
              <w:t>件并加盖公章。</w:t>
            </w:r>
          </w:p>
          <w:p w14:paraId="0270C454">
            <w:pPr>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（证明材料：有效的证书扫描件加盖公章，未提供不得分）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47DAF23C">
            <w:pPr>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14:paraId="41A1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6" w:type="dxa"/>
            <w:tcBorders>
              <w:left w:val="single" w:color="auto" w:sz="4" w:space="0"/>
              <w:right w:val="single" w:color="auto" w:sz="4" w:space="0"/>
            </w:tcBorders>
            <w:noWrap w:val="0"/>
            <w:vAlign w:val="center"/>
          </w:tcPr>
          <w:p w14:paraId="156C6A91">
            <w:pPr>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7815" w:type="dxa"/>
            <w:tcBorders>
              <w:top w:val="single" w:color="auto" w:sz="4" w:space="0"/>
              <w:left w:val="single" w:color="auto" w:sz="4" w:space="0"/>
              <w:bottom w:val="single" w:color="auto" w:sz="4" w:space="0"/>
              <w:right w:val="single" w:color="auto" w:sz="4" w:space="0"/>
            </w:tcBorders>
            <w:noWrap w:val="0"/>
            <w:vAlign w:val="center"/>
          </w:tcPr>
          <w:p w14:paraId="3AE1E175">
            <w:pPr>
              <w:pStyle w:val="172"/>
              <w:widowControl w:val="0"/>
              <w:adjustRightInd w:val="0"/>
              <w:snapToGrid w:val="0"/>
              <w:spacing w:before="0" w:beforeAutospacing="0" w:after="0" w:afterAutospacing="0" w:line="240" w:lineRule="auto"/>
              <w:jc w:val="both"/>
              <w:rPr>
                <w:rFonts w:hint="eastAsia" w:ascii="宋体" w:hAnsi="宋体" w:eastAsia="宋体" w:cs="宋体"/>
                <w:sz w:val="21"/>
                <w:szCs w:val="21"/>
              </w:rPr>
            </w:pPr>
            <w:r>
              <w:rPr>
                <w:rFonts w:hint="eastAsia" w:ascii="宋体" w:hAnsi="宋体" w:eastAsia="宋体" w:cs="宋体"/>
                <w:sz w:val="21"/>
                <w:szCs w:val="21"/>
              </w:rPr>
              <w:t>针对第</w:t>
            </w:r>
            <w:r>
              <w:rPr>
                <w:rFonts w:hint="eastAsia" w:ascii="宋体" w:hAnsi="宋体" w:eastAsia="宋体" w:cs="宋体"/>
                <w:sz w:val="21"/>
                <w:szCs w:val="21"/>
                <w:lang w:val="en-US" w:eastAsia="zh-CN"/>
              </w:rPr>
              <w:t>三部分项目技术规范和采购需求</w:t>
            </w:r>
            <w:r>
              <w:rPr>
                <w:rFonts w:hint="eastAsia" w:ascii="宋体" w:hAnsi="宋体" w:eastAsia="宋体" w:cs="宋体"/>
                <w:sz w:val="21"/>
                <w:szCs w:val="21"/>
              </w:rPr>
              <w:t>“二、主要技术指标”，满足全部技术要求的得</w:t>
            </w:r>
            <w:r>
              <w:rPr>
                <w:rFonts w:hint="eastAsia" w:ascii="宋体" w:hAnsi="宋体" w:eastAsia="宋体" w:cs="宋体"/>
                <w:sz w:val="21"/>
                <w:szCs w:val="21"/>
                <w:lang w:val="en-US" w:eastAsia="zh-CN"/>
              </w:rPr>
              <w:t>22</w:t>
            </w:r>
            <w:r>
              <w:rPr>
                <w:rFonts w:hint="eastAsia" w:ascii="宋体" w:hAnsi="宋体" w:eastAsia="宋体" w:cs="宋体"/>
                <w:sz w:val="21"/>
                <w:szCs w:val="21"/>
              </w:rPr>
              <w:t>分，标注“★”的重要技术指标（条款、参数）有偏离的，负偏离（功能、性能和技术指标低于</w:t>
            </w:r>
            <w:r>
              <w:rPr>
                <w:rFonts w:hint="eastAsia" w:ascii="宋体" w:hAnsi="宋体" w:eastAsia="宋体" w:cs="宋体"/>
                <w:sz w:val="21"/>
                <w:szCs w:val="21"/>
                <w:lang w:val="en-US" w:eastAsia="zh-CN"/>
              </w:rPr>
              <w:t>采购</w:t>
            </w:r>
            <w:r>
              <w:rPr>
                <w:rFonts w:hint="eastAsia" w:ascii="宋体" w:hAnsi="宋体" w:eastAsia="宋体" w:cs="宋体"/>
                <w:sz w:val="21"/>
                <w:szCs w:val="21"/>
              </w:rPr>
              <w:t>内容及需求）每条扣</w:t>
            </w:r>
            <w:r>
              <w:rPr>
                <w:rFonts w:hint="eastAsia" w:ascii="宋体" w:hAnsi="宋体" w:eastAsia="宋体" w:cs="宋体"/>
                <w:sz w:val="21"/>
                <w:szCs w:val="21"/>
                <w:lang w:val="en-US" w:eastAsia="zh-CN"/>
              </w:rPr>
              <w:t>2</w:t>
            </w:r>
            <w:r>
              <w:rPr>
                <w:rFonts w:hint="eastAsia" w:ascii="宋体" w:hAnsi="宋体" w:eastAsia="宋体" w:cs="宋体"/>
                <w:sz w:val="21"/>
                <w:szCs w:val="21"/>
              </w:rPr>
              <w:t>分；未标注“★”的一般技术指标（条款、参数）有偏离的，负偏离（功能、性能和技术指标低于</w:t>
            </w:r>
            <w:r>
              <w:rPr>
                <w:rFonts w:hint="eastAsia" w:ascii="宋体" w:hAnsi="宋体" w:eastAsia="宋体" w:cs="宋体"/>
                <w:sz w:val="21"/>
                <w:szCs w:val="21"/>
                <w:lang w:val="en-US" w:eastAsia="zh-CN"/>
              </w:rPr>
              <w:t>采购</w:t>
            </w:r>
            <w:r>
              <w:rPr>
                <w:rFonts w:hint="eastAsia" w:ascii="宋体" w:hAnsi="宋体" w:eastAsia="宋体" w:cs="宋体"/>
                <w:sz w:val="21"/>
                <w:szCs w:val="21"/>
              </w:rPr>
              <w:t>内容及需求）每项扣</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扣完为止</w:t>
            </w:r>
            <w:r>
              <w:rPr>
                <w:rFonts w:hint="eastAsia" w:ascii="宋体" w:hAnsi="宋体" w:eastAsia="宋体" w:cs="宋体"/>
                <w:sz w:val="21"/>
                <w:szCs w:val="21"/>
              </w:rPr>
              <w:t>；</w:t>
            </w:r>
          </w:p>
          <w:p w14:paraId="4EE7A9CF">
            <w:pPr>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sz w:val="21"/>
                <w:szCs w:val="21"/>
              </w:rPr>
              <w:t>注：具体参数中★参数以及其他明确要求提供相关证明材料证明</w:t>
            </w:r>
            <w:r>
              <w:rPr>
                <w:rFonts w:hint="eastAsia" w:ascii="宋体" w:hAnsi="宋体" w:eastAsia="宋体" w:cs="宋体"/>
                <w:sz w:val="21"/>
                <w:szCs w:val="21"/>
                <w:lang w:val="en-US" w:eastAsia="zh-CN"/>
              </w:rPr>
              <w:t>响应</w:t>
            </w:r>
            <w:r>
              <w:rPr>
                <w:rFonts w:hint="eastAsia" w:ascii="宋体" w:hAnsi="宋体" w:eastAsia="宋体" w:cs="宋体"/>
                <w:sz w:val="21"/>
                <w:szCs w:val="21"/>
              </w:rPr>
              <w:t>产品满足技术指标要求的（包括但不限于证书/检测报告/截图链接等），请</w:t>
            </w:r>
            <w:r>
              <w:rPr>
                <w:rFonts w:hint="eastAsia" w:ascii="宋体" w:hAnsi="宋体" w:eastAsia="宋体" w:cs="宋体"/>
                <w:sz w:val="21"/>
                <w:szCs w:val="21"/>
                <w:lang w:val="en-US" w:eastAsia="zh-CN"/>
              </w:rPr>
              <w:t>供应商</w:t>
            </w:r>
            <w:r>
              <w:rPr>
                <w:rFonts w:hint="eastAsia" w:ascii="宋体" w:hAnsi="宋体" w:eastAsia="宋体" w:cs="宋体"/>
                <w:sz w:val="21"/>
                <w:szCs w:val="21"/>
              </w:rPr>
              <w:t>对应提供，未提供视为负偏离。</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2EBC1CB2">
            <w:pPr>
              <w:adjustRightInd w:val="0"/>
              <w:snapToGrid w:val="0"/>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w:t>
            </w:r>
          </w:p>
        </w:tc>
      </w:tr>
      <w:tr w14:paraId="591A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6" w:type="dxa"/>
            <w:tcBorders>
              <w:left w:val="single" w:color="auto" w:sz="4" w:space="0"/>
              <w:right w:val="single" w:color="auto" w:sz="4" w:space="0"/>
            </w:tcBorders>
            <w:noWrap w:val="0"/>
            <w:vAlign w:val="center"/>
          </w:tcPr>
          <w:p w14:paraId="17A04B54">
            <w:pPr>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815" w:type="dxa"/>
            <w:tcBorders>
              <w:top w:val="single" w:color="auto" w:sz="4" w:space="0"/>
              <w:left w:val="single" w:color="auto" w:sz="4" w:space="0"/>
              <w:bottom w:val="single" w:color="auto" w:sz="4" w:space="0"/>
              <w:right w:val="single" w:color="auto" w:sz="4" w:space="0"/>
            </w:tcBorders>
            <w:noWrap w:val="0"/>
            <w:vAlign w:val="center"/>
          </w:tcPr>
          <w:p w14:paraId="6B659743">
            <w:pPr>
              <w:pStyle w:val="172"/>
              <w:widowControl w:val="0"/>
              <w:adjustRightInd w:val="0"/>
              <w:snapToGrid w:val="0"/>
              <w:spacing w:before="0" w:beforeAutospacing="0" w:after="0" w:afterAutospacing="0" w:line="240" w:lineRule="auto"/>
              <w:jc w:val="both"/>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所提供产品描述的完整性、针对性情况：包括（主要性能、特点、操作说明和质量水平的描述）（</w:t>
            </w:r>
            <w:r>
              <w:rPr>
                <w:rFonts w:hint="eastAsia" w:ascii="宋体" w:hAnsi="宋体" w:eastAsia="宋体" w:cs="宋体"/>
                <w:kern w:val="2"/>
                <w:sz w:val="21"/>
                <w:szCs w:val="21"/>
              </w:rPr>
              <w:t>评审分值为1分或2分或3分或4分或5分</w:t>
            </w:r>
            <w:r>
              <w:rPr>
                <w:rFonts w:hint="eastAsia" w:ascii="宋体" w:hAnsi="宋体" w:eastAsia="宋体" w:cs="宋体"/>
                <w:sz w:val="21"/>
                <w:szCs w:val="21"/>
              </w:rPr>
              <w:t>）</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1E617C3E">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14:paraId="4882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16" w:type="dxa"/>
            <w:noWrap w:val="0"/>
            <w:vAlign w:val="center"/>
          </w:tcPr>
          <w:p w14:paraId="78F3E6F4">
            <w:pPr>
              <w:adjustRightInd w:val="0"/>
              <w:snapToGrid w:val="0"/>
              <w:spacing w:line="24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5</w:t>
            </w:r>
          </w:p>
        </w:tc>
        <w:tc>
          <w:tcPr>
            <w:tcW w:w="7815" w:type="dxa"/>
            <w:noWrap w:val="0"/>
            <w:vAlign w:val="center"/>
          </w:tcPr>
          <w:p w14:paraId="656AECF4">
            <w:pPr>
              <w:pStyle w:val="172"/>
              <w:widowControl w:val="0"/>
              <w:adjustRightInd w:val="0"/>
              <w:snapToGrid w:val="0"/>
              <w:spacing w:before="0" w:beforeAutospacing="0" w:after="0" w:afterAutospacing="0" w:line="240" w:lineRule="auto"/>
              <w:jc w:val="both"/>
              <w:rPr>
                <w:rFonts w:hint="eastAsia" w:ascii="宋体" w:hAnsi="宋体" w:eastAsia="宋体" w:cs="宋体"/>
                <w:sz w:val="21"/>
                <w:szCs w:val="21"/>
              </w:rPr>
            </w:pPr>
            <w:r>
              <w:rPr>
                <w:rFonts w:hint="eastAsia" w:ascii="宋体" w:hAnsi="宋体" w:eastAsia="宋体" w:cs="宋体"/>
                <w:kern w:val="2"/>
                <w:sz w:val="21"/>
                <w:szCs w:val="21"/>
                <w:lang w:eastAsia="zh-CN"/>
              </w:rPr>
              <w:t>供应商</w:t>
            </w:r>
            <w:r>
              <w:rPr>
                <w:rFonts w:hint="eastAsia" w:ascii="宋体" w:hAnsi="宋体" w:eastAsia="宋体" w:cs="宋体"/>
                <w:kern w:val="2"/>
                <w:sz w:val="21"/>
                <w:szCs w:val="21"/>
              </w:rPr>
              <w:t>提供的项目实施方案情况：包括（实施方案全面、可行，进度计划合理性）（评审分值为1分或2分或3分或4分）</w:t>
            </w:r>
          </w:p>
        </w:tc>
        <w:tc>
          <w:tcPr>
            <w:tcW w:w="908" w:type="dxa"/>
            <w:noWrap w:val="0"/>
            <w:vAlign w:val="center"/>
          </w:tcPr>
          <w:p w14:paraId="4EEE7898">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r>
      <w:tr w14:paraId="0DDA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16" w:type="dxa"/>
            <w:noWrap w:val="0"/>
            <w:vAlign w:val="center"/>
          </w:tcPr>
          <w:p w14:paraId="77CDE2F7">
            <w:pPr>
              <w:adjustRightInd w:val="0"/>
              <w:snapToGrid w:val="0"/>
              <w:spacing w:line="240" w:lineRule="auto"/>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w:t>
            </w:r>
          </w:p>
        </w:tc>
        <w:tc>
          <w:tcPr>
            <w:tcW w:w="7815" w:type="dxa"/>
            <w:noWrap w:val="0"/>
            <w:vAlign w:val="center"/>
          </w:tcPr>
          <w:p w14:paraId="37266E9C">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拟投入本次项目的项目负责人：包括①工作履历、技术能力②职称、类似项目经验等：</w:t>
            </w:r>
          </w:p>
          <w:p w14:paraId="3284FE11">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根据拟投入本次项目负责人综合实力情况进行评审（评审分值为1分或2分或3分），未提供不得分 （提供履历表和相关资料、证书）</w:t>
            </w:r>
          </w:p>
        </w:tc>
        <w:tc>
          <w:tcPr>
            <w:tcW w:w="908" w:type="dxa"/>
            <w:noWrap w:val="0"/>
            <w:vAlign w:val="center"/>
          </w:tcPr>
          <w:p w14:paraId="415030BE">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r>
      <w:tr w14:paraId="7A57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6" w:type="dxa"/>
            <w:noWrap w:val="0"/>
            <w:vAlign w:val="center"/>
          </w:tcPr>
          <w:p w14:paraId="3128CACB">
            <w:pPr>
              <w:adjustRightInd w:val="0"/>
              <w:snapToGrid w:val="0"/>
              <w:spacing w:line="240" w:lineRule="auto"/>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w:t>
            </w:r>
          </w:p>
        </w:tc>
        <w:tc>
          <w:tcPr>
            <w:tcW w:w="7815" w:type="dxa"/>
            <w:noWrap w:val="0"/>
            <w:vAlign w:val="center"/>
          </w:tcPr>
          <w:p w14:paraId="29156C46">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项目组实施人员：包括①项目小组整体人员的技术能力、②专业分布、类似项目经验等情况；根据拟投入本次项目项目组实施人员配置合理性，人员经验、技术能力等综合实力情况进行评审（评审分值为1分或2分或3分），未提供不得分 （提供履历表和相关资料、证书）</w:t>
            </w:r>
          </w:p>
        </w:tc>
        <w:tc>
          <w:tcPr>
            <w:tcW w:w="908" w:type="dxa"/>
            <w:noWrap w:val="0"/>
            <w:vAlign w:val="center"/>
          </w:tcPr>
          <w:p w14:paraId="1271242D">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r>
      <w:tr w14:paraId="6E76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6" w:type="dxa"/>
            <w:noWrap w:val="0"/>
            <w:vAlign w:val="center"/>
          </w:tcPr>
          <w:p w14:paraId="476A5A8A">
            <w:pPr>
              <w:adjustRightInd w:val="0"/>
              <w:snapToGrid w:val="0"/>
              <w:spacing w:line="240" w:lineRule="auto"/>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8</w:t>
            </w:r>
          </w:p>
        </w:tc>
        <w:tc>
          <w:tcPr>
            <w:tcW w:w="7815" w:type="dxa"/>
            <w:noWrap w:val="0"/>
            <w:vAlign w:val="center"/>
          </w:tcPr>
          <w:p w14:paraId="6732C2E3">
            <w:pPr>
              <w:spacing w:line="240" w:lineRule="auto"/>
              <w:rPr>
                <w:rFonts w:hint="eastAsia" w:ascii="宋体" w:hAnsi="宋体" w:eastAsia="宋体" w:cs="宋体"/>
                <w:sz w:val="21"/>
                <w:szCs w:val="21"/>
              </w:rPr>
            </w:pPr>
            <w:r>
              <w:rPr>
                <w:rFonts w:hint="eastAsia" w:ascii="宋体" w:hAnsi="宋体" w:eastAsia="宋体" w:cs="宋体"/>
                <w:sz w:val="21"/>
                <w:szCs w:val="21"/>
              </w:rPr>
              <w:t>培训方案：包括①时间安排②培训内容③培训人员情况</w:t>
            </w:r>
          </w:p>
          <w:p w14:paraId="14A77C39">
            <w:pPr>
              <w:spacing w:line="240" w:lineRule="auto"/>
              <w:rPr>
                <w:rFonts w:hint="eastAsia" w:ascii="宋体" w:hAnsi="宋体" w:eastAsia="宋体" w:cs="宋体"/>
                <w:sz w:val="21"/>
                <w:szCs w:val="21"/>
              </w:rPr>
            </w:pPr>
            <w:r>
              <w:rPr>
                <w:rFonts w:hint="eastAsia" w:ascii="宋体" w:hAnsi="宋体" w:eastAsia="宋体" w:cs="宋体"/>
                <w:sz w:val="21"/>
                <w:szCs w:val="21"/>
              </w:rPr>
              <w:t>根据培训方案情况的全面性、科学合理性、针对性进行评审（评审分值为1分或2分或3分或4分或5分），未提供不得分。</w:t>
            </w:r>
          </w:p>
        </w:tc>
        <w:tc>
          <w:tcPr>
            <w:tcW w:w="908" w:type="dxa"/>
            <w:noWrap w:val="0"/>
            <w:vAlign w:val="center"/>
          </w:tcPr>
          <w:p w14:paraId="0FA0127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r>
      <w:tr w14:paraId="7050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6" w:type="dxa"/>
            <w:noWrap w:val="0"/>
            <w:vAlign w:val="center"/>
          </w:tcPr>
          <w:p w14:paraId="0DD735FC">
            <w:pPr>
              <w:adjustRightInd w:val="0"/>
              <w:snapToGrid w:val="0"/>
              <w:spacing w:line="240" w:lineRule="auto"/>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9</w:t>
            </w:r>
          </w:p>
        </w:tc>
        <w:tc>
          <w:tcPr>
            <w:tcW w:w="7815" w:type="dxa"/>
            <w:noWrap w:val="0"/>
            <w:vAlign w:val="center"/>
          </w:tcPr>
          <w:p w14:paraId="7223C0F2">
            <w:pPr>
              <w:spacing w:line="240" w:lineRule="auto"/>
              <w:rPr>
                <w:rFonts w:hint="eastAsia" w:ascii="宋体" w:hAnsi="宋体" w:eastAsia="宋体" w:cs="宋体"/>
                <w:sz w:val="21"/>
                <w:szCs w:val="21"/>
              </w:rPr>
            </w:pPr>
            <w:r>
              <w:rPr>
                <w:rFonts w:hint="eastAsia" w:ascii="宋体" w:hAnsi="宋体" w:eastAsia="宋体" w:cs="宋体"/>
                <w:sz w:val="21"/>
                <w:szCs w:val="21"/>
              </w:rPr>
              <w:t>售后服务方案：包括①日常运维服务方案②售后服务响应情况</w:t>
            </w:r>
          </w:p>
          <w:p w14:paraId="63B1BC5C">
            <w:pPr>
              <w:spacing w:line="240" w:lineRule="auto"/>
              <w:rPr>
                <w:rFonts w:hint="eastAsia" w:ascii="宋体" w:hAnsi="宋体" w:eastAsia="宋体" w:cs="宋体"/>
                <w:sz w:val="21"/>
                <w:szCs w:val="21"/>
              </w:rPr>
            </w:pPr>
            <w:r>
              <w:rPr>
                <w:rFonts w:hint="eastAsia" w:ascii="宋体" w:hAnsi="宋体" w:eastAsia="宋体" w:cs="宋体"/>
                <w:sz w:val="21"/>
                <w:szCs w:val="21"/>
              </w:rPr>
              <w:t>根据售后服务的实现方式的科学性、先进性进行评审（评审分值为1分或2分或3分或4分或5分），未提供不得分。</w:t>
            </w:r>
          </w:p>
        </w:tc>
        <w:tc>
          <w:tcPr>
            <w:tcW w:w="908" w:type="dxa"/>
            <w:noWrap w:val="0"/>
            <w:vAlign w:val="center"/>
          </w:tcPr>
          <w:p w14:paraId="6F3FB0E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r>
      <w:tr w14:paraId="61EC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16" w:type="dxa"/>
            <w:noWrap w:val="0"/>
            <w:vAlign w:val="center"/>
          </w:tcPr>
          <w:p w14:paraId="67C2359C">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815" w:type="dxa"/>
            <w:noWrap w:val="0"/>
            <w:vAlign w:val="center"/>
          </w:tcPr>
          <w:p w14:paraId="1E8D1C2D">
            <w:pPr>
              <w:spacing w:line="240" w:lineRule="auto"/>
              <w:rPr>
                <w:rFonts w:hint="eastAsia" w:ascii="宋体" w:hAnsi="宋体" w:eastAsia="宋体" w:cs="宋体"/>
                <w:sz w:val="21"/>
                <w:szCs w:val="21"/>
              </w:rPr>
            </w:pPr>
            <w:r>
              <w:rPr>
                <w:rFonts w:hint="eastAsia" w:ascii="宋体" w:hAnsi="宋体" w:eastAsia="宋体" w:cs="宋体"/>
                <w:sz w:val="21"/>
                <w:szCs w:val="21"/>
              </w:rPr>
              <w:t>应急预案：包括①故障的响应、处理情况②定期巡检方案。</w:t>
            </w:r>
          </w:p>
          <w:p w14:paraId="1DCF5CCF">
            <w:pPr>
              <w:spacing w:line="240" w:lineRule="auto"/>
              <w:rPr>
                <w:rFonts w:hint="eastAsia" w:ascii="宋体" w:hAnsi="宋体" w:eastAsia="宋体" w:cs="宋体"/>
                <w:sz w:val="21"/>
                <w:szCs w:val="21"/>
              </w:rPr>
            </w:pPr>
            <w:r>
              <w:rPr>
                <w:rFonts w:hint="eastAsia" w:ascii="宋体" w:hAnsi="宋体" w:eastAsia="宋体" w:cs="宋体"/>
                <w:sz w:val="21"/>
                <w:szCs w:val="21"/>
              </w:rPr>
              <w:t>根据应急预案合理完整性、针对性进行评审（评审分值为1分或2分或3分或4分或5分），未提供不得分</w:t>
            </w:r>
          </w:p>
        </w:tc>
        <w:tc>
          <w:tcPr>
            <w:tcW w:w="908" w:type="dxa"/>
            <w:noWrap w:val="0"/>
            <w:vAlign w:val="center"/>
          </w:tcPr>
          <w:p w14:paraId="4887CD9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r>
      <w:tr w14:paraId="0134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16" w:type="dxa"/>
            <w:noWrap w:val="0"/>
            <w:vAlign w:val="center"/>
          </w:tcPr>
          <w:p w14:paraId="55FBB9F4">
            <w:pPr>
              <w:adjustRightInd w:val="0"/>
              <w:snapToGrid w:val="0"/>
              <w:spacing w:line="240" w:lineRule="auto"/>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1</w:t>
            </w:r>
            <w:r>
              <w:rPr>
                <w:rFonts w:hint="eastAsia" w:ascii="宋体" w:hAnsi="宋体" w:eastAsia="宋体" w:cs="宋体"/>
                <w:bCs/>
                <w:kern w:val="0"/>
                <w:sz w:val="21"/>
                <w:szCs w:val="21"/>
                <w:lang w:val="en-US" w:eastAsia="zh-CN"/>
              </w:rPr>
              <w:t>1</w:t>
            </w:r>
          </w:p>
        </w:tc>
        <w:tc>
          <w:tcPr>
            <w:tcW w:w="7815" w:type="dxa"/>
            <w:noWrap w:val="0"/>
            <w:vAlign w:val="center"/>
          </w:tcPr>
          <w:p w14:paraId="7F72E607">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响应</w:t>
            </w:r>
            <w:r>
              <w:rPr>
                <w:rFonts w:hint="eastAsia" w:ascii="宋体" w:hAnsi="宋体" w:eastAsia="宋体" w:cs="宋体"/>
                <w:sz w:val="21"/>
                <w:szCs w:val="21"/>
              </w:rPr>
              <w:t>产品列入政府采购节能产品、环境标志产品品目清单范围的，节能产品</w:t>
            </w:r>
            <w:r>
              <w:rPr>
                <w:rFonts w:hint="eastAsia" w:ascii="宋体" w:hAnsi="宋体" w:eastAsia="宋体" w:cs="宋体"/>
                <w:sz w:val="21"/>
                <w:szCs w:val="21"/>
                <w:lang w:val="en-US" w:eastAsia="zh-CN"/>
              </w:rPr>
              <w:t>1</w:t>
            </w:r>
            <w:r>
              <w:rPr>
                <w:rFonts w:hint="eastAsia" w:ascii="宋体" w:hAnsi="宋体" w:eastAsia="宋体" w:cs="宋体"/>
                <w:sz w:val="21"/>
                <w:szCs w:val="21"/>
              </w:rPr>
              <w:t>分，环境标志产品</w:t>
            </w:r>
            <w:r>
              <w:rPr>
                <w:rFonts w:hint="eastAsia" w:ascii="宋体" w:hAnsi="宋体" w:eastAsia="宋体" w:cs="宋体"/>
                <w:sz w:val="21"/>
                <w:szCs w:val="21"/>
                <w:lang w:val="en-US" w:eastAsia="zh-CN"/>
              </w:rPr>
              <w:t>1</w:t>
            </w:r>
            <w:r>
              <w:rPr>
                <w:rFonts w:hint="eastAsia" w:ascii="宋体" w:hAnsi="宋体" w:eastAsia="宋体" w:cs="宋体"/>
                <w:sz w:val="21"/>
                <w:szCs w:val="21"/>
              </w:rPr>
              <w:t>分。（根据最新政府采购节能产品、环境标志产品品目清单，信息查看中国政府采购网http：//www.ccgp.gov.cn进行评分，供应商应在</w:t>
            </w:r>
            <w:r>
              <w:rPr>
                <w:rFonts w:hint="eastAsia" w:ascii="宋体" w:hAnsi="宋体" w:eastAsia="宋体" w:cs="宋体"/>
                <w:sz w:val="21"/>
                <w:szCs w:val="21"/>
                <w:lang w:eastAsia="zh-CN"/>
              </w:rPr>
              <w:t>响应文件</w:t>
            </w:r>
            <w:r>
              <w:rPr>
                <w:rFonts w:hint="eastAsia" w:ascii="宋体" w:hAnsi="宋体" w:eastAsia="宋体" w:cs="宋体"/>
                <w:sz w:val="21"/>
                <w:szCs w:val="21"/>
              </w:rPr>
              <w:t>中提供相关依据国家确定的认证机构出具的、处于有效期之内的节能产品、环境标志产品认证证书证明材料，否则不得分）</w:t>
            </w:r>
          </w:p>
        </w:tc>
        <w:tc>
          <w:tcPr>
            <w:tcW w:w="908" w:type="dxa"/>
            <w:noWrap w:val="0"/>
            <w:vAlign w:val="center"/>
          </w:tcPr>
          <w:p w14:paraId="4A57C4BF">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bl>
    <w:p w14:paraId="796E7C9B">
      <w:pPr>
        <w:pStyle w:val="28"/>
        <w:adjustRightInd w:val="0"/>
        <w:snapToGrid w:val="0"/>
        <w:spacing w:line="360" w:lineRule="auto"/>
        <w:ind w:firstLine="420" w:firstLineChars="200"/>
        <w:jc w:val="left"/>
        <w:rPr>
          <w:rFonts w:hint="eastAsia" w:ascii="宋体" w:hAnsi="宋体" w:eastAsia="宋体" w:cs="宋体"/>
          <w:iCs/>
          <w:sz w:val="21"/>
          <w:szCs w:val="21"/>
        </w:rPr>
      </w:pPr>
    </w:p>
    <w:p w14:paraId="7432ADDD">
      <w:pPr>
        <w:pStyle w:val="28"/>
        <w:adjustRightInd w:val="0"/>
        <w:snapToGrid w:val="0"/>
        <w:spacing w:line="360" w:lineRule="auto"/>
        <w:ind w:firstLine="420" w:firstLineChars="200"/>
        <w:jc w:val="left"/>
        <w:rPr>
          <w:rFonts w:hint="eastAsia" w:ascii="宋体" w:hAnsi="宋体" w:eastAsia="宋体" w:cs="宋体"/>
          <w:b/>
          <w:bCs/>
          <w:sz w:val="21"/>
          <w:szCs w:val="21"/>
        </w:rPr>
      </w:pPr>
      <w:r>
        <w:rPr>
          <w:rFonts w:hint="eastAsia" w:ascii="宋体" w:hAnsi="宋体" w:eastAsia="宋体" w:cs="宋体"/>
          <w:iCs/>
          <w:sz w:val="21"/>
          <w:szCs w:val="21"/>
        </w:rPr>
        <w:t>备注：磋商小组在项目评审直至合同签订、履约期间，有权要求供应商出具</w:t>
      </w:r>
      <w:r>
        <w:rPr>
          <w:rFonts w:hint="eastAsia" w:ascii="宋体" w:hAnsi="宋体" w:eastAsia="宋体" w:cs="宋体"/>
          <w:iCs/>
          <w:sz w:val="21"/>
          <w:szCs w:val="21"/>
          <w:lang w:eastAsia="zh-CN"/>
        </w:rPr>
        <w:t>响应文件</w:t>
      </w:r>
      <w:r>
        <w:rPr>
          <w:rFonts w:hint="eastAsia" w:ascii="宋体" w:hAnsi="宋体" w:eastAsia="宋体" w:cs="宋体"/>
          <w:iCs/>
          <w:sz w:val="21"/>
          <w:szCs w:val="21"/>
        </w:rPr>
        <w:t>中的主要业绩证明合同等其他原件，予以确认其的真实性和有效性，</w:t>
      </w:r>
      <w:r>
        <w:rPr>
          <w:rFonts w:hint="eastAsia" w:ascii="宋体" w:hAnsi="宋体" w:eastAsia="宋体" w:cs="宋体"/>
          <w:b/>
          <w:iCs/>
          <w:sz w:val="21"/>
          <w:szCs w:val="21"/>
        </w:rPr>
        <w:t>如出现与事实不符等情况，将根据有关规定以“提供虚假材料谋取中标”上报主管部门予以处理</w:t>
      </w:r>
      <w:r>
        <w:rPr>
          <w:rFonts w:hint="eastAsia" w:ascii="宋体" w:hAnsi="宋体" w:eastAsia="宋体" w:cs="宋体"/>
          <w:iCs/>
          <w:sz w:val="21"/>
          <w:szCs w:val="21"/>
        </w:rPr>
        <w:t>。</w:t>
      </w:r>
    </w:p>
    <w:p w14:paraId="08C3D755">
      <w:pPr>
        <w:pStyle w:val="36"/>
        <w:adjustRightInd w:val="0"/>
        <w:snapToGrid w:val="0"/>
        <w:spacing w:line="360" w:lineRule="auto"/>
        <w:ind w:firstLine="0"/>
        <w:rPr>
          <w:rFonts w:hint="eastAsia" w:ascii="宋体" w:hAnsi="宋体" w:eastAsia="宋体" w:cs="宋体"/>
          <w:b/>
          <w:sz w:val="21"/>
          <w:szCs w:val="21"/>
        </w:rPr>
      </w:pPr>
      <w:bookmarkStart w:id="156" w:name="_Toc345320401"/>
      <w:r>
        <w:rPr>
          <w:rFonts w:hint="eastAsia" w:ascii="宋体" w:hAnsi="宋体" w:eastAsia="宋体" w:cs="宋体"/>
          <w:b/>
          <w:sz w:val="21"/>
          <w:szCs w:val="21"/>
        </w:rPr>
        <w:t>2、报价分总分</w:t>
      </w:r>
      <w:r>
        <w:rPr>
          <w:rFonts w:hint="eastAsia" w:ascii="宋体" w:hAnsi="宋体" w:eastAsia="宋体" w:cs="宋体"/>
          <w:b/>
          <w:sz w:val="21"/>
          <w:szCs w:val="21"/>
          <w:u w:val="single"/>
          <w:lang w:val="en-US" w:eastAsia="zh-CN"/>
        </w:rPr>
        <w:t>4</w:t>
      </w:r>
      <w:r>
        <w:rPr>
          <w:rFonts w:hint="eastAsia" w:ascii="宋体" w:hAnsi="宋体" w:eastAsia="宋体" w:cs="宋体"/>
          <w:b/>
          <w:sz w:val="21"/>
          <w:szCs w:val="21"/>
          <w:u w:val="single"/>
        </w:rPr>
        <w:t>0</w:t>
      </w:r>
      <w:r>
        <w:rPr>
          <w:rFonts w:hint="eastAsia" w:ascii="宋体" w:hAnsi="宋体" w:eastAsia="宋体" w:cs="宋体"/>
          <w:b/>
          <w:sz w:val="21"/>
          <w:szCs w:val="21"/>
        </w:rPr>
        <w:t>分</w:t>
      </w:r>
      <w:bookmarkEnd w:id="156"/>
    </w:p>
    <w:p w14:paraId="0A5A27DB">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报价评分将在有效供应商范围内进行，最高得</w:t>
      </w:r>
      <w:r>
        <w:rPr>
          <w:rFonts w:hint="eastAsia" w:ascii="宋体" w:hAnsi="宋体" w:eastAsia="宋体" w:cs="宋体"/>
          <w:kern w:val="0"/>
          <w:szCs w:val="21"/>
          <w:u w:val="single"/>
          <w:lang w:val="en-US" w:eastAsia="zh-CN"/>
        </w:rPr>
        <w:t>4</w:t>
      </w:r>
      <w:r>
        <w:rPr>
          <w:rFonts w:hint="eastAsia" w:ascii="宋体" w:hAnsi="宋体" w:eastAsia="宋体" w:cs="宋体"/>
          <w:kern w:val="0"/>
          <w:szCs w:val="21"/>
          <w:u w:val="single"/>
        </w:rPr>
        <w:t>0</w:t>
      </w:r>
      <w:r>
        <w:rPr>
          <w:rFonts w:hint="eastAsia" w:ascii="宋体" w:hAnsi="宋体" w:eastAsia="宋体" w:cs="宋体"/>
          <w:kern w:val="0"/>
          <w:szCs w:val="21"/>
        </w:rPr>
        <w:t>分，最低得</w:t>
      </w:r>
      <w:r>
        <w:rPr>
          <w:rFonts w:hint="eastAsia" w:ascii="宋体" w:hAnsi="宋体" w:eastAsia="宋体" w:cs="宋体"/>
          <w:kern w:val="0"/>
          <w:szCs w:val="21"/>
          <w:u w:val="single"/>
        </w:rPr>
        <w:t>0</w:t>
      </w:r>
      <w:r>
        <w:rPr>
          <w:rFonts w:hint="eastAsia" w:ascii="宋体" w:hAnsi="宋体" w:eastAsia="宋体" w:cs="宋体"/>
          <w:kern w:val="0"/>
          <w:szCs w:val="21"/>
        </w:rPr>
        <w:t>分。满足竞争性磋商文件要求且最后报价最低的</w:t>
      </w:r>
      <w:r>
        <w:rPr>
          <w:rFonts w:hint="eastAsia" w:ascii="宋体" w:hAnsi="宋体" w:eastAsia="宋体" w:cs="宋体"/>
          <w:b/>
          <w:kern w:val="0"/>
          <w:szCs w:val="21"/>
          <w:u w:val="thick"/>
        </w:rPr>
        <w:t>磋商报价</w:t>
      </w:r>
      <w:r>
        <w:rPr>
          <w:rFonts w:hint="eastAsia" w:ascii="宋体" w:hAnsi="宋体" w:eastAsia="宋体" w:cs="宋体"/>
          <w:kern w:val="0"/>
          <w:szCs w:val="21"/>
        </w:rPr>
        <w:t>为</w:t>
      </w:r>
      <w:r>
        <w:rPr>
          <w:rFonts w:hint="eastAsia" w:ascii="宋体" w:hAnsi="宋体" w:eastAsia="宋体" w:cs="宋体"/>
          <w:b/>
          <w:kern w:val="0"/>
          <w:szCs w:val="21"/>
          <w:u w:val="thick"/>
        </w:rPr>
        <w:t>磋商基准价</w:t>
      </w:r>
      <w:r>
        <w:rPr>
          <w:rFonts w:hint="eastAsia" w:ascii="宋体" w:hAnsi="宋体" w:eastAsia="宋体" w:cs="宋体"/>
          <w:kern w:val="0"/>
          <w:szCs w:val="21"/>
        </w:rPr>
        <w:t>，供应商的价格分统一按照下列公式计算：</w:t>
      </w:r>
    </w:p>
    <w:p w14:paraId="3B0D038A">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磋商报价得分=（磋商基准价/最后磋商报价）×价格权值×100</w:t>
      </w:r>
    </w:p>
    <w:p w14:paraId="483D4835">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此项由磋商小组集体核实后统一打分。</w:t>
      </w:r>
    </w:p>
    <w:p w14:paraId="360702F1">
      <w:pPr>
        <w:shd w:val="clear" w:color="auto" w:fill="FFFFFF"/>
        <w:adjustRightInd w:val="0"/>
        <w:snapToGrid w:val="0"/>
        <w:spacing w:line="360" w:lineRule="auto"/>
        <w:ind w:firstLine="422" w:firstLineChars="200"/>
        <w:rPr>
          <w:rFonts w:hint="eastAsia" w:ascii="宋体" w:hAnsi="宋体" w:eastAsia="宋体" w:cs="宋体"/>
          <w:b/>
          <w:bCs/>
          <w:lang w:val="zh-CN"/>
        </w:rPr>
      </w:pPr>
      <w:r>
        <w:rPr>
          <w:rFonts w:hint="eastAsia" w:ascii="宋体" w:hAnsi="宋体" w:eastAsia="宋体" w:cs="宋体"/>
          <w:b/>
          <w:bCs/>
          <w:lang w:val="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eastAsia="宋体" w:cs="宋体"/>
          <w:b/>
          <w:bCs/>
          <w:kern w:val="0"/>
          <w:szCs w:val="21"/>
        </w:rPr>
        <w:t>供应商不能证明其报价合理性的，磋商小组应将该响应文件作无效处理。</w:t>
      </w:r>
    </w:p>
    <w:p w14:paraId="10AE3D78">
      <w:pPr>
        <w:spacing w:line="360" w:lineRule="auto"/>
        <w:ind w:firstLine="422" w:firstLineChars="200"/>
        <w:rPr>
          <w:rFonts w:hint="eastAsia" w:ascii="宋体" w:hAnsi="宋体" w:eastAsia="宋体" w:cs="宋体"/>
          <w:b/>
          <w:bCs/>
          <w:szCs w:val="21"/>
        </w:rPr>
      </w:pPr>
      <w:r>
        <w:rPr>
          <w:rFonts w:hint="eastAsia" w:ascii="宋体" w:hAnsi="宋体" w:eastAsia="宋体" w:cs="宋体"/>
          <w:b/>
          <w:szCs w:val="21"/>
        </w:rPr>
        <w:t>注：本</w:t>
      </w:r>
      <w:r>
        <w:rPr>
          <w:rFonts w:hint="eastAsia" w:ascii="宋体" w:hAnsi="宋体" w:eastAsia="宋体" w:cs="宋体"/>
          <w:b/>
          <w:szCs w:val="21"/>
          <w:lang w:val="en-US" w:eastAsia="zh-CN"/>
        </w:rPr>
        <w:t>项目</w:t>
      </w:r>
      <w:r>
        <w:rPr>
          <w:rFonts w:hint="eastAsia" w:ascii="宋体" w:hAnsi="宋体" w:eastAsia="宋体" w:cs="宋体"/>
          <w:b/>
          <w:szCs w:val="21"/>
        </w:rPr>
        <w:t>专门面向中小企业采购，不进行价格扣除。</w:t>
      </w:r>
      <w:r>
        <w:rPr>
          <w:rFonts w:hint="eastAsia" w:ascii="宋体" w:hAnsi="宋体" w:eastAsia="宋体" w:cs="宋体"/>
          <w:b/>
          <w:spacing w:val="-4"/>
          <w:szCs w:val="21"/>
        </w:rPr>
        <w:t>最低报价不一定为最终</w:t>
      </w:r>
      <w:r>
        <w:rPr>
          <w:rFonts w:hint="eastAsia" w:ascii="宋体" w:hAnsi="宋体" w:eastAsia="宋体" w:cs="宋体"/>
          <w:b/>
          <w:spacing w:val="-4"/>
          <w:szCs w:val="21"/>
          <w:lang w:val="en-US" w:eastAsia="zh-CN"/>
        </w:rPr>
        <w:t>成交</w:t>
      </w:r>
      <w:r>
        <w:rPr>
          <w:rFonts w:hint="eastAsia" w:ascii="宋体" w:hAnsi="宋体" w:eastAsia="宋体" w:cs="宋体"/>
          <w:b/>
          <w:spacing w:val="-4"/>
          <w:szCs w:val="21"/>
        </w:rPr>
        <w:t>的保证。</w:t>
      </w:r>
    </w:p>
    <w:p w14:paraId="2F1DE35F">
      <w:pPr>
        <w:adjustRightInd w:val="0"/>
        <w:snapToGrid w:val="0"/>
        <w:spacing w:line="360" w:lineRule="auto"/>
        <w:ind w:firstLine="420" w:firstLineChars="200"/>
        <w:jc w:val="left"/>
        <w:rPr>
          <w:rFonts w:hint="eastAsia" w:ascii="宋体" w:hAnsi="宋体" w:eastAsia="宋体" w:cs="宋体"/>
          <w:szCs w:val="21"/>
        </w:rPr>
      </w:pPr>
    </w:p>
    <w:p w14:paraId="532885A9">
      <w:pPr>
        <w:adjustRightInd w:val="0"/>
        <w:snapToGrid w:val="0"/>
        <w:spacing w:line="360" w:lineRule="auto"/>
        <w:ind w:firstLine="420" w:firstLineChars="200"/>
        <w:jc w:val="left"/>
        <w:rPr>
          <w:rFonts w:hint="eastAsia" w:ascii="宋体" w:hAnsi="宋体" w:eastAsia="宋体" w:cs="宋体"/>
          <w:b/>
          <w:bCs/>
        </w:rPr>
      </w:pPr>
      <w:r>
        <w:rPr>
          <w:rFonts w:hint="eastAsia" w:ascii="宋体" w:hAnsi="宋体" w:eastAsia="宋体" w:cs="宋体"/>
          <w:kern w:val="0"/>
          <w:szCs w:val="21"/>
        </w:rPr>
        <w:t>此项由磋商小组集体核实后统一打分。</w:t>
      </w:r>
    </w:p>
    <w:p w14:paraId="2046CA50">
      <w:pPr>
        <w:adjustRightInd w:val="0"/>
        <w:snapToGrid w:val="0"/>
        <w:spacing w:line="360" w:lineRule="auto"/>
        <w:ind w:firstLine="422" w:firstLineChars="200"/>
        <w:rPr>
          <w:rFonts w:hint="eastAsia" w:ascii="宋体" w:hAnsi="宋体" w:eastAsia="宋体" w:cs="宋体"/>
          <w:b/>
          <w:bCs/>
        </w:rPr>
      </w:pPr>
      <w:r>
        <w:rPr>
          <w:rFonts w:hint="eastAsia" w:ascii="宋体" w:hAnsi="宋体" w:eastAsia="宋体" w:cs="宋体"/>
          <w:b/>
          <w:bCs/>
        </w:rPr>
        <w:t>五、成交办法</w:t>
      </w:r>
    </w:p>
    <w:p w14:paraId="786FFEBB">
      <w:pPr>
        <w:pStyle w:val="117"/>
        <w:adjustRightInd w:val="0"/>
        <w:snapToGrid w:val="0"/>
        <w:ind w:firstLine="420"/>
        <w:rPr>
          <w:rFonts w:hint="eastAsia" w:ascii="宋体" w:hAnsi="宋体" w:eastAsia="宋体" w:cs="宋体"/>
          <w:kern w:val="0"/>
          <w:sz w:val="21"/>
          <w:szCs w:val="21"/>
        </w:rPr>
      </w:pPr>
      <w:r>
        <w:rPr>
          <w:rFonts w:hint="eastAsia" w:ascii="宋体" w:hAnsi="宋体" w:eastAsia="宋体" w:cs="宋体"/>
          <w:kern w:val="0"/>
          <w:sz w:val="21"/>
          <w:szCs w:val="21"/>
        </w:rPr>
        <w:t>采购人将根据磋商小组提交的评审报告及推荐的成交候选人，按有关规定确定成交人。</w:t>
      </w:r>
    </w:p>
    <w:p w14:paraId="48404B5B">
      <w:pPr>
        <w:pStyle w:val="117"/>
        <w:adjustRightInd w:val="0"/>
        <w:snapToGrid w:val="0"/>
        <w:ind w:firstLine="420"/>
        <w:rPr>
          <w:rFonts w:hint="eastAsia" w:ascii="宋体" w:hAnsi="宋体" w:eastAsia="宋体" w:cs="宋体"/>
          <w:kern w:val="0"/>
          <w:sz w:val="21"/>
          <w:szCs w:val="21"/>
        </w:rPr>
      </w:pPr>
    </w:p>
    <w:p w14:paraId="27713422">
      <w:pPr>
        <w:rPr>
          <w:rFonts w:hint="eastAsia" w:ascii="宋体" w:hAnsi="宋体" w:eastAsia="宋体" w:cs="宋体"/>
        </w:rPr>
      </w:pPr>
    </w:p>
    <w:sectPr>
      <w:headerReference r:id="rId8" w:type="default"/>
      <w:footerReference r:id="rId9" w:type="default"/>
      <w:pgSz w:w="11906" w:h="16838"/>
      <w:pgMar w:top="2098" w:right="1474" w:bottom="170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20B0604020202020204"/>
    <w:charset w:val="00"/>
    <w:family w:val="roman"/>
    <w:pitch w:val="default"/>
    <w:sig w:usb0="00000000" w:usb1="00000000" w:usb2="00000000"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_GB2312">
    <w:altName w:val="微软雅黑"/>
    <w:panose1 w:val="020B0604020202020204"/>
    <w:charset w:val="00"/>
    <w:family w:val="roman"/>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B0604020202020204"/>
    <w:charset w:val="86"/>
    <w:family w:val="modern"/>
    <w:pitch w:val="default"/>
    <w:sig w:usb0="00000000" w:usb1="00000000" w:usb2="00000010" w:usb3="00000000" w:csb0="00040000" w:csb1="00000000"/>
  </w:font>
  <w:font w:name="ヒラギノ角ゴ Pro W3">
    <w:altName w:val="MS UI Gothic"/>
    <w:panose1 w:val="020B0604020202020204"/>
    <w:charset w:val="80"/>
    <w:family w:val="swiss"/>
    <w:pitch w:val="default"/>
    <w:sig w:usb0="00000000" w:usb1="00000000" w:usb2="00000012" w:usb3="00000000" w:csb0="0002000D" w:csb1="00000000"/>
  </w:font>
  <w:font w:name="Arial Unicode MS">
    <w:altName w:val="Arial"/>
    <w:panose1 w:val="020B0604020202020204"/>
    <w:charset w:val="80"/>
    <w:family w:val="swiss"/>
    <w:pitch w:val="default"/>
    <w:sig w:usb0="00000000" w:usb1="00000000" w:usb2="0000003F" w:usb3="00000000" w:csb0="003F01FF" w:csb1="00000000"/>
  </w:font>
  <w:font w:name="Baskerville">
    <w:altName w:val="PMingLiU-ExtB"/>
    <w:panose1 w:val="02020502070401020303"/>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3C53B">
    <w:pPr>
      <w:spacing w:line="360" w:lineRule="auto"/>
      <w:ind w:firstLine="480" w:firstLineChars="200"/>
      <w:rPr>
        <w:rFonts w:ascii="宋体" w:hAnsi="宋体"/>
        <w:sz w:val="24"/>
      </w:rPr>
    </w:pPr>
  </w:p>
  <w:p w14:paraId="4D905907">
    <w:pP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C88A1">
    <w:pPr>
      <w:spacing w:line="360" w:lineRule="auto"/>
      <w:ind w:firstLine="480" w:firstLineChars="200"/>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C57A3">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3C57A3">
                    <w:pPr>
                      <w:pStyle w:val="30"/>
                    </w:pPr>
                    <w:r>
                      <w:fldChar w:fldCharType="begin"/>
                    </w:r>
                    <w:r>
                      <w:instrText xml:space="preserve"> PAGE  \* MERGEFORMAT </w:instrText>
                    </w:r>
                    <w:r>
                      <w:fldChar w:fldCharType="separate"/>
                    </w:r>
                    <w:r>
                      <w:t>3</w:t>
                    </w:r>
                    <w:r>
                      <w:fldChar w:fldCharType="end"/>
                    </w:r>
                  </w:p>
                </w:txbxContent>
              </v:textbox>
            </v:shape>
          </w:pict>
        </mc:Fallback>
      </mc:AlternateContent>
    </w:r>
  </w:p>
  <w:p w14:paraId="6BBBA860">
    <w:pPr>
      <w:rPr>
        <w:rFonts w:ascii="宋体" w:hAnsi="宋体"/>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209E3">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5C525">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5D5C525">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2C7A">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95712">
                          <w:pPr>
                            <w:pStyle w:val="3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F95712">
                    <w:pPr>
                      <w:pStyle w:val="3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63E84">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22CF3">
                          <w:pPr>
                            <w:pStyle w:val="3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F22CF3">
                    <w:pPr>
                      <w:pStyle w:val="3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709B">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D3B1D">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0CB8F"/>
    <w:multiLevelType w:val="singleLevel"/>
    <w:tmpl w:val="9B30CB8F"/>
    <w:lvl w:ilvl="0" w:tentative="0">
      <w:start w:val="1"/>
      <w:numFmt w:val="decimal"/>
      <w:suff w:val="nothing"/>
      <w:lvlText w:val="%1、"/>
      <w:lvlJc w:val="left"/>
    </w:lvl>
  </w:abstractNum>
  <w:abstractNum w:abstractNumId="1">
    <w:nsid w:val="A44BBCA3"/>
    <w:multiLevelType w:val="singleLevel"/>
    <w:tmpl w:val="A44BBCA3"/>
    <w:lvl w:ilvl="0" w:tentative="0">
      <w:start w:val="7"/>
      <w:numFmt w:val="chineseCounting"/>
      <w:suff w:val="nothing"/>
      <w:lvlText w:val="%1、"/>
      <w:lvlJc w:val="left"/>
      <w:rPr>
        <w:rFonts w:hint="eastAsia"/>
      </w:rPr>
    </w:lvl>
  </w:abstractNum>
  <w:abstractNum w:abstractNumId="2">
    <w:nsid w:val="D616CCCB"/>
    <w:multiLevelType w:val="singleLevel"/>
    <w:tmpl w:val="D616CCCB"/>
    <w:lvl w:ilvl="0" w:tentative="0">
      <w:start w:val="2"/>
      <w:numFmt w:val="decimal"/>
      <w:lvlText w:val="%1."/>
      <w:lvlJc w:val="left"/>
      <w:pPr>
        <w:tabs>
          <w:tab w:val="left" w:pos="312"/>
        </w:tabs>
        <w:ind w:left="480" w:firstLine="0"/>
      </w:pPr>
    </w:lvl>
  </w:abstractNum>
  <w:abstractNum w:abstractNumId="3">
    <w:nsid w:val="F3F541C0"/>
    <w:multiLevelType w:val="singleLevel"/>
    <w:tmpl w:val="F3F541C0"/>
    <w:lvl w:ilvl="0" w:tentative="0">
      <w:start w:val="1"/>
      <w:numFmt w:val="decimal"/>
      <w:suff w:val="nothing"/>
      <w:lvlText w:val="（%1）"/>
      <w:lvlJc w:val="left"/>
    </w:lvl>
  </w:abstractNum>
  <w:abstractNum w:abstractNumId="4">
    <w:nsid w:val="0000001B"/>
    <w:multiLevelType w:val="multilevel"/>
    <w:tmpl w:val="0000001B"/>
    <w:lvl w:ilvl="0" w:tentative="0">
      <w:start w:val="1"/>
      <w:numFmt w:val="chineseCountingThousand"/>
      <w:pStyle w:val="107"/>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7"/>
      <w:lvlText w:val="           "/>
      <w:lvlJc w:val="left"/>
      <w:pPr>
        <w:tabs>
          <w:tab w:val="left" w:pos="1440"/>
        </w:tabs>
        <w:ind w:left="1152" w:hanging="1152"/>
      </w:pPr>
    </w:lvl>
    <w:lvl w:ilvl="6" w:tentative="0">
      <w:start w:val="1"/>
      <w:numFmt w:val="decimal"/>
      <w:pStyle w:val="8"/>
      <w:lvlText w:val="%1.%2.%3.%4.%5.%6.%7"/>
      <w:lvlJc w:val="left"/>
      <w:pPr>
        <w:tabs>
          <w:tab w:val="left" w:pos="2520"/>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0000001C"/>
    <w:multiLevelType w:val="multilevel"/>
    <w:tmpl w:val="0000001C"/>
    <w:lvl w:ilvl="0" w:tentative="0">
      <w:start w:val="1"/>
      <w:numFmt w:val="chineseCountingThousand"/>
      <w:pStyle w:val="3"/>
      <w:lvlText w:val="%1、"/>
      <w:lvlJc w:val="left"/>
      <w:rPr>
        <w:rFonts w:hint="default" w:ascii="??" w:hAnsi="??" w:eastAsia="??"/>
        <w:b/>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6">
    <w:nsid w:val="1403CECF"/>
    <w:multiLevelType w:val="singleLevel"/>
    <w:tmpl w:val="1403CECF"/>
    <w:lvl w:ilvl="0" w:tentative="0">
      <w:start w:val="31"/>
      <w:numFmt w:val="decimal"/>
      <w:suff w:val="nothing"/>
      <w:lvlText w:val="%1、"/>
      <w:lvlJc w:val="left"/>
    </w:lvl>
  </w:abstractNum>
  <w:abstractNum w:abstractNumId="7">
    <w:nsid w:val="1CF4F742"/>
    <w:multiLevelType w:val="singleLevel"/>
    <w:tmpl w:val="1CF4F742"/>
    <w:lvl w:ilvl="0" w:tentative="0">
      <w:start w:val="1"/>
      <w:numFmt w:val="decimal"/>
      <w:suff w:val="nothing"/>
      <w:lvlText w:val="（%1）"/>
      <w:lvlJc w:val="left"/>
    </w:lvl>
  </w:abstractNum>
  <w:abstractNum w:abstractNumId="8">
    <w:nsid w:val="65634414"/>
    <w:multiLevelType w:val="singleLevel"/>
    <w:tmpl w:val="65634414"/>
    <w:lvl w:ilvl="0" w:tentative="0">
      <w:start w:val="4"/>
      <w:numFmt w:val="decimal"/>
      <w:suff w:val="nothing"/>
      <w:lvlText w:val="%1、"/>
      <w:lvlJc w:val="left"/>
    </w:lvl>
  </w:abstractNum>
  <w:num w:numId="1">
    <w:abstractNumId w:val="5"/>
  </w:num>
  <w:num w:numId="2">
    <w:abstractNumId w:val="4"/>
  </w:num>
  <w:num w:numId="3">
    <w:abstractNumId w:val="1"/>
  </w:num>
  <w:num w:numId="4">
    <w:abstractNumId w:val="3"/>
  </w:num>
  <w:num w:numId="5">
    <w:abstractNumId w:val="6"/>
  </w:num>
  <w:num w:numId="6">
    <w:abstractNumId w:val="8"/>
  </w:num>
  <w:num w:numId="7">
    <w:abstractNumId w:val="2"/>
  </w:num>
  <w:num w:numId="8">
    <w:abstractNumId w:val="7"/>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豪圣 [2]">
    <w15:presenceInfo w15:providerId="WPS Office" w15:userId="2833373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hOGJhMWNmMjNmMDkxNzVjNzhiNDIxNTk3YTA2MTcifQ=="/>
  </w:docVars>
  <w:rsids>
    <w:rsidRoot w:val="005748BF"/>
    <w:rsid w:val="00012BBB"/>
    <w:rsid w:val="00020124"/>
    <w:rsid w:val="00022C6C"/>
    <w:rsid w:val="00046A4B"/>
    <w:rsid w:val="0006405B"/>
    <w:rsid w:val="000D1A7D"/>
    <w:rsid w:val="000E6141"/>
    <w:rsid w:val="00150933"/>
    <w:rsid w:val="0015576A"/>
    <w:rsid w:val="001B6FEE"/>
    <w:rsid w:val="00222267"/>
    <w:rsid w:val="00233424"/>
    <w:rsid w:val="00244B87"/>
    <w:rsid w:val="00284D31"/>
    <w:rsid w:val="002B00E7"/>
    <w:rsid w:val="002B4D8A"/>
    <w:rsid w:val="002D269B"/>
    <w:rsid w:val="002E72EB"/>
    <w:rsid w:val="002F5440"/>
    <w:rsid w:val="003133AB"/>
    <w:rsid w:val="003264D9"/>
    <w:rsid w:val="00354E43"/>
    <w:rsid w:val="00361DCF"/>
    <w:rsid w:val="00366B1B"/>
    <w:rsid w:val="003B413C"/>
    <w:rsid w:val="003E3C63"/>
    <w:rsid w:val="003F2D61"/>
    <w:rsid w:val="003F62DC"/>
    <w:rsid w:val="003F688F"/>
    <w:rsid w:val="00423C6D"/>
    <w:rsid w:val="00440175"/>
    <w:rsid w:val="004864AF"/>
    <w:rsid w:val="00486B84"/>
    <w:rsid w:val="004A4C32"/>
    <w:rsid w:val="004D6899"/>
    <w:rsid w:val="0050638A"/>
    <w:rsid w:val="00510A75"/>
    <w:rsid w:val="00541D3E"/>
    <w:rsid w:val="005440D4"/>
    <w:rsid w:val="0054420B"/>
    <w:rsid w:val="005561E5"/>
    <w:rsid w:val="005748BF"/>
    <w:rsid w:val="00575F98"/>
    <w:rsid w:val="005A5982"/>
    <w:rsid w:val="005B194C"/>
    <w:rsid w:val="005B5833"/>
    <w:rsid w:val="005C2D33"/>
    <w:rsid w:val="005E2542"/>
    <w:rsid w:val="00601147"/>
    <w:rsid w:val="00606B04"/>
    <w:rsid w:val="006259ED"/>
    <w:rsid w:val="006329C8"/>
    <w:rsid w:val="00654597"/>
    <w:rsid w:val="00654795"/>
    <w:rsid w:val="00660FA3"/>
    <w:rsid w:val="006A5565"/>
    <w:rsid w:val="006B3458"/>
    <w:rsid w:val="006B5B61"/>
    <w:rsid w:val="006B7CF0"/>
    <w:rsid w:val="006D07C4"/>
    <w:rsid w:val="006F4587"/>
    <w:rsid w:val="007576BC"/>
    <w:rsid w:val="00757E3E"/>
    <w:rsid w:val="0076508D"/>
    <w:rsid w:val="007C0618"/>
    <w:rsid w:val="007F69FF"/>
    <w:rsid w:val="00825016"/>
    <w:rsid w:val="00833C78"/>
    <w:rsid w:val="00872634"/>
    <w:rsid w:val="008767F1"/>
    <w:rsid w:val="00895538"/>
    <w:rsid w:val="008C0690"/>
    <w:rsid w:val="008E661D"/>
    <w:rsid w:val="008F1B14"/>
    <w:rsid w:val="008F4878"/>
    <w:rsid w:val="00916AD0"/>
    <w:rsid w:val="009215CC"/>
    <w:rsid w:val="0093507B"/>
    <w:rsid w:val="00935B35"/>
    <w:rsid w:val="0095636A"/>
    <w:rsid w:val="009902DF"/>
    <w:rsid w:val="009C16A5"/>
    <w:rsid w:val="009E3202"/>
    <w:rsid w:val="009F5E7A"/>
    <w:rsid w:val="00A45E7B"/>
    <w:rsid w:val="00A74C67"/>
    <w:rsid w:val="00A97F9C"/>
    <w:rsid w:val="00AD6951"/>
    <w:rsid w:val="00AE0334"/>
    <w:rsid w:val="00AF0A16"/>
    <w:rsid w:val="00B05158"/>
    <w:rsid w:val="00B578D2"/>
    <w:rsid w:val="00B638D3"/>
    <w:rsid w:val="00B80A6E"/>
    <w:rsid w:val="00BD1516"/>
    <w:rsid w:val="00C32FCE"/>
    <w:rsid w:val="00C620CD"/>
    <w:rsid w:val="00CA3587"/>
    <w:rsid w:val="00CA6A1F"/>
    <w:rsid w:val="00CB43EE"/>
    <w:rsid w:val="00CC34C5"/>
    <w:rsid w:val="00CC46F5"/>
    <w:rsid w:val="00CD28DD"/>
    <w:rsid w:val="00D23242"/>
    <w:rsid w:val="00D862E1"/>
    <w:rsid w:val="00D90CF6"/>
    <w:rsid w:val="00DB0B97"/>
    <w:rsid w:val="00DC4F23"/>
    <w:rsid w:val="00DD4FCB"/>
    <w:rsid w:val="00E45D81"/>
    <w:rsid w:val="00E45FC1"/>
    <w:rsid w:val="00E64044"/>
    <w:rsid w:val="00E66CAA"/>
    <w:rsid w:val="00E71697"/>
    <w:rsid w:val="00E76577"/>
    <w:rsid w:val="00EA4AEE"/>
    <w:rsid w:val="00EA5BB3"/>
    <w:rsid w:val="00EB05DD"/>
    <w:rsid w:val="00EE294A"/>
    <w:rsid w:val="00F536C0"/>
    <w:rsid w:val="00F538C7"/>
    <w:rsid w:val="00FB69F4"/>
    <w:rsid w:val="00FC7345"/>
    <w:rsid w:val="010A2BB9"/>
    <w:rsid w:val="01101A04"/>
    <w:rsid w:val="01180B4C"/>
    <w:rsid w:val="01500AD3"/>
    <w:rsid w:val="015767B6"/>
    <w:rsid w:val="016043AA"/>
    <w:rsid w:val="01663063"/>
    <w:rsid w:val="016D607D"/>
    <w:rsid w:val="018E6540"/>
    <w:rsid w:val="01A630FF"/>
    <w:rsid w:val="01A75353"/>
    <w:rsid w:val="01A76777"/>
    <w:rsid w:val="01B76D3B"/>
    <w:rsid w:val="01C761D7"/>
    <w:rsid w:val="01EE5E5A"/>
    <w:rsid w:val="01F571E8"/>
    <w:rsid w:val="020312D1"/>
    <w:rsid w:val="020A7BC0"/>
    <w:rsid w:val="02273D84"/>
    <w:rsid w:val="02296E92"/>
    <w:rsid w:val="023D12EE"/>
    <w:rsid w:val="0241242E"/>
    <w:rsid w:val="024D40C5"/>
    <w:rsid w:val="02502671"/>
    <w:rsid w:val="02576DB8"/>
    <w:rsid w:val="025D4D8E"/>
    <w:rsid w:val="026779BA"/>
    <w:rsid w:val="02691FCE"/>
    <w:rsid w:val="02A26AC8"/>
    <w:rsid w:val="02A50D86"/>
    <w:rsid w:val="02A50FA2"/>
    <w:rsid w:val="02B32C00"/>
    <w:rsid w:val="02BB120F"/>
    <w:rsid w:val="02C0735B"/>
    <w:rsid w:val="02C1356F"/>
    <w:rsid w:val="02E84827"/>
    <w:rsid w:val="02FA25DD"/>
    <w:rsid w:val="02FA438B"/>
    <w:rsid w:val="03350867"/>
    <w:rsid w:val="03443858"/>
    <w:rsid w:val="03555A65"/>
    <w:rsid w:val="0361265C"/>
    <w:rsid w:val="037F1B0F"/>
    <w:rsid w:val="03D90444"/>
    <w:rsid w:val="03EA08A3"/>
    <w:rsid w:val="04055992"/>
    <w:rsid w:val="040A5051"/>
    <w:rsid w:val="04185410"/>
    <w:rsid w:val="04207E21"/>
    <w:rsid w:val="043F4216"/>
    <w:rsid w:val="044C50BA"/>
    <w:rsid w:val="04525E09"/>
    <w:rsid w:val="045D1075"/>
    <w:rsid w:val="046961E4"/>
    <w:rsid w:val="04770A3F"/>
    <w:rsid w:val="047F63D7"/>
    <w:rsid w:val="04895BE7"/>
    <w:rsid w:val="048C65D7"/>
    <w:rsid w:val="04A9369B"/>
    <w:rsid w:val="04A96068"/>
    <w:rsid w:val="04B14F1D"/>
    <w:rsid w:val="04C90413"/>
    <w:rsid w:val="04CE2A93"/>
    <w:rsid w:val="04CE5ACF"/>
    <w:rsid w:val="04E42365"/>
    <w:rsid w:val="04F00259"/>
    <w:rsid w:val="04F01EE9"/>
    <w:rsid w:val="04F05A45"/>
    <w:rsid w:val="05017C52"/>
    <w:rsid w:val="0503426E"/>
    <w:rsid w:val="053067D2"/>
    <w:rsid w:val="053334FA"/>
    <w:rsid w:val="054364BD"/>
    <w:rsid w:val="05526FCB"/>
    <w:rsid w:val="05616943"/>
    <w:rsid w:val="05762A79"/>
    <w:rsid w:val="05796409"/>
    <w:rsid w:val="057A1A46"/>
    <w:rsid w:val="05A82062"/>
    <w:rsid w:val="05B57C36"/>
    <w:rsid w:val="05C15035"/>
    <w:rsid w:val="05C649F8"/>
    <w:rsid w:val="05CC7330"/>
    <w:rsid w:val="05E6419F"/>
    <w:rsid w:val="0600144C"/>
    <w:rsid w:val="06154C53"/>
    <w:rsid w:val="06160A51"/>
    <w:rsid w:val="06274897"/>
    <w:rsid w:val="062F3BFE"/>
    <w:rsid w:val="0639696F"/>
    <w:rsid w:val="064424ED"/>
    <w:rsid w:val="064437B9"/>
    <w:rsid w:val="06453048"/>
    <w:rsid w:val="0651121D"/>
    <w:rsid w:val="069074E0"/>
    <w:rsid w:val="06C736FC"/>
    <w:rsid w:val="06D46432"/>
    <w:rsid w:val="06F757B1"/>
    <w:rsid w:val="07247C28"/>
    <w:rsid w:val="07250FF6"/>
    <w:rsid w:val="07261BF2"/>
    <w:rsid w:val="07467159"/>
    <w:rsid w:val="075D2086"/>
    <w:rsid w:val="075E75DE"/>
    <w:rsid w:val="0778608B"/>
    <w:rsid w:val="078B7CA7"/>
    <w:rsid w:val="0797664C"/>
    <w:rsid w:val="07B023BF"/>
    <w:rsid w:val="07B80590"/>
    <w:rsid w:val="07C44194"/>
    <w:rsid w:val="07C863EA"/>
    <w:rsid w:val="07CF5DE6"/>
    <w:rsid w:val="07E202C2"/>
    <w:rsid w:val="07EC19FF"/>
    <w:rsid w:val="07F25E15"/>
    <w:rsid w:val="07F341CA"/>
    <w:rsid w:val="07F67816"/>
    <w:rsid w:val="08183FC2"/>
    <w:rsid w:val="082A74C0"/>
    <w:rsid w:val="08510EF1"/>
    <w:rsid w:val="08690E91"/>
    <w:rsid w:val="08761633"/>
    <w:rsid w:val="08762705"/>
    <w:rsid w:val="08832E42"/>
    <w:rsid w:val="089276D0"/>
    <w:rsid w:val="08B331C8"/>
    <w:rsid w:val="08CB0CA3"/>
    <w:rsid w:val="08D14664"/>
    <w:rsid w:val="08D32682"/>
    <w:rsid w:val="08D6164C"/>
    <w:rsid w:val="08DD27BB"/>
    <w:rsid w:val="08EB30F3"/>
    <w:rsid w:val="08F135BA"/>
    <w:rsid w:val="090917CB"/>
    <w:rsid w:val="09092C1B"/>
    <w:rsid w:val="091B5D6F"/>
    <w:rsid w:val="092511AE"/>
    <w:rsid w:val="09840F6E"/>
    <w:rsid w:val="098D0605"/>
    <w:rsid w:val="09912242"/>
    <w:rsid w:val="09AC45C3"/>
    <w:rsid w:val="09BE6112"/>
    <w:rsid w:val="09C35E1E"/>
    <w:rsid w:val="09C65B8A"/>
    <w:rsid w:val="09EF451D"/>
    <w:rsid w:val="0A102B52"/>
    <w:rsid w:val="0A1F1A1D"/>
    <w:rsid w:val="0A2B2364"/>
    <w:rsid w:val="0A3665F0"/>
    <w:rsid w:val="0A3C34DB"/>
    <w:rsid w:val="0A5C592B"/>
    <w:rsid w:val="0A6C210B"/>
    <w:rsid w:val="0A725551"/>
    <w:rsid w:val="0A730D35"/>
    <w:rsid w:val="0A734E93"/>
    <w:rsid w:val="0A7F7F97"/>
    <w:rsid w:val="0A8530D4"/>
    <w:rsid w:val="0A876E4C"/>
    <w:rsid w:val="0A8A7FE2"/>
    <w:rsid w:val="0A8C7735"/>
    <w:rsid w:val="0A981059"/>
    <w:rsid w:val="0A9F078C"/>
    <w:rsid w:val="0A9F5BAF"/>
    <w:rsid w:val="0AD32091"/>
    <w:rsid w:val="0AD843BE"/>
    <w:rsid w:val="0ADD2129"/>
    <w:rsid w:val="0ADF0738"/>
    <w:rsid w:val="0AE24D81"/>
    <w:rsid w:val="0AF10769"/>
    <w:rsid w:val="0B03428F"/>
    <w:rsid w:val="0B0C7351"/>
    <w:rsid w:val="0B17075F"/>
    <w:rsid w:val="0B1C1BCC"/>
    <w:rsid w:val="0B422D73"/>
    <w:rsid w:val="0B674C4E"/>
    <w:rsid w:val="0B691DF9"/>
    <w:rsid w:val="0B8860B1"/>
    <w:rsid w:val="0BA0671A"/>
    <w:rsid w:val="0BA15138"/>
    <w:rsid w:val="0BA53A2D"/>
    <w:rsid w:val="0BA61553"/>
    <w:rsid w:val="0BAA52EB"/>
    <w:rsid w:val="0BBB3830"/>
    <w:rsid w:val="0BBC0D77"/>
    <w:rsid w:val="0BC32105"/>
    <w:rsid w:val="0BCD088E"/>
    <w:rsid w:val="0BD9521E"/>
    <w:rsid w:val="0BF415A1"/>
    <w:rsid w:val="0C141223"/>
    <w:rsid w:val="0C262735"/>
    <w:rsid w:val="0C2C07B9"/>
    <w:rsid w:val="0C473269"/>
    <w:rsid w:val="0C580BFC"/>
    <w:rsid w:val="0C5F78B9"/>
    <w:rsid w:val="0C9954C5"/>
    <w:rsid w:val="0C9C3A34"/>
    <w:rsid w:val="0CA02447"/>
    <w:rsid w:val="0CA41137"/>
    <w:rsid w:val="0CF443E7"/>
    <w:rsid w:val="0D09498F"/>
    <w:rsid w:val="0D2604C4"/>
    <w:rsid w:val="0D3D1E4E"/>
    <w:rsid w:val="0D3F756A"/>
    <w:rsid w:val="0D473480"/>
    <w:rsid w:val="0D58163B"/>
    <w:rsid w:val="0D6D057B"/>
    <w:rsid w:val="0D9553DC"/>
    <w:rsid w:val="0DA87805"/>
    <w:rsid w:val="0DBA793D"/>
    <w:rsid w:val="0DC6117B"/>
    <w:rsid w:val="0DD73051"/>
    <w:rsid w:val="0DDE5BF2"/>
    <w:rsid w:val="0DFA0F36"/>
    <w:rsid w:val="0E2F75DE"/>
    <w:rsid w:val="0E32568F"/>
    <w:rsid w:val="0E343A78"/>
    <w:rsid w:val="0E4620B6"/>
    <w:rsid w:val="0E48745E"/>
    <w:rsid w:val="0E4F7898"/>
    <w:rsid w:val="0E60312D"/>
    <w:rsid w:val="0E702EB7"/>
    <w:rsid w:val="0E835B7C"/>
    <w:rsid w:val="0E99606F"/>
    <w:rsid w:val="0E9E29B6"/>
    <w:rsid w:val="0EB126E9"/>
    <w:rsid w:val="0EB2020F"/>
    <w:rsid w:val="0ED517E2"/>
    <w:rsid w:val="0F2E7896"/>
    <w:rsid w:val="0F381F8E"/>
    <w:rsid w:val="0F51275D"/>
    <w:rsid w:val="0F6A3F8F"/>
    <w:rsid w:val="0F7626A0"/>
    <w:rsid w:val="0F7C2CF7"/>
    <w:rsid w:val="0F7F2621"/>
    <w:rsid w:val="0F8947B9"/>
    <w:rsid w:val="0FCA14BD"/>
    <w:rsid w:val="0FCF0A9A"/>
    <w:rsid w:val="0FEF4073"/>
    <w:rsid w:val="0FFA3C1C"/>
    <w:rsid w:val="101317CB"/>
    <w:rsid w:val="10264A11"/>
    <w:rsid w:val="102D3453"/>
    <w:rsid w:val="10321608"/>
    <w:rsid w:val="106A6FF4"/>
    <w:rsid w:val="108416CC"/>
    <w:rsid w:val="10874A41"/>
    <w:rsid w:val="10991687"/>
    <w:rsid w:val="10AD283F"/>
    <w:rsid w:val="10C85AC8"/>
    <w:rsid w:val="10CD7582"/>
    <w:rsid w:val="10D67A36"/>
    <w:rsid w:val="10DB57FB"/>
    <w:rsid w:val="10FD39C4"/>
    <w:rsid w:val="11054DCE"/>
    <w:rsid w:val="11194576"/>
    <w:rsid w:val="112A5BDE"/>
    <w:rsid w:val="113C3E08"/>
    <w:rsid w:val="114333A1"/>
    <w:rsid w:val="114F74D0"/>
    <w:rsid w:val="115070BF"/>
    <w:rsid w:val="11716160"/>
    <w:rsid w:val="118045F5"/>
    <w:rsid w:val="118C0684"/>
    <w:rsid w:val="119B4182"/>
    <w:rsid w:val="11B36778"/>
    <w:rsid w:val="11C33256"/>
    <w:rsid w:val="11DA5AB3"/>
    <w:rsid w:val="11EE155E"/>
    <w:rsid w:val="11F9133B"/>
    <w:rsid w:val="11FF47D2"/>
    <w:rsid w:val="120D5E88"/>
    <w:rsid w:val="121076D7"/>
    <w:rsid w:val="12386C7D"/>
    <w:rsid w:val="125922C1"/>
    <w:rsid w:val="12751709"/>
    <w:rsid w:val="12845D5D"/>
    <w:rsid w:val="12A52565"/>
    <w:rsid w:val="12AA2438"/>
    <w:rsid w:val="12B414D1"/>
    <w:rsid w:val="12C32E82"/>
    <w:rsid w:val="12CD0255"/>
    <w:rsid w:val="12F65634"/>
    <w:rsid w:val="1308194F"/>
    <w:rsid w:val="13085D1E"/>
    <w:rsid w:val="13234683"/>
    <w:rsid w:val="132A783D"/>
    <w:rsid w:val="134A234F"/>
    <w:rsid w:val="134C08D9"/>
    <w:rsid w:val="134E4C37"/>
    <w:rsid w:val="13531024"/>
    <w:rsid w:val="13677109"/>
    <w:rsid w:val="137D5290"/>
    <w:rsid w:val="13BF1404"/>
    <w:rsid w:val="13D61E18"/>
    <w:rsid w:val="13E7095B"/>
    <w:rsid w:val="13EB7EFF"/>
    <w:rsid w:val="13EE7A9F"/>
    <w:rsid w:val="13EF1551"/>
    <w:rsid w:val="13FF27B2"/>
    <w:rsid w:val="141E299C"/>
    <w:rsid w:val="143C62ED"/>
    <w:rsid w:val="145A5E09"/>
    <w:rsid w:val="147815B3"/>
    <w:rsid w:val="147C5547"/>
    <w:rsid w:val="148F3B35"/>
    <w:rsid w:val="14B24AC5"/>
    <w:rsid w:val="14B71CB6"/>
    <w:rsid w:val="14EC447B"/>
    <w:rsid w:val="14F43309"/>
    <w:rsid w:val="15001CD4"/>
    <w:rsid w:val="15017E49"/>
    <w:rsid w:val="1503031E"/>
    <w:rsid w:val="1522438A"/>
    <w:rsid w:val="153C7179"/>
    <w:rsid w:val="15597637"/>
    <w:rsid w:val="155C2286"/>
    <w:rsid w:val="15860BA7"/>
    <w:rsid w:val="15A22D8C"/>
    <w:rsid w:val="15A63E7E"/>
    <w:rsid w:val="15B605E5"/>
    <w:rsid w:val="15B64A89"/>
    <w:rsid w:val="15CE074A"/>
    <w:rsid w:val="15D037D7"/>
    <w:rsid w:val="15DC378A"/>
    <w:rsid w:val="15EF1704"/>
    <w:rsid w:val="15F219B5"/>
    <w:rsid w:val="15F27379"/>
    <w:rsid w:val="16270CA8"/>
    <w:rsid w:val="162C3264"/>
    <w:rsid w:val="16476621"/>
    <w:rsid w:val="164976AB"/>
    <w:rsid w:val="164B1F48"/>
    <w:rsid w:val="165775FB"/>
    <w:rsid w:val="1674297A"/>
    <w:rsid w:val="1678785C"/>
    <w:rsid w:val="16925CD5"/>
    <w:rsid w:val="16A67B53"/>
    <w:rsid w:val="16AE1D18"/>
    <w:rsid w:val="16C62AAA"/>
    <w:rsid w:val="16CE195E"/>
    <w:rsid w:val="16D400FC"/>
    <w:rsid w:val="16D64457"/>
    <w:rsid w:val="16DD768A"/>
    <w:rsid w:val="16EC25CE"/>
    <w:rsid w:val="16FB731B"/>
    <w:rsid w:val="16FD1871"/>
    <w:rsid w:val="17147CB9"/>
    <w:rsid w:val="172E1DC3"/>
    <w:rsid w:val="173F58E9"/>
    <w:rsid w:val="173F7D21"/>
    <w:rsid w:val="1745111B"/>
    <w:rsid w:val="17793FC0"/>
    <w:rsid w:val="17836BED"/>
    <w:rsid w:val="178A26EC"/>
    <w:rsid w:val="17A74689"/>
    <w:rsid w:val="17C41231"/>
    <w:rsid w:val="17D219B7"/>
    <w:rsid w:val="17D81236"/>
    <w:rsid w:val="17E4496F"/>
    <w:rsid w:val="17EF03A0"/>
    <w:rsid w:val="17F92A0B"/>
    <w:rsid w:val="17FD693B"/>
    <w:rsid w:val="180B6D02"/>
    <w:rsid w:val="1818078B"/>
    <w:rsid w:val="181E2472"/>
    <w:rsid w:val="18300B23"/>
    <w:rsid w:val="1856640D"/>
    <w:rsid w:val="187B0236"/>
    <w:rsid w:val="188126E0"/>
    <w:rsid w:val="188E0A8C"/>
    <w:rsid w:val="18C8686E"/>
    <w:rsid w:val="18E86D07"/>
    <w:rsid w:val="18F26320"/>
    <w:rsid w:val="18F57676"/>
    <w:rsid w:val="18F733EE"/>
    <w:rsid w:val="18F942F8"/>
    <w:rsid w:val="19050909"/>
    <w:rsid w:val="19051C18"/>
    <w:rsid w:val="19151AC7"/>
    <w:rsid w:val="191E6C11"/>
    <w:rsid w:val="19242DD4"/>
    <w:rsid w:val="19276AFB"/>
    <w:rsid w:val="192B6C88"/>
    <w:rsid w:val="193F27FC"/>
    <w:rsid w:val="195F675F"/>
    <w:rsid w:val="19A32DB0"/>
    <w:rsid w:val="19AB6EF0"/>
    <w:rsid w:val="19B14BA3"/>
    <w:rsid w:val="19BC3D6B"/>
    <w:rsid w:val="19BC75B6"/>
    <w:rsid w:val="19D07754"/>
    <w:rsid w:val="19D65AEE"/>
    <w:rsid w:val="19EC10F1"/>
    <w:rsid w:val="19EF056A"/>
    <w:rsid w:val="1A0265FD"/>
    <w:rsid w:val="1A0E6C42"/>
    <w:rsid w:val="1A11228E"/>
    <w:rsid w:val="1A4C59BC"/>
    <w:rsid w:val="1A645B2A"/>
    <w:rsid w:val="1A68443E"/>
    <w:rsid w:val="1A71150A"/>
    <w:rsid w:val="1A7B36D2"/>
    <w:rsid w:val="1AA45CB8"/>
    <w:rsid w:val="1AB459E5"/>
    <w:rsid w:val="1AD33756"/>
    <w:rsid w:val="1ADA0785"/>
    <w:rsid w:val="1ADF792C"/>
    <w:rsid w:val="1AEB58DD"/>
    <w:rsid w:val="1AF8344E"/>
    <w:rsid w:val="1B6D1746"/>
    <w:rsid w:val="1B961913"/>
    <w:rsid w:val="1BB83309"/>
    <w:rsid w:val="1BEF2352"/>
    <w:rsid w:val="1BF365BE"/>
    <w:rsid w:val="1C144BAB"/>
    <w:rsid w:val="1C265658"/>
    <w:rsid w:val="1C370023"/>
    <w:rsid w:val="1C3D736A"/>
    <w:rsid w:val="1C450003"/>
    <w:rsid w:val="1C485D0F"/>
    <w:rsid w:val="1C4921B3"/>
    <w:rsid w:val="1C4D387F"/>
    <w:rsid w:val="1C4E6E52"/>
    <w:rsid w:val="1C51494E"/>
    <w:rsid w:val="1C542906"/>
    <w:rsid w:val="1C5B1EE6"/>
    <w:rsid w:val="1C5C2592"/>
    <w:rsid w:val="1C6000CF"/>
    <w:rsid w:val="1C673391"/>
    <w:rsid w:val="1C694603"/>
    <w:rsid w:val="1C7F11B2"/>
    <w:rsid w:val="1C876ED4"/>
    <w:rsid w:val="1C8E6A89"/>
    <w:rsid w:val="1C940F54"/>
    <w:rsid w:val="1C9E1D54"/>
    <w:rsid w:val="1CA95549"/>
    <w:rsid w:val="1CB25F08"/>
    <w:rsid w:val="1CBA07B6"/>
    <w:rsid w:val="1CBF08F4"/>
    <w:rsid w:val="1CC950A2"/>
    <w:rsid w:val="1CCF5E36"/>
    <w:rsid w:val="1CDA417F"/>
    <w:rsid w:val="1CE603D1"/>
    <w:rsid w:val="1CEB6DC6"/>
    <w:rsid w:val="1CF07423"/>
    <w:rsid w:val="1D092B8C"/>
    <w:rsid w:val="1D0E0D07"/>
    <w:rsid w:val="1D101B72"/>
    <w:rsid w:val="1D1C0D08"/>
    <w:rsid w:val="1D1D719C"/>
    <w:rsid w:val="1D2B18B9"/>
    <w:rsid w:val="1D40227A"/>
    <w:rsid w:val="1D435D1A"/>
    <w:rsid w:val="1D610AEE"/>
    <w:rsid w:val="1D615C90"/>
    <w:rsid w:val="1D8A779E"/>
    <w:rsid w:val="1D90796E"/>
    <w:rsid w:val="1DAE19E8"/>
    <w:rsid w:val="1DB221B3"/>
    <w:rsid w:val="1DC827C3"/>
    <w:rsid w:val="1DD329A1"/>
    <w:rsid w:val="1E2413AD"/>
    <w:rsid w:val="1E2C354F"/>
    <w:rsid w:val="1E4C7AFD"/>
    <w:rsid w:val="1E4F2059"/>
    <w:rsid w:val="1E562681"/>
    <w:rsid w:val="1E5906A7"/>
    <w:rsid w:val="1E601D25"/>
    <w:rsid w:val="1E6E48E5"/>
    <w:rsid w:val="1E7D731B"/>
    <w:rsid w:val="1E8A4EE6"/>
    <w:rsid w:val="1E8D09C3"/>
    <w:rsid w:val="1E9F255E"/>
    <w:rsid w:val="1EB77112"/>
    <w:rsid w:val="1ED01EF2"/>
    <w:rsid w:val="1ED55F80"/>
    <w:rsid w:val="1EDE05B1"/>
    <w:rsid w:val="1EE66342"/>
    <w:rsid w:val="1F134CFA"/>
    <w:rsid w:val="1F1D61E3"/>
    <w:rsid w:val="1F264A2D"/>
    <w:rsid w:val="1F3D3AD3"/>
    <w:rsid w:val="1F4E1485"/>
    <w:rsid w:val="1F5F550C"/>
    <w:rsid w:val="1F6321DF"/>
    <w:rsid w:val="1F647231"/>
    <w:rsid w:val="1F7304FA"/>
    <w:rsid w:val="1F841754"/>
    <w:rsid w:val="1FA70A8F"/>
    <w:rsid w:val="1FCF4BCD"/>
    <w:rsid w:val="1FDF3179"/>
    <w:rsid w:val="1FF663A0"/>
    <w:rsid w:val="20091C16"/>
    <w:rsid w:val="200C7B68"/>
    <w:rsid w:val="200E1E5C"/>
    <w:rsid w:val="201153A9"/>
    <w:rsid w:val="201F12B6"/>
    <w:rsid w:val="20226C76"/>
    <w:rsid w:val="20294BBA"/>
    <w:rsid w:val="20484530"/>
    <w:rsid w:val="204D0D87"/>
    <w:rsid w:val="205E6DC7"/>
    <w:rsid w:val="205F1B58"/>
    <w:rsid w:val="2085449F"/>
    <w:rsid w:val="2096173F"/>
    <w:rsid w:val="20985DC3"/>
    <w:rsid w:val="20A31F05"/>
    <w:rsid w:val="20B60FA4"/>
    <w:rsid w:val="20ED356F"/>
    <w:rsid w:val="20F87D04"/>
    <w:rsid w:val="211271B1"/>
    <w:rsid w:val="21136749"/>
    <w:rsid w:val="2118481B"/>
    <w:rsid w:val="21241503"/>
    <w:rsid w:val="21293C96"/>
    <w:rsid w:val="215F6361"/>
    <w:rsid w:val="216C7048"/>
    <w:rsid w:val="21A67760"/>
    <w:rsid w:val="21A751C1"/>
    <w:rsid w:val="21A8623A"/>
    <w:rsid w:val="21AC6F78"/>
    <w:rsid w:val="21D667A6"/>
    <w:rsid w:val="21DA19EE"/>
    <w:rsid w:val="21E66D90"/>
    <w:rsid w:val="21E93926"/>
    <w:rsid w:val="21EF1B81"/>
    <w:rsid w:val="222D0AB0"/>
    <w:rsid w:val="223D2006"/>
    <w:rsid w:val="223E5BEA"/>
    <w:rsid w:val="22476C22"/>
    <w:rsid w:val="22486448"/>
    <w:rsid w:val="225312DD"/>
    <w:rsid w:val="225902E4"/>
    <w:rsid w:val="22617859"/>
    <w:rsid w:val="22671A17"/>
    <w:rsid w:val="2273126B"/>
    <w:rsid w:val="22743D02"/>
    <w:rsid w:val="22765384"/>
    <w:rsid w:val="22B50022"/>
    <w:rsid w:val="22B60126"/>
    <w:rsid w:val="22EC5646"/>
    <w:rsid w:val="22F62969"/>
    <w:rsid w:val="230706D2"/>
    <w:rsid w:val="232A616E"/>
    <w:rsid w:val="23386ADD"/>
    <w:rsid w:val="23456185"/>
    <w:rsid w:val="23576439"/>
    <w:rsid w:val="236E69A3"/>
    <w:rsid w:val="238A390E"/>
    <w:rsid w:val="239B7A8C"/>
    <w:rsid w:val="23BA11EF"/>
    <w:rsid w:val="23C44815"/>
    <w:rsid w:val="23D700A4"/>
    <w:rsid w:val="23DC3CBF"/>
    <w:rsid w:val="23E31690"/>
    <w:rsid w:val="23E427C1"/>
    <w:rsid w:val="240500E3"/>
    <w:rsid w:val="24281E92"/>
    <w:rsid w:val="242A718E"/>
    <w:rsid w:val="2438203F"/>
    <w:rsid w:val="246C2EE2"/>
    <w:rsid w:val="246E4304"/>
    <w:rsid w:val="248B0E8F"/>
    <w:rsid w:val="24AD7511"/>
    <w:rsid w:val="24B57C55"/>
    <w:rsid w:val="24C04FDC"/>
    <w:rsid w:val="2500205F"/>
    <w:rsid w:val="25075945"/>
    <w:rsid w:val="25151458"/>
    <w:rsid w:val="25192DFD"/>
    <w:rsid w:val="2524092C"/>
    <w:rsid w:val="25284340"/>
    <w:rsid w:val="256F4424"/>
    <w:rsid w:val="256F50F9"/>
    <w:rsid w:val="257B6F17"/>
    <w:rsid w:val="25947B85"/>
    <w:rsid w:val="25BD4DA0"/>
    <w:rsid w:val="25C037BB"/>
    <w:rsid w:val="25CB3C39"/>
    <w:rsid w:val="25E55EE3"/>
    <w:rsid w:val="25F5515A"/>
    <w:rsid w:val="26061115"/>
    <w:rsid w:val="260D3DC4"/>
    <w:rsid w:val="26112EC9"/>
    <w:rsid w:val="2629095F"/>
    <w:rsid w:val="26335272"/>
    <w:rsid w:val="263C111B"/>
    <w:rsid w:val="264121A3"/>
    <w:rsid w:val="26423A72"/>
    <w:rsid w:val="264D0AF2"/>
    <w:rsid w:val="264E03C6"/>
    <w:rsid w:val="2663431E"/>
    <w:rsid w:val="267B062A"/>
    <w:rsid w:val="268A3AF4"/>
    <w:rsid w:val="268C414E"/>
    <w:rsid w:val="268D5392"/>
    <w:rsid w:val="26A5448A"/>
    <w:rsid w:val="26B634B2"/>
    <w:rsid w:val="26B818B5"/>
    <w:rsid w:val="26BE72FA"/>
    <w:rsid w:val="26E1123A"/>
    <w:rsid w:val="26F0198C"/>
    <w:rsid w:val="26F04BDB"/>
    <w:rsid w:val="26F91D27"/>
    <w:rsid w:val="26FF0E4A"/>
    <w:rsid w:val="27093D32"/>
    <w:rsid w:val="271E5FEA"/>
    <w:rsid w:val="271F3365"/>
    <w:rsid w:val="272173A9"/>
    <w:rsid w:val="272671B1"/>
    <w:rsid w:val="27395B93"/>
    <w:rsid w:val="27574016"/>
    <w:rsid w:val="275B723E"/>
    <w:rsid w:val="276854B7"/>
    <w:rsid w:val="277C666D"/>
    <w:rsid w:val="279A6001"/>
    <w:rsid w:val="27A02EA3"/>
    <w:rsid w:val="27C748D4"/>
    <w:rsid w:val="27D1445D"/>
    <w:rsid w:val="27E55D11"/>
    <w:rsid w:val="28043432"/>
    <w:rsid w:val="280B3CE8"/>
    <w:rsid w:val="28221033"/>
    <w:rsid w:val="283A6DC7"/>
    <w:rsid w:val="285D23CA"/>
    <w:rsid w:val="288E744F"/>
    <w:rsid w:val="28A10C81"/>
    <w:rsid w:val="28AB75D3"/>
    <w:rsid w:val="28BF4190"/>
    <w:rsid w:val="28CF7304"/>
    <w:rsid w:val="28E3573D"/>
    <w:rsid w:val="28E525A0"/>
    <w:rsid w:val="28EF5E90"/>
    <w:rsid w:val="2913489B"/>
    <w:rsid w:val="292D2AFB"/>
    <w:rsid w:val="293D494F"/>
    <w:rsid w:val="29406DDA"/>
    <w:rsid w:val="294D7418"/>
    <w:rsid w:val="29674FC6"/>
    <w:rsid w:val="29756EC9"/>
    <w:rsid w:val="29803792"/>
    <w:rsid w:val="29AE205A"/>
    <w:rsid w:val="29CB2916"/>
    <w:rsid w:val="29CF397F"/>
    <w:rsid w:val="29DB01C2"/>
    <w:rsid w:val="29DC2FD4"/>
    <w:rsid w:val="29E928DF"/>
    <w:rsid w:val="29ED1DC3"/>
    <w:rsid w:val="29F06026"/>
    <w:rsid w:val="29F90627"/>
    <w:rsid w:val="2A1A59C3"/>
    <w:rsid w:val="2A4917DD"/>
    <w:rsid w:val="2A4B359A"/>
    <w:rsid w:val="2A5561C7"/>
    <w:rsid w:val="2A5967CA"/>
    <w:rsid w:val="2A5D6DA2"/>
    <w:rsid w:val="2A81781C"/>
    <w:rsid w:val="2A907550"/>
    <w:rsid w:val="2A922F77"/>
    <w:rsid w:val="2A99773C"/>
    <w:rsid w:val="2A9E3010"/>
    <w:rsid w:val="2AB506B0"/>
    <w:rsid w:val="2AB670B6"/>
    <w:rsid w:val="2AC369DB"/>
    <w:rsid w:val="2AC617AA"/>
    <w:rsid w:val="2AC7148D"/>
    <w:rsid w:val="2AC82E3D"/>
    <w:rsid w:val="2AC94EE0"/>
    <w:rsid w:val="2AE227F2"/>
    <w:rsid w:val="2AE41CE8"/>
    <w:rsid w:val="2AEA2B8F"/>
    <w:rsid w:val="2AFF4D64"/>
    <w:rsid w:val="2B141BDE"/>
    <w:rsid w:val="2B48745C"/>
    <w:rsid w:val="2B5420FA"/>
    <w:rsid w:val="2B66399E"/>
    <w:rsid w:val="2B6F21C2"/>
    <w:rsid w:val="2B7951F1"/>
    <w:rsid w:val="2B816C39"/>
    <w:rsid w:val="2BD80E5D"/>
    <w:rsid w:val="2BD96984"/>
    <w:rsid w:val="2BE079D3"/>
    <w:rsid w:val="2BE23A8A"/>
    <w:rsid w:val="2BE61F32"/>
    <w:rsid w:val="2BE66DA5"/>
    <w:rsid w:val="2BF1120B"/>
    <w:rsid w:val="2BF95225"/>
    <w:rsid w:val="2C1F314E"/>
    <w:rsid w:val="2C314BD1"/>
    <w:rsid w:val="2C477E4B"/>
    <w:rsid w:val="2C7646DE"/>
    <w:rsid w:val="2C7E1C78"/>
    <w:rsid w:val="2C9049B7"/>
    <w:rsid w:val="2C920C7C"/>
    <w:rsid w:val="2C937E06"/>
    <w:rsid w:val="2C9B7916"/>
    <w:rsid w:val="2CB14776"/>
    <w:rsid w:val="2CC20C2B"/>
    <w:rsid w:val="2CD852DE"/>
    <w:rsid w:val="2CF33A75"/>
    <w:rsid w:val="2CF439B9"/>
    <w:rsid w:val="2CFC2F8B"/>
    <w:rsid w:val="2D097C75"/>
    <w:rsid w:val="2D1265F1"/>
    <w:rsid w:val="2D1F6A36"/>
    <w:rsid w:val="2D256324"/>
    <w:rsid w:val="2D2F4CC8"/>
    <w:rsid w:val="2D4C575D"/>
    <w:rsid w:val="2D5B353D"/>
    <w:rsid w:val="2D6230D5"/>
    <w:rsid w:val="2D7A243A"/>
    <w:rsid w:val="2D7F73FB"/>
    <w:rsid w:val="2D872255"/>
    <w:rsid w:val="2D91641F"/>
    <w:rsid w:val="2D9D15DB"/>
    <w:rsid w:val="2DB02087"/>
    <w:rsid w:val="2DC11A3A"/>
    <w:rsid w:val="2DE47F8D"/>
    <w:rsid w:val="2DE95B4B"/>
    <w:rsid w:val="2DEA0A42"/>
    <w:rsid w:val="2E0221C2"/>
    <w:rsid w:val="2E0510E4"/>
    <w:rsid w:val="2E0604B3"/>
    <w:rsid w:val="2E216586"/>
    <w:rsid w:val="2E3A7BAD"/>
    <w:rsid w:val="2E4124D4"/>
    <w:rsid w:val="2E435CA3"/>
    <w:rsid w:val="2E502E03"/>
    <w:rsid w:val="2E5A1FFE"/>
    <w:rsid w:val="2E6479F4"/>
    <w:rsid w:val="2E6B420B"/>
    <w:rsid w:val="2E7411FA"/>
    <w:rsid w:val="2E786928"/>
    <w:rsid w:val="2E78749B"/>
    <w:rsid w:val="2E935510"/>
    <w:rsid w:val="2E951288"/>
    <w:rsid w:val="2EA03776"/>
    <w:rsid w:val="2EB31AA3"/>
    <w:rsid w:val="2ED83F38"/>
    <w:rsid w:val="2EDD772A"/>
    <w:rsid w:val="2EEA582A"/>
    <w:rsid w:val="2EEF6BEA"/>
    <w:rsid w:val="2EF05B93"/>
    <w:rsid w:val="2F0D0E1E"/>
    <w:rsid w:val="2F0D75C4"/>
    <w:rsid w:val="2F25085E"/>
    <w:rsid w:val="2F293EA9"/>
    <w:rsid w:val="2F464330"/>
    <w:rsid w:val="2F542EF1"/>
    <w:rsid w:val="2F650750"/>
    <w:rsid w:val="2F6D5050"/>
    <w:rsid w:val="2F876AC7"/>
    <w:rsid w:val="2F8C03F2"/>
    <w:rsid w:val="2F9F2C9A"/>
    <w:rsid w:val="2FA35CA9"/>
    <w:rsid w:val="2FAD6E05"/>
    <w:rsid w:val="2FD67F20"/>
    <w:rsid w:val="2FDD7139"/>
    <w:rsid w:val="30013971"/>
    <w:rsid w:val="302842CB"/>
    <w:rsid w:val="3038011D"/>
    <w:rsid w:val="306905C5"/>
    <w:rsid w:val="30960A3F"/>
    <w:rsid w:val="309861F5"/>
    <w:rsid w:val="30A43A04"/>
    <w:rsid w:val="30B0452F"/>
    <w:rsid w:val="30B31E99"/>
    <w:rsid w:val="30B5176D"/>
    <w:rsid w:val="30B5501C"/>
    <w:rsid w:val="30C32637"/>
    <w:rsid w:val="30D85366"/>
    <w:rsid w:val="30F669D9"/>
    <w:rsid w:val="31037767"/>
    <w:rsid w:val="31164F8B"/>
    <w:rsid w:val="311F439C"/>
    <w:rsid w:val="31217537"/>
    <w:rsid w:val="312D1C4B"/>
    <w:rsid w:val="3135465C"/>
    <w:rsid w:val="314D325A"/>
    <w:rsid w:val="317A269D"/>
    <w:rsid w:val="31BB0A78"/>
    <w:rsid w:val="31CC0B61"/>
    <w:rsid w:val="321E3342"/>
    <w:rsid w:val="321E4C32"/>
    <w:rsid w:val="322E6C87"/>
    <w:rsid w:val="324D1E1C"/>
    <w:rsid w:val="326171DE"/>
    <w:rsid w:val="326B0AEB"/>
    <w:rsid w:val="326C67A3"/>
    <w:rsid w:val="326D299C"/>
    <w:rsid w:val="32785D8C"/>
    <w:rsid w:val="32815781"/>
    <w:rsid w:val="329109EC"/>
    <w:rsid w:val="32930D1B"/>
    <w:rsid w:val="329D0DBE"/>
    <w:rsid w:val="329D5668"/>
    <w:rsid w:val="32AB72CC"/>
    <w:rsid w:val="32C13CDD"/>
    <w:rsid w:val="32D22AAA"/>
    <w:rsid w:val="32D619B6"/>
    <w:rsid w:val="33066AB2"/>
    <w:rsid w:val="333A41AC"/>
    <w:rsid w:val="33483804"/>
    <w:rsid w:val="334868C9"/>
    <w:rsid w:val="33595B88"/>
    <w:rsid w:val="33596D28"/>
    <w:rsid w:val="335D1E86"/>
    <w:rsid w:val="335F1E64"/>
    <w:rsid w:val="3379595E"/>
    <w:rsid w:val="33977850"/>
    <w:rsid w:val="339A41B5"/>
    <w:rsid w:val="33A65CE5"/>
    <w:rsid w:val="33AB1A78"/>
    <w:rsid w:val="33C011FC"/>
    <w:rsid w:val="33D11CFF"/>
    <w:rsid w:val="33D31C19"/>
    <w:rsid w:val="33F46A50"/>
    <w:rsid w:val="33FC4475"/>
    <w:rsid w:val="33FF104C"/>
    <w:rsid w:val="340D2F51"/>
    <w:rsid w:val="34110FB9"/>
    <w:rsid w:val="34262A62"/>
    <w:rsid w:val="3437339D"/>
    <w:rsid w:val="343F07A5"/>
    <w:rsid w:val="34533777"/>
    <w:rsid w:val="34765925"/>
    <w:rsid w:val="348953EB"/>
    <w:rsid w:val="348D62D6"/>
    <w:rsid w:val="34D10233"/>
    <w:rsid w:val="34F77B28"/>
    <w:rsid w:val="34FF1F74"/>
    <w:rsid w:val="351F2018"/>
    <w:rsid w:val="35382109"/>
    <w:rsid w:val="354064DE"/>
    <w:rsid w:val="35472EA5"/>
    <w:rsid w:val="355534CA"/>
    <w:rsid w:val="357E676A"/>
    <w:rsid w:val="35A23434"/>
    <w:rsid w:val="35BC74DD"/>
    <w:rsid w:val="35BD03B7"/>
    <w:rsid w:val="35D73F34"/>
    <w:rsid w:val="35F77091"/>
    <w:rsid w:val="35FA0B79"/>
    <w:rsid w:val="35FE0154"/>
    <w:rsid w:val="36067DFC"/>
    <w:rsid w:val="361B62D9"/>
    <w:rsid w:val="3629186A"/>
    <w:rsid w:val="36316665"/>
    <w:rsid w:val="3634269F"/>
    <w:rsid w:val="363C4FBD"/>
    <w:rsid w:val="364E5564"/>
    <w:rsid w:val="36526471"/>
    <w:rsid w:val="36581699"/>
    <w:rsid w:val="36675AF1"/>
    <w:rsid w:val="36693C81"/>
    <w:rsid w:val="366B4366"/>
    <w:rsid w:val="366D693C"/>
    <w:rsid w:val="36703EE8"/>
    <w:rsid w:val="36827456"/>
    <w:rsid w:val="368B585E"/>
    <w:rsid w:val="36923BD9"/>
    <w:rsid w:val="36AB772B"/>
    <w:rsid w:val="36DD44D8"/>
    <w:rsid w:val="36F82A72"/>
    <w:rsid w:val="37393B3D"/>
    <w:rsid w:val="373A6E70"/>
    <w:rsid w:val="37402A84"/>
    <w:rsid w:val="374B0B3C"/>
    <w:rsid w:val="374B5AF8"/>
    <w:rsid w:val="37550180"/>
    <w:rsid w:val="375A4E1C"/>
    <w:rsid w:val="37647A49"/>
    <w:rsid w:val="378C1E8B"/>
    <w:rsid w:val="37BB65E8"/>
    <w:rsid w:val="37C60704"/>
    <w:rsid w:val="37C8447C"/>
    <w:rsid w:val="37E56DDC"/>
    <w:rsid w:val="37FC289B"/>
    <w:rsid w:val="382C421A"/>
    <w:rsid w:val="38390A5C"/>
    <w:rsid w:val="38417D8A"/>
    <w:rsid w:val="384358B1"/>
    <w:rsid w:val="387A549F"/>
    <w:rsid w:val="38892262"/>
    <w:rsid w:val="389041E5"/>
    <w:rsid w:val="38951BB1"/>
    <w:rsid w:val="38983E4E"/>
    <w:rsid w:val="38A8605B"/>
    <w:rsid w:val="38AD2B39"/>
    <w:rsid w:val="38B32D66"/>
    <w:rsid w:val="38BD53CD"/>
    <w:rsid w:val="38CA5FD2"/>
    <w:rsid w:val="38D44E8A"/>
    <w:rsid w:val="38D6163E"/>
    <w:rsid w:val="38DB39B2"/>
    <w:rsid w:val="38EA7DF3"/>
    <w:rsid w:val="38F617F8"/>
    <w:rsid w:val="392456E2"/>
    <w:rsid w:val="39360978"/>
    <w:rsid w:val="393671C3"/>
    <w:rsid w:val="39406BF6"/>
    <w:rsid w:val="394144E6"/>
    <w:rsid w:val="39440307"/>
    <w:rsid w:val="39567866"/>
    <w:rsid w:val="396134DD"/>
    <w:rsid w:val="396316A3"/>
    <w:rsid w:val="396F26D5"/>
    <w:rsid w:val="3986314B"/>
    <w:rsid w:val="398968E0"/>
    <w:rsid w:val="399C395E"/>
    <w:rsid w:val="39AD1B7B"/>
    <w:rsid w:val="39B051C8"/>
    <w:rsid w:val="39C10390"/>
    <w:rsid w:val="39D709A6"/>
    <w:rsid w:val="39E40C80"/>
    <w:rsid w:val="39EE6B3B"/>
    <w:rsid w:val="3A002F46"/>
    <w:rsid w:val="3A1A0893"/>
    <w:rsid w:val="3A42700A"/>
    <w:rsid w:val="3A566165"/>
    <w:rsid w:val="3A606BEE"/>
    <w:rsid w:val="3A86320D"/>
    <w:rsid w:val="3A8F302F"/>
    <w:rsid w:val="3AA01C0E"/>
    <w:rsid w:val="3AA66F06"/>
    <w:rsid w:val="3AB26D1E"/>
    <w:rsid w:val="3AD43FD0"/>
    <w:rsid w:val="3AE55345"/>
    <w:rsid w:val="3AF81E76"/>
    <w:rsid w:val="3B004D91"/>
    <w:rsid w:val="3B0B730F"/>
    <w:rsid w:val="3B14048E"/>
    <w:rsid w:val="3B1D2775"/>
    <w:rsid w:val="3B2164F3"/>
    <w:rsid w:val="3B3301BF"/>
    <w:rsid w:val="3B4337E0"/>
    <w:rsid w:val="3B473D7F"/>
    <w:rsid w:val="3B4A724D"/>
    <w:rsid w:val="3B5B73B5"/>
    <w:rsid w:val="3B6329B2"/>
    <w:rsid w:val="3B68689B"/>
    <w:rsid w:val="3B765F9D"/>
    <w:rsid w:val="3B7F6EBF"/>
    <w:rsid w:val="3B84690C"/>
    <w:rsid w:val="3B853D50"/>
    <w:rsid w:val="3B9A170B"/>
    <w:rsid w:val="3BA374DA"/>
    <w:rsid w:val="3BC36B0E"/>
    <w:rsid w:val="3BC46D08"/>
    <w:rsid w:val="3BDC0A46"/>
    <w:rsid w:val="3BEB4280"/>
    <w:rsid w:val="3BF82CA2"/>
    <w:rsid w:val="3C00283E"/>
    <w:rsid w:val="3C0E1070"/>
    <w:rsid w:val="3C243C4B"/>
    <w:rsid w:val="3C3F2718"/>
    <w:rsid w:val="3C3F6DB9"/>
    <w:rsid w:val="3C787BE6"/>
    <w:rsid w:val="3C853690"/>
    <w:rsid w:val="3CC8423E"/>
    <w:rsid w:val="3CD177E2"/>
    <w:rsid w:val="3CD65BD1"/>
    <w:rsid w:val="3CDD2C42"/>
    <w:rsid w:val="3CFB2348"/>
    <w:rsid w:val="3D01446F"/>
    <w:rsid w:val="3D0523AB"/>
    <w:rsid w:val="3D073351"/>
    <w:rsid w:val="3D22462E"/>
    <w:rsid w:val="3D2F28A7"/>
    <w:rsid w:val="3D344362"/>
    <w:rsid w:val="3D374174"/>
    <w:rsid w:val="3D432206"/>
    <w:rsid w:val="3D525F74"/>
    <w:rsid w:val="3D6764E5"/>
    <w:rsid w:val="3D9A67A4"/>
    <w:rsid w:val="3DBC7158"/>
    <w:rsid w:val="3DDF64A1"/>
    <w:rsid w:val="3DF46837"/>
    <w:rsid w:val="3E136935"/>
    <w:rsid w:val="3E1C4E5F"/>
    <w:rsid w:val="3E4A25E4"/>
    <w:rsid w:val="3E4A46D6"/>
    <w:rsid w:val="3E4A4C5E"/>
    <w:rsid w:val="3E6B178D"/>
    <w:rsid w:val="3E7D11A4"/>
    <w:rsid w:val="3E8F04BB"/>
    <w:rsid w:val="3E952BDE"/>
    <w:rsid w:val="3E9E5F37"/>
    <w:rsid w:val="3EA63695"/>
    <w:rsid w:val="3EBE0387"/>
    <w:rsid w:val="3ED972B4"/>
    <w:rsid w:val="3EED4BCF"/>
    <w:rsid w:val="3EFA24BD"/>
    <w:rsid w:val="3EFA7C08"/>
    <w:rsid w:val="3F202B3E"/>
    <w:rsid w:val="3F2302F2"/>
    <w:rsid w:val="3F260CA2"/>
    <w:rsid w:val="3F2D0289"/>
    <w:rsid w:val="3F4F78F0"/>
    <w:rsid w:val="3F5F0080"/>
    <w:rsid w:val="3F5F3B90"/>
    <w:rsid w:val="3F761E55"/>
    <w:rsid w:val="3F830C89"/>
    <w:rsid w:val="3F973827"/>
    <w:rsid w:val="3FA877CF"/>
    <w:rsid w:val="3FC012FA"/>
    <w:rsid w:val="3FCD1F46"/>
    <w:rsid w:val="3FD03607"/>
    <w:rsid w:val="3FDB0AC5"/>
    <w:rsid w:val="3FE7684B"/>
    <w:rsid w:val="3FEC0F24"/>
    <w:rsid w:val="3FF24804"/>
    <w:rsid w:val="40321C62"/>
    <w:rsid w:val="403A1C8F"/>
    <w:rsid w:val="403C7E4A"/>
    <w:rsid w:val="403D2BAC"/>
    <w:rsid w:val="404503C3"/>
    <w:rsid w:val="404C3770"/>
    <w:rsid w:val="40514757"/>
    <w:rsid w:val="40550877"/>
    <w:rsid w:val="40732B8E"/>
    <w:rsid w:val="40923879"/>
    <w:rsid w:val="40972C3D"/>
    <w:rsid w:val="409D1AF3"/>
    <w:rsid w:val="40B727FE"/>
    <w:rsid w:val="40CF0629"/>
    <w:rsid w:val="40DE6ABE"/>
    <w:rsid w:val="40E90FBF"/>
    <w:rsid w:val="40ED6D01"/>
    <w:rsid w:val="40FB141E"/>
    <w:rsid w:val="412E04AF"/>
    <w:rsid w:val="41312AB0"/>
    <w:rsid w:val="414C7726"/>
    <w:rsid w:val="41501928"/>
    <w:rsid w:val="416B4AF2"/>
    <w:rsid w:val="4185518C"/>
    <w:rsid w:val="41856F3A"/>
    <w:rsid w:val="418D01EC"/>
    <w:rsid w:val="41904453"/>
    <w:rsid w:val="41B02067"/>
    <w:rsid w:val="41C458EF"/>
    <w:rsid w:val="41CA1C16"/>
    <w:rsid w:val="41D842F0"/>
    <w:rsid w:val="41E87666"/>
    <w:rsid w:val="420C31B7"/>
    <w:rsid w:val="420E33D3"/>
    <w:rsid w:val="421E3051"/>
    <w:rsid w:val="4235270E"/>
    <w:rsid w:val="425B6C84"/>
    <w:rsid w:val="4261077D"/>
    <w:rsid w:val="427D5AA8"/>
    <w:rsid w:val="428D128F"/>
    <w:rsid w:val="428D2297"/>
    <w:rsid w:val="429660DE"/>
    <w:rsid w:val="42A40639"/>
    <w:rsid w:val="42C805E8"/>
    <w:rsid w:val="42C82D72"/>
    <w:rsid w:val="42F841D4"/>
    <w:rsid w:val="4303545F"/>
    <w:rsid w:val="430A37C4"/>
    <w:rsid w:val="430E39C0"/>
    <w:rsid w:val="43100637"/>
    <w:rsid w:val="431B1508"/>
    <w:rsid w:val="431F39A9"/>
    <w:rsid w:val="43252935"/>
    <w:rsid w:val="432A08FD"/>
    <w:rsid w:val="43406528"/>
    <w:rsid w:val="43406FE0"/>
    <w:rsid w:val="43635059"/>
    <w:rsid w:val="436829EF"/>
    <w:rsid w:val="43753B37"/>
    <w:rsid w:val="43790D20"/>
    <w:rsid w:val="43916241"/>
    <w:rsid w:val="43973229"/>
    <w:rsid w:val="439D4A0F"/>
    <w:rsid w:val="43B339FC"/>
    <w:rsid w:val="43C93D99"/>
    <w:rsid w:val="43D03BD4"/>
    <w:rsid w:val="43D378F3"/>
    <w:rsid w:val="43D53A8F"/>
    <w:rsid w:val="43F14BAE"/>
    <w:rsid w:val="440E04E4"/>
    <w:rsid w:val="44114BC4"/>
    <w:rsid w:val="441C17FE"/>
    <w:rsid w:val="44214328"/>
    <w:rsid w:val="44427364"/>
    <w:rsid w:val="444924A1"/>
    <w:rsid w:val="445E2680"/>
    <w:rsid w:val="446520B8"/>
    <w:rsid w:val="44676DCB"/>
    <w:rsid w:val="44716BFA"/>
    <w:rsid w:val="447D4E2A"/>
    <w:rsid w:val="44826015"/>
    <w:rsid w:val="448C1EC2"/>
    <w:rsid w:val="449F47B6"/>
    <w:rsid w:val="449F4D72"/>
    <w:rsid w:val="44A347FC"/>
    <w:rsid w:val="44C2163A"/>
    <w:rsid w:val="44CE6DAD"/>
    <w:rsid w:val="44D04970"/>
    <w:rsid w:val="44D7064C"/>
    <w:rsid w:val="44ED69DA"/>
    <w:rsid w:val="45062140"/>
    <w:rsid w:val="450F5C39"/>
    <w:rsid w:val="45144A62"/>
    <w:rsid w:val="45383850"/>
    <w:rsid w:val="45427875"/>
    <w:rsid w:val="454519DB"/>
    <w:rsid w:val="45533821"/>
    <w:rsid w:val="4556112D"/>
    <w:rsid w:val="455D6EA5"/>
    <w:rsid w:val="455E4E21"/>
    <w:rsid w:val="458D32AC"/>
    <w:rsid w:val="45AC5F6C"/>
    <w:rsid w:val="45AD7C6F"/>
    <w:rsid w:val="45B17FED"/>
    <w:rsid w:val="45B5513C"/>
    <w:rsid w:val="45BB73CE"/>
    <w:rsid w:val="45C358D0"/>
    <w:rsid w:val="45C6717A"/>
    <w:rsid w:val="45D102C6"/>
    <w:rsid w:val="45E50E1F"/>
    <w:rsid w:val="45EA0933"/>
    <w:rsid w:val="45EB0654"/>
    <w:rsid w:val="45F84668"/>
    <w:rsid w:val="45FF45B3"/>
    <w:rsid w:val="460A2B33"/>
    <w:rsid w:val="460C5605"/>
    <w:rsid w:val="4637549A"/>
    <w:rsid w:val="46383B2A"/>
    <w:rsid w:val="463C7277"/>
    <w:rsid w:val="4643415A"/>
    <w:rsid w:val="46592D3F"/>
    <w:rsid w:val="465A54DB"/>
    <w:rsid w:val="466510E8"/>
    <w:rsid w:val="46B51B1C"/>
    <w:rsid w:val="46C22EA2"/>
    <w:rsid w:val="46D1677D"/>
    <w:rsid w:val="46DA28B1"/>
    <w:rsid w:val="47164116"/>
    <w:rsid w:val="471A4BD2"/>
    <w:rsid w:val="471B6B72"/>
    <w:rsid w:val="471D19C3"/>
    <w:rsid w:val="472E6F42"/>
    <w:rsid w:val="4759157F"/>
    <w:rsid w:val="475A6773"/>
    <w:rsid w:val="476A2E5A"/>
    <w:rsid w:val="47B85381"/>
    <w:rsid w:val="47BB2E5E"/>
    <w:rsid w:val="47C307BC"/>
    <w:rsid w:val="47ED2B3F"/>
    <w:rsid w:val="47FE6943"/>
    <w:rsid w:val="48027A80"/>
    <w:rsid w:val="48102234"/>
    <w:rsid w:val="4819599D"/>
    <w:rsid w:val="481F4786"/>
    <w:rsid w:val="48307449"/>
    <w:rsid w:val="483416BA"/>
    <w:rsid w:val="483665C7"/>
    <w:rsid w:val="483D056E"/>
    <w:rsid w:val="48444785"/>
    <w:rsid w:val="4856518C"/>
    <w:rsid w:val="48682277"/>
    <w:rsid w:val="489C7EFD"/>
    <w:rsid w:val="489E50BD"/>
    <w:rsid w:val="48A67C78"/>
    <w:rsid w:val="48B82CFC"/>
    <w:rsid w:val="48BD61CD"/>
    <w:rsid w:val="48C12F4D"/>
    <w:rsid w:val="48EA7737"/>
    <w:rsid w:val="48F77107"/>
    <w:rsid w:val="48FE147C"/>
    <w:rsid w:val="490D6193"/>
    <w:rsid w:val="49123117"/>
    <w:rsid w:val="491A1808"/>
    <w:rsid w:val="492359B6"/>
    <w:rsid w:val="49252201"/>
    <w:rsid w:val="492540C8"/>
    <w:rsid w:val="49255E27"/>
    <w:rsid w:val="493C6A78"/>
    <w:rsid w:val="49570A79"/>
    <w:rsid w:val="495D2085"/>
    <w:rsid w:val="496D577E"/>
    <w:rsid w:val="498875C7"/>
    <w:rsid w:val="49997155"/>
    <w:rsid w:val="49AE04DD"/>
    <w:rsid w:val="49AE469C"/>
    <w:rsid w:val="49DB3F74"/>
    <w:rsid w:val="49DB5B92"/>
    <w:rsid w:val="49DF647B"/>
    <w:rsid w:val="49E97F3D"/>
    <w:rsid w:val="4A065517"/>
    <w:rsid w:val="4A4A5EBD"/>
    <w:rsid w:val="4A516864"/>
    <w:rsid w:val="4A745D9D"/>
    <w:rsid w:val="4A77763C"/>
    <w:rsid w:val="4A7B537E"/>
    <w:rsid w:val="4A7B7FC4"/>
    <w:rsid w:val="4AC7411F"/>
    <w:rsid w:val="4ACF1226"/>
    <w:rsid w:val="4AE6388C"/>
    <w:rsid w:val="4B054C48"/>
    <w:rsid w:val="4B1220B6"/>
    <w:rsid w:val="4B3A3590"/>
    <w:rsid w:val="4B5528B8"/>
    <w:rsid w:val="4B7A0BBF"/>
    <w:rsid w:val="4B840262"/>
    <w:rsid w:val="4B8B77D7"/>
    <w:rsid w:val="4BAB1C93"/>
    <w:rsid w:val="4BB8567D"/>
    <w:rsid w:val="4BC32B39"/>
    <w:rsid w:val="4BD50ABE"/>
    <w:rsid w:val="4BD83340"/>
    <w:rsid w:val="4C0D530A"/>
    <w:rsid w:val="4C12315C"/>
    <w:rsid w:val="4C3425E1"/>
    <w:rsid w:val="4C445A6C"/>
    <w:rsid w:val="4C4F3D49"/>
    <w:rsid w:val="4C5065EF"/>
    <w:rsid w:val="4C547C35"/>
    <w:rsid w:val="4C5F4879"/>
    <w:rsid w:val="4C685AF2"/>
    <w:rsid w:val="4C866D1A"/>
    <w:rsid w:val="4C953A33"/>
    <w:rsid w:val="4C9C61C3"/>
    <w:rsid w:val="4CA35C4E"/>
    <w:rsid w:val="4CB16183"/>
    <w:rsid w:val="4CCE5C39"/>
    <w:rsid w:val="4CD3324F"/>
    <w:rsid w:val="4CEB2FE1"/>
    <w:rsid w:val="4CF10E05"/>
    <w:rsid w:val="4CF113EE"/>
    <w:rsid w:val="4D2E4FF5"/>
    <w:rsid w:val="4D381CBD"/>
    <w:rsid w:val="4D3A32CE"/>
    <w:rsid w:val="4D4001B9"/>
    <w:rsid w:val="4D4239B9"/>
    <w:rsid w:val="4D42568B"/>
    <w:rsid w:val="4D551EB6"/>
    <w:rsid w:val="4D58562A"/>
    <w:rsid w:val="4D6D04FA"/>
    <w:rsid w:val="4D7A2C21"/>
    <w:rsid w:val="4DA17CB8"/>
    <w:rsid w:val="4DA509B8"/>
    <w:rsid w:val="4DB52B07"/>
    <w:rsid w:val="4DBE024F"/>
    <w:rsid w:val="4DEE7533"/>
    <w:rsid w:val="4DF27705"/>
    <w:rsid w:val="4DF80FD5"/>
    <w:rsid w:val="4E0F48AA"/>
    <w:rsid w:val="4E2E44B5"/>
    <w:rsid w:val="4E4168DE"/>
    <w:rsid w:val="4E694EF2"/>
    <w:rsid w:val="4E755346"/>
    <w:rsid w:val="4E8F13F8"/>
    <w:rsid w:val="4E98514E"/>
    <w:rsid w:val="4EA11D68"/>
    <w:rsid w:val="4EB71002"/>
    <w:rsid w:val="4EB7263B"/>
    <w:rsid w:val="4ED245C0"/>
    <w:rsid w:val="4EDC620E"/>
    <w:rsid w:val="4EED20A0"/>
    <w:rsid w:val="4F102A44"/>
    <w:rsid w:val="4F22226C"/>
    <w:rsid w:val="4F3E0C8B"/>
    <w:rsid w:val="4F3F20D3"/>
    <w:rsid w:val="4F62741E"/>
    <w:rsid w:val="4F6B59C1"/>
    <w:rsid w:val="4F7F0C3D"/>
    <w:rsid w:val="4F7F0CBD"/>
    <w:rsid w:val="4FA27487"/>
    <w:rsid w:val="4FCB2904"/>
    <w:rsid w:val="4FDC3182"/>
    <w:rsid w:val="4FFA0046"/>
    <w:rsid w:val="5008797C"/>
    <w:rsid w:val="502E6078"/>
    <w:rsid w:val="503E30D6"/>
    <w:rsid w:val="50692184"/>
    <w:rsid w:val="507E5AAE"/>
    <w:rsid w:val="50C2691E"/>
    <w:rsid w:val="51524269"/>
    <w:rsid w:val="515F1555"/>
    <w:rsid w:val="516108BF"/>
    <w:rsid w:val="517368E2"/>
    <w:rsid w:val="517419FF"/>
    <w:rsid w:val="517A37CC"/>
    <w:rsid w:val="51994724"/>
    <w:rsid w:val="519B605A"/>
    <w:rsid w:val="51A0391C"/>
    <w:rsid w:val="51AA02F7"/>
    <w:rsid w:val="51CD0C51"/>
    <w:rsid w:val="51D931AB"/>
    <w:rsid w:val="51E41A5B"/>
    <w:rsid w:val="51FE5F02"/>
    <w:rsid w:val="52081BED"/>
    <w:rsid w:val="521265C8"/>
    <w:rsid w:val="523336B1"/>
    <w:rsid w:val="523A5B1F"/>
    <w:rsid w:val="523B262A"/>
    <w:rsid w:val="523C0E33"/>
    <w:rsid w:val="52524C16"/>
    <w:rsid w:val="527C7EE5"/>
    <w:rsid w:val="527D67C6"/>
    <w:rsid w:val="528B7E30"/>
    <w:rsid w:val="5297628D"/>
    <w:rsid w:val="529C2335"/>
    <w:rsid w:val="52B81EEC"/>
    <w:rsid w:val="52C50F70"/>
    <w:rsid w:val="52C54712"/>
    <w:rsid w:val="52D7511B"/>
    <w:rsid w:val="52F07F1E"/>
    <w:rsid w:val="530B6D68"/>
    <w:rsid w:val="532E5683"/>
    <w:rsid w:val="5331554B"/>
    <w:rsid w:val="533609D6"/>
    <w:rsid w:val="535F3A8F"/>
    <w:rsid w:val="53652287"/>
    <w:rsid w:val="53933738"/>
    <w:rsid w:val="53AF678F"/>
    <w:rsid w:val="53BF452D"/>
    <w:rsid w:val="53CE0B29"/>
    <w:rsid w:val="53D14261"/>
    <w:rsid w:val="53D350FE"/>
    <w:rsid w:val="53EB70D0"/>
    <w:rsid w:val="54037C5C"/>
    <w:rsid w:val="540C39F4"/>
    <w:rsid w:val="54115E26"/>
    <w:rsid w:val="54151524"/>
    <w:rsid w:val="541A66F2"/>
    <w:rsid w:val="54272A58"/>
    <w:rsid w:val="542D2F23"/>
    <w:rsid w:val="544F3B03"/>
    <w:rsid w:val="545C1D7C"/>
    <w:rsid w:val="545F361A"/>
    <w:rsid w:val="546450D5"/>
    <w:rsid w:val="54912F06"/>
    <w:rsid w:val="5493052E"/>
    <w:rsid w:val="54A269E9"/>
    <w:rsid w:val="54A40EC8"/>
    <w:rsid w:val="54AF1477"/>
    <w:rsid w:val="54C229BD"/>
    <w:rsid w:val="54C2668C"/>
    <w:rsid w:val="54D324BA"/>
    <w:rsid w:val="54D77655"/>
    <w:rsid w:val="54EB297C"/>
    <w:rsid w:val="54ED50CA"/>
    <w:rsid w:val="54FE1085"/>
    <w:rsid w:val="55066E59"/>
    <w:rsid w:val="550F00DD"/>
    <w:rsid w:val="551762E7"/>
    <w:rsid w:val="55231D18"/>
    <w:rsid w:val="55284354"/>
    <w:rsid w:val="554B5B7F"/>
    <w:rsid w:val="554E4905"/>
    <w:rsid w:val="555047EB"/>
    <w:rsid w:val="555C0E9A"/>
    <w:rsid w:val="556D640E"/>
    <w:rsid w:val="557F25DF"/>
    <w:rsid w:val="55AD65A1"/>
    <w:rsid w:val="55CD2D97"/>
    <w:rsid w:val="55F12998"/>
    <w:rsid w:val="55F74BF2"/>
    <w:rsid w:val="55F77ECF"/>
    <w:rsid w:val="56064B11"/>
    <w:rsid w:val="56176259"/>
    <w:rsid w:val="56414CD5"/>
    <w:rsid w:val="56466840"/>
    <w:rsid w:val="56612066"/>
    <w:rsid w:val="566706BB"/>
    <w:rsid w:val="56692311"/>
    <w:rsid w:val="56755B3D"/>
    <w:rsid w:val="56861332"/>
    <w:rsid w:val="56A417B8"/>
    <w:rsid w:val="56A517F9"/>
    <w:rsid w:val="56D122D8"/>
    <w:rsid w:val="56F42740"/>
    <w:rsid w:val="56F856D6"/>
    <w:rsid w:val="570030F0"/>
    <w:rsid w:val="570606C5"/>
    <w:rsid w:val="570B4590"/>
    <w:rsid w:val="570B7A8A"/>
    <w:rsid w:val="570D4AC7"/>
    <w:rsid w:val="572F2B3B"/>
    <w:rsid w:val="573B036F"/>
    <w:rsid w:val="5749395E"/>
    <w:rsid w:val="575179A3"/>
    <w:rsid w:val="575B456D"/>
    <w:rsid w:val="57873742"/>
    <w:rsid w:val="57AA68B0"/>
    <w:rsid w:val="57B10631"/>
    <w:rsid w:val="57B1418D"/>
    <w:rsid w:val="57BE07E7"/>
    <w:rsid w:val="57BF2D4E"/>
    <w:rsid w:val="57C67E20"/>
    <w:rsid w:val="57C733F2"/>
    <w:rsid w:val="57CF6D09"/>
    <w:rsid w:val="57D65125"/>
    <w:rsid w:val="57D82A4D"/>
    <w:rsid w:val="57DC4251"/>
    <w:rsid w:val="57DE6B8B"/>
    <w:rsid w:val="57DF45F5"/>
    <w:rsid w:val="57F7575C"/>
    <w:rsid w:val="57F94E93"/>
    <w:rsid w:val="581018B8"/>
    <w:rsid w:val="581A7F84"/>
    <w:rsid w:val="58282CCA"/>
    <w:rsid w:val="584802DD"/>
    <w:rsid w:val="584C2F6F"/>
    <w:rsid w:val="58513CBC"/>
    <w:rsid w:val="58536C60"/>
    <w:rsid w:val="5862192B"/>
    <w:rsid w:val="58651C08"/>
    <w:rsid w:val="58965C83"/>
    <w:rsid w:val="58AB32D2"/>
    <w:rsid w:val="58AC3187"/>
    <w:rsid w:val="58B02697"/>
    <w:rsid w:val="58B03AC0"/>
    <w:rsid w:val="58B36042"/>
    <w:rsid w:val="58B908B6"/>
    <w:rsid w:val="58C73078"/>
    <w:rsid w:val="58DF11CE"/>
    <w:rsid w:val="58E30B06"/>
    <w:rsid w:val="58EC5B4A"/>
    <w:rsid w:val="58F200EE"/>
    <w:rsid w:val="58F47C43"/>
    <w:rsid w:val="59033205"/>
    <w:rsid w:val="59080725"/>
    <w:rsid w:val="591518CD"/>
    <w:rsid w:val="592B3E8E"/>
    <w:rsid w:val="592B7777"/>
    <w:rsid w:val="592C71BA"/>
    <w:rsid w:val="593116CD"/>
    <w:rsid w:val="595E5992"/>
    <w:rsid w:val="59722042"/>
    <w:rsid w:val="598E0440"/>
    <w:rsid w:val="59937911"/>
    <w:rsid w:val="599B4D46"/>
    <w:rsid w:val="59AB062D"/>
    <w:rsid w:val="59C774F0"/>
    <w:rsid w:val="59CC1752"/>
    <w:rsid w:val="59E86AA0"/>
    <w:rsid w:val="59EC76FE"/>
    <w:rsid w:val="5A1D5B0A"/>
    <w:rsid w:val="5A20146D"/>
    <w:rsid w:val="5A3548C6"/>
    <w:rsid w:val="5A4521A3"/>
    <w:rsid w:val="5A61633E"/>
    <w:rsid w:val="5A757CC5"/>
    <w:rsid w:val="5A865DA5"/>
    <w:rsid w:val="5A923D45"/>
    <w:rsid w:val="5A9F204C"/>
    <w:rsid w:val="5AC00489"/>
    <w:rsid w:val="5AD352BE"/>
    <w:rsid w:val="5ADC4DB6"/>
    <w:rsid w:val="5AE006DC"/>
    <w:rsid w:val="5AF04CF4"/>
    <w:rsid w:val="5B0857C3"/>
    <w:rsid w:val="5B09223D"/>
    <w:rsid w:val="5B14591D"/>
    <w:rsid w:val="5B242EC8"/>
    <w:rsid w:val="5B2F1760"/>
    <w:rsid w:val="5B4803F5"/>
    <w:rsid w:val="5B525165"/>
    <w:rsid w:val="5B7B1FF4"/>
    <w:rsid w:val="5BB00A78"/>
    <w:rsid w:val="5BC77431"/>
    <w:rsid w:val="5BE75FCA"/>
    <w:rsid w:val="5BF154A0"/>
    <w:rsid w:val="5C07081F"/>
    <w:rsid w:val="5C0F7C88"/>
    <w:rsid w:val="5C133668"/>
    <w:rsid w:val="5C146A6F"/>
    <w:rsid w:val="5C3D06E5"/>
    <w:rsid w:val="5C5269CE"/>
    <w:rsid w:val="5C565424"/>
    <w:rsid w:val="5C7B3E85"/>
    <w:rsid w:val="5C9A3D9C"/>
    <w:rsid w:val="5C9A5B38"/>
    <w:rsid w:val="5CA02A22"/>
    <w:rsid w:val="5CA77E6E"/>
    <w:rsid w:val="5CAF3AF1"/>
    <w:rsid w:val="5CB05B5D"/>
    <w:rsid w:val="5CB53785"/>
    <w:rsid w:val="5CCE4413"/>
    <w:rsid w:val="5CD66A45"/>
    <w:rsid w:val="5CDB4652"/>
    <w:rsid w:val="5CE67B94"/>
    <w:rsid w:val="5CEE19DF"/>
    <w:rsid w:val="5CF60894"/>
    <w:rsid w:val="5D063871"/>
    <w:rsid w:val="5D1C061D"/>
    <w:rsid w:val="5D2D4F91"/>
    <w:rsid w:val="5D6F248F"/>
    <w:rsid w:val="5D754252"/>
    <w:rsid w:val="5DAD53F7"/>
    <w:rsid w:val="5DAD5E1B"/>
    <w:rsid w:val="5DD46E27"/>
    <w:rsid w:val="5DDA2431"/>
    <w:rsid w:val="5DDC5CDC"/>
    <w:rsid w:val="5DE05216"/>
    <w:rsid w:val="5DE94AEF"/>
    <w:rsid w:val="5DF94AE0"/>
    <w:rsid w:val="5E0327E4"/>
    <w:rsid w:val="5E1D1C33"/>
    <w:rsid w:val="5E336C95"/>
    <w:rsid w:val="5E4A70E9"/>
    <w:rsid w:val="5E673A84"/>
    <w:rsid w:val="5E764C6B"/>
    <w:rsid w:val="5E92227E"/>
    <w:rsid w:val="5E940365"/>
    <w:rsid w:val="5EAC56AE"/>
    <w:rsid w:val="5EC86A9C"/>
    <w:rsid w:val="5ECF3317"/>
    <w:rsid w:val="5ED17273"/>
    <w:rsid w:val="5EDB3F51"/>
    <w:rsid w:val="5F2D0822"/>
    <w:rsid w:val="5F400FA2"/>
    <w:rsid w:val="5F4F06A9"/>
    <w:rsid w:val="5F5C3A83"/>
    <w:rsid w:val="5F683CCB"/>
    <w:rsid w:val="5FC727F0"/>
    <w:rsid w:val="5FDD19F3"/>
    <w:rsid w:val="60241477"/>
    <w:rsid w:val="60275CCF"/>
    <w:rsid w:val="6043754F"/>
    <w:rsid w:val="604D2EC1"/>
    <w:rsid w:val="606E343D"/>
    <w:rsid w:val="607C4CB8"/>
    <w:rsid w:val="607F12E5"/>
    <w:rsid w:val="60AF6D05"/>
    <w:rsid w:val="60B116A2"/>
    <w:rsid w:val="60B41EAB"/>
    <w:rsid w:val="60EB3DE4"/>
    <w:rsid w:val="60F02CF4"/>
    <w:rsid w:val="610416ED"/>
    <w:rsid w:val="611264AB"/>
    <w:rsid w:val="61183586"/>
    <w:rsid w:val="61216CDE"/>
    <w:rsid w:val="61365AA1"/>
    <w:rsid w:val="61397F52"/>
    <w:rsid w:val="613B0129"/>
    <w:rsid w:val="61730705"/>
    <w:rsid w:val="61812316"/>
    <w:rsid w:val="618446C0"/>
    <w:rsid w:val="61860438"/>
    <w:rsid w:val="61923281"/>
    <w:rsid w:val="61944018"/>
    <w:rsid w:val="619F774C"/>
    <w:rsid w:val="61B15164"/>
    <w:rsid w:val="61B72CE8"/>
    <w:rsid w:val="61E810F3"/>
    <w:rsid w:val="61F97E1B"/>
    <w:rsid w:val="62243E70"/>
    <w:rsid w:val="622F0E15"/>
    <w:rsid w:val="62361E5F"/>
    <w:rsid w:val="623F6839"/>
    <w:rsid w:val="624B51DE"/>
    <w:rsid w:val="625F0F28"/>
    <w:rsid w:val="62633E82"/>
    <w:rsid w:val="62651811"/>
    <w:rsid w:val="627B7144"/>
    <w:rsid w:val="62821BB5"/>
    <w:rsid w:val="629A3DCB"/>
    <w:rsid w:val="62A34D16"/>
    <w:rsid w:val="62AA7382"/>
    <w:rsid w:val="62BF08E4"/>
    <w:rsid w:val="62C31EC7"/>
    <w:rsid w:val="62D90AF6"/>
    <w:rsid w:val="62F27063"/>
    <w:rsid w:val="62FB30A8"/>
    <w:rsid w:val="63065CC3"/>
    <w:rsid w:val="630E03B9"/>
    <w:rsid w:val="630E0A09"/>
    <w:rsid w:val="630E4B89"/>
    <w:rsid w:val="632F12D3"/>
    <w:rsid w:val="63426D47"/>
    <w:rsid w:val="635F051B"/>
    <w:rsid w:val="636B6110"/>
    <w:rsid w:val="637A638C"/>
    <w:rsid w:val="638906B4"/>
    <w:rsid w:val="63962F84"/>
    <w:rsid w:val="63A75776"/>
    <w:rsid w:val="63B15515"/>
    <w:rsid w:val="63B8347C"/>
    <w:rsid w:val="63BC45E5"/>
    <w:rsid w:val="63C27722"/>
    <w:rsid w:val="63C625A3"/>
    <w:rsid w:val="63CB2B63"/>
    <w:rsid w:val="63CD44FB"/>
    <w:rsid w:val="63E11276"/>
    <w:rsid w:val="640F6E0B"/>
    <w:rsid w:val="6410452B"/>
    <w:rsid w:val="642A1A86"/>
    <w:rsid w:val="642F69F2"/>
    <w:rsid w:val="643103AD"/>
    <w:rsid w:val="64356063"/>
    <w:rsid w:val="644103C5"/>
    <w:rsid w:val="644A7559"/>
    <w:rsid w:val="644E725F"/>
    <w:rsid w:val="6483309C"/>
    <w:rsid w:val="64850D57"/>
    <w:rsid w:val="649966D5"/>
    <w:rsid w:val="64A70F94"/>
    <w:rsid w:val="64BC01D7"/>
    <w:rsid w:val="64E30FE7"/>
    <w:rsid w:val="64EE098A"/>
    <w:rsid w:val="64F60611"/>
    <w:rsid w:val="651861FE"/>
    <w:rsid w:val="652F5EF2"/>
    <w:rsid w:val="653F708A"/>
    <w:rsid w:val="655822E0"/>
    <w:rsid w:val="65667D17"/>
    <w:rsid w:val="65886FA5"/>
    <w:rsid w:val="658D52B6"/>
    <w:rsid w:val="65913850"/>
    <w:rsid w:val="65B17A4E"/>
    <w:rsid w:val="65B35574"/>
    <w:rsid w:val="65BD2897"/>
    <w:rsid w:val="65CF11EB"/>
    <w:rsid w:val="65D379C4"/>
    <w:rsid w:val="65D62020"/>
    <w:rsid w:val="65DF280D"/>
    <w:rsid w:val="65E603C8"/>
    <w:rsid w:val="65F937A4"/>
    <w:rsid w:val="660155CD"/>
    <w:rsid w:val="66033FC9"/>
    <w:rsid w:val="660A69FE"/>
    <w:rsid w:val="661B657D"/>
    <w:rsid w:val="662446C4"/>
    <w:rsid w:val="66260197"/>
    <w:rsid w:val="662A7F2C"/>
    <w:rsid w:val="66385942"/>
    <w:rsid w:val="663B5198"/>
    <w:rsid w:val="66413191"/>
    <w:rsid w:val="664C587A"/>
    <w:rsid w:val="66772A46"/>
    <w:rsid w:val="668F43D9"/>
    <w:rsid w:val="66A55805"/>
    <w:rsid w:val="66A575B3"/>
    <w:rsid w:val="66AD7D3E"/>
    <w:rsid w:val="66DB7049"/>
    <w:rsid w:val="66E00248"/>
    <w:rsid w:val="66E31AA9"/>
    <w:rsid w:val="66EC3434"/>
    <w:rsid w:val="6740552D"/>
    <w:rsid w:val="675A65EF"/>
    <w:rsid w:val="6769765D"/>
    <w:rsid w:val="677376B1"/>
    <w:rsid w:val="67843A37"/>
    <w:rsid w:val="679338AF"/>
    <w:rsid w:val="679715F1"/>
    <w:rsid w:val="67A27F96"/>
    <w:rsid w:val="67A61834"/>
    <w:rsid w:val="67B21D0B"/>
    <w:rsid w:val="680D50C4"/>
    <w:rsid w:val="681658F5"/>
    <w:rsid w:val="683055A2"/>
    <w:rsid w:val="6840661B"/>
    <w:rsid w:val="68572B2F"/>
    <w:rsid w:val="685748DD"/>
    <w:rsid w:val="685A079C"/>
    <w:rsid w:val="685A3F70"/>
    <w:rsid w:val="685F7C35"/>
    <w:rsid w:val="68684D3C"/>
    <w:rsid w:val="687A5531"/>
    <w:rsid w:val="689716B2"/>
    <w:rsid w:val="689F6A01"/>
    <w:rsid w:val="68A119E2"/>
    <w:rsid w:val="68B47F81"/>
    <w:rsid w:val="68B565DA"/>
    <w:rsid w:val="68B67C19"/>
    <w:rsid w:val="68DD6DCE"/>
    <w:rsid w:val="68EA74FF"/>
    <w:rsid w:val="691C45A1"/>
    <w:rsid w:val="69200E55"/>
    <w:rsid w:val="692137B1"/>
    <w:rsid w:val="692F0CEF"/>
    <w:rsid w:val="6937072F"/>
    <w:rsid w:val="69434E61"/>
    <w:rsid w:val="69493F89"/>
    <w:rsid w:val="69583B91"/>
    <w:rsid w:val="695C73A4"/>
    <w:rsid w:val="696108E7"/>
    <w:rsid w:val="696756EE"/>
    <w:rsid w:val="6968528F"/>
    <w:rsid w:val="69691537"/>
    <w:rsid w:val="696C4BC6"/>
    <w:rsid w:val="697863F9"/>
    <w:rsid w:val="69962AA0"/>
    <w:rsid w:val="69A76FE9"/>
    <w:rsid w:val="69AA4EE0"/>
    <w:rsid w:val="69AA4F67"/>
    <w:rsid w:val="69D613E2"/>
    <w:rsid w:val="69D94CAA"/>
    <w:rsid w:val="69DD3507"/>
    <w:rsid w:val="69EE74C3"/>
    <w:rsid w:val="69FF6FDA"/>
    <w:rsid w:val="6A025476"/>
    <w:rsid w:val="6A0706ED"/>
    <w:rsid w:val="6A077FBF"/>
    <w:rsid w:val="6A092B65"/>
    <w:rsid w:val="6A102F95"/>
    <w:rsid w:val="6A146374"/>
    <w:rsid w:val="6A1A6526"/>
    <w:rsid w:val="6A1B04FF"/>
    <w:rsid w:val="6A3C1FDC"/>
    <w:rsid w:val="6A4D41E9"/>
    <w:rsid w:val="6A507835"/>
    <w:rsid w:val="6A5328C9"/>
    <w:rsid w:val="6A58493C"/>
    <w:rsid w:val="6A622C78"/>
    <w:rsid w:val="6A6467C8"/>
    <w:rsid w:val="6A823347"/>
    <w:rsid w:val="6A823AF6"/>
    <w:rsid w:val="6AAF7C30"/>
    <w:rsid w:val="6AB238CF"/>
    <w:rsid w:val="6AB312F2"/>
    <w:rsid w:val="6ABC167B"/>
    <w:rsid w:val="6AD71D05"/>
    <w:rsid w:val="6AE45046"/>
    <w:rsid w:val="6B41748D"/>
    <w:rsid w:val="6B79100E"/>
    <w:rsid w:val="6B797260"/>
    <w:rsid w:val="6B7E0620"/>
    <w:rsid w:val="6BA1748E"/>
    <w:rsid w:val="6BA25E41"/>
    <w:rsid w:val="6BC25154"/>
    <w:rsid w:val="6BE648F5"/>
    <w:rsid w:val="6BEC2939"/>
    <w:rsid w:val="6BEE4A33"/>
    <w:rsid w:val="6BFD0794"/>
    <w:rsid w:val="6C4C227F"/>
    <w:rsid w:val="6C6134C2"/>
    <w:rsid w:val="6C622FDE"/>
    <w:rsid w:val="6C7812C6"/>
    <w:rsid w:val="6C7F5966"/>
    <w:rsid w:val="6C85466C"/>
    <w:rsid w:val="6C895281"/>
    <w:rsid w:val="6C983716"/>
    <w:rsid w:val="6CC11DD9"/>
    <w:rsid w:val="6CCA4B67"/>
    <w:rsid w:val="6CD62702"/>
    <w:rsid w:val="6CE10C19"/>
    <w:rsid w:val="6CE12EAF"/>
    <w:rsid w:val="6CE93359"/>
    <w:rsid w:val="6CEC6EA6"/>
    <w:rsid w:val="6CF90CE9"/>
    <w:rsid w:val="6D1113CD"/>
    <w:rsid w:val="6D2D1A21"/>
    <w:rsid w:val="6D325918"/>
    <w:rsid w:val="6D4E60A1"/>
    <w:rsid w:val="6D4F0278"/>
    <w:rsid w:val="6D69475D"/>
    <w:rsid w:val="6D7005A7"/>
    <w:rsid w:val="6D772360"/>
    <w:rsid w:val="6D782001"/>
    <w:rsid w:val="6D9B50B1"/>
    <w:rsid w:val="6D9C6FA0"/>
    <w:rsid w:val="6DAD31F1"/>
    <w:rsid w:val="6DB86367"/>
    <w:rsid w:val="6DDD39B1"/>
    <w:rsid w:val="6E0154CC"/>
    <w:rsid w:val="6E07553B"/>
    <w:rsid w:val="6E077231"/>
    <w:rsid w:val="6E4A47B9"/>
    <w:rsid w:val="6E520E99"/>
    <w:rsid w:val="6E582BA7"/>
    <w:rsid w:val="6E5B2C4D"/>
    <w:rsid w:val="6E934195"/>
    <w:rsid w:val="6E9B59F9"/>
    <w:rsid w:val="6EC32CCC"/>
    <w:rsid w:val="6F0A08FB"/>
    <w:rsid w:val="6F165CEF"/>
    <w:rsid w:val="6F201B9C"/>
    <w:rsid w:val="6F37510F"/>
    <w:rsid w:val="6F446896"/>
    <w:rsid w:val="6F4A0729"/>
    <w:rsid w:val="6F506B72"/>
    <w:rsid w:val="6F5B73A8"/>
    <w:rsid w:val="6F655B31"/>
    <w:rsid w:val="6F6A1399"/>
    <w:rsid w:val="6F7A71C5"/>
    <w:rsid w:val="6F834209"/>
    <w:rsid w:val="6F986024"/>
    <w:rsid w:val="6FA77F87"/>
    <w:rsid w:val="6FB22D40"/>
    <w:rsid w:val="6FBA0FDC"/>
    <w:rsid w:val="70001CFE"/>
    <w:rsid w:val="7003534A"/>
    <w:rsid w:val="700C06A3"/>
    <w:rsid w:val="700C3CDF"/>
    <w:rsid w:val="702051C7"/>
    <w:rsid w:val="702B2DD9"/>
    <w:rsid w:val="70364E43"/>
    <w:rsid w:val="704A18A1"/>
    <w:rsid w:val="7052604A"/>
    <w:rsid w:val="705648DB"/>
    <w:rsid w:val="70565AC6"/>
    <w:rsid w:val="706D4254"/>
    <w:rsid w:val="707D6EAA"/>
    <w:rsid w:val="709579CF"/>
    <w:rsid w:val="70C3631C"/>
    <w:rsid w:val="70CB5E2B"/>
    <w:rsid w:val="70D00E4A"/>
    <w:rsid w:val="70E90692"/>
    <w:rsid w:val="711710AD"/>
    <w:rsid w:val="711F61B4"/>
    <w:rsid w:val="71222989"/>
    <w:rsid w:val="715B22D7"/>
    <w:rsid w:val="717C3606"/>
    <w:rsid w:val="71A4100A"/>
    <w:rsid w:val="71B40FF2"/>
    <w:rsid w:val="71CD5C10"/>
    <w:rsid w:val="71F54176"/>
    <w:rsid w:val="72053694"/>
    <w:rsid w:val="724C7265"/>
    <w:rsid w:val="72516841"/>
    <w:rsid w:val="725A49F9"/>
    <w:rsid w:val="72652FFD"/>
    <w:rsid w:val="726B686B"/>
    <w:rsid w:val="729042FB"/>
    <w:rsid w:val="729D3834"/>
    <w:rsid w:val="729D535B"/>
    <w:rsid w:val="72C07522"/>
    <w:rsid w:val="72C25048"/>
    <w:rsid w:val="72C43D9B"/>
    <w:rsid w:val="72C44AE8"/>
    <w:rsid w:val="72C75655"/>
    <w:rsid w:val="72C9287B"/>
    <w:rsid w:val="72D8187A"/>
    <w:rsid w:val="72E27499"/>
    <w:rsid w:val="72E94AE1"/>
    <w:rsid w:val="72EA5DE8"/>
    <w:rsid w:val="72EB0A43"/>
    <w:rsid w:val="72F16DB0"/>
    <w:rsid w:val="72FB6166"/>
    <w:rsid w:val="72FF0532"/>
    <w:rsid w:val="73004AA8"/>
    <w:rsid w:val="730B1816"/>
    <w:rsid w:val="730E028E"/>
    <w:rsid w:val="73187EC6"/>
    <w:rsid w:val="732C6A6F"/>
    <w:rsid w:val="733F7533"/>
    <w:rsid w:val="73656370"/>
    <w:rsid w:val="73851577"/>
    <w:rsid w:val="739822F1"/>
    <w:rsid w:val="73A00B05"/>
    <w:rsid w:val="73A62BBC"/>
    <w:rsid w:val="73B6122B"/>
    <w:rsid w:val="73BA6C22"/>
    <w:rsid w:val="73C66DBA"/>
    <w:rsid w:val="73C751D2"/>
    <w:rsid w:val="73E07E7C"/>
    <w:rsid w:val="73EC470E"/>
    <w:rsid w:val="741223FB"/>
    <w:rsid w:val="741D2E7E"/>
    <w:rsid w:val="74590D14"/>
    <w:rsid w:val="74806F69"/>
    <w:rsid w:val="74827185"/>
    <w:rsid w:val="748710F4"/>
    <w:rsid w:val="749B1037"/>
    <w:rsid w:val="74B20466"/>
    <w:rsid w:val="74BE7A92"/>
    <w:rsid w:val="74C71721"/>
    <w:rsid w:val="74CC05DA"/>
    <w:rsid w:val="74D054CE"/>
    <w:rsid w:val="74E5590E"/>
    <w:rsid w:val="74EE481B"/>
    <w:rsid w:val="74F3755F"/>
    <w:rsid w:val="74F82E97"/>
    <w:rsid w:val="74F84FB8"/>
    <w:rsid w:val="74FC5AB1"/>
    <w:rsid w:val="750B2B1B"/>
    <w:rsid w:val="7516167C"/>
    <w:rsid w:val="75272EBE"/>
    <w:rsid w:val="75330480"/>
    <w:rsid w:val="753F1D05"/>
    <w:rsid w:val="753F5076"/>
    <w:rsid w:val="7551789E"/>
    <w:rsid w:val="75752846"/>
    <w:rsid w:val="75846F2D"/>
    <w:rsid w:val="75A37EA3"/>
    <w:rsid w:val="75A454EF"/>
    <w:rsid w:val="75B871D5"/>
    <w:rsid w:val="75D37F89"/>
    <w:rsid w:val="760140DA"/>
    <w:rsid w:val="76051E1C"/>
    <w:rsid w:val="760737FE"/>
    <w:rsid w:val="761107C1"/>
    <w:rsid w:val="762304F4"/>
    <w:rsid w:val="7625426C"/>
    <w:rsid w:val="762C4D1B"/>
    <w:rsid w:val="763C2917"/>
    <w:rsid w:val="765C0690"/>
    <w:rsid w:val="766D074E"/>
    <w:rsid w:val="766D176F"/>
    <w:rsid w:val="76793407"/>
    <w:rsid w:val="768E2FB2"/>
    <w:rsid w:val="769B2141"/>
    <w:rsid w:val="76A371D7"/>
    <w:rsid w:val="76A665CB"/>
    <w:rsid w:val="76B07755"/>
    <w:rsid w:val="76B30D74"/>
    <w:rsid w:val="76B82A61"/>
    <w:rsid w:val="76C27D0D"/>
    <w:rsid w:val="76D4652F"/>
    <w:rsid w:val="76D55317"/>
    <w:rsid w:val="76D81BAD"/>
    <w:rsid w:val="76E61C4D"/>
    <w:rsid w:val="76EA2BCB"/>
    <w:rsid w:val="76F1566C"/>
    <w:rsid w:val="77031EE1"/>
    <w:rsid w:val="7708174C"/>
    <w:rsid w:val="770D651C"/>
    <w:rsid w:val="771C0960"/>
    <w:rsid w:val="772269FE"/>
    <w:rsid w:val="775318BD"/>
    <w:rsid w:val="776A6E80"/>
    <w:rsid w:val="777D59E2"/>
    <w:rsid w:val="777D6A70"/>
    <w:rsid w:val="777F6BA9"/>
    <w:rsid w:val="77897CD3"/>
    <w:rsid w:val="778D2F2C"/>
    <w:rsid w:val="779C7CBA"/>
    <w:rsid w:val="77B81B3F"/>
    <w:rsid w:val="77BD2689"/>
    <w:rsid w:val="77C43611"/>
    <w:rsid w:val="77EC0341"/>
    <w:rsid w:val="77F06599"/>
    <w:rsid w:val="77F170CA"/>
    <w:rsid w:val="780359B0"/>
    <w:rsid w:val="78036F50"/>
    <w:rsid w:val="782A5B6A"/>
    <w:rsid w:val="782F13D2"/>
    <w:rsid w:val="78432563"/>
    <w:rsid w:val="78485FF0"/>
    <w:rsid w:val="78497279"/>
    <w:rsid w:val="784D5D74"/>
    <w:rsid w:val="78701BA4"/>
    <w:rsid w:val="787E5EB6"/>
    <w:rsid w:val="787F167A"/>
    <w:rsid w:val="78887DCF"/>
    <w:rsid w:val="788A2AAC"/>
    <w:rsid w:val="78985F8B"/>
    <w:rsid w:val="78A646CC"/>
    <w:rsid w:val="78BB5DC5"/>
    <w:rsid w:val="78BD078C"/>
    <w:rsid w:val="78BE4504"/>
    <w:rsid w:val="78BE5DD6"/>
    <w:rsid w:val="78CA61DF"/>
    <w:rsid w:val="78D157D3"/>
    <w:rsid w:val="78D15FE5"/>
    <w:rsid w:val="790516CD"/>
    <w:rsid w:val="790C34C1"/>
    <w:rsid w:val="79100738"/>
    <w:rsid w:val="792C515A"/>
    <w:rsid w:val="793279C5"/>
    <w:rsid w:val="79334EF2"/>
    <w:rsid w:val="79342E5B"/>
    <w:rsid w:val="794B0467"/>
    <w:rsid w:val="7961380D"/>
    <w:rsid w:val="796C3F60"/>
    <w:rsid w:val="79806E6B"/>
    <w:rsid w:val="798968C0"/>
    <w:rsid w:val="798C0225"/>
    <w:rsid w:val="79A656C4"/>
    <w:rsid w:val="79B037C2"/>
    <w:rsid w:val="79C8563A"/>
    <w:rsid w:val="79D803F9"/>
    <w:rsid w:val="79DE62AA"/>
    <w:rsid w:val="79E8053C"/>
    <w:rsid w:val="7A2E7EE2"/>
    <w:rsid w:val="7A347284"/>
    <w:rsid w:val="7A6A04A0"/>
    <w:rsid w:val="7A735F3D"/>
    <w:rsid w:val="7A7632E8"/>
    <w:rsid w:val="7AB21E46"/>
    <w:rsid w:val="7AF65F7E"/>
    <w:rsid w:val="7AFD7566"/>
    <w:rsid w:val="7B031274"/>
    <w:rsid w:val="7B04776C"/>
    <w:rsid w:val="7B0E3521"/>
    <w:rsid w:val="7B0E52FC"/>
    <w:rsid w:val="7B3B62E0"/>
    <w:rsid w:val="7B762E74"/>
    <w:rsid w:val="7B876E2F"/>
    <w:rsid w:val="7B95154C"/>
    <w:rsid w:val="7BA23C69"/>
    <w:rsid w:val="7BA537C7"/>
    <w:rsid w:val="7BBE3369"/>
    <w:rsid w:val="7C036DFE"/>
    <w:rsid w:val="7C116F80"/>
    <w:rsid w:val="7C180E7F"/>
    <w:rsid w:val="7C18217D"/>
    <w:rsid w:val="7C1D1542"/>
    <w:rsid w:val="7C254288"/>
    <w:rsid w:val="7C272F8A"/>
    <w:rsid w:val="7C2B3F24"/>
    <w:rsid w:val="7C2E1CB9"/>
    <w:rsid w:val="7C441242"/>
    <w:rsid w:val="7C6B49A3"/>
    <w:rsid w:val="7C6D24C9"/>
    <w:rsid w:val="7C7058BD"/>
    <w:rsid w:val="7C732DA1"/>
    <w:rsid w:val="7C747515"/>
    <w:rsid w:val="7C865339"/>
    <w:rsid w:val="7CCD298A"/>
    <w:rsid w:val="7CD460A4"/>
    <w:rsid w:val="7CE06488"/>
    <w:rsid w:val="7CF625A7"/>
    <w:rsid w:val="7D014823"/>
    <w:rsid w:val="7D0270B5"/>
    <w:rsid w:val="7D142945"/>
    <w:rsid w:val="7D225061"/>
    <w:rsid w:val="7D341239"/>
    <w:rsid w:val="7D361594"/>
    <w:rsid w:val="7D364BA7"/>
    <w:rsid w:val="7D384C6A"/>
    <w:rsid w:val="7D8E4A21"/>
    <w:rsid w:val="7D99109C"/>
    <w:rsid w:val="7D9F59FC"/>
    <w:rsid w:val="7DA12FB2"/>
    <w:rsid w:val="7DA62B35"/>
    <w:rsid w:val="7DBB54B6"/>
    <w:rsid w:val="7DC4436B"/>
    <w:rsid w:val="7DF00E36"/>
    <w:rsid w:val="7E01736D"/>
    <w:rsid w:val="7E050638"/>
    <w:rsid w:val="7E136BC8"/>
    <w:rsid w:val="7E1749FD"/>
    <w:rsid w:val="7E1B1DA9"/>
    <w:rsid w:val="7E2043A0"/>
    <w:rsid w:val="7E6D4A02"/>
    <w:rsid w:val="7E6E3398"/>
    <w:rsid w:val="7EA1645A"/>
    <w:rsid w:val="7EA37F3B"/>
    <w:rsid w:val="7EAE6E91"/>
    <w:rsid w:val="7EB123DD"/>
    <w:rsid w:val="7EB22415"/>
    <w:rsid w:val="7EC12A65"/>
    <w:rsid w:val="7ED607F9"/>
    <w:rsid w:val="7ED973A3"/>
    <w:rsid w:val="7EDC3936"/>
    <w:rsid w:val="7F0C2A46"/>
    <w:rsid w:val="7F0F1615"/>
    <w:rsid w:val="7F1B21F2"/>
    <w:rsid w:val="7F233313"/>
    <w:rsid w:val="7F2E7C55"/>
    <w:rsid w:val="7F491C9F"/>
    <w:rsid w:val="7F4F1298"/>
    <w:rsid w:val="7F681AB7"/>
    <w:rsid w:val="7F7122D0"/>
    <w:rsid w:val="7F7818D1"/>
    <w:rsid w:val="7F8C476B"/>
    <w:rsid w:val="7F8C6D0F"/>
    <w:rsid w:val="7F8D69DE"/>
    <w:rsid w:val="7F9049FC"/>
    <w:rsid w:val="7F963AE5"/>
    <w:rsid w:val="7FAF2DF8"/>
    <w:rsid w:val="7FB12F4E"/>
    <w:rsid w:val="7FBF76AE"/>
    <w:rsid w:val="7FCC55C5"/>
    <w:rsid w:val="7FF3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autoRedefine/>
    <w:qFormat/>
    <w:uiPriority w:val="9"/>
    <w:pPr>
      <w:keepNext/>
      <w:spacing w:line="360" w:lineRule="auto"/>
      <w:jc w:val="center"/>
      <w:outlineLvl w:val="0"/>
    </w:pPr>
    <w:rPr>
      <w:b/>
      <w:bCs/>
      <w:kern w:val="44"/>
      <w:sz w:val="44"/>
      <w:szCs w:val="44"/>
    </w:rPr>
  </w:style>
  <w:style w:type="paragraph" w:styleId="3">
    <w:name w:val="heading 2"/>
    <w:basedOn w:val="1"/>
    <w:next w:val="1"/>
    <w:autoRedefine/>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paragraph" w:styleId="4">
    <w:name w:val="heading 3"/>
    <w:basedOn w:val="1"/>
    <w:next w:val="1"/>
    <w:link w:val="66"/>
    <w:autoRedefine/>
    <w:qFormat/>
    <w:uiPriority w:val="0"/>
    <w:pPr>
      <w:keepNext/>
      <w:keepLines/>
      <w:numPr>
        <w:ilvl w:val="2"/>
        <w:numId w:val="2"/>
      </w:numPr>
      <w:spacing w:before="120" w:after="120" w:line="360" w:lineRule="auto"/>
      <w:jc w:val="center"/>
      <w:outlineLvl w:val="2"/>
    </w:pPr>
    <w:rPr>
      <w:rFonts w:eastAsia="??"/>
      <w:b/>
      <w:kern w:val="0"/>
      <w:sz w:val="32"/>
      <w:szCs w:val="28"/>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 w:cs="Arial"/>
      <w:b/>
      <w:bCs/>
      <w:sz w:val="28"/>
      <w:szCs w:val="28"/>
    </w:rPr>
  </w:style>
  <w:style w:type="paragraph" w:styleId="6">
    <w:name w:val="heading 5"/>
    <w:basedOn w:val="1"/>
    <w:next w:val="1"/>
    <w:autoRedefine/>
    <w:qFormat/>
    <w:uiPriority w:val="0"/>
    <w:pPr>
      <w:keepNext/>
      <w:keepLines/>
      <w:spacing w:before="280" w:after="290" w:line="376" w:lineRule="auto"/>
      <w:outlineLvl w:val="4"/>
    </w:pPr>
    <w:rPr>
      <w:rFonts w:eastAsia="??"/>
      <w:b/>
      <w:bCs/>
      <w:sz w:val="28"/>
      <w:szCs w:val="28"/>
    </w:rPr>
  </w:style>
  <w:style w:type="paragraph" w:styleId="7">
    <w:name w:val="heading 6"/>
    <w:basedOn w:val="1"/>
    <w:next w:val="1"/>
    <w:autoRedefine/>
    <w:qFormat/>
    <w:uiPriority w:val="0"/>
    <w:pPr>
      <w:keepNext/>
      <w:keepLines/>
      <w:numPr>
        <w:ilvl w:val="5"/>
        <w:numId w:val="2"/>
      </w:numPr>
      <w:spacing w:before="240" w:after="64" w:line="319" w:lineRule="auto"/>
      <w:jc w:val="left"/>
      <w:outlineLvl w:val="5"/>
    </w:pPr>
    <w:rPr>
      <w:rFonts w:ascii="Arial" w:hAnsi="Arial" w:eastAsia="??" w:cs="Arial"/>
      <w:b/>
      <w:bCs/>
      <w:kern w:val="0"/>
      <w:sz w:val="24"/>
      <w:szCs w:val="28"/>
    </w:rPr>
  </w:style>
  <w:style w:type="paragraph" w:styleId="8">
    <w:name w:val="heading 7"/>
    <w:basedOn w:val="1"/>
    <w:next w:val="1"/>
    <w:autoRedefine/>
    <w:qFormat/>
    <w:uiPriority w:val="0"/>
    <w:pPr>
      <w:keepNext/>
      <w:keepLines/>
      <w:numPr>
        <w:ilvl w:val="6"/>
        <w:numId w:val="2"/>
      </w:numPr>
      <w:spacing w:before="240" w:after="64" w:line="319" w:lineRule="auto"/>
      <w:jc w:val="left"/>
      <w:outlineLvl w:val="6"/>
    </w:pPr>
    <w:rPr>
      <w:rFonts w:eastAsia="??"/>
      <w:b/>
      <w:bCs/>
      <w:kern w:val="0"/>
      <w:sz w:val="24"/>
      <w:szCs w:val="28"/>
    </w:rPr>
  </w:style>
  <w:style w:type="paragraph" w:styleId="9">
    <w:name w:val="heading 8"/>
    <w:basedOn w:val="1"/>
    <w:next w:val="1"/>
    <w:autoRedefine/>
    <w:qFormat/>
    <w:uiPriority w:val="0"/>
    <w:pPr>
      <w:keepNext/>
      <w:keepLines/>
      <w:numPr>
        <w:ilvl w:val="7"/>
        <w:numId w:val="2"/>
      </w:numPr>
      <w:spacing w:before="240" w:after="64" w:line="319" w:lineRule="auto"/>
      <w:jc w:val="left"/>
      <w:outlineLvl w:val="7"/>
    </w:pPr>
    <w:rPr>
      <w:rFonts w:ascii="Arial" w:hAnsi="Arial" w:eastAsia="??" w:cs="Arial"/>
      <w:kern w:val="0"/>
      <w:sz w:val="24"/>
      <w:szCs w:val="28"/>
    </w:rPr>
  </w:style>
  <w:style w:type="paragraph" w:styleId="10">
    <w:name w:val="heading 9"/>
    <w:basedOn w:val="1"/>
    <w:next w:val="1"/>
    <w:autoRedefine/>
    <w:qFormat/>
    <w:uiPriority w:val="0"/>
    <w:pPr>
      <w:keepNext/>
      <w:keepLines/>
      <w:numPr>
        <w:ilvl w:val="8"/>
        <w:numId w:val="2"/>
      </w:numPr>
      <w:spacing w:before="240" w:after="64" w:line="319" w:lineRule="auto"/>
      <w:jc w:val="left"/>
      <w:outlineLvl w:val="8"/>
    </w:pPr>
    <w:rPr>
      <w:rFonts w:ascii="Arial" w:hAnsi="Arial" w:eastAsia="??" w:cs="Arial"/>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rmal Indent"/>
    <w:basedOn w:val="1"/>
    <w:next w:val="13"/>
    <w:link w:val="67"/>
    <w:autoRedefine/>
    <w:qFormat/>
    <w:uiPriority w:val="0"/>
    <w:pPr>
      <w:ind w:firstLine="420"/>
      <w:jc w:val="left"/>
    </w:pPr>
    <w:rPr>
      <w:rFonts w:eastAsia="??"/>
      <w:kern w:val="0"/>
      <w:sz w:val="24"/>
    </w:rPr>
  </w:style>
  <w:style w:type="paragraph" w:styleId="13">
    <w:name w:val="Body Text Indent"/>
    <w:basedOn w:val="1"/>
    <w:next w:val="1"/>
    <w:autoRedefine/>
    <w:qFormat/>
    <w:uiPriority w:val="0"/>
    <w:pPr>
      <w:spacing w:line="480" w:lineRule="atLeast"/>
      <w:ind w:firstLine="570"/>
    </w:pPr>
    <w:rPr>
      <w:rFonts w:ascii="??" w:hAnsi="??" w:eastAsia="??" w:cs="宋体"/>
      <w:sz w:val="28"/>
      <w:szCs w:val="28"/>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autoRedefine/>
    <w:qFormat/>
    <w:uiPriority w:val="0"/>
    <w:pPr>
      <w:shd w:val="clear" w:color="auto" w:fill="000080"/>
    </w:pPr>
    <w:rPr>
      <w:rFonts w:eastAsia="??"/>
      <w:sz w:val="28"/>
      <w:szCs w:val="28"/>
    </w:rPr>
  </w:style>
  <w:style w:type="paragraph" w:styleId="16">
    <w:name w:val="toa heading"/>
    <w:basedOn w:val="1"/>
    <w:next w:val="1"/>
    <w:autoRedefine/>
    <w:qFormat/>
    <w:uiPriority w:val="0"/>
    <w:pPr>
      <w:spacing w:before="120"/>
    </w:pPr>
    <w:rPr>
      <w:rFonts w:ascii="Arial" w:hAnsi="Arial" w:cs="Arial"/>
      <w:sz w:val="24"/>
    </w:rPr>
  </w:style>
  <w:style w:type="paragraph" w:styleId="17">
    <w:name w:val="annotation text"/>
    <w:basedOn w:val="1"/>
    <w:next w:val="18"/>
    <w:link w:val="68"/>
    <w:autoRedefine/>
    <w:qFormat/>
    <w:uiPriority w:val="0"/>
    <w:pPr>
      <w:jc w:val="left"/>
    </w:pPr>
    <w:rPr>
      <w:szCs w:val="20"/>
    </w:rPr>
  </w:style>
  <w:style w:type="paragraph" w:styleId="18">
    <w:name w:val="toc 9"/>
    <w:basedOn w:val="1"/>
    <w:next w:val="1"/>
    <w:autoRedefine/>
    <w:qFormat/>
    <w:uiPriority w:val="0"/>
    <w:pPr>
      <w:ind w:left="1680"/>
      <w:jc w:val="left"/>
    </w:pPr>
    <w:rPr>
      <w:sz w:val="18"/>
      <w:szCs w:val="18"/>
    </w:rPr>
  </w:style>
  <w:style w:type="paragraph" w:styleId="19">
    <w:name w:val="Body Text 3"/>
    <w:basedOn w:val="1"/>
    <w:autoRedefine/>
    <w:qFormat/>
    <w:uiPriority w:val="0"/>
    <w:pPr>
      <w:snapToGrid w:val="0"/>
      <w:spacing w:before="50" w:after="50"/>
    </w:pPr>
    <w:rPr>
      <w:rFonts w:hAnsi="宋体" w:eastAsia="仿宋_GB2312"/>
      <w:b/>
      <w:bCs/>
      <w:sz w:val="24"/>
      <w:szCs w:val="20"/>
    </w:rPr>
  </w:style>
  <w:style w:type="paragraph" w:styleId="20">
    <w:name w:val="Body Text"/>
    <w:basedOn w:val="1"/>
    <w:next w:val="1"/>
    <w:autoRedefine/>
    <w:qFormat/>
    <w:uiPriority w:val="0"/>
    <w:rPr>
      <w:rFonts w:eastAsia="??"/>
      <w:sz w:val="24"/>
      <w:szCs w:val="28"/>
    </w:rPr>
  </w:style>
  <w:style w:type="paragraph" w:styleId="21">
    <w:name w:val="Block Text"/>
    <w:basedOn w:val="1"/>
    <w:autoRedefine/>
    <w:unhideWhenUsed/>
    <w:qFormat/>
    <w:uiPriority w:val="99"/>
    <w:pPr>
      <w:spacing w:after="120"/>
      <w:ind w:left="1440" w:leftChars="700" w:right="1440" w:rightChars="700"/>
    </w:pPr>
  </w:style>
  <w:style w:type="paragraph" w:styleId="22">
    <w:name w:val="index 4"/>
    <w:basedOn w:val="1"/>
    <w:next w:val="1"/>
    <w:autoRedefine/>
    <w:unhideWhenUsed/>
    <w:qFormat/>
    <w:uiPriority w:val="99"/>
    <w:pPr>
      <w:ind w:left="600" w:leftChars="600"/>
    </w:pPr>
    <w:rPr>
      <w:rFonts w:ascii="Verdana" w:hAnsi="Verdana"/>
      <w:szCs w:val="20"/>
    </w:rPr>
  </w:style>
  <w:style w:type="paragraph" w:styleId="23">
    <w:name w:val="toc 5"/>
    <w:basedOn w:val="1"/>
    <w:next w:val="1"/>
    <w:autoRedefine/>
    <w:qFormat/>
    <w:uiPriority w:val="0"/>
    <w:pPr>
      <w:ind w:left="840"/>
      <w:jc w:val="left"/>
    </w:pPr>
    <w:rPr>
      <w:sz w:val="18"/>
      <w:szCs w:val="18"/>
    </w:rPr>
  </w:style>
  <w:style w:type="paragraph" w:styleId="24">
    <w:name w:val="toc 3"/>
    <w:basedOn w:val="1"/>
    <w:next w:val="1"/>
    <w:autoRedefine/>
    <w:qFormat/>
    <w:uiPriority w:val="0"/>
    <w:pPr>
      <w:ind w:left="420"/>
      <w:jc w:val="left"/>
    </w:pPr>
    <w:rPr>
      <w:i/>
      <w:iCs/>
      <w:sz w:val="20"/>
      <w:szCs w:val="20"/>
    </w:rPr>
  </w:style>
  <w:style w:type="paragraph" w:styleId="25">
    <w:name w:val="Plain Text"/>
    <w:basedOn w:val="1"/>
    <w:link w:val="69"/>
    <w:autoRedefine/>
    <w:qFormat/>
    <w:uiPriority w:val="0"/>
    <w:rPr>
      <w:rFonts w:ascii="??" w:hAnsi="??" w:eastAsia="??" w:cs="宋体"/>
      <w:szCs w:val="21"/>
    </w:rPr>
  </w:style>
  <w:style w:type="paragraph" w:styleId="26">
    <w:name w:val="toc 8"/>
    <w:basedOn w:val="1"/>
    <w:next w:val="1"/>
    <w:autoRedefine/>
    <w:qFormat/>
    <w:uiPriority w:val="0"/>
    <w:pPr>
      <w:ind w:left="1470"/>
      <w:jc w:val="left"/>
    </w:pPr>
    <w:rPr>
      <w:sz w:val="18"/>
      <w:szCs w:val="18"/>
    </w:rPr>
  </w:style>
  <w:style w:type="paragraph" w:styleId="27">
    <w:name w:val="Date"/>
    <w:basedOn w:val="1"/>
    <w:next w:val="1"/>
    <w:autoRedefine/>
    <w:qFormat/>
    <w:uiPriority w:val="0"/>
    <w:pPr>
      <w:adjustRightInd w:val="0"/>
      <w:jc w:val="right"/>
      <w:textAlignment w:val="baseline"/>
    </w:pPr>
    <w:rPr>
      <w:rFonts w:eastAsia="??_GB2312"/>
      <w:b/>
      <w:kern w:val="0"/>
      <w:sz w:val="28"/>
      <w:szCs w:val="28"/>
    </w:rPr>
  </w:style>
  <w:style w:type="paragraph" w:styleId="28">
    <w:name w:val="Body Text Indent 2"/>
    <w:basedOn w:val="1"/>
    <w:autoRedefine/>
    <w:qFormat/>
    <w:uiPriority w:val="0"/>
    <w:pPr>
      <w:spacing w:line="520" w:lineRule="exact"/>
      <w:ind w:firstLine="303" w:firstLineChars="303"/>
    </w:pPr>
    <w:rPr>
      <w:rFonts w:ascii="??" w:hAnsi="??" w:eastAsia="??" w:cs="宋体"/>
      <w:sz w:val="28"/>
      <w:szCs w:val="28"/>
    </w:rPr>
  </w:style>
  <w:style w:type="paragraph" w:styleId="29">
    <w:name w:val="Balloon Text"/>
    <w:basedOn w:val="1"/>
    <w:autoRedefine/>
    <w:qFormat/>
    <w:uiPriority w:val="0"/>
    <w:rPr>
      <w:rFonts w:eastAsia="??"/>
      <w:sz w:val="18"/>
      <w:szCs w:val="18"/>
    </w:rPr>
  </w:style>
  <w:style w:type="paragraph" w:styleId="30">
    <w:name w:val="footer"/>
    <w:basedOn w:val="1"/>
    <w:link w:val="70"/>
    <w:autoRedefine/>
    <w:qFormat/>
    <w:uiPriority w:val="99"/>
    <w:pPr>
      <w:tabs>
        <w:tab w:val="center" w:pos="4153"/>
        <w:tab w:val="right" w:pos="8306"/>
      </w:tabs>
      <w:snapToGrid w:val="0"/>
      <w:jc w:val="left"/>
    </w:pPr>
    <w:rPr>
      <w:rFonts w:eastAsia="??"/>
      <w:sz w:val="18"/>
      <w:szCs w:val="28"/>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rFonts w:eastAsia="??"/>
      <w:sz w:val="18"/>
      <w:szCs w:val="28"/>
    </w:rPr>
  </w:style>
  <w:style w:type="paragraph" w:styleId="32">
    <w:name w:val="toc 1"/>
    <w:basedOn w:val="1"/>
    <w:next w:val="1"/>
    <w:autoRedefine/>
    <w:qFormat/>
    <w:uiPriority w:val="39"/>
    <w:pPr>
      <w:spacing w:before="120" w:after="120"/>
      <w:jc w:val="left"/>
    </w:pPr>
    <w:rPr>
      <w:b/>
      <w:bCs/>
      <w:caps/>
      <w:sz w:val="20"/>
      <w:szCs w:val="20"/>
    </w:rPr>
  </w:style>
  <w:style w:type="paragraph" w:styleId="33">
    <w:name w:val="toc 4"/>
    <w:basedOn w:val="1"/>
    <w:next w:val="1"/>
    <w:autoRedefine/>
    <w:qFormat/>
    <w:uiPriority w:val="0"/>
    <w:pPr>
      <w:ind w:left="630"/>
      <w:jc w:val="left"/>
    </w:pPr>
    <w:rPr>
      <w:sz w:val="18"/>
      <w:szCs w:val="18"/>
    </w:rPr>
  </w:style>
  <w:style w:type="paragraph" w:styleId="34">
    <w:name w:val="footnote text"/>
    <w:basedOn w:val="1"/>
    <w:autoRedefine/>
    <w:unhideWhenUsed/>
    <w:qFormat/>
    <w:uiPriority w:val="99"/>
    <w:pPr>
      <w:snapToGrid w:val="0"/>
      <w:jc w:val="left"/>
    </w:pPr>
    <w:rPr>
      <w:rFonts w:hint="eastAsia"/>
      <w:sz w:val="18"/>
    </w:rPr>
  </w:style>
  <w:style w:type="paragraph" w:styleId="35">
    <w:name w:val="toc 6"/>
    <w:basedOn w:val="1"/>
    <w:next w:val="1"/>
    <w:autoRedefine/>
    <w:qFormat/>
    <w:uiPriority w:val="0"/>
    <w:pPr>
      <w:ind w:left="1050"/>
      <w:jc w:val="left"/>
    </w:pPr>
    <w:rPr>
      <w:sz w:val="18"/>
      <w:szCs w:val="18"/>
    </w:rPr>
  </w:style>
  <w:style w:type="paragraph" w:styleId="36">
    <w:name w:val="Body Text Indent 3"/>
    <w:basedOn w:val="1"/>
    <w:autoRedefine/>
    <w:qFormat/>
    <w:uiPriority w:val="0"/>
    <w:pPr>
      <w:spacing w:line="520" w:lineRule="exact"/>
      <w:ind w:firstLine="547"/>
    </w:pPr>
    <w:rPr>
      <w:rFonts w:eastAsia="??"/>
      <w:sz w:val="28"/>
      <w:szCs w:val="28"/>
    </w:rPr>
  </w:style>
  <w:style w:type="paragraph" w:styleId="37">
    <w:name w:val="table of figures"/>
    <w:basedOn w:val="1"/>
    <w:next w:val="1"/>
    <w:autoRedefine/>
    <w:qFormat/>
    <w:uiPriority w:val="0"/>
    <w:pPr>
      <w:ind w:left="560" w:hanging="560"/>
      <w:jc w:val="left"/>
    </w:pPr>
    <w:rPr>
      <w:rFonts w:ascii="Calibri" w:hAnsi="Calibri" w:eastAsia="??" w:cs="宋体"/>
      <w:smallCaps/>
      <w:sz w:val="20"/>
      <w:szCs w:val="28"/>
    </w:rPr>
  </w:style>
  <w:style w:type="paragraph" w:styleId="38">
    <w:name w:val="toc 2"/>
    <w:basedOn w:val="1"/>
    <w:next w:val="1"/>
    <w:autoRedefine/>
    <w:qFormat/>
    <w:uiPriority w:val="39"/>
    <w:pPr>
      <w:ind w:left="210"/>
      <w:jc w:val="left"/>
    </w:pPr>
    <w:rPr>
      <w:smallCaps/>
      <w:sz w:val="20"/>
      <w:szCs w:val="20"/>
    </w:rPr>
  </w:style>
  <w:style w:type="paragraph" w:styleId="39">
    <w:name w:val="Body Text 2"/>
    <w:basedOn w:val="1"/>
    <w:autoRedefine/>
    <w:qFormat/>
    <w:uiPriority w:val="0"/>
    <w:pPr>
      <w:spacing w:after="120" w:line="480" w:lineRule="auto"/>
    </w:pPr>
  </w:style>
  <w:style w:type="paragraph" w:styleId="4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41">
    <w:name w:val="Normal (Web)"/>
    <w:basedOn w:val="1"/>
    <w:autoRedefine/>
    <w:qFormat/>
    <w:uiPriority w:val="99"/>
    <w:pPr>
      <w:spacing w:before="100" w:beforeAutospacing="1" w:after="100" w:afterAutospacing="1"/>
      <w:jc w:val="left"/>
    </w:pPr>
    <w:rPr>
      <w:rFonts w:ascii="??" w:hAnsi="??" w:eastAsia="??" w:cs="宋体"/>
      <w:kern w:val="0"/>
      <w:sz w:val="24"/>
    </w:rPr>
  </w:style>
  <w:style w:type="paragraph" w:styleId="42">
    <w:name w:val="Title"/>
    <w:basedOn w:val="1"/>
    <w:autoRedefine/>
    <w:qFormat/>
    <w:uiPriority w:val="0"/>
    <w:pPr>
      <w:overflowPunct w:val="0"/>
      <w:autoSpaceDE w:val="0"/>
      <w:autoSpaceDN w:val="0"/>
      <w:adjustRightInd w:val="0"/>
      <w:jc w:val="center"/>
      <w:textAlignment w:val="baseline"/>
    </w:pPr>
    <w:rPr>
      <w:rFonts w:eastAsia="??"/>
      <w:b/>
      <w:kern w:val="0"/>
      <w:sz w:val="24"/>
      <w:szCs w:val="28"/>
      <w:lang w:val="en-GB"/>
    </w:rPr>
  </w:style>
  <w:style w:type="paragraph" w:styleId="43">
    <w:name w:val="annotation subject"/>
    <w:basedOn w:val="17"/>
    <w:next w:val="17"/>
    <w:link w:val="71"/>
    <w:autoRedefine/>
    <w:qFormat/>
    <w:uiPriority w:val="0"/>
    <w:rPr>
      <w:b/>
      <w:bCs/>
      <w:szCs w:val="24"/>
    </w:rPr>
  </w:style>
  <w:style w:type="paragraph" w:styleId="44">
    <w:name w:val="Body Text First Indent"/>
    <w:basedOn w:val="1"/>
    <w:next w:val="35"/>
    <w:autoRedefine/>
    <w:qFormat/>
    <w:uiPriority w:val="0"/>
    <w:pPr>
      <w:autoSpaceDE w:val="0"/>
      <w:autoSpaceDN w:val="0"/>
      <w:adjustRightInd w:val="0"/>
      <w:spacing w:line="360" w:lineRule="auto"/>
      <w:ind w:firstLine="420"/>
    </w:pPr>
    <w:rPr>
      <w:rFonts w:ascii="宋体"/>
      <w:szCs w:val="20"/>
      <w:lang w:val="zh-CN"/>
    </w:rPr>
  </w:style>
  <w:style w:type="paragraph" w:styleId="45">
    <w:name w:val="Body Text First Indent 2"/>
    <w:basedOn w:val="13"/>
    <w:autoRedefine/>
    <w:unhideWhenUsed/>
    <w:qFormat/>
    <w:uiPriority w:val="99"/>
    <w:pPr>
      <w:spacing w:after="120" w:line="240" w:lineRule="auto"/>
      <w:ind w:left="420" w:leftChars="200" w:firstLine="420"/>
    </w:pPr>
    <w:rPr>
      <w:rFonts w:ascii="Calibri" w:eastAsia="宋体"/>
      <w:sz w:val="21"/>
      <w:szCs w:val="22"/>
    </w:rPr>
  </w:style>
  <w:style w:type="table" w:styleId="47">
    <w:name w:val="Table Grid"/>
    <w:basedOn w:val="4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b/>
      <w:bCs/>
    </w:rPr>
  </w:style>
  <w:style w:type="character" w:styleId="50">
    <w:name w:val="page number"/>
    <w:autoRedefine/>
    <w:qFormat/>
    <w:uiPriority w:val="0"/>
  </w:style>
  <w:style w:type="character" w:styleId="51">
    <w:name w:val="FollowedHyperlink"/>
    <w:autoRedefine/>
    <w:qFormat/>
    <w:uiPriority w:val="0"/>
    <w:rPr>
      <w:color w:val="800080"/>
      <w:u w:val="single"/>
    </w:rPr>
  </w:style>
  <w:style w:type="character" w:styleId="52">
    <w:name w:val="HTML Definition"/>
    <w:autoRedefine/>
    <w:qFormat/>
    <w:uiPriority w:val="0"/>
    <w:rPr>
      <w:i/>
      <w:iCs/>
    </w:rPr>
  </w:style>
  <w:style w:type="character" w:styleId="53">
    <w:name w:val="Hyperlink"/>
    <w:basedOn w:val="48"/>
    <w:autoRedefine/>
    <w:qFormat/>
    <w:uiPriority w:val="99"/>
    <w:rPr>
      <w:color w:val="0000FF"/>
      <w:u w:val="single"/>
    </w:rPr>
  </w:style>
  <w:style w:type="character" w:styleId="54">
    <w:name w:val="HTML Code"/>
    <w:autoRedefine/>
    <w:qFormat/>
    <w:uiPriority w:val="0"/>
    <w:rPr>
      <w:rFonts w:hint="default" w:ascii="Consolas" w:hAnsi="Consolas" w:eastAsia="Consolas" w:cs="Consolas"/>
      <w:sz w:val="21"/>
      <w:szCs w:val="21"/>
    </w:rPr>
  </w:style>
  <w:style w:type="character" w:styleId="55">
    <w:name w:val="annotation reference"/>
    <w:autoRedefine/>
    <w:qFormat/>
    <w:uiPriority w:val="0"/>
    <w:rPr>
      <w:sz w:val="21"/>
    </w:rPr>
  </w:style>
  <w:style w:type="character" w:styleId="56">
    <w:name w:val="footnote reference"/>
    <w:autoRedefine/>
    <w:unhideWhenUsed/>
    <w:qFormat/>
    <w:uiPriority w:val="99"/>
    <w:rPr>
      <w:rFonts w:hint="default" w:ascii="Times New Roman"/>
      <w:sz w:val="24"/>
      <w:vertAlign w:val="superscript"/>
    </w:rPr>
  </w:style>
  <w:style w:type="character" w:styleId="57">
    <w:name w:val="HTML Keyboard"/>
    <w:autoRedefine/>
    <w:qFormat/>
    <w:uiPriority w:val="0"/>
    <w:rPr>
      <w:rFonts w:hint="default" w:ascii="Consolas" w:hAnsi="Consolas" w:eastAsia="Consolas" w:cs="Consolas"/>
      <w:sz w:val="21"/>
      <w:szCs w:val="21"/>
    </w:rPr>
  </w:style>
  <w:style w:type="character" w:styleId="58">
    <w:name w:val="HTML Sample"/>
    <w:autoRedefine/>
    <w:qFormat/>
    <w:uiPriority w:val="0"/>
    <w:rPr>
      <w:rFonts w:ascii="Consolas" w:hAnsi="Consolas" w:eastAsia="Consolas" w:cs="Consolas"/>
      <w:sz w:val="21"/>
      <w:szCs w:val="21"/>
    </w:rPr>
  </w:style>
  <w:style w:type="paragraph" w:customStyle="1" w:styleId="59">
    <w:name w:val="正文空2字"/>
    <w:basedOn w:val="6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0">
    <w:name w:val="左对齐正文"/>
    <w:autoRedefine/>
    <w:qFormat/>
    <w:uiPriority w:val="99"/>
    <w:rPr>
      <w:rFonts w:ascii="Calibri" w:hAnsi="Calibri" w:eastAsia="仿宋_GB2312" w:cs="Calibri"/>
      <w:kern w:val="2"/>
      <w:sz w:val="32"/>
      <w:szCs w:val="32"/>
      <w:lang w:val="en-US" w:eastAsia="zh-CN" w:bidi="ar-SA"/>
    </w:rPr>
  </w:style>
  <w:style w:type="paragraph" w:customStyle="1" w:styleId="61">
    <w:name w:val="Default"/>
    <w:next w:val="1"/>
    <w:autoRedefine/>
    <w:qFormat/>
    <w:uiPriority w:val="0"/>
    <w:pPr>
      <w:widowControl w:val="0"/>
      <w:autoSpaceDE w:val="0"/>
      <w:autoSpaceDN w:val="0"/>
      <w:adjustRightInd w:val="0"/>
      <w:jc w:val="both"/>
    </w:pPr>
    <w:rPr>
      <w:rFonts w:ascii="仿宋_GB2312" w:hAnsi="Times New Roman" w:eastAsia="仿宋_GB2312" w:cs="仿宋_GB2312"/>
      <w:color w:val="000000"/>
      <w:sz w:val="24"/>
      <w:szCs w:val="24"/>
      <w:lang w:val="en-US" w:eastAsia="zh-CN" w:bidi="ar-SA"/>
    </w:rPr>
  </w:style>
  <w:style w:type="paragraph" w:customStyle="1" w:styleId="6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64">
    <w:name w:val="正文文本首行缩进 21"/>
    <w:basedOn w:val="13"/>
    <w:autoRedefine/>
    <w:qFormat/>
    <w:uiPriority w:val="99"/>
    <w:pPr>
      <w:spacing w:line="200" w:lineRule="atLeast"/>
      <w:ind w:firstLine="420"/>
    </w:pPr>
    <w:rPr>
      <w:rFonts w:ascii="宋体" w:hAnsi="Courier New"/>
      <w:spacing w:val="-4"/>
      <w:sz w:val="18"/>
    </w:rPr>
  </w:style>
  <w:style w:type="character" w:customStyle="1" w:styleId="65">
    <w:name w:val="标题 1 字符1"/>
    <w:link w:val="2"/>
    <w:autoRedefine/>
    <w:qFormat/>
    <w:uiPriority w:val="9"/>
    <w:rPr>
      <w:b/>
      <w:bCs/>
      <w:kern w:val="44"/>
      <w:sz w:val="44"/>
      <w:szCs w:val="44"/>
    </w:rPr>
  </w:style>
  <w:style w:type="character" w:customStyle="1" w:styleId="66">
    <w:name w:val="标题 3 字符"/>
    <w:link w:val="4"/>
    <w:autoRedefine/>
    <w:qFormat/>
    <w:uiPriority w:val="0"/>
    <w:rPr>
      <w:rFonts w:eastAsia="??"/>
      <w:b/>
      <w:sz w:val="32"/>
      <w:szCs w:val="28"/>
    </w:rPr>
  </w:style>
  <w:style w:type="character" w:customStyle="1" w:styleId="67">
    <w:name w:val="正文缩进 字符"/>
    <w:link w:val="12"/>
    <w:autoRedefine/>
    <w:qFormat/>
    <w:uiPriority w:val="0"/>
    <w:rPr>
      <w:rFonts w:eastAsia="??"/>
      <w:sz w:val="24"/>
      <w:szCs w:val="24"/>
      <w:lang w:val="en-US" w:eastAsia="zh-CN" w:bidi="ar-SA"/>
    </w:rPr>
  </w:style>
  <w:style w:type="character" w:customStyle="1" w:styleId="68">
    <w:name w:val="批注文字 字符"/>
    <w:link w:val="17"/>
    <w:autoRedefine/>
    <w:qFormat/>
    <w:uiPriority w:val="0"/>
    <w:rPr>
      <w:rFonts w:cs="Lucida Sans"/>
      <w:kern w:val="2"/>
      <w:sz w:val="21"/>
    </w:rPr>
  </w:style>
  <w:style w:type="character" w:customStyle="1" w:styleId="69">
    <w:name w:val="纯文本 字符"/>
    <w:link w:val="25"/>
    <w:autoRedefine/>
    <w:qFormat/>
    <w:uiPriority w:val="0"/>
    <w:rPr>
      <w:rFonts w:ascii="??" w:hAnsi="??" w:eastAsia="??" w:cs="宋体"/>
      <w:kern w:val="2"/>
      <w:sz w:val="21"/>
      <w:szCs w:val="21"/>
      <w:lang w:val="en-US" w:eastAsia="zh-CN" w:bidi="ar-SA"/>
    </w:rPr>
  </w:style>
  <w:style w:type="character" w:customStyle="1" w:styleId="70">
    <w:name w:val="页脚 字符"/>
    <w:link w:val="30"/>
    <w:autoRedefine/>
    <w:qFormat/>
    <w:uiPriority w:val="99"/>
    <w:rPr>
      <w:rFonts w:eastAsia="??"/>
      <w:kern w:val="2"/>
      <w:sz w:val="18"/>
      <w:szCs w:val="28"/>
    </w:rPr>
  </w:style>
  <w:style w:type="character" w:customStyle="1" w:styleId="71">
    <w:name w:val="批注主题 字符"/>
    <w:link w:val="43"/>
    <w:autoRedefine/>
    <w:qFormat/>
    <w:uiPriority w:val="0"/>
    <w:rPr>
      <w:rFonts w:cs="Lucida Sans"/>
      <w:b/>
      <w:bCs/>
      <w:kern w:val="2"/>
      <w:sz w:val="21"/>
      <w:szCs w:val="24"/>
    </w:rPr>
  </w:style>
  <w:style w:type="character" w:customStyle="1" w:styleId="72">
    <w:name w:val="NormalCharacter"/>
    <w:autoRedefine/>
    <w:semiHidden/>
    <w:qFormat/>
    <w:uiPriority w:val="0"/>
    <w:rPr>
      <w:kern w:val="2"/>
      <w:sz w:val="21"/>
      <w:szCs w:val="24"/>
      <w:lang w:val="en-US" w:eastAsia="zh-CN" w:bidi="ar-SA"/>
    </w:rPr>
  </w:style>
  <w:style w:type="paragraph" w:customStyle="1" w:styleId="73">
    <w:name w:val="BodyText1I"/>
    <w:basedOn w:val="74"/>
    <w:next w:val="75"/>
    <w:autoRedefine/>
    <w:qFormat/>
    <w:uiPriority w:val="0"/>
    <w:pPr>
      <w:spacing w:line="360" w:lineRule="auto"/>
      <w:ind w:firstLine="420"/>
    </w:pPr>
    <w:rPr>
      <w:rFonts w:ascii="宋体" w:hAnsi="Calibri"/>
      <w:szCs w:val="20"/>
      <w:lang w:val="zh-CN"/>
    </w:rPr>
  </w:style>
  <w:style w:type="paragraph" w:customStyle="1" w:styleId="74">
    <w:name w:val="BodyText"/>
    <w:basedOn w:val="1"/>
    <w:link w:val="76"/>
    <w:autoRedefine/>
    <w:qFormat/>
    <w:uiPriority w:val="0"/>
    <w:pPr>
      <w:spacing w:after="120"/>
      <w:textAlignment w:val="baseline"/>
    </w:pPr>
    <w:rPr>
      <w:sz w:val="28"/>
    </w:rPr>
  </w:style>
  <w:style w:type="paragraph" w:customStyle="1" w:styleId="75">
    <w:name w:val="TOC6"/>
    <w:basedOn w:val="1"/>
    <w:next w:val="1"/>
    <w:autoRedefine/>
    <w:qFormat/>
    <w:uiPriority w:val="0"/>
    <w:pPr>
      <w:spacing w:line="360" w:lineRule="auto"/>
      <w:ind w:left="1200" w:firstLine="200" w:firstLineChars="200"/>
      <w:jc w:val="left"/>
      <w:textAlignment w:val="baseline"/>
    </w:pPr>
    <w:rPr>
      <w:rFonts w:ascii="Calibri" w:hAnsi="Calibri"/>
      <w:sz w:val="18"/>
      <w:szCs w:val="18"/>
    </w:rPr>
  </w:style>
  <w:style w:type="character" w:customStyle="1" w:styleId="76">
    <w:name w:val="UserStyle_0"/>
    <w:link w:val="74"/>
    <w:autoRedefine/>
    <w:semiHidden/>
    <w:qFormat/>
    <w:locked/>
    <w:uiPriority w:val="0"/>
    <w:rPr>
      <w:kern w:val="2"/>
      <w:sz w:val="28"/>
      <w:lang w:val="en-US" w:eastAsia="zh-CN" w:bidi="ar-SA"/>
    </w:rPr>
  </w:style>
  <w:style w:type="character" w:customStyle="1" w:styleId="77">
    <w:name w:val="Char Char2"/>
    <w:autoRedefine/>
    <w:qFormat/>
    <w:uiPriority w:val="0"/>
    <w:rPr>
      <w:rFonts w:eastAsia="宋体"/>
      <w:sz w:val="24"/>
      <w:szCs w:val="24"/>
      <w:lang w:val="en-US" w:eastAsia="zh-CN" w:bidi="ar-SA"/>
    </w:rPr>
  </w:style>
  <w:style w:type="character" w:customStyle="1" w:styleId="78">
    <w:name w:val="Char Char5"/>
    <w:autoRedefine/>
    <w:qFormat/>
    <w:uiPriority w:val="0"/>
    <w:rPr>
      <w:rFonts w:ascii="宋体" w:hAnsi="Courier New" w:eastAsia="宋体"/>
      <w:kern w:val="2"/>
      <w:sz w:val="21"/>
      <w:szCs w:val="21"/>
      <w:lang w:bidi="ar-SA"/>
    </w:rPr>
  </w:style>
  <w:style w:type="character" w:customStyle="1" w:styleId="79">
    <w:name w:val="ant-tree-icon_loading"/>
    <w:autoRedefine/>
    <w:qFormat/>
    <w:uiPriority w:val="0"/>
    <w:rPr>
      <w:shd w:val="clear" w:color="auto" w:fill="FFFFFF"/>
    </w:rPr>
  </w:style>
  <w:style w:type="character" w:customStyle="1" w:styleId="80">
    <w:name w:val="批注文字 Char1"/>
    <w:autoRedefine/>
    <w:qFormat/>
    <w:uiPriority w:val="0"/>
    <w:rPr>
      <w:kern w:val="2"/>
      <w:sz w:val="21"/>
      <w:szCs w:val="24"/>
    </w:rPr>
  </w:style>
  <w:style w:type="character" w:customStyle="1" w:styleId="81">
    <w:name w:val="正文非缩进 Char"/>
    <w:autoRedefine/>
    <w:qFormat/>
    <w:uiPriority w:val="0"/>
    <w:rPr>
      <w:rFonts w:ascii="??" w:eastAsia="??"/>
      <w:snapToGrid w:val="0"/>
      <w:color w:val="000000"/>
      <w:kern w:val="28"/>
      <w:sz w:val="28"/>
      <w:lang w:val="en-US" w:eastAsia="zh-CN" w:bidi="ar-SA"/>
    </w:rPr>
  </w:style>
  <w:style w:type="character" w:customStyle="1" w:styleId="82">
    <w:name w:val="font11"/>
    <w:basedOn w:val="48"/>
    <w:autoRedefine/>
    <w:qFormat/>
    <w:uiPriority w:val="0"/>
    <w:rPr>
      <w:rFonts w:hint="eastAsia" w:ascii="宋体" w:hAnsi="宋体" w:eastAsia="宋体" w:cs="宋体"/>
      <w:color w:val="000000"/>
      <w:sz w:val="20"/>
      <w:szCs w:val="20"/>
      <w:u w:val="none"/>
    </w:rPr>
  </w:style>
  <w:style w:type="character" w:customStyle="1" w:styleId="83">
    <w:name w:val="正文2 Char"/>
    <w:autoRedefine/>
    <w:qFormat/>
    <w:locked/>
    <w:uiPriority w:val="0"/>
    <w:rPr>
      <w:kern w:val="2"/>
      <w:sz w:val="24"/>
    </w:rPr>
  </w:style>
  <w:style w:type="character" w:customStyle="1" w:styleId="84">
    <w:name w:val="fonts11"/>
    <w:autoRedefine/>
    <w:qFormat/>
    <w:uiPriority w:val="0"/>
    <w:rPr>
      <w:sz w:val="18"/>
      <w:szCs w:val="18"/>
    </w:rPr>
  </w:style>
  <w:style w:type="character" w:customStyle="1" w:styleId="85">
    <w:name w:val="ant-select-tree-iconele"/>
    <w:autoRedefine/>
    <w:qFormat/>
    <w:uiPriority w:val="0"/>
  </w:style>
  <w:style w:type="character" w:customStyle="1" w:styleId="86">
    <w:name w:val="font01"/>
    <w:basedOn w:val="48"/>
    <w:autoRedefine/>
    <w:qFormat/>
    <w:uiPriority w:val="0"/>
    <w:rPr>
      <w:rFonts w:hint="default" w:ascii="Times New Roman" w:hAnsi="Times New Roman" w:cs="Times New Roman"/>
      <w:color w:val="000000"/>
      <w:sz w:val="20"/>
      <w:szCs w:val="20"/>
      <w:u w:val="none"/>
    </w:rPr>
  </w:style>
  <w:style w:type="character" w:customStyle="1" w:styleId="87">
    <w:name w:val="ant-radio+*1"/>
    <w:autoRedefine/>
    <w:qFormat/>
    <w:uiPriority w:val="0"/>
  </w:style>
  <w:style w:type="character" w:customStyle="1" w:styleId="88">
    <w:name w:val="ant-tree-checkbox2"/>
    <w:autoRedefine/>
    <w:qFormat/>
    <w:uiPriority w:val="0"/>
  </w:style>
  <w:style w:type="character" w:customStyle="1" w:styleId="89">
    <w:name w:val="ant-tree-switcher"/>
    <w:autoRedefine/>
    <w:qFormat/>
    <w:uiPriority w:val="0"/>
  </w:style>
  <w:style w:type="character" w:customStyle="1" w:styleId="90">
    <w:name w:val="ant-input14"/>
    <w:autoRedefine/>
    <w:qFormat/>
    <w:uiPriority w:val="0"/>
  </w:style>
  <w:style w:type="character" w:customStyle="1" w:styleId="91">
    <w:name w:val="ant-radio+*"/>
    <w:autoRedefine/>
    <w:qFormat/>
    <w:uiPriority w:val="0"/>
  </w:style>
  <w:style w:type="character" w:customStyle="1" w:styleId="92">
    <w:name w:val="纯文本 Char1"/>
    <w:autoRedefine/>
    <w:qFormat/>
    <w:uiPriority w:val="0"/>
    <w:rPr>
      <w:rFonts w:ascii="宋体" w:hAnsi="Courier New"/>
      <w:kern w:val="2"/>
      <w:sz w:val="21"/>
    </w:rPr>
  </w:style>
  <w:style w:type="character" w:customStyle="1" w:styleId="93">
    <w:name w:val="ant-tree-iconele"/>
    <w:autoRedefine/>
    <w:qFormat/>
    <w:uiPriority w:val="0"/>
  </w:style>
  <w:style w:type="character" w:customStyle="1" w:styleId="94">
    <w:name w:val="ant-select-tree-checkbox"/>
    <w:autoRedefine/>
    <w:qFormat/>
    <w:uiPriority w:val="0"/>
  </w:style>
  <w:style w:type="character" w:customStyle="1" w:styleId="95">
    <w:name w:val="ant-select-tree-switcher"/>
    <w:autoRedefine/>
    <w:qFormat/>
    <w:uiPriority w:val="0"/>
  </w:style>
  <w:style w:type="character" w:customStyle="1" w:styleId="96">
    <w:name w:val="ant-transfer-list-search-action"/>
    <w:autoRedefine/>
    <w:qFormat/>
    <w:uiPriority w:val="0"/>
  </w:style>
  <w:style w:type="character" w:customStyle="1" w:styleId="97">
    <w:name w:val="ant-select-tree-checkbox2"/>
    <w:autoRedefine/>
    <w:qFormat/>
    <w:uiPriority w:val="0"/>
  </w:style>
  <w:style w:type="character" w:customStyle="1" w:styleId="98">
    <w:name w:val="正文2 Char Char"/>
    <w:link w:val="99"/>
    <w:autoRedefine/>
    <w:qFormat/>
    <w:uiPriority w:val="0"/>
    <w:rPr>
      <w:rFonts w:eastAsia="??"/>
      <w:kern w:val="2"/>
      <w:sz w:val="24"/>
      <w:szCs w:val="28"/>
      <w:lang w:val="en-US" w:eastAsia="zh-CN" w:bidi="ar-SA"/>
    </w:rPr>
  </w:style>
  <w:style w:type="paragraph" w:customStyle="1" w:styleId="99">
    <w:name w:val="正文2"/>
    <w:basedOn w:val="1"/>
    <w:link w:val="98"/>
    <w:autoRedefine/>
    <w:qFormat/>
    <w:uiPriority w:val="0"/>
    <w:pPr>
      <w:spacing w:before="156" w:line="360" w:lineRule="auto"/>
      <w:ind w:firstLine="200" w:firstLineChars="200"/>
    </w:pPr>
    <w:rPr>
      <w:rFonts w:eastAsia="??"/>
      <w:sz w:val="24"/>
      <w:szCs w:val="28"/>
    </w:rPr>
  </w:style>
  <w:style w:type="character" w:customStyle="1" w:styleId="100">
    <w:name w:val="标题 1 字符"/>
    <w:autoRedefine/>
    <w:qFormat/>
    <w:uiPriority w:val="0"/>
    <w:rPr>
      <w:rFonts w:ascii="??" w:hAnsi="??" w:eastAsia="??" w:cs="宋体"/>
      <w:b/>
      <w:kern w:val="36"/>
      <w:sz w:val="32"/>
      <w:szCs w:val="28"/>
    </w:rPr>
  </w:style>
  <w:style w:type="paragraph" w:customStyle="1" w:styleId="101">
    <w:name w:val="[Normal]"/>
    <w:autoRedefine/>
    <w:qFormat/>
    <w:uiPriority w:val="0"/>
    <w:pPr>
      <w:jc w:val="both"/>
    </w:pPr>
    <w:rPr>
      <w:rFonts w:ascii="宋体" w:hAnsi="宋体" w:eastAsia="宋体" w:cs="Times New Roman"/>
      <w:sz w:val="24"/>
      <w:szCs w:val="22"/>
      <w:lang w:val="zh-CN" w:eastAsia="zh-CN" w:bidi="ar-SA"/>
    </w:rPr>
  </w:style>
  <w:style w:type="paragraph" w:customStyle="1" w:styleId="102">
    <w:name w:val="样式 正文文本"/>
    <w:basedOn w:val="1"/>
    <w:autoRedefine/>
    <w:qFormat/>
    <w:uiPriority w:val="0"/>
    <w:pPr>
      <w:adjustRightInd w:val="0"/>
      <w:snapToGrid w:val="0"/>
      <w:spacing w:line="400" w:lineRule="exact"/>
      <w:ind w:firstLine="200" w:firstLineChars="200"/>
    </w:pPr>
    <w:rPr>
      <w:rFonts w:ascii="Arial" w:hAnsi="Arial"/>
      <w:color w:val="000000"/>
      <w:szCs w:val="20"/>
    </w:rPr>
  </w:style>
  <w:style w:type="paragraph" w:customStyle="1" w:styleId="10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列出段落11"/>
    <w:basedOn w:val="1"/>
    <w:autoRedefine/>
    <w:qFormat/>
    <w:uiPriority w:val="0"/>
    <w:pPr>
      <w:snapToGrid w:val="0"/>
      <w:spacing w:line="276" w:lineRule="auto"/>
      <w:ind w:firstLine="420" w:firstLineChars="200"/>
    </w:pPr>
    <w:rPr>
      <w:rFonts w:ascii="Calibri" w:hAnsi="Calibri" w:eastAsia="微软雅黑"/>
      <w:sz w:val="24"/>
      <w:szCs w:val="21"/>
    </w:rPr>
  </w:style>
  <w:style w:type="paragraph" w:customStyle="1" w:styleId="105">
    <w:name w:val="无间隔1"/>
    <w:autoRedefine/>
    <w:qFormat/>
    <w:uiPriority w:val="1"/>
    <w:pPr>
      <w:widowControl w:val="0"/>
      <w:spacing w:line="360" w:lineRule="auto"/>
      <w:jc w:val="both"/>
    </w:pPr>
    <w:rPr>
      <w:rFonts w:ascii="Times New Roman" w:hAnsi="Times New Roman" w:eastAsia="宋体" w:cs="黑体"/>
      <w:kern w:val="2"/>
      <w:sz w:val="28"/>
      <w:szCs w:val="22"/>
      <w:lang w:val="en-US" w:eastAsia="zh-CN" w:bidi="ar-SA"/>
    </w:rPr>
  </w:style>
  <w:style w:type="paragraph" w:customStyle="1" w:styleId="106">
    <w:name w:val="首行缩进"/>
    <w:basedOn w:val="1"/>
    <w:next w:val="1"/>
    <w:autoRedefine/>
    <w:qFormat/>
    <w:uiPriority w:val="0"/>
    <w:pPr>
      <w:adjustRightInd w:val="0"/>
      <w:spacing w:line="360" w:lineRule="auto"/>
      <w:ind w:firstLine="480" w:firstLineChars="200"/>
    </w:pPr>
    <w:rPr>
      <w:rFonts w:ascii="宋体"/>
      <w:sz w:val="24"/>
    </w:rPr>
  </w:style>
  <w:style w:type="paragraph" w:customStyle="1" w:styleId="107">
    <w:name w:val="样式1"/>
    <w:basedOn w:val="2"/>
    <w:autoRedefine/>
    <w:qFormat/>
    <w:uiPriority w:val="0"/>
    <w:pPr>
      <w:numPr>
        <w:ilvl w:val="0"/>
        <w:numId w:val="2"/>
      </w:numPr>
    </w:pPr>
    <w:rPr>
      <w:kern w:val="0"/>
    </w:rPr>
  </w:style>
  <w:style w:type="paragraph" w:customStyle="1" w:styleId="108">
    <w:name w:val="_Style 99"/>
    <w:basedOn w:val="2"/>
    <w:next w:val="1"/>
    <w:autoRedefine/>
    <w:qFormat/>
    <w:uiPriority w:val="0"/>
    <w:pPr>
      <w:keepLines/>
      <w:spacing w:before="480" w:line="276" w:lineRule="auto"/>
      <w:jc w:val="left"/>
      <w:outlineLvl w:val="9"/>
    </w:pPr>
    <w:rPr>
      <w:rFonts w:ascii="Cambria" w:hAnsi="Cambria"/>
      <w:bCs w:val="0"/>
      <w:color w:val="365F91"/>
      <w:kern w:val="0"/>
      <w:sz w:val="28"/>
    </w:rPr>
  </w:style>
  <w:style w:type="paragraph" w:customStyle="1" w:styleId="109">
    <w:name w:val="_Style 40"/>
    <w:basedOn w:val="1"/>
    <w:autoRedefine/>
    <w:qFormat/>
    <w:uiPriority w:val="0"/>
    <w:rPr>
      <w:rFonts w:eastAsia="??"/>
      <w:szCs w:val="28"/>
    </w:rPr>
  </w:style>
  <w:style w:type="paragraph" w:customStyle="1" w:styleId="110">
    <w:name w:val="正文内"/>
    <w:basedOn w:val="1"/>
    <w:autoRedefine/>
    <w:qFormat/>
    <w:uiPriority w:val="0"/>
    <w:pPr>
      <w:spacing w:line="400" w:lineRule="exact"/>
      <w:ind w:firstLine="200" w:firstLineChars="200"/>
    </w:pPr>
    <w:rPr>
      <w:rFonts w:ascii="??" w:hAnsi="??" w:eastAsia="??" w:cs="宋体"/>
      <w:szCs w:val="28"/>
    </w:rPr>
  </w:style>
  <w:style w:type="paragraph" w:customStyle="1" w:styleId="111">
    <w:name w:val="Char Char21"/>
    <w:basedOn w:val="1"/>
    <w:autoRedefine/>
    <w:qFormat/>
    <w:uiPriority w:val="0"/>
    <w:rPr>
      <w:rFonts w:ascii="Tahoma" w:hAnsi="Tahoma" w:eastAsia="??" w:cs="Tahoma"/>
      <w:sz w:val="24"/>
      <w:szCs w:val="28"/>
    </w:rPr>
  </w:style>
  <w:style w:type="paragraph" w:customStyle="1" w:styleId="112">
    <w:name w:val="列表段落1"/>
    <w:basedOn w:val="1"/>
    <w:autoRedefine/>
    <w:qFormat/>
    <w:uiPriority w:val="34"/>
    <w:pPr>
      <w:adjustRightInd w:val="0"/>
      <w:snapToGrid w:val="0"/>
      <w:spacing w:line="360" w:lineRule="auto"/>
      <w:ind w:firstLine="200" w:firstLineChars="200"/>
    </w:pPr>
    <w:rPr>
      <w:rFonts w:eastAsia="楷体_GB2312"/>
      <w:sz w:val="24"/>
    </w:rPr>
  </w:style>
  <w:style w:type="paragraph" w:customStyle="1" w:styleId="113">
    <w:name w:val="CM13"/>
    <w:basedOn w:val="61"/>
    <w:next w:val="61"/>
    <w:autoRedefine/>
    <w:unhideWhenUsed/>
    <w:qFormat/>
    <w:uiPriority w:val="99"/>
    <w:pPr>
      <w:spacing w:line="520" w:lineRule="atLeast"/>
    </w:pPr>
    <w:rPr>
      <w:rFonts w:hint="eastAsia"/>
    </w:rPr>
  </w:style>
  <w:style w:type="paragraph" w:customStyle="1" w:styleId="114">
    <w:name w:val="列出段落1"/>
    <w:basedOn w:val="1"/>
    <w:autoRedefine/>
    <w:qFormat/>
    <w:uiPriority w:val="34"/>
    <w:pPr>
      <w:snapToGrid w:val="0"/>
      <w:spacing w:line="276" w:lineRule="auto"/>
      <w:ind w:firstLine="420" w:firstLineChars="200"/>
    </w:pPr>
    <w:rPr>
      <w:rFonts w:ascii="Calibri" w:hAnsi="Calibri" w:eastAsia="微软雅黑"/>
      <w:sz w:val="24"/>
      <w:szCs w:val="21"/>
    </w:rPr>
  </w:style>
  <w:style w:type="paragraph" w:customStyle="1" w:styleId="115">
    <w:name w:val="列出段落2"/>
    <w:basedOn w:val="1"/>
    <w:autoRedefine/>
    <w:qFormat/>
    <w:uiPriority w:val="34"/>
    <w:pPr>
      <w:ind w:firstLine="420" w:firstLineChars="200"/>
    </w:pPr>
    <w:rPr>
      <w:rFonts w:ascii="Calibri" w:hAnsi="Calibri"/>
      <w:szCs w:val="22"/>
    </w:rPr>
  </w:style>
  <w:style w:type="paragraph" w:customStyle="1" w:styleId="116">
    <w:name w:val="xl31"/>
    <w:basedOn w:val="1"/>
    <w:autoRedefine/>
    <w:qFormat/>
    <w:uiPriority w:val="0"/>
    <w:pPr>
      <w:pBdr>
        <w:bottom w:val="single" w:color="auto" w:sz="4" w:space="0"/>
      </w:pBdr>
      <w:spacing w:before="100" w:beforeAutospacing="1" w:after="100" w:afterAutospacing="1"/>
      <w:jc w:val="center"/>
    </w:pPr>
    <w:rPr>
      <w:rFonts w:ascii="??" w:hAnsi="??" w:eastAsia="??" w:cs="宋体"/>
      <w:kern w:val="0"/>
      <w:sz w:val="24"/>
    </w:rPr>
  </w:style>
  <w:style w:type="paragraph" w:customStyle="1" w:styleId="117">
    <w:name w:val="样式 宋体 小四 行距: 1.5 倍行距 首行缩进:  2 字符"/>
    <w:basedOn w:val="1"/>
    <w:autoRedefine/>
    <w:qFormat/>
    <w:uiPriority w:val="0"/>
    <w:pPr>
      <w:spacing w:line="360" w:lineRule="auto"/>
      <w:ind w:firstLine="200" w:firstLineChars="200"/>
    </w:pPr>
    <w:rPr>
      <w:rFonts w:ascii="宋体" w:hAnsi="宋体" w:cs="宋体"/>
      <w:sz w:val="24"/>
    </w:rPr>
  </w:style>
  <w:style w:type="paragraph" w:customStyle="1" w:styleId="118">
    <w:name w:val="Char1"/>
    <w:basedOn w:val="1"/>
    <w:autoRedefine/>
    <w:qFormat/>
    <w:uiPriority w:val="0"/>
    <w:rPr>
      <w:rFonts w:ascii="??_GB2312" w:hAnsi="??_GB2312" w:eastAsia="??_GB2312" w:cs="宋体"/>
      <w:b/>
      <w:sz w:val="32"/>
      <w:szCs w:val="32"/>
    </w:rPr>
  </w:style>
  <w:style w:type="paragraph" w:customStyle="1" w:styleId="119">
    <w:name w:val="列出段落3"/>
    <w:basedOn w:val="1"/>
    <w:autoRedefine/>
    <w:qFormat/>
    <w:uiPriority w:val="99"/>
    <w:pPr>
      <w:snapToGrid w:val="0"/>
      <w:spacing w:line="276" w:lineRule="auto"/>
      <w:ind w:firstLine="420" w:firstLineChars="200"/>
    </w:pPr>
    <w:rPr>
      <w:rFonts w:ascii="Calibri" w:hAnsi="Calibri" w:eastAsia="微软雅黑"/>
      <w:sz w:val="24"/>
      <w:szCs w:val="21"/>
    </w:rPr>
  </w:style>
  <w:style w:type="paragraph" w:customStyle="1" w:styleId="120">
    <w:name w:val="CM11"/>
    <w:basedOn w:val="61"/>
    <w:next w:val="61"/>
    <w:autoRedefine/>
    <w:unhideWhenUsed/>
    <w:qFormat/>
    <w:uiPriority w:val="99"/>
    <w:pPr>
      <w:spacing w:line="520" w:lineRule="atLeast"/>
    </w:pPr>
    <w:rPr>
      <w:rFonts w:hint="eastAsia"/>
    </w:rPr>
  </w:style>
  <w:style w:type="paragraph" w:customStyle="1" w:styleId="121">
    <w:name w:val="正文缩进1"/>
    <w:basedOn w:val="1"/>
    <w:autoRedefine/>
    <w:qFormat/>
    <w:uiPriority w:val="0"/>
    <w:pPr>
      <w:ind w:firstLine="420" w:firstLineChars="200"/>
    </w:pPr>
  </w:style>
  <w:style w:type="paragraph" w:customStyle="1" w:styleId="1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123">
    <w:name w:val="Heading1"/>
    <w:basedOn w:val="1"/>
    <w:next w:val="1"/>
    <w:autoRedefine/>
    <w:qFormat/>
    <w:uiPriority w:val="0"/>
    <w:pPr>
      <w:keepNext/>
      <w:spacing w:line="360" w:lineRule="auto"/>
      <w:jc w:val="center"/>
      <w:textAlignment w:val="baseline"/>
    </w:pPr>
    <w:rPr>
      <w:rFonts w:ascii="??" w:hAnsi="??" w:eastAsia="??"/>
      <w:b/>
      <w:kern w:val="36"/>
      <w:sz w:val="32"/>
      <w:szCs w:val="28"/>
    </w:rPr>
  </w:style>
  <w:style w:type="paragraph" w:customStyle="1" w:styleId="124">
    <w:name w:val="自由格式"/>
    <w:autoRedefine/>
    <w:qFormat/>
    <w:uiPriority w:val="0"/>
    <w:pPr>
      <w:jc w:val="both"/>
    </w:pPr>
    <w:rPr>
      <w:rFonts w:ascii="Cambria" w:hAnsi="Cambria" w:eastAsia="ヒラギノ角ゴ Pro W3" w:cs="Times New Roman"/>
      <w:color w:val="000000"/>
      <w:sz w:val="24"/>
      <w:lang w:val="en-US" w:eastAsia="zh-CN" w:bidi="ar-SA"/>
    </w:rPr>
  </w:style>
  <w:style w:type="paragraph" w:customStyle="1" w:styleId="125">
    <w:name w:val="Char Char1"/>
    <w:basedOn w:val="1"/>
    <w:autoRedefine/>
    <w:qFormat/>
    <w:uiPriority w:val="0"/>
    <w:rPr>
      <w:rFonts w:ascii="仿宋_GB2312" w:eastAsia="仿宋_GB2312"/>
      <w:b/>
      <w:sz w:val="32"/>
      <w:szCs w:val="32"/>
    </w:rPr>
  </w:style>
  <w:style w:type="paragraph" w:customStyle="1" w:styleId="126">
    <w:name w:val="正文 A"/>
    <w:autoRedefine/>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127">
    <w:name w:val="No Spacing1"/>
    <w:autoRedefine/>
    <w:qFormat/>
    <w:uiPriority w:val="0"/>
    <w:pPr>
      <w:jc w:val="both"/>
    </w:pPr>
    <w:rPr>
      <w:rFonts w:ascii="Times New Roman" w:hAnsi="Times New Roman" w:eastAsia="??" w:cs="宋体"/>
      <w:sz w:val="22"/>
      <w:szCs w:val="22"/>
      <w:lang w:val="en-US" w:eastAsia="en-US" w:bidi="ar-SA"/>
    </w:rPr>
  </w:style>
  <w:style w:type="paragraph" w:customStyle="1" w:styleId="128">
    <w:name w:val="公文正文"/>
    <w:basedOn w:val="1"/>
    <w:autoRedefine/>
    <w:qFormat/>
    <w:uiPriority w:val="0"/>
    <w:pPr>
      <w:spacing w:before="156" w:line="360" w:lineRule="auto"/>
      <w:ind w:firstLine="200" w:firstLineChars="200"/>
    </w:pPr>
    <w:rPr>
      <w:rFonts w:ascii="??_GB2312" w:hAnsi="??_GB2312" w:eastAsia="??_GB2312" w:cs="宋体"/>
      <w:sz w:val="24"/>
    </w:rPr>
  </w:style>
  <w:style w:type="paragraph" w:customStyle="1" w:styleId="129">
    <w:name w:val="Char Char Char Char"/>
    <w:basedOn w:val="1"/>
    <w:autoRedefine/>
    <w:qFormat/>
    <w:uiPriority w:val="0"/>
    <w:pPr>
      <w:spacing w:after="160" w:line="240" w:lineRule="exact"/>
      <w:jc w:val="left"/>
    </w:pPr>
    <w:rPr>
      <w:rFonts w:ascii="Arial" w:hAnsi="Arial" w:eastAsia="Times New Roman" w:cs="Verdana"/>
      <w:b/>
      <w:kern w:val="0"/>
      <w:sz w:val="24"/>
      <w:szCs w:val="28"/>
      <w:lang w:eastAsia="en-US"/>
    </w:rPr>
  </w:style>
  <w:style w:type="paragraph" w:customStyle="1" w:styleId="130">
    <w:name w:val="标题4"/>
    <w:basedOn w:val="1"/>
    <w:autoRedefine/>
    <w:qFormat/>
    <w:uiPriority w:val="0"/>
    <w:rPr>
      <w:rFonts w:eastAsia="??_GB2312"/>
      <w:sz w:val="32"/>
      <w:szCs w:val="28"/>
    </w:rPr>
  </w:style>
  <w:style w:type="paragraph" w:customStyle="1" w:styleId="131">
    <w:name w:val="列出段落4"/>
    <w:basedOn w:val="1"/>
    <w:autoRedefine/>
    <w:qFormat/>
    <w:uiPriority w:val="34"/>
    <w:pPr>
      <w:ind w:firstLine="200" w:firstLineChars="200"/>
      <w:jc w:val="left"/>
    </w:pPr>
    <w:rPr>
      <w:rFonts w:ascii="??" w:hAnsi="??" w:eastAsia="??" w:cs="??"/>
      <w:kern w:val="0"/>
      <w:sz w:val="24"/>
    </w:rPr>
  </w:style>
  <w:style w:type="paragraph" w:customStyle="1" w:styleId="132">
    <w:name w:val="List Paragraph1"/>
    <w:autoRedefine/>
    <w:qFormat/>
    <w:uiPriority w:val="0"/>
    <w:pPr>
      <w:ind w:left="720"/>
      <w:jc w:val="both"/>
    </w:pPr>
    <w:rPr>
      <w:rFonts w:ascii="Cambria" w:hAnsi="Cambria" w:eastAsia="ヒラギノ角ゴ Pro W3" w:cs="Times New Roman"/>
      <w:color w:val="000000"/>
      <w:sz w:val="24"/>
      <w:lang w:val="en-US" w:eastAsia="zh-CN" w:bidi="ar-SA"/>
    </w:rPr>
  </w:style>
  <w:style w:type="paragraph" w:customStyle="1" w:styleId="133">
    <w:name w:val="无间距1"/>
    <w:autoRedefine/>
    <w:qFormat/>
    <w:uiPriority w:val="0"/>
    <w:pPr>
      <w:jc w:val="both"/>
    </w:pPr>
    <w:rPr>
      <w:rFonts w:ascii="Times New Roman" w:hAnsi="Times New Roman" w:eastAsia="??" w:cs="宋体"/>
      <w:sz w:val="22"/>
      <w:szCs w:val="22"/>
      <w:lang w:val="en-US" w:eastAsia="en-US" w:bidi="ar-SA"/>
    </w:rPr>
  </w:style>
  <w:style w:type="paragraph" w:customStyle="1" w:styleId="134">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35">
    <w:name w:val="Table Grid1"/>
    <w:autoRedefine/>
    <w:qFormat/>
    <w:uiPriority w:val="0"/>
    <w:pPr>
      <w:jc w:val="both"/>
    </w:pPr>
    <w:rPr>
      <w:rFonts w:ascii="Cambria" w:hAnsi="Cambria" w:eastAsia="ヒラギノ角ゴ Pro W3" w:cs="Times New Roman"/>
      <w:color w:val="000000"/>
      <w:sz w:val="24"/>
      <w:lang w:val="en-US" w:eastAsia="zh-CN" w:bidi="ar-SA"/>
    </w:rPr>
  </w:style>
  <w:style w:type="paragraph" w:customStyle="1" w:styleId="136">
    <w:name w:val="正文 2"/>
    <w:autoRedefine/>
    <w:qFormat/>
    <w:uiPriority w:val="0"/>
    <w:pPr>
      <w:pBdr>
        <w:top w:val="none" w:color="FFFFFF" w:sz="0" w:space="31"/>
        <w:left w:val="none" w:color="FFFFFF" w:sz="0" w:space="31"/>
        <w:bottom w:val="none" w:color="FFFFFF" w:sz="0" w:space="31"/>
        <w:right w:val="none" w:color="FFFFFF" w:sz="0" w:space="31"/>
      </w:pBdr>
      <w:spacing w:after="80" w:line="288" w:lineRule="auto"/>
      <w:jc w:val="both"/>
    </w:pPr>
    <w:rPr>
      <w:rFonts w:ascii="Baskerville" w:hAnsi="Arial Unicode MS" w:eastAsia="Times New Roman" w:cs="Arial Unicode MS"/>
      <w:color w:val="434343"/>
      <w:sz w:val="24"/>
      <w:szCs w:val="24"/>
      <w:lang w:val="en-US" w:eastAsia="zh-CN" w:bidi="ar-SA"/>
    </w:rPr>
  </w:style>
  <w:style w:type="paragraph" w:customStyle="1" w:styleId="137">
    <w:name w:val="179"/>
    <w:basedOn w:val="1"/>
    <w:autoRedefine/>
    <w:qFormat/>
    <w:uiPriority w:val="0"/>
    <w:pPr>
      <w:ind w:firstLine="200" w:firstLineChars="200"/>
      <w:jc w:val="left"/>
      <w:textAlignment w:val="baseline"/>
    </w:pPr>
    <w:rPr>
      <w:rFonts w:ascii="??" w:hAnsi="??" w:eastAsia="??"/>
      <w:kern w:val="0"/>
      <w:sz w:val="24"/>
    </w:rPr>
  </w:style>
  <w:style w:type="paragraph" w:customStyle="1" w:styleId="138">
    <w:name w:val="无间隔11"/>
    <w:next w:val="1"/>
    <w:autoRedefine/>
    <w:qFormat/>
    <w:uiPriority w:val="0"/>
    <w:pPr>
      <w:jc w:val="both"/>
    </w:pPr>
    <w:rPr>
      <w:rFonts w:ascii="Times New Roman" w:hAnsi="Times New Roman" w:eastAsia="??" w:cs="Times New Roman"/>
      <w:sz w:val="22"/>
      <w:szCs w:val="22"/>
      <w:lang w:val="en-US" w:eastAsia="en-US" w:bidi="ar-SA"/>
    </w:rPr>
  </w:style>
  <w:style w:type="paragraph" w:customStyle="1" w:styleId="139">
    <w:name w:val="2"/>
    <w:basedOn w:val="1"/>
    <w:autoRedefine/>
    <w:qFormat/>
    <w:uiPriority w:val="0"/>
    <w:rPr>
      <w:rFonts w:ascii="Tahoma" w:hAnsi="Tahoma" w:eastAsia="??" w:cs="Tahoma"/>
      <w:sz w:val="24"/>
      <w:szCs w:val="28"/>
    </w:rPr>
  </w:style>
  <w:style w:type="paragraph" w:customStyle="1" w:styleId="140">
    <w:name w:val="CM14"/>
    <w:basedOn w:val="61"/>
    <w:next w:val="61"/>
    <w:autoRedefine/>
    <w:unhideWhenUsed/>
    <w:qFormat/>
    <w:uiPriority w:val="99"/>
    <w:pPr>
      <w:spacing w:line="546" w:lineRule="atLeast"/>
    </w:pPr>
    <w:rPr>
      <w:rFonts w:hint="eastAsia"/>
    </w:rPr>
  </w:style>
  <w:style w:type="paragraph" w:customStyle="1" w:styleId="141">
    <w:name w:val="_Style 135"/>
    <w:autoRedefine/>
    <w:unhideWhenUsed/>
    <w:qFormat/>
    <w:uiPriority w:val="99"/>
    <w:pPr>
      <w:jc w:val="both"/>
    </w:pPr>
    <w:rPr>
      <w:rFonts w:ascii="Times New Roman" w:hAnsi="Times New Roman" w:eastAsia="宋体" w:cs="Times New Roman"/>
      <w:kern w:val="2"/>
      <w:sz w:val="21"/>
      <w:szCs w:val="24"/>
      <w:lang w:val="en-US" w:eastAsia="zh-CN" w:bidi="ar-SA"/>
    </w:rPr>
  </w:style>
  <w:style w:type="paragraph" w:customStyle="1" w:styleId="142">
    <w:name w:val="部分1"/>
    <w:basedOn w:val="1"/>
    <w:autoRedefine/>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143">
    <w:name w:val="Char"/>
    <w:basedOn w:val="1"/>
    <w:autoRedefine/>
    <w:qFormat/>
    <w:uiPriority w:val="0"/>
    <w:rPr>
      <w:rFonts w:eastAsia="??_GB2312"/>
      <w:sz w:val="28"/>
    </w:rPr>
  </w:style>
  <w:style w:type="paragraph" w:customStyle="1" w:styleId="144">
    <w:name w:val="正文段"/>
    <w:basedOn w:val="1"/>
    <w:autoRedefine/>
    <w:qFormat/>
    <w:uiPriority w:val="0"/>
    <w:pPr>
      <w:snapToGrid w:val="0"/>
      <w:spacing w:after="156" w:afterLines="50"/>
      <w:ind w:firstLine="200" w:firstLineChars="200"/>
    </w:pPr>
    <w:rPr>
      <w:rFonts w:eastAsia="??"/>
      <w:kern w:val="0"/>
      <w:sz w:val="24"/>
      <w:szCs w:val="28"/>
    </w:rPr>
  </w:style>
  <w:style w:type="paragraph" w:customStyle="1" w:styleId="145">
    <w:name w:val="内文正文"/>
    <w:autoRedefine/>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146">
    <w:name w:val="默认段落字体 Para Char Char Char Char Char Char Char Char Char1 Char Char Char Char"/>
    <w:basedOn w:val="1"/>
    <w:autoRedefine/>
    <w:qFormat/>
    <w:uiPriority w:val="0"/>
    <w:rPr>
      <w:rFonts w:ascii="Tahoma" w:hAnsi="Tahoma"/>
      <w:sz w:val="24"/>
      <w:szCs w:val="20"/>
    </w:rPr>
  </w:style>
  <w:style w:type="paragraph" w:customStyle="1" w:styleId="147">
    <w:name w:val="aspnumfaautoadjustrightr"/>
    <w:autoRedefine/>
    <w:qFormat/>
    <w:uiPriority w:val="0"/>
    <w:pPr>
      <w:widowControl w:val="0"/>
      <w:autoSpaceDE w:val="0"/>
      <w:autoSpaceDN w:val="0"/>
      <w:adjustRightInd w:val="0"/>
      <w:ind w:firstLine="720"/>
      <w:jc w:val="both"/>
    </w:pPr>
    <w:rPr>
      <w:rFonts w:ascii="Times New Roman" w:hAnsi="Times New Roman" w:eastAsia="??" w:cs="Times New Roman"/>
      <w:szCs w:val="28"/>
      <w:lang w:val="en-US" w:eastAsia="zh-CN" w:bidi="ar-SA"/>
    </w:rPr>
  </w:style>
  <w:style w:type="paragraph" w:customStyle="1" w:styleId="148">
    <w:name w:val="Heading2"/>
    <w:basedOn w:val="123"/>
    <w:next w:val="1"/>
    <w:autoRedefine/>
    <w:qFormat/>
    <w:uiPriority w:val="0"/>
    <w:pPr>
      <w:keepLines/>
      <w:tabs>
        <w:tab w:val="left" w:pos="706"/>
        <w:tab w:val="left" w:pos="1110"/>
      </w:tabs>
      <w:ind w:left="106" w:firstLine="454"/>
    </w:pPr>
    <w:rPr>
      <w:rFonts w:ascii="Arial" w:hAnsi="Arial" w:cs="Arial"/>
      <w:bCs/>
      <w:szCs w:val="32"/>
    </w:rPr>
  </w:style>
  <w:style w:type="paragraph" w:customStyle="1" w:styleId="149">
    <w:name w:val="_Style 3"/>
    <w:autoRedefine/>
    <w:qFormat/>
    <w:uiPriority w:val="1"/>
    <w:pPr>
      <w:adjustRightInd w:val="0"/>
      <w:snapToGrid w:val="0"/>
      <w:jc w:val="both"/>
    </w:pPr>
    <w:rPr>
      <w:rFonts w:ascii="Tahoma" w:hAnsi="Tahoma" w:eastAsia="微软雅黑" w:cs="Times New Roman"/>
      <w:sz w:val="22"/>
      <w:szCs w:val="22"/>
      <w:lang w:val="en-US" w:eastAsia="zh-CN" w:bidi="ar-SA"/>
    </w:rPr>
  </w:style>
  <w:style w:type="paragraph" w:customStyle="1" w:styleId="150">
    <w:name w:val="[正文行首缩进]"/>
    <w:autoRedefine/>
    <w:qFormat/>
    <w:uiPriority w:val="0"/>
    <w:pPr>
      <w:widowControl w:val="0"/>
      <w:spacing w:line="360" w:lineRule="auto"/>
      <w:ind w:firstLine="20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151">
    <w:name w:val="_正文段落"/>
    <w:basedOn w:val="1"/>
    <w:autoRedefine/>
    <w:qFormat/>
    <w:uiPriority w:val="0"/>
    <w:pPr>
      <w:spacing w:beforeLines="15" w:afterLines="15"/>
    </w:pPr>
    <w:rPr>
      <w:kern w:val="0"/>
      <w:sz w:val="20"/>
    </w:rPr>
  </w:style>
  <w:style w:type="paragraph" w:customStyle="1" w:styleId="152">
    <w:name w:val="Char Char Char Char Char Char Char Char Char Char Char Char Char Char Char Char Char Char Char Char Char Char Char Char Char"/>
    <w:basedOn w:val="1"/>
    <w:autoRedefine/>
    <w:qFormat/>
    <w:uiPriority w:val="0"/>
    <w:rPr>
      <w:rFonts w:ascii="Tahoma" w:hAnsi="Tahoma" w:eastAsia="??" w:cs="Tahoma"/>
      <w:sz w:val="24"/>
      <w:szCs w:val="28"/>
    </w:rPr>
  </w:style>
  <w:style w:type="paragraph" w:customStyle="1" w:styleId="153">
    <w:name w:val="自定义表格文字"/>
    <w:basedOn w:val="1"/>
    <w:autoRedefine/>
    <w:qFormat/>
    <w:uiPriority w:val="0"/>
    <w:pPr>
      <w:spacing w:before="60" w:after="60" w:line="320" w:lineRule="exact"/>
      <w:jc w:val="left"/>
    </w:pPr>
    <w:rPr>
      <w:rFonts w:ascii="宋体" w:eastAsia="楷体_GB2312"/>
    </w:rPr>
  </w:style>
  <w:style w:type="paragraph" w:customStyle="1" w:styleId="154">
    <w:name w:val="列表段落2"/>
    <w:basedOn w:val="1"/>
    <w:autoRedefine/>
    <w:qFormat/>
    <w:uiPriority w:val="34"/>
    <w:pPr>
      <w:ind w:firstLine="420" w:firstLineChars="200"/>
    </w:pPr>
  </w:style>
  <w:style w:type="paragraph" w:customStyle="1" w:styleId="155">
    <w:name w:val="Heading #1|1"/>
    <w:basedOn w:val="1"/>
    <w:autoRedefine/>
    <w:qFormat/>
    <w:uiPriority w:val="0"/>
    <w:pPr>
      <w:widowControl w:val="0"/>
      <w:spacing w:before="280" w:after="480"/>
      <w:jc w:val="center"/>
      <w:outlineLvl w:val="0"/>
    </w:pPr>
    <w:rPr>
      <w:rFonts w:ascii="宋体" w:hAnsi="宋体" w:cs="宋体"/>
      <w:sz w:val="30"/>
      <w:szCs w:val="30"/>
      <w:lang w:val="zh-TW" w:eastAsia="zh-TW" w:bidi="zh-TW"/>
    </w:rPr>
  </w:style>
  <w:style w:type="paragraph" w:customStyle="1" w:styleId="156">
    <w:name w:val="Body text|1"/>
    <w:basedOn w:val="1"/>
    <w:autoRedefine/>
    <w:qFormat/>
    <w:uiPriority w:val="0"/>
    <w:pPr>
      <w:widowControl w:val="0"/>
      <w:spacing w:line="312" w:lineRule="auto"/>
      <w:ind w:firstLine="400"/>
    </w:pPr>
    <w:rPr>
      <w:rFonts w:ascii="宋体" w:hAnsi="宋体" w:cs="宋体"/>
      <w:sz w:val="20"/>
      <w:szCs w:val="20"/>
      <w:lang w:val="zh-TW" w:eastAsia="zh-TW" w:bidi="zh-TW"/>
    </w:rPr>
  </w:style>
  <w:style w:type="paragraph" w:customStyle="1" w:styleId="157">
    <w:name w:val="Other|1"/>
    <w:basedOn w:val="1"/>
    <w:autoRedefine/>
    <w:qFormat/>
    <w:uiPriority w:val="0"/>
    <w:pPr>
      <w:widowControl w:val="0"/>
      <w:spacing w:line="312" w:lineRule="auto"/>
      <w:ind w:firstLine="400"/>
    </w:pPr>
    <w:rPr>
      <w:rFonts w:ascii="宋体" w:hAnsi="宋体" w:cs="宋体"/>
      <w:sz w:val="20"/>
      <w:szCs w:val="20"/>
      <w:lang w:val="zh-TW" w:eastAsia="zh-TW" w:bidi="zh-TW"/>
    </w:rPr>
  </w:style>
  <w:style w:type="paragraph" w:customStyle="1" w:styleId="158">
    <w:name w:val="绿盟科技--正文首行缩进"/>
    <w:basedOn w:val="1"/>
    <w:autoRedefine/>
    <w:qFormat/>
    <w:uiPriority w:val="0"/>
    <w:pPr>
      <w:spacing w:after="50" w:line="300" w:lineRule="auto"/>
      <w:ind w:firstLine="200" w:firstLineChars="200"/>
      <w:jc w:val="left"/>
    </w:pPr>
    <w:rPr>
      <w:rFonts w:ascii="Arial" w:hAnsi="Arial"/>
      <w:kern w:val="0"/>
      <w:szCs w:val="21"/>
    </w:rPr>
  </w:style>
  <w:style w:type="paragraph" w:customStyle="1" w:styleId="159">
    <w:name w:val="表格正文"/>
    <w:next w:val="1"/>
    <w:autoRedefine/>
    <w:qFormat/>
    <w:uiPriority w:val="0"/>
    <w:pPr>
      <w:spacing w:line="360" w:lineRule="auto"/>
      <w:contextualSpacing/>
      <w:jc w:val="both"/>
    </w:pPr>
    <w:rPr>
      <w:rFonts w:ascii="Times New Roman" w:hAnsi="Times New Roman" w:eastAsia="宋体" w:cs="Times New Roman"/>
      <w:kern w:val="2"/>
      <w:sz w:val="24"/>
      <w:szCs w:val="24"/>
      <w:lang w:val="en-US" w:eastAsia="zh-CN" w:bidi="ar-SA"/>
    </w:rPr>
  </w:style>
  <w:style w:type="table" w:customStyle="1" w:styleId="160">
    <w:name w:val="Table Normal"/>
    <w:autoRedefine/>
    <w:unhideWhenUsed/>
    <w:qFormat/>
    <w:uiPriority w:val="0"/>
    <w:tblPr>
      <w:tblCellMar>
        <w:top w:w="0" w:type="dxa"/>
        <w:left w:w="0" w:type="dxa"/>
        <w:bottom w:w="0" w:type="dxa"/>
        <w:right w:w="0" w:type="dxa"/>
      </w:tblCellMar>
    </w:tblPr>
  </w:style>
  <w:style w:type="character" w:customStyle="1" w:styleId="161">
    <w:name w:val="font51"/>
    <w:autoRedefine/>
    <w:qFormat/>
    <w:uiPriority w:val="0"/>
    <w:rPr>
      <w:rFonts w:hint="eastAsia" w:ascii="仿宋" w:hAnsi="仿宋" w:eastAsia="仿宋" w:cs="仿宋"/>
      <w:color w:val="000000"/>
      <w:sz w:val="20"/>
      <w:szCs w:val="20"/>
      <w:u w:val="none"/>
    </w:rPr>
  </w:style>
  <w:style w:type="character" w:customStyle="1" w:styleId="162">
    <w:name w:val="font21"/>
    <w:basedOn w:val="48"/>
    <w:autoRedefine/>
    <w:qFormat/>
    <w:uiPriority w:val="0"/>
    <w:rPr>
      <w:rFonts w:hint="eastAsia" w:ascii="宋体" w:hAnsi="宋体" w:eastAsia="宋体" w:cs="宋体"/>
      <w:b/>
      <w:bCs/>
      <w:color w:val="666666"/>
      <w:sz w:val="20"/>
      <w:szCs w:val="20"/>
      <w:u w:val="none"/>
    </w:rPr>
  </w:style>
  <w:style w:type="paragraph" w:customStyle="1" w:styleId="163">
    <w:name w:val="样式10"/>
    <w:basedOn w:val="1"/>
    <w:autoRedefine/>
    <w:qFormat/>
    <w:uiPriority w:val="0"/>
    <w:pPr>
      <w:spacing w:line="360" w:lineRule="auto"/>
    </w:pPr>
    <w:rPr>
      <w:b/>
      <w:sz w:val="24"/>
    </w:rPr>
  </w:style>
  <w:style w:type="character" w:customStyle="1" w:styleId="164">
    <w:name w:val="font31"/>
    <w:basedOn w:val="48"/>
    <w:autoRedefine/>
    <w:qFormat/>
    <w:uiPriority w:val="0"/>
    <w:rPr>
      <w:rFonts w:hint="eastAsia" w:ascii="宋体" w:hAnsi="宋体" w:eastAsia="宋体" w:cs="宋体"/>
      <w:color w:val="000000"/>
      <w:sz w:val="21"/>
      <w:szCs w:val="21"/>
      <w:u w:val="none"/>
    </w:rPr>
  </w:style>
  <w:style w:type="paragraph" w:customStyle="1" w:styleId="165">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66">
    <w:name w:val="_Style 1"/>
    <w:autoRedefine/>
    <w:qFormat/>
    <w:uiPriority w:val="0"/>
    <w:rPr>
      <w:rFonts w:ascii="Calibri" w:hAnsi="Calibri" w:eastAsia="宋体" w:cs="Times New Roman"/>
      <w:kern w:val="2"/>
      <w:sz w:val="28"/>
      <w:szCs w:val="22"/>
      <w:lang w:val="en-US" w:eastAsia="zh-CN" w:bidi="ar-SA"/>
    </w:rPr>
  </w:style>
  <w:style w:type="paragraph" w:styleId="167">
    <w:name w:val="List Paragraph"/>
    <w:basedOn w:val="1"/>
    <w:autoRedefine/>
    <w:qFormat/>
    <w:uiPriority w:val="0"/>
    <w:pPr>
      <w:ind w:left="720" w:firstLine="360"/>
      <w:contextualSpacing/>
      <w:jc w:val="left"/>
    </w:pPr>
    <w:rPr>
      <w:rFonts w:ascii="Calibri" w:hAnsi="Calibri"/>
      <w:kern w:val="0"/>
      <w:sz w:val="22"/>
      <w:szCs w:val="22"/>
      <w:lang w:eastAsia="en-US" w:bidi="en-US"/>
    </w:rPr>
  </w:style>
  <w:style w:type="paragraph" w:customStyle="1" w:styleId="168">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69">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70">
    <w:name w:val="正文首行缩进1"/>
    <w:basedOn w:val="20"/>
    <w:autoRedefine/>
    <w:qFormat/>
    <w:uiPriority w:val="0"/>
    <w:pPr>
      <w:spacing w:before="100" w:beforeAutospacing="1"/>
      <w:ind w:firstLine="420" w:firstLineChars="100"/>
    </w:pPr>
    <w:rPr>
      <w:szCs w:val="21"/>
    </w:rPr>
  </w:style>
  <w:style w:type="paragraph" w:customStyle="1" w:styleId="171">
    <w:name w:val="纯文本1"/>
    <w:basedOn w:val="168"/>
    <w:autoRedefine/>
    <w:qFormat/>
    <w:uiPriority w:val="0"/>
    <w:pPr>
      <w:jc w:val="left"/>
    </w:pPr>
    <w:rPr>
      <w:rFonts w:ascii="宋体" w:hAnsi="Courier New"/>
    </w:rPr>
  </w:style>
  <w:style w:type="paragraph" w:customStyle="1" w:styleId="172">
    <w:name w:val="Normal (Web)1"/>
    <w:basedOn w:val="1"/>
    <w:autoRedefine/>
    <w:qFormat/>
    <w:uiPriority w:val="0"/>
    <w:pPr>
      <w:spacing w:before="100" w:beforeAutospacing="1" w:after="100" w:afterAutospacing="1"/>
      <w:jc w:val="left"/>
    </w:pPr>
    <w:rPr>
      <w:rFonts w:ascii="宋体" w:hAnsi="宋体" w:cs="宋体"/>
      <w:kern w:val="0"/>
      <w:sz w:val="24"/>
    </w:rPr>
  </w:style>
  <w:style w:type="character" w:customStyle="1" w:styleId="173">
    <w:name w:val="正文 CharProp Char"/>
    <w:autoRedefine/>
    <w:qFormat/>
    <w:uiPriority w:val="0"/>
    <w:rPr>
      <w:rFonts w:hint="default" w:ascii="Calibri" w:hAnsi="Calibri"/>
      <w:kern w:val="2"/>
      <w:sz w:val="21"/>
      <w:szCs w:val="24"/>
      <w:lang w:val="en-US" w:eastAsia="zh-CN" w:bidi="ar-SA"/>
    </w:rPr>
  </w:style>
  <w:style w:type="paragraph" w:customStyle="1" w:styleId="174">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75">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76">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25131</Words>
  <Characters>26738</Characters>
  <Lines>454</Lines>
  <Paragraphs>127</Paragraphs>
  <TotalTime>15</TotalTime>
  <ScaleCrop>false</ScaleCrop>
  <LinksUpToDate>false</LinksUpToDate>
  <CharactersWithSpaces>27533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2024-03-29T05:55:00Z</dcterms:created>
  <dc:creator>111</dc:creator>
  <cp:lastModifiedBy>K_Mamba</cp:lastModifiedBy>
  <cp:lastPrinted>2023-11-05T08:02:00Z</cp:lastPrinted>
  <dcterms:modified xsi:type="dcterms:W3CDTF">2024-11-06T02:42:46Z</dcterms:modified>
  <dc:title>《杭州市乡村旅游提升规划（2013-2020年）》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9C1030D33B1F4636896858A86AE4DB0E_13</vt:lpwstr>
  </property>
  <property fmtid="{D5CDD505-2E9C-101B-9397-08002B2CF9AE}" pid="4" name="commondata">
    <vt:lpwstr>eyJoZGlkIjoiYmRkMmU1ZGZjNDhmOGFkNzE5Yzk3NDc2NGU4MGNjMjUifQ==</vt:lpwstr>
  </property>
</Properties>
</file>