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F0D72">
      <w:pPr>
        <w:spacing w:line="360" w:lineRule="auto"/>
        <w:jc w:val="center"/>
        <w:rPr>
          <w:rFonts w:hint="eastAsia" w:ascii="仿宋" w:hAnsi="仿宋" w:eastAsia="仿宋" w:cs="仿宋"/>
          <w:b/>
          <w:color w:val="auto"/>
          <w:sz w:val="24"/>
          <w:highlight w:val="none"/>
        </w:rPr>
      </w:pPr>
    </w:p>
    <w:p w14:paraId="5B3E5F49">
      <w:pPr>
        <w:spacing w:line="360" w:lineRule="auto"/>
        <w:jc w:val="center"/>
        <w:rPr>
          <w:rFonts w:hint="eastAsia" w:ascii="仿宋" w:hAnsi="仿宋" w:eastAsia="仿宋" w:cs="仿宋"/>
          <w:b/>
          <w:color w:val="auto"/>
          <w:sz w:val="24"/>
          <w:highlight w:val="none"/>
        </w:rPr>
      </w:pPr>
    </w:p>
    <w:p w14:paraId="49C7078D">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汇宇未来社区数字化建设项目</w:t>
      </w:r>
    </w:p>
    <w:p w14:paraId="4D468616">
      <w:pPr>
        <w:adjustRightInd/>
        <w:spacing w:line="360" w:lineRule="auto"/>
        <w:jc w:val="center"/>
        <w:rPr>
          <w:rFonts w:hint="eastAsia" w:ascii="仿宋" w:hAnsi="仿宋" w:eastAsia="仿宋" w:cs="仿宋"/>
          <w:color w:val="auto"/>
          <w:sz w:val="48"/>
          <w:szCs w:val="48"/>
          <w:highlight w:val="none"/>
        </w:rPr>
      </w:pPr>
    </w:p>
    <w:p w14:paraId="5DAE914E">
      <w:pPr>
        <w:adjustRightInd/>
        <w:spacing w:line="360" w:lineRule="auto"/>
        <w:jc w:val="center"/>
        <w:rPr>
          <w:rFonts w:hint="eastAsia" w:ascii="仿宋" w:hAnsi="仿宋" w:eastAsia="仿宋" w:cs="仿宋"/>
          <w:color w:val="auto"/>
          <w:sz w:val="48"/>
          <w:szCs w:val="48"/>
          <w:highlight w:val="none"/>
        </w:rPr>
      </w:pPr>
    </w:p>
    <w:p w14:paraId="2678FF7D">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14:paraId="5AA10DF8">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2D35A991">
      <w:pPr>
        <w:snapToGrid w:val="0"/>
        <w:spacing w:line="360" w:lineRule="auto"/>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编号:SGCCGDL-2024-033</w:t>
      </w:r>
    </w:p>
    <w:p w14:paraId="155AEB70">
      <w:pPr>
        <w:adjustRightInd/>
        <w:spacing w:line="360" w:lineRule="auto"/>
        <w:rPr>
          <w:rFonts w:hint="eastAsia" w:ascii="仿宋" w:hAnsi="仿宋" w:eastAsia="仿宋" w:cs="仿宋"/>
          <w:color w:val="auto"/>
          <w:sz w:val="28"/>
          <w:szCs w:val="20"/>
          <w:highlight w:val="none"/>
        </w:rPr>
      </w:pPr>
    </w:p>
    <w:p w14:paraId="2EC2E3F9">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4A1C7B1D">
      <w:pPr>
        <w:spacing w:line="360" w:lineRule="auto"/>
        <w:jc w:val="center"/>
        <w:rPr>
          <w:rFonts w:hint="eastAsia" w:ascii="仿宋" w:hAnsi="仿宋" w:eastAsia="仿宋" w:cs="仿宋"/>
          <w:b/>
          <w:color w:val="auto"/>
          <w:sz w:val="44"/>
          <w:szCs w:val="44"/>
          <w:highlight w:val="none"/>
        </w:rPr>
      </w:pPr>
    </w:p>
    <w:p w14:paraId="39ABB41A">
      <w:pPr>
        <w:spacing w:line="360" w:lineRule="auto"/>
        <w:jc w:val="center"/>
        <w:rPr>
          <w:rFonts w:hint="eastAsia" w:ascii="仿宋" w:hAnsi="仿宋" w:eastAsia="仿宋" w:cs="仿宋"/>
          <w:color w:val="auto"/>
          <w:sz w:val="24"/>
          <w:highlight w:val="none"/>
        </w:rPr>
      </w:pPr>
    </w:p>
    <w:p w14:paraId="2ECB8013">
      <w:pPr>
        <w:spacing w:line="360" w:lineRule="auto"/>
        <w:jc w:val="center"/>
        <w:rPr>
          <w:rFonts w:hint="eastAsia" w:ascii="仿宋" w:hAnsi="仿宋" w:eastAsia="仿宋" w:cs="仿宋"/>
          <w:color w:val="auto"/>
          <w:sz w:val="24"/>
          <w:highlight w:val="none"/>
        </w:rPr>
      </w:pPr>
    </w:p>
    <w:p w14:paraId="25E87B30">
      <w:pPr>
        <w:spacing w:line="360" w:lineRule="auto"/>
        <w:rPr>
          <w:rFonts w:hint="eastAsia" w:ascii="仿宋" w:hAnsi="仿宋" w:eastAsia="仿宋" w:cs="仿宋"/>
          <w:color w:val="auto"/>
          <w:sz w:val="32"/>
          <w:szCs w:val="32"/>
          <w:highlight w:val="none"/>
        </w:rPr>
      </w:pPr>
    </w:p>
    <w:p w14:paraId="48964AB6">
      <w:pP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杭州市萧山区人民政府新塘街道办事处</w:t>
      </w:r>
    </w:p>
    <w:p w14:paraId="411485C5">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浙江省工程咨询有限公司</w:t>
      </w:r>
    </w:p>
    <w:p w14:paraId="46CEE1A9">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2024</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8</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29</w:t>
      </w:r>
      <w:r>
        <w:rPr>
          <w:rFonts w:hint="eastAsia" w:ascii="仿宋" w:hAnsi="仿宋" w:eastAsia="仿宋" w:cs="仿宋"/>
          <w:bCs/>
          <w:color w:val="auto"/>
          <w:sz w:val="32"/>
          <w:szCs w:val="32"/>
          <w:highlight w:val="none"/>
        </w:rPr>
        <w:t>日</w:t>
      </w:r>
    </w:p>
    <w:p w14:paraId="5357A1D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0E125FAD">
      <w:pPr>
        <w:spacing w:line="360" w:lineRule="auto"/>
        <w:jc w:val="center"/>
        <w:rPr>
          <w:rFonts w:hint="eastAsia" w:ascii="仿宋" w:hAnsi="仿宋" w:eastAsia="仿宋" w:cs="仿宋"/>
          <w:color w:val="auto"/>
          <w:sz w:val="24"/>
          <w:highlight w:val="none"/>
        </w:rPr>
      </w:pPr>
    </w:p>
    <w:p w14:paraId="75B51A66">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397B5C45">
      <w:pPr>
        <w:spacing w:line="360" w:lineRule="auto"/>
        <w:rPr>
          <w:rFonts w:hint="eastAsia" w:ascii="仿宋" w:hAnsi="仿宋" w:eastAsia="仿宋" w:cs="仿宋"/>
          <w:color w:val="auto"/>
          <w:sz w:val="32"/>
          <w:szCs w:val="32"/>
          <w:highlight w:val="none"/>
        </w:rPr>
      </w:pPr>
    </w:p>
    <w:p w14:paraId="46E1861E">
      <w:pPr>
        <w:spacing w:line="360" w:lineRule="auto"/>
        <w:rPr>
          <w:rFonts w:hint="eastAsia" w:ascii="仿宋" w:hAnsi="仿宋" w:eastAsia="仿宋" w:cs="仿宋"/>
          <w:color w:val="auto"/>
          <w:sz w:val="32"/>
          <w:szCs w:val="32"/>
          <w:highlight w:val="none"/>
        </w:rPr>
      </w:pPr>
    </w:p>
    <w:p w14:paraId="6CE9C73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6F72290B">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7B4594DD">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6F8C8CA0">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2A7695DF">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6590C01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6998C96F">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3AE73344">
      <w:pPr>
        <w:spacing w:line="360" w:lineRule="auto"/>
        <w:ind w:firstLine="549" w:firstLineChars="229"/>
        <w:rPr>
          <w:rFonts w:hint="eastAsia" w:ascii="仿宋" w:hAnsi="仿宋" w:eastAsia="仿宋" w:cs="仿宋"/>
          <w:color w:val="auto"/>
          <w:sz w:val="24"/>
          <w:highlight w:val="none"/>
        </w:rPr>
      </w:pPr>
    </w:p>
    <w:p w14:paraId="6AA5C557">
      <w:pPr>
        <w:spacing w:line="360" w:lineRule="auto"/>
        <w:ind w:firstLine="549" w:firstLineChars="229"/>
        <w:rPr>
          <w:rFonts w:hint="eastAsia" w:ascii="仿宋" w:hAnsi="仿宋" w:eastAsia="仿宋" w:cs="仿宋"/>
          <w:color w:val="auto"/>
          <w:sz w:val="24"/>
          <w:highlight w:val="none"/>
        </w:rPr>
      </w:pPr>
    </w:p>
    <w:p w14:paraId="2160CE10">
      <w:pPr>
        <w:spacing w:line="360" w:lineRule="auto"/>
        <w:ind w:firstLine="549" w:firstLineChars="229"/>
        <w:rPr>
          <w:rFonts w:hint="eastAsia" w:ascii="仿宋" w:hAnsi="仿宋" w:eastAsia="仿宋" w:cs="仿宋"/>
          <w:color w:val="auto"/>
          <w:sz w:val="24"/>
          <w:highlight w:val="none"/>
        </w:rPr>
      </w:pPr>
    </w:p>
    <w:p w14:paraId="3CFB08CA">
      <w:pPr>
        <w:spacing w:line="360" w:lineRule="auto"/>
        <w:ind w:firstLine="549" w:firstLineChars="229"/>
        <w:rPr>
          <w:rFonts w:hint="eastAsia" w:ascii="仿宋" w:hAnsi="仿宋" w:eastAsia="仿宋" w:cs="仿宋"/>
          <w:color w:val="auto"/>
          <w:sz w:val="24"/>
          <w:highlight w:val="none"/>
        </w:rPr>
      </w:pPr>
    </w:p>
    <w:p w14:paraId="61DBDA10">
      <w:pPr>
        <w:spacing w:line="360" w:lineRule="auto"/>
        <w:ind w:firstLine="549" w:firstLineChars="229"/>
        <w:rPr>
          <w:rFonts w:hint="eastAsia" w:ascii="仿宋" w:hAnsi="仿宋" w:eastAsia="仿宋" w:cs="仿宋"/>
          <w:color w:val="auto"/>
          <w:sz w:val="24"/>
          <w:highlight w:val="none"/>
        </w:rPr>
      </w:pPr>
    </w:p>
    <w:p w14:paraId="34789D69">
      <w:pPr>
        <w:spacing w:line="360" w:lineRule="auto"/>
        <w:ind w:firstLine="549" w:firstLineChars="229"/>
        <w:rPr>
          <w:rFonts w:hint="eastAsia" w:ascii="仿宋" w:hAnsi="仿宋" w:eastAsia="仿宋" w:cs="仿宋"/>
          <w:color w:val="auto"/>
          <w:sz w:val="24"/>
          <w:highlight w:val="none"/>
        </w:rPr>
      </w:pPr>
    </w:p>
    <w:p w14:paraId="07A9E218">
      <w:pPr>
        <w:spacing w:line="360" w:lineRule="auto"/>
        <w:ind w:firstLine="549" w:firstLineChars="229"/>
        <w:rPr>
          <w:rFonts w:hint="eastAsia" w:ascii="仿宋" w:hAnsi="仿宋" w:eastAsia="仿宋" w:cs="仿宋"/>
          <w:color w:val="auto"/>
          <w:sz w:val="24"/>
          <w:highlight w:val="none"/>
        </w:rPr>
      </w:pPr>
    </w:p>
    <w:p w14:paraId="18D81CB2">
      <w:pPr>
        <w:spacing w:line="360" w:lineRule="auto"/>
        <w:ind w:firstLine="549" w:firstLineChars="229"/>
        <w:rPr>
          <w:rFonts w:hint="eastAsia" w:ascii="仿宋" w:hAnsi="仿宋" w:eastAsia="仿宋" w:cs="仿宋"/>
          <w:color w:val="auto"/>
          <w:sz w:val="24"/>
          <w:highlight w:val="none"/>
        </w:rPr>
      </w:pPr>
    </w:p>
    <w:p w14:paraId="0C9FC929">
      <w:pPr>
        <w:spacing w:line="360" w:lineRule="auto"/>
        <w:ind w:firstLine="549" w:firstLineChars="229"/>
        <w:rPr>
          <w:rFonts w:hint="eastAsia" w:ascii="仿宋" w:hAnsi="仿宋" w:eastAsia="仿宋" w:cs="仿宋"/>
          <w:color w:val="auto"/>
          <w:sz w:val="24"/>
          <w:highlight w:val="none"/>
        </w:rPr>
      </w:pPr>
    </w:p>
    <w:p w14:paraId="23C6004A">
      <w:pPr>
        <w:spacing w:line="360" w:lineRule="auto"/>
        <w:ind w:firstLine="549" w:firstLineChars="229"/>
        <w:rPr>
          <w:rFonts w:hint="eastAsia" w:ascii="仿宋" w:hAnsi="仿宋" w:eastAsia="仿宋" w:cs="仿宋"/>
          <w:color w:val="auto"/>
          <w:sz w:val="24"/>
          <w:highlight w:val="none"/>
        </w:rPr>
      </w:pPr>
    </w:p>
    <w:p w14:paraId="759901FA">
      <w:pPr>
        <w:spacing w:line="360" w:lineRule="auto"/>
        <w:ind w:firstLine="549" w:firstLineChars="229"/>
        <w:rPr>
          <w:rFonts w:hint="eastAsia" w:ascii="仿宋" w:hAnsi="仿宋" w:eastAsia="仿宋" w:cs="仿宋"/>
          <w:color w:val="auto"/>
          <w:sz w:val="24"/>
          <w:highlight w:val="none"/>
        </w:rPr>
      </w:pPr>
    </w:p>
    <w:p w14:paraId="74913C7C">
      <w:pPr>
        <w:spacing w:line="360" w:lineRule="auto"/>
        <w:ind w:firstLine="549" w:firstLineChars="229"/>
        <w:rPr>
          <w:rFonts w:hint="eastAsia" w:ascii="仿宋" w:hAnsi="仿宋" w:eastAsia="仿宋" w:cs="仿宋"/>
          <w:color w:val="auto"/>
          <w:sz w:val="24"/>
          <w:highlight w:val="none"/>
        </w:rPr>
      </w:pPr>
    </w:p>
    <w:p w14:paraId="156C6431">
      <w:pPr>
        <w:spacing w:line="360" w:lineRule="auto"/>
        <w:rPr>
          <w:rFonts w:hint="eastAsia" w:ascii="仿宋" w:hAnsi="仿宋" w:eastAsia="仿宋" w:cs="仿宋"/>
          <w:color w:val="auto"/>
          <w:sz w:val="24"/>
          <w:highlight w:val="none"/>
        </w:rPr>
      </w:pPr>
    </w:p>
    <w:p w14:paraId="6CDA5EE5">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699E99AA">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587190B5">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汇宇未来社区数字化建设项目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w:t>
      </w:r>
      <w:r>
        <w:rPr>
          <w:rStyle w:val="76"/>
          <w:rFonts w:hint="eastAsia" w:ascii="仿宋" w:hAnsi="仿宋" w:eastAsia="仿宋" w:cs="仿宋"/>
          <w:snapToGrid/>
          <w:color w:val="auto"/>
          <w:kern w:val="2"/>
          <w:sz w:val="24"/>
          <w:szCs w:val="24"/>
          <w:highlight w:val="none"/>
          <w:lang w:val="en-US" w:eastAsia="zh-CN"/>
        </w:rPr>
        <w:t>4</w:t>
      </w:r>
      <w:r>
        <w:rPr>
          <w:rStyle w:val="76"/>
          <w:rFonts w:hint="eastAsia" w:ascii="仿宋" w:hAnsi="仿宋" w:eastAsia="仿宋" w:cs="仿宋"/>
          <w:snapToGrid/>
          <w:color w:val="auto"/>
          <w:kern w:val="2"/>
          <w:sz w:val="24"/>
          <w:szCs w:val="24"/>
          <w:highlight w:val="none"/>
        </w:rPr>
        <w:t>年</w:t>
      </w:r>
      <w:r>
        <w:rPr>
          <w:rStyle w:val="76"/>
          <w:rFonts w:hint="eastAsia" w:ascii="仿宋" w:hAnsi="仿宋" w:eastAsia="仿宋" w:cs="仿宋"/>
          <w:snapToGrid/>
          <w:color w:val="auto"/>
          <w:kern w:val="2"/>
          <w:sz w:val="24"/>
          <w:szCs w:val="24"/>
          <w:highlight w:val="none"/>
          <w:lang w:val="en-US" w:eastAsia="zh-CN"/>
        </w:rPr>
        <w:t>9</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23</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9</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30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47AA9E2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7A7068E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rPr>
        <w:t>SGCCGDL-2024-033</w:t>
      </w:r>
    </w:p>
    <w:p w14:paraId="1FE315EB">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lang w:eastAsia="zh-CN"/>
        </w:rPr>
        <w:t>汇宇未来社区数字化建设项目</w:t>
      </w:r>
    </w:p>
    <w:p w14:paraId="4F6AE8B3">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val="0"/>
          <w:bCs/>
          <w:color w:val="auto"/>
          <w:sz w:val="24"/>
          <w:highlight w:val="none"/>
          <w:lang w:val="en-US" w:eastAsia="zh-CN"/>
        </w:rPr>
        <w:t>1700000元</w:t>
      </w:r>
    </w:p>
    <w:p w14:paraId="5C62FA09">
      <w:pPr>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lang w:val="en-US" w:eastAsia="zh-CN"/>
        </w:rPr>
        <w:t>1700000元</w:t>
      </w:r>
    </w:p>
    <w:p w14:paraId="73ED3706">
      <w:pPr>
        <w:pStyle w:val="4"/>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snapToGrid/>
          <w:color w:val="auto"/>
          <w:kern w:val="2"/>
          <w:sz w:val="24"/>
          <w:szCs w:val="24"/>
          <w:highlight w:val="none"/>
          <w:lang w:eastAsia="zh-CN"/>
        </w:rPr>
        <w:t>汇宇未来社区数字化建设项目</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bCs/>
          <w:snapToGrid/>
          <w:color w:val="auto"/>
          <w:kern w:val="2"/>
          <w:sz w:val="24"/>
          <w:szCs w:val="24"/>
          <w:highlight w:val="none"/>
          <w:lang w:val="en-US" w:eastAsia="zh-CN"/>
        </w:rPr>
        <w:t>汇宇</w:t>
      </w:r>
      <w:r>
        <w:rPr>
          <w:rFonts w:hint="eastAsia" w:ascii="仿宋" w:hAnsi="仿宋" w:eastAsia="仿宋" w:cs="仿宋"/>
          <w:bCs/>
          <w:snapToGrid/>
          <w:color w:val="auto"/>
          <w:kern w:val="2"/>
          <w:sz w:val="24"/>
          <w:szCs w:val="24"/>
          <w:highlight w:val="none"/>
        </w:rPr>
        <w:t>未来社区数字化软件</w:t>
      </w:r>
      <w:r>
        <w:rPr>
          <w:rFonts w:hint="eastAsia" w:ascii="仿宋" w:hAnsi="仿宋" w:eastAsia="仿宋" w:cs="仿宋"/>
          <w:bCs/>
          <w:snapToGrid/>
          <w:color w:val="auto"/>
          <w:kern w:val="2"/>
          <w:sz w:val="24"/>
          <w:szCs w:val="24"/>
          <w:highlight w:val="none"/>
          <w:lang w:val="en-US" w:eastAsia="zh-CN"/>
        </w:rPr>
        <w:t>及数字化硬件系统建设</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091937D2">
      <w:pPr>
        <w:pStyle w:val="129"/>
        <w:ind w:firstLine="482"/>
        <w:outlineLvl w:val="2"/>
        <w:rPr>
          <w:rFonts w:hint="default" w:ascii="仿宋" w:hAnsi="仿宋" w:eastAsia="仿宋" w:cs="仿宋"/>
          <w:color w:val="auto"/>
          <w:highlight w:val="none"/>
          <w:lang w:val="en-US" w:eastAsia="zh-CN"/>
        </w:rPr>
      </w:pPr>
      <w:r>
        <w:rPr>
          <w:rFonts w:hint="eastAsia" w:ascii="仿宋" w:hAnsi="仿宋" w:eastAsia="仿宋" w:cs="仿宋"/>
          <w:b/>
          <w:color w:val="auto"/>
          <w:highlight w:val="none"/>
        </w:rPr>
        <w:t>合同履约期限：</w:t>
      </w:r>
      <w:r>
        <w:rPr>
          <w:rFonts w:hint="eastAsia" w:ascii="仿宋" w:hAnsi="仿宋" w:eastAsia="仿宋" w:cs="仿宋"/>
          <w:b/>
          <w:color w:val="auto"/>
          <w:highlight w:val="none"/>
          <w:lang w:val="en-US" w:eastAsia="zh-CN"/>
        </w:rPr>
        <w:t>3年</w:t>
      </w:r>
    </w:p>
    <w:p w14:paraId="502CBB24">
      <w:pPr>
        <w:pStyle w:val="4"/>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4648"/>
          <w14:checkbox>
            <w14:checked w14:val="1"/>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Wingdings" w:hAnsi="Wingdings" w:eastAsia="仿宋" w:cs="仿宋"/>
              <w:snapToGrid/>
              <w:color w:val="auto"/>
              <w:kern w:val="2"/>
              <w:sz w:val="24"/>
              <w:szCs w:val="24"/>
              <w:highlight w:val="none"/>
              <w:lang w:val="en-US" w:eastAsia="zh-CN" w:bidi="ar-SA"/>
            </w:rPr>
            <w:t>þ</w:t>
          </w:r>
        </w:sdtContent>
      </w:sdt>
      <w:r>
        <w:rPr>
          <w:rFonts w:hint="eastAsia" w:ascii="仿宋" w:hAnsi="仿宋" w:eastAsia="仿宋" w:cs="仿宋"/>
          <w:snapToGrid/>
          <w:color w:val="auto"/>
          <w:kern w:val="2"/>
          <w:sz w:val="24"/>
          <w:szCs w:val="24"/>
          <w:highlight w:val="none"/>
        </w:rPr>
        <w:t xml:space="preserve"> </w:t>
      </w:r>
      <w:r>
        <w:rPr>
          <w:rFonts w:hint="eastAsia" w:ascii="仿宋" w:hAnsi="仿宋" w:eastAsia="仿宋" w:cs="仿宋"/>
          <w:b w:val="0"/>
          <w:snapToGrid/>
          <w:color w:val="auto"/>
          <w:kern w:val="2"/>
          <w:sz w:val="24"/>
          <w:szCs w:val="24"/>
          <w:highlight w:val="none"/>
          <w:lang w:val="en-US" w:eastAsia="zh-CN"/>
        </w:rPr>
        <w:t>是；</w:t>
      </w:r>
      <w:sdt>
        <w:sdtPr>
          <w:rPr>
            <w:rFonts w:hint="eastAsia" w:ascii="仿宋" w:hAnsi="仿宋" w:eastAsia="仿宋" w:cs="仿宋"/>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仿宋" w:hAnsi="仿宋" w:eastAsia="仿宋" w:cs="仿宋"/>
              <w:snapToGrid/>
              <w:color w:val="auto"/>
              <w:kern w:val="2"/>
              <w:sz w:val="24"/>
              <w:szCs w:val="24"/>
              <w:highlight w:val="none"/>
            </w:rPr>
            <w:t>☐</w:t>
          </w:r>
        </w:sdtContent>
      </w:sdt>
      <w:r>
        <w:rPr>
          <w:rFonts w:hint="eastAsia" w:ascii="仿宋" w:hAnsi="仿宋" w:eastAsia="仿宋" w:cs="仿宋"/>
          <w:snapToGrid/>
          <w:color w:val="auto"/>
          <w:kern w:val="2"/>
          <w:sz w:val="24"/>
          <w:szCs w:val="24"/>
          <w:highlight w:val="none"/>
        </w:rPr>
        <w:t xml:space="preserve"> </w:t>
      </w:r>
      <w:r>
        <w:rPr>
          <w:rFonts w:hint="eastAsia" w:ascii="仿宋" w:hAnsi="仿宋" w:eastAsia="仿宋" w:cs="仿宋"/>
          <w:b w:val="0"/>
          <w:snapToGrid/>
          <w:color w:val="auto"/>
          <w:kern w:val="2"/>
          <w:sz w:val="24"/>
          <w:szCs w:val="24"/>
          <w:highlight w:val="none"/>
          <w:lang w:val="en-US" w:eastAsia="zh-CN"/>
        </w:rPr>
        <w:t>否</w:t>
      </w:r>
    </w:p>
    <w:p w14:paraId="1771046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w:t>
      </w:r>
      <w:bookmarkStart w:id="11" w:name="_Hlk101132948"/>
      <w:r>
        <w:rPr>
          <w:rFonts w:hint="eastAsia" w:ascii="仿宋" w:hAnsi="仿宋" w:eastAsia="仿宋" w:cs="仿宋"/>
          <w:b/>
          <w:color w:val="auto"/>
          <w:sz w:val="24"/>
          <w:highlight w:val="none"/>
        </w:rPr>
        <w:t>申请人的资格要求</w:t>
      </w:r>
      <w:bookmarkEnd w:id="11"/>
      <w:r>
        <w:rPr>
          <w:rFonts w:hint="eastAsia" w:ascii="仿宋" w:hAnsi="仿宋" w:eastAsia="仿宋" w:cs="仿宋"/>
          <w:b/>
          <w:color w:val="auto"/>
          <w:sz w:val="24"/>
          <w:highlight w:val="none"/>
        </w:rPr>
        <w:t>：</w:t>
      </w:r>
    </w:p>
    <w:p w14:paraId="0AC33F26">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C2330B3">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359CF0CE">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55A38B7F">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65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r>
        <w:rPr>
          <w:rFonts w:hint="eastAsia" w:ascii="仿宋" w:hAnsi="仿宋" w:eastAsia="仿宋" w:cs="仿宋"/>
          <w:color w:val="auto"/>
          <w:sz w:val="24"/>
          <w:highlight w:val="none"/>
        </w:rPr>
        <w:t>；</w:t>
      </w:r>
    </w:p>
    <w:p w14:paraId="742517FB">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65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专</w:t>
      </w:r>
      <w:r>
        <w:rPr>
          <w:rFonts w:hint="eastAsia" w:ascii="仿宋" w:hAnsi="仿宋" w:eastAsia="仿宋" w:cs="仿宋"/>
          <w:color w:val="auto"/>
          <w:sz w:val="24"/>
          <w:highlight w:val="none"/>
        </w:rPr>
        <w:t>门面向中小企业</w:t>
      </w:r>
    </w:p>
    <w:p w14:paraId="34716A50">
      <w:pPr>
        <w:spacing w:line="360" w:lineRule="auto"/>
        <w:ind w:firstLine="897" w:firstLineChars="374"/>
        <w:rPr>
          <w:rFonts w:hint="eastAsia" w:ascii="仿宋" w:hAnsi="仿宋" w:eastAsia="仿宋" w:cs="仿宋"/>
          <w:color w:val="auto"/>
          <w:sz w:val="24"/>
          <w:highlight w:val="none"/>
          <w:u w:val="single"/>
        </w:rPr>
      </w:pPr>
      <w:sdt>
        <w:sdtPr>
          <w:rPr>
            <w:rFonts w:hint="eastAsia" w:ascii="仿宋" w:hAnsi="仿宋" w:eastAsia="仿宋" w:cs="仿宋"/>
            <w:color w:val="auto"/>
            <w:kern w:val="0"/>
            <w:sz w:val="24"/>
            <w:highlight w:val="none"/>
          </w:rPr>
          <w:id w:val="465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货物全部由符合政策要求的中小企业制造，提供中小企业声明函；</w:t>
      </w:r>
    </w:p>
    <w:p w14:paraId="1A82C1C7">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65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货物全部由符合政策要求的小微企业制造，提供中小企业声明函；</w:t>
      </w:r>
    </w:p>
    <w:p w14:paraId="1D2DA1CB">
      <w:pPr>
        <w:spacing w:line="360" w:lineRule="auto"/>
        <w:ind w:firstLine="480" w:firstLineChars="200"/>
        <w:rPr>
          <w:rFonts w:hint="eastAsia" w:ascii="仿宋" w:hAnsi="仿宋" w:eastAsia="仿宋" w:cs="仿宋"/>
          <w:color w:val="auto"/>
          <w:sz w:val="24"/>
          <w:highlight w:val="none"/>
        </w:rPr>
      </w:pPr>
      <w:bookmarkStart w:id="12" w:name="_Hlk101132524"/>
      <w:sdt>
        <w:sdtPr>
          <w:rPr>
            <w:rFonts w:hint="eastAsia" w:ascii="仿宋" w:hAnsi="仿宋" w:eastAsia="仿宋" w:cs="仿宋"/>
            <w:color w:val="auto"/>
            <w:kern w:val="0"/>
            <w:sz w:val="24"/>
            <w:highlight w:val="none"/>
          </w:rPr>
          <w:id w:val="46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bookmarkEnd w:id="12"/>
    <w:p w14:paraId="3B519922">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6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05C9A4B8">
      <w:pPr>
        <w:snapToGrid w:val="0"/>
        <w:spacing w:line="360" w:lineRule="auto"/>
        <w:ind w:firstLine="480" w:firstLineChars="20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sz w:val="24"/>
          <w:highlight w:val="none"/>
          <w:lang w:eastAsia="zh-CN"/>
        </w:rPr>
        <w:t>：</w:t>
      </w:r>
      <w:sdt>
        <w:sdtPr>
          <w:rPr>
            <w:rFonts w:hint="eastAsia" w:ascii="仿宋" w:hAnsi="仿宋" w:eastAsia="仿宋" w:cs="仿宋"/>
            <w:color w:val="auto"/>
            <w:kern w:val="0"/>
            <w:sz w:val="24"/>
            <w:highlight w:val="none"/>
          </w:rPr>
          <w:id w:val="465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lang w:val="en-US" w:eastAsia="zh-CN"/>
        </w:rPr>
        <w:t>无</w:t>
      </w:r>
    </w:p>
    <w:p w14:paraId="3FE14AA0">
      <w:pPr>
        <w:snapToGrid w:val="0"/>
        <w:spacing w:line="360" w:lineRule="auto"/>
        <w:ind w:firstLine="480" w:firstLineChars="200"/>
        <w:jc w:val="left"/>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65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有特定资格要求：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，该特定条件的法律法规据：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B46201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D1452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7D662177">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23</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3C6634A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10D90641">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41EBB34C">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1187635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45E51A1B">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23</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4D2C0735">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03971A36">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23</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p>
    <w:p w14:paraId="65CBE26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5BE8FA01">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70BE9CA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085CE35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456587B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1CDCBD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E34F01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73C71D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cs="仿宋"/>
          <w:color w:val="auto"/>
          <w:sz w:val="24"/>
          <w:highlight w:val="none"/>
          <w:lang w:val="en-US" w:eastAsia="zh-CN"/>
        </w:rPr>
        <w:t>项目是否接收备份文件，以前附表说明为准。</w:t>
      </w:r>
      <w:r>
        <w:rPr>
          <w:rFonts w:hint="eastAsia" w:ascii="仿宋" w:hAnsi="仿宋" w:eastAsia="仿宋" w:cs="仿宋"/>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90837F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7F24CE4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30EB1D5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称：杭州市萧山区人民政府新塘街道办事处</w:t>
      </w:r>
    </w:p>
    <w:p w14:paraId="3AE9E5C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址：萧山区南秀路2699号</w:t>
      </w:r>
    </w:p>
    <w:p w14:paraId="48852AF3">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36B6DDFC">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项目联系人（询问）：沈月婷</w:t>
      </w:r>
    </w:p>
    <w:p w14:paraId="2DAA876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项目联系方式（询问）：0571-82238163</w:t>
      </w:r>
    </w:p>
    <w:p w14:paraId="5DEABEE3">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val="en-US" w:eastAsia="zh-CN"/>
        </w:rPr>
        <w:t>郑锋</w:t>
      </w:r>
    </w:p>
    <w:p w14:paraId="01EDEF4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质疑联系方式：0571-83713082 </w:t>
      </w:r>
    </w:p>
    <w:p w14:paraId="40C6D7B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6A070A33">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称：浙江省工程咨询有限公司</w:t>
      </w:r>
    </w:p>
    <w:p w14:paraId="197CF812">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址：萧山区金惠路358号汇通大厦4幢15楼</w:t>
      </w:r>
    </w:p>
    <w:p w14:paraId="79D6E18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w:t>
      </w:r>
    </w:p>
    <w:p w14:paraId="2FCE167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项目联系人（询问）：陈晓鹏</w:t>
      </w:r>
    </w:p>
    <w:p w14:paraId="153EC90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项目联系方式（询问）：15257198586</w:t>
      </w:r>
    </w:p>
    <w:p w14:paraId="33AA7FF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质疑联系人：汤利红</w:t>
      </w:r>
    </w:p>
    <w:p w14:paraId="01BD7E3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质疑联系方式：0571-82824360</w:t>
      </w:r>
    </w:p>
    <w:p w14:paraId="07714A6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 xml:space="preserve">同级政府采购监督管理部门            </w:t>
      </w:r>
    </w:p>
    <w:p w14:paraId="6B02B08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称：萧山区财政局</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浙江省政府采购行政裁决服务中心（杭州）</w:t>
      </w:r>
    </w:p>
    <w:p w14:paraId="64A60492">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val="en-US" w:eastAsia="zh-CN"/>
        </w:rPr>
        <w:t>杭州市上城区四季青街道新业路市民之家G03办公室（快递仅限ems或顺丰）</w:t>
      </w:r>
    </w:p>
    <w:p w14:paraId="0F4E9D12">
      <w:pPr>
        <w:spacing w:line="360" w:lineRule="auto"/>
        <w:ind w:left="237" w:leftChars="113" w:firstLine="180" w:firstLineChars="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lang w:val="en-US" w:eastAsia="zh-CN"/>
        </w:rPr>
        <w:t>/</w:t>
      </w:r>
    </w:p>
    <w:p w14:paraId="46C79C7A">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w:t>
      </w:r>
      <w:r>
        <w:rPr>
          <w:rFonts w:hint="eastAsia" w:ascii="仿宋" w:hAnsi="仿宋" w:eastAsia="仿宋" w:cs="仿宋"/>
          <w:color w:val="auto"/>
          <w:sz w:val="24"/>
          <w:highlight w:val="none"/>
          <w:lang w:val="en-US" w:eastAsia="zh-CN"/>
        </w:rPr>
        <w:t>朱女士/王女士</w:t>
      </w:r>
    </w:p>
    <w:p w14:paraId="1759975B">
      <w:pPr>
        <w:spacing w:line="360" w:lineRule="auto"/>
        <w:ind w:left="237" w:leftChars="113" w:firstLine="180" w:firstLineChars="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监督投诉电话：</w:t>
      </w:r>
      <w:r>
        <w:rPr>
          <w:rFonts w:hint="eastAsia" w:ascii="仿宋" w:hAnsi="仿宋" w:eastAsia="仿宋" w:cs="仿宋"/>
          <w:color w:val="auto"/>
          <w:sz w:val="24"/>
          <w:highlight w:val="none"/>
          <w:lang w:val="en-US" w:eastAsia="zh-CN"/>
        </w:rPr>
        <w:t>0571-85252453</w:t>
      </w:r>
      <w:r>
        <w:rPr>
          <w:rFonts w:hint="eastAsia" w:ascii="仿宋" w:hAnsi="仿宋" w:eastAsia="仿宋" w:cs="仿宋"/>
          <w:color w:val="auto"/>
          <w:sz w:val="24"/>
          <w:highlight w:val="none"/>
        </w:rPr>
        <w:t xml:space="preserve"> </w:t>
      </w:r>
    </w:p>
    <w:p w14:paraId="29DC5F31">
      <w:pPr>
        <w:spacing w:line="360" w:lineRule="auto"/>
        <w:ind w:firstLine="420" w:firstLineChars="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政策咨询电话：</w:t>
      </w:r>
      <w:r>
        <w:rPr>
          <w:rFonts w:hint="eastAsia" w:ascii="仿宋" w:hAnsi="仿宋" w:eastAsia="仿宋" w:cs="仿宋"/>
          <w:color w:val="auto"/>
          <w:sz w:val="24"/>
          <w:highlight w:val="none"/>
        </w:rPr>
        <w:t>0571-82756122  </w:t>
      </w:r>
      <w:r>
        <w:rPr>
          <w:rFonts w:hint="eastAsia" w:ascii="仿宋" w:hAnsi="仿宋" w:eastAsia="仿宋" w:cs="仿宋"/>
          <w:color w:val="auto"/>
          <w:sz w:val="24"/>
          <w:highlight w:val="none"/>
          <w:lang w:eastAsia="zh-CN"/>
        </w:rPr>
        <w:t>（汤先生）</w:t>
      </w:r>
    </w:p>
    <w:p w14:paraId="6EE850C8">
      <w:pPr>
        <w:spacing w:line="360" w:lineRule="auto"/>
        <w:ind w:firstLine="0"/>
        <w:rPr>
          <w:rFonts w:hint="eastAsia" w:ascii="仿宋" w:hAnsi="仿宋" w:eastAsia="仿宋" w:cs="仿宋"/>
          <w:color w:val="auto"/>
          <w:sz w:val="24"/>
          <w:highlight w:val="none"/>
        </w:rPr>
      </w:pPr>
    </w:p>
    <w:p w14:paraId="3F4550C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5119C4F">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7497011C">
      <w:pPr>
        <w:pStyle w:val="34"/>
        <w:spacing w:line="360" w:lineRule="auto"/>
        <w:jc w:val="left"/>
        <w:rPr>
          <w:rFonts w:hint="eastAsia" w:ascii="仿宋" w:hAnsi="仿宋" w:eastAsia="仿宋" w:cs="仿宋"/>
          <w:b/>
          <w:color w:val="auto"/>
          <w:sz w:val="36"/>
          <w:szCs w:val="20"/>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36"/>
          <w:szCs w:val="20"/>
          <w:highlight w:val="none"/>
        </w:rPr>
        <w:t xml:space="preserve"> </w:t>
      </w:r>
    </w:p>
    <w:p w14:paraId="5542D107">
      <w:pPr>
        <w:pStyle w:val="6"/>
        <w:rPr>
          <w:rFonts w:hint="eastAsia" w:ascii="仿宋" w:hAnsi="仿宋" w:eastAsia="仿宋" w:cs="仿宋"/>
          <w:snapToGrid w:val="0"/>
          <w:color w:val="auto"/>
          <w:highlight w:val="none"/>
        </w:rPr>
      </w:pPr>
      <w:r>
        <w:rPr>
          <w:rFonts w:hint="eastAsia" w:ascii="仿宋" w:hAnsi="仿宋" w:eastAsia="仿宋" w:cs="仿宋"/>
          <w:color w:val="auto"/>
          <w:highlight w:val="none"/>
        </w:rPr>
        <w:br w:type="page"/>
      </w:r>
    </w:p>
    <w:p w14:paraId="3674838A">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266BA431">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BA668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502F14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D83A8E7">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07BEB3A">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322083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24E53033">
            <w:pPr>
              <w:snapToGrid w:val="0"/>
              <w:spacing w:line="360" w:lineRule="auto"/>
              <w:jc w:val="center"/>
              <w:rPr>
                <w:rFonts w:hint="eastAsia" w:ascii="仿宋" w:hAnsi="仿宋" w:eastAsia="仿宋" w:cs="仿宋"/>
                <w:color w:val="auto"/>
                <w:sz w:val="24"/>
                <w:highlight w:val="none"/>
              </w:rPr>
            </w:pPr>
          </w:p>
          <w:p w14:paraId="158FD55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2159DC7">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050F93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r>
      <w:tr w14:paraId="14A4A7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DCEDA3A">
            <w:pPr>
              <w:snapToGrid w:val="0"/>
              <w:spacing w:line="360" w:lineRule="auto"/>
              <w:jc w:val="center"/>
              <w:rPr>
                <w:rFonts w:hint="eastAsia" w:ascii="仿宋" w:hAnsi="仿宋" w:eastAsia="仿宋" w:cs="仿宋"/>
                <w:color w:val="auto"/>
                <w:sz w:val="24"/>
                <w:highlight w:val="none"/>
              </w:rPr>
            </w:pPr>
          </w:p>
          <w:p w14:paraId="084B17D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DB8D52C">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C69CD09">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（1）标的：招标文件第三部分采购需求</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highlight w:val="none"/>
              </w:rPr>
              <w:t>技术需求</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lang w:val="en-US" w:eastAsia="zh-CN"/>
              </w:rPr>
              <w:t>工业</w:t>
            </w:r>
            <w:r>
              <w:rPr>
                <w:rFonts w:hint="eastAsia" w:ascii="仿宋" w:hAnsi="仿宋" w:eastAsia="仿宋" w:cs="仿宋"/>
                <w:color w:val="auto"/>
                <w:sz w:val="24"/>
                <w:szCs w:val="24"/>
                <w:highlight w:val="none"/>
              </w:rPr>
              <w:t>行业；</w:t>
            </w:r>
          </w:p>
          <w:p w14:paraId="05F09F82">
            <w:pPr>
              <w:pStyle w:val="6"/>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w:t>
            </w:r>
          </w:p>
          <w:p w14:paraId="06EA01AB">
            <w:pPr>
              <w:rPr>
                <w:rFonts w:hint="eastAsia" w:ascii="仿宋" w:hAnsi="仿宋" w:eastAsia="仿宋" w:cs="仿宋"/>
                <w:color w:val="auto"/>
                <w:highlight w:val="none"/>
                <w:lang w:val="en-US"/>
              </w:rPr>
            </w:pPr>
            <w:r>
              <w:rPr>
                <w:rFonts w:hint="eastAsia" w:ascii="仿宋" w:hAnsi="仿宋" w:eastAsia="仿宋" w:cs="仿宋"/>
                <w:color w:val="auto"/>
                <w:sz w:val="24"/>
                <w:szCs w:val="24"/>
                <w:highlight w:val="none"/>
              </w:rPr>
              <w:t>《关于印发中小企业划型标准规定的通知》工信部联企业〔2011〕300号</w:t>
            </w:r>
          </w:p>
        </w:tc>
      </w:tr>
      <w:tr w14:paraId="08E390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997C04C">
            <w:pPr>
              <w:snapToGrid w:val="0"/>
              <w:spacing w:line="360" w:lineRule="auto"/>
              <w:jc w:val="center"/>
              <w:rPr>
                <w:rFonts w:hint="eastAsia" w:ascii="仿宋" w:hAnsi="仿宋" w:eastAsia="仿宋" w:cs="仿宋"/>
                <w:color w:val="auto"/>
                <w:sz w:val="24"/>
                <w:highlight w:val="none"/>
              </w:rPr>
            </w:pPr>
          </w:p>
          <w:p w14:paraId="3F017CA7">
            <w:pPr>
              <w:snapToGrid w:val="0"/>
              <w:spacing w:line="360" w:lineRule="auto"/>
              <w:jc w:val="center"/>
              <w:rPr>
                <w:rFonts w:hint="eastAsia" w:ascii="仿宋" w:hAnsi="仿宋" w:eastAsia="仿宋" w:cs="仿宋"/>
                <w:color w:val="auto"/>
                <w:sz w:val="24"/>
                <w:highlight w:val="none"/>
              </w:rPr>
            </w:pPr>
          </w:p>
          <w:p w14:paraId="3750A1E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D31CEA4">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ABD0BF1">
            <w:pPr>
              <w:bidi w:val="0"/>
              <w:rPr>
                <w:rFonts w:hint="eastAsia" w:ascii="仿宋" w:hAnsi="仿宋" w:eastAsia="仿宋" w:cs="仿宋"/>
                <w:color w:val="auto"/>
                <w:highlight w:val="none"/>
              </w:rPr>
            </w:pPr>
            <w:sdt>
              <w:sdtPr>
                <w:rPr>
                  <w:rFonts w:hint="eastAsia" w:ascii="仿宋" w:hAnsi="仿宋" w:eastAsia="仿宋" w:cs="仿宋"/>
                  <w:color w:val="auto"/>
                  <w:highlight w:val="none"/>
                </w:rPr>
                <w:id w:val="4658"/>
                <w14:checkbox>
                  <w14:checked w14:val="1"/>
                  <w14:checkedState w14:val="00FE" w14:font="Wingdings"/>
                  <w14:uncheckedState w14:val="2610" w14:font="MS Gothic"/>
                </w14:checkbox>
              </w:sdtPr>
              <w:sdtEndPr>
                <w:rPr>
                  <w:rFonts w:hint="eastAsia" w:ascii="仿宋" w:hAnsi="仿宋" w:eastAsia="仿宋" w:cs="仿宋"/>
                  <w:color w:val="auto"/>
                  <w:highlight w:val="none"/>
                </w:rPr>
              </w:sdtEndPr>
              <w:sdtContent>
                <w:r>
                  <w:rPr>
                    <w:rFonts w:hint="eastAsia" w:ascii="仿宋" w:hAnsi="仿宋" w:eastAsia="仿宋" w:cs="仿宋"/>
                    <w:color w:val="auto"/>
                    <w:highlight w:val="none"/>
                  </w:rPr>
                  <w:sym w:font="Wingdings" w:char="F0FE"/>
                </w:r>
              </w:sdtContent>
            </w:sdt>
            <w:r>
              <w:rPr>
                <w:rFonts w:hint="eastAsia" w:ascii="仿宋" w:hAnsi="仿宋" w:eastAsia="仿宋" w:cs="仿宋"/>
                <w:color w:val="auto"/>
                <w:highlight w:val="none"/>
              </w:rPr>
              <w:t>本项目不允许采购进口产品。</w:t>
            </w:r>
          </w:p>
          <w:p w14:paraId="46972FBF">
            <w:pPr>
              <w:bidi w:val="0"/>
              <w:rPr>
                <w:rFonts w:hint="eastAsia" w:ascii="仿宋" w:hAnsi="仿宋" w:eastAsia="仿宋" w:cs="仿宋"/>
                <w:color w:val="auto"/>
                <w:highlight w:val="none"/>
              </w:rPr>
            </w:pPr>
            <w:sdt>
              <w:sdtPr>
                <w:rPr>
                  <w:rFonts w:hint="eastAsia" w:ascii="仿宋" w:hAnsi="仿宋" w:eastAsia="仿宋" w:cs="仿宋"/>
                  <w:color w:val="auto"/>
                  <w:highlight w:val="none"/>
                </w:rPr>
                <w:id w:val="4659"/>
                <w14:checkbox>
                  <w14:checked w14:val="0"/>
                  <w14:checkedState w14:val="00FE" w14:font="Wingdings"/>
                  <w14:uncheckedState w14:val="2610" w14:font="MS Gothic"/>
                </w14:checkbox>
              </w:sdtPr>
              <w:sdtEndPr>
                <w:rPr>
                  <w:rFonts w:hint="eastAsia" w:ascii="仿宋" w:hAnsi="仿宋" w:eastAsia="仿宋" w:cs="仿宋"/>
                  <w:color w:val="auto"/>
                  <w:highlight w:val="none"/>
                </w:rPr>
              </w:sdtEndPr>
              <w:sdtContent>
                <w:r>
                  <w:rPr>
                    <w:rFonts w:hint="eastAsia" w:ascii="仿宋" w:hAnsi="仿宋" w:eastAsia="仿宋" w:cs="仿宋"/>
                    <w:color w:val="auto"/>
                    <w:highlight w:val="none"/>
                  </w:rPr>
                  <w:t>☐</w:t>
                </w:r>
              </w:sdtContent>
            </w:sdt>
            <w:r>
              <w:rPr>
                <w:rFonts w:hint="eastAsia" w:ascii="仿宋" w:hAnsi="仿宋" w:eastAsia="仿宋" w:cs="仿宋"/>
                <w:color w:val="auto"/>
                <w:highlight w:val="none"/>
              </w:rPr>
              <w:t>可以就    采购进口产品。</w:t>
            </w:r>
            <w:r>
              <w:rPr>
                <w:rFonts w:hint="eastAsia" w:ascii="仿宋" w:hAnsi="仿宋" w:eastAsia="仿宋" w:cs="仿宋"/>
                <w:color w:val="auto"/>
                <w:kern w:val="0"/>
                <w:sz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highlight w:val="none"/>
                <w:u w:val="single"/>
              </w:rPr>
              <w:t>评分标准</w:t>
            </w:r>
            <w:r>
              <w:rPr>
                <w:rFonts w:hint="eastAsia" w:ascii="仿宋" w:hAnsi="仿宋" w:eastAsia="仿宋" w:cs="仿宋"/>
                <w:color w:val="auto"/>
                <w:kern w:val="0"/>
                <w:sz w:val="24"/>
                <w:highlight w:val="none"/>
              </w:rPr>
              <w:t>。</w:t>
            </w:r>
          </w:p>
        </w:tc>
      </w:tr>
      <w:tr w14:paraId="1BA69F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ACB91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79BC9F8">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A04F139">
            <w:pPr>
              <w:spacing w:line="360" w:lineRule="auto"/>
              <w:rPr>
                <w:rFonts w:hint="eastAsia" w:ascii="仿宋" w:hAnsi="仿宋" w:eastAsia="仿宋" w:cs="仿宋"/>
                <w:color w:val="auto"/>
                <w:sz w:val="24"/>
                <w:highlight w:val="none"/>
                <w:lang w:val="en-US" w:eastAsia="zh-CN"/>
              </w:rPr>
            </w:pPr>
            <w:sdt>
              <w:sdtPr>
                <w:rPr>
                  <w:rFonts w:hint="eastAsia" w:ascii="仿宋" w:hAnsi="仿宋" w:eastAsia="仿宋" w:cs="仿宋"/>
                  <w:color w:val="auto"/>
                  <w:kern w:val="0"/>
                  <w:sz w:val="24"/>
                  <w:highlight w:val="none"/>
                </w:rPr>
                <w:id w:val="466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同意将非主体、非关键性的工作分包</w:t>
            </w:r>
            <w:r>
              <w:rPr>
                <w:rFonts w:hint="eastAsia" w:ascii="仿宋" w:hAnsi="仿宋" w:eastAsia="仿宋" w:cs="仿宋"/>
                <w:color w:val="auto"/>
                <w:sz w:val="24"/>
                <w:highlight w:val="none"/>
                <w:lang w:eastAsia="zh-CN"/>
              </w:rPr>
              <w:t>。</w:t>
            </w:r>
          </w:p>
          <w:p w14:paraId="483CDEE8">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66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19D257C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61B0AD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349FA5A">
            <w:pPr>
              <w:snapToGrid w:val="0"/>
              <w:spacing w:line="360" w:lineRule="auto"/>
              <w:jc w:val="center"/>
              <w:rPr>
                <w:rFonts w:hint="eastAsia" w:ascii="仿宋" w:hAnsi="仿宋" w:eastAsia="仿宋" w:cs="仿宋"/>
                <w:color w:val="auto"/>
                <w:sz w:val="24"/>
                <w:highlight w:val="none"/>
              </w:rPr>
            </w:pPr>
          </w:p>
          <w:p w14:paraId="6CBDE238">
            <w:pPr>
              <w:snapToGrid w:val="0"/>
              <w:spacing w:line="360" w:lineRule="auto"/>
              <w:jc w:val="center"/>
              <w:rPr>
                <w:rFonts w:hint="eastAsia" w:ascii="仿宋" w:hAnsi="仿宋" w:eastAsia="仿宋" w:cs="仿宋"/>
                <w:color w:val="auto"/>
                <w:sz w:val="24"/>
                <w:highlight w:val="none"/>
              </w:rPr>
            </w:pPr>
          </w:p>
          <w:p w14:paraId="0CE2C6F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2F6BDAB">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22D8A5E">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662"/>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2311EC59">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466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5EF3BD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D8BE56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C733CB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CE9D3A3">
            <w:pPr>
              <w:spacing w:line="360" w:lineRule="auto"/>
              <w:rPr>
                <w:rFonts w:hint="eastAsia" w:ascii="仿宋" w:hAnsi="仿宋" w:eastAsia="仿宋" w:cs="仿宋"/>
                <w:color w:val="auto"/>
                <w:highlight w:val="none"/>
              </w:rPr>
            </w:pPr>
            <w:sdt>
              <w:sdtPr>
                <w:rPr>
                  <w:rFonts w:hint="eastAsia" w:ascii="仿宋" w:hAnsi="仿宋" w:eastAsia="仿宋" w:cs="仿宋"/>
                  <w:color w:val="auto"/>
                  <w:highlight w:val="none"/>
                </w:rPr>
                <w:id w:val="4664"/>
                <w14:checkbox>
                  <w14:checked w14:val="1"/>
                  <w14:checkedState w14:val="00FE" w14:font="Wingdings"/>
                  <w14:uncheckedState w14:val="2610" w14:font="MS Gothic"/>
                </w14:checkbox>
              </w:sdtPr>
              <w:sdtEndPr>
                <w:rPr>
                  <w:rFonts w:hint="eastAsia" w:ascii="仿宋" w:hAnsi="仿宋" w:eastAsia="仿宋" w:cs="仿宋"/>
                  <w:color w:val="auto"/>
                  <w:highlight w:val="none"/>
                </w:rPr>
              </w:sdtEndPr>
              <w:sdtContent>
                <w:r>
                  <w:rPr>
                    <w:rFonts w:hint="eastAsia" w:ascii="Wingdings" w:hAnsi="Wingdings" w:eastAsia="仿宋" w:cs="仿宋"/>
                    <w:color w:val="auto"/>
                    <w:kern w:val="2"/>
                    <w:sz w:val="21"/>
                    <w:szCs w:val="24"/>
                    <w:highlight w:val="none"/>
                    <w:lang w:val="en-US" w:eastAsia="zh-CN" w:bidi="ar-SA"/>
                  </w:rPr>
                  <w:t>þ</w:t>
                </w:r>
              </w:sdtContent>
            </w:sdt>
            <w:r>
              <w:rPr>
                <w:rFonts w:hint="eastAsia" w:ascii="仿宋" w:hAnsi="仿宋" w:eastAsia="仿宋" w:cs="仿宋"/>
                <w:color w:val="auto"/>
                <w:highlight w:val="none"/>
              </w:rPr>
              <w:t>A不要求提供。</w:t>
            </w:r>
          </w:p>
        </w:tc>
      </w:tr>
      <w:tr w14:paraId="5B23D9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E1A2FA">
            <w:pPr>
              <w:snapToGrid w:val="0"/>
              <w:spacing w:line="360" w:lineRule="auto"/>
              <w:jc w:val="center"/>
              <w:rPr>
                <w:rFonts w:hint="eastAsia" w:ascii="仿宋" w:hAnsi="仿宋" w:eastAsia="仿宋" w:cs="仿宋"/>
                <w:color w:val="auto"/>
                <w:sz w:val="24"/>
                <w:highlight w:val="none"/>
              </w:rPr>
            </w:pPr>
          </w:p>
          <w:p w14:paraId="49AD62A3">
            <w:pPr>
              <w:snapToGrid w:val="0"/>
              <w:spacing w:line="360" w:lineRule="auto"/>
              <w:jc w:val="center"/>
              <w:rPr>
                <w:rFonts w:hint="eastAsia" w:ascii="仿宋" w:hAnsi="仿宋" w:eastAsia="仿宋" w:cs="仿宋"/>
                <w:color w:val="auto"/>
                <w:sz w:val="24"/>
                <w:highlight w:val="none"/>
              </w:rPr>
            </w:pPr>
          </w:p>
          <w:p w14:paraId="6F1C4E8F">
            <w:pPr>
              <w:snapToGrid w:val="0"/>
              <w:spacing w:line="360" w:lineRule="auto"/>
              <w:jc w:val="center"/>
              <w:rPr>
                <w:rFonts w:hint="eastAsia" w:ascii="仿宋" w:hAnsi="仿宋" w:eastAsia="仿宋" w:cs="仿宋"/>
                <w:color w:val="auto"/>
                <w:sz w:val="24"/>
                <w:highlight w:val="none"/>
              </w:rPr>
            </w:pPr>
          </w:p>
          <w:p w14:paraId="6CEA89CF">
            <w:pPr>
              <w:snapToGrid w:val="0"/>
              <w:spacing w:line="360" w:lineRule="auto"/>
              <w:jc w:val="center"/>
              <w:rPr>
                <w:rFonts w:hint="eastAsia" w:ascii="仿宋" w:hAnsi="仿宋" w:eastAsia="仿宋" w:cs="仿宋"/>
                <w:color w:val="auto"/>
                <w:sz w:val="24"/>
                <w:highlight w:val="none"/>
              </w:rPr>
            </w:pPr>
          </w:p>
          <w:p w14:paraId="7BAD789F">
            <w:pPr>
              <w:snapToGrid w:val="0"/>
              <w:spacing w:line="360" w:lineRule="auto"/>
              <w:jc w:val="center"/>
              <w:rPr>
                <w:rFonts w:hint="eastAsia" w:ascii="仿宋" w:hAnsi="仿宋" w:eastAsia="仿宋" w:cs="仿宋"/>
                <w:color w:val="auto"/>
                <w:sz w:val="24"/>
                <w:highlight w:val="none"/>
              </w:rPr>
            </w:pPr>
          </w:p>
          <w:p w14:paraId="53D38F11">
            <w:pPr>
              <w:snapToGrid w:val="0"/>
              <w:spacing w:line="360" w:lineRule="auto"/>
              <w:jc w:val="center"/>
              <w:rPr>
                <w:rFonts w:hint="eastAsia" w:ascii="仿宋" w:hAnsi="仿宋" w:eastAsia="仿宋" w:cs="仿宋"/>
                <w:color w:val="auto"/>
                <w:sz w:val="24"/>
                <w:highlight w:val="none"/>
              </w:rPr>
            </w:pPr>
          </w:p>
          <w:p w14:paraId="29FBF9EE">
            <w:pPr>
              <w:snapToGrid w:val="0"/>
              <w:spacing w:line="360" w:lineRule="auto"/>
              <w:jc w:val="center"/>
              <w:rPr>
                <w:rFonts w:hint="eastAsia" w:ascii="仿宋" w:hAnsi="仿宋" w:eastAsia="仿宋" w:cs="仿宋"/>
                <w:color w:val="auto"/>
                <w:sz w:val="24"/>
                <w:highlight w:val="none"/>
              </w:rPr>
            </w:pPr>
          </w:p>
          <w:p w14:paraId="28ACCCA1">
            <w:pPr>
              <w:snapToGrid w:val="0"/>
              <w:spacing w:line="360" w:lineRule="auto"/>
              <w:jc w:val="center"/>
              <w:rPr>
                <w:rFonts w:hint="eastAsia" w:ascii="仿宋" w:hAnsi="仿宋" w:eastAsia="仿宋" w:cs="仿宋"/>
                <w:color w:val="auto"/>
                <w:sz w:val="24"/>
                <w:highlight w:val="none"/>
              </w:rPr>
            </w:pPr>
          </w:p>
          <w:p w14:paraId="36438E9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AF8C64B">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lang w:val="en-US" w:eastAsia="zh-CN"/>
              </w:rPr>
              <w:t>现场</w:t>
            </w: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C00CBE4">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670"/>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2CF25C14">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B组织。</w:t>
            </w:r>
          </w:p>
          <w:p w14:paraId="740C7CF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w:t>
            </w:r>
            <w:r>
              <w:rPr>
                <w:rFonts w:hint="eastAsia" w:ascii="仿宋" w:hAnsi="仿宋" w:eastAsia="仿宋" w:cs="仿宋"/>
                <w:color w:val="auto"/>
                <w:kern w:val="0"/>
                <w:sz w:val="24"/>
                <w:highlight w:val="none"/>
                <w:lang w:val="en-US" w:eastAsia="zh-CN"/>
              </w:rPr>
              <w:t>现场</w:t>
            </w:r>
            <w:r>
              <w:rPr>
                <w:rFonts w:hint="eastAsia" w:ascii="仿宋" w:hAnsi="仿宋" w:eastAsia="仿宋" w:cs="仿宋"/>
                <w:color w:val="auto"/>
                <w:kern w:val="0"/>
                <w:sz w:val="24"/>
                <w:highlight w:val="none"/>
              </w:rPr>
              <w:t>方案讲解演示</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每个投标人时间不超过</w:t>
            </w:r>
            <w:r>
              <w:rPr>
                <w:rFonts w:hint="eastAsia" w:ascii="仿宋" w:hAnsi="仿宋" w:eastAsia="仿宋" w:cs="仿宋"/>
                <w:color w:val="auto"/>
                <w:kern w:val="0"/>
                <w:sz w:val="24"/>
                <w:highlight w:val="none"/>
                <w:u w:val="single"/>
                <w:lang w:val="en-US" w:eastAsia="zh-CN"/>
              </w:rPr>
              <w:t>30</w:t>
            </w:r>
            <w:r>
              <w:rPr>
                <w:rFonts w:hint="eastAsia" w:ascii="仿宋" w:hAnsi="仿宋" w:eastAsia="仿宋" w:cs="仿宋"/>
                <w:color w:val="auto"/>
                <w:kern w:val="0"/>
                <w:sz w:val="24"/>
                <w:highlight w:val="none"/>
              </w:rPr>
              <w:t>分钟，讲解次序以投标文件解密时间先后次序为准，讲解演示人员不超过</w:t>
            </w:r>
            <w:r>
              <w:rPr>
                <w:rFonts w:hint="eastAsia" w:ascii="仿宋" w:hAnsi="仿宋" w:eastAsia="仿宋" w:cs="仿宋"/>
                <w:color w:val="auto"/>
                <w:kern w:val="0"/>
                <w:sz w:val="24"/>
                <w:highlight w:val="none"/>
                <w:u w:val="single"/>
              </w:rPr>
              <w:t>3</w:t>
            </w:r>
            <w:r>
              <w:rPr>
                <w:rFonts w:hint="eastAsia" w:ascii="仿宋" w:hAnsi="仿宋" w:eastAsia="仿宋" w:cs="仿宋"/>
                <w:color w:val="auto"/>
                <w:kern w:val="0"/>
                <w:sz w:val="24"/>
                <w:highlight w:val="none"/>
              </w:rPr>
              <w:t>人。讲解演示结束后按要求解答评标委员会提问。</w:t>
            </w:r>
          </w:p>
          <w:p w14:paraId="6B231514">
            <w:pPr>
              <w:pStyle w:val="6"/>
              <w:rPr>
                <w:rFonts w:hint="eastAsia" w:ascii="仿宋" w:hAnsi="仿宋" w:eastAsia="仿宋" w:cs="仿宋"/>
                <w:color w:val="auto"/>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方案现场讲解演示。现场讲解地点为</w:t>
            </w:r>
            <w:r>
              <w:rPr>
                <w:rFonts w:hint="eastAsia" w:ascii="仿宋" w:hAnsi="仿宋" w:eastAsia="仿宋" w:cs="仿宋"/>
                <w:color w:val="auto"/>
                <w:sz w:val="24"/>
                <w:highlight w:val="none"/>
                <w:u w:val="single"/>
              </w:rPr>
              <w:t>杭州市萧山区新塘街道党群服务中心215会议室（杭州市萧山区人民政府新塘街道办事处西面）</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讲解</w:t>
            </w:r>
            <w:r>
              <w:rPr>
                <w:rFonts w:hint="eastAsia" w:ascii="仿宋" w:eastAsia="仿宋" w:cs="仿宋"/>
                <w:color w:val="auto"/>
                <w:kern w:val="0"/>
                <w:sz w:val="24"/>
                <w:highlight w:val="none"/>
                <w:lang w:val="en-US" w:eastAsia="zh-CN"/>
              </w:rPr>
              <w:t>人员</w:t>
            </w:r>
            <w:r>
              <w:rPr>
                <w:rFonts w:hint="eastAsia" w:ascii="仿宋" w:hAnsi="仿宋" w:eastAsia="仿宋" w:cs="仿宋"/>
                <w:color w:val="auto"/>
                <w:kern w:val="0"/>
                <w:sz w:val="24"/>
                <w:highlight w:val="none"/>
              </w:rPr>
              <w:t>自备演示工具、设备和演示所需的网络环境。现场讲解演示人员进场时提供讲解人员名单（加盖公章）及身份证明</w:t>
            </w:r>
            <w:r>
              <w:rPr>
                <w:rFonts w:hint="eastAsia" w:ascii="仿宋" w:hAnsi="仿宋" w:eastAsia="仿宋" w:cs="仿宋"/>
                <w:color w:val="auto"/>
                <w:kern w:val="0"/>
                <w:sz w:val="24"/>
                <w:highlight w:val="none"/>
                <w:lang w:eastAsia="zh-CN"/>
              </w:rPr>
              <w:t>，</w:t>
            </w:r>
            <w:r>
              <w:rPr>
                <w:rFonts w:hint="eastAsia" w:ascii="仿宋" w:hAnsi="仿宋" w:eastAsia="仿宋" w:cs="仿宋"/>
                <w:bCs/>
                <w:color w:val="auto"/>
                <w:sz w:val="22"/>
                <w:highlight w:val="none"/>
              </w:rPr>
              <w:t>法人代表请携带身份证复件及营业执照复印件）</w:t>
            </w:r>
            <w:r>
              <w:rPr>
                <w:rFonts w:hint="eastAsia" w:ascii="仿宋" w:hAnsi="仿宋" w:eastAsia="仿宋" w:cs="仿宋"/>
                <w:color w:val="auto"/>
                <w:kern w:val="0"/>
                <w:sz w:val="24"/>
                <w:highlight w:val="none"/>
              </w:rPr>
              <w:t>，否则不得讲解演示。</w:t>
            </w:r>
          </w:p>
          <w:p w14:paraId="6464FDBF">
            <w:pPr>
              <w:snapToGrid w:val="0"/>
              <w:spacing w:line="360" w:lineRule="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r>
              <w:rPr>
                <w:rFonts w:hint="eastAsia" w:ascii="仿宋" w:hAnsi="仿宋" w:eastAsia="仿宋" w:cs="仿宋"/>
                <w:bCs/>
                <w:color w:val="auto"/>
                <w:sz w:val="22"/>
                <w:highlight w:val="none"/>
                <w:lang w:val="en-US" w:eastAsia="zh-CN"/>
              </w:rPr>
              <w:t>演示人员</w:t>
            </w:r>
            <w:r>
              <w:rPr>
                <w:rFonts w:hint="eastAsia" w:ascii="仿宋" w:hAnsi="仿宋" w:eastAsia="仿宋" w:cs="仿宋"/>
                <w:bCs/>
                <w:color w:val="auto"/>
                <w:sz w:val="22"/>
                <w:highlight w:val="none"/>
              </w:rPr>
              <w:t>须提供投标人的授权书（见附件格式，法人代表请携带身份证复件及营业执照复印件）、身份证</w:t>
            </w:r>
            <w:r>
              <w:rPr>
                <w:rFonts w:hint="eastAsia" w:ascii="仿宋" w:hAnsi="仿宋" w:eastAsia="仿宋" w:cs="仿宋"/>
                <w:bCs/>
                <w:color w:val="auto"/>
                <w:sz w:val="22"/>
                <w:highlight w:val="none"/>
                <w:lang w:eastAsia="zh-CN"/>
              </w:rPr>
              <w:t>（</w:t>
            </w:r>
            <w:r>
              <w:rPr>
                <w:rFonts w:hint="eastAsia" w:ascii="仿宋" w:hAnsi="仿宋" w:eastAsia="仿宋" w:cs="仿宋"/>
                <w:bCs/>
                <w:color w:val="auto"/>
                <w:sz w:val="22"/>
                <w:highlight w:val="none"/>
                <w:lang w:val="en-US" w:eastAsia="zh-CN"/>
              </w:rPr>
              <w:t>复印件</w:t>
            </w:r>
            <w:r>
              <w:rPr>
                <w:rFonts w:hint="eastAsia" w:ascii="仿宋" w:hAnsi="仿宋" w:eastAsia="仿宋" w:cs="仿宋"/>
                <w:bCs/>
                <w:color w:val="auto"/>
                <w:sz w:val="22"/>
                <w:highlight w:val="none"/>
                <w:lang w:eastAsia="zh-CN"/>
              </w:rPr>
              <w:t>）</w:t>
            </w:r>
            <w:r>
              <w:rPr>
                <w:rFonts w:hint="eastAsia" w:ascii="仿宋" w:hAnsi="仿宋" w:eastAsia="仿宋" w:cs="仿宋"/>
                <w:bCs/>
                <w:color w:val="auto"/>
                <w:sz w:val="22"/>
                <w:highlight w:val="none"/>
              </w:rPr>
              <w:t>。</w:t>
            </w:r>
          </w:p>
        </w:tc>
      </w:tr>
      <w:tr w14:paraId="07886C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519B64C3">
            <w:pPr>
              <w:snapToGrid w:val="0"/>
              <w:spacing w:line="360" w:lineRule="auto"/>
              <w:jc w:val="center"/>
              <w:rPr>
                <w:rFonts w:hint="eastAsia" w:ascii="仿宋" w:hAnsi="仿宋" w:eastAsia="仿宋" w:cs="仿宋"/>
                <w:color w:val="auto"/>
                <w:sz w:val="24"/>
                <w:highlight w:val="none"/>
              </w:rPr>
            </w:pPr>
          </w:p>
          <w:p w14:paraId="3AC17E0F">
            <w:pPr>
              <w:snapToGrid w:val="0"/>
              <w:spacing w:line="360" w:lineRule="auto"/>
              <w:jc w:val="center"/>
              <w:rPr>
                <w:rFonts w:hint="eastAsia" w:ascii="仿宋" w:hAnsi="仿宋" w:eastAsia="仿宋" w:cs="仿宋"/>
                <w:color w:val="auto"/>
                <w:sz w:val="24"/>
                <w:highlight w:val="none"/>
              </w:rPr>
            </w:pPr>
          </w:p>
          <w:p w14:paraId="762634F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5BA8DCE">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64D5D3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5CFE67BA">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6C7D2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7F9BE339">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33F9E2C">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315BCE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506380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BE48E7B">
            <w:pPr>
              <w:snapToGrid w:val="0"/>
              <w:spacing w:line="360" w:lineRule="auto"/>
              <w:jc w:val="center"/>
              <w:rPr>
                <w:rFonts w:hint="eastAsia" w:ascii="仿宋" w:hAnsi="仿宋" w:eastAsia="仿宋" w:cs="仿宋"/>
                <w:color w:val="auto"/>
                <w:sz w:val="24"/>
                <w:highlight w:val="none"/>
              </w:rPr>
            </w:pPr>
          </w:p>
          <w:p w14:paraId="66B6EF62">
            <w:pPr>
              <w:snapToGrid w:val="0"/>
              <w:spacing w:line="360" w:lineRule="auto"/>
              <w:jc w:val="center"/>
              <w:rPr>
                <w:rFonts w:hint="eastAsia" w:ascii="仿宋" w:hAnsi="仿宋" w:eastAsia="仿宋" w:cs="仿宋"/>
                <w:color w:val="auto"/>
                <w:sz w:val="24"/>
                <w:highlight w:val="none"/>
              </w:rPr>
            </w:pPr>
          </w:p>
          <w:p w14:paraId="2C02CD0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4D7BBAC">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6F4C55E">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9357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61AA263">
            <w:pPr>
              <w:snapToGrid w:val="0"/>
              <w:spacing w:line="360" w:lineRule="auto"/>
              <w:jc w:val="center"/>
              <w:rPr>
                <w:rFonts w:hint="eastAsia" w:ascii="仿宋" w:hAnsi="仿宋" w:eastAsia="仿宋" w:cs="仿宋"/>
                <w:color w:val="auto"/>
                <w:sz w:val="24"/>
                <w:highlight w:val="none"/>
              </w:rPr>
            </w:pPr>
          </w:p>
          <w:p w14:paraId="62C03141">
            <w:pPr>
              <w:snapToGrid w:val="0"/>
              <w:spacing w:line="360" w:lineRule="auto"/>
              <w:jc w:val="center"/>
              <w:rPr>
                <w:rFonts w:hint="eastAsia" w:ascii="仿宋" w:hAnsi="仿宋" w:eastAsia="仿宋" w:cs="仿宋"/>
                <w:color w:val="auto"/>
                <w:sz w:val="24"/>
                <w:highlight w:val="none"/>
              </w:rPr>
            </w:pPr>
          </w:p>
          <w:p w14:paraId="45B39E1A">
            <w:pPr>
              <w:snapToGrid w:val="0"/>
              <w:spacing w:line="360" w:lineRule="auto"/>
              <w:jc w:val="center"/>
              <w:rPr>
                <w:rFonts w:hint="eastAsia" w:ascii="仿宋" w:hAnsi="仿宋" w:eastAsia="仿宋" w:cs="仿宋"/>
                <w:color w:val="auto"/>
                <w:sz w:val="24"/>
                <w:highlight w:val="none"/>
              </w:rPr>
            </w:pPr>
          </w:p>
          <w:p w14:paraId="499F24C9">
            <w:pPr>
              <w:snapToGrid w:val="0"/>
              <w:spacing w:line="360" w:lineRule="auto"/>
              <w:jc w:val="center"/>
              <w:rPr>
                <w:rFonts w:hint="eastAsia" w:ascii="仿宋" w:hAnsi="仿宋" w:eastAsia="仿宋" w:cs="仿宋"/>
                <w:color w:val="auto"/>
                <w:sz w:val="24"/>
                <w:highlight w:val="none"/>
              </w:rPr>
            </w:pPr>
          </w:p>
          <w:p w14:paraId="17D868E7">
            <w:pPr>
              <w:snapToGrid w:val="0"/>
              <w:spacing w:line="360" w:lineRule="auto"/>
              <w:jc w:val="center"/>
              <w:rPr>
                <w:rFonts w:hint="eastAsia" w:ascii="仿宋" w:hAnsi="仿宋" w:eastAsia="仿宋" w:cs="仿宋"/>
                <w:color w:val="auto"/>
                <w:sz w:val="24"/>
                <w:highlight w:val="none"/>
              </w:rPr>
            </w:pPr>
          </w:p>
          <w:p w14:paraId="7BDEC10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84A285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76E36B0">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0A55D625">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6C4BE6D2">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1F5D85DA">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2342C094">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35F5184F">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1908FD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5608A923">
            <w:pPr>
              <w:snapToGrid w:val="0"/>
              <w:spacing w:line="360" w:lineRule="auto"/>
              <w:jc w:val="center"/>
              <w:rPr>
                <w:rFonts w:hint="eastAsia" w:ascii="仿宋" w:hAnsi="仿宋" w:eastAsia="仿宋" w:cs="仿宋"/>
                <w:color w:val="auto"/>
                <w:sz w:val="24"/>
                <w:highlight w:val="none"/>
              </w:rPr>
            </w:pPr>
          </w:p>
          <w:p w14:paraId="274DBB6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B6BE2A3">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9EA35CF">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11AB126A">
            <w:pPr>
              <w:snapToGrid w:val="0"/>
              <w:spacing w:after="0" w:line="360" w:lineRule="auto"/>
              <w:rPr>
                <w:rFonts w:hint="eastAsia" w:ascii="仿宋" w:hAnsi="仿宋" w:eastAsia="仿宋" w:cs="仿宋"/>
                <w:color w:val="auto"/>
                <w:sz w:val="22"/>
                <w:highlight w:val="none"/>
              </w:rPr>
            </w:pPr>
            <w:r>
              <w:rPr>
                <w:rFonts w:hint="eastAsia" w:ascii="仿宋" w:hAnsi="仿宋" w:eastAsia="仿宋" w:cs="仿宋"/>
                <w:color w:val="auto"/>
                <w:sz w:val="22"/>
                <w:highlight w:val="none"/>
              </w:rPr>
              <w:t>本项目支持《杭州市萧山区政府采购支持中小企业信用融资暂行办法》。</w:t>
            </w:r>
          </w:p>
          <w:p w14:paraId="354391ED">
            <w:pPr>
              <w:spacing w:after="0"/>
              <w:rPr>
                <w:rFonts w:hint="eastAsia" w:ascii="仿宋" w:hAnsi="仿宋" w:eastAsia="仿宋" w:cs="仿宋"/>
                <w:color w:val="auto"/>
                <w:sz w:val="22"/>
                <w:highlight w:val="none"/>
              </w:rPr>
            </w:pPr>
            <w:r>
              <w:rPr>
                <w:rFonts w:hint="eastAsia" w:ascii="仿宋" w:hAnsi="仿宋" w:eastAsia="仿宋" w:cs="仿宋"/>
                <w:color w:val="auto"/>
                <w:sz w:val="22"/>
                <w:highlight w:val="none"/>
              </w:rPr>
              <w:t>有融资需求的中标供应商可参照相关规定及银行方案凭政府采购合同向相关合作银行提出信用融资（贷款）申请。详见</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"http://www.xiaoshan.gov.cn/art/2018/12/20/art_1229293109_1559514.html"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sz w:val="22"/>
                <w:szCs w:val="24"/>
                <w:highlight w:val="none"/>
              </w:rPr>
              <w:t>http://www.xiaoshan.gov.cn/art/2018/12/20/art_1229293109_1559514.html</w:t>
            </w:r>
            <w:r>
              <w:rPr>
                <w:rStyle w:val="76"/>
                <w:rFonts w:hint="eastAsia" w:ascii="仿宋" w:hAnsi="仿宋" w:eastAsia="仿宋" w:cs="仿宋"/>
                <w:snapToGrid/>
                <w:color w:val="auto"/>
                <w:sz w:val="22"/>
                <w:szCs w:val="24"/>
                <w:highlight w:val="none"/>
              </w:rPr>
              <w:fldChar w:fldCharType="end"/>
            </w:r>
          </w:p>
          <w:p w14:paraId="06ADF832">
            <w:pPr>
              <w:pStyle w:val="6"/>
              <w:rPr>
                <w:rFonts w:hint="eastAsia" w:ascii="仿宋" w:hAnsi="仿宋" w:eastAsia="仿宋" w:cs="仿宋"/>
                <w:color w:val="auto"/>
                <w:highlight w:val="none"/>
              </w:rPr>
            </w:pPr>
          </w:p>
        </w:tc>
      </w:tr>
      <w:tr w14:paraId="3DEA89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8" w:hRule="atLeast"/>
          <w:tblHeader/>
        </w:trPr>
        <w:tc>
          <w:tcPr>
            <w:tcW w:w="629" w:type="dxa"/>
            <w:tcBorders>
              <w:top w:val="single" w:color="auto" w:sz="4" w:space="0"/>
              <w:left w:val="single" w:color="000000" w:sz="8" w:space="0"/>
              <w:bottom w:val="single" w:color="auto" w:sz="4" w:space="0"/>
              <w:right w:val="single" w:color="000000" w:sz="2" w:space="0"/>
            </w:tcBorders>
          </w:tcPr>
          <w:p w14:paraId="33EDEE9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1BA8637">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4FD009E">
            <w:pPr>
              <w:pStyle w:val="34"/>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lang w:val="en-US" w:eastAsia="zh-CN"/>
              </w:rPr>
              <w:t>本项目</w:t>
            </w:r>
            <w:r>
              <w:rPr>
                <w:rFonts w:hint="eastAsia" w:ascii="仿宋" w:hAnsi="仿宋" w:eastAsia="仿宋" w:cs="仿宋"/>
                <w:color w:val="auto"/>
                <w:kern w:val="28"/>
                <w:sz w:val="24"/>
                <w:szCs w:val="24"/>
                <w:highlight w:val="none"/>
              </w:rPr>
              <w:t>备份文件是否收取：不收取</w:t>
            </w:r>
          </w:p>
        </w:tc>
      </w:tr>
      <w:tr w14:paraId="6E0336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0CF781B">
            <w:pPr>
              <w:spacing w:after="0"/>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D12F89B">
            <w:pPr>
              <w:spacing w:after="0"/>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b/>
                <w:color w:val="auto"/>
                <w:sz w:val="22"/>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154FE259">
            <w:pPr>
              <w:spacing w:after="0"/>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sz w:val="22"/>
                <w:highlight w:val="none"/>
                <w:lang w:val="en-US" w:eastAsia="zh-CN"/>
              </w:rPr>
              <w:t>采购人按合同支付</w:t>
            </w:r>
            <w:r>
              <w:rPr>
                <w:rFonts w:hint="eastAsia" w:ascii="仿宋" w:hAnsi="仿宋" w:eastAsia="仿宋" w:cs="仿宋"/>
                <w:color w:val="auto"/>
                <w:sz w:val="22"/>
                <w:highlight w:val="none"/>
              </w:rPr>
              <w:t>。</w:t>
            </w:r>
          </w:p>
        </w:tc>
      </w:tr>
      <w:tr w14:paraId="415984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400C4B1">
            <w:pPr>
              <w:spacing w:after="0"/>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1407E7B2">
            <w:pPr>
              <w:spacing w:after="0"/>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b/>
                <w:color w:val="auto"/>
                <w:sz w:val="22"/>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06261B78">
            <w:pPr>
              <w:spacing w:after="0"/>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sz w:val="22"/>
                <w:highlight w:val="none"/>
              </w:rPr>
              <w:t>本项目由采购人进行资格文件及信用信息查询。</w:t>
            </w:r>
          </w:p>
        </w:tc>
      </w:tr>
      <w:tr w14:paraId="6A45BA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41D135C">
            <w:pPr>
              <w:spacing w:after="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507889A3">
            <w:pPr>
              <w:spacing w:after="0"/>
              <w:rPr>
                <w:rFonts w:hint="eastAsia" w:ascii="仿宋" w:hAnsi="仿宋" w:eastAsia="仿宋" w:cs="仿宋"/>
                <w:b/>
                <w:color w:val="auto"/>
                <w:sz w:val="22"/>
                <w:highlight w:val="none"/>
              </w:rPr>
            </w:pPr>
            <w:r>
              <w:rPr>
                <w:rFonts w:hint="eastAsia" w:ascii="仿宋" w:hAnsi="仿宋" w:eastAsia="仿宋" w:cs="仿宋"/>
                <w:b/>
                <w:color w:val="auto"/>
                <w:sz w:val="22"/>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449D64CD">
            <w:pPr>
              <w:snapToGrid w:val="0"/>
              <w:spacing w:after="0" w:line="360" w:lineRule="auto"/>
              <w:rPr>
                <w:rFonts w:hint="eastAsia" w:ascii="仿宋" w:hAnsi="仿宋" w:eastAsia="仿宋" w:cs="仿宋"/>
                <w:color w:val="auto"/>
                <w:sz w:val="22"/>
                <w:highlight w:val="none"/>
                <w:u w:val="single"/>
              </w:rPr>
            </w:pPr>
            <w:r>
              <w:rPr>
                <w:rFonts w:hint="eastAsia" w:ascii="仿宋" w:hAnsi="仿宋" w:eastAsia="仿宋" w:cs="仿宋"/>
                <w:color w:val="auto"/>
                <w:sz w:val="22"/>
                <w:highlight w:val="none"/>
              </w:rPr>
              <w:t>采购人、采购机构质疑接收人、联系方式：详见公告</w:t>
            </w:r>
          </w:p>
          <w:p w14:paraId="40AB066A">
            <w:pPr>
              <w:snapToGrid w:val="0"/>
              <w:spacing w:after="0" w:line="360" w:lineRule="auto"/>
              <w:rPr>
                <w:rFonts w:hint="eastAsia" w:ascii="仿宋" w:hAnsi="仿宋" w:eastAsia="仿宋" w:cs="仿宋"/>
                <w:b/>
                <w:color w:val="auto"/>
                <w:sz w:val="22"/>
                <w:highlight w:val="none"/>
              </w:rPr>
            </w:pPr>
            <w:r>
              <w:rPr>
                <w:rFonts w:hint="eastAsia" w:ascii="仿宋" w:hAnsi="仿宋" w:eastAsia="仿宋" w:cs="仿宋"/>
                <w:b/>
                <w:color w:val="auto"/>
                <w:sz w:val="22"/>
                <w:highlight w:val="none"/>
              </w:rPr>
              <w:t>线上提交质疑方式：政采云线上质疑路径：项目采购-询问质疑投诉-质疑列表。请使用ca签章在每一页质疑文件中加盖电子公章，上传完整附件。</w:t>
            </w:r>
          </w:p>
          <w:p w14:paraId="0FCD3B5B">
            <w:pPr>
              <w:snapToGrid w:val="0"/>
              <w:spacing w:after="0" w:line="360" w:lineRule="auto"/>
              <w:rPr>
                <w:rFonts w:hint="eastAsia" w:ascii="仿宋" w:hAnsi="仿宋" w:eastAsia="仿宋" w:cs="仿宋"/>
                <w:color w:val="auto"/>
                <w:sz w:val="22"/>
                <w:highlight w:val="none"/>
              </w:rPr>
            </w:pPr>
            <w:r>
              <w:rPr>
                <w:rFonts w:hint="eastAsia" w:ascii="仿宋" w:hAnsi="仿宋" w:eastAsia="仿宋" w:cs="仿宋"/>
                <w:color w:val="auto"/>
                <w:sz w:val="22"/>
                <w:highlight w:val="none"/>
              </w:rPr>
              <w:t>本项目涉及资格条件、采购需求、评分办法及采购过程中有关现场考察或开标前答疑会等事项由采购人进行答复。</w:t>
            </w:r>
          </w:p>
          <w:p w14:paraId="5267A39C">
            <w:pPr>
              <w:spacing w:after="0"/>
              <w:rPr>
                <w:rFonts w:hint="eastAsia" w:ascii="仿宋" w:hAnsi="仿宋" w:eastAsia="仿宋" w:cs="仿宋"/>
                <w:color w:val="auto"/>
                <w:sz w:val="22"/>
                <w:highlight w:val="none"/>
              </w:rPr>
            </w:pPr>
            <w:r>
              <w:rPr>
                <w:rFonts w:hint="eastAsia" w:ascii="仿宋" w:hAnsi="仿宋" w:eastAsia="仿宋" w:cs="仿宋"/>
                <w:color w:val="auto"/>
                <w:sz w:val="22"/>
                <w:highlight w:val="none"/>
              </w:rPr>
              <w:t>涉及流程规范性、组织程序等相关事项，由采购机构进行答复。</w:t>
            </w:r>
          </w:p>
        </w:tc>
      </w:tr>
      <w:tr w14:paraId="6828A0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D663C13">
            <w:p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4F1D2FEE">
            <w:pPr>
              <w:spacing w:after="0"/>
              <w:rPr>
                <w:rFonts w:hint="eastAsia" w:ascii="仿宋" w:hAnsi="仿宋" w:eastAsia="仿宋" w:cs="仿宋"/>
                <w:b/>
                <w:color w:val="auto"/>
                <w:sz w:val="22"/>
                <w:highlight w:val="none"/>
                <w:lang w:val="en-US" w:eastAsia="zh-CN"/>
              </w:rPr>
            </w:pPr>
            <w:r>
              <w:rPr>
                <w:rFonts w:hint="eastAsia" w:ascii="仿宋" w:hAnsi="仿宋" w:eastAsia="仿宋" w:cs="仿宋"/>
                <w:b/>
                <w:color w:val="auto"/>
                <w:sz w:val="22"/>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7CF86DFC">
            <w:pPr>
              <w:rPr>
                <w:rFonts w:hint="eastAsia" w:ascii="仿宋" w:hAnsi="仿宋" w:eastAsia="仿宋" w:cs="仿宋"/>
                <w:color w:val="auto"/>
                <w:highlight w:val="none"/>
              </w:rPr>
            </w:pPr>
            <w:r>
              <w:rPr>
                <w:rFonts w:hint="eastAsia" w:ascii="仿宋" w:hAnsi="仿宋" w:eastAsia="仿宋" w:cs="仿宋"/>
                <w:color w:val="auto"/>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ascii="仿宋" w:hAnsi="仿宋" w:eastAsia="仿宋" w:cs="仿宋"/>
                <w:color w:val="auto"/>
                <w:highlight w:val="none"/>
                <w:lang w:val="en-US" w:eastAsia="zh-CN"/>
              </w:rPr>
              <w:t>后</w:t>
            </w:r>
            <w:r>
              <w:rPr>
                <w:rFonts w:hint="eastAsia" w:ascii="仿宋" w:hAnsi="仿宋" w:eastAsia="仿宋" w:cs="仿宋"/>
                <w:color w:val="auto"/>
                <w:highlight w:val="none"/>
              </w:rPr>
              <w:t>已有新文件</w:t>
            </w:r>
            <w:r>
              <w:rPr>
                <w:rFonts w:hint="eastAsia" w:ascii="仿宋" w:hAnsi="仿宋" w:eastAsia="仿宋" w:cs="仿宋"/>
                <w:color w:val="auto"/>
                <w:highlight w:val="none"/>
                <w:lang w:val="en-US" w:eastAsia="zh-CN"/>
              </w:rPr>
              <w:t>规定</w:t>
            </w:r>
            <w:r>
              <w:rPr>
                <w:rFonts w:hint="eastAsia" w:ascii="仿宋" w:hAnsi="仿宋" w:eastAsia="仿宋" w:cs="仿宋"/>
                <w:color w:val="auto"/>
                <w:highlight w:val="none"/>
              </w:rPr>
              <w:t>，按照最新文件执行）。存在隐蔽工程的项目，采购单位及供应商应在货物到货并将实施安装前，申请进行初验收。</w:t>
            </w:r>
          </w:p>
          <w:p w14:paraId="6C57212E">
            <w:pPr>
              <w:rPr>
                <w:rFonts w:hint="eastAsia" w:ascii="仿宋" w:hAnsi="仿宋" w:eastAsia="仿宋" w:cs="仿宋"/>
                <w:color w:val="auto"/>
                <w:highlight w:val="none"/>
              </w:rPr>
            </w:pPr>
            <w:r>
              <w:rPr>
                <w:rFonts w:hint="eastAsia" w:ascii="仿宋" w:hAnsi="仿宋" w:eastAsia="仿宋" w:cs="仿宋"/>
                <w:color w:val="auto"/>
                <w:highlight w:val="none"/>
              </w:rPr>
              <w:t>联系电话: 0571-83587785/0571-82816012  联系地址: 萧山区通惠北路2-1号302室</w:t>
            </w:r>
          </w:p>
          <w:p w14:paraId="2CA3BFEA">
            <w:pPr>
              <w:spacing w:after="0"/>
              <w:rPr>
                <w:rFonts w:hint="eastAsia" w:ascii="仿宋" w:hAnsi="仿宋" w:eastAsia="仿宋" w:cs="仿宋"/>
                <w:color w:val="auto"/>
                <w:sz w:val="22"/>
                <w:highlight w:val="none"/>
              </w:rPr>
            </w:pPr>
          </w:p>
        </w:tc>
      </w:tr>
      <w:tr w14:paraId="363D46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F5FAD3E">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w:t>
            </w:r>
          </w:p>
        </w:tc>
        <w:tc>
          <w:tcPr>
            <w:tcW w:w="1843" w:type="dxa"/>
            <w:vMerge w:val="restart"/>
            <w:tcBorders>
              <w:top w:val="single" w:color="000000" w:sz="8" w:space="0"/>
              <w:left w:val="single" w:color="000000" w:sz="2" w:space="0"/>
              <w:right w:val="single" w:color="000000" w:sz="8" w:space="0"/>
            </w:tcBorders>
            <w:vAlign w:val="center"/>
          </w:tcPr>
          <w:p w14:paraId="39373527">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F486239">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58DDA1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173796BA">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000000" w:sz="2" w:space="0"/>
              <w:right w:val="single" w:color="000000" w:sz="8" w:space="0"/>
            </w:tcBorders>
            <w:vAlign w:val="center"/>
          </w:tcPr>
          <w:p w14:paraId="024E3D9B">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B001217">
            <w:pPr>
              <w:spacing w:line="360" w:lineRule="auto"/>
              <w:rPr>
                <w:rFonts w:hint="eastAsia" w:ascii="仿宋" w:hAnsi="仿宋" w:eastAsia="仿宋" w:cs="仿宋"/>
                <w:color w:val="auto"/>
                <w:highlight w:val="none"/>
              </w:rPr>
            </w:pPr>
            <w:sdt>
              <w:sdtPr>
                <w:rPr>
                  <w:rFonts w:hint="eastAsia" w:ascii="仿宋" w:hAnsi="仿宋" w:eastAsia="仿宋" w:cs="仿宋"/>
                  <w:color w:val="auto"/>
                  <w:highlight w:val="none"/>
                </w:rPr>
                <w:id w:val="4672"/>
                <w14:checkbox>
                  <w14:checked w14:val="0"/>
                  <w14:checkedState w14:val="00FE" w14:font="Wingdings"/>
                  <w14:uncheckedState w14:val="2610" w14:font="MS Gothic"/>
                </w14:checkbox>
              </w:sdtPr>
              <w:sdtEndPr>
                <w:rPr>
                  <w:rFonts w:hint="eastAsia" w:ascii="仿宋" w:hAnsi="仿宋" w:eastAsia="仿宋" w:cs="仿宋"/>
                  <w:color w:val="auto"/>
                  <w:highlight w:val="none"/>
                </w:rPr>
              </w:sdtEndPr>
              <w:sdtContent>
                <w:r>
                  <w:rPr>
                    <w:rFonts w:hint="eastAsia" w:ascii="仿宋" w:hAnsi="仿宋" w:eastAsia="仿宋" w:cs="仿宋"/>
                    <w:color w:val="auto"/>
                    <w:highlight w:val="none"/>
                  </w:rPr>
                  <w:t>☐</w:t>
                </w:r>
              </w:sdtContent>
            </w:sdt>
            <w:r>
              <w:rPr>
                <w:rFonts w:hint="eastAsia" w:ascii="仿宋" w:hAnsi="仿宋" w:eastAsia="仿宋" w:cs="仿宋"/>
                <w:color w:val="auto"/>
                <w:highlight w:val="none"/>
              </w:rPr>
              <w:t>联合体投标的，联合体各方均需按招标文件第四部分评标标准要求提供资信证明文件，否则视为不符合相关要求。</w:t>
            </w:r>
          </w:p>
          <w:p w14:paraId="7030B823">
            <w:pPr>
              <w:spacing w:line="360" w:lineRule="auto"/>
              <w:rPr>
                <w:rFonts w:hint="eastAsia" w:ascii="仿宋" w:hAnsi="仿宋" w:eastAsia="仿宋" w:cs="仿宋"/>
                <w:color w:val="auto"/>
                <w:highlight w:val="none"/>
                <w:lang w:eastAsia="zh-CN"/>
              </w:rPr>
            </w:pPr>
            <w:sdt>
              <w:sdtPr>
                <w:rPr>
                  <w:rFonts w:hint="eastAsia" w:ascii="仿宋" w:hAnsi="仿宋" w:eastAsia="仿宋" w:cs="仿宋"/>
                  <w:color w:val="auto"/>
                  <w:highlight w:val="none"/>
                </w:rPr>
                <w:id w:val="1052570136"/>
                <w14:checkbox>
                  <w14:checked w14:val="1"/>
                  <w14:checkedState w14:val="00FE" w14:font="Wingdings"/>
                  <w14:uncheckedState w14:val="2610" w14:font="MS Gothic"/>
                </w14:checkbox>
              </w:sdtPr>
              <w:sdtEndPr>
                <w:rPr>
                  <w:rFonts w:hint="eastAsia" w:ascii="仿宋" w:hAnsi="仿宋" w:eastAsia="仿宋" w:cs="仿宋"/>
                  <w:color w:val="auto"/>
                  <w:highlight w:val="none"/>
                </w:rPr>
              </w:sdtEndPr>
              <w:sdtContent>
                <w:r>
                  <w:rPr>
                    <w:rFonts w:hint="eastAsia" w:ascii="仿宋" w:hAnsi="仿宋" w:eastAsia="仿宋" w:cs="仿宋"/>
                    <w:color w:val="auto"/>
                    <w:highlight w:val="none"/>
                  </w:rPr>
                  <w:sym w:font="Wingdings" w:char="F0FE"/>
                </w:r>
              </w:sdtContent>
            </w:sdt>
            <w:r>
              <w:rPr>
                <w:rFonts w:hint="eastAsia" w:ascii="仿宋" w:hAnsi="仿宋" w:eastAsia="仿宋" w:cs="仿宋"/>
                <w:color w:val="auto"/>
                <w:highlight w:val="none"/>
              </w:rPr>
              <w:t>联合体投标的，联合体中有一方或者联合体成员根据分工按招标文件第四部分评标标准要求提供资信证明文件的，视为符合了相关要求。</w:t>
            </w:r>
          </w:p>
          <w:p w14:paraId="37648AF3">
            <w:pPr>
              <w:spacing w:line="360" w:lineRule="auto"/>
              <w:rPr>
                <w:rFonts w:hint="eastAsia" w:ascii="仿宋" w:hAnsi="仿宋" w:eastAsia="仿宋" w:cs="仿宋"/>
                <w:color w:val="auto"/>
                <w:highlight w:val="none"/>
              </w:rPr>
            </w:pPr>
            <w:r>
              <w:rPr>
                <w:rFonts w:hint="eastAsia" w:ascii="仿宋" w:hAnsi="仿宋" w:eastAsia="仿宋" w:cs="仿宋"/>
                <w:color w:val="auto"/>
                <w:kern w:val="0"/>
                <w:sz w:val="22"/>
                <w:szCs w:val="22"/>
                <w:highlight w:val="none"/>
              </w:rPr>
              <w:t>评审因素对应的要求视为采购需求的一部分。</w:t>
            </w:r>
          </w:p>
          <w:p w14:paraId="237E6D90">
            <w:pPr>
              <w:spacing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严格执行预算限价，项目如涉及办公用房装修、通用办公设备家具的不得超限额标准。（萧财国资【2019】389号）</w:t>
            </w:r>
          </w:p>
          <w:p w14:paraId="548E24EB">
            <w:pPr>
              <w:spacing w:line="360" w:lineRule="auto"/>
              <w:rPr>
                <w:rFonts w:hint="eastAsia" w:ascii="仿宋" w:hAnsi="仿宋" w:eastAsia="仿宋" w:cs="仿宋"/>
                <w:color w:val="auto"/>
                <w:highlight w:val="none"/>
              </w:rPr>
            </w:pPr>
            <w:r>
              <w:rPr>
                <w:rFonts w:hint="eastAsia" w:ascii="仿宋" w:hAnsi="仿宋" w:eastAsia="仿宋" w:cs="仿宋"/>
                <w:b/>
                <w:bCs/>
                <w:color w:val="auto"/>
                <w:highlight w:val="none"/>
              </w:rPr>
              <w:t>本项目通用总则条款与前附表等专用特别规定有冲突之处，以专用条款（特别规定）为准</w:t>
            </w:r>
          </w:p>
        </w:tc>
      </w:tr>
      <w:tr w14:paraId="2ED9EA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14:paraId="4FA49F88">
            <w:pPr>
              <w:snapToGrid w:val="0"/>
              <w:spacing w:line="360" w:lineRule="auto"/>
              <w:jc w:val="center"/>
              <w:rPr>
                <w:rFonts w:hint="eastAsia" w:ascii="仿宋" w:hAnsi="仿宋" w:eastAsia="仿宋" w:cs="仿宋"/>
                <w:color w:val="auto"/>
                <w:sz w:val="24"/>
                <w:highlight w:val="none"/>
              </w:rPr>
            </w:pPr>
          </w:p>
        </w:tc>
        <w:tc>
          <w:tcPr>
            <w:tcW w:w="1843" w:type="dxa"/>
            <w:tcBorders>
              <w:left w:val="single" w:color="000000" w:sz="2" w:space="0"/>
              <w:bottom w:val="single" w:color="000000" w:sz="8" w:space="0"/>
              <w:right w:val="single" w:color="000000" w:sz="8" w:space="0"/>
            </w:tcBorders>
            <w:vAlign w:val="center"/>
          </w:tcPr>
          <w:p w14:paraId="7C32F130">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FD0AA2C">
            <w:pPr>
              <w:spacing w:line="360" w:lineRule="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eastAsia="zh-CN"/>
              </w:rPr>
              <w:t>本项目每个标项推荐中标候选人数量：</w:t>
            </w:r>
            <w:r>
              <w:rPr>
                <w:rFonts w:hint="eastAsia" w:ascii="仿宋" w:hAnsi="仿宋" w:eastAsia="仿宋" w:cs="仿宋"/>
                <w:b/>
                <w:bCs/>
                <w:color w:val="auto"/>
                <w:highlight w:val="none"/>
                <w:lang w:val="en-US" w:eastAsia="zh-CN"/>
              </w:rPr>
              <w:t>1</w:t>
            </w:r>
          </w:p>
        </w:tc>
      </w:tr>
    </w:tbl>
    <w:p w14:paraId="19758535">
      <w:pPr>
        <w:snapToGrid w:val="0"/>
        <w:spacing w:line="360" w:lineRule="auto"/>
        <w:jc w:val="center"/>
        <w:rPr>
          <w:rFonts w:hint="eastAsia" w:ascii="仿宋" w:hAnsi="仿宋" w:eastAsia="仿宋" w:cs="仿宋"/>
          <w:b/>
          <w:color w:val="auto"/>
          <w:sz w:val="32"/>
          <w:szCs w:val="20"/>
          <w:highlight w:val="none"/>
        </w:rPr>
      </w:pPr>
    </w:p>
    <w:bookmarkEnd w:id="10"/>
    <w:p w14:paraId="08BB6AAB">
      <w:pPr>
        <w:adjustRightInd/>
        <w:spacing w:line="360" w:lineRule="auto"/>
        <w:ind w:firstLine="3845" w:firstLineChars="1197"/>
        <w:outlineLvl w:val="0"/>
        <w:rPr>
          <w:rFonts w:hint="eastAsia" w:ascii="仿宋" w:hAnsi="仿宋" w:eastAsia="仿宋" w:cs="仿宋"/>
          <w:b/>
          <w:color w:val="auto"/>
          <w:sz w:val="32"/>
          <w:szCs w:val="20"/>
          <w:highlight w:val="none"/>
        </w:rPr>
      </w:pPr>
      <w:bookmarkStart w:id="13" w:name="_Toc164416483"/>
      <w:bookmarkStart w:id="14" w:name="第三部分"/>
      <w:r>
        <w:rPr>
          <w:rFonts w:hint="eastAsia" w:ascii="仿宋" w:hAnsi="仿宋" w:eastAsia="仿宋" w:cs="仿宋"/>
          <w:b/>
          <w:color w:val="auto"/>
          <w:sz w:val="32"/>
          <w:szCs w:val="20"/>
          <w:highlight w:val="none"/>
        </w:rPr>
        <w:t>一、总则</w:t>
      </w:r>
    </w:p>
    <w:p w14:paraId="03D7C861">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4896C633">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5381552D">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0A671A8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0191A42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3961429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1A7367F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247A997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F55F78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14:paraId="4C440C2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6BE5BB27">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0967691B">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0E9BA1A8">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082CA648">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A80645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2B97D67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14:paraId="4C8DA6B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0811563E">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3CF8EED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3DA1B8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7F1849D6">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65E28D0">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7F54368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6" w:name="_Hlk101132181"/>
      <w:r>
        <w:rPr>
          <w:rFonts w:hint="eastAsia" w:ascii="仿宋" w:hAnsi="仿宋" w:eastAsia="仿宋" w:cs="仿宋"/>
          <w:color w:val="auto"/>
          <w:sz w:val="24"/>
          <w:highlight w:val="none"/>
        </w:rPr>
        <w:t>联合协议或者分包意向协议约定小微企业的合同份额占到合同总金额30%以上的</w:t>
      </w:r>
      <w:bookmarkEnd w:id="16"/>
      <w:r>
        <w:rPr>
          <w:rFonts w:hint="eastAsia" w:ascii="仿宋" w:hAnsi="仿宋" w:eastAsia="仿宋" w:cs="仿宋"/>
          <w:color w:val="auto"/>
          <w:sz w:val="24"/>
          <w:highlight w:val="none"/>
        </w:rPr>
        <w:t>，对联合体或者大中型企业的报价给予4%-6%（</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%的扣除）的扣除，用扣除后的价格参加评审。组成联合体或者接受分包的小微企业与联合体内其他企业、分包企业之间存在直接控股、管理关系的，不享受价格扣除优惠政策。</w:t>
      </w:r>
    </w:p>
    <w:p w14:paraId="1E7259B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407B440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FE88B7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B58B6D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49186CB3">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7B9A9FA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6F17D23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2116977">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445286F8">
      <w:pPr>
        <w:spacing w:line="360" w:lineRule="auto"/>
        <w:ind w:firstLine="480" w:firstLineChars="200"/>
        <w:rPr>
          <w:rFonts w:hint="eastAsia" w:ascii="仿宋" w:hAnsi="仿宋" w:eastAsia="仿宋" w:cs="仿宋"/>
          <w:b/>
          <w:color w:val="auto"/>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highlight w:val="none"/>
        </w:rPr>
        <w:t>4. 询问、质疑、投诉</w:t>
      </w:r>
    </w:p>
    <w:p w14:paraId="2D77E417">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4.1在线询问、质疑、投诉</w:t>
      </w:r>
    </w:p>
    <w:p w14:paraId="3469E7C2">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CA0166B">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1AD9065A">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AF4F352">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5259A8D0">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5A98B829">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14:paraId="49B2A793">
      <w:pPr>
        <w:pStyle w:val="4"/>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61B99B03">
      <w:pPr>
        <w:pStyle w:val="34"/>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3E30682E">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1F2A4829">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48BAC095">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48247156">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3EC30DEB">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523DD3A2">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74AB14A6">
      <w:pPr>
        <w:pStyle w:val="34"/>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3E8846A0">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083F36A">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1D6FC101">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1BF7325A">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在质疑回复后5个工作日内，在浙江政府采购网的“其他公告”栏目公开质疑答复，答复内容应当完整。质疑函作为附件上传。</w:t>
      </w:r>
    </w:p>
    <w:p w14:paraId="742B66CF">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377D347C">
      <w:pPr>
        <w:pStyle w:val="886"/>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1B527CD5">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的答复不满意或者采购人、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未在规定的时间内作出答复的，可以在答复期满后十五个工作日内向同级政府采购监督管理部门提出投诉。</w:t>
      </w:r>
    </w:p>
    <w:p w14:paraId="48A56E83">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1E175D48">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34833856">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 以联合体形式参加政府采购活动的，其投诉应当由组成联合体的所有供应商共同提出。</w:t>
      </w:r>
    </w:p>
    <w:p w14:paraId="2E77D868">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571CD02B">
      <w:pPr>
        <w:pStyle w:val="129"/>
        <w:snapToGrid w:val="0"/>
        <w:spacing w:before="0"/>
        <w:ind w:firstLine="360"/>
        <w:rPr>
          <w:rFonts w:hint="eastAsia" w:ascii="仿宋" w:hAnsi="仿宋" w:eastAsia="仿宋" w:cs="仿宋"/>
          <w:color w:val="auto"/>
          <w:sz w:val="18"/>
          <w:szCs w:val="18"/>
          <w:highlight w:val="none"/>
        </w:rPr>
      </w:pPr>
    </w:p>
    <w:p w14:paraId="65B9DE12">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43B9E23E">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35E19DA0">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6DA3575C">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29D56531">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7B060D3C">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0B49A05B">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02E136EF">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5BC25764">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39EFC4C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139B4985">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47FBAC8E">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14:paraId="7D797F7B">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ED2C68C">
      <w:pPr>
        <w:pStyle w:val="25"/>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1507709B">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60C2DC1E">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0D3A6419">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78F3046D">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6A26B595">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4D176167">
      <w:pPr>
        <w:pStyle w:val="34"/>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5AAC5D1D">
      <w:pPr>
        <w:pStyle w:val="4"/>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48D78460">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04C19025">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3EAA1DF3">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541DB1A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0785DD8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70481885">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bookmarkStart w:id="17" w:name="_Hlk101259339"/>
      <w:r>
        <w:rPr>
          <w:rFonts w:hint="eastAsia" w:ascii="仿宋" w:hAnsi="仿宋" w:eastAsia="仿宋" w:cs="仿宋"/>
          <w:snapToGrid w:val="0"/>
          <w:color w:val="auto"/>
          <w:kern w:val="28"/>
          <w:sz w:val="24"/>
          <w:szCs w:val="20"/>
          <w:highlight w:val="none"/>
        </w:rPr>
        <w:t>联合协议</w:t>
      </w:r>
      <w:bookmarkEnd w:id="17"/>
      <w:r>
        <w:rPr>
          <w:rFonts w:hint="eastAsia" w:ascii="仿宋" w:hAnsi="仿宋" w:eastAsia="仿宋" w:cs="仿宋"/>
          <w:snapToGrid w:val="0"/>
          <w:color w:val="auto"/>
          <w:kern w:val="28"/>
          <w:sz w:val="24"/>
          <w:szCs w:val="20"/>
          <w:highlight w:val="none"/>
        </w:rPr>
        <w:t>（如果有)；</w:t>
      </w:r>
    </w:p>
    <w:p w14:paraId="68CF520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1A74C33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0EB0A1F2">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68A8E360">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6888C300">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3FFDD8F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3C8E92E5">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053C685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563ED1C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00A5A7B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30677E8E">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1580CE8A">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2EB48FB5">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586B146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14:paraId="0109AC78">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04D371AE">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37DD6CB8">
      <w:pPr>
        <w:pStyle w:val="129"/>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5A4E68D7">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06A4F90">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2200015">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22F799F">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285C35B9">
      <w:pPr>
        <w:pStyle w:val="129"/>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087EFAC0">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51D5405">
      <w:pPr>
        <w:pStyle w:val="12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2C4D1342">
      <w:pPr>
        <w:pStyle w:val="12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759AB2BC">
      <w:pPr>
        <w:pStyle w:val="129"/>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07B832C0">
      <w:pPr>
        <w:pStyle w:val="129"/>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8702FE1">
      <w:pPr>
        <w:pStyle w:val="129"/>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可以视情况延长投标文件提交的截止时间。在上述情况下，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与投标人以前在投标截止期方面的全部权利、责任和义务，将适用于延长至新的投标截止期。</w:t>
      </w:r>
    </w:p>
    <w:p w14:paraId="506007C3">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0E47D517">
      <w:pPr>
        <w:pStyle w:val="34"/>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14:paraId="211AE810">
      <w:pPr>
        <w:pStyle w:val="34"/>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53BCF2C2">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14:paraId="54424488">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14:paraId="4049AEC6">
      <w:pPr>
        <w:pStyle w:val="34"/>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6F08C607">
      <w:pPr>
        <w:pStyle w:val="12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285B5CEC">
      <w:pPr>
        <w:pStyle w:val="3"/>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56EC45A1">
      <w:pPr>
        <w:pStyle w:val="12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3B664C49">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7F3152FF">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73BE8300">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可以以书面形式通知投标人延长投标有效期。投标人同意延长的，不得要求或被允许修改其投标文件，投标人拒绝延长的，其投标无效。</w:t>
      </w:r>
    </w:p>
    <w:p w14:paraId="3B9ECDEE">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17.4在投标截止时间起至投标有效期届满，供应商投标文件不可撤销。</w:t>
      </w:r>
    </w:p>
    <w:p w14:paraId="4C0D7122">
      <w:pPr>
        <w:pStyle w:val="129"/>
        <w:spacing w:before="0"/>
        <w:ind w:firstLine="480"/>
        <w:rPr>
          <w:rFonts w:hint="eastAsia" w:ascii="仿宋" w:hAnsi="仿宋" w:eastAsia="仿宋" w:cs="仿宋"/>
          <w:color w:val="auto"/>
          <w:highlight w:val="none"/>
        </w:rPr>
      </w:pPr>
    </w:p>
    <w:p w14:paraId="1DFB2B6B">
      <w:pPr>
        <w:pStyle w:val="129"/>
        <w:spacing w:before="0"/>
        <w:ind w:firstLine="643"/>
        <w:rPr>
          <w:rFonts w:hint="eastAsia" w:ascii="仿宋" w:hAnsi="仿宋" w:eastAsia="仿宋" w:cs="仿宋"/>
          <w:b/>
          <w:color w:val="auto"/>
          <w:sz w:val="32"/>
          <w:highlight w:val="none"/>
        </w:rPr>
      </w:pPr>
    </w:p>
    <w:p w14:paraId="16AD0322">
      <w:pPr>
        <w:pStyle w:val="129"/>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43777549">
      <w:pPr>
        <w:pStyle w:val="554"/>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41D62DF1">
      <w:pPr>
        <w:pStyle w:val="554"/>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14:paraId="0F1B2924">
      <w:pPr>
        <w:pStyle w:val="554"/>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14:paraId="2E9E2E97">
      <w:pPr>
        <w:pStyle w:val="554"/>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65313F54">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549C8D9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sz w:val="24"/>
          <w:highlight w:val="none"/>
        </w:rPr>
        <w:t>采购人或</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依据法律法规和招标文件的规定，对投标人的资格进行审查。</w:t>
      </w:r>
    </w:p>
    <w:p w14:paraId="3E3F0646">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266124CC">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对未通过资格审查的投标人，采购人或</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告知其未通过的原因。</w:t>
      </w:r>
    </w:p>
    <w:p w14:paraId="74D135BD">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合格投标人不足3家的，不再评标。</w:t>
      </w:r>
    </w:p>
    <w:p w14:paraId="0345EA85">
      <w:pPr>
        <w:pStyle w:val="12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52E47666">
      <w:pPr>
        <w:pStyle w:val="12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val="en-US" w:eastAsia="zh-CN"/>
        </w:rPr>
        <w:t>采购人或采购代理机构</w:t>
      </w:r>
      <w:r>
        <w:rPr>
          <w:rFonts w:hint="eastAsia" w:ascii="仿宋" w:hAnsi="仿宋" w:eastAsia="仿宋" w:cs="仿宋"/>
          <w:color w:val="auto"/>
          <w:kern w:val="0"/>
          <w:szCs w:val="24"/>
          <w:highlight w:val="none"/>
        </w:rPr>
        <w:t>将在资格审查时通过“信用中国”网站(www.creditchina.gov.cn)、中国政府采购网(www.ccgp.gov.cn)渠道查询投标人接受资格审查时的信用记录。</w:t>
      </w:r>
    </w:p>
    <w:p w14:paraId="3EC74019">
      <w:pPr>
        <w:pStyle w:val="12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35CCD1B3">
      <w:pPr>
        <w:pStyle w:val="12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29E001B">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2D56068A">
      <w:pPr>
        <w:pStyle w:val="129"/>
        <w:spacing w:before="0"/>
        <w:ind w:firstLine="0" w:firstLineChars="0"/>
        <w:rPr>
          <w:rFonts w:hint="eastAsia" w:ascii="仿宋" w:hAnsi="仿宋" w:eastAsia="仿宋" w:cs="仿宋"/>
          <w:color w:val="auto"/>
          <w:kern w:val="0"/>
          <w:szCs w:val="24"/>
          <w:highlight w:val="none"/>
        </w:rPr>
      </w:pPr>
    </w:p>
    <w:p w14:paraId="0D459BF0">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20CD9FA9">
      <w:pPr>
        <w:spacing w:line="360" w:lineRule="auto"/>
        <w:rPr>
          <w:rFonts w:hint="eastAsia" w:ascii="仿宋" w:hAnsi="仿宋" w:eastAsia="仿宋" w:cs="仿宋"/>
          <w:b/>
          <w:color w:val="auto"/>
          <w:sz w:val="24"/>
          <w:highlight w:val="none"/>
        </w:rPr>
      </w:pPr>
      <w:bookmarkStart w:id="18"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4A5244DF">
      <w:pPr>
        <w:spacing w:line="360" w:lineRule="auto"/>
        <w:rPr>
          <w:rFonts w:hint="eastAsia" w:ascii="仿宋" w:hAnsi="仿宋" w:eastAsia="仿宋" w:cs="仿宋"/>
          <w:b/>
          <w:color w:val="auto"/>
          <w:sz w:val="24"/>
          <w:highlight w:val="none"/>
        </w:rPr>
      </w:pPr>
    </w:p>
    <w:p w14:paraId="12E9BEE0">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4982EC8E">
      <w:pPr>
        <w:pStyle w:val="3"/>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03A72169">
      <w:pPr>
        <w:pStyle w:val="129"/>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CDA1CD7">
      <w:pPr>
        <w:pStyle w:val="129"/>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6EAF57DA">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通过电子交易平台向中标人发出中标通知书，同时编制发布采购结果公告。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也可以以纸质形式进行中标通知。</w:t>
      </w:r>
    </w:p>
    <w:p w14:paraId="62BBFF15">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86C6D64">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2AE6D83F">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146C9138">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4FBBFFF6">
      <w:pPr>
        <w:pStyle w:val="3"/>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76076249">
      <w:pPr>
        <w:pStyle w:val="3"/>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76C36976">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DCACA98">
      <w:pPr>
        <w:pStyle w:val="129"/>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B78395A">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04EE4375">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0CE26308">
      <w:pPr>
        <w:pStyle w:val="129"/>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2C2E4F06">
      <w:pPr>
        <w:pStyle w:val="3"/>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75621C6A">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w:t>
      </w:r>
      <w:r>
        <w:rPr>
          <w:rFonts w:hint="eastAsia" w:ascii="仿宋" w:hAnsi="仿宋" w:eastAsia="仿宋" w:cs="仿宋"/>
          <w:color w:val="auto"/>
          <w:kern w:val="2"/>
          <w:sz w:val="24"/>
          <w:highlight w:val="none"/>
        </w:rPr>
        <w:t>鼓励根据项目特点、供应商诚信等因素免收履约保证金或降低缴纳比例。</w:t>
      </w:r>
      <w:r>
        <w:rPr>
          <w:rFonts w:hint="eastAsia" w:ascii="仿宋" w:hAnsi="仿宋" w:eastAsia="仿宋" w:cs="仿宋"/>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5F5C1ECB">
      <w:pPr>
        <w:pStyle w:val="6"/>
        <w:ind w:left="0" w:firstLine="480"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CC759CE">
      <w:pPr>
        <w:pStyle w:val="6"/>
        <w:rPr>
          <w:rFonts w:hint="eastAsia" w:ascii="仿宋" w:hAnsi="仿宋" w:eastAsia="仿宋" w:cs="仿宋"/>
          <w:color w:val="auto"/>
          <w:highlight w:val="none"/>
        </w:rPr>
      </w:pPr>
      <w:r>
        <w:rPr>
          <w:rFonts w:hint="eastAsia" w:ascii="仿宋" w:hAnsi="仿宋" w:eastAsia="仿宋" w:cs="仿宋"/>
          <w:b/>
          <w:bCs/>
          <w:color w:val="auto"/>
          <w:kern w:val="2"/>
          <w:sz w:val="24"/>
          <w:szCs w:val="32"/>
          <w:highlight w:val="none"/>
          <w:lang w:val="en-US"/>
        </w:rPr>
        <w:t>27.预付款</w:t>
      </w:r>
    </w:p>
    <w:p w14:paraId="1F4448B9">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auto"/>
          <w:sz w:val="24"/>
          <w:highlight w:val="none"/>
        </w:rPr>
        <w:t>不低于</w:t>
      </w:r>
      <w:r>
        <w:rPr>
          <w:rFonts w:hint="eastAsia" w:ascii="仿宋" w:hAnsi="仿宋" w:eastAsia="仿宋" w:cs="仿宋"/>
          <w:color w:val="auto"/>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23A6F96">
      <w:pPr>
        <w:rPr>
          <w:rFonts w:hint="eastAsia" w:ascii="仿宋" w:hAnsi="仿宋" w:eastAsia="仿宋" w:cs="仿宋"/>
          <w:color w:val="auto"/>
          <w:highlight w:val="none"/>
        </w:rPr>
      </w:pPr>
    </w:p>
    <w:p w14:paraId="3FD20D32">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0A28BCF5">
      <w:pPr>
        <w:pStyle w:val="129"/>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kern w:val="2"/>
          <w:sz w:val="24"/>
          <w:szCs w:val="20"/>
          <w:highlight w:val="none"/>
        </w:rPr>
        <w:t>2</w:t>
      </w:r>
      <w:r>
        <w:rPr>
          <w:rFonts w:hint="eastAsia" w:ascii="仿宋" w:hAnsi="仿宋" w:eastAsia="仿宋" w:cs="仿宋"/>
          <w:b/>
          <w:bCs/>
          <w:color w:val="auto"/>
          <w:kern w:val="2"/>
          <w:sz w:val="24"/>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4070626C">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28.1电子交易平台发生故障而无法登录访问的；</w:t>
      </w:r>
    </w:p>
    <w:p w14:paraId="7C481738">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561DA0C2">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0DF76F56">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4A28D6BD">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2DEEA24B">
      <w:pPr>
        <w:pStyle w:val="129"/>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A1FB4DF">
      <w:pPr>
        <w:tabs>
          <w:tab w:val="left" w:pos="0"/>
        </w:tabs>
        <w:spacing w:line="360" w:lineRule="auto"/>
        <w:ind w:firstLine="480"/>
        <w:rPr>
          <w:rFonts w:hint="eastAsia" w:ascii="仿宋" w:hAnsi="仿宋" w:eastAsia="仿宋" w:cs="仿宋"/>
          <w:color w:val="auto"/>
          <w:sz w:val="24"/>
          <w:highlight w:val="none"/>
        </w:rPr>
      </w:pPr>
    </w:p>
    <w:p w14:paraId="6CEBB4EF">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2D5F1873">
      <w:pPr>
        <w:pStyle w:val="3"/>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1655C8B1">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EFE1829">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22CC9191">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7FF4A6F">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2D04224A">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75236101"/>
      <w:bookmarkEnd w:id="19"/>
      <w:bookmarkStart w:id="20" w:name="_Hlt74714665"/>
      <w:bookmarkEnd w:id="20"/>
      <w:bookmarkStart w:id="21" w:name="_Hlt68057669"/>
      <w:bookmarkEnd w:id="21"/>
      <w:bookmarkStart w:id="22" w:name="_Hlt75236290"/>
      <w:bookmarkEnd w:id="22"/>
      <w:bookmarkStart w:id="23" w:name="_Hlt75236011"/>
      <w:bookmarkEnd w:id="23"/>
      <w:bookmarkStart w:id="24" w:name="_Hlt74729768"/>
      <w:bookmarkEnd w:id="24"/>
      <w:bookmarkStart w:id="25" w:name="_Hlt74730295"/>
      <w:bookmarkEnd w:id="25"/>
      <w:bookmarkStart w:id="26" w:name="_Hlt68072998"/>
      <w:bookmarkEnd w:id="26"/>
      <w:bookmarkStart w:id="27" w:name="_Hlt68403820"/>
      <w:bookmarkEnd w:id="27"/>
      <w:bookmarkStart w:id="28" w:name="_Hlt74707468"/>
      <w:bookmarkEnd w:id="28"/>
      <w:bookmarkStart w:id="29" w:name="_Hlt68073093"/>
      <w:bookmarkEnd w:id="29"/>
      <w:bookmarkStart w:id="30" w:name="_Hlt68072990"/>
      <w:bookmarkEnd w:id="30"/>
    </w:p>
    <w:bookmarkEnd w:id="13"/>
    <w:bookmarkEnd w:id="14"/>
    <w:p w14:paraId="7DBE8873">
      <w:pPr>
        <w:spacing w:line="360" w:lineRule="auto"/>
        <w:jc w:val="center"/>
        <w:outlineLvl w:val="0"/>
        <w:rPr>
          <w:rFonts w:hint="eastAsia" w:ascii="仿宋" w:hAnsi="仿宋" w:eastAsia="仿宋" w:cs="仿宋"/>
          <w:b/>
          <w:color w:val="auto"/>
          <w:sz w:val="36"/>
          <w:szCs w:val="36"/>
          <w:highlight w:val="none"/>
        </w:rPr>
      </w:pPr>
      <w:bookmarkStart w:id="31" w:name="第四部分"/>
      <w:r>
        <w:rPr>
          <w:rFonts w:hint="eastAsia" w:ascii="仿宋" w:hAnsi="仿宋" w:eastAsia="仿宋" w:cs="仿宋"/>
          <w:b/>
          <w:color w:val="auto"/>
          <w:sz w:val="36"/>
          <w:szCs w:val="36"/>
          <w:highlight w:val="none"/>
        </w:rPr>
        <w:t>第三部分   采购需求</w:t>
      </w:r>
    </w:p>
    <w:p w14:paraId="1197CA27">
      <w:pPr>
        <w:bidi w:val="0"/>
        <w:rPr>
          <w:rFonts w:hint="eastAsia" w:ascii="仿宋" w:hAnsi="仿宋" w:eastAsia="仿宋" w:cs="仿宋"/>
          <w:b/>
          <w:bCs/>
          <w:color w:val="auto"/>
          <w:sz w:val="24"/>
          <w:szCs w:val="24"/>
          <w:highlight w:val="none"/>
          <w:u w:val="single"/>
        </w:rPr>
      </w:pPr>
      <w:r>
        <w:rPr>
          <w:rFonts w:hint="eastAsia" w:ascii="仿宋" w:hAnsi="仿宋" w:eastAsia="仿宋" w:cs="仿宋"/>
          <w:color w:val="auto"/>
          <w:sz w:val="24"/>
          <w:szCs w:val="24"/>
          <w:highlight w:val="none"/>
          <w:u w:val="single"/>
        </w:rPr>
        <w:t>注：“▲” 系指实质性要求条款，</w:t>
      </w:r>
      <w:r>
        <w:rPr>
          <w:rFonts w:hint="eastAsia" w:ascii="仿宋" w:hAnsi="仿宋" w:eastAsia="仿宋" w:cs="仿宋"/>
          <w:b/>
          <w:bCs/>
          <w:color w:val="auto"/>
          <w:sz w:val="24"/>
          <w:szCs w:val="24"/>
          <w:highlight w:val="none"/>
          <w:u w:val="single"/>
        </w:rPr>
        <w:t>“●”系产品采购项目中重要技术参数。</w:t>
      </w:r>
    </w:p>
    <w:p w14:paraId="519CA418">
      <w:pPr>
        <w:pStyle w:val="6"/>
        <w:numPr>
          <w:ilvl w:val="0"/>
          <w:numId w:val="1"/>
        </w:numPr>
        <w:jc w:val="center"/>
        <w:rPr>
          <w:rFonts w:hint="eastAsia" w:ascii="仿宋" w:hAnsi="仿宋" w:eastAsia="仿宋" w:cs="仿宋"/>
          <w:color w:val="auto"/>
          <w:highlight w:val="none"/>
        </w:rPr>
      </w:pPr>
      <w:r>
        <w:rPr>
          <w:color w:val="auto"/>
          <w:highlight w:val="none"/>
        </w:rPr>
        <w:t>招标一览表</w:t>
      </w:r>
    </w:p>
    <w:p w14:paraId="00CB32EB">
      <w:pPr>
        <w:pStyle w:val="8"/>
        <w:keepNext/>
        <w:keepLines/>
        <w:pageBreakBefore w:val="0"/>
        <w:widowControl w:val="0"/>
        <w:kinsoku/>
        <w:wordWrap/>
        <w:overflowPunct/>
        <w:topLinePunct w:val="0"/>
        <w:autoSpaceDE/>
        <w:autoSpaceDN/>
        <w:bidi w:val="0"/>
        <w:adjustRightInd w:val="0"/>
        <w:snapToGrid/>
        <w:spacing w:before="0" w:after="0" w:line="240" w:lineRule="auto"/>
        <w:ind w:left="1134" w:hanging="1134"/>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标项一：</w:t>
      </w:r>
      <w:r>
        <w:rPr>
          <w:rFonts w:hint="eastAsia" w:ascii="仿宋" w:hAnsi="仿宋" w:eastAsia="仿宋" w:cs="仿宋"/>
          <w:color w:val="auto"/>
          <w:highlight w:val="none"/>
          <w:lang w:val="en-US" w:eastAsia="zh-CN"/>
        </w:rPr>
        <w:t>汇宇未来社区数字化建设项目</w:t>
      </w:r>
    </w:p>
    <w:tbl>
      <w:tblPr>
        <w:tblStyle w:val="62"/>
        <w:tblpPr w:leftFromText="180" w:rightFromText="180" w:vertAnchor="text" w:horzAnchor="margin" w:tblpXSpec="right" w:tblpY="63"/>
        <w:tblOverlap w:val="never"/>
        <w:tblW w:w="9378"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5"/>
        <w:gridCol w:w="1192"/>
        <w:gridCol w:w="679"/>
        <w:gridCol w:w="666"/>
        <w:gridCol w:w="1234"/>
        <w:gridCol w:w="3218"/>
        <w:gridCol w:w="1824"/>
      </w:tblGrid>
      <w:tr w14:paraId="4F40F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3" w:hRule="atLeast"/>
          <w:jc w:val="right"/>
        </w:trPr>
        <w:tc>
          <w:tcPr>
            <w:tcW w:w="565" w:type="dxa"/>
            <w:tcMar>
              <w:top w:w="15" w:type="dxa"/>
              <w:left w:w="15" w:type="dxa"/>
              <w:bottom w:w="0" w:type="dxa"/>
              <w:right w:w="15" w:type="dxa"/>
            </w:tcMar>
            <w:vAlign w:val="center"/>
          </w:tcPr>
          <w:p w14:paraId="4E9A473D">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192" w:type="dxa"/>
            <w:tcMar>
              <w:top w:w="15" w:type="dxa"/>
              <w:left w:w="15" w:type="dxa"/>
              <w:bottom w:w="0" w:type="dxa"/>
              <w:right w:w="15" w:type="dxa"/>
            </w:tcMar>
            <w:vAlign w:val="center"/>
          </w:tcPr>
          <w:p w14:paraId="36A8D1EE">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名称</w:t>
            </w:r>
          </w:p>
        </w:tc>
        <w:tc>
          <w:tcPr>
            <w:tcW w:w="679" w:type="dxa"/>
            <w:tcMar>
              <w:top w:w="15" w:type="dxa"/>
              <w:left w:w="15" w:type="dxa"/>
              <w:bottom w:w="0" w:type="dxa"/>
              <w:right w:w="15" w:type="dxa"/>
            </w:tcMar>
            <w:vAlign w:val="center"/>
          </w:tcPr>
          <w:p w14:paraId="225B716E">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666" w:type="dxa"/>
            <w:tcMar>
              <w:top w:w="15" w:type="dxa"/>
              <w:left w:w="15" w:type="dxa"/>
              <w:bottom w:w="0" w:type="dxa"/>
              <w:right w:w="15" w:type="dxa"/>
            </w:tcMar>
            <w:vAlign w:val="center"/>
          </w:tcPr>
          <w:p w14:paraId="45554B6E">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单位</w:t>
            </w:r>
          </w:p>
        </w:tc>
        <w:tc>
          <w:tcPr>
            <w:tcW w:w="1234" w:type="dxa"/>
            <w:vAlign w:val="center"/>
          </w:tcPr>
          <w:p w14:paraId="13E4A11E">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预算（元）</w:t>
            </w:r>
          </w:p>
        </w:tc>
        <w:tc>
          <w:tcPr>
            <w:tcW w:w="3218" w:type="dxa"/>
            <w:vAlign w:val="center"/>
          </w:tcPr>
          <w:p w14:paraId="18D1AA26">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简要规格描述或基本情况介绍</w:t>
            </w:r>
          </w:p>
        </w:tc>
        <w:tc>
          <w:tcPr>
            <w:tcW w:w="1824" w:type="dxa"/>
            <w:vAlign w:val="center"/>
          </w:tcPr>
          <w:p w14:paraId="278FB387">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最高限价（元）</w:t>
            </w:r>
          </w:p>
        </w:tc>
      </w:tr>
      <w:tr w14:paraId="3A78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10" w:hRule="atLeast"/>
          <w:jc w:val="right"/>
        </w:trPr>
        <w:tc>
          <w:tcPr>
            <w:tcW w:w="565" w:type="dxa"/>
            <w:tcMar>
              <w:top w:w="15" w:type="dxa"/>
              <w:left w:w="15" w:type="dxa"/>
              <w:bottom w:w="0" w:type="dxa"/>
              <w:right w:w="15" w:type="dxa"/>
            </w:tcMar>
            <w:vAlign w:val="center"/>
          </w:tcPr>
          <w:p w14:paraId="0D24CAC2">
            <w:pPr>
              <w:tabs>
                <w:tab w:val="left" w:pos="0"/>
              </w:tabs>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192" w:type="dxa"/>
            <w:tcMar>
              <w:top w:w="15" w:type="dxa"/>
              <w:left w:w="15" w:type="dxa"/>
              <w:bottom w:w="0" w:type="dxa"/>
              <w:right w:w="15" w:type="dxa"/>
            </w:tcMar>
            <w:vAlign w:val="center"/>
          </w:tcPr>
          <w:p w14:paraId="26CBA440">
            <w:pPr>
              <w:tabs>
                <w:tab w:val="left" w:pos="0"/>
              </w:tabs>
              <w:adjustRightInd w:val="0"/>
              <w:snapToGrid w:val="0"/>
              <w:spacing w:after="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其他信息化设备</w:t>
            </w:r>
          </w:p>
        </w:tc>
        <w:tc>
          <w:tcPr>
            <w:tcW w:w="679" w:type="dxa"/>
            <w:tcMar>
              <w:top w:w="15" w:type="dxa"/>
              <w:left w:w="15" w:type="dxa"/>
              <w:bottom w:w="0" w:type="dxa"/>
              <w:right w:w="15" w:type="dxa"/>
            </w:tcMar>
            <w:vAlign w:val="center"/>
          </w:tcPr>
          <w:p w14:paraId="1FA103DD">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666" w:type="dxa"/>
            <w:tcMar>
              <w:top w:w="15" w:type="dxa"/>
              <w:left w:w="15" w:type="dxa"/>
              <w:bottom w:w="0" w:type="dxa"/>
              <w:right w:w="15" w:type="dxa"/>
            </w:tcMar>
            <w:vAlign w:val="center"/>
          </w:tcPr>
          <w:p w14:paraId="47380FFB">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批</w:t>
            </w:r>
          </w:p>
        </w:tc>
        <w:tc>
          <w:tcPr>
            <w:tcW w:w="1234" w:type="dxa"/>
            <w:vAlign w:val="center"/>
          </w:tcPr>
          <w:p w14:paraId="0AE0120B">
            <w:pPr>
              <w:tabs>
                <w:tab w:val="left" w:pos="0"/>
              </w:tabs>
              <w:adjustRightInd w:val="0"/>
              <w:snapToGrid w:val="0"/>
              <w:spacing w:after="0"/>
              <w:jc w:val="center"/>
              <w:rPr>
                <w:rFonts w:hint="default" w:ascii="仿宋" w:hAnsi="仿宋" w:eastAsia="仿宋" w:cs="仿宋"/>
                <w:color w:val="auto"/>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904000</w:t>
            </w:r>
          </w:p>
        </w:tc>
        <w:tc>
          <w:tcPr>
            <w:tcW w:w="3218" w:type="dxa"/>
            <w:vAlign w:val="center"/>
          </w:tcPr>
          <w:p w14:paraId="6D1B152C">
            <w:pPr>
              <w:tabs>
                <w:tab w:val="left" w:pos="0"/>
              </w:tabs>
              <w:adjustRightInd w:val="0"/>
              <w:snapToGrid w:val="0"/>
              <w:spacing w:after="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详见招标需求（1）其他信息化设备</w:t>
            </w:r>
          </w:p>
        </w:tc>
        <w:tc>
          <w:tcPr>
            <w:tcW w:w="1824" w:type="dxa"/>
            <w:vAlign w:val="center"/>
          </w:tcPr>
          <w:p w14:paraId="2AA37242">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i w:val="0"/>
                <w:iCs w:val="0"/>
                <w:color w:val="auto"/>
                <w:kern w:val="0"/>
                <w:sz w:val="21"/>
                <w:szCs w:val="21"/>
                <w:highlight w:val="none"/>
                <w:u w:val="none"/>
                <w:lang w:val="en-US" w:eastAsia="zh-CN" w:bidi="ar"/>
              </w:rPr>
              <w:t>904000</w:t>
            </w:r>
          </w:p>
        </w:tc>
      </w:tr>
      <w:tr w14:paraId="04E60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10" w:hRule="atLeast"/>
          <w:jc w:val="right"/>
        </w:trPr>
        <w:tc>
          <w:tcPr>
            <w:tcW w:w="565" w:type="dxa"/>
            <w:tcMar>
              <w:top w:w="15" w:type="dxa"/>
              <w:left w:w="15" w:type="dxa"/>
              <w:bottom w:w="0" w:type="dxa"/>
              <w:right w:w="15" w:type="dxa"/>
            </w:tcMar>
            <w:vAlign w:val="center"/>
          </w:tcPr>
          <w:p w14:paraId="0ECA8029">
            <w:pPr>
              <w:tabs>
                <w:tab w:val="left" w:pos="0"/>
              </w:tabs>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tc>
        <w:tc>
          <w:tcPr>
            <w:tcW w:w="1192" w:type="dxa"/>
            <w:tcMar>
              <w:top w:w="15" w:type="dxa"/>
              <w:left w:w="15" w:type="dxa"/>
              <w:bottom w:w="0" w:type="dxa"/>
              <w:right w:w="15" w:type="dxa"/>
            </w:tcMar>
            <w:vAlign w:val="center"/>
          </w:tcPr>
          <w:p w14:paraId="42E28FDC">
            <w:pPr>
              <w:tabs>
                <w:tab w:val="left" w:pos="0"/>
              </w:tabs>
              <w:adjustRightInd w:val="0"/>
              <w:snapToGrid w:val="0"/>
              <w:spacing w:after="0"/>
              <w:jc w:val="center"/>
              <w:rPr>
                <w:rFonts w:hint="eastAsia"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信息技术服务</w:t>
            </w:r>
          </w:p>
        </w:tc>
        <w:tc>
          <w:tcPr>
            <w:tcW w:w="679" w:type="dxa"/>
            <w:tcMar>
              <w:top w:w="15" w:type="dxa"/>
              <w:left w:w="15" w:type="dxa"/>
              <w:bottom w:w="0" w:type="dxa"/>
              <w:right w:w="15" w:type="dxa"/>
            </w:tcMar>
            <w:vAlign w:val="center"/>
          </w:tcPr>
          <w:p w14:paraId="39FEA014">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666" w:type="dxa"/>
            <w:tcMar>
              <w:top w:w="15" w:type="dxa"/>
              <w:left w:w="15" w:type="dxa"/>
              <w:bottom w:w="0" w:type="dxa"/>
              <w:right w:w="15" w:type="dxa"/>
            </w:tcMar>
            <w:vAlign w:val="center"/>
          </w:tcPr>
          <w:p w14:paraId="1C1A1B35">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项</w:t>
            </w:r>
          </w:p>
        </w:tc>
        <w:tc>
          <w:tcPr>
            <w:tcW w:w="1234" w:type="dxa"/>
            <w:vAlign w:val="center"/>
          </w:tcPr>
          <w:p w14:paraId="4DB785A1">
            <w:pPr>
              <w:tabs>
                <w:tab w:val="left" w:pos="0"/>
              </w:tabs>
              <w:adjustRightInd w:val="0"/>
              <w:snapToGrid w:val="0"/>
              <w:spacing w:after="0"/>
              <w:jc w:val="center"/>
              <w:rPr>
                <w:rFonts w:hint="default" w:ascii="仿宋" w:hAnsi="仿宋" w:eastAsia="仿宋" w:cs="仿宋"/>
                <w:color w:val="auto"/>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796000</w:t>
            </w:r>
          </w:p>
        </w:tc>
        <w:tc>
          <w:tcPr>
            <w:tcW w:w="3218" w:type="dxa"/>
            <w:vAlign w:val="center"/>
          </w:tcPr>
          <w:p w14:paraId="6772669D">
            <w:pPr>
              <w:tabs>
                <w:tab w:val="left" w:pos="0"/>
              </w:tabs>
              <w:adjustRightInd w:val="0"/>
              <w:snapToGrid w:val="0"/>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详见招标需求（2）</w:t>
            </w:r>
            <w:r>
              <w:rPr>
                <w:rFonts w:hint="default" w:ascii="仿宋" w:hAnsi="仿宋" w:eastAsia="仿宋" w:cs="仿宋"/>
                <w:color w:val="auto"/>
                <w:highlight w:val="none"/>
                <w:lang w:val="en-US" w:eastAsia="zh-CN"/>
              </w:rPr>
              <w:t>信息技术服务</w:t>
            </w:r>
          </w:p>
        </w:tc>
        <w:tc>
          <w:tcPr>
            <w:tcW w:w="1824" w:type="dxa"/>
            <w:vAlign w:val="center"/>
          </w:tcPr>
          <w:p w14:paraId="4CF1334D">
            <w:pPr>
              <w:tabs>
                <w:tab w:val="left" w:pos="0"/>
              </w:tabs>
              <w:adjustRightInd w:val="0"/>
              <w:snapToGrid w:val="0"/>
              <w:spacing w:after="0"/>
              <w:jc w:val="center"/>
              <w:rPr>
                <w:rFonts w:hint="default" w:ascii="仿宋" w:hAnsi="仿宋" w:eastAsia="仿宋" w:cs="仿宋"/>
                <w:color w:val="auto"/>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796000</w:t>
            </w:r>
          </w:p>
        </w:tc>
      </w:tr>
    </w:tbl>
    <w:p w14:paraId="7AAD6A6F">
      <w:pP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投标人需在投标(开标)一览表中明确投标报价(总价)及以上各分项小计报价，各分项小计报价不得超过上表各最高限价。严格执行预算限价，项目如涉及办公用房装修、通用办公设备家具的不得超限额标准。(萧财国资2019】389号)</w:t>
      </w:r>
    </w:p>
    <w:p w14:paraId="438DD233">
      <w:pPr>
        <w:pStyle w:val="2"/>
        <w:ind w:left="0" w:leftChars="0" w:firstLine="0" w:firstLineChars="0"/>
        <w:rPr>
          <w:rFonts w:hint="eastAsia"/>
          <w:color w:val="auto"/>
          <w:highlight w:val="none"/>
        </w:rPr>
      </w:pPr>
    </w:p>
    <w:p w14:paraId="4ACB018A">
      <w:pPr>
        <w:pStyle w:val="6"/>
        <w:numPr>
          <w:ilvl w:val="0"/>
          <w:numId w:val="1"/>
        </w:numPr>
        <w:jc w:val="center"/>
        <w:rPr>
          <w:rFonts w:hint="eastAsia" w:ascii="仿宋" w:hAnsi="仿宋" w:eastAsia="仿宋" w:cs="仿宋"/>
          <w:color w:val="auto"/>
          <w:highlight w:val="none"/>
        </w:rPr>
      </w:pPr>
      <w:r>
        <w:rPr>
          <w:rFonts w:hint="eastAsia" w:ascii="仿宋" w:eastAsia="仿宋" w:cs="仿宋"/>
          <w:color w:val="auto"/>
          <w:highlight w:val="none"/>
          <w:lang w:val="en-US" w:eastAsia="zh-CN"/>
        </w:rPr>
        <w:t>招标</w:t>
      </w:r>
      <w:r>
        <w:rPr>
          <w:rFonts w:hint="eastAsia" w:ascii="仿宋" w:hAnsi="仿宋" w:eastAsia="仿宋" w:cs="仿宋"/>
          <w:color w:val="auto"/>
          <w:highlight w:val="none"/>
        </w:rPr>
        <w:t>需求</w:t>
      </w:r>
    </w:p>
    <w:p w14:paraId="3D5B9FE3">
      <w:pPr>
        <w:numPr>
          <w:ilvl w:val="0"/>
          <w:numId w:val="2"/>
        </w:num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技术需求：</w:t>
      </w:r>
    </w:p>
    <w:p w14:paraId="6254D684">
      <w:pPr>
        <w:numPr>
          <w:ilvl w:val="0"/>
          <w:numId w:val="3"/>
        </w:numPr>
        <w:bidi w:val="0"/>
        <w:spacing w:line="360" w:lineRule="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其他信息化设备</w:t>
      </w:r>
    </w:p>
    <w:tbl>
      <w:tblPr>
        <w:tblStyle w:val="62"/>
        <w:tblW w:w="94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1"/>
        <w:gridCol w:w="1364"/>
        <w:gridCol w:w="6082"/>
        <w:gridCol w:w="613"/>
        <w:gridCol w:w="696"/>
      </w:tblGrid>
      <w:tr w14:paraId="18C37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C03F">
            <w:pPr>
              <w:keepNext w:val="0"/>
              <w:keepLines w:val="0"/>
              <w:widowControl/>
              <w:suppressLineNumbers w:val="0"/>
              <w:jc w:val="center"/>
              <w:textAlignment w:val="center"/>
              <w:rPr>
                <w:rFonts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序号</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90DE">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名称</w:t>
            </w:r>
          </w:p>
        </w:tc>
        <w:tc>
          <w:tcPr>
            <w:tcW w:w="6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C482">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技术参数</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2C50">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数量</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7F592">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单位</w:t>
            </w:r>
          </w:p>
        </w:tc>
      </w:tr>
      <w:tr w14:paraId="23273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E04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5EB9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好物分享柜</w:t>
            </w:r>
          </w:p>
        </w:tc>
        <w:tc>
          <w:tcPr>
            <w:tcW w:w="6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009C">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电压工作范围110V-220V自适应</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网络通讯：以太网专用通讯模块，10/100MB自适应。</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语音功能：操作有语音提示。</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手动开锁：电控锁具在特殊情况下可手动应急开锁。</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电控锁:采用电磁锁控制，电控锁采用360度具有防撬、带防软片插入装置。</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0C5B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D10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r>
      <w:tr w14:paraId="1D47E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F86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EB0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好物分享管理平台</w:t>
            </w:r>
          </w:p>
        </w:tc>
        <w:tc>
          <w:tcPr>
            <w:tcW w:w="6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0698">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支持微信扫码借出或归还好物；</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平台可以随时查看租借人的信息，借出时间；</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长期未归还的物品，可进行提醒；</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借出物品提醒以及归还物品提醒；</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包含云平台3年服务费用。</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2E1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5B08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项</w:t>
            </w:r>
          </w:p>
        </w:tc>
      </w:tr>
      <w:tr w14:paraId="322CA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06E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980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信息化设备施工辅材</w:t>
            </w:r>
          </w:p>
        </w:tc>
        <w:tc>
          <w:tcPr>
            <w:tcW w:w="6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E691">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包含线材、底盒等信息化设备施工辅材</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312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BD1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r>
      <w:tr w14:paraId="0EB5E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7F9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65A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无线AP</w:t>
            </w:r>
          </w:p>
        </w:tc>
        <w:tc>
          <w:tcPr>
            <w:tcW w:w="6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5644">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无线吸顶AP</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3000M双频千兆</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支持WIFI6</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带机量50</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支持POE/DC双供电</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支持2.4GHz + 5GHz</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A52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8C0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r>
      <w:tr w14:paraId="49151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F83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079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8口POE交换机</w:t>
            </w:r>
          </w:p>
        </w:tc>
        <w:tc>
          <w:tcPr>
            <w:tcW w:w="6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192E">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固定端口：8个10/100/1000M以太网端口</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固定端口属性：连接器类型：RJ-45</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支持10/100/1000Mbit/s传输速率</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支持半双工、全双工、自协商工作模式</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支持MDI/MDIX自适应</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DF65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1E5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r>
      <w:tr w14:paraId="238EA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571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06A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弱电箱</w:t>
            </w:r>
          </w:p>
        </w:tc>
        <w:tc>
          <w:tcPr>
            <w:tcW w:w="6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59D5">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定制</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0CA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4DD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r>
      <w:tr w14:paraId="57C14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A85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DAA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24口交换机</w:t>
            </w:r>
          </w:p>
        </w:tc>
        <w:tc>
          <w:tcPr>
            <w:tcW w:w="6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B5B2">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固定端口：24个10/100/1000Base-T电口(包含两个uplink口，可作为上行口)</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10B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775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r>
      <w:tr w14:paraId="41F48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074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D8C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16口交换机</w:t>
            </w:r>
          </w:p>
        </w:tc>
        <w:tc>
          <w:tcPr>
            <w:tcW w:w="6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50CEE">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固定端口：16个10/100/1000Base-T电口(包含两个uplink口，可作为上行口)</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A06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477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r>
      <w:tr w14:paraId="33275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EBA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8B4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网桥</w:t>
            </w:r>
          </w:p>
        </w:tc>
        <w:tc>
          <w:tcPr>
            <w:tcW w:w="6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030A">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1、POE/DC供电</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2、传输距离15KM</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3、工作温度-30℃～70℃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F33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35E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对</w:t>
            </w:r>
          </w:p>
        </w:tc>
      </w:tr>
      <w:tr w14:paraId="27B2C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FB3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3CD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防火墙</w:t>
            </w:r>
          </w:p>
        </w:tc>
        <w:tc>
          <w:tcPr>
            <w:tcW w:w="6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355C">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采用非X86多核架构，1U机架式设备，8个千兆电口+2对Combo口（含1个管理电口）+2个Bypass口，支持扩展硬盘，单交流电源。</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吞吐量3.5Gbps；</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并发连接数80万，每秒新建连接数（HTTP）1.5万。</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支持路由、透明、混合模式部署，支持U盘零配置上线，支持基于AI的策略冗余分析、策略命中分析以及应用风险调优等能力，支持WEB安全防护、资产扫描、加密流量检测、应用审计、数据安全、网页过滤、带宽管理、IPS、AV等应用层安全功能，支持链路负载，支持SSL VPN \IPSEC VPN等多种VPN功能，支持国密算法，支持IPV6协议，支持网页诊断功能等。</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配套授权：15个SLL VPN用户授权，链路负载不限制链路数量。</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7CC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11E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r>
      <w:tr w14:paraId="428EC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747D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393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核心交换机</w:t>
            </w:r>
          </w:p>
        </w:tc>
        <w:tc>
          <w:tcPr>
            <w:tcW w:w="6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B358">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24 个 10/100/1000BASE-T 端口(含 8 Combo口),4 个 1G/10GBASE-X SFP Plus 端口,1 个 Slot；</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支持GE端口聚合</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支持IEEE802.3x 流量控制（全双工）</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支持多播风暴抑制</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支持广播风暴抑制</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支持基于端口速率百分比的风暴抑制</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支持基于PPS的风暴抑制</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支持基于bps的风暴抑制</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交换容量758Gbps/7.58Tbps</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包转发率222Mpps</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DB2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D3F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r>
      <w:tr w14:paraId="6BAEA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B0A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68C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企业级路由器内置AC</w:t>
            </w:r>
          </w:p>
        </w:tc>
        <w:tc>
          <w:tcPr>
            <w:tcW w:w="6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6691">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散热方式：自然散热</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输出口：百兆网口</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天线：内置</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无线速率：1200M</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供电方式：POE/DC供电</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无线协议：Wi-Fi</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D4A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408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r>
      <w:tr w14:paraId="4037A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373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DFE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UPS主机</w:t>
            </w:r>
          </w:p>
        </w:tc>
        <w:tc>
          <w:tcPr>
            <w:tcW w:w="6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9976">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在线式双变换高频型UPS，单进单出，容量不低于10kVA；</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输出为额定阻性负载时，输入电压范围应不小于：176~264VAC；</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170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9DA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r>
      <w:tr w14:paraId="7518F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AE0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14F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电池</w:t>
            </w:r>
          </w:p>
        </w:tc>
        <w:tc>
          <w:tcPr>
            <w:tcW w:w="6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14E0">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1.采用阀控式密封铅酸蓄电池，单节蓄电池标称电压12V，单节蓄电池容量：≥100Ah。</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2.为保证本项目现场联调方便，保证供货及时性及售后服务高效性，要求蓄电池与UPS主机同一品牌。</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3.蓄电池正常浮充状态下，其浮充寿命可达10年及以上。</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4.蓄电池外观无变形、漏液、裂纹及污迹，标识清晰；正、负极端子有明显标志，便于连接。</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5.蓄电池应能承受50kPa的正压或负压而不破裂、不开胶，压力释放后壳体无残余变形。</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6.蓄电池以30I10（A）放电3min，极柱不应熔断，内部汇流排不应熔断，其外观不得出现异常。</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7.●蓄电池静置28天后容量保存率应≥97%（提供相关检测报告或扫描件并加盖投标单位的公章）。</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8.蓄电池密封反应效率应≥96%。</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9.蓄电池安全阀开阀压力应在10~35kPa范围内，闭阀压力应在3~30kPa范围内。</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10.完全充电后的蓄电池以0.3I10A连续充电160h，无变形、无漏液。</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11.蓄电池间连接电压降应≤5.3mV</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12.防爆性能：蓄电池充电过程中遇明火，内部应不引燃、不引爆。</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13.●蓄电池内阻应≤4mΩ，同组蓄电池内阻偏差应≤11%。（提供相关检测报告或扫描件并加盖投标单位的公章）</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14.低温敏感性：蓄电池10h率容量应≥0.93C10，外观应无破裂，过度膨胀及槽、盖分离现象。</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15.同组蓄电池10h率容量试验时，最大实际容量与最小实际容量差值应≤2.3%</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16.蓄电池应符合YD/T 799-2010《通信用阀控式密封蓄电池》的要求。</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17.●蓄电池应符合YD 5083-2005《电信设备抗地震性能检测规范》及YD/T 5096-2016《通信用电源设备抗地震性能检测规范》的要求，（提供相关检测报告或扫描件并加盖投标单位的公章，同时提供“信息通信设备抗震性能合格证”复印件并加盖公章。）</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C6C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7BA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块</w:t>
            </w:r>
          </w:p>
        </w:tc>
      </w:tr>
      <w:tr w14:paraId="07063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B24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044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电池柜</w:t>
            </w:r>
          </w:p>
        </w:tc>
        <w:tc>
          <w:tcPr>
            <w:tcW w:w="6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E32DD">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定制</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6F2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BB1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r>
      <w:tr w14:paraId="67D30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59B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8809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机柜、机架</w:t>
            </w:r>
          </w:p>
        </w:tc>
        <w:tc>
          <w:tcPr>
            <w:tcW w:w="6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8FD9">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42U</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49B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676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r>
      <w:tr w14:paraId="1BE9E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787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C29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双目客流相机</w:t>
            </w:r>
          </w:p>
        </w:tc>
        <w:tc>
          <w:tcPr>
            <w:tcW w:w="6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9962">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1、内置GPU芯片，支持深度学习算法，有效提升检测准确率</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2、支持三种智能资源切换：人数统计、通用行为分析、人脸检测</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3、支持人数统计：支持排队管理；支持区域内人数统计；进入/离开人数统计，并可生成人数统计日/周/月/年报表，导出使用</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4、支持绊线入侵，区域入侵，快速移动，物品遗留，物品搬移，徘徊检测，人员聚集，停车检测</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5、支持人脸检测：支持跟踪，支持优选，支持抓拍，支持上报最优的人脸抓图，支持人脸增强，人脸曝光，支持人脸属性提取，支持6种属性，8种表情</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6、采用高性能星光级低照度400万像素1/3英寸CMOS图像传感器，低照度效果好，图像清晰度高</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7、最大可输出400万(2560 × 1440)@25fps</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8、支持H.265编码，压缩比高，实现超低码流传输</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9、支持报警2进2出，音频2进1出，485，BNC，最大支持512G Micro SD卡，内置麦克和扬声器</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10、支持DC12V/POE供电方式，支持12V电源返送，最大电流165mA，方便工程安装</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11、支持IP67防护等级</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12、图像拼接功能检验:样机可将2个图像采集模块采集的视频图像,在浏览器上并排罗列显示；支持手动标定、自动标定2种标定模式,标定后可进行校验功能;手动标定支持相机安装高度、安装角度设置;自动标定模式可获得推荐值（提供相关检测报告或扫描件并加盖投标单位的公章）</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13、支持最大、最小检测高度范围设置，可根据设定的范围进行人数统计过滤；支持高度自适应功能开关设置，样机可根据设备安装高度、安装角度自适应调整视场角及检测距离（提供相关检测报告或扫描件并加盖投标单位的公章）</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8442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FB04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r>
      <w:tr w14:paraId="1C207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A1F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A0B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视频监控设备施工辅材</w:t>
            </w:r>
          </w:p>
        </w:tc>
        <w:tc>
          <w:tcPr>
            <w:tcW w:w="6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DDA0">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包含膨胀钉，自攻螺丝，垫片等施工辅材</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F4B7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D63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项</w:t>
            </w:r>
          </w:p>
        </w:tc>
      </w:tr>
      <w:tr w14:paraId="24BDB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23B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19</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30C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人脸门禁</w:t>
            </w:r>
          </w:p>
        </w:tc>
        <w:tc>
          <w:tcPr>
            <w:tcW w:w="6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06DD">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主处理器：高性能嵌入式处理器；</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广告播放：支持图文、视频广告播放；</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摄像头：1/2.8" 2MP CMOS高清双目摄像头；</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开门模式：支持刷卡/远程/密码/人脸识别开门模式，支持下模块扩展（指纹、二维码、人证、人证+二维码、指纹+二维码）；支持组合开门模式设置；</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远程验证：支持；</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黑白名单设定：支持；</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实时监控：支持；</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多重认证：支持；</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WEB配置：支持；</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主动注册：支持；</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人脸识别准确率：99.90%；</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人脸识别速度：0.2s；</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用户容量：20000个；</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人脸容量：20000张；</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卡片容量：50000张；</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密码容量：20000个；</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存储记录数量：300000条；</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RS-485接口：1个；</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RS-232接口：1个；</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韦根接口：1路输入/输出；</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USB接口：1个USB2.0接口；</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网络接口：1个10Mbps/100Mbps自适应以太网口；</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报警输入：2路（开关量）；</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报警输出：1路（继电器）；</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报警联动：支持；</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开门按钮：1路；</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门状态检测：1路；</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门锁控制：1路；</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防反潜：支持；</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防拆报警：支持；</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胁迫报警：支持；</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门超时报警：支持；</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非法闯入报警：支持；</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非法卡超次报警：支持；</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供电方式：DC 12V  2A；</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工作温度：‐30℃~+60℃；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AE98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00E7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r>
      <w:tr w14:paraId="42F3A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012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C6E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无线投屏器</w:t>
            </w:r>
          </w:p>
        </w:tc>
        <w:tc>
          <w:tcPr>
            <w:tcW w:w="6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FB48">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工作温度：5℃ ~ 40℃；</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工作湿度：0%~80% 无冷凝；</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1EB1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FE6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r>
      <w:tr w14:paraId="7A56D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69D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9CC3">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智能会议设备</w:t>
            </w:r>
          </w:p>
        </w:tc>
        <w:tc>
          <w:tcPr>
            <w:tcW w:w="6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E730">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CPU：四核A73+四核A53；</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RAM：12G（主控8G+摄像头4G）；</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ROM：64G；</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适用操作系统：Windows 7/8/10;Android；</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Wi-Fi：1个Wi-Fi；1个热点；</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Wi-Fi热点：支持2.4G/5G双频，支持热点和wifi同时开启；</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面板：98英寸；</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背光类型：DLED；</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屏幕比例：16:09；</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亮度：400cd/m²；</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分辨率：3840(H)×2160(V)；</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可视角度：水平 178°，垂直 178°；</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使用寿命：≧30000小时；</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色彩范围：72%NTSC；</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刷新率：60Hz；</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静态对比度：1200:1；</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响应时间：&lt;10ms；</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像素：4800万；</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自动控制：自动翻转、自动白平衡；</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最大分辨率：3840×2160；</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存储：8GB eMMC；</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视场角：H: 87°; V: 49°; D: 99°；</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人脸检测：支持；</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光感：1个；</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前置物理按键：1个电源键（右侧面）；</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前置接口：1个USB3.0口（左侧面）；</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网络接口：1个RJ45；</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USB接口：3个USB3.0；1个micro USB2.0；</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RS-232接口：1个RS232；</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视频输入：1个HDMI IN；</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视频输出：1个HDMI OUT；</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音频输出：1个3.5mm Line Out接口；</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其他接口：1个Touch口；</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红外接口：1个；</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麦克风：8阵列；</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TYPE-C接口：1个；</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触摸技术类型：红外触控；</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触摸点数：20点；</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触摸有效识别：2mm；</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具有罗盘功能，开启罗盘后，两指以上双击唤出罗盘；全局罗盘/可拖动/可隐藏，罗盘功能按键可收缩/可展开，支持返回、首页、批注、电子白板、系统切换、视频会议等功能（提供相关检测报告或扫描件并加盖投标单位的公章）</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可将实时书写的文字内容识别转换成对应字体，替换原有的书写内容；支持识别手绘图形，包括直线、箭头实线、三角形、四边形、矩形、圆、五边形、圆柱、五角星、半圆、椭圆（提供相关检测报告或扫描件并加盖投标单位的公章）</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●支持自适应全景拍摄功能，可根据与会人数及位置自动调整，全景画面能涵盖所有与会人员，并保证人物居中显示（提供相关检测报告或扫描件并加盖投标单位的公章）</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EB5C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1313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r>
      <w:tr w14:paraId="1D1E9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C7E0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22</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F5C9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移动支架</w:t>
            </w:r>
          </w:p>
        </w:tc>
        <w:tc>
          <w:tcPr>
            <w:tcW w:w="6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B351">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智能平板移动支架</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7354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2170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项</w:t>
            </w:r>
          </w:p>
        </w:tc>
      </w:tr>
      <w:tr w14:paraId="4D0C6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5A6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23</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960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控制终端</w:t>
            </w:r>
          </w:p>
        </w:tc>
        <w:tc>
          <w:tcPr>
            <w:tcW w:w="6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9F5B">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i3 8GB 256GBSSD  24寸显示器</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EAA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82A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套</w:t>
            </w:r>
          </w:p>
        </w:tc>
      </w:tr>
      <w:tr w14:paraId="17704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2FB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24</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4A9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网络摄像机</w:t>
            </w:r>
          </w:p>
        </w:tc>
        <w:tc>
          <w:tcPr>
            <w:tcW w:w="6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0C51">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传感器类型：1/3英寸CMOS；</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像素：400万；</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最大分辨率：2688×1520；</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最低照度：0.002Lux（彩色模式）；0.0002Lux（黑白模式）；0Lux（补光灯开启）；</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最大补光距离：50m（红外）；</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镜头类型：定焦；</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通用行为分析：绊线入侵；区域入侵；</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视频压缩标准：H.265；H.264；H.264B；MJPEG；</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智能编码：H.264：支持H.265：支持；</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宽动态：120dB；</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内置MIC：支持；</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报警事件：网络断开；IP冲突；非法访问；动态检测；视频遮挡；绊线入侵；区域入侵；音频异常侦测；电压检测；安全异常；</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接入标准：ONVIF（Profile S/Profile T）； CGI；GB/T28181；</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供电方式：DC12V/POE；</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防护等级：IP67</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5AA5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48A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r>
      <w:tr w14:paraId="2260E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3BA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AF5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出入口门禁</w:t>
            </w:r>
          </w:p>
        </w:tc>
        <w:tc>
          <w:tcPr>
            <w:tcW w:w="6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F7304">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屏幕显示分辨率：800×1280</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采用200万CMOS双目摄像头，支持真实宽动态</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工作温度支持-30至60℃，可适应各种环境</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支持IP65防护等级</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采用高性能图像传感器，无需白光补光，在暗光或者无光环境下也能正常识别</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支持10万个用户、10万张人脸、50万张卡、50个管理员、30万条记录</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支持人脸、IC卡、CPU卡、密码、二维码。</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支持显示人脸框，并实时检测最大人脸，支持人脸目标大小设置</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20000条事件记录</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7FF5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637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r>
      <w:tr w14:paraId="26847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A41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26</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5A1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配套室外立柱</w:t>
            </w:r>
          </w:p>
        </w:tc>
        <w:tc>
          <w:tcPr>
            <w:tcW w:w="6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95C6">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定制</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3B7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CE9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根</w:t>
            </w:r>
          </w:p>
        </w:tc>
      </w:tr>
      <w:tr w14:paraId="76BD4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FBB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27</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B93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热成像摄像机</w:t>
            </w:r>
          </w:p>
        </w:tc>
        <w:tc>
          <w:tcPr>
            <w:tcW w:w="6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CA85">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光谱范围：8μm～14μm；</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热成像镜头焦距：3.5mm；</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热成像视场角：水平：42.01°; 垂直：32.13°；</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传感器类型：1/2.7英寸CMOS；</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最大分辨率：2336 x 1752；</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可见光像素：400万；</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透雾功能：电子透雾；</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可见光镜头焦距：4mm；</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可见光视场角：水平：71.2°；垂直：52°；对角：92.6°；</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补光类型：红外；</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最大补光距离：30m；</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火点侦测距离（最远）：22m；</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周界防范距离（人）：24.5m；</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周界防范距离（车）：73.5m；</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吸烟检测：支持；</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吸烟检测距离（最远）：5m；</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打电话检测：支持；</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打电话检测距离（最远）：19.6m；</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网络接口：1个，10M/100M以太网口（RJ-45）；</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报警输入：1路；</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报警输出：1路；</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音频输入：1路；</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音频输出：1路；</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RS-485接口：1路；</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供电方式：DC12V±20%/POE；</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功耗：基本功耗 ：4.5W（DC 12V，不开LED灯) 最大功耗：10.1W（DC 12V，开LED灯，开加热）；</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工作温度：-30℃ ~ +60℃；</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工作湿度：≤95%；</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防护等级：IP67；</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安装方式：顶装/吊装/壁装</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4A5B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809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r>
      <w:tr w14:paraId="18547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240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28</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34B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智慧体育管理设备</w:t>
            </w:r>
          </w:p>
        </w:tc>
        <w:tc>
          <w:tcPr>
            <w:tcW w:w="6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E4D1">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1.尺寸：≥55英寸；</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2.亮度：≥2000cd；</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3.自带身份识别摄像头；</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4.支持防雨、防尘、防过热、户外喷涂、防球击；</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5.支持查看整体数据情况，包含实时运动量等维度数据；</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6.支持查看实时排行榜单，并支持根据性别等类别进行分类查看排行榜单，可在榜单中查看运动视频回放及动作关键帧；</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7.支持通过大屏进行身份识别，自主查询个人成绩档案。</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7E4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7AE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套</w:t>
            </w:r>
          </w:p>
        </w:tc>
      </w:tr>
      <w:tr w14:paraId="7B030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17AB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29</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E24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立定跳远配套硬件设备</w:t>
            </w:r>
          </w:p>
        </w:tc>
        <w:tc>
          <w:tcPr>
            <w:tcW w:w="6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ABCA">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含服务器算力配置、立杆*1、室外防水音柱*1、不锈钢防水箱*1、收发器B端*1、监控电源*1、光模块A端*1</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0CE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8EA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套</w:t>
            </w:r>
          </w:p>
        </w:tc>
      </w:tr>
      <w:tr w14:paraId="73BE6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7616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D75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400万AI摄像机</w:t>
            </w:r>
          </w:p>
        </w:tc>
        <w:tc>
          <w:tcPr>
            <w:tcW w:w="6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2769">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1、采用不低于400万像素1/2.7英寸CMOS图像传感器</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2、内置GPU芯片，支持深度学习算法</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3、内置高效暖光和红外补光灯，D2255红外监控距离不低于60米，暖光监控距离不低于30米</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●4、设备支持自动防闪烁功能,开启该功能后,可以消除闪烁条纹（提供相关检测报告或扫描件并加盖投标单位的公章）</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5、支持人脸检测：支持跟踪，支持优选，支持抓拍，支持上报最优的人脸抓图，支持人脸增强，人脸曝光，支持人脸属性提取，支持6种属性，8种表情</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6、支持绊线入侵，区域入侵，快速移动，物品遗留，物品搬移，徘徊检测，人员聚集，停车检测</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7、支持车辆检测：支持机动车抓拍及报警联动，支持机动车号牌识别</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8、设备角落亮度均匀性（corners）≥85%，四边亮度均匀性（sides）≥90%。设备具有精准搜索功能，开启后可检测分析画面中人体各类特征后形成结构化数据上传后端（提供相关检测报告或扫描件并加盖投标单位的公章）</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9、支持声光报警联动，当报警产生时，可触发联动声音警报和灯光闪烁</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●10、设备支持一键诊断网络工况、运行工况;支持网络抓包、运行日志导出（提供相关检测报告或扫描件并加盖投标单位的公章）</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11、支持报警2进2出，音频1进1出，485，最大支持512G Micro SD卡，内置麦克和扬声器</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12、支持DC12V/POE供电方式，支持12V电源返送</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13、支持IP67防护等级</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276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670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r>
      <w:tr w14:paraId="3EE2D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6D6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31</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801B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跳绳配套硬件设备</w:t>
            </w:r>
          </w:p>
        </w:tc>
        <w:tc>
          <w:tcPr>
            <w:tcW w:w="6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46F7">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含服务器算力配置、立杆*1、室外防水音柱*1、摄像头箱*1、收发器B端*1、监控电源*1、光模块A端*1、LED屏*1</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E235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B1B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套</w:t>
            </w:r>
          </w:p>
        </w:tc>
      </w:tr>
      <w:tr w14:paraId="5AB50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DE6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32</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86C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AI智能评估设备</w:t>
            </w:r>
          </w:p>
        </w:tc>
        <w:tc>
          <w:tcPr>
            <w:tcW w:w="6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0FE3">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屏幕分辨率≥2000*1200；</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内置AI视觉体育评测系统：</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1、支持人脸采集：</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可选择编号，可选择性别；</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2、支持后台系统设置功能：</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自定义大屏所要播放的排行榜内容，并进行画面预览；</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选择各榜单播放的间隔时间及声音大小；</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3、权限设置：</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管理员有权对后端账号及人员账户权限进行配置；</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4、支持运动数据查看：</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概览支持查看运动测试数据；</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测试记录可查看运动时间、成绩，可手动排序、成绩生成表格一键导出；</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跳绳练习视频自动储存，可回放查看是否空跳、作弊，保证数据有效真实性，若有误可进行手动修改。</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CCE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5EC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套</w:t>
            </w:r>
          </w:p>
        </w:tc>
      </w:tr>
      <w:tr w14:paraId="66933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AB1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33</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1AF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视频监控服务器</w:t>
            </w:r>
          </w:p>
        </w:tc>
        <w:tc>
          <w:tcPr>
            <w:tcW w:w="6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17E6">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软硬一体化部署，插电可用，7*24小时稳定运行；</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平台业务架构支持通过业务服务集群部署扩展业务处理能力，通过设备接入服务分布式部署扩展设备接入能力，采用一体机堆叠方式自动累加快速实现；</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平台集成基础管理、视频、门禁、可视对讲、停车、访客、人员布控、报警管理等业务系统；</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单台支持视频1100路、门禁及门口机共256路、室内机3000路、停车10进10出；</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平台支持多终端（C/S客户端、移动APP、WEB）运行使用；</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智能应用集成，支持雷达监控移动物体、热成像预览实时测温、高空抛物实时视频预览目标轨迹检测、离岗检测等各类智能报警应用；</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部署运维监管，基础业务模块自动部署安装，个性化业务模块根据实际场景自定义选择安装；</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处理器:1核 2.2GHz 16线程；</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内存：64GB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存储：2*2TB SATA硬盘；</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网口：4个千兆网口</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7BA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C5A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r>
      <w:tr w14:paraId="45441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62A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34</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570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硬盘</w:t>
            </w:r>
          </w:p>
        </w:tc>
        <w:tc>
          <w:tcPr>
            <w:tcW w:w="6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1091">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6T</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412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AD8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块</w:t>
            </w:r>
          </w:p>
        </w:tc>
      </w:tr>
      <w:tr w14:paraId="5F51E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597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35</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8F9D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硬盘录像机</w:t>
            </w:r>
          </w:p>
        </w:tc>
        <w:tc>
          <w:tcPr>
            <w:tcW w:w="6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E7F3">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1、主处理器：工业级嵌入式微控制器；</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2、操作系统：嵌入式Linux操作系统；</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3、操作界面：WEB方式，本地GUI操作；</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4、接入路数：64路；</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5、硬盘接口：16个SATA接口，单盘最大10T</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6、分辨率：24M/16M/12M/8M/5M/4M/3M/1080P/720P/D1；</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7、解码能力：预览解码能力：16个1080P，智能解码能力：4个1080P；</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8、具有安全异常分析能力，可自动监测异常行为（如非法IP访问、密码暴破行为、Web路径暴破、网络连接资源异常、可信环境异常等），并通过邮件、手机推送、蜂鸣等方式产生告警（提供相关检测报告或扫描件并加盖投标单位的公章）</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●9、具备防火墙能力，能够抗ICMP洪泛攻击、防半连接攻击（提供相关检测报告或扫描件并加盖投标单位的公章）</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10、应自动记录与设备信息安全相关的日志信息，作为独立的安全日志,内容包括用户登录/登出、重要和敏感操作、安全事件等,并划分独立的记录空间存储安全日志,其它日志信息不能覆盖安全日志（提供相关检测报告或扫描件并加盖投标单位的公章）</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●11、当设备出现以下4种安全异常：1、非法可执行程序运行预警；2、WEB 路径暴力破解预警；3、会话连接超限预警；4、会话ID暴力破解预警；其中任意一个时，可以触发联动报警（提供相关检测报告或扫描件并加盖投标单位的公章）</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CF3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316C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r>
      <w:tr w14:paraId="7C47C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D75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36</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E56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安防平台软件模块基础包授权</w:t>
            </w:r>
          </w:p>
        </w:tc>
        <w:tc>
          <w:tcPr>
            <w:tcW w:w="6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3F01">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支持基础资源（组织、设备、人、卡、车等信息）管理，提供事件中心、数据存储、电子地图、日志记录等基础功能;</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支持平台运维，提供服务部署维护功能、支持模块化升级部署、系统资源使用情况监控等运维相关功能；</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支持级联、分布式、集群，实现系统核心能力提升；</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支持双机热备，提升系统灾备能力，保障系统的可靠性；</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支持mysql数据库、云数据库，统一云、标准云、智微云，满足图片、视频、结构化数据的按需求存储；</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支持标准开放平台，提供rest ful 等多维度接口，显示数据互联互通；</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支持光栅、矢量、3D 三种类型；</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支持自定义定制，如：皮肤切换，设备校时，表单自定义；</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支持按照用户配置的权限过滤展示组织设备树、部门人员树、数据查询；</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324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E35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项</w:t>
            </w:r>
          </w:p>
        </w:tc>
      </w:tr>
      <w:tr w14:paraId="23826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EFD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37</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ED4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视频监控路数授权</w:t>
            </w:r>
          </w:p>
        </w:tc>
        <w:tc>
          <w:tcPr>
            <w:tcW w:w="6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47FC">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支持实时视频、录像回放、录像下载、电视墙、雷球联动，热成像;</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支持与车载单兵等移动设备的对接，提供车载单兵设备GPS信息接收服务;</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支持手机移动客户端进行实时视频监控，音频播放，本地截图，本地录像，云台控制，远程视频回放;</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509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88D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项</w:t>
            </w:r>
          </w:p>
        </w:tc>
      </w:tr>
      <w:tr w14:paraId="204C4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5EB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38</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F32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门禁管理路数授权</w:t>
            </w:r>
          </w:p>
        </w:tc>
        <w:tc>
          <w:tcPr>
            <w:tcW w:w="6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E550">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支持门禁设备管理;</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支持门禁控制，包括：门通道控制、门组分配、首卡开门、多卡开门、多门互锁、反潜回、开门计划、远程验证、常开常闭;</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支持门禁控制授权及复核，支持门禁管理任务查询；</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支持门禁系统集群，分布式方式提升接入能力;</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805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3CE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项</w:t>
            </w:r>
          </w:p>
        </w:tc>
      </w:tr>
      <w:tr w14:paraId="17552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571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39</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00FC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运维通道路数授</w:t>
            </w:r>
          </w:p>
        </w:tc>
        <w:tc>
          <w:tcPr>
            <w:tcW w:w="6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3F4A">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支持基础资源（组织、设备、人、卡、车等信息）管理，提供事件中心、数据存储、电子地图、日志记录等基础功能;</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支持平台运维，提供服务部署维护功能、支持模块化升级部署、系统资源使用情况监控等运维相关功能；</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支持级联、分布式、集群，实现系统核心能力提升；</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支持双机热备，提升系统灾备能力，保障系统的可靠性；</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支持mysql数据库、云数据库，统一云、标准云、智微云，满足图片、视频、结构化数据的按需求存储；</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支持标准开放平台，提供rest ful 等多维度接口，显示数据互联互通；</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支持光栅、矢量、3D 三种类型，不同厂家的地图；</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支持自定义定制，如：皮肤切换，设备校时，表单自定义；</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支持按照用户配置的权限过滤展示组织设备树、部门人员树、数据查询；</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E39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0BF3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项</w:t>
            </w:r>
          </w:p>
        </w:tc>
      </w:tr>
      <w:tr w14:paraId="244FC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A3F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A5D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互联网宽带</w:t>
            </w:r>
          </w:p>
        </w:tc>
        <w:tc>
          <w:tcPr>
            <w:tcW w:w="6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5FFD">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1000M FTTR，三年</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1A0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1F5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条</w:t>
            </w:r>
          </w:p>
        </w:tc>
      </w:tr>
      <w:tr w14:paraId="47B6B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D5F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41</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057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互联网专线</w:t>
            </w:r>
          </w:p>
        </w:tc>
        <w:tc>
          <w:tcPr>
            <w:tcW w:w="6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B997">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互联网专线100M，三年</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DFB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088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条</w:t>
            </w:r>
          </w:p>
        </w:tc>
      </w:tr>
      <w:tr w14:paraId="4D3A3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665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42</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AAF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VPN链路</w:t>
            </w:r>
          </w:p>
        </w:tc>
        <w:tc>
          <w:tcPr>
            <w:tcW w:w="6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C8FD">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VPN链路100M，三年</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028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50C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条</w:t>
            </w:r>
          </w:p>
        </w:tc>
      </w:tr>
    </w:tbl>
    <w:p w14:paraId="46F64B22">
      <w:pPr>
        <w:bidi w:val="0"/>
        <w:spacing w:line="360" w:lineRule="auto"/>
        <w:rPr>
          <w:rFonts w:hint="default" w:ascii="仿宋" w:hAnsi="仿宋" w:eastAsia="仿宋" w:cs="仿宋"/>
          <w:b/>
          <w:bCs/>
          <w:color w:val="auto"/>
          <w:highlight w:val="none"/>
          <w:lang w:val="en-US" w:eastAsia="zh-CN"/>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2</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信息技术服务</w:t>
      </w:r>
    </w:p>
    <w:tbl>
      <w:tblPr>
        <w:tblStyle w:val="62"/>
        <w:tblW w:w="5087" w:type="pct"/>
        <w:tblInd w:w="1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1295"/>
        <w:gridCol w:w="1459"/>
        <w:gridCol w:w="5289"/>
        <w:gridCol w:w="709"/>
      </w:tblGrid>
      <w:tr w14:paraId="3A1A4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75CF8">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序号</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B713F">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名称</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B0A6A">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模块</w:t>
            </w:r>
          </w:p>
        </w:tc>
        <w:tc>
          <w:tcPr>
            <w:tcW w:w="2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DD9D9">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具体内容</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D1F1A">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数量</w:t>
            </w:r>
          </w:p>
        </w:tc>
      </w:tr>
      <w:tr w14:paraId="2DB0C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6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944ED">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6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25F1A0">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汇宇社区本地平台实施、区级平台标准应用复用及数字社会应用对接</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C299D">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萧山区未来社区平台数字底座复用</w:t>
            </w:r>
          </w:p>
        </w:tc>
        <w:tc>
          <w:tcPr>
            <w:tcW w:w="2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DE474">
            <w:pPr>
              <w:keepNext w:val="0"/>
              <w:keepLines w:val="0"/>
              <w:pageBreakBefore w:val="0"/>
              <w:widowControl/>
              <w:suppressLineNumbers w:val="0"/>
              <w:kinsoku/>
              <w:wordWrap/>
              <w:overflowPunct/>
              <w:topLinePunct w:val="0"/>
              <w:autoSpaceDE/>
              <w:autoSpaceDN/>
              <w:bidi w:val="0"/>
              <w:snapToGrid/>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复用萧山区未来社区平台，配置数字底座。</w:t>
            </w:r>
          </w:p>
        </w:tc>
        <w:tc>
          <w:tcPr>
            <w:tcW w:w="37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24012">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1项</w:t>
            </w:r>
          </w:p>
        </w:tc>
      </w:tr>
      <w:tr w14:paraId="34EBC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10CF0">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7C7AD">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06CCF">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线下位置空间打点</w:t>
            </w:r>
          </w:p>
        </w:tc>
        <w:tc>
          <w:tcPr>
            <w:tcW w:w="2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D265F">
            <w:pPr>
              <w:keepNext w:val="0"/>
              <w:keepLines w:val="0"/>
              <w:pageBreakBefore w:val="0"/>
              <w:widowControl/>
              <w:suppressLineNumbers w:val="0"/>
              <w:kinsoku/>
              <w:wordWrap/>
              <w:overflowPunct/>
              <w:topLinePunct w:val="0"/>
              <w:autoSpaceDE/>
              <w:autoSpaceDN/>
              <w:bidi w:val="0"/>
              <w:snapToGrid/>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针对未来社区线下配套公共服务空间进行三维地图打点，通过定位系统或测量工具，记录下每个点的三维坐标值，将数据导入到三维建模软件中，以生成一个带有打点信息的三维地图，可以根据用户需求添加更多功能，比如搜索、导航等。</w:t>
            </w: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BB9AF">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r>
      <w:tr w14:paraId="77DD8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C0C22">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D777F">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09C22">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房屋统一码对接</w:t>
            </w:r>
          </w:p>
        </w:tc>
        <w:tc>
          <w:tcPr>
            <w:tcW w:w="2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A0632">
            <w:pPr>
              <w:keepNext w:val="0"/>
              <w:keepLines w:val="0"/>
              <w:pageBreakBefore w:val="0"/>
              <w:widowControl/>
              <w:suppressLineNumbers w:val="0"/>
              <w:kinsoku/>
              <w:wordWrap/>
              <w:overflowPunct/>
              <w:topLinePunct w:val="0"/>
              <w:autoSpaceDE/>
              <w:autoSpaceDN/>
              <w:bidi w:val="0"/>
              <w:snapToGrid/>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对接社区类所有房屋统一码信息，通过将人房数据与模型相结合，实现点击单栋楼层可查看所有房屋自住/出租/空置情况，点击单个房屋可查询人员居住情况。</w:t>
            </w: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A25B6">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r>
      <w:tr w14:paraId="1EDB9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849DB">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54FF2">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A0625">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汇宇特色UI界面</w:t>
            </w:r>
          </w:p>
        </w:tc>
        <w:tc>
          <w:tcPr>
            <w:tcW w:w="2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A0BC3">
            <w:pPr>
              <w:keepNext w:val="0"/>
              <w:keepLines w:val="0"/>
              <w:pageBreakBefore w:val="0"/>
              <w:widowControl/>
              <w:suppressLineNumbers w:val="0"/>
              <w:kinsoku/>
              <w:wordWrap/>
              <w:overflowPunct/>
              <w:topLinePunct w:val="0"/>
              <w:autoSpaceDE/>
              <w:autoSpaceDN/>
              <w:bidi w:val="0"/>
              <w:snapToGrid/>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针对汇宇社区文化特色，定制小程序个性化UI界面。</w:t>
            </w: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99B41">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r>
      <w:tr w14:paraId="3C71A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6D8F7">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1C38B">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72912">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社区人房档案建设</w:t>
            </w:r>
          </w:p>
        </w:tc>
        <w:tc>
          <w:tcPr>
            <w:tcW w:w="2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63A1C">
            <w:pPr>
              <w:keepNext w:val="0"/>
              <w:keepLines w:val="0"/>
              <w:pageBreakBefore w:val="0"/>
              <w:widowControl/>
              <w:suppressLineNumbers w:val="0"/>
              <w:kinsoku/>
              <w:wordWrap/>
              <w:overflowPunct/>
              <w:topLinePunct w:val="0"/>
              <w:autoSpaceDE/>
              <w:autoSpaceDN/>
              <w:bidi w:val="0"/>
              <w:snapToGrid/>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社区人房数据清洗转换加载：</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1.根据社区/小区基本信息建立社区档案</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2.房屋数据校对</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3.社区、小区常驻人口基本信息校对</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4.人房关系匹配</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5.居民人房数据导入</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6.社区居民特殊人群（残疾人、独居老人等）建档，支持标签化管理</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7.社区党员数据接入</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8.社区网格队伍数据接入，包括网格人员、网格区域</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9.小区车位数据接入</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10.居民车辆数据接入</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11.居民人脸数据管理</w:t>
            </w: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32F94">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r>
      <w:tr w14:paraId="39283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C0EFF">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0DD8D">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AE478">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用户数据对接</w:t>
            </w:r>
          </w:p>
        </w:tc>
        <w:tc>
          <w:tcPr>
            <w:tcW w:w="2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D0D88">
            <w:pPr>
              <w:keepNext w:val="0"/>
              <w:keepLines w:val="0"/>
              <w:pageBreakBefore w:val="0"/>
              <w:widowControl/>
              <w:suppressLineNumbers w:val="0"/>
              <w:kinsoku/>
              <w:wordWrap/>
              <w:overflowPunct/>
              <w:topLinePunct w:val="0"/>
              <w:autoSpaceDE/>
              <w:autoSpaceDN/>
              <w:bidi w:val="0"/>
              <w:snapToGrid/>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依赖现有区全域平台系统用户数据，改造为适配未来社区居民信息数据，主要包括用户类型、实名认证、用户绑定信息、用户人脸信息。</w:t>
            </w: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BC794">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r>
      <w:tr w14:paraId="0908C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8986C">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EB38A">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2CCF5">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组织架构对接</w:t>
            </w:r>
          </w:p>
        </w:tc>
        <w:tc>
          <w:tcPr>
            <w:tcW w:w="2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35772">
            <w:pPr>
              <w:keepNext w:val="0"/>
              <w:keepLines w:val="0"/>
              <w:pageBreakBefore w:val="0"/>
              <w:widowControl/>
              <w:suppressLineNumbers w:val="0"/>
              <w:kinsoku/>
              <w:wordWrap/>
              <w:overflowPunct/>
              <w:topLinePunct w:val="0"/>
              <w:autoSpaceDE/>
              <w:autoSpaceDN/>
              <w:bidi w:val="0"/>
              <w:snapToGrid/>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依赖现有区全域平台系统组织架构数据，改造为适配未来社区居民信息数据，主要包括用户类型、实名认证、用户绑定信息、用户人脸信息。</w:t>
            </w: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7BDD6">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r>
      <w:tr w14:paraId="1CE75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3F3EE">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0B2BD">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E5357">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角色权限对接</w:t>
            </w:r>
          </w:p>
        </w:tc>
        <w:tc>
          <w:tcPr>
            <w:tcW w:w="2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4617B">
            <w:pPr>
              <w:keepNext w:val="0"/>
              <w:keepLines w:val="0"/>
              <w:pageBreakBefore w:val="0"/>
              <w:widowControl/>
              <w:suppressLineNumbers w:val="0"/>
              <w:kinsoku/>
              <w:wordWrap/>
              <w:overflowPunct/>
              <w:topLinePunct w:val="0"/>
              <w:autoSpaceDE/>
              <w:autoSpaceDN/>
              <w:bidi w:val="0"/>
              <w:snapToGrid/>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对区全域平台现有用户、管理角色权限进行改造，主要划分普通用户为业主、家人、租户、游客等，管理员可自定义设置角色名称、角色权限、角色归属。</w:t>
            </w: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4B058">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r>
      <w:tr w14:paraId="538A5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8784F">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0B1B5">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AD9DA">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物联集成对接</w:t>
            </w:r>
          </w:p>
        </w:tc>
        <w:tc>
          <w:tcPr>
            <w:tcW w:w="2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BB6DA">
            <w:pPr>
              <w:keepNext w:val="0"/>
              <w:keepLines w:val="0"/>
              <w:pageBreakBefore w:val="0"/>
              <w:widowControl/>
              <w:suppressLineNumbers w:val="0"/>
              <w:kinsoku/>
              <w:wordWrap/>
              <w:overflowPunct/>
              <w:topLinePunct w:val="0"/>
              <w:autoSpaceDE/>
              <w:autoSpaceDN/>
              <w:bidi w:val="0"/>
              <w:snapToGrid/>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实现社区内部门禁设备，客流设备接入至物联平台，并将物联感知数据推送至萧山区IoT OS统一物联网系统，实现对社区物联设备的有效管控。</w:t>
            </w: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3F770">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r>
      <w:tr w14:paraId="49B75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DB7D5">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C0984">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7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6EFD8D">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运营中心</w:t>
            </w:r>
          </w:p>
        </w:tc>
        <w:tc>
          <w:tcPr>
            <w:tcW w:w="2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C694E">
            <w:pPr>
              <w:keepNext w:val="0"/>
              <w:keepLines w:val="0"/>
              <w:pageBreakBefore w:val="0"/>
              <w:widowControl/>
              <w:suppressLineNumbers w:val="0"/>
              <w:kinsoku/>
              <w:wordWrap/>
              <w:overflowPunct/>
              <w:topLinePunct w:val="0"/>
              <w:autoSpaceDE/>
              <w:autoSpaceDN/>
              <w:bidi w:val="0"/>
              <w:snapToGrid/>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言论审核：提供统一的言论审核中心，汇聚各应用的居民言论集中审批操作，支持同意、拒绝、删除以及批量操作；支持组织数据隔离批阅；同时也支持移动端快捷审批操作。</w:t>
            </w: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E2E65">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r>
      <w:tr w14:paraId="39822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4614B">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067F4">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6CA47">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2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CA221">
            <w:pPr>
              <w:keepNext w:val="0"/>
              <w:keepLines w:val="0"/>
              <w:pageBreakBefore w:val="0"/>
              <w:widowControl/>
              <w:suppressLineNumbers w:val="0"/>
              <w:kinsoku/>
              <w:wordWrap/>
              <w:overflowPunct/>
              <w:topLinePunct w:val="0"/>
              <w:autoSpaceDE/>
              <w:autoSpaceDN/>
              <w:bidi w:val="0"/>
              <w:snapToGrid/>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自动审批：支持开启/关闭自动审核功能，开启后端应用除敏感词汇及图文信息外，居民言论自动审批通过；记录功能操作记录，留痕追责。</w:t>
            </w: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4E1FE">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r>
      <w:tr w14:paraId="09912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DAEDD">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C2309">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0F86D">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2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B498C">
            <w:pPr>
              <w:keepNext w:val="0"/>
              <w:keepLines w:val="0"/>
              <w:pageBreakBefore w:val="0"/>
              <w:widowControl/>
              <w:suppressLineNumbers w:val="0"/>
              <w:kinsoku/>
              <w:wordWrap/>
              <w:overflowPunct/>
              <w:topLinePunct w:val="0"/>
              <w:autoSpaceDE/>
              <w:autoSpaceDN/>
              <w:bidi w:val="0"/>
              <w:snapToGrid/>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用户运营：对社区内移动端所有用户进行统一的查询，包括用户手机号、openID、昵称、用户来源、绑定房屋等信息，支持用户清单的导出。</w:t>
            </w: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C9B55">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r>
      <w:tr w14:paraId="7A259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9D63A">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0D126">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164D8">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2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36328">
            <w:pPr>
              <w:keepNext w:val="0"/>
              <w:keepLines w:val="0"/>
              <w:pageBreakBefore w:val="0"/>
              <w:widowControl/>
              <w:suppressLineNumbers w:val="0"/>
              <w:kinsoku/>
              <w:wordWrap/>
              <w:overflowPunct/>
              <w:topLinePunct w:val="0"/>
              <w:autoSpaceDE/>
              <w:autoSpaceDN/>
              <w:bidi w:val="0"/>
              <w:snapToGrid/>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用户活跃：记录用户在线活跃的操作行为，包括应用访问、行为操作等，支持快捷查询单人的操作行为轨迹。</w:t>
            </w: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AB6A8">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r>
      <w:tr w14:paraId="356FC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1284F">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52B7D">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6CC8C">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2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BD280">
            <w:pPr>
              <w:keepNext w:val="0"/>
              <w:keepLines w:val="0"/>
              <w:pageBreakBefore w:val="0"/>
              <w:widowControl/>
              <w:suppressLineNumbers w:val="0"/>
              <w:kinsoku/>
              <w:wordWrap/>
              <w:overflowPunct/>
              <w:topLinePunct w:val="0"/>
              <w:autoSpaceDE/>
              <w:autoSpaceDN/>
              <w:bidi w:val="0"/>
              <w:snapToGrid/>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严禁词管理：界面支持管理和设置敏感词汇。</w:t>
            </w: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21C2C">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r>
      <w:tr w14:paraId="23C04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209C7">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7C867">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59ADC">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区级平台标准应用复用</w:t>
            </w:r>
          </w:p>
        </w:tc>
        <w:tc>
          <w:tcPr>
            <w:tcW w:w="2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0A443">
            <w:pPr>
              <w:keepNext w:val="0"/>
              <w:keepLines w:val="0"/>
              <w:pageBreakBefore w:val="0"/>
              <w:widowControl/>
              <w:suppressLineNumbers w:val="0"/>
              <w:kinsoku/>
              <w:wordWrap/>
              <w:overflowPunct/>
              <w:topLinePunct w:val="0"/>
              <w:autoSpaceDE/>
              <w:autoSpaceDN/>
              <w:bidi w:val="0"/>
              <w:snapToGrid/>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区级平台标准应用：邻里圈、民呼我应、社情民意、邻里活动、邻里积分、场馆预约、社区档案、邻里资讯、政策服务应用复用。</w:t>
            </w: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0978E">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r>
      <w:tr w14:paraId="2C0D4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40E5D">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2426D">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A1833">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数字社会应用对接</w:t>
            </w:r>
          </w:p>
        </w:tc>
        <w:tc>
          <w:tcPr>
            <w:tcW w:w="2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6AAF6">
            <w:pPr>
              <w:keepNext w:val="0"/>
              <w:keepLines w:val="0"/>
              <w:pageBreakBefore w:val="0"/>
              <w:widowControl/>
              <w:suppressLineNumbers w:val="0"/>
              <w:kinsoku/>
              <w:wordWrap/>
              <w:overflowPunct/>
              <w:topLinePunct w:val="0"/>
              <w:autoSpaceDE/>
              <w:autoSpaceDN/>
              <w:bidi w:val="0"/>
              <w:snapToGrid/>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完成与浙里健身、浙里市场、浙里助残、浙里签、浙里畅行、浙里安居、浙里医保、浙里康养、浙有善育、浙里救的应用对接。</w:t>
            </w: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DBF2A">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r>
      <w:tr w14:paraId="14972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6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D1235">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6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28535F">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验收服务支撑</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F779F">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人房信息基础数据</w:t>
            </w:r>
          </w:p>
        </w:tc>
        <w:tc>
          <w:tcPr>
            <w:tcW w:w="2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0287D">
            <w:pPr>
              <w:keepNext w:val="0"/>
              <w:keepLines w:val="0"/>
              <w:pageBreakBefore w:val="0"/>
              <w:widowControl/>
              <w:suppressLineNumbers w:val="0"/>
              <w:kinsoku/>
              <w:wordWrap/>
              <w:overflowPunct/>
              <w:topLinePunct w:val="0"/>
              <w:autoSpaceDE/>
              <w:autoSpaceDN/>
              <w:bidi w:val="0"/>
              <w:snapToGrid/>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未来社区中人房基础数据贯通，其中行政区划信息、未来社区基本信息、未来社区小区等信息在人房数据初始化环节由平台统一配置。</w:t>
            </w:r>
          </w:p>
        </w:tc>
        <w:tc>
          <w:tcPr>
            <w:tcW w:w="37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8720D">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1项</w:t>
            </w:r>
          </w:p>
        </w:tc>
      </w:tr>
      <w:tr w14:paraId="0DBD6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D2AE1">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83003">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843EC">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社区主体数据</w:t>
            </w:r>
          </w:p>
        </w:tc>
        <w:tc>
          <w:tcPr>
            <w:tcW w:w="2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5A890">
            <w:pPr>
              <w:keepNext w:val="0"/>
              <w:keepLines w:val="0"/>
              <w:pageBreakBefore w:val="0"/>
              <w:widowControl/>
              <w:suppressLineNumbers w:val="0"/>
              <w:kinsoku/>
              <w:wordWrap/>
              <w:overflowPunct/>
              <w:topLinePunct w:val="0"/>
              <w:autoSpaceDE/>
              <w:autoSpaceDN/>
              <w:bidi w:val="0"/>
              <w:snapToGrid/>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对社区主体信息如党组织数据、群团组织信息、社群、达人、网格信息、业委会信息、物业信息等社区主体进行数据对接贯通。</w:t>
            </w: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48F4E">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r>
      <w:tr w14:paraId="57124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04650">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877CE">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40CE1">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公共空间与公共设施数据</w:t>
            </w:r>
          </w:p>
        </w:tc>
        <w:tc>
          <w:tcPr>
            <w:tcW w:w="2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E78C7">
            <w:pPr>
              <w:keepNext w:val="0"/>
              <w:keepLines w:val="0"/>
              <w:pageBreakBefore w:val="0"/>
              <w:widowControl/>
              <w:suppressLineNumbers w:val="0"/>
              <w:kinsoku/>
              <w:wordWrap/>
              <w:overflowPunct/>
              <w:topLinePunct w:val="0"/>
              <w:autoSpaceDE/>
              <w:autoSpaceDN/>
              <w:bidi w:val="0"/>
              <w:snapToGrid/>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对社区内公共空间与公共设施信息如资源设施设备、幼托养老空间等进行数据对接贯通。</w:t>
            </w: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8E94C">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r>
      <w:tr w14:paraId="09CF0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47A18">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79EE2">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2FF5D">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业务主题数据</w:t>
            </w:r>
          </w:p>
        </w:tc>
        <w:tc>
          <w:tcPr>
            <w:tcW w:w="2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3F326">
            <w:pPr>
              <w:keepNext w:val="0"/>
              <w:keepLines w:val="0"/>
              <w:pageBreakBefore w:val="0"/>
              <w:widowControl/>
              <w:suppressLineNumbers w:val="0"/>
              <w:kinsoku/>
              <w:wordWrap/>
              <w:overflowPunct/>
              <w:topLinePunct w:val="0"/>
              <w:autoSpaceDE/>
              <w:autoSpaceDN/>
              <w:bidi w:val="0"/>
              <w:snapToGrid/>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对社区内物业信息、社区事件、社区活动、社区投票等信息数据实现对接贯通。</w:t>
            </w: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AD6F3">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r>
      <w:tr w14:paraId="0A3E5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C5F6F">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CBD21">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0A773">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系统运行及运营数据采集与报送</w:t>
            </w:r>
          </w:p>
        </w:tc>
        <w:tc>
          <w:tcPr>
            <w:tcW w:w="2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9C09D">
            <w:pPr>
              <w:keepNext w:val="0"/>
              <w:keepLines w:val="0"/>
              <w:pageBreakBefore w:val="0"/>
              <w:widowControl/>
              <w:suppressLineNumbers w:val="0"/>
              <w:kinsoku/>
              <w:wordWrap/>
              <w:overflowPunct/>
              <w:topLinePunct w:val="0"/>
              <w:autoSpaceDE/>
              <w:autoSpaceDN/>
              <w:bidi w:val="0"/>
              <w:snapToGrid/>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各业务子系统汇聚统计结果数据到数据仓。通过数据仓把运营监测数据上报到在线管理系统。</w:t>
            </w: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B6886">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r>
      <w:tr w14:paraId="3B8CB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BC555">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A2296">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27E8C">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编制验收台账内容</w:t>
            </w:r>
          </w:p>
        </w:tc>
        <w:tc>
          <w:tcPr>
            <w:tcW w:w="2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3FA6F">
            <w:pPr>
              <w:keepNext w:val="0"/>
              <w:keepLines w:val="0"/>
              <w:pageBreakBefore w:val="0"/>
              <w:widowControl/>
              <w:suppressLineNumbers w:val="0"/>
              <w:kinsoku/>
              <w:wordWrap/>
              <w:overflowPunct/>
              <w:topLinePunct w:val="0"/>
              <w:autoSpaceDE/>
              <w:autoSpaceDN/>
              <w:bidi w:val="0"/>
              <w:snapToGrid/>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编制未来社区数字化验收台账，内容包括：</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1）贯通实施方案</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2）主体明确&amp;机制保障</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3）贯通方案完成度</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4）培训支撑情况</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5）基本应用场景覆盖</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6）物联数据集成</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7）社区数据仓建设</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8）社区应用集成落地</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9）社区三维空间资产</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10）数据实时纵向贯通</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11）平台安全保障</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12）标配场景应用运行</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13）应用长效迭代机制</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14）数字社会应用集成</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15）线上线下联动服务</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16）三端入口明确</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17）系统体验感受</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18）线上运营成效</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等验收材料</w:t>
            </w: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C3635">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r>
      <w:tr w14:paraId="3F3E9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7002C">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73460">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ED78D">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台账补充</w:t>
            </w:r>
          </w:p>
        </w:tc>
        <w:tc>
          <w:tcPr>
            <w:tcW w:w="2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8EBF1">
            <w:pPr>
              <w:keepNext w:val="0"/>
              <w:keepLines w:val="0"/>
              <w:pageBreakBefore w:val="0"/>
              <w:widowControl/>
              <w:suppressLineNumbers w:val="0"/>
              <w:kinsoku/>
              <w:wordWrap/>
              <w:overflowPunct/>
              <w:topLinePunct w:val="0"/>
              <w:autoSpaceDE/>
              <w:autoSpaceDN/>
              <w:bidi w:val="0"/>
              <w:snapToGrid/>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根据验收评审专家相关意见，对验收报告的内容进行修改、完成资料补充，并通过系统进行上传提交。</w:t>
            </w: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64B7E">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r>
      <w:tr w14:paraId="59FDA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6A083">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E4FB8">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C35F6">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现场验收材料准备</w:t>
            </w:r>
          </w:p>
        </w:tc>
        <w:tc>
          <w:tcPr>
            <w:tcW w:w="2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18B6B">
            <w:pPr>
              <w:keepNext w:val="0"/>
              <w:keepLines w:val="0"/>
              <w:pageBreakBefore w:val="0"/>
              <w:widowControl/>
              <w:suppressLineNumbers w:val="0"/>
              <w:kinsoku/>
              <w:wordWrap/>
              <w:overflowPunct/>
              <w:topLinePunct w:val="0"/>
              <w:autoSpaceDE/>
              <w:autoSpaceDN/>
              <w:bidi w:val="0"/>
              <w:snapToGrid/>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根据专班验收通知，核对验收要求及进行材料准备；并参与验收专家评审，协助进行验收讲解、现场答辩等。</w:t>
            </w: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D5F54">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r>
      <w:tr w14:paraId="5E514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F1C8F">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695DC">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F869B">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一般设备对接</w:t>
            </w:r>
          </w:p>
        </w:tc>
        <w:tc>
          <w:tcPr>
            <w:tcW w:w="2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22B77">
            <w:pPr>
              <w:keepNext w:val="0"/>
              <w:keepLines w:val="0"/>
              <w:pageBreakBefore w:val="0"/>
              <w:widowControl/>
              <w:suppressLineNumbers w:val="0"/>
              <w:kinsoku/>
              <w:wordWrap/>
              <w:overflowPunct/>
              <w:topLinePunct w:val="0"/>
              <w:autoSpaceDE/>
              <w:autoSpaceDN/>
              <w:bidi w:val="0"/>
              <w:snapToGrid/>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对设备内设备数据进行上报，上报周期以"T+1"的台账方式进行报送</w:t>
            </w: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F96EF">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r>
      <w:tr w14:paraId="20D6B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1EE5A">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455B5">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BFC5F">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人流数据上报</w:t>
            </w:r>
          </w:p>
        </w:tc>
        <w:tc>
          <w:tcPr>
            <w:tcW w:w="2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8B56F">
            <w:pPr>
              <w:keepNext w:val="0"/>
              <w:keepLines w:val="0"/>
              <w:pageBreakBefore w:val="0"/>
              <w:widowControl/>
              <w:suppressLineNumbers w:val="0"/>
              <w:kinsoku/>
              <w:wordWrap/>
              <w:overflowPunct/>
              <w:topLinePunct w:val="0"/>
              <w:autoSpaceDE/>
              <w:autoSpaceDN/>
              <w:bidi w:val="0"/>
              <w:snapToGrid/>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通过在未来社区公共服务设施出入口部署人员通道或者人流监测相机等设施来统计出入空间的人流量，人流量数据汇聚在边缘接入平台，由社区智慧服务平台物联引擎和“浙里未来社区在线”省级人流量信息数据库或省物联引擎对接，可根据业务需求配置数据上报规则，要求具备按小时统计和上报人流量的基本能力。</w:t>
            </w: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B7795">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r>
      <w:tr w14:paraId="4989F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7DA24">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D1205">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CE0D6">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监控数据贯通</w:t>
            </w:r>
          </w:p>
        </w:tc>
        <w:tc>
          <w:tcPr>
            <w:tcW w:w="2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73EDF">
            <w:pPr>
              <w:keepNext w:val="0"/>
              <w:keepLines w:val="0"/>
              <w:pageBreakBefore w:val="0"/>
              <w:widowControl/>
              <w:suppressLineNumbers w:val="0"/>
              <w:kinsoku/>
              <w:wordWrap/>
              <w:overflowPunct/>
              <w:topLinePunct w:val="0"/>
              <w:autoSpaceDE/>
              <w:autoSpaceDN/>
              <w:bidi w:val="0"/>
              <w:snapToGrid/>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视频安防系统应支持公共区域监控功能，提供视频预览、回放接口，可获取摄像头视频流URL。</w:t>
            </w: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89DDF">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r>
      <w:tr w14:paraId="2E6BF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4760">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78A01">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8C3D5">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智慧通行（浙住通）</w:t>
            </w:r>
          </w:p>
        </w:tc>
        <w:tc>
          <w:tcPr>
            <w:tcW w:w="2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691C9">
            <w:pPr>
              <w:keepNext w:val="0"/>
              <w:keepLines w:val="0"/>
              <w:pageBreakBefore w:val="0"/>
              <w:widowControl/>
              <w:suppressLineNumbers w:val="0"/>
              <w:kinsoku/>
              <w:wordWrap/>
              <w:overflowPunct/>
              <w:topLinePunct w:val="0"/>
              <w:autoSpaceDE/>
              <w:autoSpaceDN/>
              <w:bidi w:val="0"/>
              <w:snapToGrid/>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通过产权核验确认业主和房屋的关联，核验通过后开通浙住通二维码。通过该二维码的展示，可以快速通过小区门禁，同时业主可将权限授权给家属、租户、访客等。</w:t>
            </w: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EAC64">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r>
      <w:tr w14:paraId="0945A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87606">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EC97B">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84411">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社区满意度</w:t>
            </w:r>
          </w:p>
        </w:tc>
        <w:tc>
          <w:tcPr>
            <w:tcW w:w="2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0588A">
            <w:pPr>
              <w:keepNext w:val="0"/>
              <w:keepLines w:val="0"/>
              <w:pageBreakBefore w:val="0"/>
              <w:widowControl/>
              <w:suppressLineNumbers w:val="0"/>
              <w:kinsoku/>
              <w:wordWrap/>
              <w:overflowPunct/>
              <w:topLinePunct w:val="0"/>
              <w:autoSpaceDE/>
              <w:autoSpaceDN/>
              <w:bidi w:val="0"/>
              <w:snapToGrid/>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预置浙江省未来社区满意度调查问卷，通过浙里办统一认证体系确保问卷调查数据安全保密；社区可通过管理后台查看问卷调查结果。</w:t>
            </w: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23C32">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r>
      <w:tr w14:paraId="4B031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6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76831">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6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121310">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社区与“浙里未来社区在线”重大应用物联、人房数据贯通</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B1052">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物联接入指导（接入区平台）</w:t>
            </w:r>
          </w:p>
        </w:tc>
        <w:tc>
          <w:tcPr>
            <w:tcW w:w="2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946CF">
            <w:pPr>
              <w:keepNext w:val="0"/>
              <w:keepLines w:val="0"/>
              <w:pageBreakBefore w:val="0"/>
              <w:widowControl/>
              <w:suppressLineNumbers w:val="0"/>
              <w:kinsoku/>
              <w:wordWrap/>
              <w:overflowPunct/>
              <w:topLinePunct w:val="0"/>
              <w:autoSpaceDE/>
              <w:autoSpaceDN/>
              <w:bidi w:val="0"/>
              <w:snapToGrid/>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配合并完成社区的视频、物联接入到全域未来社区软件平台。</w:t>
            </w:r>
          </w:p>
        </w:tc>
        <w:tc>
          <w:tcPr>
            <w:tcW w:w="37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729DE">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1项</w:t>
            </w:r>
          </w:p>
        </w:tc>
      </w:tr>
      <w:tr w14:paraId="45E32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370E5">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654C3">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42B68">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重大应用技术对接咨询</w:t>
            </w:r>
          </w:p>
        </w:tc>
        <w:tc>
          <w:tcPr>
            <w:tcW w:w="2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49AC6">
            <w:pPr>
              <w:keepNext w:val="0"/>
              <w:keepLines w:val="0"/>
              <w:pageBreakBefore w:val="0"/>
              <w:widowControl/>
              <w:suppressLineNumbers w:val="0"/>
              <w:kinsoku/>
              <w:wordWrap/>
              <w:overflowPunct/>
              <w:topLinePunct w:val="0"/>
              <w:autoSpaceDE/>
              <w:autoSpaceDN/>
              <w:bidi w:val="0"/>
              <w:snapToGrid/>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全程跟踪进行重大应用技术对接咨询服务。</w:t>
            </w: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2415C">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r>
      <w:tr w14:paraId="1E4BC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6362D">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B88BB">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539AD">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重大应用实施方案评估</w:t>
            </w:r>
          </w:p>
        </w:tc>
        <w:tc>
          <w:tcPr>
            <w:tcW w:w="2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AFB40">
            <w:pPr>
              <w:keepNext w:val="0"/>
              <w:keepLines w:val="0"/>
              <w:pageBreakBefore w:val="0"/>
              <w:widowControl/>
              <w:suppressLineNumbers w:val="0"/>
              <w:kinsoku/>
              <w:wordWrap/>
              <w:overflowPunct/>
              <w:topLinePunct w:val="0"/>
              <w:autoSpaceDE/>
              <w:autoSpaceDN/>
              <w:bidi w:val="0"/>
              <w:snapToGrid/>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结合社区现有数据与应用等数字化资源，评估重大应用实施方案，指导完善实施方案。</w:t>
            </w: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A2EEA">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r>
      <w:tr w14:paraId="0530D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2443E">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F6310">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20825">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重大应用数字化建设培训</w:t>
            </w:r>
          </w:p>
        </w:tc>
        <w:tc>
          <w:tcPr>
            <w:tcW w:w="2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C547C">
            <w:pPr>
              <w:keepNext w:val="0"/>
              <w:keepLines w:val="0"/>
              <w:pageBreakBefore w:val="0"/>
              <w:widowControl/>
              <w:suppressLineNumbers w:val="0"/>
              <w:kinsoku/>
              <w:wordWrap/>
              <w:overflowPunct/>
              <w:topLinePunct w:val="0"/>
              <w:autoSpaceDE/>
              <w:autoSpaceDN/>
              <w:bidi w:val="0"/>
              <w:snapToGrid/>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未来社区数字化建设内容与标准现场培训1场。</w:t>
            </w: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C5D40">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r>
      <w:tr w14:paraId="220C3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70EB0">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6DFD7">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2ACCF">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重大应用数字社会相关咨询</w:t>
            </w:r>
          </w:p>
        </w:tc>
        <w:tc>
          <w:tcPr>
            <w:tcW w:w="2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5B81A">
            <w:pPr>
              <w:keepNext w:val="0"/>
              <w:keepLines w:val="0"/>
              <w:pageBreakBefore w:val="0"/>
              <w:widowControl/>
              <w:suppressLineNumbers w:val="0"/>
              <w:kinsoku/>
              <w:wordWrap/>
              <w:overflowPunct/>
              <w:topLinePunct w:val="0"/>
              <w:autoSpaceDE/>
              <w:autoSpaceDN/>
              <w:bidi w:val="0"/>
              <w:snapToGrid/>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数字社会应用落地咨询。</w:t>
            </w: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59454">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r>
      <w:tr w14:paraId="7AAED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5A5AE">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4D633">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AC40E">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重大应用数据质量评估</w:t>
            </w:r>
          </w:p>
        </w:tc>
        <w:tc>
          <w:tcPr>
            <w:tcW w:w="2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A9E93">
            <w:pPr>
              <w:keepNext w:val="0"/>
              <w:keepLines w:val="0"/>
              <w:pageBreakBefore w:val="0"/>
              <w:widowControl/>
              <w:suppressLineNumbers w:val="0"/>
              <w:kinsoku/>
              <w:wordWrap/>
              <w:overflowPunct/>
              <w:topLinePunct w:val="0"/>
              <w:autoSpaceDE/>
              <w:autoSpaceDN/>
              <w:bidi w:val="0"/>
              <w:snapToGrid/>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对社区现有采集数据进行评估并反馈整改意见。</w:t>
            </w: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826E3">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r>
      <w:tr w14:paraId="46FBA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1F0E5">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78B1A">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FE72A">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数据治理</w:t>
            </w:r>
          </w:p>
        </w:tc>
        <w:tc>
          <w:tcPr>
            <w:tcW w:w="2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9ECAF">
            <w:pPr>
              <w:keepNext w:val="0"/>
              <w:keepLines w:val="0"/>
              <w:pageBreakBefore w:val="0"/>
              <w:widowControl/>
              <w:suppressLineNumbers w:val="0"/>
              <w:kinsoku/>
              <w:wordWrap/>
              <w:overflowPunct/>
              <w:topLinePunct w:val="0"/>
              <w:autoSpaceDE/>
              <w:autoSpaceDN/>
              <w:bidi w:val="0"/>
              <w:snapToGrid/>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数据比对映射：指导协助技术公司完善社区基础数据库，针对运营数据、基础数据、物联数据标准化映射改造，确保数据标准符合重大应用贯通要求。（不含数据线下收集工作)2.数据碰撞完善：利用AI房屋地址匹配等专用算法将归集数据与现有数据资源碰撞，减少摸排工作，预验证数据成效并完善基础数据。3.持续监测预警：对数据进行动态检测与优化分析，根据重大应用贯通与长效运营回头看要求，定期输出报告。</w:t>
            </w: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B13CB">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r>
      <w:tr w14:paraId="4DE3B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16E76">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8B2C0">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C2CA6">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物联接入</w:t>
            </w:r>
          </w:p>
        </w:tc>
        <w:tc>
          <w:tcPr>
            <w:tcW w:w="2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8A0F1">
            <w:pPr>
              <w:keepNext w:val="0"/>
              <w:keepLines w:val="0"/>
              <w:pageBreakBefore w:val="0"/>
              <w:widowControl/>
              <w:suppressLineNumbers w:val="0"/>
              <w:kinsoku/>
              <w:wordWrap/>
              <w:overflowPunct/>
              <w:topLinePunct w:val="0"/>
              <w:autoSpaceDE/>
              <w:autoSpaceDN/>
              <w:bidi w:val="0"/>
              <w:snapToGrid/>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对接视频监控数据，保障实时预览.对接门禁通行记录数据，保障及时归集。对接公共服务设施客流记录，保障数据稳定。</w:t>
            </w: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E1090">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r>
      <w:tr w14:paraId="67C15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D7714">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574BA">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03D17">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场景应用中心</w:t>
            </w:r>
          </w:p>
        </w:tc>
        <w:tc>
          <w:tcPr>
            <w:tcW w:w="2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375A9">
            <w:pPr>
              <w:keepNext w:val="0"/>
              <w:keepLines w:val="0"/>
              <w:pageBreakBefore w:val="0"/>
              <w:widowControl/>
              <w:suppressLineNumbers w:val="0"/>
              <w:kinsoku/>
              <w:wordWrap/>
              <w:overflowPunct/>
              <w:topLinePunct w:val="0"/>
              <w:autoSpaceDE/>
              <w:autoSpaceDN/>
              <w:bidi w:val="0"/>
              <w:snapToGrid/>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配合“浙里未来社区省重大应用”对接联调，承接浙住通、数字社会、满意度等省级应用的下发，完成对应应用登记，支持自建应用登记上架。</w:t>
            </w: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6373D">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r>
      <w:tr w14:paraId="26428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43262">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D37C1">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19084">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对接联调</w:t>
            </w:r>
          </w:p>
        </w:tc>
        <w:tc>
          <w:tcPr>
            <w:tcW w:w="2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6E57A">
            <w:pPr>
              <w:keepNext w:val="0"/>
              <w:keepLines w:val="0"/>
              <w:pageBreakBefore w:val="0"/>
              <w:widowControl/>
              <w:suppressLineNumbers w:val="0"/>
              <w:kinsoku/>
              <w:wordWrap/>
              <w:overflowPunct/>
              <w:topLinePunct w:val="0"/>
              <w:autoSpaceDE/>
              <w:autoSpaceDN/>
              <w:bidi w:val="0"/>
              <w:snapToGrid/>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智慧通行贯通配合实施联调。本地系统改造对接联调。</w:t>
            </w: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30869">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r>
      <w:tr w14:paraId="2DA43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6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E6C40">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6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CDFE2A">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汇宇社区软件系统应用建设</w:t>
            </w:r>
          </w:p>
        </w:tc>
        <w:tc>
          <w:tcPr>
            <w:tcW w:w="7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5F2A80">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汇宇运动100</w:t>
            </w:r>
          </w:p>
        </w:tc>
        <w:tc>
          <w:tcPr>
            <w:tcW w:w="2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AECBE">
            <w:pPr>
              <w:keepNext w:val="0"/>
              <w:keepLines w:val="0"/>
              <w:pageBreakBefore w:val="0"/>
              <w:widowControl/>
              <w:suppressLineNumbers w:val="0"/>
              <w:kinsoku/>
              <w:wordWrap/>
              <w:overflowPunct/>
              <w:topLinePunct w:val="0"/>
              <w:autoSpaceDE/>
              <w:autoSpaceDN/>
              <w:bidi w:val="0"/>
              <w:snapToGrid/>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居民步数排行:对接微信运动数据接口，展示居民的步数排行，对居民的运动信息进行反馈提示，培养居民运动习惯。</w:t>
            </w:r>
          </w:p>
        </w:tc>
        <w:tc>
          <w:tcPr>
            <w:tcW w:w="37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07EBB">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1项</w:t>
            </w:r>
          </w:p>
        </w:tc>
      </w:tr>
      <w:tr w14:paraId="15626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57FEF">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FF838">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4A31E">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2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5A701">
            <w:pPr>
              <w:keepNext w:val="0"/>
              <w:keepLines w:val="0"/>
              <w:pageBreakBefore w:val="0"/>
              <w:widowControl/>
              <w:suppressLineNumbers w:val="0"/>
              <w:kinsoku/>
              <w:wordWrap/>
              <w:overflowPunct/>
              <w:topLinePunct w:val="0"/>
              <w:autoSpaceDE/>
              <w:autoSpaceDN/>
              <w:bidi w:val="0"/>
              <w:snapToGrid/>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荣誉激励:对排名靠前的居民发布荣誉称号，让居民获得精神激励，激发居民热情。</w:t>
            </w: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34543">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r>
      <w:tr w14:paraId="32747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FD3A2">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2462E">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884C0">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2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8DE5D">
            <w:pPr>
              <w:keepNext w:val="0"/>
              <w:keepLines w:val="0"/>
              <w:pageBreakBefore w:val="0"/>
              <w:widowControl/>
              <w:suppressLineNumbers w:val="0"/>
              <w:kinsoku/>
              <w:wordWrap/>
              <w:overflowPunct/>
              <w:topLinePunct w:val="0"/>
              <w:autoSpaceDE/>
              <w:autoSpaceDN/>
              <w:bidi w:val="0"/>
              <w:snapToGrid/>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积分奖励:对接积分系统，设置积分奖励规则，对运动量达标的居民进行积分奖励，增加趣味性。</w:t>
            </w: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D00AC">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r>
      <w:tr w14:paraId="49E63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6C2AB">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B2148">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7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F46D39">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邻里社群</w:t>
            </w:r>
          </w:p>
        </w:tc>
        <w:tc>
          <w:tcPr>
            <w:tcW w:w="2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83529">
            <w:pPr>
              <w:keepNext w:val="0"/>
              <w:keepLines w:val="0"/>
              <w:pageBreakBefore w:val="0"/>
              <w:widowControl/>
              <w:suppressLineNumbers w:val="0"/>
              <w:kinsoku/>
              <w:wordWrap/>
              <w:overflowPunct/>
              <w:topLinePunct w:val="0"/>
              <w:autoSpaceDE/>
              <w:autoSpaceDN/>
              <w:bidi w:val="0"/>
              <w:snapToGrid/>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社群组建:支持达到权限标准的用户群体根据兴趣爱好特点申请加入或自行创建各类社群，供同爱好的用户群汇集交流。支持管理人员设定社群组建管理与审核权限。</w:t>
            </w:r>
          </w:p>
        </w:tc>
        <w:tc>
          <w:tcPr>
            <w:tcW w:w="37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5466E">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1项</w:t>
            </w:r>
          </w:p>
        </w:tc>
      </w:tr>
      <w:tr w14:paraId="26BAE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822B1">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146C6">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36F2A">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2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B0BDF">
            <w:pPr>
              <w:keepNext w:val="0"/>
              <w:keepLines w:val="0"/>
              <w:pageBreakBefore w:val="0"/>
              <w:widowControl/>
              <w:suppressLineNumbers w:val="0"/>
              <w:kinsoku/>
              <w:wordWrap/>
              <w:overflowPunct/>
              <w:topLinePunct w:val="0"/>
              <w:autoSpaceDE/>
              <w:autoSpaceDN/>
              <w:bidi w:val="0"/>
              <w:snapToGrid/>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兴趣标签:支持管理人员设定社群可拓展的兴趣爱好标签，支持移动端用户创建社群时勾选或自定义标签并发送管理审核的权限。</w:t>
            </w: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C9CA7">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r>
      <w:tr w14:paraId="4575D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87778">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DA99B">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FB72F">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2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6A6D1">
            <w:pPr>
              <w:keepNext w:val="0"/>
              <w:keepLines w:val="0"/>
              <w:pageBreakBefore w:val="0"/>
              <w:widowControl/>
              <w:suppressLineNumbers w:val="0"/>
              <w:kinsoku/>
              <w:wordWrap/>
              <w:overflowPunct/>
              <w:topLinePunct w:val="0"/>
              <w:autoSpaceDE/>
              <w:autoSpaceDN/>
              <w:bidi w:val="0"/>
              <w:snapToGrid/>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社群活动:支持社长在线发起活动并经管理员审核后上架，支持入群成员在线活动报名、留言、参加，报名后获得二维码，社长拥有二维码验证签到核销功能。</w:t>
            </w: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A5ED0">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r>
      <w:tr w14:paraId="029C6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DE797">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E4C7A">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2D21D">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2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76409">
            <w:pPr>
              <w:keepNext w:val="0"/>
              <w:keepLines w:val="0"/>
              <w:pageBreakBefore w:val="0"/>
              <w:widowControl/>
              <w:suppressLineNumbers w:val="0"/>
              <w:kinsoku/>
              <w:wordWrap/>
              <w:overflowPunct/>
              <w:topLinePunct w:val="0"/>
              <w:autoSpaceDE/>
              <w:autoSpaceDN/>
              <w:bidi w:val="0"/>
              <w:snapToGrid/>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社群banner:支持管理员维护社群首页的banner，发布现有社群的热门活动广告位，点击后快捷浏览、参加活动。</w:t>
            </w: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7DDEB">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r>
      <w:tr w14:paraId="31360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F5E13">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69A3F">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3AF34">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2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1701F">
            <w:pPr>
              <w:keepNext w:val="0"/>
              <w:keepLines w:val="0"/>
              <w:pageBreakBefore w:val="0"/>
              <w:widowControl/>
              <w:suppressLineNumbers w:val="0"/>
              <w:kinsoku/>
              <w:wordWrap/>
              <w:overflowPunct/>
              <w:topLinePunct w:val="0"/>
              <w:autoSpaceDE/>
              <w:autoSpaceDN/>
              <w:bidi w:val="0"/>
              <w:snapToGrid/>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社长权限:支持社群社长自定义社群及信息编辑维护，支持成员维护及入群申请管理，支持活动发布及管理、核销等。</w:t>
            </w: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9D09F">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r>
      <w:tr w14:paraId="27D5F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F1F11">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F9904">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7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31617D">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托育安心陪</w:t>
            </w:r>
          </w:p>
        </w:tc>
        <w:tc>
          <w:tcPr>
            <w:tcW w:w="2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FA543">
            <w:pPr>
              <w:keepNext w:val="0"/>
              <w:keepLines w:val="0"/>
              <w:pageBreakBefore w:val="0"/>
              <w:widowControl/>
              <w:suppressLineNumbers w:val="0"/>
              <w:kinsoku/>
              <w:wordWrap/>
              <w:overflowPunct/>
              <w:topLinePunct w:val="0"/>
              <w:autoSpaceDE/>
              <w:autoSpaceDN/>
              <w:bidi w:val="0"/>
              <w:snapToGrid/>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机构认证:用户在移动端发起创建机构，填写包括机构名称、门店简介、场地照片、营业执照等信息提交后台认证。</w:t>
            </w:r>
          </w:p>
        </w:tc>
        <w:tc>
          <w:tcPr>
            <w:tcW w:w="37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3A816">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1项</w:t>
            </w:r>
          </w:p>
        </w:tc>
      </w:tr>
      <w:tr w14:paraId="28596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8D142">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71D45">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1BB15">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2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B1F8E">
            <w:pPr>
              <w:keepNext w:val="0"/>
              <w:keepLines w:val="0"/>
              <w:pageBreakBefore w:val="0"/>
              <w:widowControl/>
              <w:suppressLineNumbers w:val="0"/>
              <w:kinsoku/>
              <w:wordWrap/>
              <w:overflowPunct/>
              <w:topLinePunct w:val="0"/>
              <w:autoSpaceDE/>
              <w:autoSpaceDN/>
              <w:bidi w:val="0"/>
              <w:snapToGrid/>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发布托位:移动端发起创建午托、晚托等多类型课程，设置课程名称、招生对象等基础信息，课程提交后由后台管理员审批。</w:t>
            </w: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E8DFB">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r>
      <w:tr w14:paraId="2E0A0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EE0B6">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6CB58">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ED0CA">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2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AF804">
            <w:pPr>
              <w:keepNext w:val="0"/>
              <w:keepLines w:val="0"/>
              <w:pageBreakBefore w:val="0"/>
              <w:widowControl/>
              <w:suppressLineNumbers w:val="0"/>
              <w:kinsoku/>
              <w:wordWrap/>
              <w:overflowPunct/>
              <w:topLinePunct w:val="0"/>
              <w:autoSpaceDE/>
              <w:autoSpaceDN/>
              <w:bidi w:val="0"/>
              <w:snapToGrid/>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视频监控查看:家长可通过未来社区居民端申请托育场所的监控视频，管理人员可在后台进行权限审核，审核通过后，家长可在手机上随时查看实时视频。</w:t>
            </w: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EC970">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r>
      <w:tr w14:paraId="1F8FD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E1C72">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002E5">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A1834">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立定跳远算法模块</w:t>
            </w:r>
          </w:p>
        </w:tc>
        <w:tc>
          <w:tcPr>
            <w:tcW w:w="2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3B191">
            <w:pPr>
              <w:keepNext w:val="0"/>
              <w:keepLines w:val="0"/>
              <w:pageBreakBefore w:val="0"/>
              <w:widowControl/>
              <w:suppressLineNumbers w:val="0"/>
              <w:kinsoku/>
              <w:wordWrap/>
              <w:overflowPunct/>
              <w:topLinePunct w:val="0"/>
              <w:autoSpaceDE/>
              <w:autoSpaceDN/>
              <w:bidi w:val="0"/>
              <w:snapToGrid/>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1.成绩自动检测：有效跳远距离</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2.违规智能识别：踩线（可实时进行语音干预提醒）</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3.支持自由练习模式下作弊行为检测，作弊成绩无效</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4.运动处方报告：对起跳角度、摆臂幅度、平均速度、腾空时间、腾空高度、屈膝角度等生成运动处方报告，并对指标进行分析，给予点评与建议</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5.实时响应速度：≤1.5s</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6.项目成绩误差：≤1cm</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CED04">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1项</w:t>
            </w:r>
          </w:p>
        </w:tc>
      </w:tr>
      <w:tr w14:paraId="65AD3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A03A3">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149BE">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5F7C9">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跳绳算法模块</w:t>
            </w:r>
          </w:p>
        </w:tc>
        <w:tc>
          <w:tcPr>
            <w:tcW w:w="2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4E43D">
            <w:pPr>
              <w:keepNext w:val="0"/>
              <w:keepLines w:val="0"/>
              <w:pageBreakBefore w:val="0"/>
              <w:widowControl/>
              <w:suppressLineNumbers w:val="0"/>
              <w:kinsoku/>
              <w:wordWrap/>
              <w:overflowPunct/>
              <w:topLinePunct w:val="0"/>
              <w:autoSpaceDE/>
              <w:autoSpaceDN/>
              <w:bidi w:val="0"/>
              <w:snapToGrid/>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1.成绩自动检测：有效跳绳个数计数</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2.运动处方报告：对平均速度（次/秒）、大臂夹角等生成运动处方报告，并对指标进行分析，给予点评与建议</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3.同测人数：支持4-10人同时测试</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4.实时响应速度：≤1.5s</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5.项目成绩误差：跳绳个数差距在3%以内</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F7191">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1项</w:t>
            </w:r>
          </w:p>
        </w:tc>
      </w:tr>
      <w:tr w14:paraId="38D36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ADE9">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ABF2B">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CF538">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AI体育评测软件系统</w:t>
            </w:r>
          </w:p>
        </w:tc>
        <w:tc>
          <w:tcPr>
            <w:tcW w:w="2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2EC95">
            <w:pPr>
              <w:keepNext w:val="0"/>
              <w:keepLines w:val="0"/>
              <w:pageBreakBefore w:val="0"/>
              <w:widowControl/>
              <w:suppressLineNumbers w:val="0"/>
              <w:kinsoku/>
              <w:wordWrap/>
              <w:overflowPunct/>
              <w:topLinePunct w:val="0"/>
              <w:autoSpaceDE/>
              <w:autoSpaceDN/>
              <w:bidi w:val="0"/>
              <w:snapToGrid/>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1.具备快速测试、随堂测试、国家体测、自由练习四大功能模块；</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2.支持PC端、Pad端、手机端登录智慧体育管理平台，可操作系统平台开展测试；</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3.支持个人体测成绩分析及汇总；</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4.支持信息管理、测试数据报表导出、体测功能设置；</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5.支持测试视频存储与测试数据分析服务；</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6.支持基于不同权限分别开通管理账号，分层分级管理；</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7.支持基于个人的运动锻炼数据分析、展示与导出；</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8.支持立定跳远、仰卧起坐、引体向上、实心球、铅球、跑步类（50/100米、800/1000米）、跳绳、足球、篮球、排球测试等运动项目；</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包含智慧体育校级大数据平台：</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可查看基础数据，包含次数、参与人数、项目数、AI智慧体育项目使用量排行；</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可查看体质档案，包含运动档案、体测档案;</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可查看测试数据，包含测试记录、成绩下载、成绩分析报告等。</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F8D91">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1项</w:t>
            </w:r>
          </w:p>
        </w:tc>
      </w:tr>
      <w:tr w14:paraId="7BB4B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FF526">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B995A">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A9544">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客流分析模块</w:t>
            </w:r>
          </w:p>
        </w:tc>
        <w:tc>
          <w:tcPr>
            <w:tcW w:w="2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0608B">
            <w:pPr>
              <w:keepNext w:val="0"/>
              <w:keepLines w:val="0"/>
              <w:pageBreakBefore w:val="0"/>
              <w:widowControl/>
              <w:suppressLineNumbers w:val="0"/>
              <w:kinsoku/>
              <w:wordWrap/>
              <w:overflowPunct/>
              <w:topLinePunct w:val="0"/>
              <w:autoSpaceDE/>
              <w:autoSpaceDN/>
              <w:bidi w:val="0"/>
              <w:snapToGrid/>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1、支持区域管理和区域卡片展示；</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2、支持实时、历史进出客流、累计客流、客流占比的统计与导出；</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3、支持区域客流冷热分布图及排名展示；</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4、支持区域离岗检测、区域人数上限/下限检测、计划人数不符检测及报警联动；</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5、支持移动端展示区域客流分布分析；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4CF69">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1项</w:t>
            </w:r>
          </w:p>
        </w:tc>
      </w:tr>
      <w:tr w14:paraId="3ADC4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6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67DC2">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6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62E19C">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与汇宇社区已有数字化应用对接</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69B40">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邻里治应用集成对接</w:t>
            </w:r>
          </w:p>
        </w:tc>
        <w:tc>
          <w:tcPr>
            <w:tcW w:w="2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04DD7">
            <w:pPr>
              <w:keepNext w:val="0"/>
              <w:keepLines w:val="0"/>
              <w:pageBreakBefore w:val="0"/>
              <w:widowControl/>
              <w:suppressLineNumbers w:val="0"/>
              <w:kinsoku/>
              <w:wordWrap/>
              <w:overflowPunct/>
              <w:topLinePunct w:val="0"/>
              <w:autoSpaceDE/>
              <w:autoSpaceDN/>
              <w:bidi w:val="0"/>
              <w:snapToGrid/>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对接邻里治应用，集成到汇宇未来社区平台。</w:t>
            </w:r>
          </w:p>
        </w:tc>
        <w:tc>
          <w:tcPr>
            <w:tcW w:w="37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1439C">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1项</w:t>
            </w:r>
          </w:p>
        </w:tc>
      </w:tr>
      <w:tr w14:paraId="697D2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F79C6">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06253">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67038">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防汛数字孪生平台集成对接</w:t>
            </w:r>
          </w:p>
        </w:tc>
        <w:tc>
          <w:tcPr>
            <w:tcW w:w="2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5ED84">
            <w:pPr>
              <w:keepNext w:val="0"/>
              <w:keepLines w:val="0"/>
              <w:pageBreakBefore w:val="0"/>
              <w:widowControl/>
              <w:suppressLineNumbers w:val="0"/>
              <w:kinsoku/>
              <w:wordWrap/>
              <w:overflowPunct/>
              <w:topLinePunct w:val="0"/>
              <w:autoSpaceDE/>
              <w:autoSpaceDN/>
              <w:bidi w:val="0"/>
              <w:snapToGrid/>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对接防汛数字孪生平台，集成到汇宇未来社区平台。</w:t>
            </w: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312FC">
            <w:pPr>
              <w:keepNext w:val="0"/>
              <w:keepLines w:val="0"/>
              <w:pageBreakBefore w:val="0"/>
              <w:widowControl/>
              <w:kinsoku/>
              <w:wordWrap/>
              <w:overflowPunct/>
              <w:topLinePunct w:val="0"/>
              <w:autoSpaceDE/>
              <w:autoSpaceDN/>
              <w:bidi w:val="0"/>
              <w:snapToGrid/>
              <w:jc w:val="center"/>
              <w:rPr>
                <w:rFonts w:hint="eastAsia" w:ascii="仿宋" w:hAnsi="仿宋" w:eastAsia="仿宋" w:cs="仿宋"/>
                <w:i w:val="0"/>
                <w:iCs w:val="0"/>
                <w:color w:val="auto"/>
                <w:sz w:val="21"/>
                <w:szCs w:val="21"/>
                <w:highlight w:val="none"/>
                <w:u w:val="none"/>
              </w:rPr>
            </w:pPr>
          </w:p>
        </w:tc>
      </w:tr>
      <w:tr w14:paraId="05937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168F5">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D200F">
            <w:pPr>
              <w:keepNext w:val="0"/>
              <w:keepLines w:val="0"/>
              <w:pageBreakBefore w:val="0"/>
              <w:widowControl/>
              <w:suppressLineNumbers w:val="0"/>
              <w:kinsoku/>
              <w:wordWrap/>
              <w:overflowPunct/>
              <w:topLinePunct w:val="0"/>
              <w:autoSpaceDE/>
              <w:autoSpaceDN/>
              <w:bidi w:val="0"/>
              <w:snapToGrid/>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二级等保测评</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7980F">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二级等保测评</w:t>
            </w:r>
          </w:p>
        </w:tc>
        <w:tc>
          <w:tcPr>
            <w:tcW w:w="2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99230">
            <w:pPr>
              <w:keepNext w:val="0"/>
              <w:keepLines w:val="0"/>
              <w:pageBreakBefore w:val="0"/>
              <w:widowControl/>
              <w:suppressLineNumbers w:val="0"/>
              <w:kinsoku/>
              <w:wordWrap/>
              <w:overflowPunct/>
              <w:topLinePunct w:val="0"/>
              <w:autoSpaceDE/>
              <w:autoSpaceDN/>
              <w:bidi w:val="0"/>
              <w:snapToGrid/>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二级等保测评。</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00B37">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1次</w:t>
            </w:r>
          </w:p>
        </w:tc>
      </w:tr>
      <w:tr w14:paraId="3E83B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0AF78">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855AC">
            <w:pPr>
              <w:keepNext w:val="0"/>
              <w:keepLines w:val="0"/>
              <w:pageBreakBefore w:val="0"/>
              <w:widowControl/>
              <w:suppressLineNumbers w:val="0"/>
              <w:kinsoku/>
              <w:wordWrap/>
              <w:overflowPunct/>
              <w:topLinePunct w:val="0"/>
              <w:autoSpaceDE/>
              <w:autoSpaceDN/>
              <w:bidi w:val="0"/>
              <w:snapToGrid/>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软件测评</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61ED1">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软件测评</w:t>
            </w:r>
          </w:p>
        </w:tc>
        <w:tc>
          <w:tcPr>
            <w:tcW w:w="2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006AF">
            <w:pPr>
              <w:keepNext w:val="0"/>
              <w:keepLines w:val="0"/>
              <w:pageBreakBefore w:val="0"/>
              <w:widowControl/>
              <w:suppressLineNumbers w:val="0"/>
              <w:kinsoku/>
              <w:wordWrap/>
              <w:overflowPunct/>
              <w:topLinePunct w:val="0"/>
              <w:autoSpaceDE/>
              <w:autoSpaceDN/>
              <w:bidi w:val="0"/>
              <w:snapToGrid/>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软件测评。</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53BF2">
            <w:pPr>
              <w:keepNext w:val="0"/>
              <w:keepLines w:val="0"/>
              <w:pageBreakBefore w:val="0"/>
              <w:widowControl/>
              <w:suppressLineNumbers w:val="0"/>
              <w:kinsoku/>
              <w:wordWrap/>
              <w:overflowPunct/>
              <w:topLinePunct w:val="0"/>
              <w:autoSpaceDE/>
              <w:autoSpaceDN/>
              <w:bidi w:val="0"/>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1次</w:t>
            </w:r>
          </w:p>
        </w:tc>
      </w:tr>
    </w:tbl>
    <w:p w14:paraId="2DC41C54">
      <w:pPr>
        <w:bidi w:val="0"/>
        <w:rPr>
          <w:rFonts w:hint="eastAsia"/>
          <w:color w:val="auto"/>
          <w:highlight w:val="none"/>
          <w:lang w:eastAsia="zh-CN"/>
        </w:rPr>
      </w:pPr>
    </w:p>
    <w:p w14:paraId="2A1B5239">
      <w:pPr>
        <w:keepNext w:val="0"/>
        <w:keepLines w:val="0"/>
        <w:pageBreakBefore w:val="0"/>
        <w:widowControl/>
        <w:suppressLineNumbers w:val="0"/>
        <w:kinsoku/>
        <w:wordWrap/>
        <w:overflowPunct/>
        <w:topLinePunct w:val="0"/>
        <w:autoSpaceDE/>
        <w:autoSpaceDN/>
        <w:bidi w:val="0"/>
        <w:adjustRightInd/>
        <w:snapToGrid w:val="0"/>
        <w:spacing w:after="0" w:line="360" w:lineRule="auto"/>
        <w:ind w:firstLine="422" w:firstLineChars="200"/>
        <w:jc w:val="left"/>
        <w:textAlignment w:val="center"/>
        <w:rPr>
          <w:rFonts w:hint="eastAsia" w:ascii="仿宋" w:hAnsi="仿宋" w:eastAsia="仿宋" w:cs="仿宋"/>
          <w:color w:val="auto"/>
          <w:highlight w:val="none"/>
          <w:lang w:val="en-US" w:eastAsia="zh-CN"/>
        </w:rPr>
      </w:pPr>
      <w:r>
        <w:rPr>
          <w:rFonts w:hint="eastAsia" w:ascii="宋体" w:hAnsi="宋体" w:eastAsia="宋体" w:cs="宋体"/>
          <w:b/>
          <w:bCs/>
          <w:i w:val="0"/>
          <w:iCs w:val="0"/>
          <w:color w:val="auto"/>
          <w:sz w:val="21"/>
          <w:szCs w:val="21"/>
          <w:highlight w:val="none"/>
          <w:u w:val="none"/>
          <w:lang w:val="en-US" w:eastAsia="zh-CN"/>
        </w:rPr>
        <w:t>请投标人在报价前仔细、充分了解采购需求。本项目为一次性报价，包含投标人完成本项目所需的一切费用。具体包括货物报价和标准附件、备品备件、专用工具、运输、装卸、保险、安装调试、检测、培训、验收合格、技术支持、售后服务、质保期维护所需的各种费用以及必要的保险费用和各项税金等所有费用的总和，今后不作调整。</w:t>
      </w:r>
    </w:p>
    <w:p w14:paraId="0884F0E6">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▲强制采购节能产品清单：采购人拟采购的产品属于政府强制采购的节能产品品目清单范围的，提供国家确定的认证机构出具的、处于有效期之内的节能产品认证证书。清单如下：</w:t>
      </w:r>
    </w:p>
    <w:tbl>
      <w:tblPr>
        <w:tblStyle w:val="6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1444"/>
        <w:gridCol w:w="5320"/>
        <w:gridCol w:w="1551"/>
      </w:tblGrid>
      <w:tr w14:paraId="067EE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000" w:type="pct"/>
            <w:gridSpan w:val="4"/>
            <w:vAlign w:val="center"/>
          </w:tcPr>
          <w:p w14:paraId="57763929">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vertAlign w:val="baseline"/>
                <w:lang w:val="en-US" w:eastAsia="zh-CN"/>
              </w:rPr>
              <w:t>强制采购节能产品清单</w:t>
            </w:r>
          </w:p>
        </w:tc>
      </w:tr>
      <w:tr w14:paraId="59B59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21" w:type="pct"/>
            <w:vAlign w:val="center"/>
          </w:tcPr>
          <w:p w14:paraId="77D6A103">
            <w:pPr>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rPr>
              <w:t>序号</w:t>
            </w:r>
          </w:p>
        </w:tc>
        <w:tc>
          <w:tcPr>
            <w:tcW w:w="778" w:type="pct"/>
            <w:vAlign w:val="center"/>
          </w:tcPr>
          <w:p w14:paraId="04FEF00E">
            <w:pPr>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rPr>
              <w:t>名称</w:t>
            </w:r>
          </w:p>
        </w:tc>
        <w:tc>
          <w:tcPr>
            <w:tcW w:w="2866" w:type="pct"/>
            <w:vAlign w:val="center"/>
          </w:tcPr>
          <w:p w14:paraId="6E6238BC">
            <w:pPr>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rPr>
              <w:t>简要规格描述</w:t>
            </w:r>
          </w:p>
        </w:tc>
        <w:tc>
          <w:tcPr>
            <w:tcW w:w="833" w:type="pct"/>
            <w:vAlign w:val="center"/>
          </w:tcPr>
          <w:p w14:paraId="127F4170">
            <w:pPr>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备注</w:t>
            </w:r>
          </w:p>
        </w:tc>
      </w:tr>
      <w:tr w14:paraId="3FAF9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pct"/>
            <w:vAlign w:val="center"/>
          </w:tcPr>
          <w:p w14:paraId="2C539FFA">
            <w:pPr>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w:t>
            </w:r>
          </w:p>
        </w:tc>
        <w:tc>
          <w:tcPr>
            <w:tcW w:w="778" w:type="pct"/>
            <w:vAlign w:val="center"/>
          </w:tcPr>
          <w:p w14:paraId="5538E2AD">
            <w:pPr>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智能会议设备</w:t>
            </w:r>
          </w:p>
        </w:tc>
        <w:tc>
          <w:tcPr>
            <w:tcW w:w="2866" w:type="pct"/>
            <w:vAlign w:val="top"/>
          </w:tcPr>
          <w:p w14:paraId="35C138BC">
            <w:pP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lang w:eastAsia="zh-Hans"/>
              </w:rPr>
              <w:t>二、</w:t>
            </w:r>
            <w:r>
              <w:rPr>
                <w:rFonts w:hint="eastAsia" w:ascii="仿宋" w:hAnsi="仿宋" w:eastAsia="仿宋" w:cs="仿宋"/>
                <w:color w:val="auto"/>
                <w:sz w:val="21"/>
                <w:szCs w:val="21"/>
                <w:highlight w:val="none"/>
              </w:rPr>
              <w:t>招标需求-1、技术需求序号</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21</w:t>
            </w:r>
          </w:p>
        </w:tc>
        <w:tc>
          <w:tcPr>
            <w:tcW w:w="833" w:type="pct"/>
            <w:vAlign w:val="center"/>
          </w:tcPr>
          <w:p w14:paraId="62A40B88">
            <w:pPr>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w:t>
            </w:r>
          </w:p>
        </w:tc>
      </w:tr>
      <w:tr w14:paraId="6A3BA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pct"/>
            <w:vAlign w:val="center"/>
          </w:tcPr>
          <w:p w14:paraId="1D2B24F1">
            <w:pPr>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w:t>
            </w:r>
          </w:p>
        </w:tc>
        <w:tc>
          <w:tcPr>
            <w:tcW w:w="778" w:type="pct"/>
            <w:vAlign w:val="center"/>
          </w:tcPr>
          <w:p w14:paraId="0506D740">
            <w:pPr>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控制终端</w:t>
            </w:r>
          </w:p>
        </w:tc>
        <w:tc>
          <w:tcPr>
            <w:tcW w:w="2866" w:type="pct"/>
            <w:vAlign w:val="top"/>
          </w:tcPr>
          <w:p w14:paraId="0BEAC77E">
            <w:pP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Hans"/>
              </w:rPr>
              <w:t>二、</w:t>
            </w:r>
            <w:r>
              <w:rPr>
                <w:rFonts w:hint="eastAsia" w:ascii="仿宋" w:hAnsi="仿宋" w:eastAsia="仿宋" w:cs="仿宋"/>
                <w:color w:val="auto"/>
                <w:sz w:val="21"/>
                <w:szCs w:val="21"/>
                <w:highlight w:val="none"/>
              </w:rPr>
              <w:t>招标需求-1、技术需求序号</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23</w:t>
            </w:r>
          </w:p>
        </w:tc>
        <w:tc>
          <w:tcPr>
            <w:tcW w:w="833" w:type="pct"/>
            <w:vAlign w:val="center"/>
          </w:tcPr>
          <w:p w14:paraId="2F6C36B4">
            <w:pPr>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w:t>
            </w:r>
          </w:p>
        </w:tc>
      </w:tr>
    </w:tbl>
    <w:p w14:paraId="2AA850B1">
      <w:pPr>
        <w:rPr>
          <w:rFonts w:hint="eastAsia" w:ascii="仿宋" w:hAnsi="仿宋" w:eastAsia="仿宋" w:cs="仿宋"/>
          <w:color w:val="auto"/>
          <w:highlight w:val="none"/>
          <w:lang w:val="en-US" w:eastAsia="zh-CN"/>
        </w:rPr>
      </w:pPr>
    </w:p>
    <w:p w14:paraId="06D36DB7">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2、实施要求</w:t>
      </w:r>
      <w:r>
        <w:rPr>
          <w:rFonts w:hint="eastAsia" w:ascii="仿宋" w:hAnsi="仿宋" w:eastAsia="仿宋" w:cs="仿宋"/>
          <w:color w:val="auto"/>
          <w:sz w:val="21"/>
          <w:szCs w:val="21"/>
          <w:highlight w:val="none"/>
        </w:rPr>
        <w:t>：</w:t>
      </w:r>
    </w:p>
    <w:p w14:paraId="489681B5">
      <w:pPr>
        <w:pStyle w:val="25"/>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（1）服务期：</w:t>
      </w:r>
    </w:p>
    <w:p w14:paraId="67CF3E6C">
      <w:pPr>
        <w:pStyle w:val="25"/>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需在合同签订后2个月内完成设备供货、安装、调试和数据对接等工作，并通过验收，</w:t>
      </w:r>
      <w:r>
        <w:rPr>
          <w:rFonts w:hint="eastAsia" w:ascii="仿宋" w:hAnsi="仿宋" w:eastAsia="仿宋" w:cs="仿宋"/>
          <w:b w:val="0"/>
          <w:bCs w:val="0"/>
          <w:color w:val="auto"/>
          <w:kern w:val="2"/>
          <w:sz w:val="21"/>
          <w:szCs w:val="21"/>
          <w:highlight w:val="none"/>
          <w:lang w:val="en-US" w:eastAsia="zh-CN" w:bidi="ar"/>
        </w:rPr>
        <w:t>本项目服务期为自竣工验收之日起3年</w:t>
      </w:r>
      <w:r>
        <w:rPr>
          <w:rFonts w:hint="eastAsia" w:ascii="仿宋" w:hAnsi="仿宋" w:eastAsia="仿宋" w:cs="仿宋"/>
          <w:color w:val="auto"/>
          <w:sz w:val="21"/>
          <w:szCs w:val="21"/>
          <w:highlight w:val="none"/>
          <w:lang w:val="en-US" w:eastAsia="zh-CN"/>
        </w:rPr>
        <w:t>。</w:t>
      </w:r>
    </w:p>
    <w:p w14:paraId="4E9E605C">
      <w:pPr>
        <w:pStyle w:val="25"/>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（3）服务要求：</w:t>
      </w:r>
    </w:p>
    <w:p w14:paraId="1A68D11C">
      <w:pPr>
        <w:pStyle w:val="2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20" w:leftChars="0"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1）乙方应负责对所采购的硬件进行平台接口开发对接及联调测试，并按照未来社区验收标准将相关设备数据推送至区统一社区物联引擎平台及浙江省未来社区平台，所产生的费用须包含在报价内。</w:t>
      </w:r>
    </w:p>
    <w:p w14:paraId="6D7966E3">
      <w:pPr>
        <w:pStyle w:val="2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20" w:leftChars="0"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2）乙方所采购的硬件应符合甲方要求，能按实施方案要求与未来社区数字化平台或相关软件平台进行数据互通。</w:t>
      </w:r>
    </w:p>
    <w:p w14:paraId="38C0AAC7">
      <w:pPr>
        <w:pStyle w:val="2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firstLine="840" w:firstLineChars="4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3）售后服务：</w:t>
      </w:r>
    </w:p>
    <w:p w14:paraId="66D531EA">
      <w:pPr>
        <w:pStyle w:val="2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
        </w:rPr>
        <w:t>中标人对本项目提供自竣工验收通过之日起3年的售后服务。</w:t>
      </w:r>
      <w:r>
        <w:rPr>
          <w:rFonts w:hint="eastAsia" w:ascii="仿宋" w:hAnsi="仿宋" w:eastAsia="仿宋" w:cs="仿宋"/>
          <w:color w:val="auto"/>
          <w:sz w:val="21"/>
          <w:szCs w:val="21"/>
          <w:highlight w:val="none"/>
          <w:lang w:val="en-US" w:eastAsia="zh-CN"/>
        </w:rPr>
        <w:t>中标人针对本项目需提供7×24小时服务，在接到故障申报后，必须做到2小时内响应，8小时到达现场，24小时以内解决问题。</w:t>
      </w:r>
    </w:p>
    <w:p w14:paraId="193B1683">
      <w:pPr>
        <w:pStyle w:val="25"/>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（4）培训：</w:t>
      </w:r>
    </w:p>
    <w:p w14:paraId="3B326F67">
      <w:pPr>
        <w:pStyle w:val="2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在本项目服务期内，在项目正式运行后，需提根据用户的实际需求提供相应的系统培训；投标人需提供现场培训服务，并在培训前提供具体的培训方案。培训方案中需详细描述培训内容、人数、时间、地点，培训的材料由投标方负责解决。</w:t>
      </w:r>
    </w:p>
    <w:p w14:paraId="2F2575DA">
      <w:pPr>
        <w:spacing w:line="360" w:lineRule="auto"/>
        <w:rPr>
          <w:rFonts w:hint="eastAsia" w:ascii="仿宋" w:hAnsi="仿宋" w:eastAsia="仿宋" w:cs="仿宋"/>
          <w:color w:val="auto"/>
          <w:sz w:val="21"/>
          <w:szCs w:val="21"/>
          <w:highlight w:val="none"/>
          <w:lang w:val="en-US" w:eastAsia="zh-CN"/>
        </w:rPr>
      </w:pPr>
    </w:p>
    <w:p w14:paraId="3DFB6AB0">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3、商务要求</w:t>
      </w:r>
      <w:r>
        <w:rPr>
          <w:rFonts w:hint="eastAsia" w:ascii="仿宋" w:hAnsi="仿宋" w:eastAsia="仿宋" w:cs="仿宋"/>
          <w:color w:val="auto"/>
          <w:sz w:val="21"/>
          <w:szCs w:val="21"/>
          <w:highlight w:val="none"/>
        </w:rPr>
        <w:t>：</w:t>
      </w:r>
    </w:p>
    <w:p w14:paraId="2478E48E">
      <w:pPr>
        <w:pStyle w:val="2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（1）付款条件：</w:t>
      </w:r>
    </w:p>
    <w:p w14:paraId="5297E235">
      <w:pPr>
        <w:pStyle w:val="25"/>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0"/>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1）本项目业务合同签订后15日内，采购人支付合同总额的40%给中标人作为预付款。</w:t>
      </w:r>
    </w:p>
    <w:p w14:paraId="164BD00A">
      <w:pPr>
        <w:pStyle w:val="25"/>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2）项目竣工验收通过后15日内，采购人支付合同剩余60%款项给中标人。</w:t>
      </w:r>
    </w:p>
    <w:p w14:paraId="37DF80B0">
      <w:pPr>
        <w:pStyle w:val="25"/>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3）结算款项时，投标人根据采购人要求开具符合规范的发票。</w:t>
      </w:r>
    </w:p>
    <w:p w14:paraId="05B1D4EE">
      <w:pPr>
        <w:pStyle w:val="2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（2）技术支持：</w:t>
      </w:r>
    </w:p>
    <w:p w14:paraId="54740AD2">
      <w:pPr>
        <w:pStyle w:val="25"/>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投标人须保证所提供产品符合国家有关规定。投标人须保证所提供产品具有合法的版权或使用权，本项目采购的产品，如在本项目范围内使用过程中出现版权或使用权纠纷，应由中标人负责，采购人不承担责任。</w:t>
      </w:r>
    </w:p>
    <w:p w14:paraId="09106FDA">
      <w:pPr>
        <w:pStyle w:val="25"/>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2）投标人必须保证解决项目所涉及的技术问题，如因技术原因无法满足采购人需求，由此产生的风险由投标人承担。</w:t>
      </w:r>
    </w:p>
    <w:p w14:paraId="18C0CE92">
      <w:pPr>
        <w:spacing w:line="500" w:lineRule="exact"/>
        <w:rPr>
          <w:rFonts w:hint="eastAsia" w:ascii="仿宋" w:hAnsi="仿宋" w:eastAsia="仿宋" w:cs="仿宋"/>
          <w:color w:val="auto"/>
          <w:highlight w:val="none"/>
        </w:rPr>
      </w:pPr>
      <w:r>
        <w:rPr>
          <w:rFonts w:hint="eastAsia" w:ascii="仿宋" w:hAnsi="仿宋" w:eastAsia="仿宋" w:cs="仿宋"/>
          <w:color w:val="auto"/>
          <w:highlight w:val="none"/>
        </w:rPr>
        <w:t>注：</w:t>
      </w:r>
    </w:p>
    <w:p w14:paraId="101C6D1C">
      <w:pPr>
        <w:spacing w:line="500" w:lineRule="exac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、如有附图，仅作参考。</w:t>
      </w:r>
    </w:p>
    <w:p w14:paraId="06F648D4">
      <w:pPr>
        <w:spacing w:line="500" w:lineRule="exac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、打▲内容为实质性要求，不允许有负偏离，否则将以涉及无效投标条款作无效投标。</w:t>
      </w:r>
    </w:p>
    <w:p w14:paraId="574D7E95">
      <w:pPr>
        <w:spacing w:line="500" w:lineRule="exac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、中标人所提供的货物、服务须与投标承诺一致，不得以次充好、偷工减料，若在项目验收中发现有上述情况，将向有关部门举报，根据相关规定进行处理。</w:t>
      </w:r>
    </w:p>
    <w:p w14:paraId="4E2802EA">
      <w:pPr>
        <w:rPr>
          <w:rFonts w:hint="eastAsia" w:ascii="仿宋" w:hAnsi="仿宋" w:eastAsia="仿宋" w:cs="仿宋"/>
          <w:snapToGrid w:val="0"/>
          <w:color w:val="auto"/>
          <w:kern w:val="0"/>
          <w:sz w:val="24"/>
          <w:highlight w:val="none"/>
        </w:rPr>
      </w:pPr>
      <w:r>
        <w:rPr>
          <w:rFonts w:hint="eastAsia" w:ascii="宋体" w:hAnsi="宋体" w:cs="宋体"/>
          <w:b/>
          <w:color w:val="auto"/>
          <w:sz w:val="24"/>
          <w:highlight w:val="none"/>
        </w:rPr>
        <w:br w:type="page"/>
      </w:r>
    </w:p>
    <w:p w14:paraId="55B76AF8">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32" w:name="_Toc184310296"/>
      <w:bookmarkEnd w:id="32"/>
      <w:bookmarkStart w:id="33" w:name="_Toc184313255"/>
      <w:bookmarkEnd w:id="33"/>
      <w:bookmarkStart w:id="34" w:name="_Toc184308084"/>
      <w:bookmarkEnd w:id="34"/>
      <w:bookmarkStart w:id="35" w:name="_Toc184314422"/>
      <w:bookmarkEnd w:id="35"/>
      <w:bookmarkStart w:id="36" w:name="_Toc184314475"/>
      <w:bookmarkEnd w:id="36"/>
      <w:bookmarkStart w:id="37" w:name="_Toc184308067"/>
      <w:bookmarkEnd w:id="37"/>
      <w:bookmarkStart w:id="38" w:name="_Toc184312079"/>
      <w:bookmarkEnd w:id="38"/>
      <w:bookmarkStart w:id="39" w:name="_Toc184313240"/>
      <w:bookmarkEnd w:id="39"/>
      <w:bookmarkStart w:id="40" w:name="_Toc184314472"/>
      <w:bookmarkEnd w:id="40"/>
      <w:bookmarkStart w:id="41" w:name="_Toc184312082"/>
      <w:bookmarkEnd w:id="41"/>
      <w:bookmarkStart w:id="42" w:name="_Toc184312075"/>
      <w:bookmarkEnd w:id="42"/>
      <w:bookmarkStart w:id="43" w:name="_Toc184310342"/>
      <w:bookmarkEnd w:id="43"/>
      <w:bookmarkStart w:id="44" w:name="_Toc184310327"/>
      <w:bookmarkEnd w:id="44"/>
      <w:bookmarkStart w:id="45" w:name="_Toc184314429"/>
      <w:bookmarkEnd w:id="45"/>
      <w:bookmarkStart w:id="46" w:name="_Toc184313308"/>
      <w:bookmarkEnd w:id="46"/>
      <w:bookmarkStart w:id="47" w:name="_Toc184314457"/>
      <w:bookmarkEnd w:id="47"/>
      <w:bookmarkStart w:id="48" w:name="_Toc184313248"/>
      <w:bookmarkEnd w:id="48"/>
      <w:bookmarkStart w:id="49" w:name="_Toc184308071"/>
      <w:bookmarkEnd w:id="49"/>
      <w:bookmarkStart w:id="50" w:name="_Toc184314463"/>
      <w:bookmarkEnd w:id="50"/>
      <w:bookmarkStart w:id="51" w:name="_Toc184310313"/>
      <w:bookmarkEnd w:id="51"/>
      <w:bookmarkStart w:id="52" w:name="_Toc184314441"/>
      <w:bookmarkEnd w:id="52"/>
      <w:bookmarkStart w:id="53" w:name="_Toc184312070"/>
      <w:bookmarkEnd w:id="53"/>
      <w:bookmarkStart w:id="54" w:name="_Toc184308072"/>
      <w:bookmarkEnd w:id="54"/>
      <w:bookmarkStart w:id="55" w:name="_Toc184310293"/>
      <w:bookmarkEnd w:id="55"/>
      <w:bookmarkStart w:id="56" w:name="_Toc184312118"/>
      <w:bookmarkEnd w:id="56"/>
      <w:bookmarkStart w:id="57" w:name="_Toc184313294"/>
      <w:bookmarkEnd w:id="57"/>
      <w:bookmarkStart w:id="58" w:name="_Toc184310297"/>
      <w:bookmarkEnd w:id="58"/>
      <w:bookmarkStart w:id="59" w:name="_Toc184310307"/>
      <w:bookmarkEnd w:id="59"/>
      <w:bookmarkStart w:id="60" w:name="_Toc184313263"/>
      <w:bookmarkEnd w:id="60"/>
      <w:bookmarkStart w:id="61" w:name="_Toc184313286"/>
      <w:bookmarkEnd w:id="61"/>
      <w:bookmarkStart w:id="62" w:name="_Toc184308068"/>
      <w:bookmarkEnd w:id="62"/>
      <w:bookmarkStart w:id="63" w:name="_Toc184308051"/>
      <w:bookmarkEnd w:id="63"/>
      <w:bookmarkStart w:id="64" w:name="_Toc184312084"/>
      <w:bookmarkEnd w:id="64"/>
      <w:bookmarkStart w:id="65" w:name="_Toc184308040"/>
      <w:bookmarkEnd w:id="65"/>
      <w:bookmarkStart w:id="66" w:name="_Toc184313291"/>
      <w:bookmarkEnd w:id="66"/>
      <w:bookmarkStart w:id="67" w:name="_Toc184314461"/>
      <w:bookmarkEnd w:id="67"/>
      <w:bookmarkStart w:id="68" w:name="_Toc184314421"/>
      <w:bookmarkEnd w:id="68"/>
      <w:bookmarkStart w:id="69" w:name="_Toc184314440"/>
      <w:bookmarkEnd w:id="69"/>
      <w:bookmarkStart w:id="70" w:name="_Toc184313302"/>
      <w:bookmarkEnd w:id="70"/>
      <w:bookmarkStart w:id="71" w:name="_Toc184314482"/>
      <w:bookmarkEnd w:id="71"/>
      <w:bookmarkStart w:id="72" w:name="_Toc184313257"/>
      <w:bookmarkEnd w:id="72"/>
      <w:bookmarkStart w:id="73" w:name="_Toc184314479"/>
      <w:bookmarkEnd w:id="73"/>
      <w:bookmarkStart w:id="74" w:name="_Toc184308089"/>
      <w:bookmarkEnd w:id="74"/>
      <w:bookmarkStart w:id="75" w:name="_Toc184314445"/>
      <w:bookmarkEnd w:id="75"/>
      <w:bookmarkStart w:id="76" w:name="_Toc184312080"/>
      <w:bookmarkEnd w:id="76"/>
      <w:bookmarkStart w:id="77" w:name="_Toc184310284"/>
      <w:bookmarkEnd w:id="77"/>
      <w:bookmarkStart w:id="78" w:name="_Toc184308045"/>
      <w:bookmarkEnd w:id="78"/>
      <w:bookmarkStart w:id="79" w:name="_Toc184314455"/>
      <w:bookmarkEnd w:id="79"/>
      <w:bookmarkStart w:id="80" w:name="_Toc184310324"/>
      <w:bookmarkEnd w:id="80"/>
      <w:bookmarkStart w:id="81" w:name="_Toc184308088"/>
      <w:bookmarkEnd w:id="81"/>
      <w:bookmarkStart w:id="82" w:name="_Toc184314424"/>
      <w:bookmarkEnd w:id="82"/>
      <w:bookmarkStart w:id="83" w:name="_Toc184313282"/>
      <w:bookmarkEnd w:id="83"/>
      <w:bookmarkStart w:id="84" w:name="_Toc184308055"/>
      <w:bookmarkEnd w:id="84"/>
      <w:bookmarkStart w:id="85" w:name="_Toc184313259"/>
      <w:bookmarkEnd w:id="85"/>
      <w:bookmarkStart w:id="86" w:name="_Toc184312090"/>
      <w:bookmarkEnd w:id="86"/>
      <w:bookmarkStart w:id="87" w:name="_Toc184310277"/>
      <w:bookmarkEnd w:id="87"/>
      <w:bookmarkStart w:id="88" w:name="_Toc184312125"/>
      <w:bookmarkEnd w:id="88"/>
      <w:bookmarkStart w:id="89" w:name="_Toc184314469"/>
      <w:bookmarkEnd w:id="89"/>
      <w:bookmarkStart w:id="90" w:name="_Toc184314477"/>
      <w:bookmarkEnd w:id="90"/>
      <w:bookmarkStart w:id="91" w:name="_Toc184313289"/>
      <w:bookmarkEnd w:id="91"/>
      <w:bookmarkStart w:id="92" w:name="_Toc184308100"/>
      <w:bookmarkEnd w:id="92"/>
      <w:bookmarkStart w:id="93" w:name="_Toc184312127"/>
      <w:bookmarkEnd w:id="93"/>
      <w:bookmarkStart w:id="94" w:name="_Toc184312099"/>
      <w:bookmarkEnd w:id="94"/>
      <w:bookmarkStart w:id="95" w:name="_Toc184312068"/>
      <w:bookmarkEnd w:id="95"/>
      <w:bookmarkStart w:id="96" w:name="_Toc184314419"/>
      <w:bookmarkEnd w:id="96"/>
      <w:bookmarkStart w:id="97" w:name="_Toc184313270"/>
      <w:bookmarkEnd w:id="97"/>
      <w:bookmarkStart w:id="98" w:name="_Toc184308075"/>
      <w:bookmarkEnd w:id="98"/>
      <w:bookmarkStart w:id="99" w:name="_Toc184312091"/>
      <w:bookmarkEnd w:id="99"/>
      <w:bookmarkStart w:id="100" w:name="_Toc184313290"/>
      <w:bookmarkEnd w:id="100"/>
      <w:bookmarkStart w:id="101" w:name="_Toc184310331"/>
      <w:bookmarkEnd w:id="101"/>
      <w:bookmarkStart w:id="102" w:name="_Toc184314468"/>
      <w:bookmarkEnd w:id="102"/>
      <w:bookmarkStart w:id="103" w:name="_Toc184313299"/>
      <w:bookmarkEnd w:id="103"/>
      <w:bookmarkStart w:id="104" w:name="_Toc184314437"/>
      <w:bookmarkEnd w:id="104"/>
      <w:bookmarkStart w:id="105" w:name="_Toc184308064"/>
      <w:bookmarkEnd w:id="105"/>
      <w:bookmarkStart w:id="106" w:name="_Toc184314465"/>
      <w:bookmarkEnd w:id="106"/>
      <w:bookmarkStart w:id="107" w:name="_Toc184314432"/>
      <w:bookmarkEnd w:id="107"/>
      <w:bookmarkStart w:id="108" w:name="_Toc184313287"/>
      <w:bookmarkEnd w:id="108"/>
      <w:bookmarkStart w:id="109" w:name="_Toc184312095"/>
      <w:bookmarkEnd w:id="109"/>
      <w:bookmarkStart w:id="110" w:name="_Toc184310285"/>
      <w:bookmarkEnd w:id="110"/>
      <w:bookmarkStart w:id="111" w:name="_Toc184310318"/>
      <w:bookmarkEnd w:id="111"/>
      <w:bookmarkStart w:id="112" w:name="_Toc184313249"/>
      <w:bookmarkEnd w:id="112"/>
      <w:bookmarkStart w:id="113" w:name="_Toc184313265"/>
      <w:bookmarkEnd w:id="113"/>
      <w:bookmarkStart w:id="114" w:name="_Toc184314448"/>
      <w:bookmarkEnd w:id="114"/>
      <w:bookmarkStart w:id="115" w:name="_Toc184310280"/>
      <w:bookmarkEnd w:id="115"/>
      <w:bookmarkStart w:id="116" w:name="_Toc184312073"/>
      <w:bookmarkEnd w:id="116"/>
      <w:bookmarkStart w:id="117" w:name="_Toc184310309"/>
      <w:bookmarkEnd w:id="117"/>
      <w:bookmarkStart w:id="118" w:name="_Toc184313245"/>
      <w:bookmarkEnd w:id="118"/>
      <w:bookmarkStart w:id="119" w:name="_Toc184314439"/>
      <w:bookmarkEnd w:id="119"/>
      <w:bookmarkStart w:id="120" w:name="_Toc184312083"/>
      <w:bookmarkEnd w:id="120"/>
      <w:bookmarkStart w:id="121" w:name="_Toc184314467"/>
      <w:bookmarkEnd w:id="121"/>
      <w:bookmarkStart w:id="122" w:name="_Toc184308078"/>
      <w:bookmarkEnd w:id="122"/>
      <w:bookmarkStart w:id="123" w:name="_Toc184314466"/>
      <w:bookmarkEnd w:id="123"/>
      <w:bookmarkStart w:id="124" w:name="_Toc184310291"/>
      <w:bookmarkEnd w:id="124"/>
      <w:bookmarkStart w:id="125" w:name="_Toc184310275"/>
      <w:bookmarkEnd w:id="125"/>
      <w:bookmarkStart w:id="126" w:name="_Toc184310279"/>
      <w:bookmarkEnd w:id="126"/>
      <w:bookmarkStart w:id="127" w:name="_Toc184313254"/>
      <w:bookmarkEnd w:id="127"/>
      <w:bookmarkStart w:id="128" w:name="_Toc184312103"/>
      <w:bookmarkEnd w:id="128"/>
      <w:bookmarkStart w:id="129" w:name="_Toc184312109"/>
      <w:bookmarkEnd w:id="129"/>
      <w:bookmarkStart w:id="130" w:name="_Toc184313280"/>
      <w:bookmarkEnd w:id="130"/>
      <w:bookmarkStart w:id="131" w:name="_Toc184314423"/>
      <w:bookmarkEnd w:id="131"/>
      <w:bookmarkStart w:id="132" w:name="_Toc184308066"/>
      <w:bookmarkEnd w:id="132"/>
      <w:bookmarkStart w:id="133" w:name="_Toc184310337"/>
      <w:bookmarkEnd w:id="133"/>
      <w:bookmarkStart w:id="134" w:name="_Toc184308049"/>
      <w:bookmarkEnd w:id="134"/>
      <w:bookmarkStart w:id="135" w:name="_Toc184310330"/>
      <w:bookmarkEnd w:id="135"/>
      <w:bookmarkStart w:id="136" w:name="_Toc184312086"/>
      <w:bookmarkEnd w:id="136"/>
      <w:bookmarkStart w:id="137" w:name="_Toc184310311"/>
      <w:bookmarkEnd w:id="137"/>
      <w:bookmarkStart w:id="138" w:name="_Toc184310303"/>
      <w:bookmarkEnd w:id="138"/>
      <w:bookmarkStart w:id="139" w:name="_Toc184312110"/>
      <w:bookmarkEnd w:id="139"/>
      <w:bookmarkStart w:id="140" w:name="_Toc184313267"/>
      <w:bookmarkEnd w:id="140"/>
      <w:bookmarkStart w:id="141" w:name="_Toc184313306"/>
      <w:bookmarkEnd w:id="141"/>
      <w:bookmarkStart w:id="142" w:name="_Toc184314425"/>
      <w:bookmarkEnd w:id="142"/>
      <w:bookmarkStart w:id="143" w:name="_Toc184313243"/>
      <w:bookmarkEnd w:id="143"/>
      <w:bookmarkStart w:id="144" w:name="_Toc184308099"/>
      <w:bookmarkEnd w:id="144"/>
      <w:bookmarkStart w:id="145" w:name="_Toc184313275"/>
      <w:bookmarkEnd w:id="145"/>
      <w:bookmarkStart w:id="146" w:name="_Toc184314458"/>
      <w:bookmarkEnd w:id="146"/>
      <w:bookmarkStart w:id="147" w:name="_Toc184308046"/>
      <w:bookmarkEnd w:id="147"/>
      <w:bookmarkStart w:id="148" w:name="_Toc184308094"/>
      <w:bookmarkEnd w:id="148"/>
      <w:bookmarkStart w:id="149" w:name="_Toc184313256"/>
      <w:bookmarkEnd w:id="149"/>
      <w:bookmarkStart w:id="150" w:name="_Toc184312113"/>
      <w:bookmarkEnd w:id="150"/>
      <w:bookmarkStart w:id="151" w:name="_Toc184314433"/>
      <w:bookmarkEnd w:id="151"/>
      <w:bookmarkStart w:id="152" w:name="_Toc184308036"/>
      <w:bookmarkEnd w:id="152"/>
      <w:bookmarkStart w:id="153" w:name="_Toc184312139"/>
      <w:bookmarkEnd w:id="153"/>
      <w:bookmarkStart w:id="154" w:name="_Toc184312101"/>
      <w:bookmarkEnd w:id="154"/>
      <w:bookmarkStart w:id="155" w:name="_Toc184308077"/>
      <w:bookmarkEnd w:id="155"/>
      <w:bookmarkStart w:id="156" w:name="_Toc184314428"/>
      <w:bookmarkEnd w:id="156"/>
      <w:bookmarkStart w:id="157" w:name="_Toc184314438"/>
      <w:bookmarkEnd w:id="157"/>
      <w:bookmarkStart w:id="158" w:name="_Toc184312089"/>
      <w:bookmarkEnd w:id="158"/>
      <w:bookmarkStart w:id="159" w:name="_Toc184310278"/>
      <w:bookmarkEnd w:id="159"/>
      <w:bookmarkStart w:id="160" w:name="_Toc184313238"/>
      <w:bookmarkEnd w:id="160"/>
      <w:bookmarkStart w:id="161" w:name="_Toc184313252"/>
      <w:bookmarkEnd w:id="161"/>
      <w:bookmarkStart w:id="162" w:name="_Toc184313241"/>
      <w:bookmarkEnd w:id="162"/>
      <w:bookmarkStart w:id="163" w:name="_Toc184310308"/>
      <w:bookmarkEnd w:id="163"/>
      <w:bookmarkStart w:id="164" w:name="_Toc184310339"/>
      <w:bookmarkEnd w:id="164"/>
      <w:bookmarkStart w:id="165" w:name="_Toc184314430"/>
      <w:bookmarkEnd w:id="165"/>
      <w:bookmarkStart w:id="166" w:name="_Toc184308090"/>
      <w:bookmarkEnd w:id="166"/>
      <w:bookmarkStart w:id="167" w:name="_Toc184310295"/>
      <w:bookmarkEnd w:id="167"/>
      <w:bookmarkStart w:id="168" w:name="_Toc184313303"/>
      <w:bookmarkEnd w:id="168"/>
      <w:bookmarkStart w:id="169" w:name="_Toc184313239"/>
      <w:bookmarkEnd w:id="169"/>
      <w:bookmarkStart w:id="170" w:name="_Toc184314474"/>
      <w:bookmarkEnd w:id="170"/>
      <w:bookmarkStart w:id="171" w:name="_Toc184312115"/>
      <w:bookmarkEnd w:id="171"/>
      <w:bookmarkStart w:id="172" w:name="_Toc184310282"/>
      <w:bookmarkEnd w:id="172"/>
      <w:bookmarkStart w:id="173" w:name="_Toc184314435"/>
      <w:bookmarkEnd w:id="173"/>
      <w:bookmarkStart w:id="174" w:name="_Toc184310332"/>
      <w:bookmarkEnd w:id="174"/>
      <w:bookmarkStart w:id="175" w:name="_Toc184313295"/>
      <w:bookmarkEnd w:id="175"/>
      <w:bookmarkStart w:id="176" w:name="_Toc184313271"/>
      <w:bookmarkEnd w:id="176"/>
      <w:bookmarkStart w:id="177" w:name="_Toc184308082"/>
      <w:bookmarkEnd w:id="177"/>
      <w:bookmarkStart w:id="178" w:name="_Toc184313251"/>
      <w:bookmarkEnd w:id="178"/>
      <w:bookmarkStart w:id="179" w:name="_Toc184312096"/>
      <w:bookmarkEnd w:id="179"/>
      <w:bookmarkStart w:id="180" w:name="_Toc184308042"/>
      <w:bookmarkEnd w:id="180"/>
      <w:bookmarkStart w:id="181" w:name="_Toc184314420"/>
      <w:bookmarkEnd w:id="181"/>
      <w:bookmarkStart w:id="182" w:name="_Toc184310273"/>
      <w:bookmarkEnd w:id="182"/>
      <w:bookmarkStart w:id="183" w:name="_Toc184310306"/>
      <w:bookmarkEnd w:id="183"/>
      <w:bookmarkStart w:id="184" w:name="_Toc184314481"/>
      <w:bookmarkEnd w:id="184"/>
      <w:bookmarkStart w:id="185" w:name="_Toc184314410"/>
      <w:bookmarkEnd w:id="185"/>
      <w:bookmarkStart w:id="186" w:name="_Toc184310299"/>
      <w:bookmarkEnd w:id="186"/>
      <w:bookmarkStart w:id="187" w:name="_Toc184308087"/>
      <w:bookmarkEnd w:id="187"/>
      <w:bookmarkStart w:id="188" w:name="_Toc184313269"/>
      <w:bookmarkEnd w:id="188"/>
      <w:bookmarkStart w:id="189" w:name="_Toc184314446"/>
      <w:bookmarkEnd w:id="189"/>
      <w:bookmarkStart w:id="190" w:name="_Toc184313278"/>
      <w:bookmarkEnd w:id="190"/>
      <w:bookmarkStart w:id="191" w:name="_Toc184314411"/>
      <w:bookmarkEnd w:id="191"/>
      <w:bookmarkStart w:id="192" w:name="_Toc184312097"/>
      <w:bookmarkEnd w:id="192"/>
      <w:bookmarkStart w:id="193" w:name="_Toc184308062"/>
      <w:bookmarkEnd w:id="193"/>
      <w:bookmarkStart w:id="194" w:name="_Toc184312074"/>
      <w:bookmarkEnd w:id="194"/>
      <w:bookmarkStart w:id="195" w:name="_Toc184310290"/>
      <w:bookmarkEnd w:id="195"/>
      <w:bookmarkStart w:id="196" w:name="_Toc184314449"/>
      <w:bookmarkEnd w:id="196"/>
      <w:bookmarkStart w:id="197" w:name="_Toc184308108"/>
      <w:bookmarkEnd w:id="197"/>
      <w:bookmarkStart w:id="198" w:name="_Toc184313276"/>
      <w:bookmarkEnd w:id="198"/>
      <w:bookmarkStart w:id="199" w:name="_Toc184308073"/>
      <w:bookmarkEnd w:id="199"/>
      <w:bookmarkStart w:id="200" w:name="_Toc184308102"/>
      <w:bookmarkEnd w:id="200"/>
      <w:bookmarkStart w:id="201" w:name="_Toc184313273"/>
      <w:bookmarkEnd w:id="201"/>
      <w:bookmarkStart w:id="202" w:name="_Toc184310292"/>
      <w:bookmarkEnd w:id="202"/>
      <w:bookmarkStart w:id="203" w:name="_Toc184314436"/>
      <w:bookmarkEnd w:id="203"/>
      <w:bookmarkStart w:id="204" w:name="_Toc184310298"/>
      <w:bookmarkEnd w:id="204"/>
      <w:bookmarkStart w:id="205" w:name="_Toc184313284"/>
      <w:bookmarkEnd w:id="205"/>
      <w:bookmarkStart w:id="206" w:name="_Toc184310312"/>
      <w:bookmarkEnd w:id="206"/>
      <w:bookmarkStart w:id="207" w:name="_Toc184312112"/>
      <w:bookmarkEnd w:id="207"/>
      <w:bookmarkStart w:id="208" w:name="_Toc184314416"/>
      <w:bookmarkEnd w:id="208"/>
      <w:bookmarkStart w:id="209" w:name="_Toc184308052"/>
      <w:bookmarkEnd w:id="209"/>
      <w:bookmarkStart w:id="210" w:name="_Toc184314427"/>
      <w:bookmarkEnd w:id="210"/>
      <w:bookmarkStart w:id="211" w:name="_Toc184312069"/>
      <w:bookmarkEnd w:id="211"/>
      <w:bookmarkStart w:id="212" w:name="_Toc184312114"/>
      <w:bookmarkEnd w:id="212"/>
      <w:bookmarkStart w:id="213" w:name="_Toc184308097"/>
      <w:bookmarkEnd w:id="213"/>
      <w:bookmarkStart w:id="214" w:name="_Toc184312134"/>
      <w:bookmarkEnd w:id="214"/>
      <w:bookmarkStart w:id="215" w:name="_Toc184310287"/>
      <w:bookmarkEnd w:id="215"/>
      <w:bookmarkStart w:id="216" w:name="_Toc184312124"/>
      <w:bookmarkEnd w:id="216"/>
      <w:bookmarkStart w:id="217" w:name="_Toc184314412"/>
      <w:bookmarkEnd w:id="217"/>
      <w:bookmarkStart w:id="218" w:name="_Toc184310294"/>
      <w:bookmarkEnd w:id="218"/>
      <w:bookmarkStart w:id="219" w:name="_Toc184310329"/>
      <w:bookmarkEnd w:id="219"/>
      <w:bookmarkStart w:id="220" w:name="_Toc184313244"/>
      <w:bookmarkEnd w:id="220"/>
      <w:bookmarkStart w:id="221" w:name="_Toc184312093"/>
      <w:bookmarkEnd w:id="221"/>
      <w:bookmarkStart w:id="222" w:name="_Toc184312123"/>
      <w:bookmarkEnd w:id="222"/>
      <w:bookmarkStart w:id="223" w:name="_Toc184312135"/>
      <w:bookmarkEnd w:id="223"/>
      <w:bookmarkStart w:id="224" w:name="_Toc184313261"/>
      <w:bookmarkEnd w:id="224"/>
      <w:bookmarkStart w:id="225" w:name="_Toc184313272"/>
      <w:bookmarkEnd w:id="225"/>
      <w:bookmarkStart w:id="226" w:name="_Toc184308041"/>
      <w:bookmarkEnd w:id="226"/>
      <w:bookmarkStart w:id="227" w:name="_Toc184310325"/>
      <w:bookmarkEnd w:id="227"/>
      <w:bookmarkStart w:id="228" w:name="_Toc184308081"/>
      <w:bookmarkEnd w:id="228"/>
      <w:bookmarkStart w:id="229" w:name="_Toc184310334"/>
      <w:bookmarkEnd w:id="229"/>
      <w:bookmarkStart w:id="230" w:name="_Toc184313279"/>
      <w:bookmarkEnd w:id="230"/>
      <w:bookmarkStart w:id="231" w:name="_Toc184312122"/>
      <w:bookmarkEnd w:id="231"/>
      <w:bookmarkStart w:id="232" w:name="_Toc184312104"/>
      <w:bookmarkEnd w:id="232"/>
      <w:bookmarkStart w:id="233" w:name="_Toc184313268"/>
      <w:bookmarkEnd w:id="233"/>
      <w:bookmarkStart w:id="234" w:name="_Toc184310341"/>
      <w:bookmarkEnd w:id="234"/>
      <w:bookmarkStart w:id="235" w:name="_Toc184310314"/>
      <w:bookmarkEnd w:id="235"/>
      <w:bookmarkStart w:id="236" w:name="_Toc184310333"/>
      <w:bookmarkEnd w:id="236"/>
      <w:bookmarkStart w:id="237" w:name="_Toc184310336"/>
      <w:bookmarkEnd w:id="237"/>
      <w:bookmarkStart w:id="238" w:name="_Toc184310326"/>
      <w:bookmarkEnd w:id="238"/>
      <w:bookmarkStart w:id="239" w:name="_Toc184312072"/>
      <w:bookmarkEnd w:id="239"/>
      <w:bookmarkStart w:id="240" w:name="_Toc184313274"/>
      <w:bookmarkEnd w:id="240"/>
      <w:bookmarkStart w:id="241" w:name="_Toc184312111"/>
      <w:bookmarkEnd w:id="241"/>
      <w:bookmarkStart w:id="242" w:name="_Toc184312128"/>
      <w:bookmarkEnd w:id="242"/>
      <w:bookmarkStart w:id="243" w:name="_Toc184308054"/>
      <w:bookmarkEnd w:id="243"/>
      <w:bookmarkStart w:id="244" w:name="_Toc184308095"/>
      <w:bookmarkEnd w:id="244"/>
      <w:bookmarkStart w:id="245" w:name="_Toc184313307"/>
      <w:bookmarkEnd w:id="245"/>
      <w:bookmarkStart w:id="246" w:name="_Toc184312117"/>
      <w:bookmarkEnd w:id="246"/>
      <w:bookmarkStart w:id="247" w:name="_Toc184313288"/>
      <w:bookmarkEnd w:id="247"/>
      <w:bookmarkStart w:id="248" w:name="_Toc184313266"/>
      <w:bookmarkEnd w:id="248"/>
      <w:bookmarkStart w:id="249" w:name="_Toc184308091"/>
      <w:bookmarkEnd w:id="249"/>
      <w:bookmarkStart w:id="250" w:name="_Toc184308104"/>
      <w:bookmarkEnd w:id="250"/>
      <w:bookmarkStart w:id="251" w:name="_Toc184312100"/>
      <w:bookmarkEnd w:id="251"/>
      <w:bookmarkStart w:id="252" w:name="_Toc184310315"/>
      <w:bookmarkEnd w:id="252"/>
      <w:bookmarkStart w:id="253" w:name="_Toc184314413"/>
      <w:bookmarkEnd w:id="253"/>
      <w:bookmarkStart w:id="254" w:name="_Toc184313283"/>
      <w:bookmarkEnd w:id="254"/>
      <w:bookmarkStart w:id="255" w:name="_Toc184308098"/>
      <w:bookmarkEnd w:id="255"/>
      <w:bookmarkStart w:id="256" w:name="_Toc184313258"/>
      <w:bookmarkEnd w:id="256"/>
      <w:bookmarkStart w:id="257" w:name="_Toc184312098"/>
      <w:bookmarkEnd w:id="257"/>
      <w:bookmarkStart w:id="258" w:name="_Toc184313247"/>
      <w:bookmarkEnd w:id="258"/>
      <w:bookmarkStart w:id="259" w:name="_Toc184313246"/>
      <w:bookmarkEnd w:id="259"/>
      <w:bookmarkStart w:id="260" w:name="_Toc184310320"/>
      <w:bookmarkEnd w:id="260"/>
      <w:bookmarkStart w:id="261" w:name="_Toc184308103"/>
      <w:bookmarkEnd w:id="261"/>
      <w:bookmarkStart w:id="262" w:name="_Toc184312077"/>
      <w:bookmarkEnd w:id="262"/>
      <w:bookmarkStart w:id="263" w:name="_Toc184308048"/>
      <w:bookmarkEnd w:id="263"/>
      <w:bookmarkStart w:id="264" w:name="_Toc184313309"/>
      <w:bookmarkEnd w:id="264"/>
      <w:bookmarkStart w:id="265" w:name="_Toc184312067"/>
      <w:bookmarkEnd w:id="265"/>
      <w:bookmarkStart w:id="266" w:name="_Toc184313281"/>
      <w:bookmarkEnd w:id="266"/>
      <w:bookmarkStart w:id="267" w:name="_Toc184308057"/>
      <w:bookmarkEnd w:id="267"/>
      <w:bookmarkStart w:id="268" w:name="_Toc184314415"/>
      <w:bookmarkEnd w:id="268"/>
      <w:bookmarkStart w:id="269" w:name="_Toc184312102"/>
      <w:bookmarkEnd w:id="269"/>
      <w:bookmarkStart w:id="270" w:name="_Toc184310272"/>
      <w:bookmarkEnd w:id="270"/>
      <w:bookmarkStart w:id="271" w:name="_Toc184308076"/>
      <w:bookmarkEnd w:id="271"/>
      <w:bookmarkStart w:id="272" w:name="_Toc184312129"/>
      <w:bookmarkEnd w:id="272"/>
      <w:bookmarkStart w:id="273" w:name="_Toc184314454"/>
      <w:bookmarkEnd w:id="273"/>
      <w:bookmarkStart w:id="274" w:name="_Toc184313310"/>
      <w:bookmarkEnd w:id="274"/>
      <w:bookmarkStart w:id="275" w:name="_Toc184310304"/>
      <w:bookmarkEnd w:id="275"/>
      <w:bookmarkStart w:id="276" w:name="_Toc184312107"/>
      <w:bookmarkEnd w:id="276"/>
      <w:bookmarkStart w:id="277" w:name="_Toc184313285"/>
      <w:bookmarkEnd w:id="277"/>
      <w:bookmarkStart w:id="278" w:name="_Toc184313253"/>
      <w:bookmarkEnd w:id="278"/>
      <w:bookmarkStart w:id="279" w:name="_Toc184308101"/>
      <w:bookmarkEnd w:id="279"/>
      <w:bookmarkStart w:id="280" w:name="_Toc184310343"/>
      <w:bookmarkEnd w:id="280"/>
      <w:bookmarkStart w:id="281" w:name="_Toc184314462"/>
      <w:bookmarkEnd w:id="281"/>
      <w:bookmarkStart w:id="282" w:name="_Toc184310310"/>
      <w:bookmarkEnd w:id="282"/>
      <w:bookmarkStart w:id="283" w:name="_Toc184308069"/>
      <w:bookmarkEnd w:id="283"/>
      <w:bookmarkStart w:id="284" w:name="_Toc184313262"/>
      <w:bookmarkEnd w:id="284"/>
      <w:bookmarkStart w:id="285" w:name="_Toc184314431"/>
      <w:bookmarkEnd w:id="285"/>
      <w:bookmarkStart w:id="286" w:name="_Toc184308106"/>
      <w:bookmarkEnd w:id="286"/>
      <w:bookmarkStart w:id="287" w:name="_Toc184312120"/>
      <w:bookmarkEnd w:id="287"/>
      <w:bookmarkStart w:id="288" w:name="_Toc184310302"/>
      <w:bookmarkEnd w:id="288"/>
      <w:bookmarkStart w:id="289" w:name="_Toc184314451"/>
      <w:bookmarkEnd w:id="289"/>
      <w:bookmarkStart w:id="290" w:name="_Toc184313242"/>
      <w:bookmarkEnd w:id="290"/>
      <w:bookmarkStart w:id="291" w:name="_Toc184314443"/>
      <w:bookmarkEnd w:id="291"/>
      <w:bookmarkStart w:id="292" w:name="_Toc184310288"/>
      <w:bookmarkEnd w:id="292"/>
      <w:bookmarkStart w:id="293" w:name="_Toc184312081"/>
      <w:bookmarkEnd w:id="293"/>
      <w:bookmarkStart w:id="294" w:name="_Toc184310322"/>
      <w:bookmarkEnd w:id="294"/>
      <w:bookmarkStart w:id="295" w:name="_Toc184308063"/>
      <w:bookmarkEnd w:id="295"/>
      <w:bookmarkStart w:id="296" w:name="_Toc184314456"/>
      <w:bookmarkEnd w:id="296"/>
      <w:bookmarkStart w:id="297" w:name="_Toc184313304"/>
      <w:bookmarkEnd w:id="297"/>
      <w:bookmarkStart w:id="298" w:name="_Toc184310328"/>
      <w:bookmarkEnd w:id="298"/>
      <w:bookmarkStart w:id="299" w:name="_Toc184310321"/>
      <w:bookmarkEnd w:id="299"/>
      <w:bookmarkStart w:id="300" w:name="_Toc184314418"/>
      <w:bookmarkEnd w:id="300"/>
      <w:bookmarkStart w:id="301" w:name="_Toc184308058"/>
      <w:bookmarkEnd w:id="301"/>
      <w:bookmarkStart w:id="302" w:name="_Toc184312116"/>
      <w:bookmarkEnd w:id="302"/>
      <w:bookmarkStart w:id="303" w:name="_Toc184314460"/>
      <w:bookmarkEnd w:id="303"/>
      <w:bookmarkStart w:id="304" w:name="_Toc184310274"/>
      <w:bookmarkEnd w:id="304"/>
      <w:bookmarkStart w:id="305" w:name="_Toc184310305"/>
      <w:bookmarkEnd w:id="305"/>
      <w:bookmarkStart w:id="306" w:name="_Toc184314434"/>
      <w:bookmarkEnd w:id="306"/>
      <w:bookmarkStart w:id="307" w:name="_Toc184308059"/>
      <w:bookmarkEnd w:id="307"/>
      <w:bookmarkStart w:id="308" w:name="_Toc184314447"/>
      <w:bookmarkEnd w:id="308"/>
      <w:bookmarkStart w:id="309" w:name="_Toc184314417"/>
      <w:bookmarkEnd w:id="309"/>
      <w:bookmarkStart w:id="310" w:name="_Toc184312119"/>
      <w:bookmarkEnd w:id="310"/>
      <w:bookmarkStart w:id="311" w:name="_Toc184314414"/>
      <w:bookmarkEnd w:id="311"/>
      <w:bookmarkStart w:id="312" w:name="_Toc184313305"/>
      <w:bookmarkEnd w:id="312"/>
      <w:bookmarkStart w:id="313" w:name="_Toc184314442"/>
      <w:bookmarkEnd w:id="313"/>
      <w:bookmarkStart w:id="314" w:name="_Toc184312136"/>
      <w:bookmarkEnd w:id="314"/>
      <w:bookmarkStart w:id="315" w:name="_Toc184308083"/>
      <w:bookmarkEnd w:id="315"/>
      <w:bookmarkStart w:id="316" w:name="_Toc184310340"/>
      <w:bookmarkEnd w:id="316"/>
      <w:bookmarkStart w:id="317" w:name="_Toc184310335"/>
      <w:bookmarkEnd w:id="317"/>
      <w:bookmarkStart w:id="318" w:name="_Toc184310323"/>
      <w:bookmarkEnd w:id="318"/>
      <w:bookmarkStart w:id="319" w:name="_Toc184310317"/>
      <w:bookmarkEnd w:id="319"/>
      <w:bookmarkStart w:id="320" w:name="_Toc184310300"/>
      <w:bookmarkEnd w:id="320"/>
      <w:bookmarkStart w:id="321" w:name="_Toc184308065"/>
      <w:bookmarkEnd w:id="321"/>
      <w:bookmarkStart w:id="322" w:name="_Toc184312076"/>
      <w:bookmarkEnd w:id="322"/>
      <w:bookmarkStart w:id="323" w:name="_Toc184310276"/>
      <w:bookmarkEnd w:id="323"/>
      <w:bookmarkStart w:id="324" w:name="_Toc184308092"/>
      <w:bookmarkEnd w:id="324"/>
      <w:bookmarkStart w:id="325" w:name="_Toc184313250"/>
      <w:bookmarkEnd w:id="325"/>
      <w:bookmarkStart w:id="326" w:name="_Toc184314480"/>
      <w:bookmarkEnd w:id="326"/>
      <w:bookmarkStart w:id="327" w:name="_Toc184312126"/>
      <w:bookmarkEnd w:id="327"/>
      <w:bookmarkStart w:id="328" w:name="_Toc184310316"/>
      <w:bookmarkEnd w:id="328"/>
      <w:bookmarkStart w:id="329" w:name="_Toc184312130"/>
      <w:bookmarkEnd w:id="329"/>
      <w:bookmarkStart w:id="330" w:name="_Toc184310301"/>
      <w:bookmarkEnd w:id="330"/>
      <w:bookmarkStart w:id="331" w:name="_Toc184312131"/>
      <w:bookmarkEnd w:id="331"/>
      <w:bookmarkStart w:id="332" w:name="_Toc184310319"/>
      <w:bookmarkEnd w:id="332"/>
      <w:bookmarkStart w:id="333" w:name="_Toc184313260"/>
      <w:bookmarkEnd w:id="333"/>
      <w:bookmarkStart w:id="334" w:name="_Toc184308056"/>
      <w:bookmarkEnd w:id="334"/>
      <w:bookmarkStart w:id="335" w:name="_Toc184308105"/>
      <w:bookmarkEnd w:id="335"/>
      <w:bookmarkStart w:id="336" w:name="_Toc184313277"/>
      <w:bookmarkEnd w:id="336"/>
      <w:bookmarkStart w:id="337" w:name="_Toc184314453"/>
      <w:bookmarkEnd w:id="337"/>
      <w:bookmarkStart w:id="338" w:name="_Toc184308039"/>
      <w:bookmarkEnd w:id="338"/>
      <w:bookmarkStart w:id="339" w:name="_Toc184314478"/>
      <w:bookmarkEnd w:id="339"/>
      <w:bookmarkStart w:id="340" w:name="_Toc184308038"/>
      <w:bookmarkEnd w:id="340"/>
      <w:bookmarkStart w:id="341" w:name="_Toc184312085"/>
      <w:bookmarkEnd w:id="341"/>
      <w:bookmarkStart w:id="342" w:name="_Toc184310344"/>
      <w:bookmarkEnd w:id="342"/>
      <w:bookmarkStart w:id="343" w:name="_Toc184314452"/>
      <w:bookmarkEnd w:id="343"/>
      <w:bookmarkStart w:id="344" w:name="_Toc184312121"/>
      <w:bookmarkEnd w:id="344"/>
      <w:bookmarkStart w:id="345" w:name="_Toc184310283"/>
      <w:bookmarkEnd w:id="345"/>
      <w:bookmarkStart w:id="346" w:name="_Toc184308047"/>
      <w:bookmarkEnd w:id="346"/>
      <w:bookmarkStart w:id="347" w:name="_Toc184312105"/>
      <w:bookmarkEnd w:id="347"/>
      <w:bookmarkStart w:id="348" w:name="_Toc184308079"/>
      <w:bookmarkEnd w:id="348"/>
      <w:bookmarkStart w:id="349" w:name="_Toc184313293"/>
      <w:bookmarkEnd w:id="349"/>
      <w:bookmarkStart w:id="350" w:name="_Toc184308080"/>
      <w:bookmarkEnd w:id="350"/>
      <w:bookmarkStart w:id="351" w:name="_Toc184314426"/>
      <w:bookmarkEnd w:id="351"/>
      <w:bookmarkStart w:id="352" w:name="_Toc184312132"/>
      <w:bookmarkEnd w:id="352"/>
      <w:bookmarkStart w:id="353" w:name="_Toc184314459"/>
      <w:bookmarkEnd w:id="353"/>
      <w:bookmarkStart w:id="354" w:name="_Toc184312088"/>
      <w:bookmarkEnd w:id="354"/>
      <w:bookmarkStart w:id="355" w:name="_Toc184308053"/>
      <w:bookmarkEnd w:id="355"/>
      <w:bookmarkStart w:id="356" w:name="_Toc184312094"/>
      <w:bookmarkEnd w:id="356"/>
      <w:bookmarkStart w:id="357" w:name="_Toc184313300"/>
      <w:bookmarkEnd w:id="357"/>
      <w:bookmarkStart w:id="358" w:name="_Toc184308085"/>
      <w:bookmarkEnd w:id="358"/>
      <w:bookmarkStart w:id="359" w:name="_Toc184308061"/>
      <w:bookmarkEnd w:id="359"/>
      <w:bookmarkStart w:id="360" w:name="_Toc184314470"/>
      <w:bookmarkEnd w:id="360"/>
      <w:bookmarkStart w:id="361" w:name="_Toc184308093"/>
      <w:bookmarkEnd w:id="361"/>
      <w:bookmarkStart w:id="362" w:name="_Toc184310286"/>
      <w:bookmarkEnd w:id="362"/>
      <w:bookmarkStart w:id="363" w:name="_Toc184313264"/>
      <w:bookmarkEnd w:id="363"/>
      <w:bookmarkStart w:id="364" w:name="_Toc184312087"/>
      <w:bookmarkEnd w:id="364"/>
      <w:bookmarkStart w:id="365" w:name="_Toc184308043"/>
      <w:bookmarkEnd w:id="365"/>
      <w:bookmarkStart w:id="366" w:name="_Toc184312133"/>
      <w:bookmarkEnd w:id="366"/>
      <w:bookmarkStart w:id="367" w:name="_Toc184314471"/>
      <w:bookmarkEnd w:id="367"/>
      <w:bookmarkStart w:id="368" w:name="_Toc184308070"/>
      <w:bookmarkEnd w:id="368"/>
      <w:bookmarkStart w:id="369" w:name="_Toc184314450"/>
      <w:bookmarkEnd w:id="369"/>
      <w:bookmarkStart w:id="370" w:name="_Toc184313297"/>
      <w:bookmarkEnd w:id="370"/>
      <w:bookmarkStart w:id="371" w:name="_Toc184314444"/>
      <w:bookmarkEnd w:id="371"/>
      <w:bookmarkStart w:id="372" w:name="_Toc184312137"/>
      <w:bookmarkEnd w:id="372"/>
      <w:bookmarkStart w:id="373" w:name="_Toc184308037"/>
      <w:bookmarkEnd w:id="373"/>
      <w:bookmarkStart w:id="374" w:name="_Toc184312138"/>
      <w:bookmarkEnd w:id="374"/>
      <w:bookmarkStart w:id="375" w:name="_Toc184308050"/>
      <w:bookmarkEnd w:id="375"/>
      <w:bookmarkStart w:id="376" w:name="_Toc184313292"/>
      <w:bookmarkEnd w:id="376"/>
      <w:bookmarkStart w:id="377" w:name="_Toc184314473"/>
      <w:bookmarkEnd w:id="377"/>
      <w:bookmarkStart w:id="378" w:name="_Toc184308044"/>
      <w:bookmarkEnd w:id="378"/>
      <w:bookmarkStart w:id="379" w:name="_Toc184314476"/>
      <w:bookmarkEnd w:id="379"/>
      <w:bookmarkStart w:id="380" w:name="_Toc184308086"/>
      <w:bookmarkEnd w:id="380"/>
      <w:bookmarkStart w:id="381" w:name="_Toc184314464"/>
      <w:bookmarkEnd w:id="381"/>
      <w:bookmarkStart w:id="382" w:name="_Toc184308060"/>
      <w:bookmarkEnd w:id="382"/>
      <w:bookmarkStart w:id="383" w:name="_Toc184313301"/>
      <w:bookmarkEnd w:id="383"/>
      <w:bookmarkStart w:id="384" w:name="_Toc184312092"/>
      <w:bookmarkEnd w:id="384"/>
      <w:bookmarkStart w:id="385" w:name="_Toc184310281"/>
      <w:bookmarkEnd w:id="385"/>
      <w:bookmarkStart w:id="386" w:name="_Toc184312106"/>
      <w:bookmarkEnd w:id="386"/>
      <w:bookmarkStart w:id="387" w:name="_Toc184313296"/>
      <w:bookmarkEnd w:id="387"/>
      <w:bookmarkStart w:id="388" w:name="_Toc184310338"/>
      <w:bookmarkEnd w:id="388"/>
      <w:bookmarkStart w:id="389" w:name="_Toc184310289"/>
      <w:bookmarkEnd w:id="389"/>
      <w:bookmarkStart w:id="390" w:name="_Toc184313298"/>
      <w:bookmarkEnd w:id="390"/>
      <w:bookmarkStart w:id="391" w:name="_Toc184312071"/>
      <w:bookmarkEnd w:id="391"/>
      <w:bookmarkStart w:id="392" w:name="_Toc184308096"/>
      <w:bookmarkEnd w:id="392"/>
      <w:bookmarkStart w:id="393" w:name="_Toc184308074"/>
      <w:bookmarkEnd w:id="393"/>
      <w:bookmarkStart w:id="394" w:name="_Toc184312078"/>
      <w:bookmarkEnd w:id="394"/>
      <w:bookmarkStart w:id="395" w:name="_Toc184308107"/>
      <w:bookmarkEnd w:id="395"/>
      <w:bookmarkStart w:id="396" w:name="_Toc184312108"/>
      <w:bookmarkEnd w:id="396"/>
      <w:r>
        <w:rPr>
          <w:rFonts w:hint="eastAsia" w:ascii="仿宋" w:hAnsi="仿宋" w:eastAsia="仿宋" w:cs="仿宋"/>
          <w:b/>
          <w:color w:val="auto"/>
          <w:sz w:val="36"/>
          <w:szCs w:val="36"/>
          <w:highlight w:val="none"/>
        </w:rPr>
        <w:t>评标办法</w:t>
      </w:r>
    </w:p>
    <w:p w14:paraId="6E9F2879">
      <w:pPr>
        <w:snapToGrid w:val="0"/>
        <w:spacing w:line="360" w:lineRule="auto"/>
        <w:jc w:val="center"/>
        <w:rPr>
          <w:color w:val="auto"/>
          <w:highlight w:val="none"/>
        </w:rPr>
      </w:pPr>
      <w:r>
        <w:rPr>
          <w:rFonts w:hint="eastAsia" w:ascii="宋体" w:hAnsi="宋体" w:cs="宋体"/>
          <w:b/>
          <w:color w:val="auto"/>
          <w:sz w:val="32"/>
          <w:szCs w:val="20"/>
          <w:highlight w:val="none"/>
        </w:rPr>
        <w:t>评标办法前附表</w:t>
      </w:r>
    </w:p>
    <w:p w14:paraId="46CBDCBC">
      <w:pPr>
        <w:bidi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（1）商务技术分（70分）</w:t>
      </w:r>
    </w:p>
    <w:tbl>
      <w:tblPr>
        <w:tblStyle w:val="62"/>
        <w:tblW w:w="5358" w:type="pct"/>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64"/>
        <w:gridCol w:w="611"/>
        <w:gridCol w:w="855"/>
        <w:gridCol w:w="6150"/>
        <w:gridCol w:w="995"/>
        <w:gridCol w:w="676"/>
      </w:tblGrid>
      <w:tr w14:paraId="5CC95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333" w:type="pct"/>
            <w:shd w:val="clear" w:color="auto" w:fill="auto"/>
            <w:noWrap/>
            <w:vAlign w:val="center"/>
          </w:tcPr>
          <w:p w14:paraId="7281090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Style w:val="311"/>
                <w:rFonts w:hint="eastAsia" w:ascii="仿宋" w:hAnsi="仿宋" w:eastAsia="仿宋" w:cs="仿宋"/>
                <w:color w:val="000000" w:themeColor="text1"/>
                <w:sz w:val="21"/>
                <w:szCs w:val="21"/>
                <w:highlight w:val="none"/>
                <w:lang w:val="en-US" w:eastAsia="zh-CN" w:bidi="ar"/>
                <w14:textFill>
                  <w14:solidFill>
                    <w14:schemeClr w14:val="tx1"/>
                  </w14:solidFill>
                </w14:textFill>
              </w:rPr>
              <w:t>类别</w:t>
            </w:r>
          </w:p>
        </w:tc>
        <w:tc>
          <w:tcPr>
            <w:tcW w:w="307" w:type="pct"/>
            <w:shd w:val="clear" w:color="auto" w:fill="auto"/>
            <w:vAlign w:val="center"/>
          </w:tcPr>
          <w:p w14:paraId="72D3341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Style w:val="311"/>
                <w:rFonts w:hint="eastAsia" w:ascii="仿宋" w:hAnsi="仿宋" w:eastAsia="仿宋" w:cs="仿宋"/>
                <w:color w:val="000000" w:themeColor="text1"/>
                <w:sz w:val="21"/>
                <w:szCs w:val="21"/>
                <w:highlight w:val="none"/>
                <w:lang w:val="en-US" w:eastAsia="zh-CN" w:bidi="ar"/>
                <w14:textFill>
                  <w14:solidFill>
                    <w14:schemeClr w14:val="tx1"/>
                  </w14:solidFill>
                </w14:textFill>
              </w:rPr>
              <w:t>序号</w:t>
            </w:r>
          </w:p>
        </w:tc>
        <w:tc>
          <w:tcPr>
            <w:tcW w:w="429" w:type="pct"/>
            <w:shd w:val="clear" w:color="auto" w:fill="auto"/>
            <w:vAlign w:val="center"/>
          </w:tcPr>
          <w:p w14:paraId="15324D1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Style w:val="311"/>
                <w:rFonts w:hint="eastAsia" w:ascii="仿宋" w:hAnsi="仿宋" w:eastAsia="仿宋" w:cs="仿宋"/>
                <w:color w:val="000000" w:themeColor="text1"/>
                <w:sz w:val="21"/>
                <w:szCs w:val="21"/>
                <w:highlight w:val="none"/>
                <w:lang w:val="en-US" w:eastAsia="zh-CN" w:bidi="ar"/>
                <w14:textFill>
                  <w14:solidFill>
                    <w14:schemeClr w14:val="tx1"/>
                  </w14:solidFill>
                </w14:textFill>
              </w:rPr>
              <w:t>评分项目</w:t>
            </w:r>
          </w:p>
        </w:tc>
        <w:tc>
          <w:tcPr>
            <w:tcW w:w="3090" w:type="pct"/>
            <w:shd w:val="clear" w:color="auto" w:fill="auto"/>
            <w:vAlign w:val="center"/>
          </w:tcPr>
          <w:p w14:paraId="031A11C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Style w:val="311"/>
                <w:rFonts w:hint="eastAsia" w:ascii="仿宋" w:hAnsi="仿宋" w:eastAsia="仿宋" w:cs="仿宋"/>
                <w:color w:val="000000" w:themeColor="text1"/>
                <w:sz w:val="21"/>
                <w:szCs w:val="21"/>
                <w:highlight w:val="none"/>
                <w:lang w:val="en-US" w:eastAsia="zh-CN" w:bidi="ar"/>
                <w14:textFill>
                  <w14:solidFill>
                    <w14:schemeClr w14:val="tx1"/>
                  </w14:solidFill>
                </w14:textFill>
              </w:rPr>
              <w:t>评审细则</w:t>
            </w:r>
          </w:p>
        </w:tc>
        <w:tc>
          <w:tcPr>
            <w:tcW w:w="499" w:type="pct"/>
            <w:shd w:val="clear" w:color="auto" w:fill="auto"/>
            <w:vAlign w:val="center"/>
          </w:tcPr>
          <w:p w14:paraId="6ABF15A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Style w:val="311"/>
                <w:rFonts w:hint="eastAsia" w:ascii="仿宋" w:hAnsi="仿宋" w:eastAsia="仿宋" w:cs="仿宋"/>
                <w:color w:val="000000" w:themeColor="text1"/>
                <w:sz w:val="21"/>
                <w:szCs w:val="21"/>
                <w:highlight w:val="none"/>
                <w:lang w:val="en-US" w:eastAsia="zh-CN" w:bidi="ar"/>
                <w14:textFill>
                  <w14:solidFill>
                    <w14:schemeClr w14:val="tx1"/>
                  </w14:solidFill>
                </w14:textFill>
              </w:rPr>
              <w:t>分值</w:t>
            </w:r>
          </w:p>
        </w:tc>
        <w:tc>
          <w:tcPr>
            <w:tcW w:w="339" w:type="pct"/>
            <w:shd w:val="clear" w:color="auto" w:fill="auto"/>
            <w:noWrap/>
            <w:vAlign w:val="center"/>
          </w:tcPr>
          <w:p w14:paraId="2D069E4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Style w:val="311"/>
                <w:rFonts w:hint="eastAsia" w:ascii="仿宋" w:hAnsi="仿宋" w:eastAsia="仿宋" w:cs="仿宋"/>
                <w:color w:val="000000" w:themeColor="text1"/>
                <w:sz w:val="21"/>
                <w:szCs w:val="21"/>
                <w:highlight w:val="none"/>
                <w:lang w:val="en-US" w:eastAsia="zh-CN" w:bidi="ar"/>
                <w14:textFill>
                  <w14:solidFill>
                    <w14:schemeClr w14:val="tx1"/>
                  </w14:solidFill>
                </w14:textFill>
              </w:rPr>
              <w:t>备注</w:t>
            </w:r>
          </w:p>
        </w:tc>
      </w:tr>
      <w:tr w14:paraId="5475A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71" w:hRule="atLeast"/>
        </w:trPr>
        <w:tc>
          <w:tcPr>
            <w:tcW w:w="333" w:type="pct"/>
            <w:vMerge w:val="restart"/>
            <w:shd w:val="clear" w:color="auto" w:fill="auto"/>
            <w:vAlign w:val="center"/>
          </w:tcPr>
          <w:p w14:paraId="666D9C0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Style w:val="311"/>
                <w:rFonts w:hint="eastAsia" w:ascii="仿宋" w:hAnsi="仿宋" w:eastAsia="仿宋" w:cs="仿宋"/>
                <w:color w:val="000000" w:themeColor="text1"/>
                <w:sz w:val="21"/>
                <w:szCs w:val="21"/>
                <w:highlight w:val="none"/>
                <w:lang w:val="en-US" w:eastAsia="zh-CN" w:bidi="ar"/>
                <w14:textFill>
                  <w14:solidFill>
                    <w14:schemeClr w14:val="tx1"/>
                  </w14:solidFill>
                </w14:textFill>
              </w:rPr>
              <w:t>商务资信部分（9分）</w:t>
            </w:r>
          </w:p>
        </w:tc>
        <w:tc>
          <w:tcPr>
            <w:tcW w:w="307" w:type="pct"/>
            <w:shd w:val="clear" w:color="auto" w:fill="auto"/>
            <w:vAlign w:val="center"/>
          </w:tcPr>
          <w:p w14:paraId="4AFBC4B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w:t>
            </w:r>
          </w:p>
        </w:tc>
        <w:tc>
          <w:tcPr>
            <w:tcW w:w="429" w:type="pct"/>
            <w:shd w:val="clear" w:color="auto" w:fill="auto"/>
            <w:vAlign w:val="center"/>
          </w:tcPr>
          <w:p w14:paraId="28D01C0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Style w:val="311"/>
                <w:rFonts w:hint="eastAsia" w:ascii="仿宋" w:hAnsi="仿宋" w:eastAsia="仿宋" w:cs="仿宋"/>
                <w:color w:val="000000" w:themeColor="text1"/>
                <w:sz w:val="21"/>
                <w:szCs w:val="21"/>
                <w:highlight w:val="none"/>
                <w:lang w:val="en-US" w:eastAsia="zh-CN" w:bidi="ar"/>
                <w14:textFill>
                  <w14:solidFill>
                    <w14:schemeClr w14:val="tx1"/>
                  </w14:solidFill>
                </w14:textFill>
              </w:rPr>
              <w:t>公司资质</w:t>
            </w:r>
          </w:p>
        </w:tc>
        <w:tc>
          <w:tcPr>
            <w:tcW w:w="3090" w:type="pct"/>
            <w:shd w:val="clear" w:color="auto" w:fill="auto"/>
            <w:vAlign w:val="top"/>
          </w:tcPr>
          <w:p w14:paraId="569CBF5D">
            <w:pPr>
              <w:numPr>
                <w:ilvl w:val="0"/>
                <w:numId w:val="0"/>
              </w:numPr>
              <w:bidi w:val="0"/>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1.投标人具有CCRC信息安全服务资质证书的得2分；</w:t>
            </w:r>
          </w:p>
          <w:p w14:paraId="4289BAD2">
            <w:pPr>
              <w:keepNext w:val="0"/>
              <w:keepLines w:val="0"/>
              <w:widowControl/>
              <w:numPr>
                <w:ilvl w:val="0"/>
                <w:numId w:val="0"/>
              </w:numPr>
              <w:suppressLineNumbers w:val="0"/>
              <w:jc w:val="left"/>
              <w:textAlignment w:val="top"/>
              <w:rPr>
                <w:rStyle w:val="311"/>
                <w:rFonts w:hint="eastAsia" w:ascii="仿宋" w:hAnsi="仿宋" w:eastAsia="仿宋" w:cs="仿宋"/>
                <w:color w:val="000000" w:themeColor="text1"/>
                <w:sz w:val="21"/>
                <w:szCs w:val="21"/>
                <w:highlight w:val="none"/>
                <w:lang w:val="en-US" w:eastAsia="zh-CN" w:bidi="ar"/>
                <w14:textFill>
                  <w14:solidFill>
                    <w14:schemeClr w14:val="tx1"/>
                  </w14:solidFill>
                </w14:textFill>
              </w:rPr>
            </w:pPr>
            <w:r>
              <w:rPr>
                <w:rStyle w:val="311"/>
                <w:rFonts w:hint="eastAsia" w:ascii="仿宋" w:hAnsi="仿宋" w:eastAsia="仿宋" w:cs="仿宋"/>
                <w:color w:val="000000" w:themeColor="text1"/>
                <w:sz w:val="21"/>
                <w:szCs w:val="21"/>
                <w:highlight w:val="none"/>
                <w:lang w:val="en-US" w:eastAsia="zh-CN" w:bidi="ar"/>
                <w14:textFill>
                  <w14:solidFill>
                    <w14:schemeClr w14:val="tx1"/>
                  </w14:solidFill>
                </w14:textFill>
              </w:rPr>
              <w:t>2.投标人具有信息安全管理体系认证证书的得2分；</w:t>
            </w:r>
          </w:p>
          <w:p w14:paraId="7FBFA77B">
            <w:pPr>
              <w:keepNext w:val="0"/>
              <w:keepLines w:val="0"/>
              <w:widowControl/>
              <w:numPr>
                <w:ilvl w:val="0"/>
                <w:numId w:val="0"/>
              </w:numPr>
              <w:suppressLineNumbers w:val="0"/>
              <w:jc w:val="left"/>
              <w:textAlignment w:val="top"/>
              <w:rPr>
                <w:rStyle w:val="311"/>
                <w:rFonts w:hint="eastAsia" w:ascii="仿宋" w:hAnsi="仿宋" w:eastAsia="仿宋" w:cs="仿宋"/>
                <w:color w:val="000000" w:themeColor="text1"/>
                <w:sz w:val="21"/>
                <w:szCs w:val="21"/>
                <w:highlight w:val="none"/>
                <w:lang w:val="en-US" w:eastAsia="zh-CN" w:bidi="ar"/>
                <w14:textFill>
                  <w14:solidFill>
                    <w14:schemeClr w14:val="tx1"/>
                  </w14:solidFill>
                </w14:textFill>
              </w:rPr>
            </w:pPr>
            <w:r>
              <w:rPr>
                <w:rStyle w:val="311"/>
                <w:rFonts w:hint="eastAsia" w:ascii="仿宋" w:hAnsi="仿宋" w:eastAsia="仿宋" w:cs="仿宋"/>
                <w:color w:val="000000" w:themeColor="text1"/>
                <w:sz w:val="21"/>
                <w:szCs w:val="21"/>
                <w:highlight w:val="none"/>
                <w:lang w:val="en-US" w:eastAsia="zh-CN" w:bidi="ar"/>
                <w14:textFill>
                  <w14:solidFill>
                    <w14:schemeClr w14:val="tx1"/>
                  </w14:solidFill>
                </w14:textFill>
              </w:rPr>
              <w:t>3.投标人具有电讯业质量管理体系认证证书的得2分。</w:t>
            </w:r>
          </w:p>
          <w:p w14:paraId="7BAC4CB8">
            <w:pPr>
              <w:keepNext w:val="0"/>
              <w:keepLines w:val="0"/>
              <w:widowControl/>
              <w:numPr>
                <w:ilvl w:val="0"/>
                <w:numId w:val="0"/>
              </w:numPr>
              <w:suppressLineNumbers w:val="0"/>
              <w:jc w:val="left"/>
              <w:textAlignment w:val="top"/>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Style w:val="264"/>
                <w:rFonts w:hint="eastAsia" w:ascii="仿宋" w:hAnsi="仿宋" w:eastAsia="仿宋" w:cs="仿宋"/>
                <w:color w:val="000000" w:themeColor="text1"/>
                <w:sz w:val="21"/>
                <w:szCs w:val="21"/>
                <w:highlight w:val="none"/>
                <w:lang w:val="en-US" w:eastAsia="zh-CN" w:bidi="ar"/>
                <w14:textFill>
                  <w14:solidFill>
                    <w14:schemeClr w14:val="tx1"/>
                  </w14:solidFill>
                </w14:textFill>
              </w:rPr>
              <w:t>证明材料：提供有效期内的证书复印件并加盖投标人公章，否则不得分</w:t>
            </w:r>
          </w:p>
        </w:tc>
        <w:tc>
          <w:tcPr>
            <w:tcW w:w="499" w:type="pct"/>
            <w:shd w:val="clear" w:color="auto" w:fill="auto"/>
            <w:noWrap/>
            <w:vAlign w:val="center"/>
          </w:tcPr>
          <w:p w14:paraId="32FB0EF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0-6分</w:t>
            </w:r>
          </w:p>
        </w:tc>
        <w:tc>
          <w:tcPr>
            <w:tcW w:w="339" w:type="pct"/>
            <w:shd w:val="clear" w:color="auto" w:fill="auto"/>
            <w:noWrap/>
            <w:vAlign w:val="center"/>
          </w:tcPr>
          <w:p w14:paraId="468C537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Style w:val="311"/>
                <w:rFonts w:hint="eastAsia" w:ascii="仿宋" w:hAnsi="仿宋" w:eastAsia="仿宋" w:cs="仿宋"/>
                <w:color w:val="000000" w:themeColor="text1"/>
                <w:sz w:val="21"/>
                <w:szCs w:val="21"/>
                <w:highlight w:val="none"/>
                <w:lang w:val="en-US" w:eastAsia="zh-CN" w:bidi="ar"/>
                <w14:textFill>
                  <w14:solidFill>
                    <w14:schemeClr w14:val="tx1"/>
                  </w14:solidFill>
                </w14:textFill>
              </w:rPr>
              <w:t>客观分</w:t>
            </w:r>
          </w:p>
        </w:tc>
      </w:tr>
      <w:tr w14:paraId="0328B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333" w:type="pct"/>
            <w:vMerge w:val="continue"/>
            <w:shd w:val="clear" w:color="auto" w:fill="auto"/>
            <w:vAlign w:val="center"/>
          </w:tcPr>
          <w:p w14:paraId="19E3BD8A">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307" w:type="pct"/>
            <w:shd w:val="clear" w:color="auto" w:fill="auto"/>
            <w:vAlign w:val="center"/>
          </w:tcPr>
          <w:p w14:paraId="7E53A29F">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w:t>
            </w:r>
          </w:p>
        </w:tc>
        <w:tc>
          <w:tcPr>
            <w:tcW w:w="429" w:type="pct"/>
            <w:shd w:val="clear" w:color="auto" w:fill="auto"/>
            <w:vAlign w:val="center"/>
          </w:tcPr>
          <w:p w14:paraId="1F1422F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Style w:val="311"/>
                <w:rFonts w:hint="eastAsia" w:ascii="仿宋" w:hAnsi="仿宋" w:eastAsia="仿宋" w:cs="仿宋"/>
                <w:color w:val="000000" w:themeColor="text1"/>
                <w:sz w:val="21"/>
                <w:szCs w:val="21"/>
                <w:highlight w:val="none"/>
                <w:lang w:val="en-US" w:eastAsia="zh-CN" w:bidi="ar"/>
                <w14:textFill>
                  <w14:solidFill>
                    <w14:schemeClr w14:val="tx1"/>
                  </w14:solidFill>
                </w14:textFill>
              </w:rPr>
              <w:t>业绩</w:t>
            </w:r>
          </w:p>
        </w:tc>
        <w:tc>
          <w:tcPr>
            <w:tcW w:w="3090" w:type="pct"/>
            <w:shd w:val="clear" w:color="auto" w:fill="auto"/>
            <w:vAlign w:val="top"/>
          </w:tcPr>
          <w:p w14:paraId="05ABEDFB">
            <w:pPr>
              <w:keepNext w:val="0"/>
              <w:keepLines w:val="0"/>
              <w:widowControl/>
              <w:suppressLineNumbers w:val="0"/>
              <w:jc w:val="left"/>
              <w:textAlignment w:val="top"/>
              <w:rPr>
                <w:rStyle w:val="311"/>
                <w:rFonts w:hint="eastAsia" w:ascii="仿宋" w:hAnsi="仿宋" w:eastAsia="仿宋" w:cs="仿宋"/>
                <w:color w:val="000000" w:themeColor="text1"/>
                <w:sz w:val="21"/>
                <w:szCs w:val="21"/>
                <w:highlight w:val="none"/>
                <w:lang w:val="en-US" w:eastAsia="zh-CN" w:bidi="ar"/>
                <w14:textFill>
                  <w14:solidFill>
                    <w14:schemeClr w14:val="tx1"/>
                  </w14:solidFill>
                </w14:textFill>
              </w:rPr>
            </w:pPr>
            <w:r>
              <w:rPr>
                <w:rStyle w:val="311"/>
                <w:rFonts w:hint="eastAsia" w:ascii="仿宋" w:hAnsi="仿宋" w:eastAsia="仿宋" w:cs="仿宋"/>
                <w:color w:val="000000" w:themeColor="text1"/>
                <w:sz w:val="21"/>
                <w:szCs w:val="21"/>
                <w:highlight w:val="none"/>
                <w:lang w:val="en-US" w:eastAsia="zh-CN" w:bidi="ar"/>
                <w14:textFill>
                  <w14:solidFill>
                    <w14:schemeClr w14:val="tx1"/>
                  </w14:solidFill>
                </w14:textFill>
              </w:rPr>
              <w:t>提供2021年1月1日至今（以合同签订日期为准）投标人承担过未来社区数字化建设项目的合同。每提供一个得1分，最高得3分。</w:t>
            </w:r>
          </w:p>
          <w:p w14:paraId="6D3A8E12">
            <w:pPr>
              <w:keepNext w:val="0"/>
              <w:keepLines w:val="0"/>
              <w:widowControl/>
              <w:suppressLineNumbers w:val="0"/>
              <w:jc w:val="left"/>
              <w:textAlignment w:val="top"/>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Style w:val="264"/>
                <w:rFonts w:hint="eastAsia" w:ascii="仿宋" w:hAnsi="仿宋" w:eastAsia="仿宋" w:cs="仿宋"/>
                <w:color w:val="000000" w:themeColor="text1"/>
                <w:sz w:val="21"/>
                <w:szCs w:val="21"/>
                <w:highlight w:val="none"/>
                <w:lang w:val="en-US" w:eastAsia="zh-CN" w:bidi="ar"/>
                <w14:textFill>
                  <w14:solidFill>
                    <w14:schemeClr w14:val="tx1"/>
                  </w14:solidFill>
                </w14:textFill>
              </w:rPr>
              <w:t>证明材料：提供合同复印件并加盖投标人公章，否则不得分</w:t>
            </w:r>
          </w:p>
        </w:tc>
        <w:tc>
          <w:tcPr>
            <w:tcW w:w="499" w:type="pct"/>
            <w:shd w:val="clear" w:color="auto" w:fill="auto"/>
            <w:vAlign w:val="center"/>
          </w:tcPr>
          <w:p w14:paraId="069F5EC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lang w:val="en-US"/>
                <w14:textFill>
                  <w14:solidFill>
                    <w14:schemeClr w14:val="tx1"/>
                  </w14:solidFill>
                </w14:textFill>
              </w:rPr>
            </w:pPr>
            <w:r>
              <w:rPr>
                <w:rStyle w:val="311"/>
                <w:rFonts w:hint="eastAsia" w:ascii="仿宋" w:hAnsi="仿宋" w:eastAsia="仿宋" w:cs="仿宋"/>
                <w:color w:val="000000" w:themeColor="text1"/>
                <w:sz w:val="21"/>
                <w:szCs w:val="21"/>
                <w:highlight w:val="none"/>
                <w:lang w:val="en-US" w:eastAsia="zh-CN" w:bidi="ar"/>
                <w14:textFill>
                  <w14:solidFill>
                    <w14:schemeClr w14:val="tx1"/>
                  </w14:solidFill>
                </w14:textFill>
              </w:rPr>
              <w:t>0-3</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分</w:t>
            </w:r>
          </w:p>
        </w:tc>
        <w:tc>
          <w:tcPr>
            <w:tcW w:w="339" w:type="pct"/>
            <w:shd w:val="clear" w:color="auto" w:fill="auto"/>
            <w:noWrap/>
            <w:vAlign w:val="center"/>
          </w:tcPr>
          <w:p w14:paraId="7704AFEC">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Style w:val="311"/>
                <w:rFonts w:hint="eastAsia" w:ascii="仿宋" w:hAnsi="仿宋" w:eastAsia="仿宋" w:cs="仿宋"/>
                <w:color w:val="000000" w:themeColor="text1"/>
                <w:sz w:val="21"/>
                <w:szCs w:val="21"/>
                <w:highlight w:val="none"/>
                <w:lang w:val="en-US" w:eastAsia="zh-CN" w:bidi="ar"/>
                <w14:textFill>
                  <w14:solidFill>
                    <w14:schemeClr w14:val="tx1"/>
                  </w14:solidFill>
                </w14:textFill>
              </w:rPr>
              <w:t>客观分</w:t>
            </w:r>
          </w:p>
        </w:tc>
      </w:tr>
      <w:tr w14:paraId="3A0DA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23" w:hRule="atLeast"/>
        </w:trPr>
        <w:tc>
          <w:tcPr>
            <w:tcW w:w="333" w:type="pct"/>
            <w:vMerge w:val="restart"/>
            <w:shd w:val="clear" w:color="auto" w:fill="auto"/>
            <w:vAlign w:val="center"/>
          </w:tcPr>
          <w:p w14:paraId="2E4349D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Style w:val="311"/>
                <w:rFonts w:hint="eastAsia" w:ascii="仿宋" w:hAnsi="仿宋" w:eastAsia="仿宋" w:cs="仿宋"/>
                <w:color w:val="000000" w:themeColor="text1"/>
                <w:sz w:val="21"/>
                <w:szCs w:val="21"/>
                <w:highlight w:val="none"/>
                <w:lang w:val="en-US" w:eastAsia="zh-CN" w:bidi="ar"/>
                <w14:textFill>
                  <w14:solidFill>
                    <w14:schemeClr w14:val="tx1"/>
                  </w14:solidFill>
                </w14:textFill>
              </w:rPr>
              <w:t>技术部分（61）</w:t>
            </w:r>
          </w:p>
        </w:tc>
        <w:tc>
          <w:tcPr>
            <w:tcW w:w="307" w:type="pct"/>
            <w:vMerge w:val="restart"/>
            <w:shd w:val="clear" w:color="auto" w:fill="auto"/>
            <w:vAlign w:val="center"/>
          </w:tcPr>
          <w:p w14:paraId="6F796F7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w:t>
            </w:r>
          </w:p>
        </w:tc>
        <w:tc>
          <w:tcPr>
            <w:tcW w:w="429" w:type="pct"/>
            <w:vMerge w:val="restart"/>
            <w:shd w:val="clear" w:color="auto" w:fill="auto"/>
            <w:vAlign w:val="center"/>
          </w:tcPr>
          <w:p w14:paraId="13F6CF5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Style w:val="311"/>
                <w:rFonts w:hint="eastAsia" w:ascii="仿宋" w:hAnsi="仿宋" w:eastAsia="仿宋" w:cs="仿宋"/>
                <w:color w:val="000000" w:themeColor="text1"/>
                <w:sz w:val="21"/>
                <w:szCs w:val="21"/>
                <w:highlight w:val="none"/>
                <w:lang w:val="en-US" w:eastAsia="zh-CN" w:bidi="ar"/>
                <w14:textFill>
                  <w14:solidFill>
                    <w14:schemeClr w14:val="tx1"/>
                  </w14:solidFill>
                </w14:textFill>
              </w:rPr>
              <w:t>技术方案</w:t>
            </w:r>
          </w:p>
        </w:tc>
        <w:tc>
          <w:tcPr>
            <w:tcW w:w="3090" w:type="pct"/>
            <w:shd w:val="clear" w:color="auto" w:fill="auto"/>
            <w:vAlign w:val="top"/>
          </w:tcPr>
          <w:p w14:paraId="7C88E022">
            <w:pPr>
              <w:keepNext w:val="0"/>
              <w:keepLines w:val="0"/>
              <w:widowControl/>
              <w:suppressLineNumbers w:val="0"/>
              <w:jc w:val="left"/>
              <w:textAlignment w:val="top"/>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对本项目现状有充分的理解，对社区数字化运营、应用统一入口、基础数据互相打通、特色数字化应用完善四个方面当前存在的主要问题进行描述，描述清晰、全面、科学、合理得1.4-2分，描述不够清晰全面、科学性较差、合理性较差得0.7-1.3分，不提供或存在明显缺陷的得0分。</w:t>
            </w:r>
          </w:p>
        </w:tc>
        <w:tc>
          <w:tcPr>
            <w:tcW w:w="499" w:type="pct"/>
            <w:shd w:val="clear" w:color="auto" w:fill="auto"/>
            <w:vAlign w:val="center"/>
          </w:tcPr>
          <w:p w14:paraId="3A6822E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0-2分</w:t>
            </w:r>
          </w:p>
        </w:tc>
        <w:tc>
          <w:tcPr>
            <w:tcW w:w="339" w:type="pct"/>
            <w:shd w:val="clear" w:color="auto" w:fill="auto"/>
            <w:noWrap/>
            <w:vAlign w:val="center"/>
          </w:tcPr>
          <w:p w14:paraId="7FB68FB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Style w:val="311"/>
                <w:rFonts w:hint="eastAsia" w:ascii="仿宋" w:hAnsi="仿宋" w:eastAsia="仿宋" w:cs="仿宋"/>
                <w:color w:val="000000" w:themeColor="text1"/>
                <w:sz w:val="21"/>
                <w:szCs w:val="21"/>
                <w:highlight w:val="none"/>
                <w:lang w:val="en-US" w:eastAsia="zh-CN" w:bidi="ar"/>
                <w14:textFill>
                  <w14:solidFill>
                    <w14:schemeClr w14:val="tx1"/>
                  </w14:solidFill>
                </w14:textFill>
              </w:rPr>
              <w:t>主观分</w:t>
            </w:r>
          </w:p>
        </w:tc>
      </w:tr>
      <w:tr w14:paraId="14BBB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0" w:hRule="atLeast"/>
        </w:trPr>
        <w:tc>
          <w:tcPr>
            <w:tcW w:w="333" w:type="pct"/>
            <w:vMerge w:val="continue"/>
            <w:shd w:val="clear" w:color="auto" w:fill="auto"/>
            <w:vAlign w:val="center"/>
          </w:tcPr>
          <w:p w14:paraId="450412E4">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307" w:type="pct"/>
            <w:vMerge w:val="continue"/>
            <w:shd w:val="clear" w:color="auto" w:fill="auto"/>
            <w:vAlign w:val="center"/>
          </w:tcPr>
          <w:p w14:paraId="6FD17363">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29" w:type="pct"/>
            <w:vMerge w:val="continue"/>
            <w:shd w:val="clear" w:color="auto" w:fill="auto"/>
            <w:vAlign w:val="center"/>
          </w:tcPr>
          <w:p w14:paraId="3D3A0DFB">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3090" w:type="pct"/>
            <w:shd w:val="clear" w:color="auto" w:fill="auto"/>
            <w:vAlign w:val="top"/>
          </w:tcPr>
          <w:p w14:paraId="6F7C8CC5">
            <w:pPr>
              <w:keepNext w:val="0"/>
              <w:keepLines w:val="0"/>
              <w:widowControl/>
              <w:suppressLineNumbers w:val="0"/>
              <w:jc w:val="left"/>
              <w:textAlignment w:val="top"/>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对项目需求的理解情况，包含对建设目标、建设原则、建设要求、建设内容、建设思路等方面的理解情况，描述清晰、全面、科学、合理得1.4-2分，描述不够清晰全面、科学性较差、合理性较差得0.7-1.3分，不提供或存在明显缺陷的得0分。</w:t>
            </w:r>
          </w:p>
        </w:tc>
        <w:tc>
          <w:tcPr>
            <w:tcW w:w="499" w:type="pct"/>
            <w:shd w:val="clear" w:color="auto" w:fill="auto"/>
            <w:vAlign w:val="center"/>
          </w:tcPr>
          <w:p w14:paraId="1DCF5DEA">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0-2分</w:t>
            </w:r>
          </w:p>
        </w:tc>
        <w:tc>
          <w:tcPr>
            <w:tcW w:w="339" w:type="pct"/>
            <w:shd w:val="clear" w:color="auto" w:fill="auto"/>
            <w:noWrap/>
            <w:vAlign w:val="center"/>
          </w:tcPr>
          <w:p w14:paraId="57FC05D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Style w:val="311"/>
                <w:rFonts w:hint="eastAsia" w:ascii="仿宋" w:hAnsi="仿宋" w:eastAsia="仿宋" w:cs="仿宋"/>
                <w:color w:val="000000" w:themeColor="text1"/>
                <w:sz w:val="21"/>
                <w:szCs w:val="21"/>
                <w:highlight w:val="none"/>
                <w:lang w:val="en-US" w:eastAsia="zh-CN" w:bidi="ar"/>
                <w14:textFill>
                  <w14:solidFill>
                    <w14:schemeClr w14:val="tx1"/>
                  </w14:solidFill>
                </w14:textFill>
              </w:rPr>
              <w:t>主观分</w:t>
            </w:r>
          </w:p>
        </w:tc>
      </w:tr>
      <w:tr w14:paraId="1C227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33" w:type="pct"/>
            <w:vMerge w:val="continue"/>
            <w:shd w:val="clear" w:color="auto" w:fill="auto"/>
            <w:vAlign w:val="center"/>
          </w:tcPr>
          <w:p w14:paraId="7EF9CFDA">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307" w:type="pct"/>
            <w:vMerge w:val="continue"/>
            <w:shd w:val="clear" w:color="auto" w:fill="auto"/>
            <w:vAlign w:val="center"/>
          </w:tcPr>
          <w:p w14:paraId="1224DB1D">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29" w:type="pct"/>
            <w:vMerge w:val="continue"/>
            <w:shd w:val="clear" w:color="auto" w:fill="auto"/>
            <w:vAlign w:val="center"/>
          </w:tcPr>
          <w:p w14:paraId="20CF1DCA">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3090" w:type="pct"/>
            <w:shd w:val="clear" w:color="auto" w:fill="auto"/>
            <w:vAlign w:val="top"/>
          </w:tcPr>
          <w:p w14:paraId="68DCA6BF">
            <w:pPr>
              <w:keepNext w:val="0"/>
              <w:keepLines w:val="0"/>
              <w:widowControl/>
              <w:suppressLineNumbers w:val="0"/>
              <w:jc w:val="left"/>
              <w:textAlignment w:val="top"/>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提供本项目的总体设计方案，包括但不限于系统架构、技术架构、关键技术分析等，描述清晰、全面、科学、合理得1.4-2分，不清晰全面、科学性较差、合理性较差得0.7-1.3分，不提供或存在明显缺陷的得0分。</w:t>
            </w:r>
          </w:p>
        </w:tc>
        <w:tc>
          <w:tcPr>
            <w:tcW w:w="499" w:type="pct"/>
            <w:shd w:val="clear" w:color="auto" w:fill="auto"/>
            <w:vAlign w:val="center"/>
          </w:tcPr>
          <w:p w14:paraId="23F86EA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lang w:val="en-US"/>
                <w14:textFill>
                  <w14:solidFill>
                    <w14:schemeClr w14:val="tx1"/>
                  </w14:solidFill>
                </w14:textFill>
              </w:rPr>
            </w:pPr>
            <w:r>
              <w:rPr>
                <w:rStyle w:val="311"/>
                <w:rFonts w:hint="eastAsia" w:ascii="仿宋" w:hAnsi="仿宋" w:eastAsia="仿宋" w:cs="仿宋"/>
                <w:color w:val="000000" w:themeColor="text1"/>
                <w:sz w:val="21"/>
                <w:szCs w:val="21"/>
                <w:highlight w:val="none"/>
                <w:lang w:val="en-US" w:eastAsia="zh-CN" w:bidi="ar"/>
                <w14:textFill>
                  <w14:solidFill>
                    <w14:schemeClr w14:val="tx1"/>
                  </w14:solidFill>
                </w14:textFill>
              </w:rPr>
              <w:t>0-2</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分</w:t>
            </w:r>
          </w:p>
        </w:tc>
        <w:tc>
          <w:tcPr>
            <w:tcW w:w="339" w:type="pct"/>
            <w:shd w:val="clear" w:color="auto" w:fill="auto"/>
            <w:noWrap/>
            <w:vAlign w:val="center"/>
          </w:tcPr>
          <w:p w14:paraId="1C2000F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Style w:val="311"/>
                <w:rFonts w:hint="eastAsia" w:ascii="仿宋" w:hAnsi="仿宋" w:eastAsia="仿宋" w:cs="仿宋"/>
                <w:color w:val="000000" w:themeColor="text1"/>
                <w:sz w:val="21"/>
                <w:szCs w:val="21"/>
                <w:highlight w:val="none"/>
                <w:lang w:val="en-US" w:eastAsia="zh-CN" w:bidi="ar"/>
                <w14:textFill>
                  <w14:solidFill>
                    <w14:schemeClr w14:val="tx1"/>
                  </w14:solidFill>
                </w14:textFill>
              </w:rPr>
              <w:t>主观分</w:t>
            </w:r>
          </w:p>
        </w:tc>
      </w:tr>
      <w:tr w14:paraId="20550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1" w:hRule="atLeast"/>
        </w:trPr>
        <w:tc>
          <w:tcPr>
            <w:tcW w:w="333" w:type="pct"/>
            <w:vMerge w:val="continue"/>
            <w:shd w:val="clear" w:color="auto" w:fill="auto"/>
            <w:vAlign w:val="center"/>
          </w:tcPr>
          <w:p w14:paraId="4D7669CE">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307" w:type="pct"/>
            <w:vMerge w:val="continue"/>
            <w:shd w:val="clear" w:color="auto" w:fill="auto"/>
            <w:vAlign w:val="center"/>
          </w:tcPr>
          <w:p w14:paraId="4F4724A2">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29" w:type="pct"/>
            <w:vMerge w:val="continue"/>
            <w:shd w:val="clear" w:color="auto" w:fill="auto"/>
            <w:vAlign w:val="center"/>
          </w:tcPr>
          <w:p w14:paraId="6C127029">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3090" w:type="pct"/>
            <w:shd w:val="clear" w:color="auto" w:fill="auto"/>
            <w:vAlign w:val="top"/>
          </w:tcPr>
          <w:p w14:paraId="52C0FF31">
            <w:pPr>
              <w:keepNext w:val="0"/>
              <w:keepLines w:val="0"/>
              <w:widowControl/>
              <w:suppressLineNumbers w:val="0"/>
              <w:jc w:val="left"/>
              <w:textAlignment w:val="top"/>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根据项目采购需求提供相应详细设计方案，包括：</w:t>
            </w:r>
          </w:p>
          <w:p w14:paraId="06FDE32B">
            <w:pPr>
              <w:numPr>
                <w:ilvl w:val="0"/>
                <w:numId w:val="4"/>
              </w:numPr>
              <w:bidi w:val="0"/>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区级未来社区平台数字底座能力复用、交互端设计、场景应用设计等，方案描述清晰、全面、科学、合理得</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1.4-2</w:t>
            </w:r>
            <w:r>
              <w:rPr>
                <w:rFonts w:hint="eastAsia" w:ascii="仿宋" w:hAnsi="仿宋" w:eastAsia="仿宋" w:cs="仿宋"/>
                <w:color w:val="000000" w:themeColor="text1"/>
                <w:sz w:val="21"/>
                <w:szCs w:val="21"/>
                <w:highlight w:val="none"/>
                <w:lang w:val="en-US" w:eastAsia="zh-CN"/>
                <w14:textFill>
                  <w14:solidFill>
                    <w14:schemeClr w14:val="tx1"/>
                  </w14:solidFill>
                </w14:textFill>
              </w:rPr>
              <w:t>分，</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不清晰全面、科学性较差、合理性较差得0.7-1.3分</w:t>
            </w:r>
            <w:r>
              <w:rPr>
                <w:rFonts w:hint="eastAsia" w:ascii="仿宋" w:hAnsi="仿宋" w:eastAsia="仿宋" w:cs="仿宋"/>
                <w:color w:val="000000" w:themeColor="text1"/>
                <w:sz w:val="21"/>
                <w:szCs w:val="21"/>
                <w:highlight w:val="none"/>
                <w:lang w:val="en-US" w:eastAsia="zh-CN"/>
                <w14:textFill>
                  <w14:solidFill>
                    <w14:schemeClr w14:val="tx1"/>
                  </w14:solidFill>
                </w14:textFill>
              </w:rPr>
              <w:t>，不提供或存在明显缺陷的得0分。</w:t>
            </w:r>
          </w:p>
          <w:p w14:paraId="2254AB88">
            <w:pPr>
              <w:numPr>
                <w:ilvl w:val="0"/>
                <w:numId w:val="4"/>
              </w:numPr>
              <w:bidi w:val="0"/>
              <w:rPr>
                <w:rFonts w:hint="eastAsia" w:ascii="仿宋" w:hAnsi="仿宋" w:eastAsia="仿宋" w:cs="仿宋"/>
                <w:color w:val="000000" w:themeColor="text1"/>
                <w:sz w:val="21"/>
                <w:szCs w:val="21"/>
                <w:highlight w:val="none"/>
                <w:lang w:val="en-US"/>
                <w14:textFill>
                  <w14:solidFill>
                    <w14:schemeClr w14:val="tx1"/>
                  </w14:solidFill>
                </w14:textFill>
              </w:rPr>
            </w:pPr>
            <w:r>
              <w:rPr>
                <w:rFonts w:hint="eastAsia" w:ascii="仿宋" w:hAnsi="仿宋" w:eastAsia="仿宋" w:cs="仿宋"/>
                <w:color w:val="000000" w:themeColor="text1"/>
                <w:sz w:val="21"/>
                <w:szCs w:val="21"/>
                <w:highlight w:val="none"/>
                <w:lang w:val="en-US"/>
                <w14:textFill>
                  <w14:solidFill>
                    <w14:schemeClr w14:val="tx1"/>
                  </w14:solidFill>
                </w14:textFill>
              </w:rPr>
              <w:t>结合项目招标文件内容及建设需求，针对</w:t>
            </w:r>
            <w:r>
              <w:rPr>
                <w:rFonts w:hint="eastAsia" w:ascii="仿宋" w:hAnsi="仿宋" w:eastAsia="仿宋" w:cs="仿宋"/>
                <w:color w:val="000000" w:themeColor="text1"/>
                <w:sz w:val="21"/>
                <w:szCs w:val="21"/>
                <w:highlight w:val="none"/>
                <w:lang w:val="en-US" w:eastAsia="zh-CN"/>
                <w14:textFill>
                  <w14:solidFill>
                    <w14:schemeClr w14:val="tx1"/>
                  </w14:solidFill>
                </w14:textFill>
              </w:rPr>
              <w:t>“汇宇运动100”</w:t>
            </w:r>
            <w:r>
              <w:rPr>
                <w:rFonts w:hint="eastAsia" w:ascii="仿宋" w:hAnsi="仿宋" w:eastAsia="仿宋" w:cs="仿宋"/>
                <w:color w:val="000000" w:themeColor="text1"/>
                <w:sz w:val="21"/>
                <w:szCs w:val="21"/>
                <w:highlight w:val="none"/>
                <w:lang w:val="en-US"/>
                <w14:textFill>
                  <w14:solidFill>
                    <w14:schemeClr w14:val="tx1"/>
                  </w14:solidFill>
                </w14:textFill>
              </w:rPr>
              <w:t>特色应用的</w:t>
            </w:r>
            <w:r>
              <w:rPr>
                <w:rFonts w:hint="eastAsia" w:ascii="仿宋" w:hAnsi="仿宋" w:eastAsia="仿宋" w:cs="仿宋"/>
                <w:color w:val="000000" w:themeColor="text1"/>
                <w:sz w:val="21"/>
                <w:szCs w:val="21"/>
                <w:highlight w:val="none"/>
                <w:lang w:val="en-US" w:eastAsia="zh-CN"/>
                <w14:textFill>
                  <w14:solidFill>
                    <w14:schemeClr w14:val="tx1"/>
                  </w14:solidFill>
                </w14:textFill>
              </w:rPr>
              <w:t>建设内容、</w:t>
            </w:r>
            <w:r>
              <w:rPr>
                <w:rFonts w:hint="eastAsia" w:ascii="仿宋" w:hAnsi="仿宋" w:eastAsia="仿宋" w:cs="仿宋"/>
                <w:color w:val="000000" w:themeColor="text1"/>
                <w:sz w:val="21"/>
                <w:szCs w:val="21"/>
                <w:highlight w:val="none"/>
                <w:lang w:val="en-US"/>
                <w14:textFill>
                  <w14:solidFill>
                    <w14:schemeClr w14:val="tx1"/>
                  </w14:solidFill>
                </w14:textFill>
              </w:rPr>
              <w:t>建设</w:t>
            </w:r>
            <w:r>
              <w:rPr>
                <w:rFonts w:hint="eastAsia" w:ascii="仿宋" w:hAnsi="仿宋" w:eastAsia="仿宋" w:cs="仿宋"/>
                <w:color w:val="000000" w:themeColor="text1"/>
                <w:sz w:val="21"/>
                <w:szCs w:val="21"/>
                <w:highlight w:val="none"/>
                <w:lang w:val="en-US" w:eastAsia="zh-CN"/>
                <w14:textFill>
                  <w14:solidFill>
                    <w14:schemeClr w14:val="tx1"/>
                  </w14:solidFill>
                </w14:textFill>
              </w:rPr>
              <w:t>思路</w:t>
            </w:r>
            <w:r>
              <w:rPr>
                <w:rFonts w:hint="eastAsia" w:ascii="仿宋" w:hAnsi="仿宋" w:eastAsia="仿宋" w:cs="仿宋"/>
                <w:color w:val="000000" w:themeColor="text1"/>
                <w:sz w:val="21"/>
                <w:szCs w:val="21"/>
                <w:highlight w:val="none"/>
                <w:lang w:val="en-US"/>
                <w14:textFill>
                  <w14:solidFill>
                    <w14:schemeClr w14:val="tx1"/>
                  </w14:solidFill>
                </w14:textFill>
              </w:rPr>
              <w:t>等进行描述，</w:t>
            </w:r>
            <w:r>
              <w:rPr>
                <w:rFonts w:hint="eastAsia" w:ascii="仿宋" w:hAnsi="仿宋" w:eastAsia="仿宋" w:cs="仿宋"/>
                <w:color w:val="000000" w:themeColor="text1"/>
                <w:sz w:val="21"/>
                <w:szCs w:val="21"/>
                <w:highlight w:val="none"/>
                <w:lang w:val="en-US" w:eastAsia="zh-CN"/>
                <w14:textFill>
                  <w14:solidFill>
                    <w14:schemeClr w14:val="tx1"/>
                  </w14:solidFill>
                </w14:textFill>
              </w:rPr>
              <w:t>方案描述清晰、全面、科学、合理得0.7-1分，</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不清晰全面、科学性较差、合理性较差得0.3-0.6分</w:t>
            </w:r>
            <w:r>
              <w:rPr>
                <w:rFonts w:hint="eastAsia" w:ascii="仿宋" w:hAnsi="仿宋" w:eastAsia="仿宋" w:cs="仿宋"/>
                <w:color w:val="000000" w:themeColor="text1"/>
                <w:sz w:val="21"/>
                <w:szCs w:val="21"/>
                <w:highlight w:val="none"/>
                <w:lang w:val="en-US" w:eastAsia="zh-CN"/>
                <w14:textFill>
                  <w14:solidFill>
                    <w14:schemeClr w14:val="tx1"/>
                  </w14:solidFill>
                </w14:textFill>
              </w:rPr>
              <w:t>，不提供或存在明显缺陷的得0分。</w:t>
            </w:r>
          </w:p>
        </w:tc>
        <w:tc>
          <w:tcPr>
            <w:tcW w:w="499" w:type="pct"/>
            <w:shd w:val="clear" w:color="auto" w:fill="auto"/>
            <w:vAlign w:val="center"/>
          </w:tcPr>
          <w:p w14:paraId="7D80CD0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0-3分</w:t>
            </w:r>
          </w:p>
        </w:tc>
        <w:tc>
          <w:tcPr>
            <w:tcW w:w="339" w:type="pct"/>
            <w:shd w:val="clear" w:color="auto" w:fill="auto"/>
            <w:noWrap/>
            <w:vAlign w:val="center"/>
          </w:tcPr>
          <w:p w14:paraId="72B6777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Style w:val="311"/>
                <w:rFonts w:hint="eastAsia" w:ascii="仿宋" w:hAnsi="仿宋" w:eastAsia="仿宋" w:cs="仿宋"/>
                <w:color w:val="000000" w:themeColor="text1"/>
                <w:sz w:val="21"/>
                <w:szCs w:val="21"/>
                <w:highlight w:val="none"/>
                <w:lang w:val="en-US" w:eastAsia="zh-CN" w:bidi="ar"/>
                <w14:textFill>
                  <w14:solidFill>
                    <w14:schemeClr w14:val="tx1"/>
                  </w14:solidFill>
                </w14:textFill>
              </w:rPr>
              <w:t>主观分</w:t>
            </w:r>
          </w:p>
        </w:tc>
      </w:tr>
      <w:tr w14:paraId="49344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40" w:hRule="atLeast"/>
        </w:trPr>
        <w:tc>
          <w:tcPr>
            <w:tcW w:w="333" w:type="pct"/>
            <w:vMerge w:val="continue"/>
            <w:shd w:val="clear" w:color="auto" w:fill="auto"/>
            <w:vAlign w:val="center"/>
          </w:tcPr>
          <w:p w14:paraId="12027711">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307" w:type="pct"/>
            <w:vMerge w:val="continue"/>
            <w:shd w:val="clear" w:color="auto" w:fill="auto"/>
            <w:vAlign w:val="center"/>
          </w:tcPr>
          <w:p w14:paraId="164E48DB">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29" w:type="pct"/>
            <w:vMerge w:val="continue"/>
            <w:shd w:val="clear" w:color="auto" w:fill="auto"/>
            <w:vAlign w:val="center"/>
          </w:tcPr>
          <w:p w14:paraId="0A9061E1">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3090" w:type="pct"/>
            <w:shd w:val="clear" w:color="auto" w:fill="auto"/>
            <w:vAlign w:val="top"/>
          </w:tcPr>
          <w:p w14:paraId="5AFC68E8">
            <w:pPr>
              <w:keepNext w:val="0"/>
              <w:keepLines w:val="0"/>
              <w:widowControl/>
              <w:suppressLineNumbers w:val="0"/>
              <w:jc w:val="left"/>
              <w:textAlignment w:val="top"/>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提供汇宇社区复用区级未来社区平台的接入方案，包括物联设备配置接入、数仓配置接入、社区特色应用开发接入、交互端配置接入等方案，描述清晰、全面、科学、合理得2.1-3分，不清晰全面、科学性较差、合理性较差得1.1-2分，不提供或存在明显缺陷的得0分。</w:t>
            </w:r>
          </w:p>
        </w:tc>
        <w:tc>
          <w:tcPr>
            <w:tcW w:w="499" w:type="pct"/>
            <w:shd w:val="clear" w:color="auto" w:fill="auto"/>
            <w:noWrap/>
            <w:vAlign w:val="center"/>
          </w:tcPr>
          <w:p w14:paraId="0620B11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0-3分</w:t>
            </w:r>
          </w:p>
        </w:tc>
        <w:tc>
          <w:tcPr>
            <w:tcW w:w="339" w:type="pct"/>
            <w:shd w:val="clear" w:color="auto" w:fill="auto"/>
            <w:noWrap/>
            <w:vAlign w:val="center"/>
          </w:tcPr>
          <w:p w14:paraId="277FB2C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Style w:val="311"/>
                <w:rFonts w:hint="eastAsia" w:ascii="仿宋" w:hAnsi="仿宋" w:eastAsia="仿宋" w:cs="仿宋"/>
                <w:color w:val="000000" w:themeColor="text1"/>
                <w:sz w:val="21"/>
                <w:szCs w:val="21"/>
                <w:highlight w:val="none"/>
                <w:lang w:val="en-US" w:eastAsia="zh-CN" w:bidi="ar"/>
                <w14:textFill>
                  <w14:solidFill>
                    <w14:schemeClr w14:val="tx1"/>
                  </w14:solidFill>
                </w14:textFill>
              </w:rPr>
              <w:t>主观分</w:t>
            </w:r>
          </w:p>
        </w:tc>
      </w:tr>
      <w:tr w14:paraId="58897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33" w:type="pct"/>
            <w:vMerge w:val="continue"/>
            <w:shd w:val="clear" w:color="auto" w:fill="auto"/>
            <w:vAlign w:val="center"/>
          </w:tcPr>
          <w:p w14:paraId="3FBCA62C">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307" w:type="pct"/>
            <w:vMerge w:val="continue"/>
            <w:shd w:val="clear" w:color="auto" w:fill="auto"/>
            <w:vAlign w:val="center"/>
          </w:tcPr>
          <w:p w14:paraId="2F18302D">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29" w:type="pct"/>
            <w:vMerge w:val="continue"/>
            <w:shd w:val="clear" w:color="auto" w:fill="auto"/>
            <w:vAlign w:val="center"/>
          </w:tcPr>
          <w:p w14:paraId="71C2B187">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3090" w:type="pct"/>
            <w:shd w:val="clear" w:color="auto" w:fill="auto"/>
            <w:vAlign w:val="top"/>
          </w:tcPr>
          <w:p w14:paraId="321172F1">
            <w:pPr>
              <w:keepNext w:val="0"/>
              <w:keepLines w:val="0"/>
              <w:widowControl/>
              <w:suppressLineNumbers w:val="0"/>
              <w:jc w:val="left"/>
              <w:textAlignment w:val="top"/>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投标人需承诺新建应用接入区级未来社区平台并在区平台应用超市上架，提供承诺函的得1分，不提供不得分。</w:t>
            </w:r>
          </w:p>
        </w:tc>
        <w:tc>
          <w:tcPr>
            <w:tcW w:w="499" w:type="pct"/>
            <w:shd w:val="clear" w:color="auto" w:fill="auto"/>
            <w:noWrap/>
            <w:vAlign w:val="center"/>
          </w:tcPr>
          <w:p w14:paraId="0C7A724C">
            <w:pPr>
              <w:keepNext w:val="0"/>
              <w:keepLines w:val="0"/>
              <w:widowControl/>
              <w:suppressLineNumbers w:val="0"/>
              <w:jc w:val="center"/>
              <w:textAlignment w:val="center"/>
              <w:rPr>
                <w:rFonts w:hint="default" w:ascii="仿宋" w:hAnsi="仿宋" w:eastAsia="仿宋" w:cs="仿宋"/>
                <w:i w:val="0"/>
                <w:iCs w:val="0"/>
                <w:color w:val="000000" w:themeColor="text1"/>
                <w:sz w:val="21"/>
                <w:szCs w:val="21"/>
                <w:highlight w:val="none"/>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0-1分</w:t>
            </w:r>
          </w:p>
        </w:tc>
        <w:tc>
          <w:tcPr>
            <w:tcW w:w="339" w:type="pct"/>
            <w:shd w:val="clear" w:color="auto" w:fill="auto"/>
            <w:noWrap/>
            <w:vAlign w:val="center"/>
          </w:tcPr>
          <w:p w14:paraId="4759DA3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Style w:val="311"/>
                <w:rFonts w:hint="eastAsia" w:ascii="仿宋" w:hAnsi="仿宋" w:eastAsia="仿宋" w:cs="仿宋"/>
                <w:color w:val="000000" w:themeColor="text1"/>
                <w:sz w:val="21"/>
                <w:szCs w:val="21"/>
                <w:highlight w:val="none"/>
                <w:lang w:val="en-US" w:eastAsia="zh-CN" w:bidi="ar"/>
                <w14:textFill>
                  <w14:solidFill>
                    <w14:schemeClr w14:val="tx1"/>
                  </w14:solidFill>
                </w14:textFill>
              </w:rPr>
              <w:t>主观分</w:t>
            </w:r>
          </w:p>
        </w:tc>
      </w:tr>
      <w:tr w14:paraId="29383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7" w:hRule="atLeast"/>
        </w:trPr>
        <w:tc>
          <w:tcPr>
            <w:tcW w:w="333" w:type="pct"/>
            <w:vMerge w:val="continue"/>
            <w:shd w:val="clear" w:color="auto" w:fill="auto"/>
            <w:vAlign w:val="center"/>
          </w:tcPr>
          <w:p w14:paraId="0D1861AD">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307" w:type="pct"/>
            <w:shd w:val="clear" w:color="auto" w:fill="auto"/>
            <w:vAlign w:val="center"/>
          </w:tcPr>
          <w:p w14:paraId="570FA2A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w:t>
            </w:r>
          </w:p>
        </w:tc>
        <w:tc>
          <w:tcPr>
            <w:tcW w:w="429" w:type="pct"/>
            <w:shd w:val="clear" w:color="auto" w:fill="auto"/>
            <w:vAlign w:val="center"/>
          </w:tcPr>
          <w:p w14:paraId="3C25A9A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Style w:val="311"/>
                <w:rFonts w:hint="eastAsia" w:ascii="仿宋" w:hAnsi="仿宋" w:eastAsia="仿宋" w:cs="仿宋"/>
                <w:color w:val="000000" w:themeColor="text1"/>
                <w:sz w:val="21"/>
                <w:szCs w:val="21"/>
                <w:highlight w:val="none"/>
                <w:lang w:val="en-US" w:eastAsia="zh-CN" w:bidi="ar"/>
                <w14:textFill>
                  <w14:solidFill>
                    <w14:schemeClr w14:val="tx1"/>
                  </w14:solidFill>
                </w14:textFill>
              </w:rPr>
              <w:t>技术参数偏离情况</w:t>
            </w:r>
          </w:p>
        </w:tc>
        <w:tc>
          <w:tcPr>
            <w:tcW w:w="3090" w:type="pct"/>
            <w:shd w:val="clear" w:color="auto" w:fill="auto"/>
            <w:vAlign w:val="top"/>
          </w:tcPr>
          <w:p w14:paraId="094DCE4E">
            <w:pPr>
              <w:keepNext w:val="0"/>
              <w:keepLines w:val="0"/>
              <w:widowControl/>
              <w:suppressLineNumbers w:val="0"/>
              <w:jc w:val="left"/>
              <w:textAlignment w:val="top"/>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投标产品与招标需求的偏差情况（包括所投标产品的规格型号、详细配置、主要技术参数），是否能满足招标文件的要求，能满足招标货物的所有性能及技术指标要求得18分。</w:t>
            </w:r>
          </w:p>
          <w:p w14:paraId="1F79F3BB">
            <w:pPr>
              <w:keepNext w:val="0"/>
              <w:keepLines w:val="0"/>
              <w:widowControl/>
              <w:suppressLineNumbers w:val="0"/>
              <w:jc w:val="left"/>
              <w:textAlignment w:val="top"/>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标●技术指标每偏离一项扣除2分，非●技术指标每偏离一项扣除1分，扣完为止。</w:t>
            </w:r>
          </w:p>
        </w:tc>
        <w:tc>
          <w:tcPr>
            <w:tcW w:w="499" w:type="pct"/>
            <w:shd w:val="clear" w:color="auto" w:fill="auto"/>
            <w:noWrap/>
            <w:vAlign w:val="center"/>
          </w:tcPr>
          <w:p w14:paraId="22E4E86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0-18分</w:t>
            </w:r>
          </w:p>
        </w:tc>
        <w:tc>
          <w:tcPr>
            <w:tcW w:w="339" w:type="pct"/>
            <w:shd w:val="clear" w:color="auto" w:fill="auto"/>
            <w:noWrap/>
            <w:vAlign w:val="center"/>
          </w:tcPr>
          <w:p w14:paraId="7628640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Style w:val="311"/>
                <w:rFonts w:hint="eastAsia" w:ascii="仿宋" w:hAnsi="仿宋" w:eastAsia="仿宋" w:cs="仿宋"/>
                <w:color w:val="000000" w:themeColor="text1"/>
                <w:sz w:val="21"/>
                <w:szCs w:val="21"/>
                <w:highlight w:val="none"/>
                <w:lang w:val="en-US" w:eastAsia="zh-CN" w:bidi="ar"/>
                <w14:textFill>
                  <w14:solidFill>
                    <w14:schemeClr w14:val="tx1"/>
                  </w14:solidFill>
                </w14:textFill>
              </w:rPr>
              <w:t>客观分</w:t>
            </w:r>
          </w:p>
        </w:tc>
      </w:tr>
      <w:tr w14:paraId="35303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333" w:type="pct"/>
            <w:vMerge w:val="continue"/>
            <w:shd w:val="clear" w:color="auto" w:fill="auto"/>
            <w:vAlign w:val="center"/>
          </w:tcPr>
          <w:p w14:paraId="267AA12C">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307" w:type="pct"/>
            <w:shd w:val="clear" w:color="auto" w:fill="auto"/>
            <w:vAlign w:val="center"/>
          </w:tcPr>
          <w:p w14:paraId="3977EA6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w:t>
            </w:r>
          </w:p>
        </w:tc>
        <w:tc>
          <w:tcPr>
            <w:tcW w:w="429" w:type="pct"/>
            <w:shd w:val="clear" w:color="auto" w:fill="auto"/>
            <w:vAlign w:val="center"/>
          </w:tcPr>
          <w:p w14:paraId="6E3C982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Style w:val="311"/>
                <w:rFonts w:hint="eastAsia" w:ascii="仿宋" w:hAnsi="仿宋" w:eastAsia="仿宋" w:cs="仿宋"/>
                <w:color w:val="000000" w:themeColor="text1"/>
                <w:sz w:val="21"/>
                <w:szCs w:val="21"/>
                <w:highlight w:val="none"/>
                <w:lang w:val="en-US" w:eastAsia="zh-CN" w:bidi="ar"/>
                <w14:textFill>
                  <w14:solidFill>
                    <w14:schemeClr w14:val="tx1"/>
                  </w14:solidFill>
                </w14:textFill>
              </w:rPr>
              <w:t>项目实施方案</w:t>
            </w:r>
          </w:p>
        </w:tc>
        <w:tc>
          <w:tcPr>
            <w:tcW w:w="3090" w:type="pct"/>
            <w:shd w:val="clear" w:color="auto" w:fill="auto"/>
            <w:vAlign w:val="top"/>
          </w:tcPr>
          <w:p w14:paraId="6DAAF319">
            <w:pPr>
              <w:keepNext w:val="0"/>
              <w:keepLines w:val="0"/>
              <w:widowControl/>
              <w:suppressLineNumbers w:val="0"/>
              <w:jc w:val="left"/>
              <w:textAlignment w:val="top"/>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投标人针对本项目组织部署、项目管理方案、项目进度管理、项目质量管理、试运行及验收方案等，整体描述科学、合理、可操作得2.1-3分，科学、合理、可操作一般得1.1-2分，科学性较差、不合理、可操作较差得0.3-1分，不提供或存在明显缺陷的得0分。</w:t>
            </w:r>
          </w:p>
        </w:tc>
        <w:tc>
          <w:tcPr>
            <w:tcW w:w="499" w:type="pct"/>
            <w:shd w:val="clear" w:color="auto" w:fill="auto"/>
            <w:vAlign w:val="center"/>
          </w:tcPr>
          <w:p w14:paraId="515C629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0-3分</w:t>
            </w:r>
          </w:p>
        </w:tc>
        <w:tc>
          <w:tcPr>
            <w:tcW w:w="339" w:type="pct"/>
            <w:shd w:val="clear" w:color="auto" w:fill="auto"/>
            <w:noWrap/>
            <w:vAlign w:val="center"/>
          </w:tcPr>
          <w:p w14:paraId="7ADE333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Style w:val="311"/>
                <w:rFonts w:hint="eastAsia" w:ascii="仿宋" w:hAnsi="仿宋" w:eastAsia="仿宋" w:cs="仿宋"/>
                <w:color w:val="000000" w:themeColor="text1"/>
                <w:sz w:val="21"/>
                <w:szCs w:val="21"/>
                <w:highlight w:val="none"/>
                <w:lang w:val="en-US" w:eastAsia="zh-CN" w:bidi="ar"/>
                <w14:textFill>
                  <w14:solidFill>
                    <w14:schemeClr w14:val="tx1"/>
                  </w14:solidFill>
                </w14:textFill>
              </w:rPr>
              <w:t>主观分</w:t>
            </w:r>
          </w:p>
        </w:tc>
      </w:tr>
      <w:tr w14:paraId="31057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333" w:type="pct"/>
            <w:vMerge w:val="continue"/>
            <w:shd w:val="clear" w:color="auto" w:fill="auto"/>
            <w:vAlign w:val="center"/>
          </w:tcPr>
          <w:p w14:paraId="22FA5C01">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307" w:type="pct"/>
            <w:shd w:val="clear" w:color="auto" w:fill="auto"/>
            <w:vAlign w:val="center"/>
          </w:tcPr>
          <w:p w14:paraId="3C27D55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7</w:t>
            </w:r>
          </w:p>
        </w:tc>
        <w:tc>
          <w:tcPr>
            <w:tcW w:w="429" w:type="pct"/>
            <w:shd w:val="clear" w:color="auto" w:fill="auto"/>
            <w:vAlign w:val="center"/>
          </w:tcPr>
          <w:p w14:paraId="381AB3E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Style w:val="311"/>
                <w:rFonts w:hint="eastAsia" w:ascii="仿宋" w:hAnsi="仿宋" w:eastAsia="仿宋" w:cs="仿宋"/>
                <w:color w:val="000000" w:themeColor="text1"/>
                <w:sz w:val="21"/>
                <w:szCs w:val="21"/>
                <w:highlight w:val="none"/>
                <w:lang w:val="en-US" w:eastAsia="zh-CN" w:bidi="ar"/>
                <w14:textFill>
                  <w14:solidFill>
                    <w14:schemeClr w14:val="tx1"/>
                  </w14:solidFill>
                </w14:textFill>
              </w:rPr>
              <w:t>售后服务</w:t>
            </w:r>
          </w:p>
        </w:tc>
        <w:tc>
          <w:tcPr>
            <w:tcW w:w="3090" w:type="pct"/>
            <w:shd w:val="clear" w:color="auto" w:fill="auto"/>
            <w:vAlign w:val="top"/>
          </w:tcPr>
          <w:p w14:paraId="34D8B482">
            <w:pPr>
              <w:keepNext w:val="0"/>
              <w:keepLines w:val="0"/>
              <w:widowControl/>
              <w:suppressLineNumbers w:val="0"/>
              <w:jc w:val="left"/>
              <w:textAlignment w:val="top"/>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根据投标人针对本项目实际情况提供详细的售后服务方案：包括故障修复服务、定期巡检服务、系统评估及优化服务、重大节假日保障服务和保修期外服务等方面打分，方案描述详细、可行、实用得1.4-2分，较为详细、可行性差、不实用得0.7-1.3分，不提供或存在明显缺陷的得0分。</w:t>
            </w:r>
          </w:p>
        </w:tc>
        <w:tc>
          <w:tcPr>
            <w:tcW w:w="499" w:type="pct"/>
            <w:shd w:val="clear" w:color="auto" w:fill="auto"/>
            <w:vAlign w:val="center"/>
          </w:tcPr>
          <w:p w14:paraId="40D816B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0-2分</w:t>
            </w:r>
          </w:p>
        </w:tc>
        <w:tc>
          <w:tcPr>
            <w:tcW w:w="339" w:type="pct"/>
            <w:shd w:val="clear" w:color="auto" w:fill="auto"/>
            <w:noWrap/>
            <w:vAlign w:val="center"/>
          </w:tcPr>
          <w:p w14:paraId="1A760AD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Style w:val="311"/>
                <w:rFonts w:hint="eastAsia" w:ascii="仿宋" w:hAnsi="仿宋" w:eastAsia="仿宋" w:cs="仿宋"/>
                <w:color w:val="000000" w:themeColor="text1"/>
                <w:sz w:val="21"/>
                <w:szCs w:val="21"/>
                <w:highlight w:val="none"/>
                <w:lang w:val="en-US" w:eastAsia="zh-CN" w:bidi="ar"/>
                <w14:textFill>
                  <w14:solidFill>
                    <w14:schemeClr w14:val="tx1"/>
                  </w14:solidFill>
                </w14:textFill>
              </w:rPr>
              <w:t>主观分</w:t>
            </w:r>
          </w:p>
        </w:tc>
      </w:tr>
      <w:tr w14:paraId="079D0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4" w:hRule="atLeast"/>
        </w:trPr>
        <w:tc>
          <w:tcPr>
            <w:tcW w:w="333" w:type="pct"/>
            <w:vMerge w:val="continue"/>
            <w:shd w:val="clear" w:color="auto" w:fill="auto"/>
            <w:vAlign w:val="center"/>
          </w:tcPr>
          <w:p w14:paraId="63A253E0">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307" w:type="pct"/>
            <w:vMerge w:val="restart"/>
            <w:shd w:val="clear" w:color="auto" w:fill="auto"/>
            <w:vAlign w:val="center"/>
          </w:tcPr>
          <w:p w14:paraId="127C56C7">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w:t>
            </w:r>
          </w:p>
        </w:tc>
        <w:tc>
          <w:tcPr>
            <w:tcW w:w="429" w:type="pct"/>
            <w:vMerge w:val="restart"/>
            <w:shd w:val="clear" w:color="auto" w:fill="auto"/>
            <w:vAlign w:val="center"/>
          </w:tcPr>
          <w:p w14:paraId="36D8452D">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Style w:val="311"/>
                <w:rFonts w:hint="eastAsia" w:ascii="仿宋" w:hAnsi="仿宋" w:eastAsia="仿宋" w:cs="仿宋"/>
                <w:color w:val="000000" w:themeColor="text1"/>
                <w:sz w:val="21"/>
                <w:szCs w:val="21"/>
                <w:highlight w:val="none"/>
                <w:lang w:val="en-US" w:eastAsia="zh-CN" w:bidi="ar"/>
                <w14:textFill>
                  <w14:solidFill>
                    <w14:schemeClr w14:val="tx1"/>
                  </w14:solidFill>
                </w14:textFill>
              </w:rPr>
              <w:t>项目实施能力</w:t>
            </w:r>
          </w:p>
        </w:tc>
        <w:tc>
          <w:tcPr>
            <w:tcW w:w="3090" w:type="pct"/>
            <w:shd w:val="clear" w:color="auto" w:fill="auto"/>
            <w:vAlign w:val="top"/>
          </w:tcPr>
          <w:p w14:paraId="49B5925A">
            <w:pPr>
              <w:keepNext w:val="0"/>
              <w:keepLines w:val="0"/>
              <w:widowControl/>
              <w:suppressLineNumbers w:val="0"/>
              <w:jc w:val="left"/>
              <w:textAlignment w:val="top"/>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项目经理具备高级工程师职称（信息技术（技术开发））、信息系统项目管理师证书、通信中级工程师证书的得3分，缺项的得1分，没有的得0分，最高得3分。</w:t>
            </w:r>
          </w:p>
          <w:p w14:paraId="188CCC15">
            <w:pPr>
              <w:keepNext w:val="0"/>
              <w:keepLines w:val="0"/>
              <w:widowControl/>
              <w:suppressLineNumbers w:val="0"/>
              <w:jc w:val="both"/>
              <w:textAlignment w:val="top"/>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证明材料：须提供相应人员证书复印件及近三个月所在投标单位的社保缴纳证明材料加盖公章</w:t>
            </w:r>
          </w:p>
        </w:tc>
        <w:tc>
          <w:tcPr>
            <w:tcW w:w="499" w:type="pct"/>
            <w:shd w:val="clear" w:color="auto" w:fill="auto"/>
            <w:noWrap/>
            <w:vAlign w:val="center"/>
          </w:tcPr>
          <w:p w14:paraId="5AC991C1">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0-3分</w:t>
            </w:r>
          </w:p>
        </w:tc>
        <w:tc>
          <w:tcPr>
            <w:tcW w:w="339" w:type="pct"/>
            <w:shd w:val="clear" w:color="auto" w:fill="auto"/>
            <w:noWrap/>
            <w:vAlign w:val="center"/>
          </w:tcPr>
          <w:p w14:paraId="51C57CCE">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Style w:val="311"/>
                <w:rFonts w:hint="eastAsia" w:ascii="仿宋" w:hAnsi="仿宋" w:eastAsia="仿宋" w:cs="仿宋"/>
                <w:color w:val="000000" w:themeColor="text1"/>
                <w:sz w:val="21"/>
                <w:szCs w:val="21"/>
                <w:highlight w:val="none"/>
                <w:lang w:val="en-US" w:eastAsia="zh-CN" w:bidi="ar"/>
                <w14:textFill>
                  <w14:solidFill>
                    <w14:schemeClr w14:val="tx1"/>
                  </w14:solidFill>
                </w14:textFill>
              </w:rPr>
              <w:t>客观分</w:t>
            </w:r>
          </w:p>
        </w:tc>
      </w:tr>
      <w:tr w14:paraId="51208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4" w:hRule="atLeast"/>
        </w:trPr>
        <w:tc>
          <w:tcPr>
            <w:tcW w:w="333" w:type="pct"/>
            <w:vMerge w:val="continue"/>
            <w:shd w:val="clear" w:color="auto" w:fill="auto"/>
            <w:vAlign w:val="center"/>
          </w:tcPr>
          <w:p w14:paraId="77156BA9">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307" w:type="pct"/>
            <w:vMerge w:val="continue"/>
            <w:shd w:val="clear" w:color="auto" w:fill="auto"/>
            <w:vAlign w:val="center"/>
          </w:tcPr>
          <w:p w14:paraId="69ED042A">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29" w:type="pct"/>
            <w:vMerge w:val="continue"/>
            <w:shd w:val="clear" w:color="auto" w:fill="auto"/>
            <w:vAlign w:val="center"/>
          </w:tcPr>
          <w:p w14:paraId="745768CF">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3090" w:type="pct"/>
            <w:shd w:val="clear" w:color="auto" w:fill="auto"/>
            <w:vAlign w:val="top"/>
          </w:tcPr>
          <w:p w14:paraId="7FF6591C">
            <w:pPr>
              <w:keepNext w:val="0"/>
              <w:keepLines w:val="0"/>
              <w:widowControl/>
              <w:suppressLineNumbers w:val="0"/>
              <w:jc w:val="both"/>
              <w:textAlignment w:val="top"/>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投标人拟派技术负责人具备高级工程师职称（信息技术）、IT服务项目经理的得2分，缺项的得1分，不具备不得分。</w:t>
            </w:r>
          </w:p>
          <w:p w14:paraId="18DF19DE">
            <w:pPr>
              <w:keepNext w:val="0"/>
              <w:keepLines w:val="0"/>
              <w:widowControl/>
              <w:suppressLineNumbers w:val="0"/>
              <w:jc w:val="left"/>
              <w:textAlignment w:val="top"/>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证明材料：须提供相应人员证书复印件及近三个月所在投标单位的社保缴纳证明材料加盖公章</w:t>
            </w:r>
          </w:p>
        </w:tc>
        <w:tc>
          <w:tcPr>
            <w:tcW w:w="499" w:type="pct"/>
            <w:shd w:val="clear" w:color="auto" w:fill="auto"/>
            <w:noWrap/>
            <w:vAlign w:val="center"/>
          </w:tcPr>
          <w:p w14:paraId="298F9B80">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0-2分</w:t>
            </w:r>
          </w:p>
        </w:tc>
        <w:tc>
          <w:tcPr>
            <w:tcW w:w="339" w:type="pct"/>
            <w:shd w:val="clear" w:color="auto" w:fill="auto"/>
            <w:noWrap/>
            <w:vAlign w:val="center"/>
          </w:tcPr>
          <w:p w14:paraId="5B3FFC06">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客观分</w:t>
            </w:r>
          </w:p>
        </w:tc>
      </w:tr>
      <w:tr w14:paraId="5A778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6" w:hRule="atLeast"/>
        </w:trPr>
        <w:tc>
          <w:tcPr>
            <w:tcW w:w="333" w:type="pct"/>
            <w:vMerge w:val="continue"/>
            <w:shd w:val="clear" w:color="auto" w:fill="auto"/>
            <w:vAlign w:val="center"/>
          </w:tcPr>
          <w:p w14:paraId="0D5D42DE">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307" w:type="pct"/>
            <w:vMerge w:val="continue"/>
            <w:shd w:val="clear" w:color="auto" w:fill="auto"/>
            <w:vAlign w:val="center"/>
          </w:tcPr>
          <w:p w14:paraId="357A1FA4">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29" w:type="pct"/>
            <w:vMerge w:val="continue"/>
            <w:shd w:val="clear" w:color="auto" w:fill="auto"/>
            <w:vAlign w:val="center"/>
          </w:tcPr>
          <w:p w14:paraId="102885BD">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3090" w:type="pct"/>
            <w:shd w:val="clear" w:color="auto" w:fill="auto"/>
            <w:vAlign w:val="top"/>
          </w:tcPr>
          <w:p w14:paraId="4E1A8251">
            <w:pPr>
              <w:keepNext w:val="0"/>
              <w:keepLines w:val="0"/>
              <w:widowControl/>
              <w:suppressLineNumbers w:val="0"/>
              <w:jc w:val="left"/>
              <w:textAlignment w:val="top"/>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项目系统架构师具备高级系统架构设计师证书的得1分，不具备不得分。</w:t>
            </w:r>
          </w:p>
          <w:p w14:paraId="16C5DA65">
            <w:pPr>
              <w:keepNext w:val="0"/>
              <w:keepLines w:val="0"/>
              <w:widowControl/>
              <w:suppressLineNumbers w:val="0"/>
              <w:jc w:val="left"/>
              <w:textAlignment w:val="top"/>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证明材料：须提供相应人员证书复印件及近三个月所在投标单位的社保缴纳证明材料加盖公章</w:t>
            </w:r>
          </w:p>
        </w:tc>
        <w:tc>
          <w:tcPr>
            <w:tcW w:w="499" w:type="pct"/>
            <w:shd w:val="clear" w:color="auto" w:fill="auto"/>
            <w:noWrap/>
            <w:vAlign w:val="center"/>
          </w:tcPr>
          <w:p w14:paraId="47B899F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0-1分</w:t>
            </w:r>
          </w:p>
        </w:tc>
        <w:tc>
          <w:tcPr>
            <w:tcW w:w="339" w:type="pct"/>
            <w:shd w:val="clear" w:color="auto" w:fill="auto"/>
            <w:noWrap/>
            <w:vAlign w:val="center"/>
          </w:tcPr>
          <w:p w14:paraId="612D30B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客观分</w:t>
            </w:r>
          </w:p>
        </w:tc>
      </w:tr>
      <w:tr w14:paraId="7BBCF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333" w:type="pct"/>
            <w:vMerge w:val="continue"/>
            <w:shd w:val="clear" w:color="auto" w:fill="auto"/>
            <w:vAlign w:val="center"/>
          </w:tcPr>
          <w:p w14:paraId="69CDE542">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307" w:type="pct"/>
            <w:vMerge w:val="continue"/>
            <w:shd w:val="clear" w:color="auto" w:fill="auto"/>
            <w:vAlign w:val="center"/>
          </w:tcPr>
          <w:p w14:paraId="64561550">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29" w:type="pct"/>
            <w:vMerge w:val="continue"/>
            <w:shd w:val="clear" w:color="auto" w:fill="auto"/>
            <w:vAlign w:val="center"/>
          </w:tcPr>
          <w:p w14:paraId="35A2FB60">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3090" w:type="pct"/>
            <w:shd w:val="clear" w:color="auto" w:fill="auto"/>
            <w:vAlign w:val="top"/>
          </w:tcPr>
          <w:p w14:paraId="56D8A7E4">
            <w:pPr>
              <w:keepNext w:val="0"/>
              <w:keepLines w:val="0"/>
              <w:widowControl/>
              <w:suppressLineNumbers w:val="0"/>
              <w:jc w:val="left"/>
              <w:textAlignment w:val="top"/>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项目团队其他成员（项目经理、项目技术负责人和系统架构师除外）具有软件设计师资格（中级及以上）证书的，每本得0.5分，最高得2分。</w:t>
            </w:r>
          </w:p>
          <w:p w14:paraId="7C4B838B">
            <w:pPr>
              <w:keepNext w:val="0"/>
              <w:keepLines w:val="0"/>
              <w:widowControl/>
              <w:suppressLineNumbers w:val="0"/>
              <w:jc w:val="left"/>
              <w:textAlignment w:val="top"/>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证明材料：须提供相应人员证书复印件及近三个月所在投标单位的社保缴纳证明材料加盖公章</w:t>
            </w:r>
          </w:p>
        </w:tc>
        <w:tc>
          <w:tcPr>
            <w:tcW w:w="499" w:type="pct"/>
            <w:shd w:val="clear" w:color="auto" w:fill="auto"/>
            <w:noWrap/>
            <w:vAlign w:val="center"/>
          </w:tcPr>
          <w:p w14:paraId="5892879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0-2分</w:t>
            </w:r>
          </w:p>
        </w:tc>
        <w:tc>
          <w:tcPr>
            <w:tcW w:w="339" w:type="pct"/>
            <w:shd w:val="clear" w:color="auto" w:fill="auto"/>
            <w:noWrap/>
            <w:vAlign w:val="center"/>
          </w:tcPr>
          <w:p w14:paraId="400DDA5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客观分</w:t>
            </w:r>
          </w:p>
        </w:tc>
      </w:tr>
      <w:tr w14:paraId="11FA2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333" w:type="pct"/>
            <w:vMerge w:val="continue"/>
            <w:shd w:val="clear" w:color="auto" w:fill="auto"/>
            <w:vAlign w:val="center"/>
          </w:tcPr>
          <w:p w14:paraId="39F37381">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307" w:type="pct"/>
            <w:shd w:val="clear" w:color="auto" w:fill="auto"/>
            <w:vAlign w:val="center"/>
          </w:tcPr>
          <w:p w14:paraId="79594F62">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w:t>
            </w:r>
          </w:p>
        </w:tc>
        <w:tc>
          <w:tcPr>
            <w:tcW w:w="429" w:type="pct"/>
            <w:shd w:val="clear" w:color="auto" w:fill="auto"/>
            <w:noWrap/>
            <w:vAlign w:val="center"/>
          </w:tcPr>
          <w:p w14:paraId="208DC1EB">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Style w:val="311"/>
                <w:rFonts w:hint="eastAsia" w:ascii="仿宋" w:hAnsi="仿宋" w:eastAsia="仿宋" w:cs="仿宋"/>
                <w:color w:val="000000" w:themeColor="text1"/>
                <w:sz w:val="21"/>
                <w:szCs w:val="21"/>
                <w:highlight w:val="none"/>
                <w:lang w:val="en-US" w:eastAsia="zh-CN" w:bidi="ar"/>
                <w14:textFill>
                  <w14:solidFill>
                    <w14:schemeClr w14:val="tx1"/>
                  </w14:solidFill>
                </w14:textFill>
              </w:rPr>
              <w:t>培训计划</w:t>
            </w:r>
          </w:p>
        </w:tc>
        <w:tc>
          <w:tcPr>
            <w:tcW w:w="3090" w:type="pct"/>
            <w:shd w:val="clear" w:color="auto" w:fill="auto"/>
            <w:vAlign w:val="top"/>
          </w:tcPr>
          <w:p w14:paraId="3844A27A">
            <w:pPr>
              <w:keepNext w:val="0"/>
              <w:keepLines w:val="0"/>
              <w:widowControl/>
              <w:suppressLineNumbers w:val="0"/>
              <w:jc w:val="left"/>
              <w:textAlignment w:val="top"/>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投标人针对本项目实际情况提供详细的培训方案：包括培训目标、培训内容、培训计划、培训管理、培训质量控制，方案描述详细、可行、实用、培训人员具有丰富的经验得1.4-2分，方案较为详细、可行性较差、不实用、培训人员不具有经验得0.7-1.3分，不提供或存在明显缺陷的得0分。</w:t>
            </w:r>
          </w:p>
        </w:tc>
        <w:tc>
          <w:tcPr>
            <w:tcW w:w="499" w:type="pct"/>
            <w:shd w:val="clear" w:color="auto" w:fill="auto"/>
            <w:noWrap/>
            <w:vAlign w:val="center"/>
          </w:tcPr>
          <w:p w14:paraId="619C3135">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0-2分</w:t>
            </w:r>
          </w:p>
        </w:tc>
        <w:tc>
          <w:tcPr>
            <w:tcW w:w="339" w:type="pct"/>
            <w:shd w:val="clear" w:color="auto" w:fill="auto"/>
            <w:noWrap/>
            <w:vAlign w:val="center"/>
          </w:tcPr>
          <w:p w14:paraId="4B9827B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Style w:val="311"/>
                <w:rFonts w:hint="eastAsia" w:ascii="仿宋" w:hAnsi="仿宋" w:eastAsia="仿宋" w:cs="仿宋"/>
                <w:color w:val="000000" w:themeColor="text1"/>
                <w:sz w:val="21"/>
                <w:szCs w:val="21"/>
                <w:highlight w:val="none"/>
                <w:lang w:val="en-US" w:eastAsia="zh-CN" w:bidi="ar"/>
                <w14:textFill>
                  <w14:solidFill>
                    <w14:schemeClr w14:val="tx1"/>
                  </w14:solidFill>
                </w14:textFill>
              </w:rPr>
              <w:t>主观分</w:t>
            </w:r>
          </w:p>
        </w:tc>
      </w:tr>
      <w:tr w14:paraId="0E9C6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33" w:type="pct"/>
            <w:vMerge w:val="continue"/>
            <w:shd w:val="clear" w:color="auto" w:fill="auto"/>
            <w:vAlign w:val="center"/>
          </w:tcPr>
          <w:p w14:paraId="119990D3">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307" w:type="pct"/>
            <w:shd w:val="clear" w:color="auto" w:fill="auto"/>
            <w:noWrap/>
            <w:vAlign w:val="center"/>
          </w:tcPr>
          <w:p w14:paraId="29CD6A1C">
            <w:pPr>
              <w:jc w:val="center"/>
              <w:rPr>
                <w:rFonts w:hint="eastAsia" w:ascii="仿宋" w:hAnsi="仿宋" w:eastAsia="仿宋" w:cs="仿宋"/>
                <w:i w:val="0"/>
                <w:iCs w:val="0"/>
                <w:color w:val="000000" w:themeColor="text1"/>
                <w:sz w:val="21"/>
                <w:szCs w:val="21"/>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highlight w:val="none"/>
                <w:u w:val="none"/>
                <w:lang w:val="en-US" w:eastAsia="zh-CN"/>
                <w14:textFill>
                  <w14:solidFill>
                    <w14:schemeClr w14:val="tx1"/>
                  </w14:solidFill>
                </w14:textFill>
              </w:rPr>
              <w:t>10</w:t>
            </w:r>
          </w:p>
        </w:tc>
        <w:tc>
          <w:tcPr>
            <w:tcW w:w="429" w:type="pct"/>
            <w:shd w:val="clear" w:color="auto" w:fill="auto"/>
            <w:noWrap/>
            <w:vAlign w:val="center"/>
          </w:tcPr>
          <w:p w14:paraId="08E3646F">
            <w:pPr>
              <w:jc w:val="center"/>
              <w:rPr>
                <w:rFonts w:hint="eastAsia" w:ascii="仿宋" w:hAnsi="仿宋" w:eastAsia="仿宋" w:cs="仿宋"/>
                <w:i w:val="0"/>
                <w:iCs w:val="0"/>
                <w:color w:val="000000" w:themeColor="text1"/>
                <w:sz w:val="21"/>
                <w:szCs w:val="21"/>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highlight w:val="none"/>
                <w:u w:val="none"/>
                <w:lang w:val="en-US" w:eastAsia="zh-CN"/>
                <w14:textFill>
                  <w14:solidFill>
                    <w14:schemeClr w14:val="tx1"/>
                  </w14:solidFill>
                </w14:textFill>
              </w:rPr>
              <w:t>现场演示</w:t>
            </w:r>
          </w:p>
        </w:tc>
        <w:tc>
          <w:tcPr>
            <w:tcW w:w="3090" w:type="pct"/>
            <w:shd w:val="clear" w:color="auto" w:fill="auto"/>
            <w:noWrap/>
            <w:vAlign w:val="center"/>
          </w:tcPr>
          <w:p w14:paraId="033E9AA7">
            <w:pPr>
              <w:keepNext w:val="0"/>
              <w:keepLines w:val="0"/>
              <w:pageBreakBefore w:val="0"/>
              <w:widowControl w:val="0"/>
              <w:kinsoku/>
              <w:wordWrap/>
              <w:overflowPunct/>
              <w:topLinePunct w:val="0"/>
              <w:autoSpaceDE/>
              <w:autoSpaceDN/>
              <w:bidi w:val="0"/>
              <w:snapToGrid/>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现场演示，投标人自备演示工具、设备和演示所需的网络环境，演示时间不超过30分钟。根据以下演示要求，评委结合现场功能实现情况和演示效果进行评价（现场演示需采用可操作的真实案例系统进行演示，其他形式均不得分，如效果图、原型、PPT、视频等）：</w:t>
            </w:r>
          </w:p>
          <w:p w14:paraId="18CDD950">
            <w:pPr>
              <w:keepNext w:val="0"/>
              <w:keepLines w:val="0"/>
              <w:pageBreakBefore w:val="0"/>
              <w:widowControl w:val="0"/>
              <w:kinsoku/>
              <w:wordWrap/>
              <w:overflowPunct/>
              <w:topLinePunct w:val="0"/>
              <w:autoSpaceDE/>
              <w:autoSpaceDN/>
              <w:bidi w:val="0"/>
              <w:snapToGrid/>
              <w:textAlignment w:val="auto"/>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1.运营中心（4分）</w:t>
            </w:r>
          </w:p>
          <w:p w14:paraId="32227208">
            <w:pPr>
              <w:pStyle w:val="2"/>
              <w:keepNext w:val="0"/>
              <w:keepLines w:val="0"/>
              <w:pageBreakBefore w:val="0"/>
              <w:widowControl w:val="0"/>
              <w:kinsoku/>
              <w:wordWrap/>
              <w:overflowPunct/>
              <w:topLinePunct w:val="0"/>
              <w:autoSpaceDE/>
              <w:autoSpaceDN/>
              <w:bidi w:val="0"/>
              <w:snapToGrid/>
              <w:spacing w:after="0"/>
              <w:ind w:left="0" w:leftChars="0" w:firstLine="0" w:firstLineChars="0"/>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言论审核：提供统一的言论审核中心，汇聚各类应用的居民言论可集中审批操作，包括邻里活动、邻里社群等应用，支持同意、拒绝、删除以及批量操作；支持管理员在移动端快捷审批，操作后该条消息开放居民可见；（0-2分）</w:t>
            </w:r>
          </w:p>
          <w:p w14:paraId="47C10964">
            <w:pPr>
              <w:pStyle w:val="2"/>
              <w:keepNext w:val="0"/>
              <w:keepLines w:val="0"/>
              <w:pageBreakBefore w:val="0"/>
              <w:widowControl w:val="0"/>
              <w:kinsoku/>
              <w:wordWrap/>
              <w:overflowPunct/>
              <w:topLinePunct w:val="0"/>
              <w:autoSpaceDE/>
              <w:autoSpaceDN/>
              <w:bidi w:val="0"/>
              <w:snapToGrid/>
              <w:spacing w:after="0"/>
              <w:ind w:left="0" w:leftChars="0" w:firstLine="0" w:firstLineChars="0"/>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2）自动审批：支持开启/关闭自动审核功能，开启后单应用除敏感词汇及图文信息外，居民言论自动审批通过；记录功能操作记录，留痕追责；（0-1分）</w:t>
            </w:r>
          </w:p>
          <w:p w14:paraId="6683C9E5">
            <w:pPr>
              <w:pStyle w:val="2"/>
              <w:keepNext w:val="0"/>
              <w:keepLines w:val="0"/>
              <w:pageBreakBefore w:val="0"/>
              <w:widowControl w:val="0"/>
              <w:kinsoku/>
              <w:wordWrap/>
              <w:overflowPunct/>
              <w:topLinePunct w:val="0"/>
              <w:autoSpaceDE/>
              <w:autoSpaceDN/>
              <w:bidi w:val="0"/>
              <w:snapToGrid/>
              <w:spacing w:after="0"/>
              <w:ind w:left="0" w:leftChars="0" w:firstLine="0" w:firstLineChars="0"/>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3）记录移动端用户活跃的不同操作行为，包括记录扫社区码进入、发布言论、操作积分签到等，支持查询单人操作行为轨迹。（0-1分）</w:t>
            </w:r>
          </w:p>
          <w:p w14:paraId="7EF88470">
            <w:pPr>
              <w:pStyle w:val="2"/>
              <w:keepNext w:val="0"/>
              <w:keepLines w:val="0"/>
              <w:pageBreakBefore w:val="0"/>
              <w:widowControl w:val="0"/>
              <w:kinsoku/>
              <w:wordWrap/>
              <w:overflowPunct/>
              <w:topLinePunct w:val="0"/>
              <w:autoSpaceDE/>
              <w:autoSpaceDN/>
              <w:bidi w:val="0"/>
              <w:snapToGrid/>
              <w:spacing w:after="0"/>
              <w:ind w:left="0" w:leftChars="0" w:firstLine="0" w:firstLineChars="0"/>
              <w:textAlignment w:val="auto"/>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2.邻里社群（2分）</w:t>
            </w:r>
          </w:p>
          <w:p w14:paraId="517F26D7">
            <w:pPr>
              <w:keepNext w:val="0"/>
              <w:keepLines w:val="0"/>
              <w:pageBreakBefore w:val="0"/>
              <w:widowControl w:val="0"/>
              <w:kinsoku/>
              <w:wordWrap/>
              <w:overflowPunct/>
              <w:topLinePunct w:val="0"/>
              <w:autoSpaceDE/>
              <w:autoSpaceDN/>
              <w:bidi w:val="0"/>
              <w:snapToGrid/>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社群组建：用户在移动端发起社群创建，设定兴趣标签或自定义，填写包括社群名称、社群封面、简介等信息提交申请；后台管理人员可以进行审核。移动端可管理自己创建的社群，操作社群资料编辑、社群解散等；（0-0.5分）</w:t>
            </w:r>
          </w:p>
          <w:p w14:paraId="304898C3">
            <w:pPr>
              <w:keepNext w:val="0"/>
              <w:keepLines w:val="0"/>
              <w:pageBreakBefore w:val="0"/>
              <w:widowControl w:val="0"/>
              <w:kinsoku/>
              <w:wordWrap/>
              <w:overflowPunct/>
              <w:topLinePunct w:val="0"/>
              <w:autoSpaceDE/>
              <w:autoSpaceDN/>
              <w:bidi w:val="0"/>
              <w:snapToGrid/>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2）活动发布：支持移动端发布新活动，配置填写标题、活动时间等信息，限制活动人数上限、每日签到上限；（0-0.5分）</w:t>
            </w:r>
          </w:p>
          <w:p w14:paraId="5E4C9A78">
            <w:pPr>
              <w:keepNext w:val="0"/>
              <w:keepLines w:val="0"/>
              <w:pageBreakBefore w:val="0"/>
              <w:widowControl w:val="0"/>
              <w:kinsoku/>
              <w:wordWrap/>
              <w:overflowPunct/>
              <w:topLinePunct w:val="0"/>
              <w:autoSpaceDE/>
              <w:autoSpaceDN/>
              <w:bidi w:val="0"/>
              <w:snapToGrid/>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3）活动管理：支持移动端对活动进行上下架、编辑，活动人员查看及签到核销；（0-0.5分）</w:t>
            </w:r>
          </w:p>
          <w:p w14:paraId="35D7CC3D">
            <w:pPr>
              <w:keepNext w:val="0"/>
              <w:keepLines w:val="0"/>
              <w:pageBreakBefore w:val="0"/>
              <w:widowControl w:val="0"/>
              <w:kinsoku/>
              <w:wordWrap/>
              <w:overflowPunct/>
              <w:topLinePunct w:val="0"/>
              <w:autoSpaceDE/>
              <w:autoSpaceDN/>
              <w:bidi w:val="0"/>
              <w:snapToGrid/>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4）活动报名：用户在线查找并加入各类社群，查看入群成员、群聊二维码，支持在线活动评论、报名，报名后生成签到二维码。（0-0.5分）</w:t>
            </w:r>
          </w:p>
          <w:p w14:paraId="5968520D">
            <w:pPr>
              <w:keepNext w:val="0"/>
              <w:keepLines w:val="0"/>
              <w:pageBreakBefore w:val="0"/>
              <w:widowControl w:val="0"/>
              <w:kinsoku/>
              <w:wordWrap/>
              <w:overflowPunct/>
              <w:topLinePunct w:val="0"/>
              <w:autoSpaceDE/>
              <w:autoSpaceDN/>
              <w:bidi w:val="0"/>
              <w:snapToGrid/>
              <w:textAlignment w:val="auto"/>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3.领导驾驶舱（2.5分）</w:t>
            </w:r>
          </w:p>
          <w:p w14:paraId="4544113B">
            <w:pPr>
              <w:pStyle w:val="2"/>
              <w:keepNext w:val="0"/>
              <w:keepLines w:val="0"/>
              <w:pageBreakBefore w:val="0"/>
              <w:widowControl w:val="0"/>
              <w:kinsoku/>
              <w:wordWrap/>
              <w:overflowPunct/>
              <w:topLinePunct w:val="0"/>
              <w:autoSpaceDE/>
              <w:autoSpaceDN/>
              <w:bidi w:val="0"/>
              <w:snapToGrid/>
              <w:spacing w:after="0"/>
              <w:ind w:left="0" w:leftChars="0" w:firstLine="0" w:firstLineChars="0"/>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1）未来邻里场景：支持展示社区活动、参与人数、活动类型活动排行榜等数据，以及积分获取及兑换、积分排行以及实时播报居民获取积分情况等；（0-0.5分）</w:t>
            </w:r>
          </w:p>
          <w:p w14:paraId="5AC7D034">
            <w:pPr>
              <w:keepNext w:val="0"/>
              <w:keepLines w:val="0"/>
              <w:pageBreakBefore w:val="0"/>
              <w:widowControl w:val="0"/>
              <w:kinsoku/>
              <w:wordWrap/>
              <w:overflowPunct/>
              <w:topLinePunct w:val="0"/>
              <w:autoSpaceDE/>
              <w:autoSpaceDN/>
              <w:bidi w:val="0"/>
              <w:snapToGrid/>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2）未来服务场景：支持展示近7日当日活跃及注册用户趋势情况，本月各类场馆预约次数分析及预约列表明细，以及民意调研次数及参与填报人数等社情民意情况；（0-0.5分）</w:t>
            </w:r>
          </w:p>
          <w:p w14:paraId="205787A4">
            <w:pPr>
              <w:pStyle w:val="2"/>
              <w:keepNext w:val="0"/>
              <w:keepLines w:val="0"/>
              <w:pageBreakBefore w:val="0"/>
              <w:widowControl w:val="0"/>
              <w:kinsoku/>
              <w:wordWrap/>
              <w:overflowPunct/>
              <w:topLinePunct w:val="0"/>
              <w:autoSpaceDE/>
              <w:autoSpaceDN/>
              <w:bidi w:val="0"/>
              <w:snapToGrid/>
              <w:spacing w:after="0"/>
              <w:ind w:left="0" w:leftChars="0" w:firstLine="0" w:firstLineChars="0"/>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3）未来建筑场景：点击人房可视点，全面呈现社区房屋空间分布及对应楼幢名称，点击具体楼幢，呈现房屋统一码，及每一户家庭当前居住人数，以及分不同颜色显示自住、出租、空置等居住类型。（0-1.5分）</w:t>
            </w:r>
          </w:p>
          <w:p w14:paraId="13DB3A88">
            <w:pPr>
              <w:keepNext w:val="0"/>
              <w:keepLines w:val="0"/>
              <w:pageBreakBefore w:val="0"/>
              <w:widowControl w:val="0"/>
              <w:kinsoku/>
              <w:wordWrap/>
              <w:overflowPunct/>
              <w:topLinePunct w:val="0"/>
              <w:autoSpaceDE/>
              <w:autoSpaceDN/>
              <w:bidi w:val="0"/>
              <w:snapToGrid/>
              <w:textAlignment w:val="auto"/>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4.托育安心陪（2.5分）</w:t>
            </w:r>
          </w:p>
          <w:p w14:paraId="636E1270">
            <w:pPr>
              <w:keepNext w:val="0"/>
              <w:keepLines w:val="0"/>
              <w:pageBreakBefore w:val="0"/>
              <w:widowControl w:val="0"/>
              <w:kinsoku/>
              <w:wordWrap/>
              <w:overflowPunct/>
              <w:topLinePunct w:val="0"/>
              <w:autoSpaceDE/>
              <w:autoSpaceDN/>
              <w:bidi w:val="0"/>
              <w:snapToGrid/>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1）机构认证：用户在移动端发起机构认证申请，创建托管、兴趣班等机构类别，填写包括机构名称、门店简介、场地照片、营业执照等信息提交后台认证；（0-0.5分）</w:t>
            </w:r>
          </w:p>
          <w:p w14:paraId="0B39D135">
            <w:pPr>
              <w:keepNext w:val="0"/>
              <w:keepLines w:val="0"/>
              <w:pageBreakBefore w:val="0"/>
              <w:widowControl w:val="0"/>
              <w:kinsoku/>
              <w:wordWrap/>
              <w:overflowPunct/>
              <w:topLinePunct w:val="0"/>
              <w:autoSpaceDE/>
              <w:autoSpaceDN/>
              <w:bidi w:val="0"/>
              <w:snapToGrid/>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2）发布托位：移动端发起创建午托、晚托等多类型课程，设置课程名称、招生对象等基础信息，课程费支持按年级定价来区分，课程提交后由后台管理员审批；（0-0.5分）</w:t>
            </w:r>
          </w:p>
          <w:p w14:paraId="7E7A0C42">
            <w:pPr>
              <w:keepNext w:val="0"/>
              <w:keepLines w:val="0"/>
              <w:pageBreakBefore w:val="0"/>
              <w:widowControl w:val="0"/>
              <w:kinsoku/>
              <w:wordWrap/>
              <w:overflowPunct/>
              <w:topLinePunct w:val="0"/>
              <w:autoSpaceDE/>
              <w:autoSpaceDN/>
              <w:bidi w:val="0"/>
              <w:snapToGrid/>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3）托位管理：支持机构对托位编辑、删除、上下架操作，支持查看报名人员名单；（0-0.5分）</w:t>
            </w:r>
          </w:p>
          <w:p w14:paraId="57CD9628">
            <w:pPr>
              <w:keepNext w:val="0"/>
              <w:keepLines w:val="0"/>
              <w:pageBreakBefore w:val="0"/>
              <w:widowControl w:val="0"/>
              <w:kinsoku/>
              <w:wordWrap/>
              <w:overflowPunct/>
              <w:topLinePunct w:val="0"/>
              <w:autoSpaceDE/>
              <w:autoSpaceDN/>
              <w:bidi w:val="0"/>
              <w:snapToGrid/>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4）托位报名：居民选择自己的意向托位，支持线上报名，生成签到二维码；（0-0.5分）</w:t>
            </w:r>
          </w:p>
          <w:p w14:paraId="5A0CE514">
            <w:pPr>
              <w:keepNext w:val="0"/>
              <w:keepLines w:val="0"/>
              <w:pageBreakBefore w:val="0"/>
              <w:widowControl w:val="0"/>
              <w:kinsoku/>
              <w:wordWrap/>
              <w:overflowPunct/>
              <w:topLinePunct w:val="0"/>
              <w:autoSpaceDE/>
              <w:autoSpaceDN/>
              <w:bidi w:val="0"/>
              <w:snapToGrid/>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5）视频监控查看：支持家长用户在移动端查看机构下的实时监控。（0-0.5分）</w:t>
            </w:r>
          </w:p>
          <w:p w14:paraId="1DACAA03">
            <w:pPr>
              <w:keepNext w:val="0"/>
              <w:keepLines w:val="0"/>
              <w:pageBreakBefore w:val="0"/>
              <w:widowControl w:val="0"/>
              <w:kinsoku/>
              <w:wordWrap/>
              <w:overflowPunct/>
              <w:topLinePunct w:val="0"/>
              <w:autoSpaceDE/>
              <w:autoSpaceDN/>
              <w:bidi w:val="0"/>
              <w:snapToGrid/>
              <w:textAlignment w:val="auto"/>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5.社区特色应用和萧山区级平台的贯通演示（4分）</w:t>
            </w:r>
          </w:p>
          <w:p w14:paraId="2C1A83EC">
            <w:pPr>
              <w:pStyle w:val="2"/>
              <w:keepNext w:val="0"/>
              <w:keepLines w:val="0"/>
              <w:pageBreakBefore w:val="0"/>
              <w:widowControl w:val="0"/>
              <w:kinsoku/>
              <w:wordWrap/>
              <w:overflowPunct/>
              <w:topLinePunct w:val="0"/>
              <w:autoSpaceDE/>
              <w:autoSpaceDN/>
              <w:bidi w:val="0"/>
              <w:snapToGrid/>
              <w:spacing w:after="0"/>
              <w:ind w:left="0" w:leftChars="0" w:firstLine="0" w:firstLineChars="0"/>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1）“托育安心陪”可上架到区级未来社区平台应用商城；（0-1分）</w:t>
            </w:r>
          </w:p>
          <w:p w14:paraId="2B9EE61E">
            <w:pPr>
              <w:pStyle w:val="2"/>
              <w:keepNext w:val="0"/>
              <w:keepLines w:val="0"/>
              <w:pageBreakBefore w:val="0"/>
              <w:widowControl w:val="0"/>
              <w:kinsoku/>
              <w:wordWrap/>
              <w:overflowPunct/>
              <w:topLinePunct w:val="0"/>
              <w:autoSpaceDE/>
              <w:autoSpaceDN/>
              <w:bidi w:val="0"/>
              <w:snapToGrid/>
              <w:spacing w:after="0"/>
              <w:ind w:left="0" w:leftChars="0" w:firstLine="0" w:firstLineChars="0"/>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2）社区可以在应用商城申请下发“托育安心陪”，下发成功后，在该社区平台可以正常使用该应用；（0-2分）</w:t>
            </w:r>
          </w:p>
          <w:p w14:paraId="21AC74A7">
            <w:pPr>
              <w:pStyle w:val="2"/>
              <w:keepNext w:val="0"/>
              <w:keepLines w:val="0"/>
              <w:pageBreakBefore w:val="0"/>
              <w:widowControl w:val="0"/>
              <w:kinsoku/>
              <w:wordWrap/>
              <w:overflowPunct/>
              <w:topLinePunct w:val="0"/>
              <w:autoSpaceDE/>
              <w:autoSpaceDN/>
              <w:bidi w:val="0"/>
              <w:snapToGrid/>
              <w:spacing w:after="0"/>
              <w:ind w:left="0" w:leftChars="0" w:firstLine="0" w:firstLineChars="0"/>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3）社区本地用户体系能够与区平台用户体系打通，实现单点登录。（0-1分）</w:t>
            </w:r>
          </w:p>
        </w:tc>
        <w:tc>
          <w:tcPr>
            <w:tcW w:w="499" w:type="pct"/>
            <w:shd w:val="clear" w:color="auto" w:fill="auto"/>
            <w:vAlign w:val="center"/>
          </w:tcPr>
          <w:p w14:paraId="0291A968">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0-15分</w:t>
            </w:r>
          </w:p>
        </w:tc>
        <w:tc>
          <w:tcPr>
            <w:tcW w:w="339" w:type="pct"/>
            <w:shd w:val="clear" w:color="auto" w:fill="auto"/>
            <w:vAlign w:val="center"/>
          </w:tcPr>
          <w:p w14:paraId="64C91566">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主观分</w:t>
            </w:r>
          </w:p>
        </w:tc>
      </w:tr>
    </w:tbl>
    <w:p w14:paraId="30D2F0F6">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color w:val="auto"/>
          <w:sz w:val="20"/>
          <w:szCs w:val="20"/>
          <w:highlight w:val="none"/>
          <w:shd w:val="clear" w:color="auto" w:fill="FFFFFF"/>
        </w:rPr>
      </w:pPr>
    </w:p>
    <w:p w14:paraId="40559331">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val="0"/>
          <w:bCs w:val="0"/>
          <w:color w:val="auto"/>
          <w:kern w:val="2"/>
          <w:sz w:val="21"/>
          <w:szCs w:val="24"/>
          <w:highlight w:val="none"/>
          <w:lang w:val="en-US" w:eastAsia="zh-CN" w:bidi="ar-SA"/>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仿宋" w:hAnsi="仿宋" w:eastAsia="仿宋" w:cs="仿宋"/>
          <w:b w:val="0"/>
          <w:bCs w:val="0"/>
          <w:color w:val="auto"/>
          <w:kern w:val="2"/>
          <w:sz w:val="21"/>
          <w:szCs w:val="24"/>
          <w:highlight w:val="none"/>
          <w:lang w:val="en-US" w:eastAsia="zh-CN" w:bidi="ar-SA"/>
        </w:rPr>
        <w:t>投标人编制投标文件（商务技术文件部分）时，建议按此目录（序号和内容）提供评标标准相应的商务技术资料。</w:t>
      </w:r>
    </w:p>
    <w:p w14:paraId="517005DD">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val="0"/>
          <w:bCs w:val="0"/>
          <w:color w:val="auto"/>
          <w:kern w:val="2"/>
          <w:sz w:val="21"/>
          <w:szCs w:val="24"/>
          <w:highlight w:val="none"/>
          <w:lang w:val="en-US" w:eastAsia="zh-CN" w:bidi="ar-SA"/>
        </w:rPr>
      </w:pPr>
      <w:r>
        <w:rPr>
          <w:rFonts w:hint="eastAsia" w:ascii="仿宋" w:hAnsi="仿宋" w:eastAsia="仿宋" w:cs="仿宋"/>
          <w:b w:val="0"/>
          <w:bCs w:val="0"/>
          <w:color w:val="auto"/>
          <w:kern w:val="2"/>
          <w:sz w:val="21"/>
          <w:szCs w:val="24"/>
          <w:highlight w:val="none"/>
          <w:lang w:val="en-US" w:eastAsia="zh-CN" w:bidi="ar-SA"/>
        </w:rPr>
        <w:t>1、评分条款中涉及的业绩、荣誉、人员、社保等分公司均有效。</w:t>
      </w:r>
    </w:p>
    <w:p w14:paraId="1A0E70A1">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val="0"/>
          <w:bCs w:val="0"/>
          <w:color w:val="auto"/>
          <w:kern w:val="2"/>
          <w:sz w:val="21"/>
          <w:szCs w:val="24"/>
          <w:highlight w:val="none"/>
          <w:lang w:val="en-US" w:eastAsia="zh-CN" w:bidi="ar-SA"/>
        </w:rPr>
      </w:pPr>
      <w:r>
        <w:rPr>
          <w:rFonts w:hint="eastAsia" w:ascii="仿宋" w:hAnsi="仿宋" w:eastAsia="仿宋" w:cs="仿宋"/>
          <w:b w:val="0"/>
          <w:bCs w:val="0"/>
          <w:color w:val="auto"/>
          <w:kern w:val="2"/>
          <w:sz w:val="21"/>
          <w:szCs w:val="24"/>
          <w:highlight w:val="none"/>
          <w:lang w:val="en-US" w:eastAsia="zh-CN" w:bidi="ar-SA"/>
        </w:rPr>
        <w:t>2、投标文件中如附有外文资料，必须逐一对应翻译成中文并加盖投标人公章后附在相关外文资料后面，否则外文资料不予认可。</w:t>
      </w:r>
    </w:p>
    <w:tbl>
      <w:tblPr>
        <w:tblStyle w:val="62"/>
        <w:tblW w:w="8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14:paraId="4E48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tcBorders>
              <w:top w:val="single" w:color="auto" w:sz="4" w:space="0"/>
              <w:left w:val="single" w:color="auto" w:sz="4" w:space="0"/>
              <w:bottom w:val="single" w:color="auto" w:sz="4" w:space="0"/>
              <w:right w:val="single" w:color="auto" w:sz="4" w:space="0"/>
            </w:tcBorders>
            <w:vAlign w:val="center"/>
          </w:tcPr>
          <w:p w14:paraId="3D0BB75C">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价格权值</w:t>
            </w:r>
          </w:p>
        </w:tc>
        <w:tc>
          <w:tcPr>
            <w:tcW w:w="6599" w:type="dxa"/>
            <w:tcBorders>
              <w:top w:val="single" w:color="auto" w:sz="4" w:space="0"/>
              <w:left w:val="single" w:color="auto" w:sz="4" w:space="0"/>
              <w:bottom w:val="single" w:color="auto" w:sz="4" w:space="0"/>
              <w:right w:val="single" w:color="auto" w:sz="4" w:space="0"/>
            </w:tcBorders>
            <w:vAlign w:val="center"/>
          </w:tcPr>
          <w:p w14:paraId="2FDFAA79">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计算方法</w:t>
            </w:r>
          </w:p>
        </w:tc>
      </w:tr>
      <w:tr w14:paraId="56A3D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210" w:type="dxa"/>
            <w:tcBorders>
              <w:top w:val="single" w:color="auto" w:sz="4" w:space="0"/>
              <w:left w:val="single" w:color="auto" w:sz="4" w:space="0"/>
              <w:bottom w:val="single" w:color="auto" w:sz="4" w:space="0"/>
              <w:right w:val="single" w:color="auto" w:sz="4" w:space="0"/>
            </w:tcBorders>
            <w:vAlign w:val="center"/>
          </w:tcPr>
          <w:p w14:paraId="5E8E611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价格权值=0.30</w:t>
            </w:r>
          </w:p>
        </w:tc>
        <w:tc>
          <w:tcPr>
            <w:tcW w:w="6599" w:type="dxa"/>
            <w:tcBorders>
              <w:top w:val="single" w:color="auto" w:sz="4" w:space="0"/>
              <w:left w:val="single" w:color="auto" w:sz="4" w:space="0"/>
              <w:bottom w:val="single" w:color="auto" w:sz="4" w:space="0"/>
              <w:right w:val="single" w:color="auto" w:sz="4" w:space="0"/>
            </w:tcBorders>
            <w:vAlign w:val="top"/>
          </w:tcPr>
          <w:p w14:paraId="21BC42D4">
            <w:pPr>
              <w:keepNext w:val="0"/>
              <w:keepLines w:val="0"/>
              <w:pageBreakBefore w:val="0"/>
              <w:kinsoku/>
              <w:wordWrap/>
              <w:overflowPunct/>
              <w:topLinePunct w:val="0"/>
              <w:autoSpaceDE/>
              <w:autoSpaceDN/>
              <w:bidi w:val="0"/>
              <w:snapToGrid/>
              <w:spacing w:line="240" w:lineRule="auto"/>
              <w:textAlignment w:val="auto"/>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有效投标报价的最低价作为评标基准价，其最低报价为满分；按［投标报价得分=（评标基准价/投标报价）*权重］的计算公式计算。</w:t>
            </w:r>
          </w:p>
          <w:p w14:paraId="581B499D">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评标过程中，不得去掉报价中的最高报价和最低报价。</w:t>
            </w:r>
          </w:p>
          <w:p w14:paraId="5ABC0265">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对于未预留份额专门面向中小企业的政府采购货物项目，以及预留份额政府采购货物项目中的非预留部分标项，对小型和微型企业的投标报价给予</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%的扣除，用扣除后的价格参加评审。</w:t>
            </w:r>
          </w:p>
        </w:tc>
      </w:tr>
    </w:tbl>
    <w:p w14:paraId="1CE9454F">
      <w:pPr>
        <w:numPr>
          <w:ilvl w:val="0"/>
          <w:numId w:val="0"/>
        </w:numPr>
        <w:ind w:leftChars="0"/>
        <w:rPr>
          <w:rFonts w:hint="eastAsia" w:ascii="仿宋" w:hAnsi="仿宋" w:eastAsia="仿宋" w:cs="仿宋"/>
          <w:color w:val="auto"/>
          <w:highlight w:val="none"/>
          <w:lang w:val="en-US" w:eastAsia="zh-CN"/>
        </w:rPr>
      </w:pPr>
    </w:p>
    <w:p w14:paraId="14533A24">
      <w:pPr>
        <w:spacing w:line="360" w:lineRule="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0"/>
          <w:szCs w:val="20"/>
          <w:highlight w:val="none"/>
          <w:shd w:val="clear" w:color="auto" w:fill="FFFFFF"/>
        </w:rPr>
        <w:t>*</w:t>
      </w:r>
      <w:r>
        <w:rPr>
          <w:rFonts w:hint="eastAsia" w:ascii="仿宋" w:hAnsi="仿宋" w:eastAsia="仿宋" w:cs="仿宋"/>
          <w:b w:val="0"/>
          <w:bCs w:val="0"/>
          <w:color w:val="auto"/>
          <w:sz w:val="24"/>
          <w:highlight w:val="none"/>
        </w:rPr>
        <w:t>备注：1、投标人编制投标文件（商务技术文件部分）时，建议按此目录（序号和内容）提供评标标准相应的商务技术资料。</w:t>
      </w:r>
    </w:p>
    <w:p w14:paraId="79F316A7">
      <w:pPr>
        <w:spacing w:line="360" w:lineRule="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2、评分条款中涉及的业绩、荣誉、人员、社保等分公司均有效。涉及社保、劳动关系证明关系的，如人员为法人代表，则无需提供相关证明，提供营业执照及身份证。</w:t>
      </w:r>
    </w:p>
    <w:p w14:paraId="5590ECEC">
      <w:pPr>
        <w:spacing w:line="360" w:lineRule="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3、投标文件中如附有外文资料，必须逐一对应翻译成中文并加盖投标人公章后附在相关外文资料后面，否则外文资料不予认可。</w:t>
      </w:r>
    </w:p>
    <w:p w14:paraId="5F09B41E">
      <w:pPr>
        <w:spacing w:line="360" w:lineRule="auto"/>
        <w:rPr>
          <w:rFonts w:hint="eastAsia" w:ascii="仿宋" w:hAnsi="仿宋" w:eastAsia="仿宋" w:cs="仿宋"/>
          <w:color w:val="auto"/>
          <w:highlight w:val="none"/>
        </w:rPr>
      </w:pPr>
    </w:p>
    <w:p w14:paraId="437B743B">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79117DED">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290C92FC">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03CBE96E">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3ACC1B7B">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5CE3B7E7">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5FCAB2F">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2477AE30">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0ADE5C0B">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4E46B6DA">
      <w:pPr>
        <w:pStyle w:val="129"/>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64DAE2FE">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0851042B">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3FEC66A9">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4E6C9B4F">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45D82469">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5E98F09">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1B6B6AAB">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1210960A">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D9FA471">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1D4AD85">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2BCBD9F">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8FCB715">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5CF1679">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40BD88AF">
      <w:pPr>
        <w:pStyle w:val="129"/>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65AD1AB">
      <w:pPr>
        <w:pStyle w:val="3"/>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06F153F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07D63EA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21696BF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EF1F8B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3E1B491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52A753CB">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25FC2ED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74FC57A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9E1790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7C7B831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1D9DC3FA">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4AF09E2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6408A83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4.2.13投标人未提供样品或提供的样品不满足采购需求实质性条件的，投标无效；</w:t>
      </w:r>
    </w:p>
    <w:p w14:paraId="7F9388A9">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 xml:space="preserve"> 投标文件不满足招标文件的实质性要求的；</w:t>
      </w:r>
    </w:p>
    <w:p w14:paraId="188730E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2904AC5C">
      <w:pPr>
        <w:pStyle w:val="3"/>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7279996E">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1F7790C4">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04C8720E">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5321263F">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6D214292">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14:paraId="0DCAB7A0">
      <w:pPr>
        <w:pStyle w:val="3"/>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14:paraId="27247890">
      <w:pPr>
        <w:pStyle w:val="3"/>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440DDE7C">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55BFADBF">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3EC13D6B">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34BD84CD">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3C7E7C3D">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6BA74FD0">
      <w:pPr>
        <w:pStyle w:val="3"/>
        <w:snapToGrid w:val="0"/>
        <w:spacing w:line="360" w:lineRule="auto"/>
        <w:ind w:firstLine="0" w:firstLineChars="0"/>
        <w:rPr>
          <w:rFonts w:hint="eastAsia" w:ascii="仿宋" w:hAnsi="仿宋" w:eastAsia="仿宋" w:cs="仿宋"/>
          <w:color w:val="auto"/>
          <w:highlight w:val="none"/>
        </w:rPr>
      </w:pPr>
    </w:p>
    <w:bookmarkEnd w:id="31"/>
    <w:p w14:paraId="16BA20CF">
      <w:pPr>
        <w:spacing w:line="240" w:lineRule="auto"/>
        <w:ind w:left="0" w:leftChars="0" w:firstLine="0" w:firstLineChars="0"/>
        <w:outlineLvl w:val="9"/>
        <w:rPr>
          <w:rFonts w:hint="eastAsia" w:ascii="仿宋" w:hAnsi="仿宋" w:eastAsia="仿宋" w:cs="仿宋"/>
          <w:b/>
          <w:color w:val="auto"/>
          <w:sz w:val="36"/>
          <w:szCs w:val="36"/>
          <w:highlight w:val="none"/>
        </w:rPr>
      </w:pPr>
      <w:bookmarkStart w:id="410" w:name="_GoBack"/>
      <w:bookmarkEnd w:id="410"/>
      <w:bookmarkStart w:id="397" w:name="第五部分"/>
      <w:bookmarkStart w:id="398" w:name="_Toc86217003"/>
      <w:r>
        <w:rPr>
          <w:rFonts w:hint="eastAsia" w:ascii="仿宋" w:hAnsi="仿宋" w:eastAsia="仿宋" w:cs="仿宋"/>
          <w:b/>
          <w:color w:val="auto"/>
          <w:sz w:val="36"/>
          <w:szCs w:val="36"/>
          <w:highlight w:val="none"/>
        </w:rPr>
        <w:br w:type="page"/>
      </w:r>
    </w:p>
    <w:p w14:paraId="3F6221E6">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364DD406">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53F1E828">
      <w:pPr>
        <w:spacing w:line="480" w:lineRule="auto"/>
        <w:jc w:val="center"/>
        <w:rPr>
          <w:rFonts w:hint="eastAsia" w:ascii="仿宋" w:hAnsi="仿宋" w:eastAsia="仿宋" w:cs="仿宋"/>
          <w:b/>
          <w:color w:val="auto"/>
          <w:sz w:val="28"/>
          <w:szCs w:val="28"/>
          <w:highlight w:val="none"/>
        </w:rPr>
      </w:pPr>
    </w:p>
    <w:p w14:paraId="68B1AE24">
      <w:pPr>
        <w:spacing w:line="480" w:lineRule="auto"/>
        <w:jc w:val="center"/>
        <w:rPr>
          <w:rFonts w:hint="eastAsia" w:ascii="仿宋" w:hAnsi="仿宋" w:eastAsia="仿宋" w:cs="仿宋"/>
          <w:b/>
          <w:color w:val="auto"/>
          <w:sz w:val="24"/>
          <w:highlight w:val="none"/>
        </w:rPr>
      </w:pPr>
    </w:p>
    <w:p w14:paraId="6DA9B14F">
      <w:pPr>
        <w:spacing w:line="360" w:lineRule="auto"/>
        <w:ind w:left="-420" w:leftChars="-200" w:right="-420" w:rightChars="-200" w:firstLine="480" w:firstLineChars="200"/>
        <w:rPr>
          <w:rFonts w:hint="eastAsia" w:ascii="仿宋" w:hAnsi="仿宋" w:eastAsia="仿宋" w:cs="仿宋"/>
          <w:color w:val="auto"/>
          <w:sz w:val="24"/>
          <w:highlight w:val="none"/>
        </w:rPr>
      </w:pPr>
    </w:p>
    <w:p w14:paraId="5D628E28">
      <w:pPr>
        <w:pStyle w:val="6"/>
        <w:rPr>
          <w:rFonts w:hint="eastAsia" w:ascii="仿宋" w:hAnsi="仿宋" w:eastAsia="仿宋" w:cs="仿宋"/>
          <w:color w:val="auto"/>
          <w:sz w:val="24"/>
          <w:highlight w:val="none"/>
        </w:rPr>
      </w:pPr>
    </w:p>
    <w:p w14:paraId="276E4EF2">
      <w:pPr>
        <w:rPr>
          <w:rFonts w:hint="eastAsia" w:ascii="仿宋" w:hAnsi="仿宋" w:eastAsia="仿宋" w:cs="仿宋"/>
          <w:color w:val="auto"/>
          <w:sz w:val="24"/>
          <w:highlight w:val="none"/>
        </w:rPr>
      </w:pPr>
    </w:p>
    <w:p w14:paraId="464A009C">
      <w:pPr>
        <w:pStyle w:val="6"/>
        <w:rPr>
          <w:rFonts w:hint="eastAsia" w:ascii="仿宋" w:hAnsi="仿宋" w:eastAsia="仿宋" w:cs="仿宋"/>
          <w:color w:val="auto"/>
          <w:sz w:val="24"/>
          <w:highlight w:val="none"/>
        </w:rPr>
      </w:pPr>
    </w:p>
    <w:p w14:paraId="5DA9419D">
      <w:pPr>
        <w:rPr>
          <w:rFonts w:hint="eastAsia" w:ascii="仿宋" w:hAnsi="仿宋" w:eastAsia="仿宋" w:cs="仿宋"/>
          <w:color w:val="auto"/>
          <w:sz w:val="24"/>
          <w:highlight w:val="none"/>
        </w:rPr>
      </w:pPr>
    </w:p>
    <w:p w14:paraId="6A8F3D20">
      <w:pPr>
        <w:pStyle w:val="6"/>
        <w:rPr>
          <w:rFonts w:hint="eastAsia" w:ascii="仿宋" w:hAnsi="仿宋" w:eastAsia="仿宋" w:cs="仿宋"/>
          <w:color w:val="auto"/>
          <w:highlight w:val="none"/>
        </w:rPr>
      </w:pPr>
    </w:p>
    <w:p w14:paraId="7255715F">
      <w:pPr>
        <w:spacing w:line="360" w:lineRule="auto"/>
        <w:ind w:left="-420" w:leftChars="-200" w:right="-420" w:rightChars="-200"/>
        <w:rPr>
          <w:rFonts w:hint="eastAsia" w:ascii="仿宋" w:hAnsi="仿宋" w:eastAsia="仿宋" w:cs="仿宋"/>
          <w:color w:val="auto"/>
          <w:sz w:val="24"/>
          <w:highlight w:val="none"/>
        </w:rPr>
      </w:pPr>
    </w:p>
    <w:p w14:paraId="2078573C">
      <w:pPr>
        <w:pStyle w:val="6"/>
        <w:rPr>
          <w:rFonts w:hint="eastAsia" w:ascii="仿宋" w:hAnsi="仿宋" w:eastAsia="仿宋" w:cs="仿宋"/>
          <w:color w:val="auto"/>
          <w:highlight w:val="none"/>
        </w:rPr>
      </w:pPr>
    </w:p>
    <w:p w14:paraId="53DF0875">
      <w:pPr>
        <w:rPr>
          <w:rFonts w:hint="eastAsia" w:ascii="仿宋" w:hAnsi="仿宋" w:eastAsia="仿宋" w:cs="仿宋"/>
          <w:color w:val="auto"/>
          <w:highlight w:val="none"/>
        </w:rPr>
      </w:pPr>
    </w:p>
    <w:p w14:paraId="58CE9124">
      <w:pP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7"/>
      <w:r>
        <w:rPr>
          <w:rFonts w:hint="eastAsia" w:ascii="仿宋" w:hAnsi="仿宋" w:eastAsia="仿宋" w:cs="仿宋"/>
          <w:b/>
          <w:color w:val="auto"/>
          <w:sz w:val="36"/>
          <w:szCs w:val="20"/>
          <w:highlight w:val="none"/>
        </w:rPr>
        <w:t xml:space="preserve"> </w:t>
      </w:r>
      <w:bookmarkEnd w:id="398"/>
      <w:r>
        <w:rPr>
          <w:rFonts w:hint="eastAsia" w:ascii="仿宋" w:hAnsi="仿宋" w:eastAsia="仿宋" w:cs="仿宋"/>
          <w:b/>
          <w:color w:val="auto"/>
          <w:sz w:val="36"/>
          <w:szCs w:val="20"/>
          <w:highlight w:val="none"/>
        </w:rPr>
        <w:t>应提交的有关格式范例</w:t>
      </w:r>
    </w:p>
    <w:p w14:paraId="3B677F48">
      <w:pPr>
        <w:spacing w:line="360" w:lineRule="auto"/>
        <w:jc w:val="center"/>
        <w:outlineLvl w:val="0"/>
        <w:rPr>
          <w:rFonts w:hint="eastAsia" w:ascii="仿宋" w:hAnsi="仿宋" w:eastAsia="仿宋" w:cs="仿宋"/>
          <w:b/>
          <w:color w:val="auto"/>
          <w:kern w:val="0"/>
          <w:sz w:val="36"/>
          <w:szCs w:val="36"/>
          <w:highlight w:val="none"/>
        </w:rPr>
      </w:pPr>
    </w:p>
    <w:p w14:paraId="17A20D9E">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55722801">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23F9E261">
      <w:pPr>
        <w:spacing w:line="360" w:lineRule="auto"/>
        <w:jc w:val="center"/>
        <w:outlineLvl w:val="0"/>
        <w:rPr>
          <w:rFonts w:hint="eastAsia" w:ascii="仿宋" w:hAnsi="仿宋" w:eastAsia="仿宋" w:cs="仿宋"/>
          <w:b/>
          <w:color w:val="auto"/>
          <w:kern w:val="0"/>
          <w:sz w:val="36"/>
          <w:szCs w:val="36"/>
          <w:highlight w:val="none"/>
        </w:rPr>
      </w:pPr>
    </w:p>
    <w:p w14:paraId="3023D7E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1B2FD9C2">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4DDAC35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5F4877D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651BB89D">
      <w:pPr>
        <w:snapToGrid w:val="0"/>
        <w:spacing w:line="360" w:lineRule="auto"/>
        <w:ind w:firstLine="480" w:firstLineChars="200"/>
        <w:rPr>
          <w:rFonts w:hint="eastAsia" w:ascii="仿宋" w:hAnsi="仿宋" w:eastAsia="仿宋" w:cs="仿宋"/>
          <w:color w:val="auto"/>
          <w:sz w:val="24"/>
          <w:highlight w:val="none"/>
        </w:rPr>
      </w:pPr>
    </w:p>
    <w:p w14:paraId="51859C1F">
      <w:pPr>
        <w:spacing w:line="360" w:lineRule="auto"/>
        <w:ind w:firstLine="480" w:firstLineChars="200"/>
        <w:rPr>
          <w:rFonts w:hint="eastAsia" w:ascii="仿宋" w:hAnsi="仿宋" w:eastAsia="仿宋" w:cs="仿宋"/>
          <w:color w:val="auto"/>
          <w:sz w:val="24"/>
          <w:highlight w:val="none"/>
        </w:rPr>
      </w:pPr>
    </w:p>
    <w:p w14:paraId="4C50663E">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59EC366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6275CE2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56671498">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195B191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7FB1876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7BF36C9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154A165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49DBB72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0F90835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7A29941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006B973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0649954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0AE51D0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2CC5208F">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1C5E906A">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2E954AD5">
      <w:pPr>
        <w:snapToGrid w:val="0"/>
        <w:spacing w:line="360" w:lineRule="auto"/>
        <w:ind w:right="480"/>
        <w:jc w:val="both"/>
        <w:rPr>
          <w:rFonts w:hint="eastAsia" w:ascii="仿宋" w:hAnsi="仿宋" w:eastAsia="仿宋" w:cs="仿宋"/>
          <w:b/>
          <w:color w:val="auto"/>
          <w:kern w:val="0"/>
          <w:sz w:val="32"/>
          <w:szCs w:val="32"/>
          <w:highlight w:val="none"/>
        </w:rPr>
      </w:pPr>
    </w:p>
    <w:p w14:paraId="15752A1E">
      <w:pPr>
        <w:snapToGrid w:val="0"/>
        <w:spacing w:line="360" w:lineRule="auto"/>
        <w:ind w:right="480" w:firstLine="559" w:firstLineChars="233"/>
        <w:jc w:val="left"/>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2DE19E3A">
      <w:pPr>
        <w:snapToGrid w:val="0"/>
        <w:spacing w:line="360" w:lineRule="auto"/>
        <w:ind w:right="480"/>
        <w:jc w:val="both"/>
        <w:rPr>
          <w:rFonts w:hint="eastAsia" w:ascii="仿宋" w:hAnsi="仿宋" w:eastAsia="仿宋" w:cs="仿宋"/>
          <w:b/>
          <w:color w:val="auto"/>
          <w:kern w:val="0"/>
          <w:sz w:val="32"/>
          <w:szCs w:val="32"/>
          <w:highlight w:val="none"/>
        </w:rPr>
      </w:pPr>
    </w:p>
    <w:p w14:paraId="38EC61FA">
      <w:pPr>
        <w:widowControl/>
        <w:spacing w:line="360" w:lineRule="auto"/>
        <w:ind w:firstLine="643" w:firstLineChars="200"/>
        <w:jc w:val="center"/>
        <w:rPr>
          <w:rFonts w:hint="eastAsia" w:ascii="仿宋" w:hAnsi="仿宋" w:eastAsia="仿宋" w:cs="仿宋"/>
          <w:b/>
          <w:color w:val="auto"/>
          <w:kern w:val="0"/>
          <w:sz w:val="32"/>
          <w:szCs w:val="32"/>
          <w:highlight w:val="none"/>
        </w:rPr>
      </w:pPr>
    </w:p>
    <w:p w14:paraId="65E45689">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1A53615E">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12AFFE9E">
      <w:pPr>
        <w:snapToGrid w:val="0"/>
        <w:spacing w:line="360" w:lineRule="auto"/>
        <w:ind w:right="480"/>
        <w:jc w:val="center"/>
        <w:rPr>
          <w:rFonts w:hint="eastAsia" w:ascii="仿宋" w:hAnsi="仿宋" w:eastAsia="仿宋" w:cs="仿宋"/>
          <w:b/>
          <w:color w:val="auto"/>
          <w:kern w:val="0"/>
          <w:sz w:val="32"/>
          <w:szCs w:val="32"/>
          <w:highlight w:val="none"/>
        </w:rPr>
      </w:pPr>
    </w:p>
    <w:p w14:paraId="6E62672A">
      <w:pPr>
        <w:snapToGrid w:val="0"/>
        <w:spacing w:line="360" w:lineRule="auto"/>
        <w:ind w:right="480"/>
        <w:jc w:val="center"/>
        <w:rPr>
          <w:rFonts w:hint="eastAsia" w:ascii="仿宋" w:hAnsi="仿宋" w:eastAsia="仿宋" w:cs="仿宋"/>
          <w:b/>
          <w:color w:val="auto"/>
          <w:kern w:val="0"/>
          <w:sz w:val="32"/>
          <w:szCs w:val="32"/>
          <w:highlight w:val="none"/>
        </w:rPr>
      </w:pPr>
    </w:p>
    <w:p w14:paraId="592BB208">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7C3996C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236F296E">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.专门面向中小企业，货物全部由符合政策要求的中小企业（或小微企业）制造的，提供相应的中小企业声明函（附件7）。 </w:t>
      </w:r>
    </w:p>
    <w:p w14:paraId="5D890D6E">
      <w:pPr>
        <w:widowControl/>
        <w:spacing w:line="360" w:lineRule="auto"/>
        <w:ind w:firstLine="480"/>
        <w:jc w:val="left"/>
        <w:rPr>
          <w:rFonts w:hint="eastAsia" w:ascii="仿宋" w:hAnsi="仿宋" w:eastAsia="仿宋" w:cs="仿宋"/>
          <w:color w:val="auto"/>
          <w:sz w:val="24"/>
          <w:highlight w:val="none"/>
        </w:rPr>
      </w:pPr>
    </w:p>
    <w:p w14:paraId="2FE0EE2A">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66093D68">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5DDAB8FF">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2A22D220">
      <w:pPr>
        <w:widowControl/>
        <w:spacing w:line="360" w:lineRule="auto"/>
        <w:ind w:left="150"/>
        <w:jc w:val="center"/>
        <w:rPr>
          <w:rFonts w:hint="eastAsia" w:ascii="仿宋" w:hAnsi="仿宋" w:eastAsia="仿宋" w:cs="仿宋"/>
          <w:b/>
          <w:color w:val="auto"/>
          <w:kern w:val="0"/>
          <w:sz w:val="32"/>
          <w:szCs w:val="32"/>
          <w:highlight w:val="none"/>
        </w:rPr>
      </w:pPr>
    </w:p>
    <w:p w14:paraId="790C5B8A">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7A3374B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692A83B2">
      <w:pPr>
        <w:rPr>
          <w:rFonts w:hint="eastAsia" w:ascii="仿宋" w:hAnsi="仿宋" w:eastAsia="仿宋" w:cs="仿宋"/>
          <w:color w:val="auto"/>
          <w:highlight w:val="none"/>
        </w:rPr>
      </w:pPr>
    </w:p>
    <w:p w14:paraId="3C62CDED">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CC8F1CE">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480C741E">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031756EE">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12C4384C">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3FE84E1A">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3FF586F0">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794FC62E">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33AA1B0A">
      <w:pPr>
        <w:snapToGrid w:val="0"/>
        <w:spacing w:line="360" w:lineRule="auto"/>
        <w:jc w:val="center"/>
        <w:rPr>
          <w:rFonts w:hint="eastAsia" w:ascii="仿宋" w:hAnsi="仿宋" w:eastAsia="仿宋" w:cs="仿宋"/>
          <w:b/>
          <w:color w:val="auto"/>
          <w:kern w:val="0"/>
          <w:sz w:val="32"/>
          <w:szCs w:val="32"/>
          <w:highlight w:val="none"/>
          <w:lang w:val="zh-CN"/>
        </w:rPr>
      </w:pPr>
    </w:p>
    <w:p w14:paraId="2FEF569D">
      <w:pPr>
        <w:snapToGrid w:val="0"/>
        <w:spacing w:line="360" w:lineRule="auto"/>
        <w:jc w:val="center"/>
        <w:rPr>
          <w:rFonts w:hint="eastAsia" w:ascii="仿宋" w:hAnsi="仿宋" w:eastAsia="仿宋" w:cs="仿宋"/>
          <w:b/>
          <w:color w:val="auto"/>
          <w:kern w:val="0"/>
          <w:sz w:val="32"/>
          <w:szCs w:val="32"/>
          <w:highlight w:val="none"/>
          <w:lang w:val="zh-CN"/>
        </w:rPr>
      </w:pPr>
    </w:p>
    <w:p w14:paraId="1829C581">
      <w:pPr>
        <w:snapToGrid w:val="0"/>
        <w:spacing w:line="360" w:lineRule="auto"/>
        <w:jc w:val="center"/>
        <w:rPr>
          <w:rFonts w:hint="eastAsia" w:ascii="仿宋" w:hAnsi="仿宋" w:eastAsia="仿宋" w:cs="仿宋"/>
          <w:b/>
          <w:color w:val="auto"/>
          <w:kern w:val="0"/>
          <w:sz w:val="32"/>
          <w:szCs w:val="32"/>
          <w:highlight w:val="none"/>
          <w:lang w:val="zh-CN"/>
        </w:rPr>
      </w:pPr>
    </w:p>
    <w:p w14:paraId="2EF8A24D">
      <w:pPr>
        <w:snapToGrid w:val="0"/>
        <w:spacing w:line="360" w:lineRule="auto"/>
        <w:jc w:val="center"/>
        <w:rPr>
          <w:rFonts w:hint="eastAsia" w:ascii="仿宋" w:hAnsi="仿宋" w:eastAsia="仿宋" w:cs="仿宋"/>
          <w:b/>
          <w:color w:val="auto"/>
          <w:kern w:val="0"/>
          <w:sz w:val="32"/>
          <w:szCs w:val="32"/>
          <w:highlight w:val="none"/>
          <w:lang w:val="zh-CN"/>
        </w:rPr>
      </w:pPr>
    </w:p>
    <w:p w14:paraId="7019D998">
      <w:pPr>
        <w:snapToGrid w:val="0"/>
        <w:spacing w:line="360" w:lineRule="auto"/>
        <w:jc w:val="center"/>
        <w:rPr>
          <w:rFonts w:hint="eastAsia" w:ascii="仿宋" w:hAnsi="仿宋" w:eastAsia="仿宋" w:cs="仿宋"/>
          <w:b/>
          <w:color w:val="auto"/>
          <w:kern w:val="0"/>
          <w:sz w:val="32"/>
          <w:szCs w:val="32"/>
          <w:highlight w:val="none"/>
          <w:lang w:val="zh-CN"/>
        </w:rPr>
      </w:pPr>
    </w:p>
    <w:p w14:paraId="72DC2780">
      <w:pPr>
        <w:snapToGrid w:val="0"/>
        <w:spacing w:line="360" w:lineRule="auto"/>
        <w:jc w:val="center"/>
        <w:outlineLvl w:val="0"/>
        <w:rPr>
          <w:rFonts w:hint="eastAsia" w:ascii="仿宋" w:hAnsi="仿宋" w:eastAsia="仿宋" w:cs="仿宋"/>
          <w:b/>
          <w:color w:val="auto"/>
          <w:kern w:val="0"/>
          <w:sz w:val="32"/>
          <w:szCs w:val="32"/>
          <w:highlight w:val="none"/>
        </w:rPr>
      </w:pPr>
    </w:p>
    <w:p w14:paraId="325A254D">
      <w:pPr>
        <w:snapToGrid w:val="0"/>
        <w:spacing w:line="360" w:lineRule="auto"/>
        <w:jc w:val="center"/>
        <w:outlineLvl w:val="0"/>
        <w:rPr>
          <w:rFonts w:hint="eastAsia" w:ascii="仿宋" w:hAnsi="仿宋" w:eastAsia="仿宋" w:cs="仿宋"/>
          <w:b/>
          <w:color w:val="auto"/>
          <w:kern w:val="0"/>
          <w:sz w:val="32"/>
          <w:szCs w:val="32"/>
          <w:highlight w:val="none"/>
        </w:rPr>
      </w:pPr>
    </w:p>
    <w:p w14:paraId="7C6DB1F4">
      <w:pPr>
        <w:rPr>
          <w:rFonts w:hint="eastAsia" w:ascii="仿宋" w:hAnsi="仿宋" w:eastAsia="仿宋" w:cs="仿宋"/>
          <w:color w:val="auto"/>
          <w:highlight w:val="none"/>
        </w:rPr>
      </w:pPr>
    </w:p>
    <w:p w14:paraId="43043941">
      <w:pPr>
        <w:snapToGrid w:val="0"/>
        <w:spacing w:line="360" w:lineRule="auto"/>
        <w:jc w:val="center"/>
        <w:outlineLvl w:val="0"/>
        <w:rPr>
          <w:rFonts w:hint="eastAsia" w:ascii="仿宋" w:hAnsi="仿宋" w:eastAsia="仿宋" w:cs="仿宋"/>
          <w:b/>
          <w:color w:val="auto"/>
          <w:kern w:val="0"/>
          <w:sz w:val="32"/>
          <w:szCs w:val="32"/>
          <w:highlight w:val="none"/>
        </w:rPr>
      </w:pPr>
    </w:p>
    <w:p w14:paraId="0064A17A">
      <w:pPr>
        <w:snapToGrid w:val="0"/>
        <w:spacing w:line="360" w:lineRule="auto"/>
        <w:jc w:val="center"/>
        <w:outlineLvl w:val="0"/>
        <w:rPr>
          <w:rFonts w:hint="eastAsia" w:ascii="仿宋" w:hAnsi="仿宋" w:eastAsia="仿宋" w:cs="仿宋"/>
          <w:b/>
          <w:color w:val="auto"/>
          <w:kern w:val="0"/>
          <w:sz w:val="32"/>
          <w:szCs w:val="32"/>
          <w:highlight w:val="none"/>
        </w:rPr>
      </w:pPr>
    </w:p>
    <w:p w14:paraId="0EF6D3D3">
      <w:pPr>
        <w:pStyle w:val="6"/>
        <w:rPr>
          <w:rFonts w:hint="eastAsia" w:ascii="仿宋" w:hAnsi="仿宋" w:eastAsia="仿宋" w:cs="仿宋"/>
          <w:color w:val="auto"/>
          <w:highlight w:val="none"/>
          <w:lang w:val="en-US"/>
        </w:rPr>
      </w:pPr>
    </w:p>
    <w:p w14:paraId="09A86207">
      <w:pPr>
        <w:rPr>
          <w:rFonts w:hint="eastAsia" w:ascii="仿宋" w:hAnsi="仿宋" w:eastAsia="仿宋" w:cs="仿宋"/>
          <w:color w:val="auto"/>
          <w:highlight w:val="none"/>
        </w:rPr>
      </w:pPr>
    </w:p>
    <w:p w14:paraId="456AE92C">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14:paraId="63A32237">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14:paraId="6AA68653">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14:paraId="6B32DAAB">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D7E105F">
      <w:pPr>
        <w:snapToGrid w:val="0"/>
        <w:spacing w:line="360" w:lineRule="auto"/>
        <w:ind w:firstLine="3855" w:firstLineChars="1200"/>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1E3A16B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66EE38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74725EA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6C1D2C6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19E8C368">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2FFBFAD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1878D7E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联合协议（如果有)；</w:t>
      </w:r>
    </w:p>
    <w:p w14:paraId="1BAFD8E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091AB25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206A5A31">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77BEDC9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1F83AD8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7C69E26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006278D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0505678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5D72B94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35CB290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3E70B2CC">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5FB37434">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684BC12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5146B43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015F003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584E700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49C5A52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11718DC6">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2AF4735B">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4AE5189C">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77E9E3A7">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5BF3968">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23D0A58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9856F37">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5790359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95865B0">
      <w:pPr>
        <w:snapToGrid w:val="0"/>
        <w:spacing w:line="360" w:lineRule="auto"/>
        <w:jc w:val="center"/>
        <w:rPr>
          <w:rFonts w:hint="eastAsia" w:ascii="仿宋" w:hAnsi="仿宋" w:eastAsia="仿宋" w:cs="仿宋"/>
          <w:b/>
          <w:color w:val="auto"/>
          <w:kern w:val="0"/>
          <w:sz w:val="32"/>
          <w:szCs w:val="32"/>
          <w:highlight w:val="none"/>
        </w:rPr>
      </w:pPr>
    </w:p>
    <w:p w14:paraId="1DB2B5D8">
      <w:pPr>
        <w:snapToGrid w:val="0"/>
        <w:spacing w:line="360" w:lineRule="auto"/>
        <w:rPr>
          <w:rFonts w:hint="eastAsia" w:ascii="仿宋" w:hAnsi="仿宋" w:eastAsia="仿宋" w:cs="仿宋"/>
          <w:color w:val="auto"/>
          <w:sz w:val="24"/>
          <w:highlight w:val="none"/>
        </w:rPr>
      </w:pPr>
    </w:p>
    <w:p w14:paraId="2BE69915">
      <w:pPr>
        <w:jc w:val="center"/>
        <w:rPr>
          <w:rFonts w:hint="eastAsia" w:ascii="仿宋" w:hAnsi="仿宋" w:eastAsia="仿宋" w:cs="仿宋"/>
          <w:b/>
          <w:color w:val="auto"/>
          <w:kern w:val="0"/>
          <w:sz w:val="32"/>
          <w:szCs w:val="32"/>
          <w:highlight w:val="none"/>
        </w:rPr>
      </w:pPr>
    </w:p>
    <w:p w14:paraId="3AECF6B4">
      <w:pPr>
        <w:jc w:val="center"/>
        <w:rPr>
          <w:rFonts w:hint="eastAsia" w:ascii="仿宋" w:hAnsi="仿宋" w:eastAsia="仿宋" w:cs="仿宋"/>
          <w:b/>
          <w:color w:val="auto"/>
          <w:kern w:val="0"/>
          <w:sz w:val="32"/>
          <w:szCs w:val="32"/>
          <w:highlight w:val="none"/>
        </w:rPr>
      </w:pPr>
    </w:p>
    <w:p w14:paraId="4F986A40">
      <w:pPr>
        <w:jc w:val="center"/>
        <w:rPr>
          <w:rFonts w:hint="eastAsia" w:ascii="仿宋" w:hAnsi="仿宋" w:eastAsia="仿宋" w:cs="仿宋"/>
          <w:b/>
          <w:color w:val="auto"/>
          <w:kern w:val="0"/>
          <w:sz w:val="32"/>
          <w:szCs w:val="32"/>
          <w:highlight w:val="none"/>
        </w:rPr>
      </w:pPr>
    </w:p>
    <w:p w14:paraId="691C03A8">
      <w:pPr>
        <w:jc w:val="center"/>
        <w:rPr>
          <w:rFonts w:hint="eastAsia" w:ascii="仿宋" w:hAnsi="仿宋" w:eastAsia="仿宋" w:cs="仿宋"/>
          <w:b/>
          <w:color w:val="auto"/>
          <w:kern w:val="0"/>
          <w:sz w:val="32"/>
          <w:szCs w:val="32"/>
          <w:highlight w:val="none"/>
        </w:rPr>
      </w:pPr>
    </w:p>
    <w:p w14:paraId="48FA7439">
      <w:pPr>
        <w:jc w:val="center"/>
        <w:rPr>
          <w:rFonts w:hint="eastAsia" w:ascii="仿宋" w:hAnsi="仿宋" w:eastAsia="仿宋" w:cs="仿宋"/>
          <w:b/>
          <w:color w:val="auto"/>
          <w:kern w:val="0"/>
          <w:sz w:val="32"/>
          <w:szCs w:val="32"/>
          <w:highlight w:val="none"/>
        </w:rPr>
      </w:pPr>
    </w:p>
    <w:p w14:paraId="486C7685">
      <w:pPr>
        <w:jc w:val="center"/>
        <w:rPr>
          <w:rFonts w:hint="eastAsia" w:ascii="仿宋" w:hAnsi="仿宋" w:eastAsia="仿宋" w:cs="仿宋"/>
          <w:b/>
          <w:color w:val="auto"/>
          <w:kern w:val="0"/>
          <w:sz w:val="32"/>
          <w:szCs w:val="32"/>
          <w:highlight w:val="none"/>
        </w:rPr>
      </w:pPr>
    </w:p>
    <w:p w14:paraId="55D4D916">
      <w:pPr>
        <w:jc w:val="center"/>
        <w:rPr>
          <w:rFonts w:hint="eastAsia" w:ascii="仿宋" w:hAnsi="仿宋" w:eastAsia="仿宋" w:cs="仿宋"/>
          <w:b/>
          <w:color w:val="auto"/>
          <w:kern w:val="0"/>
          <w:sz w:val="32"/>
          <w:szCs w:val="32"/>
          <w:highlight w:val="none"/>
        </w:rPr>
      </w:pPr>
    </w:p>
    <w:p w14:paraId="51B4B8B4">
      <w:pPr>
        <w:jc w:val="center"/>
        <w:rPr>
          <w:rFonts w:hint="eastAsia" w:ascii="仿宋" w:hAnsi="仿宋" w:eastAsia="仿宋" w:cs="仿宋"/>
          <w:b/>
          <w:color w:val="auto"/>
          <w:kern w:val="0"/>
          <w:sz w:val="32"/>
          <w:szCs w:val="32"/>
          <w:highlight w:val="none"/>
        </w:rPr>
      </w:pPr>
    </w:p>
    <w:p w14:paraId="4437BAB4">
      <w:pPr>
        <w:jc w:val="center"/>
        <w:rPr>
          <w:rFonts w:hint="eastAsia" w:ascii="仿宋" w:hAnsi="仿宋" w:eastAsia="仿宋" w:cs="仿宋"/>
          <w:b/>
          <w:color w:val="auto"/>
          <w:kern w:val="0"/>
          <w:sz w:val="32"/>
          <w:szCs w:val="32"/>
          <w:highlight w:val="none"/>
        </w:rPr>
      </w:pPr>
    </w:p>
    <w:p w14:paraId="28B9DC16">
      <w:pPr>
        <w:jc w:val="center"/>
        <w:rPr>
          <w:rFonts w:hint="eastAsia" w:ascii="仿宋" w:hAnsi="仿宋" w:eastAsia="仿宋" w:cs="仿宋"/>
          <w:b/>
          <w:color w:val="auto"/>
          <w:kern w:val="0"/>
          <w:sz w:val="32"/>
          <w:szCs w:val="32"/>
          <w:highlight w:val="none"/>
        </w:rPr>
      </w:pPr>
    </w:p>
    <w:p w14:paraId="7252EBA9">
      <w:pPr>
        <w:jc w:val="center"/>
        <w:rPr>
          <w:rFonts w:hint="eastAsia" w:ascii="仿宋" w:hAnsi="仿宋" w:eastAsia="仿宋" w:cs="仿宋"/>
          <w:b/>
          <w:color w:val="auto"/>
          <w:kern w:val="0"/>
          <w:sz w:val="32"/>
          <w:szCs w:val="32"/>
          <w:highlight w:val="none"/>
        </w:rPr>
      </w:pPr>
    </w:p>
    <w:p w14:paraId="4A23A215">
      <w:pPr>
        <w:jc w:val="center"/>
        <w:rPr>
          <w:rFonts w:hint="eastAsia" w:ascii="仿宋" w:hAnsi="仿宋" w:eastAsia="仿宋" w:cs="仿宋"/>
          <w:b/>
          <w:color w:val="auto"/>
          <w:kern w:val="0"/>
          <w:sz w:val="32"/>
          <w:szCs w:val="32"/>
          <w:highlight w:val="none"/>
        </w:rPr>
      </w:pPr>
    </w:p>
    <w:p w14:paraId="62251EBE">
      <w:pPr>
        <w:jc w:val="center"/>
        <w:rPr>
          <w:rFonts w:hint="eastAsia" w:ascii="仿宋" w:hAnsi="仿宋" w:eastAsia="仿宋" w:cs="仿宋"/>
          <w:b/>
          <w:color w:val="auto"/>
          <w:kern w:val="0"/>
          <w:sz w:val="32"/>
          <w:szCs w:val="32"/>
          <w:highlight w:val="none"/>
        </w:rPr>
      </w:pPr>
    </w:p>
    <w:p w14:paraId="6F563D4A">
      <w:pPr>
        <w:jc w:val="center"/>
        <w:rPr>
          <w:rFonts w:hint="eastAsia" w:ascii="仿宋" w:hAnsi="仿宋" w:eastAsia="仿宋" w:cs="仿宋"/>
          <w:b/>
          <w:color w:val="auto"/>
          <w:kern w:val="0"/>
          <w:sz w:val="32"/>
          <w:szCs w:val="32"/>
          <w:highlight w:val="none"/>
        </w:rPr>
      </w:pPr>
    </w:p>
    <w:p w14:paraId="6A934DE9">
      <w:pPr>
        <w:jc w:val="center"/>
        <w:rPr>
          <w:rFonts w:hint="eastAsia" w:ascii="仿宋" w:hAnsi="仿宋" w:eastAsia="仿宋" w:cs="仿宋"/>
          <w:b/>
          <w:color w:val="auto"/>
          <w:kern w:val="0"/>
          <w:sz w:val="32"/>
          <w:szCs w:val="32"/>
          <w:highlight w:val="none"/>
        </w:rPr>
      </w:pPr>
    </w:p>
    <w:p w14:paraId="15C91B8F">
      <w:pPr>
        <w:jc w:val="center"/>
        <w:rPr>
          <w:rFonts w:hint="eastAsia" w:ascii="仿宋" w:hAnsi="仿宋" w:eastAsia="仿宋" w:cs="仿宋"/>
          <w:b/>
          <w:color w:val="auto"/>
          <w:kern w:val="0"/>
          <w:sz w:val="32"/>
          <w:szCs w:val="32"/>
          <w:highlight w:val="none"/>
        </w:rPr>
      </w:pPr>
    </w:p>
    <w:p w14:paraId="601F9037">
      <w:pPr>
        <w:jc w:val="center"/>
        <w:rPr>
          <w:rFonts w:hint="eastAsia" w:ascii="仿宋" w:hAnsi="仿宋" w:eastAsia="仿宋" w:cs="仿宋"/>
          <w:b/>
          <w:color w:val="auto"/>
          <w:kern w:val="0"/>
          <w:sz w:val="32"/>
          <w:szCs w:val="32"/>
          <w:highlight w:val="none"/>
        </w:rPr>
      </w:pPr>
    </w:p>
    <w:p w14:paraId="7B7EA3A7">
      <w:pPr>
        <w:jc w:val="center"/>
        <w:rPr>
          <w:rFonts w:hint="eastAsia" w:ascii="仿宋" w:hAnsi="仿宋" w:eastAsia="仿宋" w:cs="仿宋"/>
          <w:b/>
          <w:color w:val="auto"/>
          <w:kern w:val="0"/>
          <w:sz w:val="32"/>
          <w:szCs w:val="32"/>
          <w:highlight w:val="none"/>
        </w:rPr>
      </w:pPr>
    </w:p>
    <w:p w14:paraId="74693D57">
      <w:pPr>
        <w:jc w:val="center"/>
        <w:rPr>
          <w:rFonts w:hint="eastAsia" w:ascii="仿宋" w:hAnsi="仿宋" w:eastAsia="仿宋" w:cs="仿宋"/>
          <w:b/>
          <w:color w:val="auto"/>
          <w:kern w:val="0"/>
          <w:sz w:val="32"/>
          <w:szCs w:val="32"/>
          <w:highlight w:val="none"/>
        </w:rPr>
      </w:pPr>
    </w:p>
    <w:p w14:paraId="290D520F">
      <w:pPr>
        <w:jc w:val="center"/>
        <w:rPr>
          <w:rFonts w:hint="eastAsia" w:ascii="仿宋" w:hAnsi="仿宋" w:eastAsia="仿宋" w:cs="仿宋"/>
          <w:b/>
          <w:color w:val="auto"/>
          <w:kern w:val="0"/>
          <w:sz w:val="32"/>
          <w:szCs w:val="32"/>
          <w:highlight w:val="none"/>
        </w:rPr>
      </w:pPr>
    </w:p>
    <w:p w14:paraId="4105636F">
      <w:pPr>
        <w:jc w:val="center"/>
        <w:rPr>
          <w:rFonts w:hint="eastAsia" w:ascii="仿宋" w:hAnsi="仿宋" w:eastAsia="仿宋" w:cs="仿宋"/>
          <w:b/>
          <w:color w:val="auto"/>
          <w:kern w:val="0"/>
          <w:sz w:val="32"/>
          <w:szCs w:val="32"/>
          <w:highlight w:val="none"/>
        </w:rPr>
      </w:pPr>
    </w:p>
    <w:p w14:paraId="2FADDC59">
      <w:pPr>
        <w:jc w:val="center"/>
        <w:rPr>
          <w:rFonts w:hint="eastAsia" w:ascii="仿宋" w:hAnsi="仿宋" w:eastAsia="仿宋" w:cs="仿宋"/>
          <w:b/>
          <w:color w:val="auto"/>
          <w:kern w:val="0"/>
          <w:sz w:val="32"/>
          <w:szCs w:val="32"/>
          <w:highlight w:val="none"/>
        </w:rPr>
      </w:pPr>
    </w:p>
    <w:p w14:paraId="03031B4C">
      <w:pPr>
        <w:jc w:val="center"/>
        <w:rPr>
          <w:rFonts w:hint="eastAsia" w:ascii="仿宋" w:hAnsi="仿宋" w:eastAsia="仿宋" w:cs="仿宋"/>
          <w:b/>
          <w:color w:val="auto"/>
          <w:kern w:val="0"/>
          <w:sz w:val="32"/>
          <w:szCs w:val="32"/>
          <w:highlight w:val="none"/>
        </w:rPr>
      </w:pPr>
    </w:p>
    <w:p w14:paraId="13D95684">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1965199">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18E540A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60F6F218">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5E876FC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4A5CCCE">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1588DD1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7381B35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229EFA7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01BC0D8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 xml:space="preserve">                                                 签发日期：  年  月   日</w:t>
      </w:r>
    </w:p>
    <w:p w14:paraId="1BF31FD8">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 xml:space="preserve">      </w:t>
      </w:r>
    </w:p>
    <w:p w14:paraId="77747389">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7952F64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345ABE8">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03236F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7EC7FBD4">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5DE6F2DD">
      <w:pPr>
        <w:jc w:val="center"/>
        <w:rPr>
          <w:rFonts w:hint="eastAsia" w:ascii="仿宋" w:hAnsi="仿宋" w:eastAsia="仿宋" w:cs="仿宋"/>
          <w:b/>
          <w:color w:val="auto"/>
          <w:kern w:val="0"/>
          <w:sz w:val="32"/>
          <w:szCs w:val="32"/>
          <w:highlight w:val="none"/>
        </w:rPr>
      </w:pPr>
    </w:p>
    <w:p w14:paraId="6B04CCAA">
      <w:pPr>
        <w:rPr>
          <w:rFonts w:hint="eastAsia" w:ascii="仿宋" w:hAnsi="仿宋" w:eastAsia="仿宋" w:cs="仿宋"/>
          <w:color w:val="auto"/>
          <w:highlight w:val="none"/>
        </w:rPr>
      </w:pPr>
    </w:p>
    <w:p w14:paraId="73C9A1F6">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C159CC1">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21371D9">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642E778A">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F89791A">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1B0AD41B">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3623D169">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622B9068">
      <w:pPr>
        <w:pStyle w:val="147"/>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73EC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91CFA20">
            <w:pPr>
              <w:pStyle w:val="147"/>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6467C5A4">
            <w:pPr>
              <w:pStyle w:val="147"/>
              <w:adjustRightInd w:val="0"/>
              <w:spacing w:line="360" w:lineRule="auto"/>
              <w:rPr>
                <w:rFonts w:hint="eastAsia" w:ascii="仿宋" w:hAnsi="仿宋" w:eastAsia="仿宋" w:cs="仿宋"/>
                <w:bCs/>
                <w:color w:val="auto"/>
                <w:sz w:val="24"/>
                <w:highlight w:val="none"/>
              </w:rPr>
            </w:pPr>
          </w:p>
        </w:tc>
      </w:tr>
    </w:tbl>
    <w:p w14:paraId="252D440A">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28750816">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4E22AEC6">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0E9F091">
      <w:pPr>
        <w:jc w:val="center"/>
        <w:rPr>
          <w:rFonts w:hint="eastAsia" w:ascii="仿宋" w:hAnsi="仿宋" w:eastAsia="仿宋" w:cs="仿宋"/>
          <w:b/>
          <w:color w:val="auto"/>
          <w:kern w:val="0"/>
          <w:sz w:val="32"/>
          <w:szCs w:val="32"/>
          <w:highlight w:val="none"/>
        </w:rPr>
      </w:pPr>
    </w:p>
    <w:p w14:paraId="266D54A4">
      <w:pPr>
        <w:jc w:val="center"/>
        <w:rPr>
          <w:rFonts w:hint="eastAsia" w:ascii="仿宋" w:hAnsi="仿宋" w:eastAsia="仿宋" w:cs="仿宋"/>
          <w:b/>
          <w:color w:val="auto"/>
          <w:kern w:val="0"/>
          <w:sz w:val="32"/>
          <w:szCs w:val="32"/>
          <w:highlight w:val="none"/>
        </w:rPr>
      </w:pPr>
    </w:p>
    <w:p w14:paraId="0E8840EC">
      <w:pPr>
        <w:jc w:val="center"/>
        <w:rPr>
          <w:rFonts w:hint="eastAsia" w:ascii="仿宋" w:hAnsi="仿宋" w:eastAsia="仿宋" w:cs="仿宋"/>
          <w:b/>
          <w:color w:val="auto"/>
          <w:kern w:val="0"/>
          <w:sz w:val="32"/>
          <w:szCs w:val="32"/>
          <w:highlight w:val="none"/>
        </w:rPr>
      </w:pPr>
    </w:p>
    <w:p w14:paraId="3670CFA4">
      <w:pPr>
        <w:jc w:val="center"/>
        <w:rPr>
          <w:rFonts w:hint="eastAsia" w:ascii="仿宋" w:hAnsi="仿宋" w:eastAsia="仿宋" w:cs="仿宋"/>
          <w:b/>
          <w:color w:val="auto"/>
          <w:kern w:val="0"/>
          <w:sz w:val="32"/>
          <w:szCs w:val="32"/>
          <w:highlight w:val="none"/>
        </w:rPr>
      </w:pPr>
    </w:p>
    <w:p w14:paraId="1CF71BA9">
      <w:pPr>
        <w:jc w:val="center"/>
        <w:rPr>
          <w:rFonts w:hint="eastAsia" w:ascii="仿宋" w:hAnsi="仿宋" w:eastAsia="仿宋" w:cs="仿宋"/>
          <w:b/>
          <w:color w:val="auto"/>
          <w:kern w:val="0"/>
          <w:sz w:val="32"/>
          <w:szCs w:val="32"/>
          <w:highlight w:val="none"/>
        </w:rPr>
      </w:pPr>
    </w:p>
    <w:p w14:paraId="34A3411B">
      <w:pPr>
        <w:jc w:val="center"/>
        <w:rPr>
          <w:rFonts w:hint="eastAsia" w:ascii="仿宋" w:hAnsi="仿宋" w:eastAsia="仿宋" w:cs="仿宋"/>
          <w:b/>
          <w:color w:val="auto"/>
          <w:kern w:val="0"/>
          <w:sz w:val="32"/>
          <w:szCs w:val="32"/>
          <w:highlight w:val="none"/>
        </w:rPr>
      </w:pPr>
    </w:p>
    <w:p w14:paraId="4E5407BE">
      <w:pPr>
        <w:jc w:val="center"/>
        <w:rPr>
          <w:rFonts w:hint="eastAsia" w:ascii="仿宋" w:hAnsi="仿宋" w:eastAsia="仿宋" w:cs="仿宋"/>
          <w:b/>
          <w:color w:val="auto"/>
          <w:kern w:val="0"/>
          <w:sz w:val="32"/>
          <w:szCs w:val="32"/>
          <w:highlight w:val="none"/>
        </w:rPr>
      </w:pPr>
    </w:p>
    <w:p w14:paraId="696FD783">
      <w:pPr>
        <w:jc w:val="center"/>
        <w:rPr>
          <w:rFonts w:hint="eastAsia" w:ascii="仿宋" w:hAnsi="仿宋" w:eastAsia="仿宋" w:cs="仿宋"/>
          <w:b/>
          <w:color w:val="auto"/>
          <w:kern w:val="0"/>
          <w:sz w:val="32"/>
          <w:szCs w:val="32"/>
          <w:highlight w:val="none"/>
        </w:rPr>
      </w:pPr>
    </w:p>
    <w:p w14:paraId="3DBE795F">
      <w:pPr>
        <w:jc w:val="center"/>
        <w:rPr>
          <w:rFonts w:hint="eastAsia" w:ascii="仿宋" w:hAnsi="仿宋" w:eastAsia="仿宋" w:cs="仿宋"/>
          <w:b/>
          <w:color w:val="auto"/>
          <w:kern w:val="0"/>
          <w:sz w:val="32"/>
          <w:szCs w:val="32"/>
          <w:highlight w:val="none"/>
        </w:rPr>
      </w:pPr>
    </w:p>
    <w:p w14:paraId="1CBD48FA">
      <w:pPr>
        <w:jc w:val="center"/>
        <w:rPr>
          <w:rFonts w:hint="eastAsia" w:ascii="仿宋" w:hAnsi="仿宋" w:eastAsia="仿宋" w:cs="仿宋"/>
          <w:b/>
          <w:color w:val="auto"/>
          <w:kern w:val="0"/>
          <w:sz w:val="32"/>
          <w:szCs w:val="32"/>
          <w:highlight w:val="none"/>
        </w:rPr>
      </w:pPr>
    </w:p>
    <w:p w14:paraId="79A8BBB9">
      <w:pPr>
        <w:snapToGrid w:val="0"/>
        <w:spacing w:line="360" w:lineRule="auto"/>
        <w:ind w:right="480"/>
        <w:rPr>
          <w:rFonts w:hint="eastAsia"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AD9F64B">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015AF492">
      <w:pPr>
        <w:widowControl/>
        <w:spacing w:line="360" w:lineRule="auto"/>
        <w:ind w:firstLine="120" w:firstLineChars="50"/>
        <w:jc w:val="left"/>
        <w:rPr>
          <w:rFonts w:hint="eastAsia" w:ascii="仿宋" w:hAnsi="仿宋" w:eastAsia="仿宋" w:cs="仿宋"/>
          <w:color w:val="auto"/>
          <w:sz w:val="24"/>
          <w:highlight w:val="none"/>
        </w:rPr>
      </w:pPr>
      <w:bookmarkStart w:id="399" w:name="_Hlk101169080"/>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bookmarkEnd w:id="399"/>
    <w:p w14:paraId="6E49912E">
      <w:pPr>
        <w:snapToGrid w:val="0"/>
        <w:spacing w:line="360" w:lineRule="auto"/>
        <w:rPr>
          <w:rFonts w:hint="eastAsia" w:ascii="仿宋" w:hAnsi="仿宋" w:eastAsia="仿宋" w:cs="仿宋"/>
          <w:color w:val="auto"/>
          <w:kern w:val="0"/>
          <w:sz w:val="24"/>
          <w:highlight w:val="none"/>
        </w:rPr>
      </w:pPr>
    </w:p>
    <w:p w14:paraId="5776E2C8">
      <w:pPr>
        <w:jc w:val="center"/>
        <w:rPr>
          <w:rFonts w:hint="eastAsia" w:ascii="仿宋" w:hAnsi="仿宋" w:eastAsia="仿宋" w:cs="仿宋"/>
          <w:b/>
          <w:color w:val="auto"/>
          <w:kern w:val="0"/>
          <w:sz w:val="32"/>
          <w:szCs w:val="32"/>
          <w:highlight w:val="none"/>
        </w:rPr>
      </w:pPr>
    </w:p>
    <w:p w14:paraId="348F2205">
      <w:pPr>
        <w:pStyle w:val="6"/>
        <w:rPr>
          <w:rFonts w:hint="eastAsia" w:ascii="仿宋" w:hAnsi="仿宋" w:eastAsia="仿宋" w:cs="仿宋"/>
          <w:color w:val="auto"/>
          <w:highlight w:val="none"/>
          <w:lang w:val="en-US"/>
        </w:rPr>
      </w:pPr>
    </w:p>
    <w:p w14:paraId="7026DEBF">
      <w:pPr>
        <w:rPr>
          <w:rFonts w:hint="eastAsia" w:ascii="仿宋" w:hAnsi="仿宋" w:eastAsia="仿宋" w:cs="仿宋"/>
          <w:color w:val="auto"/>
          <w:highlight w:val="none"/>
        </w:rPr>
      </w:pPr>
    </w:p>
    <w:p w14:paraId="42FB92E3">
      <w:pPr>
        <w:pStyle w:val="6"/>
        <w:rPr>
          <w:rFonts w:hint="eastAsia" w:ascii="仿宋" w:hAnsi="仿宋" w:eastAsia="仿宋" w:cs="仿宋"/>
          <w:color w:val="auto"/>
          <w:highlight w:val="none"/>
          <w:lang w:val="en-US"/>
        </w:rPr>
      </w:pPr>
    </w:p>
    <w:p w14:paraId="57A80FA0">
      <w:pPr>
        <w:jc w:val="center"/>
        <w:rPr>
          <w:rFonts w:hint="eastAsia" w:ascii="仿宋" w:hAnsi="仿宋" w:eastAsia="仿宋" w:cs="仿宋"/>
          <w:b/>
          <w:color w:val="auto"/>
          <w:kern w:val="0"/>
          <w:sz w:val="32"/>
          <w:szCs w:val="32"/>
          <w:highlight w:val="none"/>
        </w:rPr>
      </w:pPr>
    </w:p>
    <w:p w14:paraId="4979BC61">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07038C60">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DD94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D007210">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0FBF3697">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45E23A91">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5966CA48">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7A43FD47">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2F9FE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E32B30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55F96D5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501A4471">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17958026">
            <w:pPr>
              <w:rPr>
                <w:rFonts w:hint="eastAsia" w:ascii="仿宋" w:hAnsi="仿宋" w:eastAsia="仿宋" w:cs="仿宋"/>
                <w:color w:val="auto"/>
                <w:sz w:val="24"/>
                <w:highlight w:val="none"/>
              </w:rPr>
            </w:pPr>
          </w:p>
          <w:p w14:paraId="5E8ECFB0">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17C22E40">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2535F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2E6369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7614E08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2E1699D1">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64104DCB">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E1DD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EED7E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2F345D1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43520823">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33A15BFC">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724D5BCC">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DEDC17E">
      <w:pPr>
        <w:jc w:val="center"/>
        <w:rPr>
          <w:rFonts w:hint="eastAsia" w:ascii="仿宋" w:hAnsi="仿宋" w:eastAsia="仿宋" w:cs="仿宋"/>
          <w:b/>
          <w:color w:val="auto"/>
          <w:kern w:val="0"/>
          <w:sz w:val="32"/>
          <w:szCs w:val="32"/>
          <w:highlight w:val="none"/>
        </w:rPr>
      </w:pPr>
    </w:p>
    <w:p w14:paraId="476FC350">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59913E3D">
      <w:pPr>
        <w:jc w:val="center"/>
        <w:rPr>
          <w:rFonts w:hint="eastAsia" w:ascii="仿宋" w:hAnsi="仿宋" w:eastAsia="仿宋" w:cs="仿宋"/>
          <w:b/>
          <w:color w:val="auto"/>
          <w:kern w:val="0"/>
          <w:sz w:val="32"/>
          <w:szCs w:val="32"/>
          <w:highlight w:val="none"/>
        </w:rPr>
      </w:pPr>
    </w:p>
    <w:p w14:paraId="5DE93005">
      <w:pPr>
        <w:jc w:val="center"/>
        <w:rPr>
          <w:rFonts w:hint="eastAsia" w:ascii="仿宋" w:hAnsi="仿宋" w:eastAsia="仿宋" w:cs="仿宋"/>
          <w:b/>
          <w:color w:val="auto"/>
          <w:kern w:val="0"/>
          <w:sz w:val="32"/>
          <w:szCs w:val="32"/>
          <w:highlight w:val="none"/>
        </w:rPr>
      </w:pPr>
    </w:p>
    <w:p w14:paraId="7324D32A">
      <w:pPr>
        <w:jc w:val="center"/>
        <w:rPr>
          <w:rFonts w:hint="eastAsia" w:ascii="仿宋" w:hAnsi="仿宋" w:eastAsia="仿宋" w:cs="仿宋"/>
          <w:b/>
          <w:color w:val="auto"/>
          <w:kern w:val="0"/>
          <w:sz w:val="32"/>
          <w:szCs w:val="32"/>
          <w:highlight w:val="none"/>
        </w:rPr>
      </w:pPr>
    </w:p>
    <w:p w14:paraId="78CDD149">
      <w:pPr>
        <w:jc w:val="center"/>
        <w:rPr>
          <w:rFonts w:hint="eastAsia" w:ascii="仿宋" w:hAnsi="仿宋" w:eastAsia="仿宋" w:cs="仿宋"/>
          <w:b/>
          <w:color w:val="auto"/>
          <w:kern w:val="0"/>
          <w:sz w:val="32"/>
          <w:szCs w:val="32"/>
          <w:highlight w:val="none"/>
        </w:rPr>
      </w:pPr>
    </w:p>
    <w:p w14:paraId="21264834">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677DAE1">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557BC057">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277D4EB4">
      <w:pPr>
        <w:jc w:val="center"/>
        <w:rPr>
          <w:rFonts w:hint="eastAsia" w:ascii="仿宋" w:hAnsi="仿宋" w:eastAsia="仿宋" w:cs="仿宋"/>
          <w:b/>
          <w:color w:val="auto"/>
          <w:kern w:val="0"/>
          <w:sz w:val="32"/>
          <w:szCs w:val="32"/>
          <w:highlight w:val="none"/>
        </w:rPr>
      </w:pPr>
    </w:p>
    <w:p w14:paraId="5A72D412">
      <w:pPr>
        <w:jc w:val="center"/>
        <w:rPr>
          <w:rFonts w:hint="eastAsia" w:ascii="仿宋" w:hAnsi="仿宋" w:eastAsia="仿宋" w:cs="仿宋"/>
          <w:b/>
          <w:color w:val="auto"/>
          <w:kern w:val="0"/>
          <w:sz w:val="32"/>
          <w:szCs w:val="32"/>
          <w:highlight w:val="none"/>
        </w:rPr>
      </w:pPr>
    </w:p>
    <w:p w14:paraId="1D4F2AB0">
      <w:pPr>
        <w:jc w:val="center"/>
        <w:rPr>
          <w:rFonts w:hint="eastAsia" w:ascii="仿宋" w:hAnsi="仿宋" w:eastAsia="仿宋" w:cs="仿宋"/>
          <w:b/>
          <w:color w:val="auto"/>
          <w:kern w:val="0"/>
          <w:sz w:val="32"/>
          <w:szCs w:val="32"/>
          <w:highlight w:val="none"/>
        </w:rPr>
      </w:pPr>
    </w:p>
    <w:p w14:paraId="4D60CC35">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2022B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B07121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86398E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FB86BAA">
            <w:pPr>
              <w:spacing w:line="360" w:lineRule="auto"/>
              <w:jc w:val="center"/>
              <w:rPr>
                <w:rFonts w:hint="eastAsia" w:ascii="仿宋" w:hAnsi="仿宋" w:eastAsia="仿宋" w:cs="仿宋"/>
                <w:b/>
                <w:color w:val="auto"/>
                <w:sz w:val="24"/>
                <w:highlight w:val="none"/>
              </w:rPr>
            </w:pPr>
          </w:p>
          <w:p w14:paraId="054D881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2E6EDD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1AC2E13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375CE7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444FB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432341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AFEA44E">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C315C74">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11C8584">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A80039E">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6F851EB">
            <w:pPr>
              <w:spacing w:line="360" w:lineRule="auto"/>
              <w:jc w:val="center"/>
              <w:rPr>
                <w:rFonts w:hint="eastAsia" w:ascii="仿宋" w:hAnsi="仿宋" w:eastAsia="仿宋" w:cs="仿宋"/>
                <w:color w:val="auto"/>
                <w:sz w:val="24"/>
                <w:highlight w:val="none"/>
              </w:rPr>
            </w:pPr>
          </w:p>
        </w:tc>
      </w:tr>
      <w:tr w14:paraId="794F2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44B8A6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6F26CE8">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C70F3A3">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DC249AE">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FA42739">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ABC81BF">
            <w:pPr>
              <w:spacing w:line="360" w:lineRule="auto"/>
              <w:jc w:val="center"/>
              <w:rPr>
                <w:rFonts w:hint="eastAsia" w:ascii="仿宋" w:hAnsi="仿宋" w:eastAsia="仿宋" w:cs="仿宋"/>
                <w:color w:val="auto"/>
                <w:sz w:val="24"/>
                <w:highlight w:val="none"/>
              </w:rPr>
            </w:pPr>
          </w:p>
        </w:tc>
      </w:tr>
      <w:tr w14:paraId="59F32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3410EF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2E82B35">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B6F643E">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52A791F">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09C9669">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C1E84C1">
            <w:pPr>
              <w:spacing w:line="360" w:lineRule="auto"/>
              <w:jc w:val="center"/>
              <w:rPr>
                <w:rFonts w:hint="eastAsia" w:ascii="仿宋" w:hAnsi="仿宋" w:eastAsia="仿宋" w:cs="仿宋"/>
                <w:color w:val="auto"/>
                <w:sz w:val="24"/>
                <w:highlight w:val="none"/>
              </w:rPr>
            </w:pPr>
          </w:p>
        </w:tc>
      </w:tr>
    </w:tbl>
    <w:p w14:paraId="528511A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941B332">
      <w:pPr>
        <w:jc w:val="center"/>
        <w:rPr>
          <w:rFonts w:hint="eastAsia" w:ascii="仿宋" w:hAnsi="仿宋" w:eastAsia="仿宋" w:cs="仿宋"/>
          <w:b/>
          <w:color w:val="auto"/>
          <w:kern w:val="0"/>
          <w:sz w:val="32"/>
          <w:szCs w:val="32"/>
          <w:highlight w:val="none"/>
        </w:rPr>
      </w:pPr>
    </w:p>
    <w:p w14:paraId="7721E5D0">
      <w:pPr>
        <w:jc w:val="center"/>
        <w:rPr>
          <w:rFonts w:hint="eastAsia" w:ascii="仿宋" w:hAnsi="仿宋" w:eastAsia="仿宋" w:cs="仿宋"/>
          <w:b/>
          <w:color w:val="auto"/>
          <w:kern w:val="0"/>
          <w:sz w:val="32"/>
          <w:szCs w:val="32"/>
          <w:highlight w:val="none"/>
        </w:rPr>
      </w:pPr>
    </w:p>
    <w:p w14:paraId="531B8C86">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A45D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839BCD7">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3E93DC67">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486BC900">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0350F5EC">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40098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169062A">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5E06E5B6">
            <w:pPr>
              <w:jc w:val="center"/>
              <w:rPr>
                <w:rFonts w:hint="eastAsia" w:ascii="仿宋" w:hAnsi="仿宋" w:eastAsia="仿宋" w:cs="仿宋"/>
                <w:b/>
                <w:color w:val="auto"/>
                <w:kern w:val="0"/>
                <w:sz w:val="32"/>
                <w:szCs w:val="32"/>
                <w:highlight w:val="none"/>
              </w:rPr>
            </w:pPr>
          </w:p>
        </w:tc>
        <w:tc>
          <w:tcPr>
            <w:tcW w:w="3546" w:type="dxa"/>
          </w:tcPr>
          <w:p w14:paraId="0D17FF07">
            <w:pPr>
              <w:jc w:val="center"/>
              <w:rPr>
                <w:rFonts w:hint="eastAsia" w:ascii="仿宋" w:hAnsi="仿宋" w:eastAsia="仿宋" w:cs="仿宋"/>
                <w:b/>
                <w:color w:val="auto"/>
                <w:kern w:val="0"/>
                <w:sz w:val="32"/>
                <w:szCs w:val="32"/>
                <w:highlight w:val="none"/>
              </w:rPr>
            </w:pPr>
          </w:p>
        </w:tc>
        <w:tc>
          <w:tcPr>
            <w:tcW w:w="1276" w:type="dxa"/>
          </w:tcPr>
          <w:p w14:paraId="2EB13AB5">
            <w:pPr>
              <w:jc w:val="center"/>
              <w:rPr>
                <w:rFonts w:hint="eastAsia" w:ascii="仿宋" w:hAnsi="仿宋" w:eastAsia="仿宋" w:cs="仿宋"/>
                <w:b/>
                <w:color w:val="auto"/>
                <w:kern w:val="0"/>
                <w:sz w:val="32"/>
                <w:szCs w:val="32"/>
                <w:highlight w:val="none"/>
              </w:rPr>
            </w:pPr>
          </w:p>
        </w:tc>
      </w:tr>
      <w:tr w14:paraId="4A09E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0BBE2F">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3DA10FC3">
            <w:pPr>
              <w:jc w:val="center"/>
              <w:rPr>
                <w:rFonts w:hint="eastAsia" w:ascii="仿宋" w:hAnsi="仿宋" w:eastAsia="仿宋" w:cs="仿宋"/>
                <w:b/>
                <w:color w:val="auto"/>
                <w:kern w:val="0"/>
                <w:sz w:val="32"/>
                <w:szCs w:val="32"/>
                <w:highlight w:val="none"/>
              </w:rPr>
            </w:pPr>
          </w:p>
        </w:tc>
        <w:tc>
          <w:tcPr>
            <w:tcW w:w="3546" w:type="dxa"/>
          </w:tcPr>
          <w:p w14:paraId="12F466C1">
            <w:pPr>
              <w:jc w:val="center"/>
              <w:rPr>
                <w:rFonts w:hint="eastAsia" w:ascii="仿宋" w:hAnsi="仿宋" w:eastAsia="仿宋" w:cs="仿宋"/>
                <w:b/>
                <w:color w:val="auto"/>
                <w:kern w:val="0"/>
                <w:sz w:val="32"/>
                <w:szCs w:val="32"/>
                <w:highlight w:val="none"/>
              </w:rPr>
            </w:pPr>
          </w:p>
        </w:tc>
        <w:tc>
          <w:tcPr>
            <w:tcW w:w="1276" w:type="dxa"/>
          </w:tcPr>
          <w:p w14:paraId="49299BA2">
            <w:pPr>
              <w:jc w:val="center"/>
              <w:rPr>
                <w:rFonts w:hint="eastAsia" w:ascii="仿宋" w:hAnsi="仿宋" w:eastAsia="仿宋" w:cs="仿宋"/>
                <w:b/>
                <w:color w:val="auto"/>
                <w:kern w:val="0"/>
                <w:sz w:val="32"/>
                <w:szCs w:val="32"/>
                <w:highlight w:val="none"/>
              </w:rPr>
            </w:pPr>
          </w:p>
        </w:tc>
      </w:tr>
      <w:tr w14:paraId="786DF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561EC7">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6AB9F9F1">
            <w:pPr>
              <w:jc w:val="center"/>
              <w:rPr>
                <w:rFonts w:hint="eastAsia" w:ascii="仿宋" w:hAnsi="仿宋" w:eastAsia="仿宋" w:cs="仿宋"/>
                <w:b/>
                <w:color w:val="auto"/>
                <w:kern w:val="0"/>
                <w:sz w:val="32"/>
                <w:szCs w:val="32"/>
                <w:highlight w:val="none"/>
              </w:rPr>
            </w:pPr>
          </w:p>
        </w:tc>
        <w:tc>
          <w:tcPr>
            <w:tcW w:w="3546" w:type="dxa"/>
          </w:tcPr>
          <w:p w14:paraId="678012A1">
            <w:pPr>
              <w:jc w:val="center"/>
              <w:rPr>
                <w:rFonts w:hint="eastAsia" w:ascii="仿宋" w:hAnsi="仿宋" w:eastAsia="仿宋" w:cs="仿宋"/>
                <w:b/>
                <w:color w:val="auto"/>
                <w:kern w:val="0"/>
                <w:sz w:val="32"/>
                <w:szCs w:val="32"/>
                <w:highlight w:val="none"/>
              </w:rPr>
            </w:pPr>
          </w:p>
        </w:tc>
        <w:tc>
          <w:tcPr>
            <w:tcW w:w="1276" w:type="dxa"/>
          </w:tcPr>
          <w:p w14:paraId="09905808">
            <w:pPr>
              <w:jc w:val="center"/>
              <w:rPr>
                <w:rFonts w:hint="eastAsia" w:ascii="仿宋" w:hAnsi="仿宋" w:eastAsia="仿宋" w:cs="仿宋"/>
                <w:b/>
                <w:color w:val="auto"/>
                <w:kern w:val="0"/>
                <w:sz w:val="32"/>
                <w:szCs w:val="32"/>
                <w:highlight w:val="none"/>
              </w:rPr>
            </w:pPr>
          </w:p>
        </w:tc>
      </w:tr>
    </w:tbl>
    <w:p w14:paraId="7B8D1F4D">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5A98C186">
      <w:pPr>
        <w:jc w:val="center"/>
        <w:rPr>
          <w:rFonts w:hint="eastAsia" w:ascii="仿宋" w:hAnsi="仿宋" w:eastAsia="仿宋" w:cs="仿宋"/>
          <w:b/>
          <w:color w:val="auto"/>
          <w:kern w:val="0"/>
          <w:sz w:val="32"/>
          <w:szCs w:val="32"/>
          <w:highlight w:val="none"/>
        </w:rPr>
      </w:pPr>
    </w:p>
    <w:p w14:paraId="4D3D78CE">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3E13910">
      <w:pPr>
        <w:ind w:firstLine="1911" w:firstLineChars="595"/>
        <w:rPr>
          <w:rFonts w:hint="eastAsia" w:ascii="仿宋" w:hAnsi="仿宋" w:eastAsia="仿宋" w:cs="仿宋"/>
          <w:b/>
          <w:bCs/>
          <w:color w:val="auto"/>
          <w:sz w:val="32"/>
          <w:szCs w:val="32"/>
          <w:highlight w:val="none"/>
        </w:rPr>
      </w:pPr>
    </w:p>
    <w:p w14:paraId="657535D8">
      <w:pPr>
        <w:ind w:firstLine="1911" w:firstLineChars="595"/>
        <w:rPr>
          <w:rFonts w:hint="eastAsia" w:ascii="仿宋" w:hAnsi="仿宋" w:eastAsia="仿宋" w:cs="仿宋"/>
          <w:b/>
          <w:bCs/>
          <w:color w:val="auto"/>
          <w:sz w:val="32"/>
          <w:szCs w:val="32"/>
          <w:highlight w:val="none"/>
        </w:rPr>
      </w:pPr>
    </w:p>
    <w:p w14:paraId="6488DDCC">
      <w:pPr>
        <w:ind w:firstLine="1911" w:firstLineChars="595"/>
        <w:rPr>
          <w:rFonts w:hint="eastAsia" w:ascii="仿宋" w:hAnsi="仿宋" w:eastAsia="仿宋" w:cs="仿宋"/>
          <w:b/>
          <w:bCs/>
          <w:color w:val="auto"/>
          <w:sz w:val="32"/>
          <w:szCs w:val="32"/>
          <w:highlight w:val="none"/>
        </w:rPr>
      </w:pPr>
    </w:p>
    <w:p w14:paraId="371AE0DB">
      <w:pPr>
        <w:ind w:firstLine="1911" w:firstLineChars="595"/>
        <w:rPr>
          <w:rFonts w:hint="eastAsia" w:ascii="仿宋" w:hAnsi="仿宋" w:eastAsia="仿宋" w:cs="仿宋"/>
          <w:b/>
          <w:bCs/>
          <w:color w:val="auto"/>
          <w:sz w:val="32"/>
          <w:szCs w:val="32"/>
          <w:highlight w:val="none"/>
        </w:rPr>
      </w:pPr>
    </w:p>
    <w:p w14:paraId="3B62C729">
      <w:pPr>
        <w:ind w:firstLine="1911" w:firstLineChars="595"/>
        <w:rPr>
          <w:rFonts w:hint="eastAsia" w:ascii="仿宋" w:hAnsi="仿宋" w:eastAsia="仿宋" w:cs="仿宋"/>
          <w:b/>
          <w:bCs/>
          <w:color w:val="auto"/>
          <w:sz w:val="32"/>
          <w:szCs w:val="32"/>
          <w:highlight w:val="none"/>
        </w:rPr>
      </w:pPr>
    </w:p>
    <w:p w14:paraId="5E023236">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401289F7">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0EFFEEE5">
      <w:pPr>
        <w:snapToGrid w:val="0"/>
        <w:spacing w:line="360" w:lineRule="auto"/>
        <w:rPr>
          <w:rFonts w:hint="eastAsia" w:ascii="仿宋" w:hAnsi="仿宋" w:eastAsia="仿宋" w:cs="仿宋"/>
          <w:color w:val="auto"/>
          <w:sz w:val="24"/>
          <w:highlight w:val="none"/>
        </w:rPr>
      </w:pPr>
    </w:p>
    <w:p w14:paraId="242BF29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BB1ED21">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048BF01E">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48573B9B">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2E97147C">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4E1B0154">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4A80EB1A">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02C80196">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51649F37">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64BF5485">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3D70EC45">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6B60D2E2">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66300B3">
      <w:pPr>
        <w:autoSpaceDE w:val="0"/>
        <w:autoSpaceDN w:val="0"/>
        <w:spacing w:line="360" w:lineRule="auto"/>
        <w:ind w:left="2"/>
        <w:jc w:val="left"/>
        <w:rPr>
          <w:rFonts w:hint="eastAsia" w:ascii="仿宋" w:hAnsi="仿宋" w:eastAsia="仿宋" w:cs="仿宋"/>
          <w:color w:val="auto"/>
          <w:kern w:val="0"/>
          <w:sz w:val="24"/>
          <w:highlight w:val="none"/>
          <w:lang w:val="zh-CN"/>
        </w:rPr>
      </w:pPr>
    </w:p>
    <w:p w14:paraId="32AB6BD9">
      <w:pPr>
        <w:autoSpaceDE w:val="0"/>
        <w:autoSpaceDN w:val="0"/>
        <w:spacing w:line="360" w:lineRule="auto"/>
        <w:ind w:left="2"/>
        <w:jc w:val="left"/>
        <w:rPr>
          <w:rFonts w:hint="eastAsia" w:ascii="仿宋" w:hAnsi="仿宋" w:eastAsia="仿宋" w:cs="仿宋"/>
          <w:color w:val="auto"/>
          <w:kern w:val="0"/>
          <w:sz w:val="24"/>
          <w:highlight w:val="none"/>
          <w:lang w:val="zh-CN"/>
        </w:rPr>
      </w:pPr>
    </w:p>
    <w:p w14:paraId="5A20073F">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13B088BE">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7DC5153A">
      <w:pPr>
        <w:spacing w:line="360" w:lineRule="auto"/>
        <w:jc w:val="center"/>
        <w:rPr>
          <w:rFonts w:hint="eastAsia" w:ascii="仿宋" w:hAnsi="仿宋" w:eastAsia="仿宋" w:cs="仿宋"/>
          <w:b/>
          <w:bCs/>
          <w:color w:val="auto"/>
          <w:sz w:val="24"/>
          <w:highlight w:val="none"/>
        </w:rPr>
      </w:pPr>
    </w:p>
    <w:p w14:paraId="69C588B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11F9929">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783114C7">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103F2B39">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01CD573">
      <w:pPr>
        <w:spacing w:line="360" w:lineRule="auto"/>
        <w:jc w:val="center"/>
        <w:outlineLvl w:val="0"/>
        <w:rPr>
          <w:rFonts w:hint="eastAsia" w:ascii="仿宋" w:hAnsi="仿宋" w:eastAsia="仿宋" w:cs="仿宋"/>
          <w:b/>
          <w:color w:val="auto"/>
          <w:kern w:val="0"/>
          <w:sz w:val="36"/>
          <w:szCs w:val="36"/>
          <w:highlight w:val="none"/>
        </w:rPr>
      </w:pPr>
    </w:p>
    <w:p w14:paraId="2CE3701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0F9EFA8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7A19D209">
      <w:pPr>
        <w:snapToGrid w:val="0"/>
        <w:spacing w:line="360" w:lineRule="auto"/>
        <w:ind w:right="480"/>
        <w:jc w:val="center"/>
        <w:rPr>
          <w:rFonts w:hint="eastAsia" w:ascii="仿宋" w:hAnsi="仿宋" w:eastAsia="仿宋" w:cs="仿宋"/>
          <w:b/>
          <w:color w:val="auto"/>
          <w:kern w:val="0"/>
          <w:sz w:val="32"/>
          <w:szCs w:val="32"/>
          <w:highlight w:val="none"/>
        </w:rPr>
      </w:pPr>
    </w:p>
    <w:p w14:paraId="5A474635">
      <w:pPr>
        <w:snapToGrid w:val="0"/>
        <w:spacing w:line="360" w:lineRule="auto"/>
        <w:ind w:right="480"/>
        <w:jc w:val="center"/>
        <w:rPr>
          <w:rFonts w:hint="eastAsia" w:ascii="仿宋" w:hAnsi="仿宋" w:eastAsia="仿宋" w:cs="仿宋"/>
          <w:b/>
          <w:color w:val="auto"/>
          <w:kern w:val="0"/>
          <w:sz w:val="32"/>
          <w:szCs w:val="32"/>
          <w:highlight w:val="none"/>
        </w:rPr>
      </w:pPr>
    </w:p>
    <w:p w14:paraId="3113E575">
      <w:pPr>
        <w:snapToGrid w:val="0"/>
        <w:spacing w:line="360" w:lineRule="auto"/>
        <w:ind w:right="480"/>
        <w:jc w:val="center"/>
        <w:rPr>
          <w:rFonts w:hint="eastAsia" w:ascii="仿宋" w:hAnsi="仿宋" w:eastAsia="仿宋" w:cs="仿宋"/>
          <w:b/>
          <w:color w:val="auto"/>
          <w:kern w:val="0"/>
          <w:sz w:val="32"/>
          <w:szCs w:val="32"/>
          <w:highlight w:val="none"/>
        </w:rPr>
      </w:pPr>
    </w:p>
    <w:p w14:paraId="222EA6AF">
      <w:pPr>
        <w:snapToGrid w:val="0"/>
        <w:spacing w:line="360" w:lineRule="auto"/>
        <w:ind w:right="480"/>
        <w:jc w:val="center"/>
        <w:rPr>
          <w:rFonts w:hint="eastAsia" w:ascii="仿宋" w:hAnsi="仿宋" w:eastAsia="仿宋" w:cs="仿宋"/>
          <w:b/>
          <w:color w:val="auto"/>
          <w:kern w:val="0"/>
          <w:sz w:val="32"/>
          <w:szCs w:val="32"/>
          <w:highlight w:val="none"/>
        </w:rPr>
      </w:pPr>
    </w:p>
    <w:p w14:paraId="410FA1A3">
      <w:pPr>
        <w:snapToGrid w:val="0"/>
        <w:spacing w:line="360" w:lineRule="auto"/>
        <w:ind w:right="480"/>
        <w:jc w:val="center"/>
        <w:rPr>
          <w:rFonts w:hint="eastAsia" w:ascii="仿宋" w:hAnsi="仿宋" w:eastAsia="仿宋" w:cs="仿宋"/>
          <w:b/>
          <w:color w:val="auto"/>
          <w:kern w:val="0"/>
          <w:sz w:val="32"/>
          <w:szCs w:val="32"/>
          <w:highlight w:val="none"/>
        </w:rPr>
      </w:pPr>
    </w:p>
    <w:p w14:paraId="2AB65845">
      <w:pPr>
        <w:snapToGrid w:val="0"/>
        <w:spacing w:line="360" w:lineRule="auto"/>
        <w:ind w:right="480"/>
        <w:jc w:val="center"/>
        <w:rPr>
          <w:rFonts w:hint="eastAsia" w:ascii="仿宋" w:hAnsi="仿宋" w:eastAsia="仿宋" w:cs="仿宋"/>
          <w:b/>
          <w:color w:val="auto"/>
          <w:kern w:val="0"/>
          <w:sz w:val="32"/>
          <w:szCs w:val="32"/>
          <w:highlight w:val="none"/>
        </w:rPr>
      </w:pPr>
    </w:p>
    <w:p w14:paraId="2ACBFA0A">
      <w:pPr>
        <w:snapToGrid w:val="0"/>
        <w:spacing w:line="360" w:lineRule="auto"/>
        <w:ind w:right="480"/>
        <w:jc w:val="center"/>
        <w:rPr>
          <w:rFonts w:hint="eastAsia" w:ascii="仿宋" w:hAnsi="仿宋" w:eastAsia="仿宋" w:cs="仿宋"/>
          <w:b/>
          <w:color w:val="auto"/>
          <w:kern w:val="0"/>
          <w:sz w:val="32"/>
          <w:szCs w:val="32"/>
          <w:highlight w:val="none"/>
        </w:rPr>
      </w:pPr>
    </w:p>
    <w:p w14:paraId="069EF9DA">
      <w:pPr>
        <w:snapToGrid w:val="0"/>
        <w:spacing w:line="360" w:lineRule="auto"/>
        <w:ind w:right="480"/>
        <w:jc w:val="center"/>
        <w:rPr>
          <w:rFonts w:hint="eastAsia" w:ascii="仿宋" w:hAnsi="仿宋" w:eastAsia="仿宋" w:cs="仿宋"/>
          <w:b/>
          <w:color w:val="auto"/>
          <w:kern w:val="0"/>
          <w:sz w:val="32"/>
          <w:szCs w:val="32"/>
          <w:highlight w:val="none"/>
        </w:rPr>
      </w:pPr>
    </w:p>
    <w:p w14:paraId="1AF896EB">
      <w:pPr>
        <w:snapToGrid w:val="0"/>
        <w:spacing w:line="360" w:lineRule="auto"/>
        <w:ind w:right="480"/>
        <w:jc w:val="center"/>
        <w:rPr>
          <w:rFonts w:hint="eastAsia" w:ascii="仿宋" w:hAnsi="仿宋" w:eastAsia="仿宋" w:cs="仿宋"/>
          <w:b/>
          <w:color w:val="auto"/>
          <w:kern w:val="0"/>
          <w:sz w:val="32"/>
          <w:szCs w:val="32"/>
          <w:highlight w:val="none"/>
        </w:rPr>
      </w:pPr>
    </w:p>
    <w:p w14:paraId="798C1173">
      <w:pPr>
        <w:snapToGrid w:val="0"/>
        <w:spacing w:line="360" w:lineRule="auto"/>
        <w:ind w:right="480"/>
        <w:jc w:val="center"/>
        <w:rPr>
          <w:rFonts w:hint="eastAsia" w:ascii="仿宋" w:hAnsi="仿宋" w:eastAsia="仿宋" w:cs="仿宋"/>
          <w:b/>
          <w:color w:val="auto"/>
          <w:kern w:val="0"/>
          <w:sz w:val="32"/>
          <w:szCs w:val="32"/>
          <w:highlight w:val="none"/>
        </w:rPr>
      </w:pPr>
    </w:p>
    <w:p w14:paraId="3DBFBC13">
      <w:pPr>
        <w:snapToGrid w:val="0"/>
        <w:spacing w:line="360" w:lineRule="auto"/>
        <w:ind w:right="480"/>
        <w:jc w:val="center"/>
        <w:rPr>
          <w:rFonts w:hint="eastAsia" w:ascii="仿宋" w:hAnsi="仿宋" w:eastAsia="仿宋" w:cs="仿宋"/>
          <w:b/>
          <w:color w:val="auto"/>
          <w:kern w:val="0"/>
          <w:sz w:val="32"/>
          <w:szCs w:val="32"/>
          <w:highlight w:val="none"/>
        </w:rPr>
      </w:pPr>
    </w:p>
    <w:p w14:paraId="2411F9BA">
      <w:pPr>
        <w:snapToGrid w:val="0"/>
        <w:spacing w:line="360" w:lineRule="auto"/>
        <w:ind w:right="480"/>
        <w:jc w:val="center"/>
        <w:rPr>
          <w:rFonts w:hint="eastAsia" w:ascii="仿宋" w:hAnsi="仿宋" w:eastAsia="仿宋" w:cs="仿宋"/>
          <w:b/>
          <w:color w:val="auto"/>
          <w:kern w:val="0"/>
          <w:sz w:val="32"/>
          <w:szCs w:val="32"/>
          <w:highlight w:val="none"/>
        </w:rPr>
      </w:pPr>
    </w:p>
    <w:p w14:paraId="49B86E08">
      <w:pPr>
        <w:snapToGrid w:val="0"/>
        <w:spacing w:line="360" w:lineRule="auto"/>
        <w:ind w:right="480"/>
        <w:jc w:val="center"/>
        <w:rPr>
          <w:rFonts w:hint="eastAsia" w:ascii="仿宋" w:hAnsi="仿宋" w:eastAsia="仿宋" w:cs="仿宋"/>
          <w:b/>
          <w:color w:val="auto"/>
          <w:kern w:val="0"/>
          <w:sz w:val="32"/>
          <w:szCs w:val="32"/>
          <w:highlight w:val="none"/>
        </w:rPr>
      </w:pPr>
    </w:p>
    <w:p w14:paraId="339E1BB7">
      <w:pPr>
        <w:snapToGrid w:val="0"/>
        <w:spacing w:line="360" w:lineRule="auto"/>
        <w:ind w:right="480"/>
        <w:jc w:val="center"/>
        <w:rPr>
          <w:rFonts w:hint="eastAsia" w:ascii="仿宋" w:hAnsi="仿宋" w:eastAsia="仿宋" w:cs="仿宋"/>
          <w:b/>
          <w:color w:val="auto"/>
          <w:kern w:val="0"/>
          <w:sz w:val="32"/>
          <w:szCs w:val="32"/>
          <w:highlight w:val="none"/>
        </w:rPr>
      </w:pPr>
    </w:p>
    <w:p w14:paraId="1C04AD27">
      <w:pPr>
        <w:snapToGrid w:val="0"/>
        <w:spacing w:line="360" w:lineRule="auto"/>
        <w:ind w:right="480"/>
        <w:jc w:val="center"/>
        <w:rPr>
          <w:rFonts w:hint="eastAsia" w:ascii="仿宋" w:hAnsi="仿宋" w:eastAsia="仿宋" w:cs="仿宋"/>
          <w:b/>
          <w:color w:val="auto"/>
          <w:kern w:val="0"/>
          <w:sz w:val="32"/>
          <w:szCs w:val="32"/>
          <w:highlight w:val="none"/>
        </w:rPr>
      </w:pPr>
    </w:p>
    <w:p w14:paraId="5D2F84B2">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5DDB3BC">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63FDE6B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EC30B10">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65119304">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ED7E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4085BE6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7" w:type="dxa"/>
            <w:vAlign w:val="center"/>
          </w:tcPr>
          <w:p w14:paraId="7A5E4C4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3" w:type="dxa"/>
          </w:tcPr>
          <w:p w14:paraId="52C9D55E">
            <w:pPr>
              <w:spacing w:line="360" w:lineRule="auto"/>
              <w:jc w:val="center"/>
              <w:rPr>
                <w:rFonts w:hint="eastAsia" w:ascii="仿宋" w:hAnsi="仿宋" w:eastAsia="仿宋" w:cs="仿宋"/>
                <w:b/>
                <w:color w:val="auto"/>
                <w:sz w:val="24"/>
                <w:highlight w:val="none"/>
              </w:rPr>
            </w:pPr>
          </w:p>
          <w:p w14:paraId="61906D5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3118" w:type="dxa"/>
            <w:vAlign w:val="center"/>
          </w:tcPr>
          <w:p w14:paraId="76FF3F8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993" w:type="dxa"/>
            <w:vAlign w:val="center"/>
          </w:tcPr>
          <w:p w14:paraId="60EBA79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59" w:type="dxa"/>
            <w:vAlign w:val="center"/>
          </w:tcPr>
          <w:p w14:paraId="53E9ACE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984" w:type="dxa"/>
            <w:vAlign w:val="center"/>
          </w:tcPr>
          <w:p w14:paraId="028F684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合计</w:t>
            </w:r>
          </w:p>
        </w:tc>
        <w:tc>
          <w:tcPr>
            <w:tcW w:w="3119" w:type="dxa"/>
            <w:vAlign w:val="center"/>
          </w:tcPr>
          <w:p w14:paraId="6DCE0A23">
            <w:pPr>
              <w:spacing w:line="360" w:lineRule="auto"/>
              <w:jc w:val="center"/>
              <w:rPr>
                <w:rFonts w:hint="eastAsia" w:ascii="仿宋" w:hAnsi="仿宋" w:eastAsia="仿宋" w:cs="仿宋"/>
                <w:b/>
                <w:color w:val="auto"/>
                <w:sz w:val="24"/>
                <w:highlight w:val="none"/>
              </w:rPr>
            </w:pPr>
          </w:p>
          <w:p w14:paraId="7EDE49C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52957290">
            <w:pPr>
              <w:spacing w:line="360" w:lineRule="auto"/>
              <w:jc w:val="center"/>
              <w:rPr>
                <w:rFonts w:hint="eastAsia" w:ascii="仿宋" w:hAnsi="仿宋" w:eastAsia="仿宋" w:cs="仿宋"/>
                <w:b/>
                <w:color w:val="auto"/>
                <w:sz w:val="24"/>
                <w:highlight w:val="none"/>
              </w:rPr>
            </w:pPr>
          </w:p>
        </w:tc>
      </w:tr>
      <w:tr w14:paraId="7F756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510502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vAlign w:val="center"/>
          </w:tcPr>
          <w:p w14:paraId="1D8AEA5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1843" w:type="dxa"/>
            <w:vAlign w:val="center"/>
          </w:tcPr>
          <w:p w14:paraId="32A34590">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784DD616">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32D9CF31">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573CC7F2">
            <w:pPr>
              <w:spacing w:line="360" w:lineRule="auto"/>
              <w:jc w:val="center"/>
              <w:rPr>
                <w:rFonts w:hint="eastAsia" w:ascii="仿宋" w:hAnsi="仿宋" w:eastAsia="仿宋" w:cs="仿宋"/>
                <w:color w:val="auto"/>
                <w:sz w:val="24"/>
                <w:highlight w:val="none"/>
              </w:rPr>
            </w:pPr>
          </w:p>
        </w:tc>
        <w:tc>
          <w:tcPr>
            <w:tcW w:w="1984" w:type="dxa"/>
            <w:vAlign w:val="center"/>
          </w:tcPr>
          <w:p w14:paraId="02C1D7BB">
            <w:pPr>
              <w:spacing w:line="360" w:lineRule="auto"/>
              <w:jc w:val="center"/>
              <w:rPr>
                <w:rFonts w:hint="eastAsia" w:ascii="仿宋" w:hAnsi="仿宋" w:eastAsia="仿宋" w:cs="仿宋"/>
                <w:color w:val="auto"/>
                <w:sz w:val="24"/>
                <w:highlight w:val="none"/>
              </w:rPr>
            </w:pPr>
          </w:p>
        </w:tc>
        <w:tc>
          <w:tcPr>
            <w:tcW w:w="3119" w:type="dxa"/>
            <w:vAlign w:val="center"/>
          </w:tcPr>
          <w:p w14:paraId="5AD54E15">
            <w:pPr>
              <w:spacing w:line="360" w:lineRule="auto"/>
              <w:jc w:val="center"/>
              <w:rPr>
                <w:rFonts w:hint="eastAsia" w:ascii="仿宋" w:hAnsi="仿宋" w:eastAsia="仿宋" w:cs="仿宋"/>
                <w:color w:val="auto"/>
                <w:sz w:val="24"/>
                <w:highlight w:val="none"/>
              </w:rPr>
            </w:pPr>
          </w:p>
        </w:tc>
      </w:tr>
      <w:tr w14:paraId="0418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85EF64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7" w:type="dxa"/>
            <w:vAlign w:val="center"/>
          </w:tcPr>
          <w:p w14:paraId="054354BE">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1843" w:type="dxa"/>
            <w:vAlign w:val="center"/>
          </w:tcPr>
          <w:p w14:paraId="68AF5041">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5CA04813">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4AF34737">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7262F57A">
            <w:pPr>
              <w:spacing w:line="360" w:lineRule="auto"/>
              <w:jc w:val="center"/>
              <w:rPr>
                <w:rFonts w:hint="eastAsia" w:ascii="仿宋" w:hAnsi="仿宋" w:eastAsia="仿宋" w:cs="仿宋"/>
                <w:color w:val="auto"/>
                <w:sz w:val="24"/>
                <w:highlight w:val="none"/>
              </w:rPr>
            </w:pPr>
          </w:p>
        </w:tc>
        <w:tc>
          <w:tcPr>
            <w:tcW w:w="1984" w:type="dxa"/>
            <w:vAlign w:val="center"/>
          </w:tcPr>
          <w:p w14:paraId="0CFD56A1">
            <w:pPr>
              <w:spacing w:line="360" w:lineRule="auto"/>
              <w:jc w:val="center"/>
              <w:rPr>
                <w:rFonts w:hint="eastAsia" w:ascii="仿宋" w:hAnsi="仿宋" w:eastAsia="仿宋" w:cs="仿宋"/>
                <w:color w:val="auto"/>
                <w:sz w:val="24"/>
                <w:highlight w:val="none"/>
              </w:rPr>
            </w:pPr>
          </w:p>
        </w:tc>
        <w:tc>
          <w:tcPr>
            <w:tcW w:w="3119" w:type="dxa"/>
            <w:vAlign w:val="center"/>
          </w:tcPr>
          <w:p w14:paraId="420920A8">
            <w:pPr>
              <w:spacing w:line="360" w:lineRule="auto"/>
              <w:jc w:val="center"/>
              <w:rPr>
                <w:rFonts w:hint="eastAsia" w:ascii="仿宋" w:hAnsi="仿宋" w:eastAsia="仿宋" w:cs="仿宋"/>
                <w:color w:val="auto"/>
                <w:sz w:val="24"/>
                <w:highlight w:val="none"/>
              </w:rPr>
            </w:pPr>
          </w:p>
        </w:tc>
      </w:tr>
      <w:tr w14:paraId="599A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3A1A17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vAlign w:val="center"/>
          </w:tcPr>
          <w:p w14:paraId="27BF2E86">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0FEA8311">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492AF04E">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66D1D8F6">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5AE22225">
            <w:pPr>
              <w:spacing w:line="360" w:lineRule="auto"/>
              <w:jc w:val="center"/>
              <w:rPr>
                <w:rFonts w:hint="eastAsia" w:ascii="仿宋" w:hAnsi="仿宋" w:eastAsia="仿宋" w:cs="仿宋"/>
                <w:color w:val="auto"/>
                <w:sz w:val="24"/>
                <w:highlight w:val="none"/>
              </w:rPr>
            </w:pPr>
          </w:p>
        </w:tc>
        <w:tc>
          <w:tcPr>
            <w:tcW w:w="1984" w:type="dxa"/>
            <w:vAlign w:val="center"/>
          </w:tcPr>
          <w:p w14:paraId="5E050876">
            <w:pPr>
              <w:spacing w:line="360" w:lineRule="auto"/>
              <w:jc w:val="center"/>
              <w:rPr>
                <w:rFonts w:hint="eastAsia" w:ascii="仿宋" w:hAnsi="仿宋" w:eastAsia="仿宋" w:cs="仿宋"/>
                <w:color w:val="auto"/>
                <w:sz w:val="24"/>
                <w:highlight w:val="none"/>
              </w:rPr>
            </w:pPr>
          </w:p>
        </w:tc>
        <w:tc>
          <w:tcPr>
            <w:tcW w:w="3119" w:type="dxa"/>
            <w:vAlign w:val="center"/>
          </w:tcPr>
          <w:p w14:paraId="27244A37">
            <w:pPr>
              <w:spacing w:line="360" w:lineRule="auto"/>
              <w:jc w:val="center"/>
              <w:rPr>
                <w:rFonts w:hint="eastAsia" w:ascii="仿宋" w:hAnsi="仿宋" w:eastAsia="仿宋" w:cs="仿宋"/>
                <w:color w:val="auto"/>
                <w:sz w:val="24"/>
                <w:highlight w:val="none"/>
              </w:rPr>
            </w:pPr>
          </w:p>
        </w:tc>
      </w:tr>
      <w:tr w14:paraId="4B984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F534D8A">
            <w:pPr>
              <w:spacing w:line="360" w:lineRule="auto"/>
              <w:jc w:val="center"/>
              <w:rPr>
                <w:rFonts w:hint="eastAsia" w:ascii="仿宋" w:hAnsi="仿宋" w:eastAsia="仿宋" w:cs="仿宋"/>
                <w:color w:val="auto"/>
                <w:sz w:val="24"/>
                <w:highlight w:val="none"/>
              </w:rPr>
            </w:pPr>
          </w:p>
        </w:tc>
        <w:tc>
          <w:tcPr>
            <w:tcW w:w="1417" w:type="dxa"/>
            <w:vAlign w:val="center"/>
          </w:tcPr>
          <w:p w14:paraId="67D108E2">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0EAD2E1F">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65B0C690">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3E3A62E3">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6F03BBB8">
            <w:pPr>
              <w:spacing w:line="360" w:lineRule="auto"/>
              <w:jc w:val="center"/>
              <w:rPr>
                <w:rFonts w:hint="eastAsia" w:ascii="仿宋" w:hAnsi="仿宋" w:eastAsia="仿宋" w:cs="仿宋"/>
                <w:color w:val="auto"/>
                <w:sz w:val="24"/>
                <w:highlight w:val="none"/>
              </w:rPr>
            </w:pPr>
          </w:p>
        </w:tc>
        <w:tc>
          <w:tcPr>
            <w:tcW w:w="1984" w:type="dxa"/>
            <w:vAlign w:val="center"/>
          </w:tcPr>
          <w:p w14:paraId="342312E5">
            <w:pPr>
              <w:spacing w:line="360" w:lineRule="auto"/>
              <w:jc w:val="center"/>
              <w:rPr>
                <w:rFonts w:hint="eastAsia" w:ascii="仿宋" w:hAnsi="仿宋" w:eastAsia="仿宋" w:cs="仿宋"/>
                <w:color w:val="auto"/>
                <w:sz w:val="24"/>
                <w:highlight w:val="none"/>
              </w:rPr>
            </w:pPr>
          </w:p>
        </w:tc>
        <w:tc>
          <w:tcPr>
            <w:tcW w:w="3119" w:type="dxa"/>
            <w:vAlign w:val="center"/>
          </w:tcPr>
          <w:p w14:paraId="1A3D80EF">
            <w:pPr>
              <w:spacing w:line="360" w:lineRule="auto"/>
              <w:jc w:val="center"/>
              <w:rPr>
                <w:rFonts w:hint="eastAsia" w:ascii="仿宋" w:hAnsi="仿宋" w:eastAsia="仿宋" w:cs="仿宋"/>
                <w:color w:val="auto"/>
                <w:sz w:val="24"/>
                <w:highlight w:val="none"/>
              </w:rPr>
            </w:pPr>
          </w:p>
        </w:tc>
      </w:tr>
      <w:tr w14:paraId="6AA47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B96ED11">
            <w:pPr>
              <w:spacing w:line="360" w:lineRule="auto"/>
              <w:jc w:val="center"/>
              <w:rPr>
                <w:rFonts w:hint="eastAsia" w:ascii="仿宋" w:hAnsi="仿宋" w:eastAsia="仿宋" w:cs="仿宋"/>
                <w:color w:val="auto"/>
                <w:sz w:val="24"/>
                <w:highlight w:val="none"/>
              </w:rPr>
            </w:pPr>
          </w:p>
        </w:tc>
        <w:tc>
          <w:tcPr>
            <w:tcW w:w="1417" w:type="dxa"/>
            <w:vAlign w:val="center"/>
          </w:tcPr>
          <w:p w14:paraId="111C91BE">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6A6A0C44">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31EB5FAA">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0413DA53">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7B0149DE">
            <w:pPr>
              <w:spacing w:line="360" w:lineRule="auto"/>
              <w:jc w:val="center"/>
              <w:rPr>
                <w:rFonts w:hint="eastAsia" w:ascii="仿宋" w:hAnsi="仿宋" w:eastAsia="仿宋" w:cs="仿宋"/>
                <w:color w:val="auto"/>
                <w:sz w:val="24"/>
                <w:highlight w:val="none"/>
              </w:rPr>
            </w:pPr>
          </w:p>
        </w:tc>
        <w:tc>
          <w:tcPr>
            <w:tcW w:w="1984" w:type="dxa"/>
            <w:vAlign w:val="center"/>
          </w:tcPr>
          <w:p w14:paraId="362CD642">
            <w:pPr>
              <w:spacing w:line="360" w:lineRule="auto"/>
              <w:jc w:val="center"/>
              <w:rPr>
                <w:rFonts w:hint="eastAsia" w:ascii="仿宋" w:hAnsi="仿宋" w:eastAsia="仿宋" w:cs="仿宋"/>
                <w:color w:val="auto"/>
                <w:sz w:val="24"/>
                <w:highlight w:val="none"/>
              </w:rPr>
            </w:pPr>
          </w:p>
        </w:tc>
        <w:tc>
          <w:tcPr>
            <w:tcW w:w="3119" w:type="dxa"/>
            <w:vAlign w:val="center"/>
          </w:tcPr>
          <w:p w14:paraId="475A16A8">
            <w:pPr>
              <w:spacing w:line="360" w:lineRule="auto"/>
              <w:jc w:val="center"/>
              <w:rPr>
                <w:rFonts w:hint="eastAsia" w:ascii="仿宋" w:hAnsi="仿宋" w:eastAsia="仿宋" w:cs="仿宋"/>
                <w:color w:val="auto"/>
                <w:sz w:val="24"/>
                <w:highlight w:val="none"/>
              </w:rPr>
            </w:pPr>
          </w:p>
        </w:tc>
      </w:tr>
      <w:tr w14:paraId="2F518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B45B00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655" w:type="dxa"/>
            <w:gridSpan w:val="4"/>
            <w:vAlign w:val="center"/>
          </w:tcPr>
          <w:p w14:paraId="300992B2">
            <w:pPr>
              <w:spacing w:line="360" w:lineRule="auto"/>
              <w:jc w:val="center"/>
              <w:rPr>
                <w:rFonts w:hint="eastAsia" w:ascii="仿宋" w:hAnsi="仿宋" w:eastAsia="仿宋" w:cs="仿宋"/>
                <w:color w:val="auto"/>
                <w:sz w:val="24"/>
                <w:highlight w:val="none"/>
              </w:rPr>
            </w:pPr>
          </w:p>
        </w:tc>
      </w:tr>
      <w:tr w14:paraId="4953E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32D3E3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655" w:type="dxa"/>
            <w:gridSpan w:val="4"/>
            <w:vAlign w:val="center"/>
          </w:tcPr>
          <w:p w14:paraId="504C0BCE">
            <w:pPr>
              <w:spacing w:line="360" w:lineRule="auto"/>
              <w:jc w:val="center"/>
              <w:rPr>
                <w:rFonts w:hint="eastAsia" w:ascii="仿宋" w:hAnsi="仿宋" w:eastAsia="仿宋" w:cs="仿宋"/>
                <w:color w:val="auto"/>
                <w:sz w:val="24"/>
                <w:highlight w:val="none"/>
              </w:rPr>
            </w:pPr>
          </w:p>
        </w:tc>
      </w:tr>
    </w:tbl>
    <w:p w14:paraId="0163279D">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33046000">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14:paraId="4F0AA70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11CDC488">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50899145">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5A9482A">
      <w:pPr>
        <w:spacing w:line="360" w:lineRule="auto"/>
        <w:ind w:firstLine="482" w:firstLineChars="200"/>
        <w:rPr>
          <w:rFonts w:hint="eastAsia" w:ascii="仿宋" w:hAnsi="仿宋" w:eastAsia="仿宋" w:cs="仿宋"/>
          <w:b/>
          <w:color w:val="auto"/>
          <w:kern w:val="0"/>
          <w:sz w:val="24"/>
          <w:highlight w:val="none"/>
          <w:lang w:eastAsia="zh-CN"/>
        </w:rPr>
      </w:pPr>
      <w:r>
        <w:rPr>
          <w:rFonts w:hint="eastAsia" w:ascii="仿宋" w:hAnsi="仿宋" w:eastAsia="仿宋" w:cs="仿宋"/>
          <w:b/>
          <w:color w:val="auto"/>
          <w:sz w:val="24"/>
          <w:highlight w:val="none"/>
        </w:rPr>
        <w:t>5、特别说明：▲供应商报价低于项目预算50%的，应当在报价文件中详细阐述不影响产品质量或者诚信履约的具体原因</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未做阐述说明的，投标无效。</w:t>
      </w:r>
    </w:p>
    <w:p w14:paraId="601FBFFA">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00FC626F">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66B9A69F">
      <w:pPr>
        <w:pStyle w:val="690"/>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bookmarkStart w:id="400" w:name="_Hlk101259491"/>
      <w:r>
        <w:rPr>
          <w:rFonts w:hint="eastAsia" w:ascii="仿宋" w:hAnsi="仿宋" w:eastAsia="仿宋" w:cs="仿宋"/>
          <w:color w:val="auto"/>
          <w:sz w:val="32"/>
          <w:szCs w:val="32"/>
          <w:highlight w:val="none"/>
        </w:rPr>
        <w:t>（如果有）</w:t>
      </w:r>
      <w:bookmarkEnd w:id="400"/>
    </w:p>
    <w:p w14:paraId="7E559AAB">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68D5818">
      <w:pPr>
        <w:pStyle w:val="690"/>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14:paraId="37FBC8D5">
      <w:pPr>
        <w:spacing w:line="360" w:lineRule="auto"/>
        <w:ind w:right="420" w:firstLine="3614" w:firstLineChars="1000"/>
        <w:rPr>
          <w:rFonts w:hint="eastAsia" w:ascii="仿宋" w:hAnsi="仿宋" w:eastAsia="仿宋" w:cs="仿宋"/>
          <w:b/>
          <w:color w:val="auto"/>
          <w:kern w:val="0"/>
          <w:sz w:val="36"/>
          <w:szCs w:val="36"/>
          <w:highlight w:val="none"/>
        </w:rPr>
      </w:pPr>
    </w:p>
    <w:p w14:paraId="2706D676">
      <w:pPr>
        <w:spacing w:line="360" w:lineRule="auto"/>
        <w:ind w:right="420" w:firstLine="3614" w:firstLineChars="1000"/>
        <w:rPr>
          <w:rFonts w:hint="eastAsia" w:ascii="仿宋" w:hAnsi="仿宋" w:eastAsia="仿宋" w:cs="仿宋"/>
          <w:b/>
          <w:color w:val="auto"/>
          <w:kern w:val="0"/>
          <w:sz w:val="36"/>
          <w:szCs w:val="36"/>
          <w:highlight w:val="none"/>
        </w:rPr>
      </w:pPr>
    </w:p>
    <w:p w14:paraId="1BB00A40">
      <w:pPr>
        <w:spacing w:line="360" w:lineRule="auto"/>
        <w:ind w:right="420" w:firstLine="3614" w:firstLineChars="1000"/>
        <w:rPr>
          <w:rFonts w:hint="eastAsia" w:ascii="仿宋" w:hAnsi="仿宋" w:eastAsia="仿宋" w:cs="仿宋"/>
          <w:b/>
          <w:color w:val="auto"/>
          <w:kern w:val="0"/>
          <w:sz w:val="36"/>
          <w:szCs w:val="36"/>
          <w:highlight w:val="none"/>
        </w:rPr>
      </w:pPr>
    </w:p>
    <w:p w14:paraId="64CE95F3">
      <w:pPr>
        <w:spacing w:line="360" w:lineRule="auto"/>
        <w:ind w:right="420" w:firstLine="3614" w:firstLineChars="1000"/>
        <w:rPr>
          <w:rFonts w:hint="eastAsia" w:ascii="仿宋" w:hAnsi="仿宋" w:eastAsia="仿宋" w:cs="仿宋"/>
          <w:b/>
          <w:color w:val="auto"/>
          <w:kern w:val="0"/>
          <w:sz w:val="36"/>
          <w:szCs w:val="36"/>
          <w:highlight w:val="none"/>
        </w:rPr>
      </w:pPr>
    </w:p>
    <w:p w14:paraId="14626747">
      <w:pPr>
        <w:spacing w:line="360" w:lineRule="auto"/>
        <w:ind w:right="420" w:firstLine="3614" w:firstLineChars="1000"/>
        <w:rPr>
          <w:rFonts w:hint="eastAsia" w:ascii="仿宋" w:hAnsi="仿宋" w:eastAsia="仿宋" w:cs="仿宋"/>
          <w:b/>
          <w:color w:val="auto"/>
          <w:kern w:val="0"/>
          <w:sz w:val="36"/>
          <w:szCs w:val="36"/>
          <w:highlight w:val="none"/>
        </w:rPr>
      </w:pPr>
    </w:p>
    <w:p w14:paraId="3197C546">
      <w:pPr>
        <w:spacing w:line="360" w:lineRule="auto"/>
        <w:ind w:right="420" w:firstLine="3614" w:firstLineChars="1000"/>
        <w:rPr>
          <w:rFonts w:hint="eastAsia" w:ascii="仿宋" w:hAnsi="仿宋" w:eastAsia="仿宋" w:cs="仿宋"/>
          <w:b/>
          <w:color w:val="auto"/>
          <w:kern w:val="0"/>
          <w:sz w:val="36"/>
          <w:szCs w:val="36"/>
          <w:highlight w:val="none"/>
        </w:rPr>
      </w:pPr>
    </w:p>
    <w:p w14:paraId="409B7873">
      <w:pPr>
        <w:spacing w:line="360" w:lineRule="auto"/>
        <w:ind w:right="420" w:firstLine="3614" w:firstLineChars="1000"/>
        <w:rPr>
          <w:rFonts w:hint="eastAsia" w:ascii="仿宋" w:hAnsi="仿宋" w:eastAsia="仿宋" w:cs="仿宋"/>
          <w:b/>
          <w:color w:val="auto"/>
          <w:kern w:val="0"/>
          <w:sz w:val="36"/>
          <w:szCs w:val="36"/>
          <w:highlight w:val="none"/>
        </w:rPr>
      </w:pPr>
    </w:p>
    <w:p w14:paraId="31380057">
      <w:pPr>
        <w:spacing w:line="360" w:lineRule="auto"/>
        <w:ind w:right="420" w:firstLine="3614" w:firstLineChars="1000"/>
        <w:rPr>
          <w:rFonts w:hint="eastAsia" w:ascii="仿宋" w:hAnsi="仿宋" w:eastAsia="仿宋" w:cs="仿宋"/>
          <w:b/>
          <w:color w:val="auto"/>
          <w:kern w:val="0"/>
          <w:sz w:val="36"/>
          <w:szCs w:val="36"/>
          <w:highlight w:val="none"/>
        </w:rPr>
      </w:pPr>
    </w:p>
    <w:p w14:paraId="6418F926">
      <w:pPr>
        <w:spacing w:line="360" w:lineRule="auto"/>
        <w:ind w:right="420" w:firstLine="3614" w:firstLineChars="1000"/>
        <w:rPr>
          <w:rFonts w:hint="eastAsia" w:ascii="仿宋" w:hAnsi="仿宋" w:eastAsia="仿宋" w:cs="仿宋"/>
          <w:b/>
          <w:color w:val="auto"/>
          <w:kern w:val="0"/>
          <w:sz w:val="36"/>
          <w:szCs w:val="36"/>
          <w:highlight w:val="none"/>
        </w:rPr>
      </w:pPr>
    </w:p>
    <w:p w14:paraId="063F51BE">
      <w:pPr>
        <w:spacing w:line="360" w:lineRule="auto"/>
        <w:ind w:right="420" w:firstLine="3614" w:firstLineChars="1000"/>
        <w:rPr>
          <w:rFonts w:hint="eastAsia" w:ascii="仿宋" w:hAnsi="仿宋" w:eastAsia="仿宋" w:cs="仿宋"/>
          <w:b/>
          <w:color w:val="auto"/>
          <w:kern w:val="0"/>
          <w:sz w:val="36"/>
          <w:szCs w:val="36"/>
          <w:highlight w:val="none"/>
        </w:rPr>
      </w:pPr>
    </w:p>
    <w:p w14:paraId="5B0015EF">
      <w:pPr>
        <w:spacing w:line="360" w:lineRule="auto"/>
        <w:ind w:right="420" w:firstLine="3614" w:firstLineChars="1000"/>
        <w:rPr>
          <w:rFonts w:hint="eastAsia" w:ascii="仿宋" w:hAnsi="仿宋" w:eastAsia="仿宋" w:cs="仿宋"/>
          <w:b/>
          <w:color w:val="auto"/>
          <w:kern w:val="0"/>
          <w:sz w:val="36"/>
          <w:szCs w:val="36"/>
          <w:highlight w:val="none"/>
        </w:rPr>
      </w:pPr>
    </w:p>
    <w:p w14:paraId="0E41C5BE">
      <w:pPr>
        <w:spacing w:line="360" w:lineRule="auto"/>
        <w:ind w:right="420" w:firstLine="3614" w:firstLineChars="1000"/>
        <w:rPr>
          <w:rFonts w:hint="eastAsia" w:ascii="仿宋" w:hAnsi="仿宋" w:eastAsia="仿宋" w:cs="仿宋"/>
          <w:b/>
          <w:color w:val="auto"/>
          <w:kern w:val="0"/>
          <w:sz w:val="36"/>
          <w:szCs w:val="36"/>
          <w:highlight w:val="none"/>
        </w:rPr>
      </w:pPr>
    </w:p>
    <w:p w14:paraId="34D8928E">
      <w:pPr>
        <w:spacing w:line="360" w:lineRule="auto"/>
        <w:ind w:right="420" w:firstLine="3614" w:firstLineChars="1000"/>
        <w:rPr>
          <w:rFonts w:hint="eastAsia" w:ascii="仿宋" w:hAnsi="仿宋" w:eastAsia="仿宋" w:cs="仿宋"/>
          <w:b/>
          <w:color w:val="auto"/>
          <w:kern w:val="0"/>
          <w:sz w:val="36"/>
          <w:szCs w:val="36"/>
          <w:highlight w:val="none"/>
        </w:rPr>
      </w:pPr>
    </w:p>
    <w:p w14:paraId="10FCB7A7">
      <w:pPr>
        <w:spacing w:line="360" w:lineRule="auto"/>
        <w:ind w:right="420" w:firstLine="3614" w:firstLineChars="1000"/>
        <w:rPr>
          <w:rFonts w:hint="eastAsia" w:ascii="仿宋" w:hAnsi="仿宋" w:eastAsia="仿宋" w:cs="仿宋"/>
          <w:b/>
          <w:color w:val="auto"/>
          <w:kern w:val="0"/>
          <w:sz w:val="36"/>
          <w:szCs w:val="36"/>
          <w:highlight w:val="none"/>
        </w:rPr>
      </w:pPr>
    </w:p>
    <w:p w14:paraId="49E03383">
      <w:pPr>
        <w:spacing w:line="360" w:lineRule="auto"/>
        <w:ind w:right="420" w:firstLine="3614" w:firstLineChars="1000"/>
        <w:rPr>
          <w:rFonts w:hint="eastAsia" w:ascii="仿宋" w:hAnsi="仿宋" w:eastAsia="仿宋" w:cs="仿宋"/>
          <w:b/>
          <w:color w:val="auto"/>
          <w:kern w:val="0"/>
          <w:sz w:val="36"/>
          <w:szCs w:val="36"/>
          <w:highlight w:val="none"/>
        </w:rPr>
      </w:pPr>
    </w:p>
    <w:p w14:paraId="50CF9D33">
      <w:pPr>
        <w:spacing w:line="360" w:lineRule="auto"/>
        <w:ind w:right="420" w:firstLine="3614" w:firstLineChars="1000"/>
        <w:rPr>
          <w:rFonts w:hint="eastAsia" w:ascii="仿宋" w:hAnsi="仿宋" w:eastAsia="仿宋" w:cs="仿宋"/>
          <w:b/>
          <w:color w:val="auto"/>
          <w:kern w:val="0"/>
          <w:sz w:val="36"/>
          <w:szCs w:val="36"/>
          <w:highlight w:val="none"/>
        </w:rPr>
      </w:pPr>
    </w:p>
    <w:p w14:paraId="1DF389D6">
      <w:pPr>
        <w:pStyle w:val="5"/>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401" w:name="_Toc465665161"/>
      <w:r>
        <w:rPr>
          <w:rFonts w:hint="eastAsia" w:ascii="仿宋" w:hAnsi="仿宋" w:eastAsia="仿宋" w:cs="仿宋"/>
          <w:color w:val="auto"/>
          <w:highlight w:val="none"/>
        </w:rPr>
        <w:t>附件</w:t>
      </w:r>
      <w:bookmarkEnd w:id="401"/>
    </w:p>
    <w:p w14:paraId="1613D2AA">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720819B8">
      <w:pPr>
        <w:spacing w:line="360" w:lineRule="auto"/>
        <w:jc w:val="center"/>
        <w:rPr>
          <w:rFonts w:hint="eastAsia" w:ascii="仿宋" w:hAnsi="仿宋" w:eastAsia="仿宋" w:cs="仿宋"/>
          <w:b/>
          <w:color w:val="auto"/>
          <w:spacing w:val="6"/>
          <w:sz w:val="32"/>
          <w:szCs w:val="32"/>
          <w:highlight w:val="none"/>
        </w:rPr>
      </w:pPr>
      <w:bookmarkStart w:id="402" w:name="OLE_LINK13"/>
      <w:bookmarkStart w:id="403" w:name="OLE_LINK14"/>
      <w:r>
        <w:rPr>
          <w:rFonts w:hint="eastAsia" w:ascii="仿宋" w:hAnsi="仿宋" w:eastAsia="仿宋" w:cs="仿宋"/>
          <w:b/>
          <w:color w:val="auto"/>
          <w:spacing w:val="6"/>
          <w:sz w:val="32"/>
          <w:szCs w:val="32"/>
          <w:highlight w:val="none"/>
        </w:rPr>
        <w:t>残疾人福利性单位声明函</w:t>
      </w:r>
    </w:p>
    <w:bookmarkEnd w:id="402"/>
    <w:bookmarkEnd w:id="403"/>
    <w:p w14:paraId="0C9A8338">
      <w:pPr>
        <w:spacing w:line="360" w:lineRule="auto"/>
        <w:rPr>
          <w:rFonts w:hint="eastAsia" w:ascii="仿宋" w:hAnsi="仿宋" w:eastAsia="仿宋" w:cs="仿宋"/>
          <w:b/>
          <w:color w:val="auto"/>
          <w:spacing w:val="6"/>
          <w:sz w:val="30"/>
          <w:szCs w:val="30"/>
          <w:highlight w:val="none"/>
        </w:rPr>
      </w:pPr>
    </w:p>
    <w:p w14:paraId="16C33C9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29C9C38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5F46580E">
      <w:pPr>
        <w:spacing w:line="360" w:lineRule="auto"/>
        <w:ind w:firstLine="480" w:firstLineChars="200"/>
        <w:rPr>
          <w:rFonts w:hint="eastAsia" w:ascii="仿宋" w:hAnsi="仿宋" w:eastAsia="仿宋" w:cs="仿宋"/>
          <w:color w:val="auto"/>
          <w:sz w:val="24"/>
          <w:highlight w:val="none"/>
        </w:rPr>
      </w:pPr>
    </w:p>
    <w:p w14:paraId="5C231B44">
      <w:pPr>
        <w:spacing w:line="360" w:lineRule="auto"/>
        <w:ind w:firstLine="480" w:firstLineChars="200"/>
        <w:rPr>
          <w:rFonts w:hint="eastAsia" w:ascii="仿宋" w:hAnsi="仿宋" w:eastAsia="仿宋" w:cs="仿宋"/>
          <w:color w:val="auto"/>
          <w:sz w:val="24"/>
          <w:highlight w:val="none"/>
        </w:rPr>
      </w:pPr>
    </w:p>
    <w:p w14:paraId="2A86D4BF">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33895C87">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3F19CC79">
      <w:pPr>
        <w:spacing w:line="360" w:lineRule="auto"/>
        <w:ind w:firstLine="480" w:firstLineChars="200"/>
        <w:rPr>
          <w:rFonts w:hint="eastAsia" w:ascii="仿宋" w:hAnsi="仿宋" w:eastAsia="仿宋" w:cs="仿宋"/>
          <w:color w:val="auto"/>
          <w:sz w:val="24"/>
          <w:highlight w:val="none"/>
        </w:rPr>
      </w:pPr>
    </w:p>
    <w:p w14:paraId="6DAFDF47">
      <w:pPr>
        <w:spacing w:line="360" w:lineRule="auto"/>
        <w:ind w:firstLine="420" w:firstLineChars="200"/>
        <w:rPr>
          <w:rFonts w:hint="eastAsia" w:ascii="仿宋" w:hAnsi="仿宋" w:eastAsia="仿宋" w:cs="仿宋"/>
          <w:color w:val="auto"/>
          <w:highlight w:val="none"/>
        </w:rPr>
      </w:pPr>
    </w:p>
    <w:p w14:paraId="728B4D7A">
      <w:pPr>
        <w:spacing w:line="360" w:lineRule="auto"/>
        <w:ind w:firstLine="420" w:firstLineChars="200"/>
        <w:rPr>
          <w:rFonts w:hint="eastAsia" w:ascii="仿宋" w:hAnsi="仿宋" w:eastAsia="仿宋" w:cs="仿宋"/>
          <w:color w:val="auto"/>
          <w:highlight w:val="none"/>
        </w:rPr>
      </w:pPr>
    </w:p>
    <w:p w14:paraId="695AD2E2">
      <w:pPr>
        <w:spacing w:line="360" w:lineRule="auto"/>
        <w:ind w:firstLine="420" w:firstLineChars="200"/>
        <w:rPr>
          <w:rFonts w:hint="eastAsia" w:ascii="仿宋" w:hAnsi="仿宋" w:eastAsia="仿宋" w:cs="仿宋"/>
          <w:color w:val="auto"/>
          <w:highlight w:val="none"/>
        </w:rPr>
      </w:pPr>
    </w:p>
    <w:p w14:paraId="0E8CE542">
      <w:pPr>
        <w:spacing w:line="360" w:lineRule="auto"/>
        <w:ind w:firstLine="420" w:firstLineChars="200"/>
        <w:rPr>
          <w:rFonts w:hint="eastAsia" w:ascii="仿宋" w:hAnsi="仿宋" w:eastAsia="仿宋" w:cs="仿宋"/>
          <w:color w:val="auto"/>
          <w:highlight w:val="none"/>
        </w:rPr>
      </w:pPr>
    </w:p>
    <w:p w14:paraId="4F0DFEBE">
      <w:pPr>
        <w:spacing w:line="360" w:lineRule="auto"/>
        <w:rPr>
          <w:rFonts w:hint="eastAsia" w:ascii="仿宋" w:hAnsi="仿宋" w:eastAsia="仿宋" w:cs="仿宋"/>
          <w:b/>
          <w:color w:val="auto"/>
          <w:sz w:val="24"/>
          <w:highlight w:val="none"/>
        </w:rPr>
      </w:pPr>
    </w:p>
    <w:p w14:paraId="36078F2A">
      <w:pPr>
        <w:spacing w:line="360" w:lineRule="auto"/>
        <w:rPr>
          <w:rFonts w:hint="eastAsia" w:ascii="仿宋" w:hAnsi="仿宋" w:eastAsia="仿宋" w:cs="仿宋"/>
          <w:b/>
          <w:color w:val="auto"/>
          <w:sz w:val="24"/>
          <w:highlight w:val="none"/>
        </w:rPr>
      </w:pPr>
    </w:p>
    <w:p w14:paraId="22ACCCB7">
      <w:pPr>
        <w:spacing w:line="360" w:lineRule="auto"/>
        <w:rPr>
          <w:rFonts w:hint="eastAsia" w:ascii="仿宋" w:hAnsi="仿宋" w:eastAsia="仿宋" w:cs="仿宋"/>
          <w:b/>
          <w:color w:val="auto"/>
          <w:sz w:val="24"/>
          <w:highlight w:val="none"/>
        </w:rPr>
      </w:pPr>
    </w:p>
    <w:p w14:paraId="1212C60D">
      <w:pPr>
        <w:spacing w:line="360" w:lineRule="auto"/>
        <w:rPr>
          <w:rFonts w:hint="eastAsia" w:ascii="仿宋" w:hAnsi="仿宋" w:eastAsia="仿宋" w:cs="仿宋"/>
          <w:b/>
          <w:color w:val="auto"/>
          <w:sz w:val="24"/>
          <w:highlight w:val="none"/>
        </w:rPr>
      </w:pPr>
    </w:p>
    <w:p w14:paraId="32AF98D1">
      <w:pPr>
        <w:spacing w:line="360" w:lineRule="auto"/>
        <w:rPr>
          <w:rFonts w:hint="eastAsia" w:ascii="仿宋" w:hAnsi="仿宋" w:eastAsia="仿宋" w:cs="仿宋"/>
          <w:b/>
          <w:color w:val="auto"/>
          <w:sz w:val="24"/>
          <w:highlight w:val="none"/>
        </w:rPr>
      </w:pPr>
    </w:p>
    <w:p w14:paraId="013D7625">
      <w:pPr>
        <w:spacing w:line="360" w:lineRule="auto"/>
        <w:rPr>
          <w:rFonts w:hint="eastAsia" w:ascii="仿宋" w:hAnsi="仿宋" w:eastAsia="仿宋" w:cs="仿宋"/>
          <w:b/>
          <w:color w:val="auto"/>
          <w:sz w:val="24"/>
          <w:highlight w:val="none"/>
        </w:rPr>
      </w:pPr>
    </w:p>
    <w:p w14:paraId="3DF8442D">
      <w:pPr>
        <w:spacing w:line="360" w:lineRule="auto"/>
        <w:rPr>
          <w:rFonts w:hint="eastAsia" w:ascii="仿宋" w:hAnsi="仿宋" w:eastAsia="仿宋" w:cs="仿宋"/>
          <w:b/>
          <w:color w:val="auto"/>
          <w:sz w:val="24"/>
          <w:highlight w:val="none"/>
        </w:rPr>
      </w:pPr>
    </w:p>
    <w:p w14:paraId="741AB59F">
      <w:pPr>
        <w:spacing w:line="360" w:lineRule="auto"/>
        <w:rPr>
          <w:rFonts w:hint="eastAsia" w:ascii="仿宋" w:hAnsi="仿宋" w:eastAsia="仿宋" w:cs="仿宋"/>
          <w:b/>
          <w:color w:val="auto"/>
          <w:sz w:val="24"/>
          <w:highlight w:val="none"/>
        </w:rPr>
      </w:pPr>
    </w:p>
    <w:p w14:paraId="62B69DC0">
      <w:pPr>
        <w:spacing w:line="360" w:lineRule="auto"/>
        <w:rPr>
          <w:rFonts w:hint="eastAsia" w:ascii="仿宋" w:hAnsi="仿宋" w:eastAsia="仿宋" w:cs="仿宋"/>
          <w:b/>
          <w:color w:val="auto"/>
          <w:sz w:val="24"/>
          <w:highlight w:val="none"/>
        </w:rPr>
      </w:pPr>
    </w:p>
    <w:p w14:paraId="72BB0481">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26061814">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01DC3DE1">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60310F3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01629CD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00E4A5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2EA763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4DE6E2E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075DFA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1F8902F">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0F17DB5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68DF94F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79FDBEB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52F4B50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0B48EBCF">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79C8DB9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17760F5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055FDA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60E883E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787351D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D6BBA7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7829DD1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6E8091BD">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38232B1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51E74C4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F3A256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985C03A">
      <w:pPr>
        <w:spacing w:line="360" w:lineRule="auto"/>
        <w:jc w:val="center"/>
        <w:rPr>
          <w:rFonts w:hint="eastAsia" w:ascii="仿宋" w:hAnsi="仿宋" w:eastAsia="仿宋" w:cs="仿宋"/>
          <w:b/>
          <w:bCs/>
          <w:color w:val="auto"/>
          <w:sz w:val="24"/>
          <w:highlight w:val="none"/>
        </w:rPr>
      </w:pPr>
    </w:p>
    <w:p w14:paraId="2ED6EF0C">
      <w:pPr>
        <w:spacing w:line="360" w:lineRule="auto"/>
        <w:rPr>
          <w:rFonts w:hint="eastAsia" w:ascii="仿宋" w:hAnsi="仿宋" w:eastAsia="仿宋" w:cs="仿宋"/>
          <w:b/>
          <w:color w:val="auto"/>
          <w:sz w:val="24"/>
          <w:highlight w:val="none"/>
        </w:rPr>
      </w:pPr>
    </w:p>
    <w:p w14:paraId="60C7654B">
      <w:pPr>
        <w:spacing w:line="360" w:lineRule="auto"/>
        <w:rPr>
          <w:rFonts w:hint="eastAsia" w:ascii="仿宋" w:hAnsi="仿宋" w:eastAsia="仿宋" w:cs="仿宋"/>
          <w:b/>
          <w:color w:val="auto"/>
          <w:sz w:val="24"/>
          <w:highlight w:val="none"/>
        </w:rPr>
      </w:pPr>
    </w:p>
    <w:p w14:paraId="2EAA4ED8">
      <w:pPr>
        <w:spacing w:line="360" w:lineRule="auto"/>
        <w:rPr>
          <w:rFonts w:hint="eastAsia" w:ascii="仿宋" w:hAnsi="仿宋" w:eastAsia="仿宋" w:cs="仿宋"/>
          <w:b/>
          <w:color w:val="auto"/>
          <w:sz w:val="24"/>
          <w:highlight w:val="none"/>
        </w:rPr>
      </w:pPr>
    </w:p>
    <w:p w14:paraId="341CC7B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7E74E41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6C8FAEF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057EE7A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6544B1D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05834CA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133901E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4D8CD590">
      <w:pPr>
        <w:widowControl/>
        <w:spacing w:line="360" w:lineRule="auto"/>
        <w:ind w:firstLine="600" w:firstLineChars="200"/>
        <w:jc w:val="left"/>
        <w:rPr>
          <w:rFonts w:hint="eastAsia" w:ascii="仿宋" w:hAnsi="仿宋" w:eastAsia="仿宋" w:cs="仿宋"/>
          <w:color w:val="auto"/>
          <w:sz w:val="30"/>
          <w:szCs w:val="30"/>
          <w:highlight w:val="none"/>
        </w:rPr>
      </w:pPr>
    </w:p>
    <w:p w14:paraId="3D2FEEBE">
      <w:pPr>
        <w:spacing w:line="360" w:lineRule="auto"/>
        <w:jc w:val="center"/>
        <w:rPr>
          <w:rFonts w:hint="eastAsia" w:ascii="仿宋" w:hAnsi="仿宋" w:eastAsia="仿宋" w:cs="仿宋"/>
          <w:b/>
          <w:color w:val="auto"/>
          <w:spacing w:val="6"/>
          <w:sz w:val="32"/>
          <w:szCs w:val="32"/>
          <w:highlight w:val="none"/>
        </w:rPr>
      </w:pPr>
    </w:p>
    <w:p w14:paraId="52D82BA7">
      <w:pPr>
        <w:spacing w:line="360" w:lineRule="auto"/>
        <w:jc w:val="center"/>
        <w:rPr>
          <w:rFonts w:hint="eastAsia" w:ascii="仿宋" w:hAnsi="仿宋" w:eastAsia="仿宋" w:cs="仿宋"/>
          <w:b/>
          <w:color w:val="auto"/>
          <w:spacing w:val="6"/>
          <w:sz w:val="32"/>
          <w:szCs w:val="32"/>
          <w:highlight w:val="none"/>
        </w:rPr>
      </w:pPr>
    </w:p>
    <w:p w14:paraId="3760A28C">
      <w:pPr>
        <w:spacing w:line="360" w:lineRule="auto"/>
        <w:jc w:val="center"/>
        <w:rPr>
          <w:rFonts w:hint="eastAsia" w:ascii="仿宋" w:hAnsi="仿宋" w:eastAsia="仿宋" w:cs="仿宋"/>
          <w:b/>
          <w:color w:val="auto"/>
          <w:spacing w:val="6"/>
          <w:sz w:val="32"/>
          <w:szCs w:val="32"/>
          <w:highlight w:val="none"/>
        </w:rPr>
      </w:pPr>
    </w:p>
    <w:p w14:paraId="13CF2DA5">
      <w:pPr>
        <w:spacing w:line="360" w:lineRule="auto"/>
        <w:jc w:val="center"/>
        <w:rPr>
          <w:rFonts w:hint="eastAsia" w:ascii="仿宋" w:hAnsi="仿宋" w:eastAsia="仿宋" w:cs="仿宋"/>
          <w:b/>
          <w:color w:val="auto"/>
          <w:spacing w:val="6"/>
          <w:sz w:val="32"/>
          <w:szCs w:val="32"/>
          <w:highlight w:val="none"/>
        </w:rPr>
      </w:pPr>
    </w:p>
    <w:p w14:paraId="07C3B223">
      <w:pPr>
        <w:spacing w:line="360" w:lineRule="auto"/>
        <w:jc w:val="center"/>
        <w:rPr>
          <w:rFonts w:hint="eastAsia" w:ascii="仿宋" w:hAnsi="仿宋" w:eastAsia="仿宋" w:cs="仿宋"/>
          <w:b/>
          <w:color w:val="auto"/>
          <w:spacing w:val="6"/>
          <w:sz w:val="32"/>
          <w:szCs w:val="32"/>
          <w:highlight w:val="none"/>
        </w:rPr>
      </w:pPr>
    </w:p>
    <w:p w14:paraId="59B9A265">
      <w:pPr>
        <w:spacing w:line="360" w:lineRule="auto"/>
        <w:jc w:val="center"/>
        <w:rPr>
          <w:rFonts w:hint="eastAsia" w:ascii="仿宋" w:hAnsi="仿宋" w:eastAsia="仿宋" w:cs="仿宋"/>
          <w:b/>
          <w:color w:val="auto"/>
          <w:spacing w:val="6"/>
          <w:sz w:val="32"/>
          <w:szCs w:val="32"/>
          <w:highlight w:val="none"/>
        </w:rPr>
      </w:pPr>
    </w:p>
    <w:p w14:paraId="299613BC">
      <w:pPr>
        <w:spacing w:line="360" w:lineRule="auto"/>
        <w:jc w:val="center"/>
        <w:rPr>
          <w:rFonts w:hint="eastAsia" w:ascii="仿宋" w:hAnsi="仿宋" w:eastAsia="仿宋" w:cs="仿宋"/>
          <w:b/>
          <w:color w:val="auto"/>
          <w:spacing w:val="6"/>
          <w:sz w:val="32"/>
          <w:szCs w:val="32"/>
          <w:highlight w:val="none"/>
        </w:rPr>
      </w:pPr>
    </w:p>
    <w:p w14:paraId="0E154F67">
      <w:pPr>
        <w:spacing w:line="360" w:lineRule="auto"/>
        <w:jc w:val="center"/>
        <w:rPr>
          <w:rFonts w:hint="eastAsia" w:ascii="仿宋" w:hAnsi="仿宋" w:eastAsia="仿宋" w:cs="仿宋"/>
          <w:b/>
          <w:color w:val="auto"/>
          <w:spacing w:val="6"/>
          <w:sz w:val="32"/>
          <w:szCs w:val="32"/>
          <w:highlight w:val="none"/>
        </w:rPr>
      </w:pPr>
    </w:p>
    <w:p w14:paraId="10792C0C">
      <w:pPr>
        <w:spacing w:line="360" w:lineRule="auto"/>
        <w:jc w:val="center"/>
        <w:rPr>
          <w:rFonts w:hint="eastAsia" w:ascii="仿宋" w:hAnsi="仿宋" w:eastAsia="仿宋" w:cs="仿宋"/>
          <w:b/>
          <w:color w:val="auto"/>
          <w:spacing w:val="6"/>
          <w:sz w:val="32"/>
          <w:szCs w:val="32"/>
          <w:highlight w:val="none"/>
        </w:rPr>
      </w:pPr>
    </w:p>
    <w:p w14:paraId="500B457E">
      <w:pPr>
        <w:spacing w:line="360" w:lineRule="auto"/>
        <w:jc w:val="center"/>
        <w:rPr>
          <w:rFonts w:hint="eastAsia" w:ascii="仿宋" w:hAnsi="仿宋" w:eastAsia="仿宋" w:cs="仿宋"/>
          <w:b/>
          <w:color w:val="auto"/>
          <w:spacing w:val="6"/>
          <w:sz w:val="32"/>
          <w:szCs w:val="32"/>
          <w:highlight w:val="none"/>
        </w:rPr>
      </w:pPr>
    </w:p>
    <w:p w14:paraId="4D92F3CD">
      <w:pPr>
        <w:spacing w:line="360" w:lineRule="auto"/>
        <w:jc w:val="center"/>
        <w:rPr>
          <w:rFonts w:hint="eastAsia" w:ascii="仿宋" w:hAnsi="仿宋" w:eastAsia="仿宋" w:cs="仿宋"/>
          <w:b/>
          <w:color w:val="auto"/>
          <w:spacing w:val="6"/>
          <w:sz w:val="32"/>
          <w:szCs w:val="32"/>
          <w:highlight w:val="none"/>
        </w:rPr>
      </w:pPr>
    </w:p>
    <w:p w14:paraId="7C16DFC2">
      <w:pPr>
        <w:spacing w:line="360" w:lineRule="auto"/>
        <w:jc w:val="center"/>
        <w:rPr>
          <w:rFonts w:hint="eastAsia" w:ascii="仿宋" w:hAnsi="仿宋" w:eastAsia="仿宋" w:cs="仿宋"/>
          <w:b/>
          <w:color w:val="auto"/>
          <w:spacing w:val="6"/>
          <w:sz w:val="32"/>
          <w:szCs w:val="32"/>
          <w:highlight w:val="none"/>
        </w:rPr>
      </w:pPr>
    </w:p>
    <w:p w14:paraId="6917467E">
      <w:pPr>
        <w:spacing w:line="360" w:lineRule="auto"/>
        <w:jc w:val="left"/>
        <w:rPr>
          <w:rFonts w:hint="eastAsia" w:ascii="仿宋" w:hAnsi="仿宋" w:eastAsia="仿宋" w:cs="仿宋"/>
          <w:b/>
          <w:color w:val="auto"/>
          <w:spacing w:val="6"/>
          <w:sz w:val="32"/>
          <w:szCs w:val="32"/>
          <w:highlight w:val="none"/>
        </w:rPr>
      </w:pPr>
    </w:p>
    <w:p w14:paraId="24266453">
      <w:pPr>
        <w:spacing w:line="360" w:lineRule="auto"/>
        <w:jc w:val="left"/>
        <w:rPr>
          <w:rFonts w:hint="eastAsia" w:ascii="仿宋" w:hAnsi="仿宋" w:eastAsia="仿宋" w:cs="仿宋"/>
          <w:b/>
          <w:color w:val="auto"/>
          <w:spacing w:val="6"/>
          <w:sz w:val="32"/>
          <w:szCs w:val="32"/>
          <w:highlight w:val="none"/>
        </w:rPr>
      </w:pPr>
    </w:p>
    <w:p w14:paraId="773C7A1D">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6D921B9D">
      <w:pPr>
        <w:spacing w:line="360" w:lineRule="auto"/>
        <w:jc w:val="center"/>
        <w:rPr>
          <w:rFonts w:hint="eastAsia" w:ascii="仿宋" w:hAnsi="仿宋" w:eastAsia="仿宋" w:cs="仿宋"/>
          <w:b/>
          <w:color w:val="auto"/>
          <w:sz w:val="24"/>
          <w:highlight w:val="none"/>
        </w:rPr>
      </w:pPr>
    </w:p>
    <w:p w14:paraId="4C9EFF09">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6F6A641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7228725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7824A2D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7ECEF02">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6831936">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26064C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C7D01C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44BEF59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453178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F64CE4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2EF53A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11570BC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987A5A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1A4E11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5A224F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EC17CB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7710C9C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4C6705C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27F2E66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6E5121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07A5F42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3207B2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626A540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7C6CD1F3">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5BCB36C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EFBB0DD">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5E38679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7944102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33487E1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402163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FB607A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3B7F536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ABC5F4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133178D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134041B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66AEC7F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5F13A5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63D34E6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34EB46E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3AF7A954">
      <w:pPr>
        <w:spacing w:line="360" w:lineRule="auto"/>
        <w:rPr>
          <w:rFonts w:hint="eastAsia" w:ascii="仿宋" w:hAnsi="仿宋" w:eastAsia="仿宋" w:cs="仿宋"/>
          <w:b/>
          <w:color w:val="auto"/>
          <w:sz w:val="24"/>
          <w:highlight w:val="none"/>
        </w:rPr>
      </w:pPr>
    </w:p>
    <w:p w14:paraId="0C12D90F">
      <w:pPr>
        <w:spacing w:line="360" w:lineRule="auto"/>
        <w:rPr>
          <w:rFonts w:hint="eastAsia" w:ascii="仿宋" w:hAnsi="仿宋" w:eastAsia="仿宋" w:cs="仿宋"/>
          <w:b/>
          <w:color w:val="auto"/>
          <w:sz w:val="24"/>
          <w:highlight w:val="none"/>
        </w:rPr>
      </w:pPr>
    </w:p>
    <w:p w14:paraId="2D7991B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52A11068">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4A51C007">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163CA77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4798433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77CDD2F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5A8EAFD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0A2261EB">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2AD56EC4">
      <w:pPr>
        <w:spacing w:line="360" w:lineRule="auto"/>
        <w:rPr>
          <w:rFonts w:hint="eastAsia" w:ascii="仿宋" w:hAnsi="仿宋" w:eastAsia="仿宋" w:cs="仿宋"/>
          <w:b/>
          <w:color w:val="auto"/>
          <w:sz w:val="24"/>
          <w:highlight w:val="none"/>
        </w:rPr>
      </w:pPr>
    </w:p>
    <w:p w14:paraId="3758A049">
      <w:pPr>
        <w:autoSpaceDE w:val="0"/>
        <w:autoSpaceDN w:val="0"/>
        <w:jc w:val="center"/>
        <w:rPr>
          <w:rFonts w:hint="eastAsia" w:ascii="仿宋" w:hAnsi="仿宋" w:eastAsia="仿宋" w:cs="仿宋"/>
          <w:b/>
          <w:color w:val="auto"/>
          <w:spacing w:val="6"/>
          <w:sz w:val="32"/>
          <w:szCs w:val="32"/>
          <w:highlight w:val="none"/>
        </w:rPr>
      </w:pPr>
    </w:p>
    <w:p w14:paraId="3F005BBF">
      <w:pPr>
        <w:autoSpaceDE w:val="0"/>
        <w:autoSpaceDN w:val="0"/>
        <w:jc w:val="center"/>
        <w:rPr>
          <w:rFonts w:hint="eastAsia" w:ascii="仿宋" w:hAnsi="仿宋" w:eastAsia="仿宋" w:cs="仿宋"/>
          <w:b/>
          <w:color w:val="auto"/>
          <w:spacing w:val="6"/>
          <w:sz w:val="32"/>
          <w:szCs w:val="32"/>
          <w:highlight w:val="none"/>
        </w:rPr>
      </w:pPr>
    </w:p>
    <w:p w14:paraId="6DCD8463">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691B5C9A">
      <w:pPr>
        <w:spacing w:line="360" w:lineRule="auto"/>
        <w:rPr>
          <w:rFonts w:hint="eastAsia" w:ascii="仿宋" w:hAnsi="仿宋" w:eastAsia="仿宋" w:cs="仿宋"/>
          <w:color w:val="auto"/>
          <w:sz w:val="24"/>
          <w:highlight w:val="none"/>
          <w:u w:val="single"/>
        </w:rPr>
      </w:pPr>
    </w:p>
    <w:p w14:paraId="741D89E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084738F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1502713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51C47137">
      <w:pPr>
        <w:spacing w:line="360" w:lineRule="auto"/>
        <w:ind w:firstLine="494"/>
        <w:rPr>
          <w:rFonts w:hint="eastAsia" w:ascii="仿宋" w:hAnsi="仿宋" w:eastAsia="仿宋" w:cs="仿宋"/>
          <w:color w:val="auto"/>
          <w:sz w:val="24"/>
          <w:highlight w:val="none"/>
        </w:rPr>
      </w:pPr>
    </w:p>
    <w:p w14:paraId="4975201C">
      <w:pPr>
        <w:spacing w:line="360" w:lineRule="auto"/>
        <w:ind w:firstLine="494"/>
        <w:rPr>
          <w:rFonts w:hint="eastAsia" w:ascii="仿宋" w:hAnsi="仿宋" w:eastAsia="仿宋" w:cs="仿宋"/>
          <w:color w:val="auto"/>
          <w:sz w:val="24"/>
          <w:highlight w:val="none"/>
        </w:rPr>
      </w:pPr>
    </w:p>
    <w:p w14:paraId="21C7C317">
      <w:pPr>
        <w:spacing w:line="360" w:lineRule="auto"/>
        <w:ind w:firstLine="494"/>
        <w:rPr>
          <w:rFonts w:hint="eastAsia" w:ascii="仿宋" w:hAnsi="仿宋" w:eastAsia="仿宋" w:cs="仿宋"/>
          <w:color w:val="auto"/>
          <w:sz w:val="24"/>
          <w:highlight w:val="none"/>
        </w:rPr>
      </w:pPr>
    </w:p>
    <w:p w14:paraId="067F5467">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2030635D">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96CAB94">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4EA8F7EC">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60D9AC8C">
      <w:pPr>
        <w:autoSpaceDE w:val="0"/>
        <w:autoSpaceDN w:val="0"/>
        <w:jc w:val="center"/>
        <w:rPr>
          <w:rFonts w:hint="eastAsia" w:ascii="仿宋" w:hAnsi="仿宋" w:eastAsia="仿宋" w:cs="仿宋"/>
          <w:b/>
          <w:color w:val="auto"/>
          <w:spacing w:val="6"/>
          <w:sz w:val="32"/>
          <w:szCs w:val="32"/>
          <w:highlight w:val="none"/>
        </w:rPr>
      </w:pPr>
    </w:p>
    <w:p w14:paraId="0D3547FB">
      <w:pPr>
        <w:autoSpaceDE w:val="0"/>
        <w:autoSpaceDN w:val="0"/>
        <w:jc w:val="center"/>
        <w:rPr>
          <w:rFonts w:hint="eastAsia" w:ascii="仿宋" w:hAnsi="仿宋" w:eastAsia="仿宋" w:cs="仿宋"/>
          <w:b/>
          <w:color w:val="auto"/>
          <w:spacing w:val="6"/>
          <w:sz w:val="32"/>
          <w:szCs w:val="32"/>
          <w:highlight w:val="none"/>
        </w:rPr>
      </w:pPr>
    </w:p>
    <w:p w14:paraId="1FF15A66">
      <w:pPr>
        <w:autoSpaceDE w:val="0"/>
        <w:autoSpaceDN w:val="0"/>
        <w:jc w:val="center"/>
        <w:rPr>
          <w:rFonts w:hint="eastAsia" w:ascii="仿宋" w:hAnsi="仿宋" w:eastAsia="仿宋" w:cs="仿宋"/>
          <w:b/>
          <w:color w:val="auto"/>
          <w:spacing w:val="6"/>
          <w:sz w:val="32"/>
          <w:szCs w:val="32"/>
          <w:highlight w:val="none"/>
        </w:rPr>
      </w:pPr>
    </w:p>
    <w:p w14:paraId="49E0A0DB">
      <w:pPr>
        <w:autoSpaceDE w:val="0"/>
        <w:autoSpaceDN w:val="0"/>
        <w:jc w:val="center"/>
        <w:rPr>
          <w:rFonts w:hint="eastAsia" w:ascii="仿宋" w:hAnsi="仿宋" w:eastAsia="仿宋" w:cs="仿宋"/>
          <w:b/>
          <w:color w:val="auto"/>
          <w:spacing w:val="6"/>
          <w:sz w:val="32"/>
          <w:szCs w:val="32"/>
          <w:highlight w:val="none"/>
        </w:rPr>
      </w:pPr>
    </w:p>
    <w:p w14:paraId="52DC36E1">
      <w:pPr>
        <w:autoSpaceDE w:val="0"/>
        <w:autoSpaceDN w:val="0"/>
        <w:jc w:val="center"/>
        <w:rPr>
          <w:rFonts w:hint="eastAsia" w:ascii="仿宋" w:hAnsi="仿宋" w:eastAsia="仿宋" w:cs="仿宋"/>
          <w:b/>
          <w:color w:val="auto"/>
          <w:spacing w:val="6"/>
          <w:sz w:val="32"/>
          <w:szCs w:val="32"/>
          <w:highlight w:val="none"/>
        </w:rPr>
      </w:pPr>
    </w:p>
    <w:p w14:paraId="2554AFB2">
      <w:pPr>
        <w:autoSpaceDE w:val="0"/>
        <w:autoSpaceDN w:val="0"/>
        <w:jc w:val="center"/>
        <w:rPr>
          <w:rFonts w:hint="eastAsia" w:ascii="仿宋" w:hAnsi="仿宋" w:eastAsia="仿宋" w:cs="仿宋"/>
          <w:b/>
          <w:color w:val="auto"/>
          <w:spacing w:val="6"/>
          <w:sz w:val="32"/>
          <w:szCs w:val="32"/>
          <w:highlight w:val="none"/>
        </w:rPr>
      </w:pPr>
    </w:p>
    <w:p w14:paraId="5895990F">
      <w:pPr>
        <w:autoSpaceDE w:val="0"/>
        <w:autoSpaceDN w:val="0"/>
        <w:jc w:val="center"/>
        <w:rPr>
          <w:rFonts w:hint="eastAsia" w:ascii="仿宋" w:hAnsi="仿宋" w:eastAsia="仿宋" w:cs="仿宋"/>
          <w:b/>
          <w:color w:val="auto"/>
          <w:spacing w:val="6"/>
          <w:sz w:val="32"/>
          <w:szCs w:val="32"/>
          <w:highlight w:val="none"/>
        </w:rPr>
      </w:pPr>
    </w:p>
    <w:p w14:paraId="04AB10D3">
      <w:pPr>
        <w:autoSpaceDE w:val="0"/>
        <w:autoSpaceDN w:val="0"/>
        <w:jc w:val="center"/>
        <w:rPr>
          <w:rFonts w:hint="eastAsia" w:ascii="仿宋" w:hAnsi="仿宋" w:eastAsia="仿宋" w:cs="仿宋"/>
          <w:b/>
          <w:color w:val="auto"/>
          <w:spacing w:val="6"/>
          <w:sz w:val="32"/>
          <w:szCs w:val="32"/>
          <w:highlight w:val="none"/>
        </w:rPr>
      </w:pPr>
    </w:p>
    <w:p w14:paraId="4E7A10EF">
      <w:pPr>
        <w:autoSpaceDE w:val="0"/>
        <w:autoSpaceDN w:val="0"/>
        <w:jc w:val="center"/>
        <w:rPr>
          <w:rFonts w:hint="eastAsia" w:ascii="仿宋" w:hAnsi="仿宋" w:eastAsia="仿宋" w:cs="仿宋"/>
          <w:b/>
          <w:color w:val="auto"/>
          <w:spacing w:val="6"/>
          <w:sz w:val="32"/>
          <w:szCs w:val="32"/>
          <w:highlight w:val="none"/>
        </w:rPr>
      </w:pPr>
    </w:p>
    <w:p w14:paraId="5E7C8067">
      <w:pPr>
        <w:autoSpaceDE w:val="0"/>
        <w:autoSpaceDN w:val="0"/>
        <w:jc w:val="center"/>
        <w:rPr>
          <w:rFonts w:hint="eastAsia" w:ascii="仿宋" w:hAnsi="仿宋" w:eastAsia="仿宋" w:cs="仿宋"/>
          <w:b/>
          <w:color w:val="auto"/>
          <w:spacing w:val="6"/>
          <w:sz w:val="32"/>
          <w:szCs w:val="32"/>
          <w:highlight w:val="none"/>
        </w:rPr>
      </w:pPr>
    </w:p>
    <w:p w14:paraId="4DE61796">
      <w:pPr>
        <w:autoSpaceDE w:val="0"/>
        <w:autoSpaceDN w:val="0"/>
        <w:jc w:val="center"/>
        <w:rPr>
          <w:rFonts w:hint="eastAsia" w:ascii="仿宋" w:hAnsi="仿宋" w:eastAsia="仿宋" w:cs="仿宋"/>
          <w:b/>
          <w:color w:val="auto"/>
          <w:spacing w:val="6"/>
          <w:sz w:val="32"/>
          <w:szCs w:val="32"/>
          <w:highlight w:val="none"/>
        </w:rPr>
      </w:pPr>
    </w:p>
    <w:p w14:paraId="7517978F">
      <w:pPr>
        <w:autoSpaceDE w:val="0"/>
        <w:autoSpaceDN w:val="0"/>
        <w:jc w:val="center"/>
        <w:rPr>
          <w:rFonts w:hint="eastAsia" w:ascii="仿宋" w:hAnsi="仿宋" w:eastAsia="仿宋" w:cs="仿宋"/>
          <w:b/>
          <w:color w:val="auto"/>
          <w:spacing w:val="6"/>
          <w:sz w:val="32"/>
          <w:szCs w:val="32"/>
          <w:highlight w:val="none"/>
        </w:rPr>
      </w:pPr>
    </w:p>
    <w:p w14:paraId="111861AE">
      <w:pPr>
        <w:autoSpaceDE w:val="0"/>
        <w:autoSpaceDN w:val="0"/>
        <w:jc w:val="center"/>
        <w:rPr>
          <w:rFonts w:hint="eastAsia" w:ascii="仿宋" w:hAnsi="仿宋" w:eastAsia="仿宋" w:cs="仿宋"/>
          <w:b/>
          <w:color w:val="auto"/>
          <w:spacing w:val="6"/>
          <w:sz w:val="32"/>
          <w:szCs w:val="32"/>
          <w:highlight w:val="none"/>
        </w:rPr>
      </w:pPr>
    </w:p>
    <w:p w14:paraId="2D7295F7">
      <w:pPr>
        <w:autoSpaceDE w:val="0"/>
        <w:autoSpaceDN w:val="0"/>
        <w:jc w:val="center"/>
        <w:rPr>
          <w:rFonts w:hint="eastAsia" w:ascii="仿宋" w:hAnsi="仿宋" w:eastAsia="仿宋" w:cs="仿宋"/>
          <w:b/>
          <w:color w:val="auto"/>
          <w:spacing w:val="6"/>
          <w:sz w:val="32"/>
          <w:szCs w:val="32"/>
          <w:highlight w:val="none"/>
        </w:rPr>
      </w:pPr>
    </w:p>
    <w:p w14:paraId="1A0CB6A6">
      <w:pPr>
        <w:autoSpaceDE w:val="0"/>
        <w:autoSpaceDN w:val="0"/>
        <w:jc w:val="center"/>
        <w:rPr>
          <w:rFonts w:hint="eastAsia" w:ascii="仿宋" w:hAnsi="仿宋" w:eastAsia="仿宋" w:cs="仿宋"/>
          <w:b/>
          <w:color w:val="auto"/>
          <w:spacing w:val="6"/>
          <w:sz w:val="32"/>
          <w:szCs w:val="32"/>
          <w:highlight w:val="none"/>
        </w:rPr>
      </w:pPr>
    </w:p>
    <w:p w14:paraId="6F596390">
      <w:pPr>
        <w:autoSpaceDE w:val="0"/>
        <w:autoSpaceDN w:val="0"/>
        <w:jc w:val="center"/>
        <w:rPr>
          <w:rFonts w:hint="eastAsia" w:ascii="仿宋" w:hAnsi="仿宋" w:eastAsia="仿宋" w:cs="仿宋"/>
          <w:b/>
          <w:color w:val="auto"/>
          <w:spacing w:val="6"/>
          <w:sz w:val="32"/>
          <w:szCs w:val="32"/>
          <w:highlight w:val="none"/>
        </w:rPr>
      </w:pPr>
    </w:p>
    <w:p w14:paraId="713D6CFD">
      <w:pPr>
        <w:autoSpaceDE w:val="0"/>
        <w:autoSpaceDN w:val="0"/>
        <w:jc w:val="center"/>
        <w:rPr>
          <w:rFonts w:hint="eastAsia" w:ascii="仿宋" w:hAnsi="仿宋" w:eastAsia="仿宋" w:cs="仿宋"/>
          <w:b/>
          <w:color w:val="auto"/>
          <w:spacing w:val="6"/>
          <w:sz w:val="32"/>
          <w:szCs w:val="32"/>
          <w:highlight w:val="none"/>
        </w:rPr>
      </w:pPr>
    </w:p>
    <w:p w14:paraId="148DC965">
      <w:pPr>
        <w:autoSpaceDE w:val="0"/>
        <w:autoSpaceDN w:val="0"/>
        <w:jc w:val="center"/>
        <w:rPr>
          <w:rFonts w:hint="eastAsia" w:ascii="仿宋" w:hAnsi="仿宋" w:eastAsia="仿宋" w:cs="仿宋"/>
          <w:b/>
          <w:color w:val="auto"/>
          <w:spacing w:val="6"/>
          <w:sz w:val="32"/>
          <w:szCs w:val="32"/>
          <w:highlight w:val="none"/>
        </w:rPr>
      </w:pPr>
    </w:p>
    <w:p w14:paraId="092D1208">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附件5：联合协议</w:t>
      </w:r>
    </w:p>
    <w:p w14:paraId="2E663B71">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47A379A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6C85944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16A6A72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21BB019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2E977BC8">
      <w:pPr>
        <w:snapToGrid w:val="0"/>
        <w:spacing w:line="360" w:lineRule="auto"/>
        <w:ind w:firstLine="576"/>
        <w:rPr>
          <w:rFonts w:hint="eastAsia" w:ascii="仿宋" w:hAnsi="仿宋" w:eastAsia="仿宋" w:cs="仿宋"/>
          <w:color w:val="auto"/>
          <w:kern w:val="0"/>
          <w:sz w:val="24"/>
          <w:highlight w:val="none"/>
          <w:lang w:val="zh-CN"/>
        </w:rPr>
      </w:pPr>
      <w:bookmarkStart w:id="404"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180E78B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5C78093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404"/>
    <w:p w14:paraId="3FF9425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323D2963">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1CF11FC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14:paraId="588497F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346E03D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43B5140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424D9C6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1329F23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67D06763">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27207D4">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CC99E89">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1281EE96">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6ACBDBE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0AEB1E2">
      <w:pPr>
        <w:autoSpaceDE w:val="0"/>
        <w:autoSpaceDN w:val="0"/>
        <w:jc w:val="center"/>
        <w:rPr>
          <w:rFonts w:hint="eastAsia" w:ascii="仿宋" w:hAnsi="仿宋" w:eastAsia="仿宋" w:cs="仿宋"/>
          <w:b/>
          <w:color w:val="auto"/>
          <w:spacing w:val="6"/>
          <w:sz w:val="32"/>
          <w:szCs w:val="32"/>
          <w:highlight w:val="none"/>
        </w:rPr>
      </w:pPr>
    </w:p>
    <w:p w14:paraId="1AB5859D">
      <w:pPr>
        <w:autoSpaceDE w:val="0"/>
        <w:autoSpaceDN w:val="0"/>
        <w:jc w:val="center"/>
        <w:rPr>
          <w:rFonts w:hint="eastAsia" w:ascii="仿宋" w:hAnsi="仿宋" w:eastAsia="仿宋" w:cs="仿宋"/>
          <w:b/>
          <w:color w:val="auto"/>
          <w:spacing w:val="6"/>
          <w:sz w:val="32"/>
          <w:szCs w:val="32"/>
          <w:highlight w:val="none"/>
        </w:rPr>
      </w:pPr>
    </w:p>
    <w:p w14:paraId="319B1341">
      <w:pPr>
        <w:autoSpaceDE w:val="0"/>
        <w:autoSpaceDN w:val="0"/>
        <w:jc w:val="center"/>
        <w:rPr>
          <w:rFonts w:hint="eastAsia" w:ascii="仿宋" w:hAnsi="仿宋" w:eastAsia="仿宋" w:cs="仿宋"/>
          <w:b/>
          <w:color w:val="auto"/>
          <w:spacing w:val="6"/>
          <w:sz w:val="32"/>
          <w:szCs w:val="32"/>
          <w:highlight w:val="none"/>
        </w:rPr>
      </w:pPr>
    </w:p>
    <w:p w14:paraId="6A27855E">
      <w:pPr>
        <w:autoSpaceDE w:val="0"/>
        <w:autoSpaceDN w:val="0"/>
        <w:jc w:val="center"/>
        <w:rPr>
          <w:rFonts w:hint="eastAsia" w:ascii="仿宋" w:hAnsi="仿宋" w:eastAsia="仿宋" w:cs="仿宋"/>
          <w:b/>
          <w:color w:val="auto"/>
          <w:spacing w:val="6"/>
          <w:sz w:val="32"/>
          <w:szCs w:val="32"/>
          <w:highlight w:val="none"/>
        </w:rPr>
      </w:pPr>
    </w:p>
    <w:p w14:paraId="1C655B66">
      <w:pPr>
        <w:autoSpaceDE w:val="0"/>
        <w:autoSpaceDN w:val="0"/>
        <w:jc w:val="center"/>
        <w:rPr>
          <w:rFonts w:hint="eastAsia" w:ascii="仿宋" w:hAnsi="仿宋" w:eastAsia="仿宋" w:cs="仿宋"/>
          <w:b/>
          <w:color w:val="auto"/>
          <w:spacing w:val="6"/>
          <w:sz w:val="32"/>
          <w:szCs w:val="32"/>
          <w:highlight w:val="none"/>
        </w:rPr>
      </w:pPr>
    </w:p>
    <w:p w14:paraId="7ECCFBF5">
      <w:pPr>
        <w:autoSpaceDE w:val="0"/>
        <w:autoSpaceDN w:val="0"/>
        <w:jc w:val="center"/>
        <w:rPr>
          <w:rFonts w:hint="eastAsia" w:ascii="仿宋" w:hAnsi="仿宋" w:eastAsia="仿宋" w:cs="仿宋"/>
          <w:b/>
          <w:color w:val="auto"/>
          <w:spacing w:val="6"/>
          <w:sz w:val="32"/>
          <w:szCs w:val="32"/>
          <w:highlight w:val="none"/>
        </w:rPr>
      </w:pPr>
    </w:p>
    <w:p w14:paraId="0D1B5FB0">
      <w:pPr>
        <w:autoSpaceDE w:val="0"/>
        <w:autoSpaceDN w:val="0"/>
        <w:jc w:val="center"/>
        <w:rPr>
          <w:rFonts w:hint="eastAsia" w:ascii="仿宋" w:hAnsi="仿宋" w:eastAsia="仿宋" w:cs="仿宋"/>
          <w:b/>
          <w:color w:val="auto"/>
          <w:spacing w:val="6"/>
          <w:sz w:val="32"/>
          <w:szCs w:val="32"/>
          <w:highlight w:val="none"/>
        </w:rPr>
      </w:pPr>
    </w:p>
    <w:p w14:paraId="6F378334">
      <w:pPr>
        <w:autoSpaceDE w:val="0"/>
        <w:autoSpaceDN w:val="0"/>
        <w:jc w:val="center"/>
        <w:rPr>
          <w:rFonts w:hint="eastAsia" w:ascii="仿宋" w:hAnsi="仿宋" w:eastAsia="仿宋" w:cs="仿宋"/>
          <w:b/>
          <w:color w:val="auto"/>
          <w:spacing w:val="6"/>
          <w:sz w:val="32"/>
          <w:szCs w:val="32"/>
          <w:highlight w:val="none"/>
        </w:rPr>
      </w:pPr>
    </w:p>
    <w:p w14:paraId="011A5B29">
      <w:pPr>
        <w:autoSpaceDE w:val="0"/>
        <w:autoSpaceDN w:val="0"/>
        <w:jc w:val="center"/>
        <w:rPr>
          <w:rFonts w:hint="eastAsia" w:ascii="仿宋" w:hAnsi="仿宋" w:eastAsia="仿宋" w:cs="仿宋"/>
          <w:b/>
          <w:color w:val="auto"/>
          <w:spacing w:val="6"/>
          <w:sz w:val="32"/>
          <w:szCs w:val="32"/>
          <w:highlight w:val="none"/>
        </w:rPr>
      </w:pPr>
    </w:p>
    <w:p w14:paraId="3C9E0A0E">
      <w:pPr>
        <w:autoSpaceDE w:val="0"/>
        <w:autoSpaceDN w:val="0"/>
        <w:jc w:val="center"/>
        <w:rPr>
          <w:rFonts w:hint="eastAsia" w:ascii="仿宋" w:hAnsi="仿宋" w:eastAsia="仿宋" w:cs="仿宋"/>
          <w:b/>
          <w:color w:val="auto"/>
          <w:spacing w:val="6"/>
          <w:sz w:val="32"/>
          <w:szCs w:val="32"/>
          <w:highlight w:val="none"/>
        </w:rPr>
      </w:pPr>
    </w:p>
    <w:p w14:paraId="66DB39AE">
      <w:pPr>
        <w:autoSpaceDE w:val="0"/>
        <w:autoSpaceDN w:val="0"/>
        <w:jc w:val="center"/>
        <w:rPr>
          <w:rFonts w:hint="eastAsia" w:ascii="仿宋" w:hAnsi="仿宋" w:eastAsia="仿宋" w:cs="仿宋"/>
          <w:b/>
          <w:color w:val="auto"/>
          <w:spacing w:val="6"/>
          <w:sz w:val="32"/>
          <w:szCs w:val="32"/>
          <w:highlight w:val="none"/>
        </w:rPr>
      </w:pPr>
    </w:p>
    <w:p w14:paraId="6AB046E1">
      <w:pPr>
        <w:autoSpaceDE w:val="0"/>
        <w:autoSpaceDN w:val="0"/>
        <w:jc w:val="center"/>
        <w:rPr>
          <w:rFonts w:hint="eastAsia" w:ascii="仿宋" w:hAnsi="仿宋" w:eastAsia="仿宋" w:cs="仿宋"/>
          <w:b/>
          <w:color w:val="auto"/>
          <w:spacing w:val="6"/>
          <w:sz w:val="32"/>
          <w:szCs w:val="32"/>
          <w:highlight w:val="none"/>
        </w:rPr>
      </w:pPr>
    </w:p>
    <w:p w14:paraId="24FA1922">
      <w:pPr>
        <w:autoSpaceDE w:val="0"/>
        <w:autoSpaceDN w:val="0"/>
        <w:jc w:val="center"/>
        <w:rPr>
          <w:rFonts w:hint="eastAsia" w:ascii="仿宋" w:hAnsi="仿宋" w:eastAsia="仿宋" w:cs="仿宋"/>
          <w:b/>
          <w:color w:val="auto"/>
          <w:spacing w:val="6"/>
          <w:sz w:val="32"/>
          <w:szCs w:val="32"/>
          <w:highlight w:val="none"/>
        </w:rPr>
      </w:pPr>
    </w:p>
    <w:p w14:paraId="0CFF5C84">
      <w:pPr>
        <w:autoSpaceDE w:val="0"/>
        <w:autoSpaceDN w:val="0"/>
        <w:jc w:val="center"/>
        <w:rPr>
          <w:rFonts w:hint="eastAsia" w:ascii="仿宋" w:hAnsi="仿宋" w:eastAsia="仿宋" w:cs="仿宋"/>
          <w:b/>
          <w:color w:val="auto"/>
          <w:spacing w:val="6"/>
          <w:sz w:val="32"/>
          <w:szCs w:val="32"/>
          <w:highlight w:val="none"/>
        </w:rPr>
      </w:pPr>
    </w:p>
    <w:p w14:paraId="3ED37CC0">
      <w:pPr>
        <w:autoSpaceDE w:val="0"/>
        <w:autoSpaceDN w:val="0"/>
        <w:jc w:val="center"/>
        <w:rPr>
          <w:rFonts w:hint="eastAsia" w:ascii="仿宋" w:hAnsi="仿宋" w:eastAsia="仿宋" w:cs="仿宋"/>
          <w:b/>
          <w:color w:val="auto"/>
          <w:spacing w:val="6"/>
          <w:sz w:val="32"/>
          <w:szCs w:val="32"/>
          <w:highlight w:val="none"/>
        </w:rPr>
      </w:pPr>
    </w:p>
    <w:p w14:paraId="1783902C">
      <w:pPr>
        <w:autoSpaceDE w:val="0"/>
        <w:autoSpaceDN w:val="0"/>
        <w:jc w:val="center"/>
        <w:rPr>
          <w:rFonts w:hint="eastAsia" w:ascii="仿宋" w:hAnsi="仿宋" w:eastAsia="仿宋" w:cs="仿宋"/>
          <w:b/>
          <w:color w:val="auto"/>
          <w:spacing w:val="6"/>
          <w:sz w:val="32"/>
          <w:szCs w:val="32"/>
          <w:highlight w:val="none"/>
        </w:rPr>
      </w:pPr>
    </w:p>
    <w:p w14:paraId="1F0664C2">
      <w:pPr>
        <w:autoSpaceDE w:val="0"/>
        <w:autoSpaceDN w:val="0"/>
        <w:jc w:val="center"/>
        <w:rPr>
          <w:rFonts w:hint="eastAsia" w:ascii="仿宋" w:hAnsi="仿宋" w:eastAsia="仿宋" w:cs="仿宋"/>
          <w:b/>
          <w:color w:val="auto"/>
          <w:spacing w:val="6"/>
          <w:sz w:val="32"/>
          <w:szCs w:val="32"/>
          <w:highlight w:val="none"/>
        </w:rPr>
      </w:pPr>
    </w:p>
    <w:p w14:paraId="52AA0B19">
      <w:pPr>
        <w:autoSpaceDE w:val="0"/>
        <w:autoSpaceDN w:val="0"/>
        <w:jc w:val="center"/>
        <w:rPr>
          <w:rFonts w:hint="eastAsia" w:ascii="仿宋" w:hAnsi="仿宋" w:eastAsia="仿宋" w:cs="仿宋"/>
          <w:b/>
          <w:color w:val="auto"/>
          <w:spacing w:val="6"/>
          <w:sz w:val="32"/>
          <w:szCs w:val="32"/>
          <w:highlight w:val="none"/>
        </w:rPr>
      </w:pPr>
    </w:p>
    <w:p w14:paraId="18D8C417">
      <w:pPr>
        <w:autoSpaceDE w:val="0"/>
        <w:autoSpaceDN w:val="0"/>
        <w:jc w:val="center"/>
        <w:rPr>
          <w:rFonts w:hint="eastAsia" w:ascii="仿宋" w:hAnsi="仿宋" w:eastAsia="仿宋" w:cs="仿宋"/>
          <w:b/>
          <w:color w:val="auto"/>
          <w:spacing w:val="6"/>
          <w:sz w:val="32"/>
          <w:szCs w:val="32"/>
          <w:highlight w:val="none"/>
        </w:rPr>
      </w:pPr>
    </w:p>
    <w:p w14:paraId="79F5AAFB">
      <w:pPr>
        <w:autoSpaceDE w:val="0"/>
        <w:autoSpaceDN w:val="0"/>
        <w:jc w:val="center"/>
        <w:rPr>
          <w:rFonts w:hint="eastAsia" w:ascii="仿宋" w:hAnsi="仿宋" w:eastAsia="仿宋" w:cs="仿宋"/>
          <w:b/>
          <w:color w:val="auto"/>
          <w:spacing w:val="6"/>
          <w:sz w:val="32"/>
          <w:szCs w:val="32"/>
          <w:highlight w:val="none"/>
        </w:rPr>
      </w:pPr>
    </w:p>
    <w:p w14:paraId="5F8E9CCC">
      <w:pPr>
        <w:autoSpaceDE w:val="0"/>
        <w:autoSpaceDN w:val="0"/>
        <w:jc w:val="center"/>
        <w:rPr>
          <w:rFonts w:hint="eastAsia" w:ascii="仿宋" w:hAnsi="仿宋" w:eastAsia="仿宋" w:cs="仿宋"/>
          <w:b/>
          <w:color w:val="auto"/>
          <w:spacing w:val="6"/>
          <w:sz w:val="32"/>
          <w:szCs w:val="32"/>
          <w:highlight w:val="none"/>
        </w:rPr>
      </w:pPr>
    </w:p>
    <w:p w14:paraId="46D96480">
      <w:pPr>
        <w:autoSpaceDE w:val="0"/>
        <w:autoSpaceDN w:val="0"/>
        <w:jc w:val="center"/>
        <w:rPr>
          <w:rFonts w:hint="eastAsia" w:ascii="仿宋" w:hAnsi="仿宋" w:eastAsia="仿宋" w:cs="仿宋"/>
          <w:b/>
          <w:color w:val="auto"/>
          <w:spacing w:val="6"/>
          <w:sz w:val="32"/>
          <w:szCs w:val="32"/>
          <w:highlight w:val="none"/>
        </w:rPr>
      </w:pPr>
    </w:p>
    <w:p w14:paraId="269040AD">
      <w:pPr>
        <w:autoSpaceDE w:val="0"/>
        <w:autoSpaceDN w:val="0"/>
        <w:jc w:val="center"/>
        <w:rPr>
          <w:rFonts w:hint="eastAsia" w:ascii="仿宋" w:hAnsi="仿宋" w:eastAsia="仿宋" w:cs="仿宋"/>
          <w:b/>
          <w:color w:val="auto"/>
          <w:spacing w:val="6"/>
          <w:sz w:val="32"/>
          <w:szCs w:val="32"/>
          <w:highlight w:val="none"/>
        </w:rPr>
      </w:pPr>
    </w:p>
    <w:p w14:paraId="6E0CF913">
      <w:pPr>
        <w:autoSpaceDE w:val="0"/>
        <w:autoSpaceDN w:val="0"/>
        <w:jc w:val="center"/>
        <w:rPr>
          <w:rFonts w:hint="eastAsia" w:ascii="仿宋" w:hAnsi="仿宋" w:eastAsia="仿宋" w:cs="仿宋"/>
          <w:b/>
          <w:color w:val="auto"/>
          <w:spacing w:val="6"/>
          <w:sz w:val="32"/>
          <w:szCs w:val="32"/>
          <w:highlight w:val="none"/>
        </w:rPr>
      </w:pPr>
    </w:p>
    <w:p w14:paraId="75616D7D">
      <w:pPr>
        <w:autoSpaceDE w:val="0"/>
        <w:autoSpaceDN w:val="0"/>
        <w:jc w:val="center"/>
        <w:rPr>
          <w:rFonts w:hint="eastAsia" w:ascii="仿宋" w:hAnsi="仿宋" w:eastAsia="仿宋" w:cs="仿宋"/>
          <w:b/>
          <w:color w:val="auto"/>
          <w:spacing w:val="6"/>
          <w:sz w:val="32"/>
          <w:szCs w:val="32"/>
          <w:highlight w:val="none"/>
        </w:rPr>
      </w:pPr>
    </w:p>
    <w:p w14:paraId="2662DEAF">
      <w:pPr>
        <w:autoSpaceDE w:val="0"/>
        <w:autoSpaceDN w:val="0"/>
        <w:jc w:val="center"/>
        <w:rPr>
          <w:rFonts w:hint="eastAsia" w:ascii="仿宋" w:hAnsi="仿宋" w:eastAsia="仿宋" w:cs="仿宋"/>
          <w:b/>
          <w:color w:val="auto"/>
          <w:spacing w:val="6"/>
          <w:sz w:val="32"/>
          <w:szCs w:val="32"/>
          <w:highlight w:val="none"/>
        </w:rPr>
      </w:pPr>
    </w:p>
    <w:p w14:paraId="29990E58">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附件6：分包意向协议</w:t>
      </w:r>
    </w:p>
    <w:p w14:paraId="25CAC12B">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502A467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4F705F7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1825793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3CF87228">
      <w:pPr>
        <w:pStyle w:val="6"/>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2546806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1AEC4020">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405886EF">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05"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bookmarkEnd w:id="405"/>
    </w:p>
    <w:p w14:paraId="634946C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2A21BD84">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2C64DDB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57A41C6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475662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0224E7F6">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A450D61">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2CE1F63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A61D73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0F3EB55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010A696">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14:paraId="249F7864">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7447294C">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DB2B5E3">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638B73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80F24E4">
      <w:pPr>
        <w:autoSpaceDE w:val="0"/>
        <w:autoSpaceDN w:val="0"/>
        <w:jc w:val="center"/>
        <w:rPr>
          <w:rFonts w:hint="eastAsia" w:ascii="仿宋" w:hAnsi="仿宋" w:eastAsia="仿宋" w:cs="仿宋"/>
          <w:b/>
          <w:color w:val="auto"/>
          <w:spacing w:val="6"/>
          <w:sz w:val="32"/>
          <w:szCs w:val="32"/>
          <w:highlight w:val="none"/>
        </w:rPr>
      </w:pPr>
    </w:p>
    <w:p w14:paraId="21A54AA6">
      <w:pPr>
        <w:autoSpaceDE w:val="0"/>
        <w:autoSpaceDN w:val="0"/>
        <w:jc w:val="center"/>
        <w:rPr>
          <w:rFonts w:hint="eastAsia" w:ascii="仿宋" w:hAnsi="仿宋" w:eastAsia="仿宋" w:cs="仿宋"/>
          <w:b/>
          <w:color w:val="auto"/>
          <w:spacing w:val="6"/>
          <w:sz w:val="32"/>
          <w:szCs w:val="32"/>
          <w:highlight w:val="none"/>
        </w:rPr>
      </w:pPr>
    </w:p>
    <w:p w14:paraId="414C3526">
      <w:pPr>
        <w:autoSpaceDE w:val="0"/>
        <w:autoSpaceDN w:val="0"/>
        <w:jc w:val="center"/>
        <w:rPr>
          <w:rFonts w:hint="eastAsia" w:ascii="仿宋" w:hAnsi="仿宋" w:eastAsia="仿宋" w:cs="仿宋"/>
          <w:b/>
          <w:color w:val="auto"/>
          <w:spacing w:val="6"/>
          <w:sz w:val="32"/>
          <w:szCs w:val="32"/>
          <w:highlight w:val="none"/>
        </w:rPr>
      </w:pPr>
    </w:p>
    <w:p w14:paraId="221DDC7C">
      <w:pPr>
        <w:autoSpaceDE w:val="0"/>
        <w:autoSpaceDN w:val="0"/>
        <w:jc w:val="center"/>
        <w:rPr>
          <w:rFonts w:hint="eastAsia" w:ascii="仿宋" w:hAnsi="仿宋" w:eastAsia="仿宋" w:cs="仿宋"/>
          <w:b/>
          <w:color w:val="auto"/>
          <w:spacing w:val="6"/>
          <w:sz w:val="32"/>
          <w:szCs w:val="32"/>
          <w:highlight w:val="none"/>
        </w:rPr>
      </w:pPr>
    </w:p>
    <w:p w14:paraId="09EF8210">
      <w:pPr>
        <w:autoSpaceDE w:val="0"/>
        <w:autoSpaceDN w:val="0"/>
        <w:jc w:val="center"/>
        <w:rPr>
          <w:rFonts w:hint="eastAsia" w:ascii="仿宋" w:hAnsi="仿宋" w:eastAsia="仿宋" w:cs="仿宋"/>
          <w:b/>
          <w:color w:val="auto"/>
          <w:spacing w:val="6"/>
          <w:sz w:val="32"/>
          <w:szCs w:val="32"/>
          <w:highlight w:val="none"/>
        </w:rPr>
      </w:pPr>
    </w:p>
    <w:p w14:paraId="21059F6D">
      <w:pPr>
        <w:autoSpaceDE w:val="0"/>
        <w:autoSpaceDN w:val="0"/>
        <w:jc w:val="center"/>
        <w:rPr>
          <w:rFonts w:hint="eastAsia" w:ascii="仿宋" w:hAnsi="仿宋" w:eastAsia="仿宋" w:cs="仿宋"/>
          <w:b/>
          <w:color w:val="auto"/>
          <w:spacing w:val="6"/>
          <w:sz w:val="32"/>
          <w:szCs w:val="32"/>
          <w:highlight w:val="none"/>
        </w:rPr>
      </w:pPr>
    </w:p>
    <w:p w14:paraId="684E7026">
      <w:pPr>
        <w:autoSpaceDE w:val="0"/>
        <w:autoSpaceDN w:val="0"/>
        <w:jc w:val="center"/>
        <w:rPr>
          <w:rFonts w:hint="eastAsia" w:ascii="仿宋" w:hAnsi="仿宋" w:eastAsia="仿宋" w:cs="仿宋"/>
          <w:b/>
          <w:color w:val="auto"/>
          <w:spacing w:val="6"/>
          <w:sz w:val="32"/>
          <w:szCs w:val="32"/>
          <w:highlight w:val="none"/>
        </w:rPr>
      </w:pPr>
    </w:p>
    <w:p w14:paraId="297E2E43">
      <w:pPr>
        <w:autoSpaceDE w:val="0"/>
        <w:autoSpaceDN w:val="0"/>
        <w:jc w:val="center"/>
        <w:rPr>
          <w:rFonts w:hint="eastAsia" w:ascii="仿宋" w:hAnsi="仿宋" w:eastAsia="仿宋" w:cs="仿宋"/>
          <w:b/>
          <w:color w:val="auto"/>
          <w:spacing w:val="6"/>
          <w:sz w:val="32"/>
          <w:szCs w:val="32"/>
          <w:highlight w:val="none"/>
        </w:rPr>
      </w:pPr>
    </w:p>
    <w:p w14:paraId="2264980F">
      <w:pPr>
        <w:autoSpaceDE w:val="0"/>
        <w:autoSpaceDN w:val="0"/>
        <w:jc w:val="center"/>
        <w:rPr>
          <w:rFonts w:hint="eastAsia" w:ascii="仿宋" w:hAnsi="仿宋" w:eastAsia="仿宋" w:cs="仿宋"/>
          <w:b/>
          <w:color w:val="auto"/>
          <w:spacing w:val="6"/>
          <w:sz w:val="32"/>
          <w:szCs w:val="32"/>
          <w:highlight w:val="none"/>
        </w:rPr>
      </w:pPr>
    </w:p>
    <w:p w14:paraId="0CCB7C1F">
      <w:pPr>
        <w:autoSpaceDE w:val="0"/>
        <w:autoSpaceDN w:val="0"/>
        <w:jc w:val="center"/>
        <w:rPr>
          <w:rFonts w:hint="eastAsia" w:ascii="仿宋" w:hAnsi="仿宋" w:eastAsia="仿宋" w:cs="仿宋"/>
          <w:b/>
          <w:color w:val="auto"/>
          <w:spacing w:val="6"/>
          <w:sz w:val="32"/>
          <w:szCs w:val="32"/>
          <w:highlight w:val="none"/>
        </w:rPr>
      </w:pPr>
    </w:p>
    <w:p w14:paraId="29056E71">
      <w:pPr>
        <w:autoSpaceDE w:val="0"/>
        <w:autoSpaceDN w:val="0"/>
        <w:jc w:val="center"/>
        <w:rPr>
          <w:rFonts w:hint="eastAsia" w:ascii="仿宋" w:hAnsi="仿宋" w:eastAsia="仿宋" w:cs="仿宋"/>
          <w:b/>
          <w:color w:val="auto"/>
          <w:spacing w:val="6"/>
          <w:sz w:val="32"/>
          <w:szCs w:val="32"/>
          <w:highlight w:val="none"/>
        </w:rPr>
      </w:pPr>
    </w:p>
    <w:p w14:paraId="73E785FB">
      <w:pPr>
        <w:autoSpaceDE w:val="0"/>
        <w:autoSpaceDN w:val="0"/>
        <w:jc w:val="center"/>
        <w:rPr>
          <w:rFonts w:hint="eastAsia" w:ascii="仿宋" w:hAnsi="仿宋" w:eastAsia="仿宋" w:cs="仿宋"/>
          <w:b/>
          <w:color w:val="auto"/>
          <w:spacing w:val="6"/>
          <w:sz w:val="32"/>
          <w:szCs w:val="32"/>
          <w:highlight w:val="none"/>
        </w:rPr>
      </w:pPr>
    </w:p>
    <w:p w14:paraId="642DE561">
      <w:pPr>
        <w:autoSpaceDE w:val="0"/>
        <w:autoSpaceDN w:val="0"/>
        <w:jc w:val="center"/>
        <w:rPr>
          <w:rFonts w:hint="eastAsia" w:ascii="仿宋" w:hAnsi="仿宋" w:eastAsia="仿宋" w:cs="仿宋"/>
          <w:b/>
          <w:color w:val="auto"/>
          <w:spacing w:val="6"/>
          <w:sz w:val="32"/>
          <w:szCs w:val="32"/>
          <w:highlight w:val="none"/>
        </w:rPr>
      </w:pPr>
    </w:p>
    <w:p w14:paraId="75C4E062">
      <w:pPr>
        <w:autoSpaceDE w:val="0"/>
        <w:autoSpaceDN w:val="0"/>
        <w:jc w:val="center"/>
        <w:rPr>
          <w:rFonts w:hint="eastAsia" w:ascii="仿宋" w:hAnsi="仿宋" w:eastAsia="仿宋" w:cs="仿宋"/>
          <w:b/>
          <w:color w:val="auto"/>
          <w:spacing w:val="6"/>
          <w:sz w:val="32"/>
          <w:szCs w:val="32"/>
          <w:highlight w:val="none"/>
        </w:rPr>
      </w:pPr>
    </w:p>
    <w:p w14:paraId="6596C722">
      <w:pPr>
        <w:autoSpaceDE w:val="0"/>
        <w:autoSpaceDN w:val="0"/>
        <w:jc w:val="center"/>
        <w:rPr>
          <w:rFonts w:hint="eastAsia" w:ascii="仿宋" w:hAnsi="仿宋" w:eastAsia="仿宋" w:cs="仿宋"/>
          <w:b/>
          <w:color w:val="auto"/>
          <w:spacing w:val="6"/>
          <w:sz w:val="32"/>
          <w:szCs w:val="32"/>
          <w:highlight w:val="none"/>
        </w:rPr>
      </w:pPr>
    </w:p>
    <w:p w14:paraId="4FA6D339">
      <w:pPr>
        <w:autoSpaceDE w:val="0"/>
        <w:autoSpaceDN w:val="0"/>
        <w:jc w:val="center"/>
        <w:rPr>
          <w:rFonts w:hint="eastAsia" w:ascii="仿宋" w:hAnsi="仿宋" w:eastAsia="仿宋" w:cs="仿宋"/>
          <w:b/>
          <w:color w:val="auto"/>
          <w:spacing w:val="6"/>
          <w:sz w:val="32"/>
          <w:szCs w:val="32"/>
          <w:highlight w:val="none"/>
        </w:rPr>
      </w:pPr>
    </w:p>
    <w:p w14:paraId="2543189D">
      <w:pPr>
        <w:autoSpaceDE w:val="0"/>
        <w:autoSpaceDN w:val="0"/>
        <w:jc w:val="center"/>
        <w:rPr>
          <w:rFonts w:hint="eastAsia" w:ascii="仿宋" w:hAnsi="仿宋" w:eastAsia="仿宋" w:cs="仿宋"/>
          <w:b/>
          <w:color w:val="auto"/>
          <w:spacing w:val="6"/>
          <w:sz w:val="32"/>
          <w:szCs w:val="32"/>
          <w:highlight w:val="none"/>
        </w:rPr>
      </w:pPr>
    </w:p>
    <w:p w14:paraId="19458A96">
      <w:pPr>
        <w:autoSpaceDE w:val="0"/>
        <w:autoSpaceDN w:val="0"/>
        <w:jc w:val="center"/>
        <w:rPr>
          <w:rFonts w:hint="eastAsia" w:ascii="仿宋" w:hAnsi="仿宋" w:eastAsia="仿宋" w:cs="仿宋"/>
          <w:b/>
          <w:color w:val="auto"/>
          <w:spacing w:val="6"/>
          <w:sz w:val="32"/>
          <w:szCs w:val="32"/>
          <w:highlight w:val="none"/>
        </w:rPr>
      </w:pPr>
    </w:p>
    <w:p w14:paraId="0D167225">
      <w:pPr>
        <w:autoSpaceDE w:val="0"/>
        <w:autoSpaceDN w:val="0"/>
        <w:jc w:val="center"/>
        <w:rPr>
          <w:rFonts w:hint="eastAsia" w:ascii="仿宋" w:hAnsi="仿宋" w:eastAsia="仿宋" w:cs="仿宋"/>
          <w:b/>
          <w:color w:val="auto"/>
          <w:spacing w:val="6"/>
          <w:sz w:val="32"/>
          <w:szCs w:val="32"/>
          <w:highlight w:val="none"/>
        </w:rPr>
      </w:pPr>
    </w:p>
    <w:p w14:paraId="7FA0C273">
      <w:pPr>
        <w:autoSpaceDE w:val="0"/>
        <w:autoSpaceDN w:val="0"/>
        <w:jc w:val="center"/>
        <w:rPr>
          <w:rFonts w:hint="eastAsia" w:ascii="仿宋" w:hAnsi="仿宋" w:eastAsia="仿宋" w:cs="仿宋"/>
          <w:b/>
          <w:color w:val="auto"/>
          <w:spacing w:val="6"/>
          <w:sz w:val="32"/>
          <w:szCs w:val="32"/>
          <w:highlight w:val="none"/>
        </w:rPr>
      </w:pPr>
    </w:p>
    <w:p w14:paraId="0F42573A">
      <w:pPr>
        <w:autoSpaceDE w:val="0"/>
        <w:autoSpaceDN w:val="0"/>
        <w:jc w:val="center"/>
        <w:rPr>
          <w:rFonts w:hint="eastAsia" w:ascii="仿宋" w:hAnsi="仿宋" w:eastAsia="仿宋" w:cs="仿宋"/>
          <w:b/>
          <w:color w:val="auto"/>
          <w:spacing w:val="6"/>
          <w:sz w:val="32"/>
          <w:szCs w:val="32"/>
          <w:highlight w:val="none"/>
        </w:rPr>
      </w:pPr>
    </w:p>
    <w:p w14:paraId="59B57ED8">
      <w:pPr>
        <w:autoSpaceDE w:val="0"/>
        <w:autoSpaceDN w:val="0"/>
        <w:jc w:val="center"/>
        <w:rPr>
          <w:rFonts w:hint="eastAsia" w:ascii="仿宋" w:hAnsi="仿宋" w:eastAsia="仿宋" w:cs="仿宋"/>
          <w:b/>
          <w:color w:val="auto"/>
          <w:spacing w:val="6"/>
          <w:sz w:val="32"/>
          <w:szCs w:val="32"/>
          <w:highlight w:val="none"/>
        </w:rPr>
      </w:pPr>
    </w:p>
    <w:p w14:paraId="5558A7A9">
      <w:pPr>
        <w:autoSpaceDE w:val="0"/>
        <w:autoSpaceDN w:val="0"/>
        <w:jc w:val="center"/>
        <w:rPr>
          <w:rFonts w:hint="eastAsia" w:ascii="仿宋" w:hAnsi="仿宋" w:eastAsia="仿宋" w:cs="仿宋"/>
          <w:b/>
          <w:color w:val="auto"/>
          <w:spacing w:val="6"/>
          <w:sz w:val="32"/>
          <w:szCs w:val="32"/>
          <w:highlight w:val="none"/>
        </w:rPr>
      </w:pPr>
    </w:p>
    <w:p w14:paraId="05292ACA">
      <w:pPr>
        <w:autoSpaceDE w:val="0"/>
        <w:autoSpaceDN w:val="0"/>
        <w:jc w:val="center"/>
        <w:rPr>
          <w:rFonts w:hint="eastAsia" w:ascii="仿宋" w:hAnsi="仿宋" w:eastAsia="仿宋" w:cs="仿宋"/>
          <w:b/>
          <w:color w:val="auto"/>
          <w:spacing w:val="6"/>
          <w:sz w:val="32"/>
          <w:szCs w:val="32"/>
          <w:highlight w:val="none"/>
        </w:rPr>
      </w:pPr>
    </w:p>
    <w:p w14:paraId="4CE3C044">
      <w:pPr>
        <w:autoSpaceDE w:val="0"/>
        <w:autoSpaceDN w:val="0"/>
        <w:jc w:val="center"/>
        <w:rPr>
          <w:rFonts w:hint="eastAsia" w:ascii="仿宋" w:hAnsi="仿宋" w:eastAsia="仿宋" w:cs="仿宋"/>
          <w:b/>
          <w:color w:val="auto"/>
          <w:spacing w:val="6"/>
          <w:sz w:val="32"/>
          <w:szCs w:val="32"/>
          <w:highlight w:val="none"/>
        </w:rPr>
      </w:pPr>
    </w:p>
    <w:p w14:paraId="19A0FB69">
      <w:pPr>
        <w:autoSpaceDE w:val="0"/>
        <w:autoSpaceDN w:val="0"/>
        <w:jc w:val="center"/>
        <w:rPr>
          <w:rFonts w:hint="eastAsia" w:ascii="仿宋" w:hAnsi="仿宋" w:eastAsia="仿宋" w:cs="仿宋"/>
          <w:b/>
          <w:color w:val="auto"/>
          <w:spacing w:val="6"/>
          <w:sz w:val="32"/>
          <w:szCs w:val="32"/>
          <w:highlight w:val="none"/>
        </w:rPr>
      </w:pPr>
    </w:p>
    <w:p w14:paraId="56C6957E">
      <w:pPr>
        <w:autoSpaceDE w:val="0"/>
        <w:autoSpaceDN w:val="0"/>
        <w:jc w:val="center"/>
        <w:rPr>
          <w:rFonts w:hint="eastAsia" w:ascii="仿宋" w:hAnsi="仿宋" w:eastAsia="仿宋" w:cs="仿宋"/>
          <w:b/>
          <w:color w:val="auto"/>
          <w:spacing w:val="6"/>
          <w:sz w:val="32"/>
          <w:szCs w:val="32"/>
          <w:highlight w:val="none"/>
        </w:rPr>
      </w:pPr>
    </w:p>
    <w:p w14:paraId="5E1E6EC7">
      <w:pPr>
        <w:autoSpaceDE w:val="0"/>
        <w:autoSpaceDN w:val="0"/>
        <w:jc w:val="center"/>
        <w:rPr>
          <w:rFonts w:hint="eastAsia" w:ascii="仿宋" w:hAnsi="仿宋" w:eastAsia="仿宋" w:cs="仿宋"/>
          <w:b/>
          <w:color w:val="auto"/>
          <w:spacing w:val="6"/>
          <w:sz w:val="32"/>
          <w:szCs w:val="32"/>
          <w:highlight w:val="none"/>
        </w:rPr>
      </w:pPr>
    </w:p>
    <w:p w14:paraId="7A9B9860">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EE43C70">
      <w:pPr>
        <w:snapToGrid w:val="0"/>
        <w:spacing w:line="360" w:lineRule="auto"/>
        <w:outlineLvl w:val="0"/>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附件7：中小企业声明函</w:t>
      </w:r>
    </w:p>
    <w:p w14:paraId="024FD064">
      <w:pPr>
        <w:spacing w:line="360" w:lineRule="auto"/>
        <w:jc w:val="center"/>
        <w:rPr>
          <w:rFonts w:hint="eastAsia" w:ascii="仿宋" w:hAnsi="仿宋" w:eastAsia="仿宋" w:cs="仿宋"/>
          <w:color w:val="auto"/>
          <w:sz w:val="24"/>
          <w:highlight w:val="none"/>
          <w:u w:val="single"/>
        </w:rPr>
      </w:pPr>
    </w:p>
    <w:p w14:paraId="19425CBD">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14:paraId="1395942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 xml:space="preserve"> 采购活动，提供的货物全部由符合政策要求的中小企业制造。相关企业（含联合体中的中小企业、签订分包意向协议的中小企业）的具体情况如下：</w:t>
      </w:r>
    </w:p>
    <w:p w14:paraId="0AB666A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12AFBF3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62FA547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D31F7B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0109E90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65E3D864">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5A1135FF">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1877A715">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14:paraId="2E9AA70F">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7D17457A">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039F9BD">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6A7B548">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58AD1D47">
      <w:pPr>
        <w:pStyle w:val="6"/>
        <w:jc w:val="left"/>
        <w:rPr>
          <w:rFonts w:hint="eastAsia" w:ascii="仿宋" w:hAnsi="仿宋" w:eastAsia="仿宋" w:cs="仿宋"/>
          <w:color w:val="auto"/>
          <w:sz w:val="24"/>
          <w:highlight w:val="none"/>
        </w:rPr>
      </w:pPr>
      <w:r>
        <w:rPr>
          <w:rFonts w:hint="eastAsia" w:ascii="仿宋" w:hAnsi="仿宋" w:eastAsia="仿宋" w:cs="仿宋"/>
          <w:color w:val="auto"/>
          <w:highlight w:val="none"/>
        </w:rPr>
        <w:t>附件</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样品（演示）授权委托书</w:t>
      </w:r>
    </w:p>
    <w:p w14:paraId="15D51151">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14:paraId="07CA9F74">
      <w:pPr>
        <w:jc w:val="center"/>
        <w:rPr>
          <w:rFonts w:hint="eastAsia" w:ascii="仿宋" w:hAnsi="仿宋" w:eastAsia="仿宋" w:cs="仿宋"/>
          <w:color w:val="auto"/>
          <w:sz w:val="40"/>
          <w:highlight w:val="none"/>
        </w:rPr>
      </w:pPr>
    </w:p>
    <w:p w14:paraId="6517301F">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14:paraId="06CADFF8">
      <w:pPr>
        <w:snapToGrid w:val="0"/>
        <w:spacing w:line="360" w:lineRule="auto"/>
        <w:ind w:left="254" w:leftChars="121" w:firstLine="420" w:firstLineChars="200"/>
        <w:rPr>
          <w:rFonts w:hint="eastAsia"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14:paraId="26BA8317">
      <w:pPr>
        <w:snapToGrid w:val="0"/>
        <w:spacing w:line="360" w:lineRule="auto"/>
        <w:ind w:left="254" w:leftChars="121"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14:paraId="5EBD86AE">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14:paraId="41DEF386">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14:paraId="33ED0F5F">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14:paraId="2FD5C381">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0B02BD01">
      <w:pPr>
        <w:snapToGrid w:val="0"/>
        <w:spacing w:line="360" w:lineRule="auto"/>
        <w:ind w:right="240"/>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14:paraId="1C3A4FE1">
      <w:pPr>
        <w:snapToGrid w:val="0"/>
        <w:spacing w:line="360" w:lineRule="auto"/>
        <w:ind w:right="240"/>
        <w:jc w:val="right"/>
        <w:rPr>
          <w:rFonts w:hint="eastAsia" w:ascii="仿宋" w:hAnsi="仿宋" w:eastAsia="仿宋" w:cs="仿宋"/>
          <w:color w:val="auto"/>
          <w:highlight w:val="none"/>
          <w:lang w:val="zh-CN"/>
        </w:rPr>
      </w:pPr>
    </w:p>
    <w:p w14:paraId="50E9F010">
      <w:pPr>
        <w:snapToGrid w:val="0"/>
        <w:spacing w:line="360" w:lineRule="auto"/>
        <w:ind w:right="1920"/>
        <w:rPr>
          <w:rFonts w:hint="eastAsia" w:ascii="仿宋" w:hAnsi="仿宋" w:eastAsia="仿宋" w:cs="仿宋"/>
          <w:color w:val="auto"/>
          <w:highlight w:val="none"/>
          <w:lang w:val="zh-CN"/>
        </w:rPr>
      </w:pPr>
    </w:p>
    <w:p w14:paraId="6292BA3A">
      <w:pPr>
        <w:snapToGrid w:val="0"/>
        <w:spacing w:line="360" w:lineRule="auto"/>
        <w:ind w:right="240"/>
        <w:jc w:val="right"/>
        <w:rPr>
          <w:rFonts w:hint="eastAsia" w:ascii="仿宋" w:hAnsi="仿宋" w:eastAsia="仿宋" w:cs="仿宋"/>
          <w:color w:val="auto"/>
          <w:highlight w:val="none"/>
          <w:lang w:val="zh-CN"/>
        </w:rPr>
      </w:pPr>
    </w:p>
    <w:p w14:paraId="1303D7BD">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14:paraId="0883670F">
      <w:pPr>
        <w:snapToGrid w:val="0"/>
        <w:spacing w:line="360" w:lineRule="auto"/>
        <w:ind w:right="240"/>
        <w:rPr>
          <w:rFonts w:hint="eastAsia" w:ascii="仿宋" w:hAnsi="仿宋" w:eastAsia="仿宋" w:cs="仿宋"/>
          <w:color w:val="auto"/>
          <w:highlight w:val="none"/>
          <w:lang w:val="zh-CN"/>
        </w:rPr>
      </w:pPr>
    </w:p>
    <w:p w14:paraId="318CD8B2">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14:paraId="301C40B8">
      <w:pPr>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同时有样品和演示的，可委托不同人员。</w:t>
      </w:r>
    </w:p>
    <w:p w14:paraId="5CCFD58E">
      <w:pPr>
        <w:pStyle w:val="6"/>
        <w:rPr>
          <w:rFonts w:hint="eastAsia" w:ascii="仿宋" w:hAnsi="仿宋" w:eastAsia="仿宋" w:cs="仿宋"/>
          <w:color w:val="auto"/>
          <w:highlight w:val="none"/>
        </w:rPr>
      </w:pPr>
    </w:p>
    <w:p w14:paraId="6E9C0333">
      <w:pPr>
        <w:spacing w:line="360" w:lineRule="auto"/>
        <w:jc w:val="center"/>
        <w:rPr>
          <w:rFonts w:hint="eastAsia" w:ascii="仿宋" w:hAnsi="仿宋" w:eastAsia="仿宋" w:cs="仿宋"/>
          <w:b/>
          <w:color w:val="auto"/>
          <w:sz w:val="32"/>
          <w:szCs w:val="32"/>
          <w:highlight w:val="none"/>
        </w:rPr>
      </w:pPr>
    </w:p>
    <w:p w14:paraId="514EC3D2">
      <w:pPr>
        <w:spacing w:line="360" w:lineRule="auto"/>
        <w:jc w:val="center"/>
        <w:rPr>
          <w:rFonts w:hint="eastAsia" w:ascii="仿宋" w:hAnsi="仿宋" w:eastAsia="仿宋" w:cs="仿宋"/>
          <w:b/>
          <w:color w:val="auto"/>
          <w:sz w:val="32"/>
          <w:szCs w:val="32"/>
          <w:highlight w:val="none"/>
        </w:rPr>
      </w:pPr>
    </w:p>
    <w:p w14:paraId="29A4CF19">
      <w:pPr>
        <w:spacing w:line="360" w:lineRule="auto"/>
        <w:jc w:val="center"/>
        <w:rPr>
          <w:rFonts w:hint="eastAsia" w:ascii="仿宋" w:hAnsi="仿宋" w:eastAsia="仿宋" w:cs="仿宋"/>
          <w:b/>
          <w:color w:val="auto"/>
          <w:sz w:val="32"/>
          <w:szCs w:val="32"/>
          <w:highlight w:val="none"/>
        </w:rPr>
      </w:pPr>
    </w:p>
    <w:p w14:paraId="329D96BD">
      <w:pPr>
        <w:spacing w:line="360" w:lineRule="auto"/>
        <w:jc w:val="center"/>
        <w:rPr>
          <w:rFonts w:hint="eastAsia" w:ascii="仿宋" w:hAnsi="仿宋" w:eastAsia="仿宋" w:cs="仿宋"/>
          <w:b/>
          <w:color w:val="auto"/>
          <w:sz w:val="32"/>
          <w:szCs w:val="32"/>
          <w:highlight w:val="none"/>
        </w:rPr>
      </w:pPr>
    </w:p>
    <w:p w14:paraId="3C2CD258">
      <w:pPr>
        <w:spacing w:line="360" w:lineRule="auto"/>
        <w:jc w:val="center"/>
        <w:rPr>
          <w:rFonts w:hint="eastAsia" w:ascii="仿宋" w:hAnsi="仿宋" w:eastAsia="仿宋" w:cs="仿宋"/>
          <w:b/>
          <w:color w:val="auto"/>
          <w:sz w:val="32"/>
          <w:szCs w:val="32"/>
          <w:highlight w:val="none"/>
        </w:rPr>
      </w:pPr>
    </w:p>
    <w:p w14:paraId="0AA0EFCC">
      <w:pPr>
        <w:spacing w:line="360" w:lineRule="auto"/>
        <w:jc w:val="center"/>
        <w:rPr>
          <w:rFonts w:hint="eastAsia" w:ascii="仿宋" w:hAnsi="仿宋" w:eastAsia="仿宋" w:cs="仿宋"/>
          <w:b/>
          <w:color w:val="auto"/>
          <w:sz w:val="32"/>
          <w:szCs w:val="32"/>
          <w:highlight w:val="none"/>
        </w:rPr>
      </w:pPr>
    </w:p>
    <w:p w14:paraId="4B2C94B0">
      <w:pPr>
        <w:spacing w:line="360" w:lineRule="auto"/>
        <w:jc w:val="both"/>
        <w:rPr>
          <w:rFonts w:hint="eastAsia" w:ascii="仿宋" w:hAnsi="仿宋" w:eastAsia="仿宋" w:cs="仿宋"/>
          <w:b/>
          <w:color w:val="auto"/>
          <w:sz w:val="32"/>
          <w:szCs w:val="32"/>
          <w:highlight w:val="none"/>
        </w:rPr>
      </w:pPr>
    </w:p>
    <w:p w14:paraId="11EF374A">
      <w:pPr>
        <w:spacing w:line="360" w:lineRule="auto"/>
        <w:jc w:val="center"/>
        <w:rPr>
          <w:rFonts w:hint="eastAsia" w:ascii="仿宋" w:hAnsi="仿宋" w:eastAsia="仿宋" w:cs="仿宋"/>
          <w:b/>
          <w:color w:val="auto"/>
          <w:sz w:val="32"/>
          <w:szCs w:val="32"/>
          <w:highlight w:val="none"/>
        </w:rPr>
      </w:pPr>
    </w:p>
    <w:p w14:paraId="1550413C">
      <w:pPr>
        <w:spacing w:line="360" w:lineRule="auto"/>
        <w:rPr>
          <w:rFonts w:hint="eastAsia" w:ascii="仿宋" w:hAnsi="仿宋" w:eastAsia="仿宋" w:cs="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7F" w:usb3="00000000" w:csb0="203F01FF" w:csb1="D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5065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AB653">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6A5BF">
    <w:pPr>
      <w:pStyle w:val="41"/>
      <w:framePr w:wrap="around" w:vAnchor="text" w:hAnchor="margin" w:xAlign="right" w:y="1"/>
      <w:rPr>
        <w:rStyle w:val="72"/>
      </w:rPr>
    </w:pPr>
    <w:r>
      <w:fldChar w:fldCharType="begin"/>
    </w:r>
    <w:r>
      <w:rPr>
        <w:rStyle w:val="72"/>
      </w:rPr>
      <w:instrText xml:space="preserve">PAGE  </w:instrText>
    </w:r>
    <w:r>
      <w:fldChar w:fldCharType="end"/>
    </w:r>
  </w:p>
  <w:p w14:paraId="389BA51C">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E8EC0">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06" w:name="_Toc164085800"/>
    <w:bookmarkStart w:id="407" w:name="_Toc91899912"/>
    <w:bookmarkStart w:id="408" w:name="_Toc131845147"/>
    <w:bookmarkStart w:id="409" w:name="_Toc36110187"/>
    <w:r>
      <w:rPr>
        <w:rFonts w:hint="eastAsia" w:ascii="仿宋_GB2312" w:eastAsia="仿宋_GB2312"/>
        <w:kern w:val="0"/>
        <w:szCs w:val="21"/>
      </w:rPr>
      <w:t xml:space="preserve"> 页</w:t>
    </w:r>
    <w:bookmarkEnd w:id="406"/>
    <w:bookmarkEnd w:id="407"/>
    <w:bookmarkEnd w:id="408"/>
    <w:bookmarkEnd w:id="40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023F1">
    <w:pPr>
      <w:pStyle w:val="41"/>
      <w:framePr w:wrap="around" w:vAnchor="text" w:hAnchor="margin" w:xAlign="right" w:y="1"/>
      <w:rPr>
        <w:rStyle w:val="72"/>
      </w:rPr>
    </w:pPr>
    <w:r>
      <w:fldChar w:fldCharType="begin"/>
    </w:r>
    <w:r>
      <w:rPr>
        <w:rStyle w:val="72"/>
      </w:rPr>
      <w:instrText xml:space="preserve">PAGE  </w:instrText>
    </w:r>
    <w:r>
      <w:fldChar w:fldCharType="end"/>
    </w:r>
  </w:p>
  <w:p w14:paraId="4B8D81C5">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F9AE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C9E0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27A9AA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42E7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7D92F7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68D5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23E133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9F32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6DADF0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3DB1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627830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990E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C6591E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155E2">
    <w:pPr>
      <w:pStyle w:val="42"/>
      <w:pBdr>
        <w:bottom w:val="single" w:color="auto" w:sz="6" w:space="4"/>
      </w:pBdr>
      <w:jc w:val="right"/>
    </w:pPr>
    <w:r>
      <w:t></w:t>
    </w:r>
    <w:r>
      <w:rPr>
        <w:rFonts w:hint="eastAsia"/>
      </w:rPr>
      <w:t xml:space="preserve">             </w:t>
    </w:r>
    <w:r>
      <w:t>杭州市政府采购公开招标文件</w:t>
    </w:r>
  </w:p>
  <w:p w14:paraId="779EDD15">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6261D">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C7DB3">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2518E">
    <w:pPr>
      <w:pStyle w:val="42"/>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74D15">
    <w:pPr>
      <w:pStyle w:val="42"/>
    </w:pPr>
    <w:r>
      <w:t></w:t>
    </w:r>
    <w:r>
      <w:rPr>
        <w:rFonts w:hint="eastAsia"/>
      </w:rPr>
      <w:t xml:space="preserve">         </w:t>
    </w:r>
  </w:p>
  <w:p w14:paraId="53FDDF90">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0106F">
    <w:pPr>
      <w:pStyle w:val="42"/>
      <w:rPr>
        <w:rFonts w:ascii="仿宋_GB2312" w:eastAsia="仿宋_GB2312"/>
        <w:b/>
        <w:i/>
        <w:u w:val="single"/>
      </w:rPr>
    </w:pPr>
    <w:r>
      <w:t></w:t>
    </w:r>
    <w:r>
      <w:rPr>
        <w:rFonts w:hint="eastAsia"/>
      </w:rPr>
      <w:t xml:space="preserve">                                                </w:t>
    </w:r>
    <w:r>
      <w:t xml:space="preserve"> 杭州市政府采购公开招标文件</w:t>
    </w:r>
  </w:p>
  <w:p w14:paraId="1706F4F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E5034">
    <w:pPr>
      <w:pStyle w:val="42"/>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41A75">
    <w:pPr>
      <w:pStyle w:val="42"/>
      <w:jc w:val="right"/>
      <w:rPr>
        <w:rFonts w:ascii="仿宋_GB2312" w:eastAsia="仿宋_GB2312"/>
        <w:b/>
        <w:i/>
        <w:u w:val="single"/>
      </w:rPr>
    </w:pPr>
    <w:r>
      <w:rPr>
        <w:rFonts w:hint="eastAsia"/>
      </w:rPr>
      <w:t xml:space="preserve">                                  </w:t>
    </w:r>
    <w:r>
      <w:t>杭州市政府采购公开招标文件</w:t>
    </w:r>
  </w:p>
  <w:p w14:paraId="79750A13">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FA8AB">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E11F7">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D894CF"/>
    <w:multiLevelType w:val="singleLevel"/>
    <w:tmpl w:val="04D894CF"/>
    <w:lvl w:ilvl="0" w:tentative="0">
      <w:start w:val="1"/>
      <w:numFmt w:val="decimal"/>
      <w:suff w:val="nothing"/>
      <w:lvlText w:val="%1、"/>
      <w:lvlJc w:val="left"/>
    </w:lvl>
  </w:abstractNum>
  <w:abstractNum w:abstractNumId="1">
    <w:nsid w:val="1C144E4E"/>
    <w:multiLevelType w:val="singleLevel"/>
    <w:tmpl w:val="1C144E4E"/>
    <w:lvl w:ilvl="0" w:tentative="0">
      <w:start w:val="1"/>
      <w:numFmt w:val="decimal"/>
      <w:suff w:val="nothing"/>
      <w:lvlText w:val="（%1）"/>
      <w:lvlJc w:val="left"/>
    </w:lvl>
  </w:abstractNum>
  <w:abstractNum w:abstractNumId="2">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DBD928A"/>
    <w:multiLevelType w:val="singleLevel"/>
    <w:tmpl w:val="5DBD928A"/>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kOGYzMTgxMzM0YzhkZjJmYzI3NmI5OTczYTViNj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3A1"/>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3B88"/>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6B3DE1"/>
    <w:rsid w:val="019F7441"/>
    <w:rsid w:val="01B37585"/>
    <w:rsid w:val="01D55165"/>
    <w:rsid w:val="01DF6BF8"/>
    <w:rsid w:val="01EC2C57"/>
    <w:rsid w:val="021368B3"/>
    <w:rsid w:val="02354BB2"/>
    <w:rsid w:val="025F0711"/>
    <w:rsid w:val="026B2E25"/>
    <w:rsid w:val="02824D4D"/>
    <w:rsid w:val="02DC4B10"/>
    <w:rsid w:val="02DD76CE"/>
    <w:rsid w:val="02F36323"/>
    <w:rsid w:val="02F5619C"/>
    <w:rsid w:val="0326446A"/>
    <w:rsid w:val="032D5555"/>
    <w:rsid w:val="036634D2"/>
    <w:rsid w:val="03B74E41"/>
    <w:rsid w:val="03DD35E4"/>
    <w:rsid w:val="04076900"/>
    <w:rsid w:val="041A5A3B"/>
    <w:rsid w:val="042311BA"/>
    <w:rsid w:val="042B157A"/>
    <w:rsid w:val="04824B9E"/>
    <w:rsid w:val="048F763B"/>
    <w:rsid w:val="049F330E"/>
    <w:rsid w:val="04AA775C"/>
    <w:rsid w:val="04AF1889"/>
    <w:rsid w:val="04D2240A"/>
    <w:rsid w:val="04F66F48"/>
    <w:rsid w:val="05002767"/>
    <w:rsid w:val="05096B07"/>
    <w:rsid w:val="05251E14"/>
    <w:rsid w:val="054C5653"/>
    <w:rsid w:val="05A16594"/>
    <w:rsid w:val="05A33A8F"/>
    <w:rsid w:val="05A7762D"/>
    <w:rsid w:val="05EB5EC4"/>
    <w:rsid w:val="060E5941"/>
    <w:rsid w:val="06110FAF"/>
    <w:rsid w:val="06493CA7"/>
    <w:rsid w:val="065A6178"/>
    <w:rsid w:val="066F1CF3"/>
    <w:rsid w:val="06897EFF"/>
    <w:rsid w:val="068C5386"/>
    <w:rsid w:val="068C79F0"/>
    <w:rsid w:val="06930BB8"/>
    <w:rsid w:val="06A92350"/>
    <w:rsid w:val="06F85085"/>
    <w:rsid w:val="07245D42"/>
    <w:rsid w:val="07264C62"/>
    <w:rsid w:val="0779354C"/>
    <w:rsid w:val="08061376"/>
    <w:rsid w:val="08452D77"/>
    <w:rsid w:val="085F2B57"/>
    <w:rsid w:val="086401F8"/>
    <w:rsid w:val="087251E8"/>
    <w:rsid w:val="08751CAA"/>
    <w:rsid w:val="087E4C40"/>
    <w:rsid w:val="08A871D0"/>
    <w:rsid w:val="08D66AD6"/>
    <w:rsid w:val="08DA33A3"/>
    <w:rsid w:val="08E80F13"/>
    <w:rsid w:val="09335624"/>
    <w:rsid w:val="0944690F"/>
    <w:rsid w:val="09535675"/>
    <w:rsid w:val="095F057D"/>
    <w:rsid w:val="09642282"/>
    <w:rsid w:val="096E6C78"/>
    <w:rsid w:val="09733572"/>
    <w:rsid w:val="09772C16"/>
    <w:rsid w:val="098353B5"/>
    <w:rsid w:val="09A92330"/>
    <w:rsid w:val="09B06B87"/>
    <w:rsid w:val="09C13146"/>
    <w:rsid w:val="09E04166"/>
    <w:rsid w:val="0A1C0718"/>
    <w:rsid w:val="0A3E7710"/>
    <w:rsid w:val="0A5B7E63"/>
    <w:rsid w:val="0AA374A5"/>
    <w:rsid w:val="0AAB7649"/>
    <w:rsid w:val="0ABC5606"/>
    <w:rsid w:val="0ACF3A80"/>
    <w:rsid w:val="0B10074D"/>
    <w:rsid w:val="0B185CF6"/>
    <w:rsid w:val="0B30404E"/>
    <w:rsid w:val="0B3D1979"/>
    <w:rsid w:val="0B4C6C14"/>
    <w:rsid w:val="0B547599"/>
    <w:rsid w:val="0B631A88"/>
    <w:rsid w:val="0B683D45"/>
    <w:rsid w:val="0B7F3F11"/>
    <w:rsid w:val="0B876340"/>
    <w:rsid w:val="0B884417"/>
    <w:rsid w:val="0B9D4CB5"/>
    <w:rsid w:val="0BC303AF"/>
    <w:rsid w:val="0BF6188C"/>
    <w:rsid w:val="0BF73C91"/>
    <w:rsid w:val="0C170175"/>
    <w:rsid w:val="0C571A41"/>
    <w:rsid w:val="0C5C1171"/>
    <w:rsid w:val="0C5E1CBC"/>
    <w:rsid w:val="0C615B50"/>
    <w:rsid w:val="0C7471E3"/>
    <w:rsid w:val="0C7974FB"/>
    <w:rsid w:val="0C8445DA"/>
    <w:rsid w:val="0C87121B"/>
    <w:rsid w:val="0CAA755C"/>
    <w:rsid w:val="0CC007F7"/>
    <w:rsid w:val="0CC617AC"/>
    <w:rsid w:val="0CC70BCA"/>
    <w:rsid w:val="0CE618DF"/>
    <w:rsid w:val="0CFE707A"/>
    <w:rsid w:val="0D063BDA"/>
    <w:rsid w:val="0D08375F"/>
    <w:rsid w:val="0D0F7E0C"/>
    <w:rsid w:val="0D184CFB"/>
    <w:rsid w:val="0D1A6E04"/>
    <w:rsid w:val="0D4A7419"/>
    <w:rsid w:val="0D583C86"/>
    <w:rsid w:val="0D827401"/>
    <w:rsid w:val="0D84094E"/>
    <w:rsid w:val="0D8A00E9"/>
    <w:rsid w:val="0D8D589E"/>
    <w:rsid w:val="0DA01C73"/>
    <w:rsid w:val="0DD63300"/>
    <w:rsid w:val="0DF50604"/>
    <w:rsid w:val="0DF702FE"/>
    <w:rsid w:val="0E060E51"/>
    <w:rsid w:val="0E342E47"/>
    <w:rsid w:val="0E38608B"/>
    <w:rsid w:val="0E4E33A5"/>
    <w:rsid w:val="0E5604B2"/>
    <w:rsid w:val="0E6D5D79"/>
    <w:rsid w:val="0E7B2823"/>
    <w:rsid w:val="0E9D0089"/>
    <w:rsid w:val="0EB803EE"/>
    <w:rsid w:val="0EF94D4B"/>
    <w:rsid w:val="0F4958DC"/>
    <w:rsid w:val="0F515DF7"/>
    <w:rsid w:val="0F596BA8"/>
    <w:rsid w:val="0F6248D2"/>
    <w:rsid w:val="0F693536"/>
    <w:rsid w:val="0F7B0511"/>
    <w:rsid w:val="0F7B76D9"/>
    <w:rsid w:val="0F816ACD"/>
    <w:rsid w:val="0F8C5DD4"/>
    <w:rsid w:val="0F9832DB"/>
    <w:rsid w:val="0FBF3FD2"/>
    <w:rsid w:val="0FBF7FF3"/>
    <w:rsid w:val="101D38A8"/>
    <w:rsid w:val="10646583"/>
    <w:rsid w:val="107D4B15"/>
    <w:rsid w:val="108A3C80"/>
    <w:rsid w:val="10C26171"/>
    <w:rsid w:val="10F33360"/>
    <w:rsid w:val="10FC16EA"/>
    <w:rsid w:val="10FC6AD8"/>
    <w:rsid w:val="110F1D40"/>
    <w:rsid w:val="11266F33"/>
    <w:rsid w:val="118963A1"/>
    <w:rsid w:val="11AB6040"/>
    <w:rsid w:val="11C6522A"/>
    <w:rsid w:val="11E104CC"/>
    <w:rsid w:val="11E20309"/>
    <w:rsid w:val="12255233"/>
    <w:rsid w:val="12530213"/>
    <w:rsid w:val="127723A9"/>
    <w:rsid w:val="12862074"/>
    <w:rsid w:val="12883966"/>
    <w:rsid w:val="129E45B4"/>
    <w:rsid w:val="12D81596"/>
    <w:rsid w:val="13072A44"/>
    <w:rsid w:val="134D0FBA"/>
    <w:rsid w:val="135F4BE2"/>
    <w:rsid w:val="139B1A0A"/>
    <w:rsid w:val="139D25C7"/>
    <w:rsid w:val="13BF3CE4"/>
    <w:rsid w:val="141008D8"/>
    <w:rsid w:val="14125FE6"/>
    <w:rsid w:val="1415556D"/>
    <w:rsid w:val="146D271E"/>
    <w:rsid w:val="14982588"/>
    <w:rsid w:val="149A5AD9"/>
    <w:rsid w:val="14A7619D"/>
    <w:rsid w:val="14AD3953"/>
    <w:rsid w:val="150536C3"/>
    <w:rsid w:val="150C1963"/>
    <w:rsid w:val="151447A0"/>
    <w:rsid w:val="154A2F50"/>
    <w:rsid w:val="154A6454"/>
    <w:rsid w:val="15762120"/>
    <w:rsid w:val="16833FFF"/>
    <w:rsid w:val="16A8729C"/>
    <w:rsid w:val="16B33777"/>
    <w:rsid w:val="16BC70A7"/>
    <w:rsid w:val="16C6339E"/>
    <w:rsid w:val="16C84A74"/>
    <w:rsid w:val="16CB74DD"/>
    <w:rsid w:val="172F2D79"/>
    <w:rsid w:val="17557BEF"/>
    <w:rsid w:val="176E7480"/>
    <w:rsid w:val="17D349C1"/>
    <w:rsid w:val="180D3B06"/>
    <w:rsid w:val="181A33D4"/>
    <w:rsid w:val="18244F26"/>
    <w:rsid w:val="1830729E"/>
    <w:rsid w:val="18650755"/>
    <w:rsid w:val="1870062C"/>
    <w:rsid w:val="187B448D"/>
    <w:rsid w:val="18817102"/>
    <w:rsid w:val="18830A15"/>
    <w:rsid w:val="18852B28"/>
    <w:rsid w:val="188B5321"/>
    <w:rsid w:val="18DC30F4"/>
    <w:rsid w:val="18E07A4A"/>
    <w:rsid w:val="18E45B15"/>
    <w:rsid w:val="19563CB9"/>
    <w:rsid w:val="19932372"/>
    <w:rsid w:val="19A20DD5"/>
    <w:rsid w:val="19A67C2E"/>
    <w:rsid w:val="19A838D1"/>
    <w:rsid w:val="19AE03F1"/>
    <w:rsid w:val="1A032CB7"/>
    <w:rsid w:val="1A071A03"/>
    <w:rsid w:val="1A1F16AE"/>
    <w:rsid w:val="1A3B5C77"/>
    <w:rsid w:val="1A984BAD"/>
    <w:rsid w:val="1AB8220E"/>
    <w:rsid w:val="1AE4166C"/>
    <w:rsid w:val="1AF06CFB"/>
    <w:rsid w:val="1AF11B8D"/>
    <w:rsid w:val="1B11359C"/>
    <w:rsid w:val="1B21400E"/>
    <w:rsid w:val="1B2A271F"/>
    <w:rsid w:val="1B530544"/>
    <w:rsid w:val="1B713184"/>
    <w:rsid w:val="1BA209CF"/>
    <w:rsid w:val="1BB4777D"/>
    <w:rsid w:val="1BD75AB8"/>
    <w:rsid w:val="1C0459C2"/>
    <w:rsid w:val="1C1B3B4A"/>
    <w:rsid w:val="1C6A0B2D"/>
    <w:rsid w:val="1C88086E"/>
    <w:rsid w:val="1C922B2D"/>
    <w:rsid w:val="1CDB5968"/>
    <w:rsid w:val="1D005136"/>
    <w:rsid w:val="1D2437DE"/>
    <w:rsid w:val="1D266CE1"/>
    <w:rsid w:val="1D3963AF"/>
    <w:rsid w:val="1D6A673C"/>
    <w:rsid w:val="1D9247AE"/>
    <w:rsid w:val="1DB567EC"/>
    <w:rsid w:val="1DDC7709"/>
    <w:rsid w:val="1DEF6D8A"/>
    <w:rsid w:val="1DF51A98"/>
    <w:rsid w:val="1E051CD9"/>
    <w:rsid w:val="1E3D060F"/>
    <w:rsid w:val="1E3F7D2E"/>
    <w:rsid w:val="1E4134E4"/>
    <w:rsid w:val="1E476532"/>
    <w:rsid w:val="1E4F6916"/>
    <w:rsid w:val="1E5062B3"/>
    <w:rsid w:val="1E523514"/>
    <w:rsid w:val="1E714A66"/>
    <w:rsid w:val="1E802593"/>
    <w:rsid w:val="1E8B6156"/>
    <w:rsid w:val="1E8F2FD2"/>
    <w:rsid w:val="1EA703CC"/>
    <w:rsid w:val="1EB7330C"/>
    <w:rsid w:val="1EBB25E9"/>
    <w:rsid w:val="1F0A0FF3"/>
    <w:rsid w:val="1F5771FF"/>
    <w:rsid w:val="1FB44366"/>
    <w:rsid w:val="1FD52574"/>
    <w:rsid w:val="1FE53362"/>
    <w:rsid w:val="1FE868A9"/>
    <w:rsid w:val="20034907"/>
    <w:rsid w:val="20173E4B"/>
    <w:rsid w:val="204A0286"/>
    <w:rsid w:val="204E48BC"/>
    <w:rsid w:val="205D622D"/>
    <w:rsid w:val="208921B3"/>
    <w:rsid w:val="208D5628"/>
    <w:rsid w:val="20973DEB"/>
    <w:rsid w:val="20A11517"/>
    <w:rsid w:val="20B26522"/>
    <w:rsid w:val="20B44310"/>
    <w:rsid w:val="211116EB"/>
    <w:rsid w:val="211469CB"/>
    <w:rsid w:val="216133FC"/>
    <w:rsid w:val="21A8292C"/>
    <w:rsid w:val="21D56769"/>
    <w:rsid w:val="21E52EF3"/>
    <w:rsid w:val="21FB5D7B"/>
    <w:rsid w:val="22015E94"/>
    <w:rsid w:val="220B1C3D"/>
    <w:rsid w:val="221D1D20"/>
    <w:rsid w:val="22334A87"/>
    <w:rsid w:val="227A4A01"/>
    <w:rsid w:val="22BE6801"/>
    <w:rsid w:val="233500BF"/>
    <w:rsid w:val="23377FF7"/>
    <w:rsid w:val="236B425F"/>
    <w:rsid w:val="23836192"/>
    <w:rsid w:val="23901F29"/>
    <w:rsid w:val="239C0061"/>
    <w:rsid w:val="23B908A4"/>
    <w:rsid w:val="23BA7198"/>
    <w:rsid w:val="23E95BEF"/>
    <w:rsid w:val="23FD0064"/>
    <w:rsid w:val="245375B0"/>
    <w:rsid w:val="24642C0A"/>
    <w:rsid w:val="246F29D3"/>
    <w:rsid w:val="24AC0E4D"/>
    <w:rsid w:val="24B22173"/>
    <w:rsid w:val="24B95AD9"/>
    <w:rsid w:val="24BE24DA"/>
    <w:rsid w:val="24CF5825"/>
    <w:rsid w:val="24D663E6"/>
    <w:rsid w:val="24D77F2B"/>
    <w:rsid w:val="258935A2"/>
    <w:rsid w:val="258B00E2"/>
    <w:rsid w:val="25A917A6"/>
    <w:rsid w:val="25BE27CC"/>
    <w:rsid w:val="25F74A5C"/>
    <w:rsid w:val="2628662C"/>
    <w:rsid w:val="262D45DE"/>
    <w:rsid w:val="26871DC8"/>
    <w:rsid w:val="26977FBF"/>
    <w:rsid w:val="2699784D"/>
    <w:rsid w:val="26A53EF9"/>
    <w:rsid w:val="26A94201"/>
    <w:rsid w:val="26AA787D"/>
    <w:rsid w:val="26AC274F"/>
    <w:rsid w:val="26EF1EDF"/>
    <w:rsid w:val="27044A29"/>
    <w:rsid w:val="271D34C8"/>
    <w:rsid w:val="276142BF"/>
    <w:rsid w:val="27783712"/>
    <w:rsid w:val="27907362"/>
    <w:rsid w:val="28333E1D"/>
    <w:rsid w:val="28454BD6"/>
    <w:rsid w:val="28455253"/>
    <w:rsid w:val="28551971"/>
    <w:rsid w:val="285B1C53"/>
    <w:rsid w:val="289F7086"/>
    <w:rsid w:val="28C32028"/>
    <w:rsid w:val="28CC490F"/>
    <w:rsid w:val="28DE40AA"/>
    <w:rsid w:val="28F215CC"/>
    <w:rsid w:val="29333963"/>
    <w:rsid w:val="29345E77"/>
    <w:rsid w:val="294C65AD"/>
    <w:rsid w:val="294F339C"/>
    <w:rsid w:val="29806583"/>
    <w:rsid w:val="298B3C4C"/>
    <w:rsid w:val="29CE107E"/>
    <w:rsid w:val="29E67BCF"/>
    <w:rsid w:val="29F26D24"/>
    <w:rsid w:val="2A15033F"/>
    <w:rsid w:val="2A1662C1"/>
    <w:rsid w:val="2A1C7367"/>
    <w:rsid w:val="2A2815FA"/>
    <w:rsid w:val="2A6D6092"/>
    <w:rsid w:val="2A7D76B4"/>
    <w:rsid w:val="2B437463"/>
    <w:rsid w:val="2B7807EE"/>
    <w:rsid w:val="2BA50BF7"/>
    <w:rsid w:val="2BBF00EC"/>
    <w:rsid w:val="2BC37CFD"/>
    <w:rsid w:val="2BD5237F"/>
    <w:rsid w:val="2BD63337"/>
    <w:rsid w:val="2BE536CE"/>
    <w:rsid w:val="2BE758D9"/>
    <w:rsid w:val="2BF346BB"/>
    <w:rsid w:val="2BF84CDE"/>
    <w:rsid w:val="2BFE692D"/>
    <w:rsid w:val="2C09049E"/>
    <w:rsid w:val="2C0A653C"/>
    <w:rsid w:val="2C124411"/>
    <w:rsid w:val="2C191F85"/>
    <w:rsid w:val="2C8A1E74"/>
    <w:rsid w:val="2CBF603C"/>
    <w:rsid w:val="2CE82D6F"/>
    <w:rsid w:val="2D2F71A3"/>
    <w:rsid w:val="2D343236"/>
    <w:rsid w:val="2D55028C"/>
    <w:rsid w:val="2D575011"/>
    <w:rsid w:val="2DA17A5F"/>
    <w:rsid w:val="2DA37118"/>
    <w:rsid w:val="2DD15014"/>
    <w:rsid w:val="2DF72DE4"/>
    <w:rsid w:val="2E0220AF"/>
    <w:rsid w:val="2E4B082A"/>
    <w:rsid w:val="2E5D4E86"/>
    <w:rsid w:val="2E5D790B"/>
    <w:rsid w:val="2E9A3C18"/>
    <w:rsid w:val="2EBB0FEE"/>
    <w:rsid w:val="2EC63002"/>
    <w:rsid w:val="2EDE198D"/>
    <w:rsid w:val="2EF266DA"/>
    <w:rsid w:val="2F0A6B38"/>
    <w:rsid w:val="2F0C60BB"/>
    <w:rsid w:val="2F946CCB"/>
    <w:rsid w:val="2FD25781"/>
    <w:rsid w:val="2FDC745C"/>
    <w:rsid w:val="2FEC6658"/>
    <w:rsid w:val="2FFD7934"/>
    <w:rsid w:val="30733ACD"/>
    <w:rsid w:val="308C3862"/>
    <w:rsid w:val="309379D8"/>
    <w:rsid w:val="30977539"/>
    <w:rsid w:val="30A270F7"/>
    <w:rsid w:val="30DF1478"/>
    <w:rsid w:val="30EC586F"/>
    <w:rsid w:val="310E70FE"/>
    <w:rsid w:val="311F1729"/>
    <w:rsid w:val="319C6071"/>
    <w:rsid w:val="31AC537E"/>
    <w:rsid w:val="31E3679B"/>
    <w:rsid w:val="31E732FD"/>
    <w:rsid w:val="32116E77"/>
    <w:rsid w:val="32517576"/>
    <w:rsid w:val="32995B4A"/>
    <w:rsid w:val="32BE5C2C"/>
    <w:rsid w:val="32FB6478"/>
    <w:rsid w:val="33130ECB"/>
    <w:rsid w:val="33263B3F"/>
    <w:rsid w:val="336963EB"/>
    <w:rsid w:val="337C39AE"/>
    <w:rsid w:val="33816EEB"/>
    <w:rsid w:val="33C5637D"/>
    <w:rsid w:val="33D04A70"/>
    <w:rsid w:val="33EB55CD"/>
    <w:rsid w:val="33EC4C02"/>
    <w:rsid w:val="340D2360"/>
    <w:rsid w:val="3410665D"/>
    <w:rsid w:val="34211214"/>
    <w:rsid w:val="342E63AB"/>
    <w:rsid w:val="3465483A"/>
    <w:rsid w:val="34950E68"/>
    <w:rsid w:val="34986E94"/>
    <w:rsid w:val="34AF62C9"/>
    <w:rsid w:val="34BC0233"/>
    <w:rsid w:val="34C67C9C"/>
    <w:rsid w:val="34CB4388"/>
    <w:rsid w:val="34E65B59"/>
    <w:rsid w:val="34F30AB6"/>
    <w:rsid w:val="34F425D8"/>
    <w:rsid w:val="34FA6E12"/>
    <w:rsid w:val="354D7158"/>
    <w:rsid w:val="358D5588"/>
    <w:rsid w:val="359327BC"/>
    <w:rsid w:val="35AF7B9A"/>
    <w:rsid w:val="363A3B40"/>
    <w:rsid w:val="365302AE"/>
    <w:rsid w:val="36607A0A"/>
    <w:rsid w:val="366652B8"/>
    <w:rsid w:val="366E227C"/>
    <w:rsid w:val="366F2E0D"/>
    <w:rsid w:val="367B6A5C"/>
    <w:rsid w:val="36A74ADA"/>
    <w:rsid w:val="36AD60D5"/>
    <w:rsid w:val="36B224F9"/>
    <w:rsid w:val="36EC0CC9"/>
    <w:rsid w:val="373F410B"/>
    <w:rsid w:val="376D4844"/>
    <w:rsid w:val="37CA486C"/>
    <w:rsid w:val="37EE7094"/>
    <w:rsid w:val="38296C89"/>
    <w:rsid w:val="383002EB"/>
    <w:rsid w:val="38586797"/>
    <w:rsid w:val="385D15DF"/>
    <w:rsid w:val="387B518D"/>
    <w:rsid w:val="38BC0149"/>
    <w:rsid w:val="38D87D1C"/>
    <w:rsid w:val="39636459"/>
    <w:rsid w:val="396B7F6C"/>
    <w:rsid w:val="39942EB9"/>
    <w:rsid w:val="3998390E"/>
    <w:rsid w:val="39B417A9"/>
    <w:rsid w:val="39FC5695"/>
    <w:rsid w:val="3A006D8E"/>
    <w:rsid w:val="3A136626"/>
    <w:rsid w:val="3A1E0383"/>
    <w:rsid w:val="3A3651E5"/>
    <w:rsid w:val="3A5B3385"/>
    <w:rsid w:val="3A744481"/>
    <w:rsid w:val="3A764D56"/>
    <w:rsid w:val="3A8C7BEF"/>
    <w:rsid w:val="3A8D2BD6"/>
    <w:rsid w:val="3A906246"/>
    <w:rsid w:val="3AA21D55"/>
    <w:rsid w:val="3B1A6C5E"/>
    <w:rsid w:val="3B2349B7"/>
    <w:rsid w:val="3B297775"/>
    <w:rsid w:val="3B616CFF"/>
    <w:rsid w:val="3B6259F6"/>
    <w:rsid w:val="3B976654"/>
    <w:rsid w:val="3BC01EFC"/>
    <w:rsid w:val="3BCA786A"/>
    <w:rsid w:val="3BD31E2F"/>
    <w:rsid w:val="3BDD02C5"/>
    <w:rsid w:val="3BF15831"/>
    <w:rsid w:val="3C0331F7"/>
    <w:rsid w:val="3C105946"/>
    <w:rsid w:val="3C471448"/>
    <w:rsid w:val="3C5F759A"/>
    <w:rsid w:val="3C6C525A"/>
    <w:rsid w:val="3C6E4CCF"/>
    <w:rsid w:val="3C931926"/>
    <w:rsid w:val="3CCE23CB"/>
    <w:rsid w:val="3CD17D17"/>
    <w:rsid w:val="3D3C7F39"/>
    <w:rsid w:val="3D440F09"/>
    <w:rsid w:val="3D4504A0"/>
    <w:rsid w:val="3D82560E"/>
    <w:rsid w:val="3D8734BB"/>
    <w:rsid w:val="3D9616FC"/>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ED2C60"/>
    <w:rsid w:val="3F060E16"/>
    <w:rsid w:val="3F1D1096"/>
    <w:rsid w:val="3F1D14D8"/>
    <w:rsid w:val="3F2F0234"/>
    <w:rsid w:val="3F6363FE"/>
    <w:rsid w:val="3F756B8F"/>
    <w:rsid w:val="3F95482B"/>
    <w:rsid w:val="40011C8E"/>
    <w:rsid w:val="4019356B"/>
    <w:rsid w:val="403D1F18"/>
    <w:rsid w:val="40592157"/>
    <w:rsid w:val="406E1CAE"/>
    <w:rsid w:val="40A0133A"/>
    <w:rsid w:val="40C31A53"/>
    <w:rsid w:val="40FE01E6"/>
    <w:rsid w:val="40FF545D"/>
    <w:rsid w:val="410067C8"/>
    <w:rsid w:val="41250249"/>
    <w:rsid w:val="418F0D2A"/>
    <w:rsid w:val="41D01505"/>
    <w:rsid w:val="42474939"/>
    <w:rsid w:val="424C3C57"/>
    <w:rsid w:val="42613FF3"/>
    <w:rsid w:val="42660D96"/>
    <w:rsid w:val="428667D2"/>
    <w:rsid w:val="42C02CF4"/>
    <w:rsid w:val="42CD1CE0"/>
    <w:rsid w:val="42E1381E"/>
    <w:rsid w:val="42ED6459"/>
    <w:rsid w:val="42FE58DD"/>
    <w:rsid w:val="430635F5"/>
    <w:rsid w:val="43174B3D"/>
    <w:rsid w:val="431A2F39"/>
    <w:rsid w:val="434B790E"/>
    <w:rsid w:val="4360274F"/>
    <w:rsid w:val="43977AB6"/>
    <w:rsid w:val="43A3342B"/>
    <w:rsid w:val="43C77C27"/>
    <w:rsid w:val="43DE09EE"/>
    <w:rsid w:val="43E929BC"/>
    <w:rsid w:val="44002FAD"/>
    <w:rsid w:val="44315157"/>
    <w:rsid w:val="449101DD"/>
    <w:rsid w:val="44A82F7E"/>
    <w:rsid w:val="44D91E82"/>
    <w:rsid w:val="44DE1391"/>
    <w:rsid w:val="451B225C"/>
    <w:rsid w:val="452410C9"/>
    <w:rsid w:val="45317DFB"/>
    <w:rsid w:val="4544176D"/>
    <w:rsid w:val="456D3CE4"/>
    <w:rsid w:val="4579042C"/>
    <w:rsid w:val="457F0571"/>
    <w:rsid w:val="45851176"/>
    <w:rsid w:val="45C63B94"/>
    <w:rsid w:val="45EF6A7F"/>
    <w:rsid w:val="460E309B"/>
    <w:rsid w:val="460E7DA5"/>
    <w:rsid w:val="46422483"/>
    <w:rsid w:val="4659254A"/>
    <w:rsid w:val="465B0637"/>
    <w:rsid w:val="465E3F0D"/>
    <w:rsid w:val="466A16E6"/>
    <w:rsid w:val="46893F2B"/>
    <w:rsid w:val="468D0768"/>
    <w:rsid w:val="46B702A4"/>
    <w:rsid w:val="46C4686E"/>
    <w:rsid w:val="47456205"/>
    <w:rsid w:val="477B778F"/>
    <w:rsid w:val="478203EC"/>
    <w:rsid w:val="47B025FA"/>
    <w:rsid w:val="4809698F"/>
    <w:rsid w:val="4811697D"/>
    <w:rsid w:val="487A3E25"/>
    <w:rsid w:val="488B5503"/>
    <w:rsid w:val="48937E21"/>
    <w:rsid w:val="489A0361"/>
    <w:rsid w:val="48B94FF3"/>
    <w:rsid w:val="48D60C67"/>
    <w:rsid w:val="48E37AAB"/>
    <w:rsid w:val="48FD2076"/>
    <w:rsid w:val="48FD4B4C"/>
    <w:rsid w:val="49064556"/>
    <w:rsid w:val="490A68E0"/>
    <w:rsid w:val="491055FE"/>
    <w:rsid w:val="492A501F"/>
    <w:rsid w:val="495F5B3E"/>
    <w:rsid w:val="496F77D7"/>
    <w:rsid w:val="497654FD"/>
    <w:rsid w:val="49B64211"/>
    <w:rsid w:val="49F6167F"/>
    <w:rsid w:val="4A064FA0"/>
    <w:rsid w:val="4A16615C"/>
    <w:rsid w:val="4A2D14ED"/>
    <w:rsid w:val="4A4424D7"/>
    <w:rsid w:val="4A54710F"/>
    <w:rsid w:val="4A735541"/>
    <w:rsid w:val="4AA13882"/>
    <w:rsid w:val="4AB82D0F"/>
    <w:rsid w:val="4AEB7664"/>
    <w:rsid w:val="4AFD7C19"/>
    <w:rsid w:val="4B0567D1"/>
    <w:rsid w:val="4B236AAE"/>
    <w:rsid w:val="4B707271"/>
    <w:rsid w:val="4B75001F"/>
    <w:rsid w:val="4B9739F7"/>
    <w:rsid w:val="4BEE2503"/>
    <w:rsid w:val="4BF2087B"/>
    <w:rsid w:val="4C1239D9"/>
    <w:rsid w:val="4C14566A"/>
    <w:rsid w:val="4C245A30"/>
    <w:rsid w:val="4C672484"/>
    <w:rsid w:val="4C8C1658"/>
    <w:rsid w:val="4CB6685F"/>
    <w:rsid w:val="4CC367FE"/>
    <w:rsid w:val="4CFD0702"/>
    <w:rsid w:val="4D077F3C"/>
    <w:rsid w:val="4D123355"/>
    <w:rsid w:val="4D2231E8"/>
    <w:rsid w:val="4D2A3B31"/>
    <w:rsid w:val="4D312C52"/>
    <w:rsid w:val="4D905305"/>
    <w:rsid w:val="4D964A72"/>
    <w:rsid w:val="4D9C1254"/>
    <w:rsid w:val="4E37080B"/>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D45446"/>
    <w:rsid w:val="50E97CFC"/>
    <w:rsid w:val="50FA4028"/>
    <w:rsid w:val="510A745E"/>
    <w:rsid w:val="510D65B7"/>
    <w:rsid w:val="511157AB"/>
    <w:rsid w:val="5142540C"/>
    <w:rsid w:val="518832C8"/>
    <w:rsid w:val="518A5EA7"/>
    <w:rsid w:val="519D3C50"/>
    <w:rsid w:val="51A0432A"/>
    <w:rsid w:val="51A86090"/>
    <w:rsid w:val="51B7396D"/>
    <w:rsid w:val="522E4CC3"/>
    <w:rsid w:val="5244713B"/>
    <w:rsid w:val="52615633"/>
    <w:rsid w:val="526F4DE4"/>
    <w:rsid w:val="52977FD4"/>
    <w:rsid w:val="52A25790"/>
    <w:rsid w:val="52A96B6F"/>
    <w:rsid w:val="52B45975"/>
    <w:rsid w:val="52D94AA4"/>
    <w:rsid w:val="52DA313B"/>
    <w:rsid w:val="52EA3A62"/>
    <w:rsid w:val="52F50BB8"/>
    <w:rsid w:val="52FF7816"/>
    <w:rsid w:val="53097272"/>
    <w:rsid w:val="530B3D85"/>
    <w:rsid w:val="53284F96"/>
    <w:rsid w:val="53544462"/>
    <w:rsid w:val="539500C3"/>
    <w:rsid w:val="5397158E"/>
    <w:rsid w:val="53A72B6C"/>
    <w:rsid w:val="54013861"/>
    <w:rsid w:val="54487265"/>
    <w:rsid w:val="544D6070"/>
    <w:rsid w:val="54544735"/>
    <w:rsid w:val="54605E1E"/>
    <w:rsid w:val="54B3506A"/>
    <w:rsid w:val="54BD1F8B"/>
    <w:rsid w:val="54CA0D16"/>
    <w:rsid w:val="54DD4057"/>
    <w:rsid w:val="54E7490F"/>
    <w:rsid w:val="550764A4"/>
    <w:rsid w:val="550B2BF6"/>
    <w:rsid w:val="55214EB5"/>
    <w:rsid w:val="55364EFD"/>
    <w:rsid w:val="55506845"/>
    <w:rsid w:val="555D4828"/>
    <w:rsid w:val="557A4C8B"/>
    <w:rsid w:val="558931E1"/>
    <w:rsid w:val="55923347"/>
    <w:rsid w:val="55925180"/>
    <w:rsid w:val="55983B1B"/>
    <w:rsid w:val="55A8376B"/>
    <w:rsid w:val="55DC29B6"/>
    <w:rsid w:val="55DD4241"/>
    <w:rsid w:val="561B338B"/>
    <w:rsid w:val="566B6D1E"/>
    <w:rsid w:val="56D71D4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02AAA"/>
    <w:rsid w:val="58E363A9"/>
    <w:rsid w:val="59166304"/>
    <w:rsid w:val="595E1678"/>
    <w:rsid w:val="596D5BD4"/>
    <w:rsid w:val="597E3DD8"/>
    <w:rsid w:val="59BC46C1"/>
    <w:rsid w:val="59DB1995"/>
    <w:rsid w:val="59F80043"/>
    <w:rsid w:val="5A09252F"/>
    <w:rsid w:val="5A0B2778"/>
    <w:rsid w:val="5A29749D"/>
    <w:rsid w:val="5A2A7C7B"/>
    <w:rsid w:val="5A3E2560"/>
    <w:rsid w:val="5A5D3B6E"/>
    <w:rsid w:val="5A637A76"/>
    <w:rsid w:val="5A6D33BA"/>
    <w:rsid w:val="5A792B1F"/>
    <w:rsid w:val="5A874767"/>
    <w:rsid w:val="5A8E4C59"/>
    <w:rsid w:val="5AA85BE2"/>
    <w:rsid w:val="5AAD6F28"/>
    <w:rsid w:val="5AD63A24"/>
    <w:rsid w:val="5AE71988"/>
    <w:rsid w:val="5B2E1A1D"/>
    <w:rsid w:val="5B843A1C"/>
    <w:rsid w:val="5B873E3F"/>
    <w:rsid w:val="5C02690E"/>
    <w:rsid w:val="5C1703A7"/>
    <w:rsid w:val="5C196DA7"/>
    <w:rsid w:val="5C1F35AE"/>
    <w:rsid w:val="5C2A048C"/>
    <w:rsid w:val="5C327B4C"/>
    <w:rsid w:val="5C364121"/>
    <w:rsid w:val="5C507ED6"/>
    <w:rsid w:val="5C80234E"/>
    <w:rsid w:val="5C8A680C"/>
    <w:rsid w:val="5C9F75A1"/>
    <w:rsid w:val="5D0C4701"/>
    <w:rsid w:val="5D0F0395"/>
    <w:rsid w:val="5D1DE5DA"/>
    <w:rsid w:val="5D221076"/>
    <w:rsid w:val="5D397964"/>
    <w:rsid w:val="5D4D78EE"/>
    <w:rsid w:val="5D5A391C"/>
    <w:rsid w:val="5D5F10C0"/>
    <w:rsid w:val="5D891B7B"/>
    <w:rsid w:val="5DAD38EE"/>
    <w:rsid w:val="5E006862"/>
    <w:rsid w:val="5E0207B9"/>
    <w:rsid w:val="5E1834A1"/>
    <w:rsid w:val="5E261785"/>
    <w:rsid w:val="5E2F187F"/>
    <w:rsid w:val="5E4A7017"/>
    <w:rsid w:val="5E552BBA"/>
    <w:rsid w:val="5E611C10"/>
    <w:rsid w:val="5E7A0F3F"/>
    <w:rsid w:val="5EBA7E91"/>
    <w:rsid w:val="5EFC7377"/>
    <w:rsid w:val="5F06174D"/>
    <w:rsid w:val="5F093472"/>
    <w:rsid w:val="5F3A3602"/>
    <w:rsid w:val="5F45733B"/>
    <w:rsid w:val="5F482646"/>
    <w:rsid w:val="5F6277C6"/>
    <w:rsid w:val="5F6D0B1D"/>
    <w:rsid w:val="5F737876"/>
    <w:rsid w:val="5F8D0B82"/>
    <w:rsid w:val="5FA40637"/>
    <w:rsid w:val="5FCC5339"/>
    <w:rsid w:val="5FD23AB9"/>
    <w:rsid w:val="5FE34A5B"/>
    <w:rsid w:val="5FFE1E36"/>
    <w:rsid w:val="60232584"/>
    <w:rsid w:val="607330CE"/>
    <w:rsid w:val="60825176"/>
    <w:rsid w:val="608A11F9"/>
    <w:rsid w:val="609F2AC4"/>
    <w:rsid w:val="60AC7696"/>
    <w:rsid w:val="60E87EE2"/>
    <w:rsid w:val="60FA2EE8"/>
    <w:rsid w:val="61054A27"/>
    <w:rsid w:val="610A52BC"/>
    <w:rsid w:val="611D2366"/>
    <w:rsid w:val="61421856"/>
    <w:rsid w:val="615227C4"/>
    <w:rsid w:val="61654E3F"/>
    <w:rsid w:val="6182292A"/>
    <w:rsid w:val="619F7F92"/>
    <w:rsid w:val="61C64CD9"/>
    <w:rsid w:val="61F94C26"/>
    <w:rsid w:val="62000E56"/>
    <w:rsid w:val="624F3E49"/>
    <w:rsid w:val="62632286"/>
    <w:rsid w:val="62885958"/>
    <w:rsid w:val="62F40B65"/>
    <w:rsid w:val="62FC2CFE"/>
    <w:rsid w:val="63024505"/>
    <w:rsid w:val="635600A5"/>
    <w:rsid w:val="635B1DB5"/>
    <w:rsid w:val="63711FED"/>
    <w:rsid w:val="63880DDC"/>
    <w:rsid w:val="638A5746"/>
    <w:rsid w:val="638D750D"/>
    <w:rsid w:val="63AC6CC0"/>
    <w:rsid w:val="64055776"/>
    <w:rsid w:val="64240056"/>
    <w:rsid w:val="643E143A"/>
    <w:rsid w:val="64491666"/>
    <w:rsid w:val="645B01E2"/>
    <w:rsid w:val="648B6EEF"/>
    <w:rsid w:val="64AD03D2"/>
    <w:rsid w:val="64C158BF"/>
    <w:rsid w:val="64CE2EAA"/>
    <w:rsid w:val="652E48BE"/>
    <w:rsid w:val="653C3090"/>
    <w:rsid w:val="655B2009"/>
    <w:rsid w:val="65854376"/>
    <w:rsid w:val="658767BE"/>
    <w:rsid w:val="65892531"/>
    <w:rsid w:val="66195831"/>
    <w:rsid w:val="662E75B1"/>
    <w:rsid w:val="66342C2E"/>
    <w:rsid w:val="663E784C"/>
    <w:rsid w:val="666B50BD"/>
    <w:rsid w:val="668B6A45"/>
    <w:rsid w:val="66B26E8D"/>
    <w:rsid w:val="66C0548B"/>
    <w:rsid w:val="672F3F24"/>
    <w:rsid w:val="673E055F"/>
    <w:rsid w:val="67551CE3"/>
    <w:rsid w:val="679879D6"/>
    <w:rsid w:val="67A22552"/>
    <w:rsid w:val="67B22DCC"/>
    <w:rsid w:val="67BE71AA"/>
    <w:rsid w:val="67C823EF"/>
    <w:rsid w:val="67D90273"/>
    <w:rsid w:val="67D907B6"/>
    <w:rsid w:val="67DE5875"/>
    <w:rsid w:val="67E55852"/>
    <w:rsid w:val="67EB1AB4"/>
    <w:rsid w:val="67FA1285"/>
    <w:rsid w:val="682269E1"/>
    <w:rsid w:val="68551F4F"/>
    <w:rsid w:val="687C10C9"/>
    <w:rsid w:val="68840C16"/>
    <w:rsid w:val="68876EFB"/>
    <w:rsid w:val="68884654"/>
    <w:rsid w:val="689F444F"/>
    <w:rsid w:val="68B96DBB"/>
    <w:rsid w:val="68BC69A9"/>
    <w:rsid w:val="68CA2805"/>
    <w:rsid w:val="68E937A3"/>
    <w:rsid w:val="693E15D3"/>
    <w:rsid w:val="69627681"/>
    <w:rsid w:val="6977531D"/>
    <w:rsid w:val="69CC2BFF"/>
    <w:rsid w:val="69FD55B8"/>
    <w:rsid w:val="6A0B1C62"/>
    <w:rsid w:val="6A2406C8"/>
    <w:rsid w:val="6A242EE4"/>
    <w:rsid w:val="6AA3071C"/>
    <w:rsid w:val="6ADE0BD1"/>
    <w:rsid w:val="6AE96859"/>
    <w:rsid w:val="6B147746"/>
    <w:rsid w:val="6B24787C"/>
    <w:rsid w:val="6B361121"/>
    <w:rsid w:val="6B493B71"/>
    <w:rsid w:val="6B573233"/>
    <w:rsid w:val="6B5B6274"/>
    <w:rsid w:val="6B935D53"/>
    <w:rsid w:val="6BF578FF"/>
    <w:rsid w:val="6C196F71"/>
    <w:rsid w:val="6C223C24"/>
    <w:rsid w:val="6C226FCB"/>
    <w:rsid w:val="6C31226F"/>
    <w:rsid w:val="6C552F0B"/>
    <w:rsid w:val="6C623245"/>
    <w:rsid w:val="6C8C67B7"/>
    <w:rsid w:val="6C9D744C"/>
    <w:rsid w:val="6CF72ED8"/>
    <w:rsid w:val="6D167928"/>
    <w:rsid w:val="6D17439E"/>
    <w:rsid w:val="6D26299B"/>
    <w:rsid w:val="6D4772EC"/>
    <w:rsid w:val="6D9078AF"/>
    <w:rsid w:val="6DAA3FEF"/>
    <w:rsid w:val="6DC0172B"/>
    <w:rsid w:val="6DCB690C"/>
    <w:rsid w:val="6DD41A5B"/>
    <w:rsid w:val="6DF43C2E"/>
    <w:rsid w:val="6DF51CA3"/>
    <w:rsid w:val="6E7837FF"/>
    <w:rsid w:val="6E8335BD"/>
    <w:rsid w:val="6E8E12EF"/>
    <w:rsid w:val="6E972936"/>
    <w:rsid w:val="6E9F2B3A"/>
    <w:rsid w:val="6ED446C5"/>
    <w:rsid w:val="6EF37031"/>
    <w:rsid w:val="6F064B41"/>
    <w:rsid w:val="6F2A7D94"/>
    <w:rsid w:val="6F4813C2"/>
    <w:rsid w:val="6F8331F1"/>
    <w:rsid w:val="6FAE1A09"/>
    <w:rsid w:val="6FD75BF8"/>
    <w:rsid w:val="6FE34B39"/>
    <w:rsid w:val="70713D1E"/>
    <w:rsid w:val="707723D0"/>
    <w:rsid w:val="70F5661B"/>
    <w:rsid w:val="71360107"/>
    <w:rsid w:val="713B688E"/>
    <w:rsid w:val="719F449E"/>
    <w:rsid w:val="71A26137"/>
    <w:rsid w:val="71D43752"/>
    <w:rsid w:val="71F1796A"/>
    <w:rsid w:val="72154626"/>
    <w:rsid w:val="72262B5D"/>
    <w:rsid w:val="72283FF7"/>
    <w:rsid w:val="722E7212"/>
    <w:rsid w:val="72357E6C"/>
    <w:rsid w:val="723A0474"/>
    <w:rsid w:val="725923E4"/>
    <w:rsid w:val="727C311E"/>
    <w:rsid w:val="72864BF7"/>
    <w:rsid w:val="729023FC"/>
    <w:rsid w:val="72A430C2"/>
    <w:rsid w:val="737B3402"/>
    <w:rsid w:val="73C0646E"/>
    <w:rsid w:val="742222F5"/>
    <w:rsid w:val="74476126"/>
    <w:rsid w:val="74706664"/>
    <w:rsid w:val="747F3682"/>
    <w:rsid w:val="749C4185"/>
    <w:rsid w:val="74C257AA"/>
    <w:rsid w:val="74E4574A"/>
    <w:rsid w:val="75067759"/>
    <w:rsid w:val="751002ED"/>
    <w:rsid w:val="752E6DCD"/>
    <w:rsid w:val="75311145"/>
    <w:rsid w:val="7551380D"/>
    <w:rsid w:val="75600BE5"/>
    <w:rsid w:val="7564475C"/>
    <w:rsid w:val="7578340D"/>
    <w:rsid w:val="7583797F"/>
    <w:rsid w:val="758C6C69"/>
    <w:rsid w:val="75D20F1D"/>
    <w:rsid w:val="75DA2C18"/>
    <w:rsid w:val="75F54412"/>
    <w:rsid w:val="75F75DEC"/>
    <w:rsid w:val="761D08E0"/>
    <w:rsid w:val="765D347C"/>
    <w:rsid w:val="76826699"/>
    <w:rsid w:val="76873BC1"/>
    <w:rsid w:val="76C87133"/>
    <w:rsid w:val="76CD08D5"/>
    <w:rsid w:val="76DB4B92"/>
    <w:rsid w:val="76FF5330"/>
    <w:rsid w:val="77052AA4"/>
    <w:rsid w:val="77136511"/>
    <w:rsid w:val="77167A87"/>
    <w:rsid w:val="77340A39"/>
    <w:rsid w:val="77351FD0"/>
    <w:rsid w:val="77472422"/>
    <w:rsid w:val="777F31F2"/>
    <w:rsid w:val="77BC475C"/>
    <w:rsid w:val="77D1700D"/>
    <w:rsid w:val="77EA74CC"/>
    <w:rsid w:val="77EC04CC"/>
    <w:rsid w:val="78775729"/>
    <w:rsid w:val="78A42DB0"/>
    <w:rsid w:val="78A656AB"/>
    <w:rsid w:val="78B2245C"/>
    <w:rsid w:val="78E172CC"/>
    <w:rsid w:val="78EA1D1F"/>
    <w:rsid w:val="7904172F"/>
    <w:rsid w:val="790F7E27"/>
    <w:rsid w:val="792A231A"/>
    <w:rsid w:val="79316829"/>
    <w:rsid w:val="79635B60"/>
    <w:rsid w:val="7967788C"/>
    <w:rsid w:val="797E66A9"/>
    <w:rsid w:val="798518A4"/>
    <w:rsid w:val="79A97383"/>
    <w:rsid w:val="79CA0BF5"/>
    <w:rsid w:val="79DC0F2B"/>
    <w:rsid w:val="79E27E8B"/>
    <w:rsid w:val="79F850CE"/>
    <w:rsid w:val="79FD443C"/>
    <w:rsid w:val="7A1B7E60"/>
    <w:rsid w:val="7A1D1975"/>
    <w:rsid w:val="7A3E5150"/>
    <w:rsid w:val="7A4153ED"/>
    <w:rsid w:val="7A4670D6"/>
    <w:rsid w:val="7A534B63"/>
    <w:rsid w:val="7A615382"/>
    <w:rsid w:val="7A67303B"/>
    <w:rsid w:val="7AAB1D04"/>
    <w:rsid w:val="7ABA4368"/>
    <w:rsid w:val="7AD05746"/>
    <w:rsid w:val="7AFE15B2"/>
    <w:rsid w:val="7B257FFD"/>
    <w:rsid w:val="7B343476"/>
    <w:rsid w:val="7B5A2978"/>
    <w:rsid w:val="7B5A7E4C"/>
    <w:rsid w:val="7B667AF9"/>
    <w:rsid w:val="7B7468F8"/>
    <w:rsid w:val="7BE13E05"/>
    <w:rsid w:val="7BEE0103"/>
    <w:rsid w:val="7BF92B4E"/>
    <w:rsid w:val="7C0A0FE4"/>
    <w:rsid w:val="7C254906"/>
    <w:rsid w:val="7C590818"/>
    <w:rsid w:val="7C6732F0"/>
    <w:rsid w:val="7C7C10F6"/>
    <w:rsid w:val="7C853BEA"/>
    <w:rsid w:val="7C881368"/>
    <w:rsid w:val="7CE27788"/>
    <w:rsid w:val="7D0C32F1"/>
    <w:rsid w:val="7D0F408D"/>
    <w:rsid w:val="7D491C6C"/>
    <w:rsid w:val="7D5429C0"/>
    <w:rsid w:val="7D567401"/>
    <w:rsid w:val="7D6E6D43"/>
    <w:rsid w:val="7DA243F4"/>
    <w:rsid w:val="7DA45E8D"/>
    <w:rsid w:val="7DB57A34"/>
    <w:rsid w:val="7DE60973"/>
    <w:rsid w:val="7DEF0916"/>
    <w:rsid w:val="7E1E5218"/>
    <w:rsid w:val="7E6F37FC"/>
    <w:rsid w:val="7E9A4E1F"/>
    <w:rsid w:val="7EA7723A"/>
    <w:rsid w:val="7EBE8AB3"/>
    <w:rsid w:val="7EF56FBB"/>
    <w:rsid w:val="7F0768EB"/>
    <w:rsid w:val="7F143BEC"/>
    <w:rsid w:val="7F715AF2"/>
    <w:rsid w:val="7F886E69"/>
    <w:rsid w:val="7F9167AA"/>
    <w:rsid w:val="7F9DEFDD"/>
    <w:rsid w:val="7FA40B40"/>
    <w:rsid w:val="7FC74137"/>
    <w:rsid w:val="7FDF7E14"/>
    <w:rsid w:val="7FE02831"/>
    <w:rsid w:val="9C2DC1F0"/>
    <w:rsid w:val="9EFF1932"/>
    <w:rsid w:val="BB7FA927"/>
    <w:rsid w:val="BE17C5AF"/>
    <w:rsid w:val="DEFB09E1"/>
    <w:rsid w:val="EFFFB235"/>
    <w:rsid w:val="F5FFD31F"/>
    <w:rsid w:val="F63D9962"/>
    <w:rsid w:val="F7FF2692"/>
    <w:rsid w:val="FA7FF16F"/>
    <w:rsid w:val="FBDC34C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4"/>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19"/>
    <w:qFormat/>
    <w:uiPriority w:val="0"/>
    <w:pPr>
      <w:adjustRightInd/>
      <w:spacing w:after="120" w:line="240" w:lineRule="auto"/>
      <w:ind w:left="420" w:leftChars="200" w:firstLine="210"/>
    </w:pPr>
    <w:rPr>
      <w:sz w:val="21"/>
    </w:rPr>
  </w:style>
  <w:style w:type="paragraph" w:styleId="3">
    <w:name w:val="Body Text Indent"/>
    <w:basedOn w:val="1"/>
    <w:next w:val="4"/>
    <w:link w:val="263"/>
    <w:qFormat/>
    <w:uiPriority w:val="0"/>
    <w:pPr>
      <w:spacing w:line="480" w:lineRule="exact"/>
      <w:ind w:firstLine="480" w:firstLineChars="200"/>
    </w:pPr>
    <w:rPr>
      <w:rFonts w:ascii="宋体" w:hAnsi="宋体"/>
      <w:sz w:val="24"/>
    </w:rPr>
  </w:style>
  <w:style w:type="paragraph" w:styleId="4">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0"/>
    <w:qFormat/>
    <w:uiPriority w:val="0"/>
    <w:pPr>
      <w:shd w:val="clear" w:color="auto" w:fill="000080"/>
    </w:pPr>
  </w:style>
  <w:style w:type="paragraph" w:styleId="21">
    <w:name w:val="annotation text"/>
    <w:basedOn w:val="1"/>
    <w:link w:val="341"/>
    <w:qFormat/>
    <w:uiPriority w:val="99"/>
    <w:pPr>
      <w:jc w:val="left"/>
    </w:pPr>
  </w:style>
  <w:style w:type="paragraph" w:styleId="22">
    <w:name w:val="Salutation"/>
    <w:basedOn w:val="1"/>
    <w:next w:val="1"/>
    <w:link w:val="295"/>
    <w:qFormat/>
    <w:uiPriority w:val="0"/>
    <w:rPr>
      <w:rFonts w:ascii="仿宋_GB2312" w:eastAsia="仿宋_GB2312"/>
      <w:sz w:val="28"/>
      <w:szCs w:val="20"/>
    </w:rPr>
  </w:style>
  <w:style w:type="paragraph" w:styleId="23">
    <w:name w:val="Body Text 3"/>
    <w:basedOn w:val="1"/>
    <w:link w:val="327"/>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7"/>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18"/>
    <w:qFormat/>
    <w:uiPriority w:val="0"/>
    <w:pPr>
      <w:ind w:firstLine="420"/>
    </w:pPr>
    <w:rPr>
      <w:rFonts w:hAnsi="Calibri" w:cs="Times New Roman"/>
      <w:snapToGrid/>
      <w:szCs w:val="20"/>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6"/>
    <w:qFormat/>
    <w:uiPriority w:val="0"/>
    <w:rPr>
      <w:sz w:val="18"/>
      <w:szCs w:val="18"/>
    </w:rPr>
  </w:style>
  <w:style w:type="paragraph" w:styleId="41">
    <w:name w:val="footer"/>
    <w:basedOn w:val="1"/>
    <w:link w:val="380"/>
    <w:qFormat/>
    <w:uiPriority w:val="99"/>
    <w:pPr>
      <w:tabs>
        <w:tab w:val="center" w:pos="4153"/>
        <w:tab w:val="right" w:pos="8306"/>
      </w:tabs>
      <w:snapToGrid w:val="0"/>
      <w:jc w:val="left"/>
    </w:pPr>
    <w:rPr>
      <w:sz w:val="18"/>
      <w:szCs w:val="18"/>
    </w:rPr>
  </w:style>
  <w:style w:type="paragraph" w:styleId="42">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4"/>
    <w:link w:val="307"/>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2"/>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299"/>
    <w:qFormat/>
    <w:uiPriority w:val="0"/>
    <w:pPr>
      <w:spacing w:after="120" w:line="480" w:lineRule="auto"/>
    </w:pPr>
  </w:style>
  <w:style w:type="paragraph" w:styleId="58">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4"/>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1 Char"/>
    <w:link w:val="5"/>
    <w:qFormat/>
    <w:uiPriority w:val="9"/>
    <w:rPr>
      <w:b/>
      <w:bCs/>
      <w:kern w:val="44"/>
      <w:sz w:val="44"/>
      <w:szCs w:val="44"/>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1"/>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8"/>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basedOn w:val="69"/>
    <w:qFormat/>
    <w:uiPriority w:val="0"/>
    <w:rPr>
      <w:rFonts w:hint="eastAsia" w:ascii="仿宋_GB2312" w:eastAsia="仿宋_GB2312" w:cs="仿宋_GB2312"/>
      <w:color w:val="000000"/>
      <w:sz w:val="22"/>
      <w:szCs w:val="22"/>
      <w:u w:val="none"/>
    </w:rPr>
  </w:style>
  <w:style w:type="character" w:customStyle="1" w:styleId="145">
    <w:name w:val="标题 6 Char"/>
    <w:link w:val="10"/>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6"/>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7"/>
    <w:qFormat/>
    <w:uiPriority w:val="0"/>
    <w:rPr>
      <w:rFonts w:ascii="宋体"/>
      <w:kern w:val="2"/>
      <w:sz w:val="24"/>
      <w:szCs w:val="21"/>
      <w:lang w:val="zh-CN"/>
    </w:rPr>
  </w:style>
  <w:style w:type="character" w:customStyle="1" w:styleId="180">
    <w:name w:val="标题 9 Char"/>
    <w:link w:val="13"/>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40"/>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4"/>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20"/>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8"/>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8"/>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3"/>
    <w:qFormat/>
    <w:uiPriority w:val="0"/>
    <w:rPr>
      <w:rFonts w:ascii="宋体" w:hAnsi="宋体"/>
      <w:kern w:val="2"/>
      <w:sz w:val="24"/>
      <w:szCs w:val="24"/>
    </w:rPr>
  </w:style>
  <w:style w:type="character" w:customStyle="1" w:styleId="264">
    <w:name w:val="font01"/>
    <w:basedOn w:val="69"/>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60"/>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9"/>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2"/>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8"/>
    <w:qFormat/>
    <w:uiPriority w:val="0"/>
    <w:rPr>
      <w:rFonts w:ascii="黑体" w:hAnsi="Courier New" w:eastAsia="黑体"/>
    </w:rPr>
  </w:style>
  <w:style w:type="character" w:customStyle="1" w:styleId="299">
    <w:name w:val="正文文本 2 Char1"/>
    <w:link w:val="57"/>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8"/>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1"/>
    <w:qFormat/>
    <w:uiPriority w:val="0"/>
    <w:rPr>
      <w:b/>
      <w:bCs/>
      <w:kern w:val="2"/>
      <w:sz w:val="24"/>
      <w:szCs w:val="24"/>
    </w:rPr>
  </w:style>
  <w:style w:type="character" w:customStyle="1" w:styleId="305">
    <w:name w:val="正文文本缩进 2 Char"/>
    <w:link w:val="38"/>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1"/>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basedOn w:val="69"/>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6"/>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8"/>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3"/>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1"/>
    <w:qFormat/>
    <w:uiPriority w:val="0"/>
    <w:rPr>
      <w:kern w:val="2"/>
      <w:sz w:val="21"/>
      <w:szCs w:val="24"/>
    </w:rPr>
  </w:style>
  <w:style w:type="character" w:customStyle="1" w:styleId="342">
    <w:name w:val="签名 Char"/>
    <w:link w:val="43"/>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2"/>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4"/>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1"/>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2"/>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4"/>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8"/>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6"/>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7"/>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9"/>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7"/>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4"/>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8"/>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3"/>
    <w:next w:val="233"/>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3"/>
    <w:next w:val="233"/>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7"/>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5"/>
    <w:qFormat/>
    <w:uiPriority w:val="0"/>
    <w:pPr>
      <w:tabs>
        <w:tab w:val="left" w:pos="840"/>
      </w:tabs>
      <w:adjustRightInd/>
      <w:ind w:left="840" w:hanging="420"/>
    </w:pPr>
  </w:style>
  <w:style w:type="paragraph" w:customStyle="1" w:styleId="623">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7"/>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4"/>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7"/>
    <w:next w:val="54"/>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5"/>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9"/>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76</Pages>
  <Words>42636</Words>
  <Characters>45828</Characters>
  <Lines>279</Lines>
  <Paragraphs>78</Paragraphs>
  <TotalTime>22</TotalTime>
  <ScaleCrop>false</ScaleCrop>
  <LinksUpToDate>false</LinksUpToDate>
  <CharactersWithSpaces>50268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浅港</cp:lastModifiedBy>
  <cp:lastPrinted>2021-12-29T19:06:00Z</cp:lastPrinted>
  <dcterms:modified xsi:type="dcterms:W3CDTF">2024-08-29T08:25:52Z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59B982FEB36C406E84BF1C4931217F94_13</vt:lpwstr>
  </property>
</Properties>
</file>