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杭州市第一人民医院桐庐医院</w:t>
      </w:r>
    </w:p>
    <w:p>
      <w:pPr>
        <w:adjustRightInd/>
        <w:spacing w:line="360" w:lineRule="auto"/>
        <w:jc w:val="center"/>
        <w:rPr>
          <w:rFonts w:ascii="宋体" w:hAnsi="宋体" w:cs="宋体"/>
          <w:sz w:val="48"/>
          <w:szCs w:val="48"/>
        </w:rPr>
      </w:pPr>
      <w:r>
        <w:rPr>
          <w:rFonts w:hint="eastAsia" w:ascii="宋体" w:hAnsi="宋体" w:cs="宋体"/>
          <w:sz w:val="48"/>
          <w:szCs w:val="48"/>
        </w:rPr>
        <w:t>硬件设施服务项目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编号:HSZB-2024-1114</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ascii="宋体" w:hAnsi="宋体" w:cs="宋体"/>
          <w:sz w:val="32"/>
          <w:szCs w:val="32"/>
        </w:rPr>
      </w:pPr>
      <w:r>
        <w:rPr>
          <w:rFonts w:hint="eastAsia" w:ascii="宋体" w:hAnsi="宋体" w:cs="宋体"/>
          <w:sz w:val="32"/>
          <w:szCs w:val="32"/>
        </w:rPr>
        <w:t>杭州市第一人民医院桐庐医院</w:t>
      </w:r>
    </w:p>
    <w:p>
      <w:pPr>
        <w:spacing w:line="360" w:lineRule="auto"/>
        <w:jc w:val="center"/>
        <w:rPr>
          <w:rFonts w:ascii="宋体" w:hAnsi="宋体" w:cs="宋体"/>
          <w:bCs/>
          <w:sz w:val="32"/>
          <w:szCs w:val="32"/>
        </w:rPr>
      </w:pPr>
      <w:r>
        <w:rPr>
          <w:rFonts w:hint="eastAsia" w:ascii="宋体" w:hAnsi="宋体" w:cs="宋体"/>
          <w:bCs/>
          <w:sz w:val="32"/>
          <w:szCs w:val="32"/>
        </w:rPr>
        <w:t>浙江豪圣建设项目管理有限公司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二〇二四年十</w:t>
      </w:r>
      <w:r>
        <w:rPr>
          <w:rFonts w:hint="eastAsia" w:ascii="宋体" w:hAnsi="宋体" w:cs="宋体"/>
          <w:bCs/>
          <w:sz w:val="32"/>
          <w:szCs w:val="32"/>
          <w:lang w:val="en-US" w:eastAsia="zh-CN"/>
        </w:rPr>
        <w:t>一</w:t>
      </w:r>
      <w:r>
        <w:rPr>
          <w:rFonts w:hint="eastAsia" w:ascii="宋体" w:hAnsi="宋体" w:cs="宋体"/>
          <w:bCs/>
          <w:sz w:val="32"/>
          <w:szCs w:val="32"/>
        </w:rPr>
        <w:t>月</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6"/>
        <w:ind w:firstLine="640"/>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杭州市第一人民医院桐庐医院硬件设施服务项目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宋体" w:hAnsi="宋体" w:eastAsia="宋体" w:cs="宋体"/>
          <w:snapToGrid/>
          <w:color w:val="auto"/>
          <w:kern w:val="2"/>
          <w:sz w:val="24"/>
          <w:szCs w:val="24"/>
        </w:rPr>
        <w:t>https://www.zcygov.cn/）获取（下载）招标文件，并于</w:t>
      </w:r>
      <w:r>
        <w:rPr>
          <w:rStyle w:val="77"/>
          <w:rFonts w:hint="eastAsia" w:ascii="宋体" w:hAnsi="宋体" w:cs="宋体"/>
          <w:snapToGrid/>
          <w:color w:val="auto"/>
          <w:kern w:val="2"/>
          <w:sz w:val="24"/>
          <w:szCs w:val="24"/>
          <w:lang w:eastAsia="zh-CN"/>
        </w:rPr>
        <w:t>2024年11月22日</w:t>
      </w:r>
      <w:r>
        <w:rPr>
          <w:rStyle w:val="77"/>
          <w:rFonts w:hint="eastAsia" w:ascii="宋体" w:hAnsi="宋体" w:cs="宋体"/>
          <w:snapToGrid/>
          <w:color w:val="auto"/>
          <w:kern w:val="2"/>
          <w:sz w:val="24"/>
          <w:szCs w:val="24"/>
        </w:rPr>
        <w:t>9</w:t>
      </w:r>
      <w:r>
        <w:rPr>
          <w:rStyle w:val="77"/>
          <w:rFonts w:hint="eastAsia" w:ascii="宋体" w:hAnsi="宋体" w:eastAsia="宋体" w:cs="宋体"/>
          <w:snapToGrid/>
          <w:color w:val="auto"/>
          <w:kern w:val="2"/>
          <w:sz w:val="24"/>
          <w:szCs w:val="24"/>
        </w:rPr>
        <w:t>点</w:t>
      </w:r>
      <w:r>
        <w:rPr>
          <w:rStyle w:val="77"/>
          <w:rFonts w:hint="eastAsia" w:ascii="宋体" w:hAnsi="宋体" w:cs="宋体"/>
          <w:snapToGrid/>
          <w:color w:val="auto"/>
          <w:kern w:val="2"/>
          <w:sz w:val="24"/>
          <w:szCs w:val="24"/>
        </w:rPr>
        <w:t>30</w:t>
      </w:r>
      <w:r>
        <w:rPr>
          <w:rStyle w:val="77"/>
          <w:rFonts w:hint="eastAsia" w:ascii="宋体" w:hAnsi="宋体" w:eastAsia="宋体" w:cs="宋体"/>
          <w:snapToGrid/>
          <w:color w:val="auto"/>
          <w:kern w:val="2"/>
          <w:sz w:val="24"/>
          <w:szCs w:val="24"/>
        </w:rPr>
        <w:t>分</w:t>
      </w:r>
      <w:r>
        <w:rPr>
          <w:rStyle w:val="77"/>
          <w:rFonts w:hint="eastAsia" w:ascii="宋体" w:hAnsi="宋体" w:eastAsia="宋体" w:cs="宋体"/>
          <w:bCs/>
          <w:snapToGrid/>
          <w:color w:val="auto"/>
          <w:kern w:val="2"/>
          <w:sz w:val="24"/>
          <w:szCs w:val="24"/>
        </w:rPr>
        <w:t>00秒</w:t>
      </w:r>
      <w:r>
        <w:rPr>
          <w:rStyle w:val="77"/>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241" w:firstLineChars="100"/>
        <w:rPr>
          <w:rFonts w:ascii="宋体" w:hAnsi="宋体" w:cs="宋体"/>
          <w:sz w:val="24"/>
        </w:rPr>
      </w:pPr>
      <w:r>
        <w:rPr>
          <w:rFonts w:hint="eastAsia" w:ascii="宋体" w:hAnsi="宋体" w:cs="宋体"/>
          <w:b/>
          <w:sz w:val="24"/>
        </w:rPr>
        <w:t>项目编号：</w:t>
      </w:r>
      <w:r>
        <w:rPr>
          <w:rFonts w:hint="eastAsia" w:ascii="宋体" w:hAnsi="宋体" w:cs="宋体"/>
          <w:sz w:val="24"/>
        </w:rPr>
        <w:t>HSZB-2024-1114</w:t>
      </w:r>
    </w:p>
    <w:p>
      <w:pPr>
        <w:spacing w:line="360" w:lineRule="auto"/>
        <w:rPr>
          <w:rFonts w:ascii="宋体" w:hAnsi="宋体" w:cs="宋体"/>
          <w:sz w:val="24"/>
        </w:rPr>
      </w:pPr>
      <w:r>
        <w:rPr>
          <w:rFonts w:hint="eastAsia" w:ascii="宋体" w:hAnsi="宋体" w:cs="宋体"/>
          <w:b/>
          <w:sz w:val="24"/>
        </w:rPr>
        <w:t xml:space="preserve"> </w:t>
      </w:r>
      <w:r>
        <w:rPr>
          <w:rFonts w:hint="eastAsia" w:ascii="宋体" w:hAnsi="宋体" w:cs="宋体"/>
          <w:b/>
          <w:sz w:val="24"/>
          <w:lang w:val="en-US" w:eastAsia="zh-CN"/>
        </w:rPr>
        <w:t xml:space="preserve"> </w:t>
      </w:r>
      <w:r>
        <w:rPr>
          <w:rFonts w:hint="eastAsia" w:ascii="宋体" w:hAnsi="宋体" w:cs="宋体"/>
          <w:b/>
          <w:sz w:val="24"/>
        </w:rPr>
        <w:t>项目名称：</w:t>
      </w:r>
      <w:r>
        <w:rPr>
          <w:rFonts w:hint="eastAsia" w:ascii="宋体" w:hAnsi="宋体" w:cs="宋体"/>
          <w:sz w:val="24"/>
        </w:rPr>
        <w:t>杭州市第一人民医院桐庐医院硬件设施服务项目</w:t>
      </w:r>
    </w:p>
    <w:p>
      <w:pPr>
        <w:spacing w:line="360" w:lineRule="auto"/>
        <w:rPr>
          <w:rFonts w:ascii="宋体" w:hAnsi="宋体" w:cs="宋体"/>
          <w:sz w:val="24"/>
        </w:rPr>
      </w:pPr>
      <w:r>
        <w:rPr>
          <w:rFonts w:hint="eastAsia" w:ascii="宋体" w:hAnsi="宋体" w:cs="宋体"/>
          <w:b/>
          <w:sz w:val="24"/>
        </w:rPr>
        <w:t xml:space="preserve"> </w:t>
      </w:r>
      <w:r>
        <w:rPr>
          <w:rFonts w:hint="eastAsia" w:ascii="宋体" w:hAnsi="宋体" w:cs="宋体"/>
          <w:b/>
          <w:sz w:val="24"/>
          <w:lang w:val="en-US" w:eastAsia="zh-CN"/>
        </w:rPr>
        <w:t xml:space="preserve"> </w:t>
      </w:r>
      <w:r>
        <w:rPr>
          <w:rFonts w:hint="eastAsia" w:ascii="宋体" w:hAnsi="宋体" w:cs="宋体"/>
          <w:b/>
          <w:sz w:val="24"/>
        </w:rPr>
        <w:t>预算金额（元）：</w:t>
      </w:r>
      <w:r>
        <w:rPr>
          <w:rFonts w:hint="eastAsia" w:ascii="宋体" w:hAnsi="宋体" w:cs="宋体"/>
          <w:sz w:val="24"/>
        </w:rPr>
        <w:t>2800000</w:t>
      </w:r>
    </w:p>
    <w:p>
      <w:pPr>
        <w:spacing w:line="360" w:lineRule="auto"/>
        <w:ind w:firstLine="241" w:firstLineChars="100"/>
        <w:rPr>
          <w:rFonts w:ascii="宋体" w:hAnsi="宋体" w:cs="宋体"/>
          <w:sz w:val="24"/>
        </w:rPr>
      </w:pPr>
      <w:r>
        <w:rPr>
          <w:rFonts w:hint="eastAsia" w:ascii="宋体" w:hAnsi="宋体" w:cs="宋体"/>
          <w:b/>
          <w:sz w:val="24"/>
        </w:rPr>
        <w:t>最高限价（元）：</w:t>
      </w:r>
      <w:r>
        <w:rPr>
          <w:rFonts w:hint="eastAsia" w:ascii="宋体" w:hAnsi="宋体" w:cs="宋体"/>
          <w:sz w:val="24"/>
        </w:rPr>
        <w:t>2800000</w:t>
      </w:r>
    </w:p>
    <w:p>
      <w:pPr>
        <w:pStyle w:val="16"/>
        <w:spacing w:line="360" w:lineRule="auto"/>
        <w:ind w:left="0" w:leftChars="0" w:firstLine="241" w:firstLineChars="10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杭州市第一人民医院硬件设施服务项目，</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31"/>
        <w:ind w:left="0" w:leftChars="0" w:firstLine="241" w:firstLineChars="100"/>
        <w:outlineLvl w:val="2"/>
        <w:rPr>
          <w:rFonts w:ascii="宋体" w:hAnsi="宋体" w:cs="宋体"/>
          <w:b/>
          <w:snapToGrid w:val="0"/>
          <w:kern w:val="28"/>
        </w:rPr>
      </w:pPr>
      <w:r>
        <w:rPr>
          <w:rFonts w:hint="eastAsia" w:ascii="宋体" w:hAnsi="宋体" w:cs="宋体"/>
          <w:b/>
        </w:rPr>
        <w:t>合同履约期限：</w:t>
      </w:r>
      <w:r>
        <w:rPr>
          <w:rFonts w:hint="eastAsia"/>
        </w:rPr>
        <w:t>详见采购需求。</w:t>
      </w:r>
    </w:p>
    <w:p>
      <w:pPr>
        <w:pStyle w:val="16"/>
        <w:spacing w:line="360" w:lineRule="auto"/>
        <w:ind w:left="0" w:leftChars="0" w:firstLine="241" w:firstLineChars="100"/>
        <w:rPr>
          <w:rFonts w:hAnsi="宋体" w:cs="宋体"/>
          <w:b/>
          <w:color w:val="auto"/>
        </w:rPr>
      </w:pPr>
      <w:r>
        <w:rPr>
          <w:rFonts w:hint="eastAsia" w:hAnsi="宋体" w:cs="宋体"/>
          <w:b/>
          <w:color w:val="auto"/>
          <w:sz w:val="24"/>
        </w:rPr>
        <w:t>本项目接受联合体投标：</w:t>
      </w:r>
      <w:sdt>
        <w:sdtPr>
          <w:rPr>
            <w:rFonts w:hAnsi="宋体" w:cs="宋体"/>
            <w:color w:val="auto"/>
            <w:kern w:val="0"/>
            <w:sz w:val="24"/>
          </w:rPr>
          <w:id w:val="-441836950"/>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pPr>
        <w:spacing w:line="360" w:lineRule="auto"/>
        <w:ind w:firstLine="480" w:firstLineChars="200"/>
        <w:rPr>
          <w:rFonts w:ascii="宋体" w:hAnsi="宋体" w:cs="宋体"/>
          <w:sz w:val="24"/>
        </w:rPr>
      </w:pPr>
      <w:sdt>
        <w:sdtPr>
          <w:rPr>
            <w:rFonts w:hint="eastAsia" w:ascii="宋体" w:hAnsi="宋体" w:cs="宋体"/>
            <w:kern w:val="0"/>
            <w:sz w:val="24"/>
          </w:rPr>
          <w:id w:val="-1024704304"/>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rPr>
      </w:pPr>
      <w:sdt>
        <w:sdtPr>
          <w:rPr>
            <w:rFonts w:hint="eastAsia" w:ascii="宋体" w:hAnsi="宋体" w:cs="宋体"/>
            <w:kern w:val="0"/>
            <w:sz w:val="24"/>
          </w:rPr>
          <w:id w:val="-333685401"/>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服务全部由符合政策要求的中小企业承接，提供中小企业声明函；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2141025358"/>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pPr>
        <w:rPr>
          <w:rFonts w:ascii="宋体" w:hAnsi="宋体" w:cs="宋体"/>
        </w:rPr>
      </w:pPr>
    </w:p>
    <w:p>
      <w:pPr>
        <w:spacing w:line="360" w:lineRule="auto"/>
        <w:ind w:firstLine="480" w:firstLineChars="200"/>
        <w:rPr>
          <w:rFonts w:ascii="宋体" w:hAnsi="宋体" w:cs="宋体"/>
          <w:sz w:val="24"/>
        </w:rPr>
      </w:pPr>
      <w:sdt>
        <w:sdtPr>
          <w:rPr>
            <w:rFonts w:hint="eastAsia" w:ascii="宋体" w:hAnsi="宋体" w:cs="宋体"/>
            <w:kern w:val="0"/>
            <w:sz w:val="24"/>
          </w:rPr>
          <w:id w:val="-198560779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要求以联合体形式参加，提供联合协议和中小企业声明函，联合协议中中小企业合同金额应当达到%，其中小微企业合同金额应当达到%;</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 ，其中小微企业合同金额应当达到%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lang w:eastAsia="zh-CN"/>
        </w:rPr>
        <w:t>2024年11月22日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rPr>
        <w:t xml:space="preserve"> </w:t>
      </w:r>
      <w:r>
        <w:rPr>
          <w:rFonts w:hint="eastAsia" w:ascii="宋体" w:hAnsi="宋体" w:cs="宋体"/>
          <w:sz w:val="24"/>
          <w:lang w:eastAsia="zh-CN"/>
        </w:rPr>
        <w:t>2024年11月22日</w:t>
      </w:r>
      <w:r>
        <w:rPr>
          <w:rFonts w:hint="eastAsia" w:ascii="宋体" w:hAnsi="宋体" w:cs="宋体"/>
          <w:sz w:val="24"/>
        </w:rPr>
        <w:t>9点30分00秒（北京时间）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rPr>
      </w:pPr>
      <w:r>
        <w:rPr>
          <w:rFonts w:hint="eastAsia" w:ascii="宋体" w:hAnsi="宋体" w:cs="宋体"/>
          <w:b/>
          <w:sz w:val="24"/>
        </w:rPr>
        <w:t>开标时间：</w:t>
      </w:r>
      <w:r>
        <w:rPr>
          <w:rFonts w:hint="eastAsia" w:ascii="宋体" w:hAnsi="宋体" w:cs="宋体"/>
          <w:sz w:val="24"/>
          <w:lang w:eastAsia="zh-CN"/>
        </w:rPr>
        <w:t>2024年11月22日</w:t>
      </w:r>
      <w:r>
        <w:rPr>
          <w:rFonts w:hint="eastAsia" w:ascii="宋体" w:hAnsi="宋体" w:cs="宋体"/>
          <w:sz w:val="24"/>
        </w:rPr>
        <w:t>9点30分00秒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sz w:val="24"/>
        </w:rPr>
      </w:pPr>
      <w:r>
        <w:rPr>
          <w:rFonts w:hint="eastAsia" w:ascii="宋体" w:hAnsi="宋体" w:cs="宋体"/>
          <w:sz w:val="24"/>
        </w:rPr>
        <w:t xml:space="preserve">    名    称：杭州市第一人民医院桐庐医院 </w:t>
      </w:r>
    </w:p>
    <w:p>
      <w:pPr>
        <w:spacing w:line="360" w:lineRule="auto"/>
        <w:rPr>
          <w:rFonts w:ascii="宋体" w:hAnsi="宋体" w:cs="宋体"/>
          <w:sz w:val="24"/>
        </w:rPr>
      </w:pPr>
      <w:r>
        <w:rPr>
          <w:rFonts w:hint="eastAsia" w:ascii="宋体" w:hAnsi="宋体" w:cs="宋体"/>
          <w:sz w:val="24"/>
        </w:rPr>
        <w:t xml:space="preserve">    地    址：杭州市桐庐县梅林路899号      </w:t>
      </w:r>
    </w:p>
    <w:p>
      <w:pPr>
        <w:spacing w:line="360" w:lineRule="auto"/>
        <w:ind w:firstLine="480"/>
        <w:rPr>
          <w:rFonts w:ascii="宋体" w:hAnsi="宋体" w:cs="宋体"/>
          <w:sz w:val="24"/>
        </w:rPr>
      </w:pPr>
      <w:r>
        <w:rPr>
          <w:rFonts w:hint="eastAsia" w:ascii="宋体" w:hAnsi="宋体" w:cs="宋体"/>
          <w:sz w:val="24"/>
        </w:rPr>
        <w:t>传    真： /</w:t>
      </w:r>
    </w:p>
    <w:p>
      <w:pPr>
        <w:spacing w:line="360" w:lineRule="auto"/>
        <w:ind w:firstLine="480"/>
        <w:rPr>
          <w:rFonts w:ascii="宋体" w:hAnsi="宋体" w:cs="宋体"/>
          <w:sz w:val="24"/>
        </w:rPr>
      </w:pPr>
      <w:r>
        <w:rPr>
          <w:rFonts w:hint="eastAsia" w:ascii="宋体" w:hAnsi="宋体" w:cs="宋体"/>
          <w:sz w:val="24"/>
        </w:rPr>
        <w:t>项目联系人（询问）：  郑女士</w:t>
      </w:r>
    </w:p>
    <w:p>
      <w:pPr>
        <w:spacing w:line="360" w:lineRule="auto"/>
        <w:rPr>
          <w:rFonts w:ascii="宋体" w:hAnsi="宋体" w:cs="宋体"/>
          <w:sz w:val="24"/>
        </w:rPr>
      </w:pPr>
      <w:r>
        <w:rPr>
          <w:rFonts w:hint="eastAsia" w:ascii="宋体" w:hAnsi="宋体" w:cs="宋体"/>
          <w:sz w:val="24"/>
        </w:rPr>
        <w:t xml:space="preserve">    项目联系方式（询问）：0571-56007708</w:t>
      </w:r>
    </w:p>
    <w:p>
      <w:pPr>
        <w:spacing w:line="360" w:lineRule="auto"/>
        <w:rPr>
          <w:rFonts w:ascii="宋体" w:hAnsi="宋体" w:cs="宋体"/>
          <w:sz w:val="24"/>
        </w:rPr>
      </w:pPr>
      <w:r>
        <w:rPr>
          <w:rFonts w:hint="eastAsia" w:ascii="宋体" w:hAnsi="宋体" w:cs="宋体"/>
          <w:sz w:val="24"/>
        </w:rPr>
        <w:t xml:space="preserve">    质疑联系人： 陆先生</w:t>
      </w:r>
    </w:p>
    <w:p>
      <w:pPr>
        <w:spacing w:line="360" w:lineRule="auto"/>
        <w:ind w:firstLine="480"/>
      </w:pPr>
      <w:r>
        <w:rPr>
          <w:rFonts w:hint="eastAsia" w:ascii="宋体" w:hAnsi="宋体" w:cs="宋体"/>
          <w:sz w:val="24"/>
        </w:rPr>
        <w:t>质疑联系方式： 0571-56007337</w:t>
      </w:r>
    </w:p>
    <w:p>
      <w:pPr>
        <w:spacing w:line="360" w:lineRule="auto"/>
        <w:ind w:firstLine="480"/>
      </w:pP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称：浙江豪圣建设项目管理有限公司</w:t>
      </w:r>
    </w:p>
    <w:p>
      <w:pPr>
        <w:spacing w:line="360" w:lineRule="auto"/>
        <w:ind w:firstLine="480"/>
        <w:rPr>
          <w:rFonts w:ascii="宋体" w:hAnsi="宋体" w:cs="宋体"/>
          <w:sz w:val="24"/>
        </w:rPr>
      </w:pPr>
      <w:r>
        <w:rPr>
          <w:rFonts w:hint="eastAsia" w:ascii="宋体" w:hAnsi="宋体" w:cs="宋体"/>
          <w:sz w:val="24"/>
        </w:rPr>
        <w:t>地    址：</w:t>
      </w:r>
      <w:r>
        <w:rPr>
          <w:sz w:val="24"/>
        </w:rPr>
        <w:t>杭州市拱墅区大关路179号远洋国际中心A座17楼1706室</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项目联系人（询问）： 王爽、曹剑斌、陈敏娇</w:t>
      </w:r>
    </w:p>
    <w:p>
      <w:pPr>
        <w:spacing w:line="360" w:lineRule="auto"/>
        <w:rPr>
          <w:rFonts w:ascii="宋体" w:hAnsi="宋体" w:cs="宋体"/>
          <w:sz w:val="24"/>
        </w:rPr>
      </w:pPr>
      <w:r>
        <w:rPr>
          <w:rFonts w:hint="eastAsia" w:ascii="宋体" w:hAnsi="宋体" w:cs="宋体"/>
          <w:sz w:val="24"/>
        </w:rPr>
        <w:t xml:space="preserve">    项目联系方式（询问）：</w:t>
      </w:r>
      <w:r>
        <w:rPr>
          <w:sz w:val="24"/>
        </w:rPr>
        <w:t>0571-87981527</w:t>
      </w:r>
    </w:p>
    <w:p>
      <w:pPr>
        <w:spacing w:line="360" w:lineRule="auto"/>
        <w:rPr>
          <w:rFonts w:ascii="宋体" w:hAnsi="宋体" w:cs="宋体"/>
          <w:sz w:val="24"/>
        </w:rPr>
      </w:pPr>
      <w:r>
        <w:rPr>
          <w:rFonts w:hint="eastAsia" w:ascii="宋体" w:hAnsi="宋体" w:cs="宋体"/>
          <w:sz w:val="24"/>
        </w:rPr>
        <w:t xml:space="preserve">    质疑联系人： 桑国坚</w:t>
      </w:r>
    </w:p>
    <w:p>
      <w:pPr>
        <w:spacing w:line="360" w:lineRule="auto"/>
        <w:ind w:firstLine="480"/>
        <w:rPr>
          <w:sz w:val="24"/>
        </w:rPr>
      </w:pPr>
      <w:r>
        <w:rPr>
          <w:rFonts w:hint="eastAsia" w:ascii="宋体" w:hAnsi="宋体" w:cs="宋体"/>
          <w:sz w:val="24"/>
        </w:rPr>
        <w:t>质疑联系方式：</w:t>
      </w:r>
      <w:r>
        <w:rPr>
          <w:sz w:val="24"/>
        </w:rPr>
        <w:t>0571-56386096</w:t>
      </w:r>
    </w:p>
    <w:p>
      <w:pPr>
        <w:spacing w:line="360" w:lineRule="auto"/>
        <w:ind w:firstLine="480"/>
        <w:rPr>
          <w:sz w:val="24"/>
        </w:rPr>
      </w:pP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称：桐庐县财政局、浙江省政府采购行政裁决服务中心（杭州）</w:t>
      </w:r>
    </w:p>
    <w:p>
      <w:pPr>
        <w:spacing w:line="360" w:lineRule="auto"/>
        <w:rPr>
          <w:rFonts w:ascii="宋体" w:hAnsi="宋体" w:cs="宋体"/>
          <w:sz w:val="24"/>
        </w:rPr>
      </w:pPr>
      <w:r>
        <w:rPr>
          <w:rFonts w:hint="eastAsia" w:ascii="宋体" w:hAnsi="宋体" w:cs="宋体"/>
          <w:sz w:val="24"/>
        </w:rPr>
        <w:t xml:space="preserve">   地    址：杭州市上城区清泰街549号城建综合大楼11楼（快递仅限ems或顺丰） </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联系人 ：朱女士、王女士</w:t>
      </w:r>
    </w:p>
    <w:p>
      <w:pPr>
        <w:spacing w:line="360" w:lineRule="auto"/>
        <w:ind w:firstLine="480" w:firstLineChars="200"/>
        <w:rPr>
          <w:rFonts w:ascii="宋体" w:hAnsi="宋体" w:cs="宋体"/>
          <w:sz w:val="24"/>
        </w:rPr>
      </w:pPr>
      <w:r>
        <w:rPr>
          <w:rFonts w:hint="eastAsia" w:ascii="宋体" w:hAnsi="宋体" w:cs="宋体"/>
          <w:sz w:val="24"/>
        </w:rPr>
        <w:t xml:space="preserve">监督投诉电话：电话：0571-87227671,0571-87800218  </w:t>
      </w:r>
    </w:p>
    <w:p>
      <w:pPr>
        <w:spacing w:line="360" w:lineRule="auto"/>
        <w:ind w:firstLine="480"/>
        <w:rPr>
          <w:rFonts w:ascii="宋体" w:hAnsi="宋体" w:cs="宋体"/>
          <w:sz w:val="24"/>
        </w:rPr>
      </w:pPr>
      <w:r>
        <w:rPr>
          <w:rFonts w:hint="eastAsia" w:ascii="宋体" w:hAnsi="宋体" w:cs="宋体"/>
          <w:sz w:val="24"/>
        </w:rPr>
        <w:t>政策咨询：陈先生、厉先生，0571-89580460、89580456</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vAlign w:val="center"/>
          </w:tcPr>
          <w:p>
            <w:pPr>
              <w:snapToGrid w:val="0"/>
              <w:spacing w:line="360" w:lineRule="auto"/>
              <w:rPr>
                <w:rFonts w:ascii="宋体" w:hAnsi="宋体" w:cs="宋体"/>
                <w:kern w:val="0"/>
                <w:sz w:val="24"/>
              </w:rPr>
            </w:pPr>
            <w:r>
              <w:rPr>
                <w:rFonts w:hint="eastAsia" w:ascii="宋体" w:hAnsi="宋体" w:cs="宋体"/>
                <w:kern w:val="0"/>
                <w:sz w:val="24"/>
              </w:rPr>
              <w:t>标的：</w:t>
            </w:r>
            <w:r>
              <w:rPr>
                <w:rFonts w:hint="eastAsia" w:ascii="宋体" w:hAnsi="宋体" w:cs="宋体"/>
                <w:b/>
                <w:bCs/>
                <w:kern w:val="0"/>
                <w:sz w:val="24"/>
                <w:u w:val="single"/>
              </w:rPr>
              <w:t>杭州市第一人民医院桐庐医院硬件设施服务项目</w:t>
            </w:r>
            <w:r>
              <w:rPr>
                <w:rFonts w:hint="eastAsia" w:ascii="宋体" w:hAnsi="宋体" w:cs="宋体"/>
                <w:kern w:val="0"/>
                <w:sz w:val="24"/>
              </w:rPr>
              <w:t>，属于</w:t>
            </w:r>
            <w:r>
              <w:rPr>
                <w:rFonts w:hint="eastAsia" w:ascii="宋体" w:hAnsi="宋体" w:cs="宋体"/>
                <w:b/>
                <w:bCs/>
                <w:kern w:val="0"/>
                <w:sz w:val="24"/>
                <w:u w:val="single"/>
              </w:rPr>
              <w:t>其他未列明</w:t>
            </w:r>
            <w:r>
              <w:rPr>
                <w:rFonts w:hint="eastAsia" w:ascii="宋体" w:hAnsi="宋体" w:cs="宋体"/>
                <w:kern w:val="0"/>
                <w:sz w:val="24"/>
              </w:rPr>
              <w:t>行业；</w:t>
            </w:r>
          </w:p>
          <w:p>
            <w:pPr>
              <w:pStyle w:val="3"/>
              <w:ind w:left="0" w:firstLine="0" w:firstLineChars="0"/>
              <w:jc w:val="both"/>
              <w:rPr>
                <w:rFonts w:ascii="宋体" w:hAnsi="宋体" w:eastAsia="宋体" w:cs="宋体"/>
                <w:lang w:val="en-US"/>
              </w:rPr>
            </w:pPr>
            <w:r>
              <w:rPr>
                <w:rFonts w:hint="eastAsia" w:ascii="宋体" w:hAnsi="宋体" w:eastAsia="宋体" w:cs="宋体"/>
                <w:kern w:val="0"/>
                <w:sz w:val="24"/>
                <w:szCs w:val="24"/>
                <w:lang w:val="en-US"/>
              </w:rPr>
              <w:t>划分标准：从业人员300人以下的为中小微型企业。其中，从业人员100人及以上的为中型企业；从业人员10人及以上的为小型企业；从业人员10人以下的为微型企业。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92" w:hRule="atLeast"/>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vAlign w:val="center"/>
          </w:tcPr>
          <w:p>
            <w:pPr>
              <w:spacing w:line="360" w:lineRule="auto"/>
              <w:rPr>
                <w:rFonts w:ascii="宋体" w:hAnsi="宋体" w:cs="宋体"/>
                <w:kern w:val="0"/>
                <w:sz w:val="24"/>
              </w:rPr>
            </w:pPr>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0" w:hRule="atLeast"/>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vAlign w:val="center"/>
          </w:tcPr>
          <w:p>
            <w:pPr>
              <w:spacing w:line="360" w:lineRule="auto"/>
              <w:rPr>
                <w:rFonts w:ascii="宋体" w:hAnsi="宋体" w:cs="宋体"/>
                <w:sz w:val="24"/>
              </w:rPr>
            </w:pPr>
            <w:sdt>
              <w:sdtPr>
                <w:rPr>
                  <w:rFonts w:hint="eastAsia" w:ascii="宋体" w:hAnsi="宋体" w:cs="宋体"/>
                  <w:kern w:val="0"/>
                  <w:sz w:val="24"/>
                </w:rPr>
                <w:id w:val="-1477286927"/>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b/>
                <w:bCs/>
                <w:sz w:val="24"/>
                <w:u w:val="single"/>
              </w:rPr>
              <w:t>运输、线路、培训</w:t>
            </w:r>
            <w:r>
              <w:rPr>
                <w:rFonts w:hint="eastAsia" w:ascii="宋体" w:hAnsi="宋体" w:cs="宋体"/>
                <w:sz w:val="24"/>
              </w:rPr>
              <w:t>工作分包。</w:t>
            </w:r>
          </w:p>
          <w:p>
            <w:pPr>
              <w:spacing w:line="360" w:lineRule="auto"/>
              <w:rPr>
                <w:rFonts w:ascii="宋体" w:hAnsi="宋体" w:cs="宋体"/>
                <w:sz w:val="24"/>
              </w:rPr>
            </w:pPr>
            <w:sdt>
              <w:sdtPr>
                <w:rPr>
                  <w:rFonts w:hint="eastAsia" w:ascii="宋体" w:hAnsi="宋体" w:cs="宋体"/>
                  <w:kern w:val="0"/>
                  <w:sz w:val="24"/>
                </w:rPr>
                <w:id w:val="-1276331357"/>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0" w:hRule="atLeast"/>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转包</w:t>
            </w:r>
          </w:p>
        </w:tc>
        <w:tc>
          <w:tcPr>
            <w:tcW w:w="6095" w:type="dxa"/>
            <w:vAlign w:val="center"/>
          </w:tcPr>
          <w:p>
            <w:pPr>
              <w:spacing w:line="360" w:lineRule="auto"/>
              <w:rPr>
                <w:rFonts w:ascii="宋体" w:hAnsi="宋体" w:cs="宋体"/>
                <w:sz w:val="24"/>
              </w:rPr>
            </w:pPr>
            <w:r>
              <w:rPr>
                <w:rFonts w:hint="eastAsia" w:ascii="宋体" w:hAnsi="宋体" w:cs="宋体"/>
                <w:sz w:val="24"/>
              </w:rPr>
              <w:t>本项目不允许转包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49" w:hRule="atLeast"/>
        </w:trPr>
        <w:tc>
          <w:tcPr>
            <w:tcW w:w="629" w:type="dxa"/>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vAlign w:val="center"/>
          </w:tcPr>
          <w:p>
            <w:pPr>
              <w:spacing w:line="360" w:lineRule="auto"/>
              <w:rPr>
                <w:rFonts w:ascii="宋体" w:hAnsi="宋体" w:cs="宋体"/>
                <w:sz w:val="24"/>
              </w:rPr>
            </w:pPr>
            <w:sdt>
              <w:sdtPr>
                <w:rPr>
                  <w:rFonts w:hint="eastAsia" w:ascii="宋体" w:hAnsi="宋体" w:cs="宋体"/>
                  <w:kern w:val="0"/>
                  <w:sz w:val="24"/>
                </w:rPr>
                <w:id w:val="-212966419"/>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时间：,地点：，联系人：，联系方式：</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rPr>
        <w:tc>
          <w:tcPr>
            <w:tcW w:w="629" w:type="dxa"/>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vAlign w:val="center"/>
          </w:tcPr>
          <w:p>
            <w:pPr>
              <w:spacing w:line="360" w:lineRule="auto"/>
              <w:rPr>
                <w:rFonts w:ascii="宋体" w:hAnsi="宋体" w:cs="宋体"/>
                <w:sz w:val="24"/>
              </w:rPr>
            </w:pPr>
            <w:sdt>
              <w:sdtPr>
                <w:rPr>
                  <w:rFonts w:hint="eastAsia" w:ascii="宋体" w:hAnsi="宋体" w:cs="宋体"/>
                  <w:kern w:val="0"/>
                  <w:sz w:val="24"/>
                </w:rPr>
                <w:id w:val="-1639946486"/>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kern w:val="0"/>
                <w:sz w:val="24"/>
              </w:rPr>
              <w:t>；检测内容</w:t>
            </w:r>
            <w:r>
              <w:rPr>
                <w:rFonts w:hint="eastAsia" w:ascii="宋体" w:hAnsi="宋体" w:cs="宋体"/>
                <w:sz w:val="24"/>
              </w:rPr>
              <w:t>：</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kern w:val="0"/>
                <w:sz w:val="24"/>
              </w:rPr>
              <w:t>；地点：；联系人</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vAlign w:val="center"/>
          </w:tcPr>
          <w:p>
            <w:pPr>
              <w:spacing w:line="360" w:lineRule="auto"/>
              <w:rPr>
                <w:rFonts w:ascii="宋体" w:hAnsi="宋体" w:cs="宋体"/>
                <w:sz w:val="24"/>
              </w:rPr>
            </w:pPr>
            <w:sdt>
              <w:sdtPr>
                <w:rPr>
                  <w:rFonts w:hint="eastAsia" w:ascii="宋体" w:hAnsi="宋体" w:cs="宋体"/>
                  <w:kern w:val="0"/>
                  <w:sz w:val="24"/>
                </w:rPr>
                <w:id w:val="-1859348549"/>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rPr>
        <w:tc>
          <w:tcPr>
            <w:tcW w:w="629" w:type="dxa"/>
            <w:vMerge w:val="restart"/>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843" w:type="dxa"/>
            <w:vMerge w:val="restart"/>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rPr>
        <w:tc>
          <w:tcPr>
            <w:tcW w:w="629" w:type="dxa"/>
            <w:vMerge w:val="continue"/>
            <w:vAlign w:val="center"/>
          </w:tcPr>
          <w:p>
            <w:pPr>
              <w:snapToGrid w:val="0"/>
              <w:spacing w:line="360" w:lineRule="auto"/>
              <w:jc w:val="center"/>
              <w:rPr>
                <w:rFonts w:ascii="宋体" w:hAnsi="宋体" w:cs="宋体"/>
                <w:sz w:val="24"/>
              </w:rPr>
            </w:pPr>
          </w:p>
        </w:tc>
        <w:tc>
          <w:tcPr>
            <w:tcW w:w="1843" w:type="dxa"/>
            <w:vMerge w:val="continue"/>
            <w:vAlign w:val="center"/>
          </w:tcPr>
          <w:p>
            <w:pPr>
              <w:snapToGrid w:val="0"/>
              <w:spacing w:line="360" w:lineRule="auto"/>
              <w:jc w:val="center"/>
              <w:rPr>
                <w:rFonts w:ascii="宋体" w:hAnsi="宋体" w:cs="宋体"/>
                <w:b/>
                <w:sz w:val="24"/>
              </w:rPr>
            </w:pPr>
          </w:p>
        </w:tc>
        <w:tc>
          <w:tcPr>
            <w:tcW w:w="6095" w:type="dxa"/>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68" w:hRule="atLeast"/>
        </w:trPr>
        <w:tc>
          <w:tcPr>
            <w:tcW w:w="629" w:type="dxa"/>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12</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投标文件</w:t>
            </w:r>
          </w:p>
          <w:p>
            <w:pPr>
              <w:snapToGrid w:val="0"/>
              <w:spacing w:line="360" w:lineRule="auto"/>
              <w:jc w:val="center"/>
              <w:rPr>
                <w:rFonts w:ascii="宋体" w:hAnsi="宋体" w:cs="宋体"/>
                <w:b/>
                <w:sz w:val="24"/>
              </w:rPr>
            </w:pPr>
            <w:r>
              <w:rPr>
                <w:rFonts w:hint="eastAsia" w:ascii="宋体" w:hAnsi="宋体" w:cs="宋体"/>
                <w:b/>
                <w:sz w:val="24"/>
              </w:rPr>
              <w:t>的编制</w:t>
            </w:r>
          </w:p>
        </w:tc>
        <w:tc>
          <w:tcPr>
            <w:tcW w:w="6095" w:type="dxa"/>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1、“电子加密投标文件”：</w:t>
            </w:r>
          </w:p>
          <w:p>
            <w:pPr>
              <w:spacing w:line="360" w:lineRule="auto"/>
              <w:rPr>
                <w:rFonts w:ascii="宋体" w:hAnsi="宋体" w:cs="宋体"/>
                <w:snapToGrid w:val="0"/>
                <w:kern w:val="28"/>
                <w:sz w:val="24"/>
              </w:rPr>
            </w:pPr>
            <w:r>
              <w:rPr>
                <w:rFonts w:hint="eastAsia" w:ascii="宋体" w:hAnsi="宋体" w:cs="宋体"/>
                <w:snapToGrid w:val="0"/>
                <w:kern w:val="28"/>
                <w:sz w:val="24"/>
              </w:rPr>
              <w:t>（1）“电子加密投标文件”是指通过“政采云电子交易客户端”完成投标文件编制后生成并加密的数据电文形式的投标文件。</w:t>
            </w:r>
          </w:p>
          <w:p>
            <w:pPr>
              <w:spacing w:line="360" w:lineRule="auto"/>
              <w:rPr>
                <w:rFonts w:ascii="宋体" w:hAnsi="宋体" w:cs="宋体"/>
                <w:snapToGrid w:val="0"/>
                <w:kern w:val="28"/>
                <w:sz w:val="24"/>
              </w:rPr>
            </w:pPr>
            <w:r>
              <w:rPr>
                <w:rFonts w:hint="eastAsia" w:ascii="宋体" w:hAnsi="宋体" w:cs="宋体"/>
                <w:snapToGrid w:val="0"/>
                <w:kern w:val="28"/>
                <w:sz w:val="24"/>
              </w:rPr>
              <w:t>（2）供应商应先安装“政采云电子交易客户端”，并按照本招标文件和“政府采购云平台”的要求，通过“政采云电子交易客户端”编制并加密投标文件。</w:t>
            </w:r>
          </w:p>
          <w:p>
            <w:pPr>
              <w:spacing w:line="360" w:lineRule="auto"/>
              <w:rPr>
                <w:rFonts w:ascii="宋体" w:hAnsi="宋体" w:cs="宋体"/>
                <w:snapToGrid w:val="0"/>
                <w:kern w:val="28"/>
                <w:sz w:val="24"/>
              </w:rPr>
            </w:pPr>
            <w:r>
              <w:rPr>
                <w:rFonts w:hint="eastAsia" w:ascii="宋体" w:hAnsi="宋体" w:cs="宋体"/>
                <w:snapToGrid w:val="0"/>
                <w:kern w:val="28"/>
                <w:sz w:val="24"/>
              </w:rPr>
              <w:t>2、“电子备份投标文件”：</w:t>
            </w:r>
          </w:p>
          <w:p>
            <w:pPr>
              <w:spacing w:line="360" w:lineRule="auto"/>
              <w:rPr>
                <w:rFonts w:ascii="宋体" w:hAnsi="宋体" w:cs="宋体"/>
                <w:snapToGrid w:val="0"/>
                <w:kern w:val="28"/>
                <w:sz w:val="24"/>
              </w:rPr>
            </w:pPr>
            <w:r>
              <w:rPr>
                <w:rFonts w:hint="eastAsia" w:ascii="宋体" w:hAnsi="宋体" w:cs="宋体"/>
                <w:snapToGrid w:val="0"/>
                <w:kern w:val="28"/>
                <w:sz w:val="24"/>
              </w:rPr>
              <w:t>（1）“电子备份投标文件”是指与“电子加密投标文件”同时生成的数据电文形式的电子文件。</w:t>
            </w:r>
          </w:p>
          <w:p>
            <w:pPr>
              <w:spacing w:line="360" w:lineRule="auto"/>
              <w:rPr>
                <w:rFonts w:ascii="宋体" w:hAnsi="宋体" w:cs="宋体"/>
                <w:snapToGrid w:val="0"/>
                <w:kern w:val="28"/>
                <w:sz w:val="24"/>
              </w:rPr>
            </w:pPr>
            <w:r>
              <w:rPr>
                <w:rFonts w:hint="eastAsia" w:ascii="宋体" w:hAnsi="宋体" w:cs="宋体"/>
                <w:snapToGrid w:val="0"/>
                <w:kern w:val="28"/>
                <w:sz w:val="24"/>
              </w:rPr>
              <w:t>（2）供应商可自主选择是否编制“电子备份投标文件”。</w:t>
            </w:r>
          </w:p>
          <w:p>
            <w:pPr>
              <w:spacing w:line="360" w:lineRule="auto"/>
              <w:rPr>
                <w:rFonts w:ascii="宋体" w:hAnsi="宋体" w:cs="宋体"/>
                <w:snapToGrid w:val="0"/>
                <w:kern w:val="28"/>
                <w:sz w:val="24"/>
              </w:rPr>
            </w:pPr>
            <w:r>
              <w:rPr>
                <w:rFonts w:hint="eastAsia" w:ascii="宋体" w:hAnsi="宋体" w:cs="宋体"/>
                <w:snapToGrid w:val="0"/>
                <w:kern w:val="28"/>
                <w:sz w:val="24"/>
              </w:rPr>
              <w:t>（3）其他方式编制的备份投标文件视为无效备份投标文件。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2" w:hRule="atLeast"/>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投标文件</w:t>
            </w:r>
          </w:p>
          <w:p>
            <w:pPr>
              <w:snapToGrid w:val="0"/>
              <w:spacing w:line="360" w:lineRule="auto"/>
              <w:jc w:val="center"/>
              <w:rPr>
                <w:rFonts w:ascii="宋体" w:hAnsi="宋体" w:cs="宋体"/>
                <w:b/>
                <w:sz w:val="24"/>
              </w:rPr>
            </w:pPr>
            <w:r>
              <w:rPr>
                <w:rFonts w:hint="eastAsia" w:ascii="宋体" w:hAnsi="宋体" w:cs="宋体"/>
                <w:b/>
                <w:sz w:val="24"/>
              </w:rPr>
              <w:t>的签章</w:t>
            </w:r>
          </w:p>
        </w:tc>
        <w:tc>
          <w:tcPr>
            <w:tcW w:w="6095" w:type="dxa"/>
            <w:vAlign w:val="center"/>
          </w:tcPr>
          <w:p>
            <w:pPr>
              <w:pStyle w:val="35"/>
              <w:spacing w:line="360" w:lineRule="auto"/>
              <w:rPr>
                <w:rFonts w:hAnsi="宋体" w:cs="宋体"/>
                <w:kern w:val="28"/>
                <w:sz w:val="24"/>
                <w:szCs w:val="24"/>
              </w:rPr>
            </w:pPr>
            <w:r>
              <w:rPr>
                <w:rFonts w:hAnsi="宋体" w:cs="宋体"/>
                <w:sz w:val="24"/>
                <w:szCs w:val="24"/>
              </w:rPr>
              <w:t>采用盖公章或电子签章。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0" w:hRule="atLeast"/>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15</w:t>
            </w:r>
          </w:p>
        </w:tc>
        <w:tc>
          <w:tcPr>
            <w:tcW w:w="1843" w:type="dxa"/>
            <w:vAlign w:val="center"/>
          </w:tcPr>
          <w:p>
            <w:pPr>
              <w:snapToGrid w:val="0"/>
              <w:spacing w:line="320" w:lineRule="exact"/>
              <w:jc w:val="center"/>
              <w:rPr>
                <w:rFonts w:ascii="宋体" w:hAnsi="宋体" w:cs="宋体"/>
                <w:sz w:val="24"/>
              </w:rPr>
            </w:pPr>
            <w:r>
              <w:rPr>
                <w:rFonts w:ascii="宋体" w:hAnsi="宋体" w:cs="宋体"/>
                <w:sz w:val="24"/>
              </w:rPr>
              <w:t>投标文件</w:t>
            </w:r>
          </w:p>
          <w:p>
            <w:pPr>
              <w:snapToGrid w:val="0"/>
              <w:spacing w:line="360" w:lineRule="auto"/>
              <w:jc w:val="center"/>
              <w:rPr>
                <w:rFonts w:ascii="宋体" w:hAnsi="宋体" w:cs="宋体"/>
                <w:b/>
                <w:sz w:val="24"/>
              </w:rPr>
            </w:pPr>
            <w:r>
              <w:rPr>
                <w:rFonts w:ascii="宋体" w:hAnsi="宋体" w:cs="宋体"/>
                <w:sz w:val="24"/>
              </w:rPr>
              <w:t>的包装、密封和递交</w:t>
            </w:r>
          </w:p>
        </w:tc>
        <w:tc>
          <w:tcPr>
            <w:tcW w:w="6095" w:type="dxa"/>
            <w:vAlign w:val="center"/>
          </w:tcPr>
          <w:p>
            <w:pPr>
              <w:pStyle w:val="35"/>
              <w:spacing w:line="360" w:lineRule="auto"/>
              <w:rPr>
                <w:rFonts w:hAnsi="宋体" w:cs="宋体"/>
                <w:kern w:val="28"/>
                <w:sz w:val="24"/>
              </w:rPr>
            </w:pPr>
            <w:r>
              <w:rPr>
                <w:rFonts w:hint="eastAsia" w:hAnsi="宋体" w:cs="宋体"/>
                <w:kern w:val="28"/>
                <w:sz w:val="24"/>
              </w:rPr>
              <w:t>1、“电子加密投标文件”的递交：在线上传递交。</w:t>
            </w:r>
          </w:p>
          <w:p>
            <w:pPr>
              <w:pStyle w:val="35"/>
              <w:spacing w:line="360" w:lineRule="auto"/>
              <w:rPr>
                <w:rFonts w:hAnsi="宋体" w:cs="宋体"/>
                <w:kern w:val="28"/>
                <w:sz w:val="24"/>
              </w:rPr>
            </w:pPr>
            <w:r>
              <w:rPr>
                <w:rFonts w:hint="eastAsia" w:hAnsi="宋体" w:cs="宋体"/>
                <w:kern w:val="28"/>
                <w:sz w:val="24"/>
              </w:rPr>
              <w:t>（1）供应商应在投标截止时间前将“电子加密投标文件”成功上传递交至“政府采购云平台”，否则投标无效。</w:t>
            </w:r>
          </w:p>
          <w:p>
            <w:pPr>
              <w:pStyle w:val="35"/>
              <w:spacing w:line="360" w:lineRule="auto"/>
              <w:rPr>
                <w:rFonts w:hAnsi="宋体" w:cs="宋体"/>
                <w:kern w:val="28"/>
                <w:sz w:val="24"/>
              </w:rPr>
            </w:pPr>
            <w:r>
              <w:rPr>
                <w:rFonts w:hint="eastAsia" w:hAnsi="宋体" w:cs="宋体"/>
                <w:kern w:val="28"/>
                <w:sz w:val="24"/>
              </w:rPr>
              <w:t>（2）“电子加密投标文件”成功上传递交后，供应商可自行打印投标文件接收回执。</w:t>
            </w:r>
          </w:p>
          <w:p>
            <w:pPr>
              <w:pStyle w:val="35"/>
              <w:spacing w:line="360" w:lineRule="auto"/>
              <w:rPr>
                <w:rFonts w:hAnsi="宋体" w:cs="宋体"/>
                <w:kern w:val="28"/>
                <w:sz w:val="24"/>
              </w:rPr>
            </w:pPr>
            <w:r>
              <w:rPr>
                <w:rFonts w:hint="eastAsia" w:hAnsi="宋体" w:cs="宋体"/>
                <w:kern w:val="28"/>
                <w:sz w:val="24"/>
              </w:rPr>
              <w:t>2、“电子备份投标文件”的密封、包装和递交：</w:t>
            </w:r>
          </w:p>
          <w:p>
            <w:pPr>
              <w:pStyle w:val="35"/>
              <w:spacing w:line="360" w:lineRule="auto"/>
              <w:rPr>
                <w:rFonts w:hAnsi="宋体" w:cs="宋体"/>
                <w:kern w:val="28"/>
                <w:sz w:val="24"/>
              </w:rPr>
            </w:pPr>
            <w:r>
              <w:rPr>
                <w:rFonts w:hint="eastAsia" w:hAnsi="宋体" w:cs="宋体"/>
                <w:kern w:val="28"/>
                <w:sz w:val="24"/>
              </w:rPr>
              <w:t>（1）供应商可自主选择是否递交“电子备份投标文件”。</w:t>
            </w:r>
          </w:p>
          <w:p>
            <w:pPr>
              <w:pStyle w:val="35"/>
              <w:spacing w:line="360" w:lineRule="auto"/>
              <w:rPr>
                <w:rFonts w:hAnsi="宋体" w:cs="宋体"/>
                <w:kern w:val="28"/>
                <w:sz w:val="24"/>
              </w:rPr>
            </w:pPr>
            <w:r>
              <w:rPr>
                <w:rFonts w:hint="eastAsia" w:hAnsi="宋体" w:cs="宋体"/>
                <w:kern w:val="28"/>
                <w:sz w:val="24"/>
              </w:rPr>
              <w:t>（2）“电子备份投标文件”存入U盘（一份）。</w:t>
            </w:r>
          </w:p>
          <w:p>
            <w:pPr>
              <w:pStyle w:val="35"/>
              <w:spacing w:line="360" w:lineRule="auto"/>
              <w:rPr>
                <w:rFonts w:hAnsi="宋体" w:cs="宋体"/>
                <w:kern w:val="28"/>
                <w:sz w:val="24"/>
                <w:u w:val="single"/>
              </w:rPr>
            </w:pPr>
            <w:r>
              <w:rPr>
                <w:rFonts w:hint="eastAsia" w:hAnsi="宋体" w:cs="宋体"/>
                <w:kern w:val="28"/>
                <w:sz w:val="24"/>
              </w:rPr>
              <w:t>（3）“电子备份投标文件” 应在投标截止时间前以邮寄或送达方式递交：邮寄或送达地址：</w:t>
            </w:r>
            <w:r>
              <w:rPr>
                <w:rFonts w:hint="eastAsia" w:hAnsi="宋体" w:cs="宋体"/>
                <w:kern w:val="28"/>
                <w:sz w:val="24"/>
                <w:u w:val="single"/>
              </w:rPr>
              <w:t>杭州市拱墅区大关路179号远洋国际中心A座17楼1706室，</w:t>
            </w:r>
            <w:r>
              <w:rPr>
                <w:rFonts w:hint="eastAsia" w:hAnsi="宋体" w:cs="宋体"/>
                <w:kern w:val="28"/>
                <w:sz w:val="24"/>
              </w:rPr>
              <w:t>收件人：</w:t>
            </w:r>
            <w:r>
              <w:rPr>
                <w:rFonts w:hint="eastAsia" w:hAnsi="宋体" w:cs="宋体"/>
                <w:kern w:val="28"/>
                <w:sz w:val="24"/>
                <w:u w:val="single"/>
              </w:rPr>
              <w:t>王爽，0571-87981527。</w:t>
            </w:r>
          </w:p>
          <w:p>
            <w:pPr>
              <w:pStyle w:val="35"/>
              <w:spacing w:line="360" w:lineRule="auto"/>
              <w:rPr>
                <w:rFonts w:hAnsi="宋体" w:cs="宋体"/>
                <w:sz w:val="24"/>
                <w:szCs w:val="24"/>
              </w:rPr>
            </w:pPr>
            <w:r>
              <w:rPr>
                <w:rFonts w:hint="eastAsia" w:hAnsi="宋体" w:cs="宋体"/>
                <w:kern w:val="28"/>
                <w:sz w:val="24"/>
              </w:rPr>
              <w:t>（4）“电子备份投标文件”应当密封包装，并在包装上标注投标项目编号、项目名称、投标单位名称等并加盖公章（详见第六章投标文件格式）。没有密封包装或者逾期送达至指定地点的“电子备份投标文件”将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16</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履约保证金</w:t>
            </w:r>
          </w:p>
        </w:tc>
        <w:tc>
          <w:tcPr>
            <w:tcW w:w="6095" w:type="dxa"/>
            <w:vAlign w:val="center"/>
          </w:tcPr>
          <w:p>
            <w:pPr>
              <w:autoSpaceDE w:val="0"/>
              <w:autoSpaceDN w:val="0"/>
              <w:snapToGrid w:val="0"/>
              <w:spacing w:line="360" w:lineRule="auto"/>
              <w:textAlignment w:val="bottom"/>
              <w:rPr>
                <w:rFonts w:ascii="宋体" w:hAnsi="宋体" w:cs="宋体"/>
                <w:sz w:val="24"/>
              </w:rPr>
            </w:pPr>
            <w:r>
              <w:rPr>
                <w:rFonts w:hint="eastAsia" w:ascii="宋体" w:hAnsi="宋体" w:cs="宋体"/>
                <w:sz w:val="24"/>
              </w:rPr>
              <w:t>☑</w:t>
            </w:r>
            <w:r>
              <w:rPr>
                <w:rFonts w:ascii="宋体" w:hAnsi="宋体" w:cs="宋体"/>
                <w:sz w:val="24"/>
              </w:rPr>
              <w:t>不要求提供</w:t>
            </w:r>
          </w:p>
          <w:p>
            <w:pPr>
              <w:snapToGrid w:val="0"/>
              <w:spacing w:line="360" w:lineRule="auto"/>
              <w:rPr>
                <w:rFonts w:ascii="宋体" w:hAnsi="宋体" w:cs="宋体"/>
                <w:sz w:val="24"/>
              </w:rPr>
            </w:pPr>
            <w:r>
              <w:rPr>
                <w:rFonts w:ascii="宋体" w:hAnsi="宋体" w:cs="宋体"/>
                <w:sz w:val="24"/>
              </w:rPr>
              <w:sym w:font="Wingdings 2" w:char="00A3"/>
            </w:r>
            <w:r>
              <w:rPr>
                <w:rFonts w:ascii="宋体" w:hAnsi="宋体" w:cs="宋体"/>
                <w:sz w:val="24"/>
              </w:rPr>
              <w:t>要求提供：</w:t>
            </w:r>
          </w:p>
          <w:p>
            <w:pPr>
              <w:pStyle w:val="35"/>
              <w:spacing w:line="360" w:lineRule="auto"/>
              <w:rPr>
                <w:rFonts w:hAnsi="宋体" w:cs="宋体"/>
                <w:kern w:val="28"/>
                <w:sz w:val="24"/>
              </w:rPr>
            </w:pPr>
            <w:r>
              <w:rPr>
                <w:rFonts w:hint="eastAsia" w:hAnsi="宋体" w:cs="宋体"/>
                <w:kern w:val="28"/>
                <w:sz w:val="24"/>
                <w:szCs w:val="24"/>
              </w:rPr>
              <w:t>合同总价的1％作为履约保证金，</w:t>
            </w:r>
            <w:r>
              <w:rPr>
                <w:rFonts w:hint="eastAsia" w:hAnsi="宋体" w:cs="宋体"/>
                <w:sz w:val="24"/>
                <w:szCs w:val="24"/>
              </w:rPr>
              <w:t>以</w:t>
            </w:r>
            <w:r>
              <w:rPr>
                <w:rFonts w:hAnsi="宋体" w:cs="宋体"/>
                <w:sz w:val="24"/>
              </w:rPr>
              <w:t>支票、汇票、本票或者金融机构、担保机构出具的保函等非现金形式提交</w:t>
            </w:r>
            <w:r>
              <w:rPr>
                <w:rFonts w:hAnsi="宋体" w:cs="宋体"/>
                <w:sz w:val="24"/>
                <w:szCs w:val="24"/>
              </w:rPr>
              <w:t>。</w:t>
            </w:r>
            <w:r>
              <w:rPr>
                <w:rFonts w:hint="eastAsia" w:hAnsi="宋体" w:cs="宋体"/>
                <w:kern w:val="28"/>
                <w:sz w:val="24"/>
                <w:szCs w:val="24"/>
              </w:rPr>
              <w:t>履约保证金在收到中标通知书之后合同签订之前由中标人交入招标人帐户，一年服务期满后，15个工作日内无息退还。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Merge w:val="restart"/>
            <w:vAlign w:val="center"/>
          </w:tcPr>
          <w:p>
            <w:pPr>
              <w:snapToGrid w:val="0"/>
              <w:spacing w:line="360" w:lineRule="auto"/>
              <w:jc w:val="center"/>
              <w:rPr>
                <w:rFonts w:ascii="宋体" w:hAnsi="宋体" w:cs="宋体"/>
                <w:sz w:val="24"/>
              </w:rPr>
            </w:pPr>
            <w:r>
              <w:rPr>
                <w:rFonts w:hint="eastAsia" w:ascii="宋体" w:hAnsi="宋体" w:cs="宋体"/>
                <w:sz w:val="24"/>
              </w:rPr>
              <w:t>17</w:t>
            </w:r>
          </w:p>
        </w:tc>
        <w:tc>
          <w:tcPr>
            <w:tcW w:w="1843" w:type="dxa"/>
            <w:vMerge w:val="restart"/>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Merge w:val="continue"/>
            <w:vAlign w:val="center"/>
          </w:tcPr>
          <w:p>
            <w:pPr>
              <w:snapToGrid w:val="0"/>
              <w:spacing w:line="360" w:lineRule="auto"/>
              <w:jc w:val="center"/>
              <w:rPr>
                <w:rFonts w:ascii="宋体" w:hAnsi="宋体" w:cs="宋体"/>
                <w:sz w:val="24"/>
              </w:rPr>
            </w:pPr>
          </w:p>
        </w:tc>
        <w:tc>
          <w:tcPr>
            <w:tcW w:w="1843" w:type="dxa"/>
            <w:vMerge w:val="continue"/>
            <w:vAlign w:val="center"/>
          </w:tcPr>
          <w:p>
            <w:pPr>
              <w:snapToGrid w:val="0"/>
              <w:spacing w:line="360" w:lineRule="auto"/>
              <w:jc w:val="center"/>
              <w:rPr>
                <w:rFonts w:ascii="宋体" w:hAnsi="宋体" w:cs="宋体"/>
                <w:b/>
                <w:sz w:val="24"/>
              </w:rPr>
            </w:pPr>
          </w:p>
        </w:tc>
        <w:tc>
          <w:tcPr>
            <w:tcW w:w="6095" w:type="dxa"/>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18</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代理服务费</w:t>
            </w:r>
          </w:p>
        </w:tc>
        <w:tc>
          <w:tcPr>
            <w:tcW w:w="6095" w:type="dxa"/>
            <w:vAlign w:val="center"/>
          </w:tcPr>
          <w:p>
            <w:pPr>
              <w:spacing w:line="360" w:lineRule="auto"/>
              <w:rPr>
                <w:rFonts w:cs="Arial" w:asciiTheme="minorEastAsia" w:hAnsiTheme="minorEastAsia" w:eastAsiaTheme="minorEastAsia"/>
                <w:b/>
                <w:bCs/>
                <w:kern w:val="0"/>
                <w:sz w:val="24"/>
              </w:rPr>
            </w:pPr>
            <w:r>
              <w:rPr>
                <w:rFonts w:hint="eastAsia" w:cs="Arial" w:asciiTheme="minorEastAsia" w:hAnsiTheme="minorEastAsia" w:eastAsiaTheme="minorEastAsia"/>
                <w:b/>
                <w:bCs/>
                <w:kern w:val="0"/>
                <w:sz w:val="24"/>
              </w:rPr>
              <w:t>本项目代理服务费由中标人在接到成交通知书时一次性支付给代理机构。</w:t>
            </w:r>
          </w:p>
          <w:p>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按照招标代理服务（按国家《招标代理服务收费管理暂行办法》（计价格[2002]1980号），发改办价格[2003]857号，浙价服[2009]84号）收费标准乘以75%收取代理服务费。招标代理费单个标项收费不足3000元时按3000元计取；</w:t>
            </w:r>
            <w:r>
              <w:rPr>
                <w:rFonts w:hint="eastAsia" w:cs="Arial" w:asciiTheme="minorEastAsia" w:hAnsiTheme="minorEastAsia" w:eastAsiaTheme="minorEastAsia"/>
                <w:kern w:val="0"/>
                <w:sz w:val="24"/>
              </w:rPr>
              <w:br w:type="textWrapping"/>
            </w:r>
            <w:r>
              <w:rPr>
                <w:rFonts w:hint="eastAsia" w:cs="Arial" w:asciiTheme="minorEastAsia" w:hAnsiTheme="minorEastAsia" w:eastAsiaTheme="minorEastAsia"/>
                <w:kern w:val="0"/>
                <w:sz w:val="24"/>
              </w:rPr>
              <w:t>（2）工程造价咨询服务费（工程量清单及预算、招标控制价的编制与核对）收费标准按《浙江省物价局关于进一步完善工程造价咨询服务收费的通知》（浙价服[2009]84号）文件规定乘以75%收取，且工程造价咨询服务费（工程量清单及预算、招标控制价的编制与核对）单个标项收费不足2000元时按2000元计取。</w:t>
            </w:r>
          </w:p>
        </w:tc>
      </w:tr>
    </w:tbl>
    <w:p>
      <w:pPr>
        <w:snapToGrid w:val="0"/>
        <w:spacing w:line="360" w:lineRule="auto"/>
        <w:jc w:val="center"/>
        <w:rPr>
          <w:rFonts w:ascii="宋体" w:hAnsi="宋体" w:cs="宋体"/>
          <w:b/>
          <w:sz w:val="32"/>
          <w:szCs w:val="20"/>
        </w:rPr>
      </w:pPr>
    </w:p>
    <w:bookmarkEnd w:id="10"/>
    <w:p>
      <w:pPr>
        <w:rPr>
          <w:rFonts w:ascii="宋体" w:hAnsi="宋体" w:cs="宋体"/>
          <w:b/>
          <w:sz w:val="32"/>
          <w:szCs w:val="20"/>
        </w:rPr>
      </w:pPr>
      <w:bookmarkStart w:id="11" w:name="第三部分"/>
      <w:bookmarkStart w:id="12" w:name="_Toc164416483"/>
      <w:r>
        <w:rPr>
          <w:rFonts w:hint="eastAsia" w:ascii="宋体" w:hAnsi="宋体" w:cs="宋体"/>
          <w:b/>
          <w:sz w:val="32"/>
          <w:szCs w:val="20"/>
        </w:rPr>
        <w:br w:type="page"/>
      </w: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pStyle w:val="3"/>
        <w:adjustRightInd w:val="0"/>
        <w:ind w:left="0" w:firstLine="480"/>
      </w:pPr>
      <w:r>
        <w:rPr>
          <w:rFonts w:hint="eastAsia" w:ascii="宋体" w:hAnsi="宋体" w:eastAsia="宋体" w:cs="仿宋"/>
          <w:b w:val="0"/>
          <w:bCs w:val="0"/>
          <w:sz w:val="24"/>
          <w:szCs w:val="24"/>
          <w:lang w:val="en-US"/>
        </w:rPr>
        <w:t>3.4.3 采购人应当贯彻落实知识产权保护相关法律法规，应当采购使用正版软件。</w:t>
      </w:r>
    </w:p>
    <w:p>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r>
        <w:rPr>
          <w:rFonts w:hint="eastAsia" w:ascii="宋体" w:hAnsi="宋体" w:cs="仿宋"/>
          <w:sz w:val="24"/>
        </w:rPr>
        <w:t>、补偿救济</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5"/>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5"/>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pPr>
      <w:r>
        <w:rPr>
          <w:rFonts w:hint="eastAsia"/>
        </w:rPr>
        <w:t>质疑函范本及制作说明详见附件2。</w:t>
      </w:r>
    </w:p>
    <w:p>
      <w:pPr>
        <w:pStyle w:val="88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8"/>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8"/>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pPr>
      <w:r>
        <w:rPr>
          <w:rFonts w:hint="eastAsia"/>
        </w:rPr>
        <w:t>4.4.5根据政府采购行政裁决省市区三级联动试点工作安排，杭州市本级、拱墅区、富阳区政府采购项目投诉材料可寄送至杭州市财政局政府采购监管处、浙江省政府采购行政裁决服务中心（杭州），地址：杭州市上城区清泰街549号城建综合大楼11楼（快递仅限ems或顺丰） ，收件人：朱女士、王女士，电话：0571-87227671,0571-87800218。</w:t>
      </w:r>
    </w:p>
    <w:p>
      <w:pPr>
        <w:pStyle w:val="888"/>
        <w:shd w:val="clear" w:color="auto" w:fill="FFFFFF"/>
        <w:snapToGrid w:val="0"/>
        <w:spacing w:after="240" w:afterAutospacing="0" w:line="360" w:lineRule="auto"/>
        <w:ind w:firstLine="400"/>
        <w:contextualSpacing/>
      </w:pPr>
      <w:r>
        <w:rPr>
          <w:rFonts w:hint="eastAsia"/>
        </w:rPr>
        <w:t>4.5 补偿救济</w:t>
      </w:r>
    </w:p>
    <w:p>
      <w:pPr>
        <w:pStyle w:val="888"/>
        <w:shd w:val="clear" w:color="auto" w:fill="FFFFFF"/>
        <w:snapToGrid w:val="0"/>
        <w:spacing w:after="240" w:afterAutospacing="0" w:line="360" w:lineRule="auto"/>
        <w:ind w:firstLine="400"/>
        <w:contextualSpacing/>
      </w:pPr>
      <w:r>
        <w:rPr>
          <w:rFonts w:hint="eastAsia"/>
        </w:rPr>
        <w:t>采购人（行政机关）因政策变化、规划调整而不履行政府采购合同的，供应商可依据《杭州市涉企补偿救济实施办法（试行）》向采购人（行政机关）提起补偿申请。</w:t>
      </w:r>
    </w:p>
    <w:p>
      <w:pPr>
        <w:pStyle w:val="888"/>
        <w:shd w:val="clear" w:color="auto" w:fill="FFFFFF"/>
        <w:snapToGrid w:val="0"/>
        <w:spacing w:after="240" w:afterAutospacing="0" w:line="360" w:lineRule="auto"/>
        <w:ind w:firstLine="400"/>
        <w:contextualSpacing/>
      </w:pPr>
      <w:r>
        <w:rPr>
          <w:rFonts w:hint="eastAsia"/>
        </w:rPr>
        <w:t>投诉书范本及制作说明详见附件3。</w:t>
      </w:r>
    </w:p>
    <w:p>
      <w:pPr>
        <w:pStyle w:val="888"/>
        <w:shd w:val="clear" w:color="auto" w:fill="FFFFFF"/>
        <w:snapToGrid w:val="0"/>
        <w:spacing w:after="240" w:afterAutospacing="0" w:line="360" w:lineRule="auto"/>
        <w:ind w:firstLine="400"/>
        <w:contextualSpacing/>
        <w:jc w:val="center"/>
        <w:rPr>
          <w:b/>
          <w:sz w:val="32"/>
          <w:szCs w:val="20"/>
        </w:rPr>
      </w:pPr>
      <w:r>
        <w:rPr>
          <w:rFonts w:hint="eastAsia"/>
          <w:b/>
          <w:sz w:val="32"/>
          <w:szCs w:val="20"/>
        </w:rPr>
        <w:t>二、招标文件的构成、澄清、修改</w:t>
      </w:r>
    </w:p>
    <w:p>
      <w:pPr>
        <w:pStyle w:val="35"/>
        <w:spacing w:line="360" w:lineRule="auto"/>
        <w:rPr>
          <w:rFonts w:hAnsi="宋体" w:cs="宋体"/>
          <w:b/>
          <w:sz w:val="24"/>
          <w:szCs w:val="24"/>
        </w:rPr>
      </w:pPr>
      <w:r>
        <w:rPr>
          <w:rFonts w:hint="eastAsia" w:hAnsi="宋体" w:cs="宋体"/>
          <w:b/>
          <w:sz w:val="24"/>
          <w:szCs w:val="24"/>
        </w:rPr>
        <w:t>5．招标文件的构成</w:t>
      </w:r>
    </w:p>
    <w:p>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5"/>
        <w:spacing w:line="360" w:lineRule="auto"/>
        <w:rPr>
          <w:rFonts w:hAnsi="宋体" w:cs="宋体"/>
          <w:b/>
          <w:sz w:val="24"/>
          <w:szCs w:val="24"/>
        </w:rPr>
      </w:pPr>
      <w:r>
        <w:rPr>
          <w:rFonts w:hint="eastAsia" w:hAnsi="宋体" w:cs="宋体"/>
          <w:b/>
          <w:sz w:val="24"/>
          <w:szCs w:val="24"/>
        </w:rPr>
        <w:t>6. 招标文件的澄清、修改</w:t>
      </w:r>
    </w:p>
    <w:p>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31"/>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sz w:val="18"/>
          <w:szCs w:val="18"/>
          <w:lang w:val="en-US"/>
        </w:rPr>
      </w:pP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5"/>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5"/>
        <w:spacing w:line="360" w:lineRule="auto"/>
        <w:rPr>
          <w:rFonts w:hAnsi="宋体" w:cs="宋体"/>
          <w:b/>
          <w:sz w:val="24"/>
          <w:szCs w:val="24"/>
        </w:rPr>
      </w:pPr>
      <w:r>
        <w:rPr>
          <w:rFonts w:hint="eastAsia" w:hAnsi="宋体" w:cs="宋体"/>
          <w:b/>
          <w:sz w:val="24"/>
          <w:szCs w:val="24"/>
        </w:rPr>
        <w:t>8.开标前答疑会或现场考察</w:t>
      </w:r>
    </w:p>
    <w:p>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szCs w:val="24"/>
        </w:rPr>
      </w:pPr>
      <w:r>
        <w:rPr>
          <w:rFonts w:hint="eastAsia" w:hAnsi="宋体" w:cs="宋体"/>
          <w:b/>
          <w:kern w:val="28"/>
          <w:sz w:val="24"/>
          <w:szCs w:val="24"/>
        </w:rPr>
        <w:t>9.投标保证金</w:t>
      </w:r>
    </w:p>
    <w:p>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5"/>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5"/>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pPr>
        <w:snapToGrid w:val="0"/>
        <w:spacing w:line="360" w:lineRule="auto"/>
        <w:ind w:firstLine="960" w:firstLineChars="400"/>
        <w:rPr>
          <w:rFonts w:ascii="宋体" w:hAnsi="宋体" w:cs="宋体"/>
          <w:sz w:val="24"/>
        </w:rPr>
      </w:pPr>
      <w:r>
        <w:rPr>
          <w:rFonts w:hint="eastAsia" w:ascii="宋体" w:hAnsi="宋体" w:cs="宋体"/>
          <w:sz w:val="24"/>
        </w:rPr>
        <w:t>11.1.3本项目的特定资格要求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pStyle w:val="3"/>
        <w:adjustRightInd w:val="0"/>
        <w:ind w:left="0" w:firstLine="960" w:firstLineChars="400"/>
      </w:pPr>
      <w:r>
        <w:rPr>
          <w:rFonts w:hint="eastAsia" w:ascii="宋体" w:hAnsi="宋体" w:eastAsia="宋体" w:cs="宋体"/>
          <w:b w:val="0"/>
          <w:bCs w:val="0"/>
          <w:sz w:val="24"/>
          <w:szCs w:val="24"/>
          <w:lang w:val="en-US"/>
        </w:rPr>
        <w:t>11.3.2 报价情况说明（如供应商报价低于项目预算50%的，应当提交本文档，详细阐述不影响产品质量或者诚信履约的具体原因）；</w:t>
      </w:r>
    </w:p>
    <w:p>
      <w:pPr>
        <w:snapToGrid w:val="0"/>
        <w:spacing w:line="360" w:lineRule="auto"/>
        <w:ind w:firstLine="960" w:firstLineChars="400"/>
        <w:rPr>
          <w:rFonts w:ascii="宋体" w:hAnsi="宋体" w:cs="宋体"/>
          <w:sz w:val="24"/>
        </w:rPr>
      </w:pPr>
      <w:r>
        <w:rPr>
          <w:rFonts w:hint="eastAsia" w:ascii="宋体" w:hAnsi="宋体" w:cs="宋体"/>
          <w:sz w:val="24"/>
        </w:rPr>
        <w:t>11.3.3中小企业声明函（如有）。</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rPr>
      </w:pPr>
      <w:r>
        <w:rPr>
          <w:rFonts w:hint="eastAsia" w:ascii="宋体" w:hAnsi="宋体" w:cs="宋体"/>
          <w:b/>
          <w:sz w:val="24"/>
        </w:rPr>
        <w:t>投标人提供虚假材料投标的，投标无效。</w:t>
      </w:r>
    </w:p>
    <w:p>
      <w:pPr>
        <w:spacing w:line="360" w:lineRule="auto"/>
        <w:ind w:firstLine="723" w:firstLineChars="300"/>
        <w:rPr>
          <w:b/>
          <w:bCs/>
        </w:rPr>
      </w:pPr>
      <w:r>
        <w:rPr>
          <w:rFonts w:hint="eastAsia"/>
          <w:b/>
          <w:bCs/>
          <w:sz w:val="24"/>
          <w:shd w:val="clear" w:color="auto" w:fill="FFFFFF"/>
        </w:rPr>
        <w:t>投标人应对投标文件中材料的真实性、合法性负责。</w:t>
      </w:r>
    </w:p>
    <w:p>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hAnsi="宋体" w:cs="宋体"/>
          <w:b/>
          <w:sz w:val="24"/>
          <w:szCs w:val="24"/>
        </w:rPr>
      </w:pPr>
      <w:r>
        <w:rPr>
          <w:rFonts w:hint="eastAsia" w:hAnsi="宋体" w:cs="宋体"/>
          <w:b/>
          <w:sz w:val="24"/>
          <w:szCs w:val="24"/>
        </w:rPr>
        <w:t>15.备份投标文件</w:t>
      </w:r>
    </w:p>
    <w:p>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pPr>
        <w:pStyle w:val="27"/>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31"/>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1"/>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1"/>
        <w:spacing w:before="0"/>
        <w:ind w:firstLine="643"/>
        <w:rPr>
          <w:rFonts w:ascii="宋体" w:hAnsi="宋体" w:cs="宋体"/>
          <w:b/>
          <w:sz w:val="32"/>
        </w:rPr>
      </w:pPr>
    </w:p>
    <w:p>
      <w:pPr>
        <w:pStyle w:val="131"/>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6"/>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31"/>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31"/>
        <w:snapToGrid w:val="0"/>
        <w:spacing w:before="0"/>
        <w:ind w:firstLine="480"/>
        <w:rPr>
          <w:rFonts w:ascii="宋体" w:hAnsi="宋体" w:cs="宋体"/>
        </w:rPr>
      </w:pPr>
      <w:r>
        <w:rPr>
          <w:rFonts w:hint="eastAsia" w:ascii="宋体" w:hAnsi="宋体" w:cs="宋体"/>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1"/>
        <w:spacing w:before="0"/>
        <w:ind w:firstLine="0" w:firstLineChars="0"/>
        <w:rPr>
          <w:rFonts w:ascii="宋体" w:hAnsi="宋体" w:cs="宋体"/>
          <w:b/>
          <w:szCs w:val="24"/>
        </w:rPr>
      </w:pPr>
      <w:r>
        <w:rPr>
          <w:rFonts w:hint="eastAsia" w:ascii="宋体" w:hAnsi="宋体" w:cs="宋体"/>
          <w:b/>
          <w:szCs w:val="24"/>
        </w:rPr>
        <w:t>20、信用信息查询</w:t>
      </w:r>
    </w:p>
    <w:p>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7"/>
        <w:spacing w:line="360" w:lineRule="auto"/>
        <w:ind w:left="479" w:hanging="479" w:hangingChars="199"/>
        <w:rPr>
          <w:rFonts w:cs="宋体"/>
          <w:b/>
        </w:rPr>
      </w:pPr>
      <w:r>
        <w:rPr>
          <w:rFonts w:hint="eastAsia" w:cs="宋体"/>
          <w:b/>
        </w:rPr>
        <w:t>22. 确定中标供应商</w:t>
      </w:r>
    </w:p>
    <w:p>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pStyle w:val="131"/>
        <w:snapToGrid w:val="0"/>
        <w:spacing w:before="0"/>
        <w:ind w:firstLine="482"/>
        <w:rPr>
          <w:rStyle w:val="79"/>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7"/>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7"/>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7"/>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3"/>
        <w:ind w:left="0" w:firstLine="48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ind w:firstLine="482"/>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Pr>
        <w:snapToGrid w:val="0"/>
        <w:spacing w:line="360" w:lineRule="auto"/>
        <w:jc w:val="center"/>
        <w:rPr>
          <w:rFonts w:ascii="宋体" w:hAnsi="宋体" w:cs="宋体"/>
          <w:b/>
          <w:sz w:val="24"/>
        </w:rPr>
      </w:pPr>
      <w:r>
        <w:rPr>
          <w:rFonts w:hint="eastAsia" w:ascii="宋体" w:hAnsi="宋体" w:cs="宋体"/>
          <w:b/>
          <w:sz w:val="32"/>
        </w:rPr>
        <w:t>八、电子交易活动的中止</w:t>
      </w:r>
    </w:p>
    <w:p>
      <w:pPr>
        <w:pStyle w:val="131"/>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7"/>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3"/>
        <w:adjustRightInd w:val="0"/>
        <w:snapToGrid w:val="0"/>
        <w:ind w:left="0" w:firstLine="48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pStyle w:val="80"/>
      </w:pP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0"/>
      <w:bookmarkEnd w:id="15"/>
      <w:bookmarkStart w:id="16" w:name="_Hlt75236011"/>
      <w:bookmarkEnd w:id="16"/>
      <w:bookmarkStart w:id="17" w:name="_Hlt75236290"/>
      <w:bookmarkEnd w:id="17"/>
      <w:bookmarkStart w:id="18" w:name="_Hlt68403820"/>
      <w:bookmarkEnd w:id="18"/>
      <w:bookmarkStart w:id="19" w:name="_Hlt74714665"/>
      <w:bookmarkEnd w:id="19"/>
      <w:bookmarkStart w:id="20" w:name="_Hlt68072998"/>
      <w:bookmarkEnd w:id="20"/>
      <w:bookmarkStart w:id="21" w:name="_Hlt75236101"/>
      <w:bookmarkEnd w:id="21"/>
      <w:bookmarkStart w:id="22" w:name="_Hlt68057669"/>
      <w:bookmarkEnd w:id="22"/>
      <w:bookmarkStart w:id="23" w:name="_Hlt74729768"/>
      <w:bookmarkEnd w:id="23"/>
      <w:bookmarkStart w:id="24" w:name="_Hlt74730295"/>
      <w:bookmarkEnd w:id="24"/>
      <w:bookmarkStart w:id="25" w:name="_Hlt68073093"/>
      <w:bookmarkEnd w:id="25"/>
      <w:bookmarkStart w:id="26" w:name="_Hlt74707468"/>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pStyle w:val="3"/>
        <w:numPr>
          <w:ilvl w:val="1"/>
          <w:numId w:val="1"/>
        </w:numPr>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建设清单</w:t>
      </w:r>
    </w:p>
    <w:tbl>
      <w:tblPr>
        <w:tblStyle w:val="6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2726"/>
        <w:gridCol w:w="869"/>
        <w:gridCol w:w="2361"/>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pct"/>
            <w:vAlign w:val="center"/>
          </w:tcPr>
          <w:p>
            <w:pPr>
              <w:spacing w:line="360" w:lineRule="auto"/>
              <w:jc w:val="center"/>
              <w:rPr>
                <w:b/>
                <w:bCs/>
                <w:sz w:val="24"/>
              </w:rPr>
            </w:pPr>
            <w:bookmarkStart w:id="28" w:name="_Hlk180683181"/>
            <w:r>
              <w:rPr>
                <w:b/>
                <w:bCs/>
                <w:sz w:val="24"/>
              </w:rPr>
              <w:t>序号</w:t>
            </w:r>
          </w:p>
        </w:tc>
        <w:tc>
          <w:tcPr>
            <w:tcW w:w="1468" w:type="pct"/>
            <w:vAlign w:val="center"/>
          </w:tcPr>
          <w:p>
            <w:pPr>
              <w:spacing w:line="360" w:lineRule="auto"/>
              <w:jc w:val="center"/>
              <w:rPr>
                <w:b/>
                <w:bCs/>
                <w:sz w:val="24"/>
              </w:rPr>
            </w:pPr>
            <w:r>
              <w:rPr>
                <w:b/>
                <w:bCs/>
                <w:sz w:val="24"/>
              </w:rPr>
              <w:t>项目名称</w:t>
            </w:r>
          </w:p>
        </w:tc>
        <w:tc>
          <w:tcPr>
            <w:tcW w:w="468" w:type="pct"/>
            <w:vAlign w:val="center"/>
          </w:tcPr>
          <w:p>
            <w:pPr>
              <w:spacing w:line="360" w:lineRule="auto"/>
              <w:jc w:val="center"/>
              <w:rPr>
                <w:b/>
                <w:bCs/>
                <w:sz w:val="24"/>
              </w:rPr>
            </w:pPr>
            <w:r>
              <w:rPr>
                <w:b/>
                <w:bCs/>
                <w:sz w:val="24"/>
              </w:rPr>
              <w:t>数量</w:t>
            </w:r>
          </w:p>
        </w:tc>
        <w:tc>
          <w:tcPr>
            <w:tcW w:w="1271" w:type="pct"/>
            <w:vAlign w:val="center"/>
          </w:tcPr>
          <w:p>
            <w:pPr>
              <w:spacing w:line="360" w:lineRule="auto"/>
              <w:jc w:val="center"/>
              <w:rPr>
                <w:b/>
                <w:bCs/>
                <w:sz w:val="24"/>
              </w:rPr>
            </w:pPr>
            <w:r>
              <w:rPr>
                <w:rFonts w:hint="eastAsia"/>
                <w:b/>
                <w:bCs/>
                <w:sz w:val="24"/>
              </w:rPr>
              <w:t>服务内容</w:t>
            </w:r>
          </w:p>
        </w:tc>
        <w:tc>
          <w:tcPr>
            <w:tcW w:w="1271" w:type="pct"/>
            <w:vAlign w:val="center"/>
          </w:tcPr>
          <w:p>
            <w:pPr>
              <w:spacing w:line="360" w:lineRule="auto"/>
              <w:jc w:val="center"/>
              <w:rPr>
                <w:b/>
                <w:bCs/>
                <w:sz w:val="24"/>
              </w:rPr>
            </w:pPr>
            <w:r>
              <w:rPr>
                <w:rFonts w:hint="eastAsia"/>
                <w:b/>
                <w:bCs/>
                <w:sz w:val="24"/>
              </w:rPr>
              <w:t>履约时间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pct"/>
            <w:vAlign w:val="center"/>
          </w:tcPr>
          <w:p>
            <w:pPr>
              <w:widowControl/>
              <w:jc w:val="center"/>
              <w:textAlignment w:val="center"/>
              <w:rPr>
                <w:rFonts w:ascii="宋体" w:hAnsi="宋体" w:cs="宋体"/>
                <w:sz w:val="24"/>
              </w:rPr>
            </w:pPr>
            <w:r>
              <w:rPr>
                <w:rFonts w:hint="eastAsia" w:ascii="宋体" w:hAnsi="宋体" w:cs="宋体"/>
                <w:kern w:val="0"/>
                <w:sz w:val="24"/>
              </w:rPr>
              <w:t>1</w:t>
            </w:r>
          </w:p>
        </w:tc>
        <w:tc>
          <w:tcPr>
            <w:tcW w:w="1468" w:type="pct"/>
            <w:vAlign w:val="center"/>
          </w:tcPr>
          <w:p>
            <w:pPr>
              <w:spacing w:line="360" w:lineRule="auto"/>
              <w:jc w:val="center"/>
              <w:rPr>
                <w:sz w:val="24"/>
              </w:rPr>
            </w:pPr>
            <w:r>
              <w:rPr>
                <w:sz w:val="24"/>
              </w:rPr>
              <w:t>操作系统授权、办公设备授权及信创终端授权</w:t>
            </w:r>
          </w:p>
        </w:tc>
        <w:tc>
          <w:tcPr>
            <w:tcW w:w="468" w:type="pct"/>
            <w:vAlign w:val="center"/>
          </w:tcPr>
          <w:p>
            <w:pPr>
              <w:spacing w:line="360" w:lineRule="auto"/>
              <w:jc w:val="center"/>
              <w:rPr>
                <w:sz w:val="24"/>
              </w:rPr>
            </w:pPr>
            <w:bookmarkStart w:id="29" w:name="OLE_LINK26"/>
            <w:r>
              <w:rPr>
                <w:sz w:val="24"/>
              </w:rPr>
              <w:t>1批</w:t>
            </w:r>
            <w:bookmarkEnd w:id="29"/>
          </w:p>
        </w:tc>
        <w:tc>
          <w:tcPr>
            <w:tcW w:w="1271" w:type="pct"/>
            <w:vAlign w:val="center"/>
          </w:tcPr>
          <w:p>
            <w:pPr>
              <w:spacing w:line="360" w:lineRule="auto"/>
              <w:jc w:val="center"/>
              <w:rPr>
                <w:sz w:val="24"/>
              </w:rPr>
            </w:pPr>
            <w:bookmarkStart w:id="30" w:name="OLE_LINK9"/>
            <w:r>
              <w:rPr>
                <w:rFonts w:hint="eastAsia"/>
                <w:sz w:val="24"/>
              </w:rPr>
              <w:t>授权服务</w:t>
            </w:r>
            <w:bookmarkEnd w:id="30"/>
          </w:p>
        </w:tc>
        <w:tc>
          <w:tcPr>
            <w:tcW w:w="1271" w:type="pct"/>
            <w:vAlign w:val="center"/>
          </w:tcPr>
          <w:p>
            <w:pPr>
              <w:spacing w:line="360" w:lineRule="auto"/>
              <w:jc w:val="center"/>
              <w:rPr>
                <w:sz w:val="24"/>
              </w:rPr>
            </w:pPr>
            <w:r>
              <w:rPr>
                <w:rFonts w:hint="eastAsia" w:ascii="宋体" w:hAnsi="宋体" w:cs="宋体"/>
                <w:bCs/>
                <w:sz w:val="24"/>
              </w:rPr>
              <w:t>接到招标人通知后10天内开通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pct"/>
            <w:vAlign w:val="center"/>
          </w:tcPr>
          <w:p>
            <w:pPr>
              <w:widowControl/>
              <w:jc w:val="center"/>
              <w:textAlignment w:val="center"/>
              <w:rPr>
                <w:rFonts w:ascii="宋体" w:hAnsi="宋体" w:cs="宋体"/>
                <w:sz w:val="24"/>
              </w:rPr>
            </w:pPr>
            <w:r>
              <w:rPr>
                <w:rFonts w:hint="eastAsia" w:ascii="宋体" w:hAnsi="宋体" w:cs="宋体"/>
                <w:kern w:val="0"/>
                <w:sz w:val="24"/>
              </w:rPr>
              <w:t>2</w:t>
            </w:r>
          </w:p>
        </w:tc>
        <w:tc>
          <w:tcPr>
            <w:tcW w:w="1468" w:type="pct"/>
            <w:vAlign w:val="center"/>
          </w:tcPr>
          <w:p>
            <w:pPr>
              <w:spacing w:line="360" w:lineRule="auto"/>
              <w:jc w:val="center"/>
              <w:rPr>
                <w:sz w:val="24"/>
              </w:rPr>
            </w:pPr>
            <w:r>
              <w:rPr>
                <w:sz w:val="24"/>
              </w:rPr>
              <w:t>信创云资源租用</w:t>
            </w:r>
          </w:p>
        </w:tc>
        <w:tc>
          <w:tcPr>
            <w:tcW w:w="468" w:type="pct"/>
            <w:vAlign w:val="center"/>
          </w:tcPr>
          <w:p>
            <w:pPr>
              <w:spacing w:line="360" w:lineRule="auto"/>
              <w:jc w:val="center"/>
              <w:rPr>
                <w:sz w:val="24"/>
              </w:rPr>
            </w:pPr>
            <w:r>
              <w:rPr>
                <w:sz w:val="24"/>
              </w:rPr>
              <w:t>1批</w:t>
            </w:r>
          </w:p>
        </w:tc>
        <w:tc>
          <w:tcPr>
            <w:tcW w:w="1271" w:type="pct"/>
            <w:vAlign w:val="center"/>
          </w:tcPr>
          <w:p>
            <w:pPr>
              <w:spacing w:line="360" w:lineRule="auto"/>
              <w:jc w:val="center"/>
              <w:rPr>
                <w:sz w:val="24"/>
              </w:rPr>
            </w:pPr>
            <w:r>
              <w:rPr>
                <w:rFonts w:hint="eastAsia"/>
                <w:sz w:val="24"/>
              </w:rPr>
              <w:t>租赁服务</w:t>
            </w:r>
          </w:p>
        </w:tc>
        <w:tc>
          <w:tcPr>
            <w:tcW w:w="1271" w:type="pct"/>
            <w:vAlign w:val="center"/>
          </w:tcPr>
          <w:p>
            <w:pPr>
              <w:spacing w:line="360" w:lineRule="auto"/>
              <w:jc w:val="center"/>
              <w:rPr>
                <w:sz w:val="24"/>
              </w:rPr>
            </w:pPr>
            <w:r>
              <w:rPr>
                <w:rFonts w:hint="eastAsia" w:ascii="宋体" w:hAnsi="宋体" w:cs="宋体"/>
                <w:bCs/>
                <w:sz w:val="24"/>
              </w:rPr>
              <w:t>配合</w:t>
            </w:r>
            <w:r>
              <w:rPr>
                <w:sz w:val="24"/>
              </w:rPr>
              <w:t>OA及官网信创改造</w:t>
            </w:r>
            <w:r>
              <w:rPr>
                <w:rFonts w:hint="eastAsia"/>
                <w:sz w:val="24"/>
              </w:rPr>
              <w:t>开通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pct"/>
            <w:vAlign w:val="center"/>
          </w:tcPr>
          <w:p>
            <w:pPr>
              <w:widowControl/>
              <w:jc w:val="center"/>
              <w:textAlignment w:val="center"/>
              <w:rPr>
                <w:rFonts w:ascii="宋体" w:hAnsi="宋体" w:cs="宋体"/>
                <w:sz w:val="24"/>
              </w:rPr>
            </w:pPr>
            <w:bookmarkStart w:id="31" w:name="_Hlk180424532"/>
            <w:r>
              <w:rPr>
                <w:rFonts w:hint="eastAsia" w:ascii="宋体" w:hAnsi="宋体" w:cs="宋体"/>
                <w:kern w:val="0"/>
                <w:sz w:val="24"/>
              </w:rPr>
              <w:t>3</w:t>
            </w:r>
          </w:p>
        </w:tc>
        <w:tc>
          <w:tcPr>
            <w:tcW w:w="1468" w:type="pct"/>
            <w:vAlign w:val="center"/>
          </w:tcPr>
          <w:p>
            <w:pPr>
              <w:spacing w:line="360" w:lineRule="auto"/>
              <w:jc w:val="center"/>
              <w:rPr>
                <w:sz w:val="24"/>
              </w:rPr>
            </w:pPr>
            <w:bookmarkStart w:id="32" w:name="OLE_LINK22"/>
            <w:r>
              <w:rPr>
                <w:sz w:val="24"/>
              </w:rPr>
              <w:t>OA及官网信创改造</w:t>
            </w:r>
            <w:bookmarkEnd w:id="32"/>
          </w:p>
        </w:tc>
        <w:tc>
          <w:tcPr>
            <w:tcW w:w="468" w:type="pct"/>
            <w:vAlign w:val="center"/>
          </w:tcPr>
          <w:p>
            <w:pPr>
              <w:spacing w:line="360" w:lineRule="auto"/>
              <w:jc w:val="center"/>
              <w:rPr>
                <w:sz w:val="24"/>
              </w:rPr>
            </w:pPr>
            <w:r>
              <w:rPr>
                <w:sz w:val="24"/>
              </w:rPr>
              <w:t>1项</w:t>
            </w:r>
          </w:p>
        </w:tc>
        <w:tc>
          <w:tcPr>
            <w:tcW w:w="1271" w:type="pct"/>
            <w:vAlign w:val="center"/>
          </w:tcPr>
          <w:p>
            <w:pPr>
              <w:spacing w:line="360" w:lineRule="auto"/>
              <w:jc w:val="center"/>
              <w:rPr>
                <w:sz w:val="24"/>
              </w:rPr>
            </w:pPr>
            <w:r>
              <w:rPr>
                <w:rFonts w:hint="eastAsia"/>
                <w:sz w:val="24"/>
              </w:rPr>
              <w:t>软件研发服务</w:t>
            </w:r>
          </w:p>
        </w:tc>
        <w:tc>
          <w:tcPr>
            <w:tcW w:w="1271" w:type="pct"/>
            <w:vAlign w:val="center"/>
          </w:tcPr>
          <w:p>
            <w:pPr>
              <w:spacing w:line="360" w:lineRule="auto"/>
              <w:jc w:val="center"/>
              <w:rPr>
                <w:sz w:val="24"/>
              </w:rPr>
            </w:pPr>
            <w:r>
              <w:rPr>
                <w:rFonts w:hint="eastAsia" w:ascii="宋体" w:hAnsi="宋体" w:cs="宋体"/>
                <w:bCs/>
                <w:sz w:val="24"/>
              </w:rPr>
              <w:t>合同签订后90天内交付，质保期不少于1年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pct"/>
            <w:vAlign w:val="center"/>
          </w:tcPr>
          <w:p>
            <w:pPr>
              <w:widowControl/>
              <w:jc w:val="center"/>
              <w:textAlignment w:val="center"/>
              <w:rPr>
                <w:rFonts w:ascii="宋体" w:hAnsi="宋体" w:cs="宋体"/>
                <w:sz w:val="24"/>
              </w:rPr>
            </w:pPr>
            <w:r>
              <w:rPr>
                <w:rFonts w:hint="eastAsia" w:ascii="宋体" w:hAnsi="宋体" w:cs="宋体"/>
                <w:kern w:val="0"/>
                <w:sz w:val="24"/>
              </w:rPr>
              <w:t>4</w:t>
            </w:r>
          </w:p>
        </w:tc>
        <w:tc>
          <w:tcPr>
            <w:tcW w:w="1468" w:type="pct"/>
            <w:vAlign w:val="center"/>
          </w:tcPr>
          <w:p>
            <w:pPr>
              <w:spacing w:line="360" w:lineRule="auto"/>
              <w:jc w:val="center"/>
              <w:rPr>
                <w:sz w:val="24"/>
              </w:rPr>
            </w:pPr>
            <w:r>
              <w:rPr>
                <w:sz w:val="24"/>
              </w:rPr>
              <w:t>钉钉专业版认证</w:t>
            </w:r>
            <w:r>
              <w:rPr>
                <w:rFonts w:hint="eastAsia"/>
                <w:sz w:val="24"/>
              </w:rPr>
              <w:t>授权</w:t>
            </w:r>
          </w:p>
        </w:tc>
        <w:tc>
          <w:tcPr>
            <w:tcW w:w="468" w:type="pct"/>
            <w:vAlign w:val="center"/>
          </w:tcPr>
          <w:p>
            <w:pPr>
              <w:spacing w:line="360" w:lineRule="auto"/>
              <w:jc w:val="center"/>
              <w:rPr>
                <w:sz w:val="24"/>
              </w:rPr>
            </w:pPr>
            <w:r>
              <w:rPr>
                <w:sz w:val="24"/>
              </w:rPr>
              <w:t>1项</w:t>
            </w:r>
          </w:p>
        </w:tc>
        <w:tc>
          <w:tcPr>
            <w:tcW w:w="1271" w:type="pct"/>
            <w:vAlign w:val="center"/>
          </w:tcPr>
          <w:p>
            <w:pPr>
              <w:spacing w:line="360" w:lineRule="auto"/>
              <w:jc w:val="center"/>
              <w:rPr>
                <w:sz w:val="24"/>
              </w:rPr>
            </w:pPr>
            <w:r>
              <w:rPr>
                <w:rFonts w:hint="eastAsia"/>
                <w:sz w:val="24"/>
              </w:rPr>
              <w:t>授权服务</w:t>
            </w:r>
          </w:p>
        </w:tc>
        <w:tc>
          <w:tcPr>
            <w:tcW w:w="1271" w:type="pct"/>
            <w:vAlign w:val="center"/>
          </w:tcPr>
          <w:p>
            <w:pPr>
              <w:spacing w:line="360" w:lineRule="auto"/>
              <w:jc w:val="center"/>
              <w:rPr>
                <w:sz w:val="24"/>
              </w:rPr>
            </w:pPr>
            <w:r>
              <w:rPr>
                <w:rFonts w:hint="eastAsia" w:ascii="宋体" w:hAnsi="宋体" w:cs="宋体"/>
                <w:bCs/>
                <w:sz w:val="24"/>
              </w:rPr>
              <w:t>接到招标人通知后10天内开通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pct"/>
            <w:vAlign w:val="center"/>
          </w:tcPr>
          <w:p>
            <w:pPr>
              <w:widowControl/>
              <w:jc w:val="center"/>
              <w:textAlignment w:val="center"/>
              <w:rPr>
                <w:rFonts w:ascii="宋体" w:hAnsi="宋体" w:cs="宋体"/>
                <w:sz w:val="24"/>
              </w:rPr>
            </w:pPr>
            <w:r>
              <w:rPr>
                <w:rFonts w:hint="eastAsia" w:ascii="宋体" w:hAnsi="宋体" w:cs="宋体"/>
                <w:kern w:val="0"/>
                <w:sz w:val="24"/>
              </w:rPr>
              <w:t>5</w:t>
            </w:r>
          </w:p>
        </w:tc>
        <w:tc>
          <w:tcPr>
            <w:tcW w:w="1468" w:type="pct"/>
            <w:vAlign w:val="center"/>
          </w:tcPr>
          <w:p>
            <w:pPr>
              <w:spacing w:line="360" w:lineRule="auto"/>
              <w:jc w:val="center"/>
              <w:rPr>
                <w:sz w:val="24"/>
              </w:rPr>
            </w:pPr>
            <w:r>
              <w:rPr>
                <w:sz w:val="24"/>
              </w:rPr>
              <w:t>数据库运维服务</w:t>
            </w:r>
          </w:p>
        </w:tc>
        <w:tc>
          <w:tcPr>
            <w:tcW w:w="468" w:type="pct"/>
            <w:vAlign w:val="center"/>
          </w:tcPr>
          <w:p>
            <w:pPr>
              <w:spacing w:line="360" w:lineRule="auto"/>
              <w:jc w:val="center"/>
              <w:rPr>
                <w:sz w:val="24"/>
              </w:rPr>
            </w:pPr>
            <w:r>
              <w:rPr>
                <w:sz w:val="24"/>
              </w:rPr>
              <w:t>1年</w:t>
            </w:r>
          </w:p>
        </w:tc>
        <w:tc>
          <w:tcPr>
            <w:tcW w:w="1271" w:type="pct"/>
            <w:vAlign w:val="center"/>
          </w:tcPr>
          <w:p>
            <w:pPr>
              <w:spacing w:line="360" w:lineRule="auto"/>
              <w:jc w:val="center"/>
              <w:rPr>
                <w:sz w:val="24"/>
              </w:rPr>
            </w:pPr>
            <w:r>
              <w:rPr>
                <w:rFonts w:hint="eastAsia"/>
                <w:sz w:val="24"/>
              </w:rPr>
              <w:t>运维服务</w:t>
            </w:r>
          </w:p>
        </w:tc>
        <w:tc>
          <w:tcPr>
            <w:tcW w:w="1271" w:type="pct"/>
            <w:vAlign w:val="center"/>
          </w:tcPr>
          <w:p>
            <w:pPr>
              <w:spacing w:line="360" w:lineRule="auto"/>
              <w:jc w:val="center"/>
              <w:rPr>
                <w:sz w:val="24"/>
              </w:rPr>
            </w:pPr>
            <w:r>
              <w:rPr>
                <w:rFonts w:hint="eastAsia" w:ascii="宋体" w:hAnsi="宋体" w:cs="宋体"/>
                <w:bCs/>
                <w:sz w:val="24"/>
              </w:rPr>
              <w:t>接到招标人通知后10天内开始提供服务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pct"/>
            <w:vAlign w:val="center"/>
          </w:tcPr>
          <w:p>
            <w:pPr>
              <w:widowControl/>
              <w:jc w:val="center"/>
              <w:textAlignment w:val="center"/>
              <w:rPr>
                <w:rFonts w:ascii="宋体" w:hAnsi="宋体" w:cs="宋体"/>
                <w:kern w:val="0"/>
                <w:sz w:val="24"/>
              </w:rPr>
            </w:pPr>
            <w:r>
              <w:rPr>
                <w:rFonts w:hint="eastAsia" w:ascii="宋体" w:hAnsi="宋体" w:cs="宋体"/>
                <w:kern w:val="0"/>
                <w:sz w:val="24"/>
              </w:rPr>
              <w:t>6</w:t>
            </w:r>
          </w:p>
        </w:tc>
        <w:tc>
          <w:tcPr>
            <w:tcW w:w="1468" w:type="pct"/>
            <w:vAlign w:val="center"/>
          </w:tcPr>
          <w:p>
            <w:pPr>
              <w:spacing w:line="360" w:lineRule="auto"/>
              <w:jc w:val="center"/>
              <w:rPr>
                <w:sz w:val="24"/>
              </w:rPr>
            </w:pPr>
            <w:r>
              <w:rPr>
                <w:rFonts w:hint="eastAsia"/>
                <w:sz w:val="24"/>
              </w:rPr>
              <w:t>网络设备运维</w:t>
            </w:r>
          </w:p>
        </w:tc>
        <w:tc>
          <w:tcPr>
            <w:tcW w:w="468" w:type="pct"/>
            <w:vAlign w:val="center"/>
          </w:tcPr>
          <w:p>
            <w:pPr>
              <w:spacing w:line="360" w:lineRule="auto"/>
              <w:jc w:val="center"/>
              <w:rPr>
                <w:sz w:val="24"/>
              </w:rPr>
            </w:pPr>
            <w:r>
              <w:rPr>
                <w:rFonts w:hint="eastAsia"/>
                <w:sz w:val="24"/>
              </w:rPr>
              <w:t>1年</w:t>
            </w:r>
          </w:p>
        </w:tc>
        <w:tc>
          <w:tcPr>
            <w:tcW w:w="1271" w:type="pct"/>
            <w:vAlign w:val="center"/>
          </w:tcPr>
          <w:p>
            <w:pPr>
              <w:spacing w:line="360" w:lineRule="auto"/>
              <w:jc w:val="center"/>
              <w:rPr>
                <w:sz w:val="24"/>
              </w:rPr>
            </w:pPr>
            <w:r>
              <w:rPr>
                <w:rFonts w:hint="eastAsia"/>
                <w:sz w:val="24"/>
              </w:rPr>
              <w:t>运维服务</w:t>
            </w:r>
          </w:p>
        </w:tc>
        <w:tc>
          <w:tcPr>
            <w:tcW w:w="1271" w:type="pct"/>
            <w:vAlign w:val="center"/>
          </w:tcPr>
          <w:p>
            <w:pPr>
              <w:spacing w:line="360" w:lineRule="auto"/>
              <w:jc w:val="center"/>
              <w:rPr>
                <w:sz w:val="24"/>
              </w:rPr>
            </w:pPr>
            <w:r>
              <w:rPr>
                <w:rFonts w:hint="eastAsia" w:ascii="宋体" w:hAnsi="宋体" w:cs="宋体"/>
                <w:bCs/>
                <w:sz w:val="24"/>
              </w:rPr>
              <w:t>接到招标人通知后10天内开始提供服务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pct"/>
            <w:vAlign w:val="center"/>
          </w:tcPr>
          <w:p>
            <w:pPr>
              <w:widowControl/>
              <w:jc w:val="center"/>
              <w:textAlignment w:val="center"/>
              <w:rPr>
                <w:rFonts w:ascii="宋体" w:hAnsi="宋体" w:cs="宋体"/>
                <w:sz w:val="24"/>
              </w:rPr>
            </w:pPr>
            <w:r>
              <w:rPr>
                <w:rFonts w:hint="eastAsia" w:ascii="宋体" w:hAnsi="宋体" w:cs="宋体"/>
                <w:kern w:val="0"/>
                <w:sz w:val="24"/>
              </w:rPr>
              <w:t>7</w:t>
            </w:r>
          </w:p>
        </w:tc>
        <w:tc>
          <w:tcPr>
            <w:tcW w:w="1468" w:type="pct"/>
            <w:vAlign w:val="center"/>
          </w:tcPr>
          <w:p>
            <w:pPr>
              <w:spacing w:line="360" w:lineRule="auto"/>
              <w:jc w:val="center"/>
              <w:rPr>
                <w:sz w:val="24"/>
              </w:rPr>
            </w:pPr>
            <w:r>
              <w:rPr>
                <w:rFonts w:hint="eastAsia"/>
                <w:sz w:val="24"/>
              </w:rPr>
              <w:t>弱电终端运维</w:t>
            </w:r>
          </w:p>
        </w:tc>
        <w:tc>
          <w:tcPr>
            <w:tcW w:w="468" w:type="pct"/>
            <w:vAlign w:val="center"/>
          </w:tcPr>
          <w:p>
            <w:pPr>
              <w:spacing w:line="360" w:lineRule="auto"/>
              <w:jc w:val="center"/>
              <w:rPr>
                <w:sz w:val="24"/>
              </w:rPr>
            </w:pPr>
            <w:r>
              <w:rPr>
                <w:sz w:val="24"/>
              </w:rPr>
              <w:t>1年</w:t>
            </w:r>
          </w:p>
        </w:tc>
        <w:tc>
          <w:tcPr>
            <w:tcW w:w="1271" w:type="pct"/>
            <w:vAlign w:val="center"/>
          </w:tcPr>
          <w:p>
            <w:pPr>
              <w:spacing w:line="360" w:lineRule="auto"/>
              <w:jc w:val="center"/>
              <w:rPr>
                <w:sz w:val="24"/>
              </w:rPr>
            </w:pPr>
            <w:r>
              <w:rPr>
                <w:rFonts w:hint="eastAsia"/>
                <w:sz w:val="24"/>
              </w:rPr>
              <w:t>运维服务</w:t>
            </w:r>
          </w:p>
        </w:tc>
        <w:tc>
          <w:tcPr>
            <w:tcW w:w="1271" w:type="pct"/>
            <w:vAlign w:val="center"/>
          </w:tcPr>
          <w:p>
            <w:pPr>
              <w:spacing w:line="360" w:lineRule="auto"/>
              <w:jc w:val="center"/>
              <w:rPr>
                <w:sz w:val="24"/>
              </w:rPr>
            </w:pPr>
            <w:r>
              <w:rPr>
                <w:rFonts w:hint="eastAsia" w:ascii="宋体" w:hAnsi="宋体" w:cs="宋体"/>
                <w:bCs/>
                <w:sz w:val="24"/>
              </w:rPr>
              <w:t>接到招标人通知后10天内开始提供服务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pct"/>
            <w:vAlign w:val="center"/>
          </w:tcPr>
          <w:p>
            <w:pPr>
              <w:widowControl/>
              <w:jc w:val="center"/>
              <w:textAlignment w:val="center"/>
              <w:rPr>
                <w:rFonts w:ascii="宋体" w:hAnsi="宋体" w:cs="宋体"/>
                <w:kern w:val="0"/>
                <w:sz w:val="24"/>
              </w:rPr>
            </w:pPr>
            <w:r>
              <w:rPr>
                <w:rFonts w:hint="eastAsia" w:ascii="宋体" w:hAnsi="宋体" w:cs="宋体"/>
                <w:kern w:val="0"/>
                <w:sz w:val="24"/>
              </w:rPr>
              <w:t>8</w:t>
            </w:r>
          </w:p>
        </w:tc>
        <w:tc>
          <w:tcPr>
            <w:tcW w:w="1468" w:type="pct"/>
            <w:vAlign w:val="center"/>
          </w:tcPr>
          <w:p>
            <w:pPr>
              <w:spacing w:line="360" w:lineRule="auto"/>
              <w:jc w:val="center"/>
              <w:rPr>
                <w:sz w:val="24"/>
              </w:rPr>
            </w:pPr>
            <w:r>
              <w:rPr>
                <w:rFonts w:hint="eastAsia"/>
                <w:sz w:val="24"/>
              </w:rPr>
              <w:t>网络安全服务</w:t>
            </w:r>
          </w:p>
        </w:tc>
        <w:tc>
          <w:tcPr>
            <w:tcW w:w="468" w:type="pct"/>
            <w:vAlign w:val="center"/>
          </w:tcPr>
          <w:p>
            <w:pPr>
              <w:spacing w:line="360" w:lineRule="auto"/>
              <w:jc w:val="center"/>
              <w:rPr>
                <w:sz w:val="24"/>
              </w:rPr>
            </w:pPr>
            <w:r>
              <w:rPr>
                <w:rFonts w:hint="eastAsia"/>
                <w:sz w:val="24"/>
              </w:rPr>
              <w:t>1年</w:t>
            </w:r>
          </w:p>
        </w:tc>
        <w:tc>
          <w:tcPr>
            <w:tcW w:w="1271" w:type="pct"/>
            <w:vAlign w:val="center"/>
          </w:tcPr>
          <w:p>
            <w:pPr>
              <w:spacing w:line="360" w:lineRule="auto"/>
              <w:jc w:val="center"/>
              <w:rPr>
                <w:sz w:val="24"/>
              </w:rPr>
            </w:pPr>
            <w:r>
              <w:rPr>
                <w:rFonts w:hint="eastAsia"/>
                <w:sz w:val="24"/>
              </w:rPr>
              <w:t>运维服务</w:t>
            </w:r>
          </w:p>
        </w:tc>
        <w:tc>
          <w:tcPr>
            <w:tcW w:w="1271" w:type="pct"/>
            <w:vAlign w:val="center"/>
          </w:tcPr>
          <w:p>
            <w:pPr>
              <w:spacing w:line="360" w:lineRule="auto"/>
              <w:jc w:val="center"/>
              <w:rPr>
                <w:sz w:val="24"/>
              </w:rPr>
            </w:pPr>
            <w:r>
              <w:rPr>
                <w:rFonts w:hint="eastAsia" w:ascii="宋体" w:hAnsi="宋体" w:cs="宋体"/>
                <w:bCs/>
                <w:sz w:val="24"/>
              </w:rPr>
              <w:t>接到招标人通知后10天内开始提供服务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pct"/>
            <w:vAlign w:val="center"/>
          </w:tcPr>
          <w:p>
            <w:pPr>
              <w:widowControl/>
              <w:jc w:val="center"/>
              <w:textAlignment w:val="center"/>
              <w:rPr>
                <w:rFonts w:ascii="宋体" w:hAnsi="宋体" w:cs="宋体"/>
                <w:sz w:val="24"/>
              </w:rPr>
            </w:pPr>
            <w:r>
              <w:rPr>
                <w:rFonts w:hint="eastAsia" w:ascii="宋体" w:hAnsi="宋体" w:cs="宋体"/>
                <w:kern w:val="0"/>
                <w:sz w:val="24"/>
              </w:rPr>
              <w:t>9</w:t>
            </w:r>
          </w:p>
        </w:tc>
        <w:tc>
          <w:tcPr>
            <w:tcW w:w="1468" w:type="pct"/>
            <w:vAlign w:val="center"/>
          </w:tcPr>
          <w:p>
            <w:pPr>
              <w:spacing w:line="360" w:lineRule="auto"/>
              <w:jc w:val="center"/>
              <w:rPr>
                <w:sz w:val="24"/>
              </w:rPr>
            </w:pPr>
            <w:r>
              <w:rPr>
                <w:sz w:val="24"/>
              </w:rPr>
              <w:t>等保测评</w:t>
            </w:r>
            <w:r>
              <w:rPr>
                <w:rFonts w:hint="eastAsia"/>
                <w:sz w:val="24"/>
              </w:rPr>
              <w:t>及密评</w:t>
            </w:r>
          </w:p>
        </w:tc>
        <w:tc>
          <w:tcPr>
            <w:tcW w:w="468" w:type="pct"/>
            <w:vAlign w:val="center"/>
          </w:tcPr>
          <w:p>
            <w:pPr>
              <w:spacing w:line="360" w:lineRule="auto"/>
              <w:jc w:val="center"/>
              <w:rPr>
                <w:sz w:val="24"/>
              </w:rPr>
            </w:pPr>
            <w:r>
              <w:rPr>
                <w:rFonts w:hint="eastAsia"/>
                <w:sz w:val="24"/>
              </w:rPr>
              <w:t>5</w:t>
            </w:r>
            <w:r>
              <w:rPr>
                <w:sz w:val="24"/>
              </w:rPr>
              <w:t>项</w:t>
            </w:r>
          </w:p>
        </w:tc>
        <w:tc>
          <w:tcPr>
            <w:tcW w:w="1271" w:type="pct"/>
            <w:vAlign w:val="center"/>
          </w:tcPr>
          <w:p>
            <w:pPr>
              <w:spacing w:line="360" w:lineRule="auto"/>
              <w:jc w:val="center"/>
              <w:rPr>
                <w:sz w:val="24"/>
              </w:rPr>
            </w:pPr>
            <w:r>
              <w:rPr>
                <w:rFonts w:hint="eastAsia"/>
                <w:sz w:val="24"/>
              </w:rPr>
              <w:t>二级等保2项、三级等保2项、机房环境密评1项</w:t>
            </w:r>
          </w:p>
        </w:tc>
        <w:tc>
          <w:tcPr>
            <w:tcW w:w="1271" w:type="pct"/>
            <w:vAlign w:val="center"/>
          </w:tcPr>
          <w:p>
            <w:pPr>
              <w:spacing w:line="360" w:lineRule="auto"/>
              <w:jc w:val="center"/>
              <w:rPr>
                <w:sz w:val="24"/>
              </w:rPr>
            </w:pPr>
            <w:r>
              <w:rPr>
                <w:rFonts w:hint="eastAsia" w:ascii="宋体" w:hAnsi="宋体" w:cs="宋体"/>
                <w:bCs/>
                <w:sz w:val="24"/>
              </w:rPr>
              <w:t>接到招标人通知后60天内完成测评并提供相应报告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pct"/>
            <w:vAlign w:val="center"/>
          </w:tcPr>
          <w:p>
            <w:pPr>
              <w:widowControl/>
              <w:jc w:val="center"/>
              <w:textAlignment w:val="center"/>
              <w:rPr>
                <w:rFonts w:ascii="宋体" w:hAnsi="宋体" w:cs="宋体"/>
                <w:sz w:val="24"/>
              </w:rPr>
            </w:pPr>
            <w:r>
              <w:rPr>
                <w:rFonts w:hint="eastAsia" w:ascii="宋体" w:hAnsi="宋体" w:cs="宋体"/>
                <w:kern w:val="0"/>
                <w:sz w:val="24"/>
              </w:rPr>
              <w:t>10</w:t>
            </w:r>
          </w:p>
        </w:tc>
        <w:tc>
          <w:tcPr>
            <w:tcW w:w="1468" w:type="pct"/>
            <w:vAlign w:val="center"/>
          </w:tcPr>
          <w:p>
            <w:pPr>
              <w:spacing w:line="360" w:lineRule="auto"/>
              <w:jc w:val="center"/>
              <w:rPr>
                <w:sz w:val="24"/>
              </w:rPr>
            </w:pPr>
            <w:r>
              <w:rPr>
                <w:sz w:val="24"/>
              </w:rPr>
              <w:t>楼层汇聚交换机</w:t>
            </w:r>
          </w:p>
        </w:tc>
        <w:tc>
          <w:tcPr>
            <w:tcW w:w="468" w:type="pct"/>
            <w:vAlign w:val="center"/>
          </w:tcPr>
          <w:p>
            <w:pPr>
              <w:spacing w:line="360" w:lineRule="auto"/>
              <w:jc w:val="center"/>
              <w:rPr>
                <w:sz w:val="24"/>
              </w:rPr>
            </w:pPr>
            <w:r>
              <w:rPr>
                <w:sz w:val="24"/>
              </w:rPr>
              <w:t>10台</w:t>
            </w:r>
          </w:p>
        </w:tc>
        <w:tc>
          <w:tcPr>
            <w:tcW w:w="1271" w:type="pct"/>
            <w:vAlign w:val="center"/>
          </w:tcPr>
          <w:p>
            <w:pPr>
              <w:spacing w:line="360" w:lineRule="auto"/>
              <w:jc w:val="center"/>
              <w:rPr>
                <w:sz w:val="24"/>
              </w:rPr>
            </w:pPr>
            <w:r>
              <w:rPr>
                <w:rFonts w:hint="eastAsia"/>
                <w:sz w:val="24"/>
              </w:rPr>
              <w:t>货物</w:t>
            </w:r>
          </w:p>
        </w:tc>
        <w:tc>
          <w:tcPr>
            <w:tcW w:w="1271" w:type="pct"/>
            <w:vAlign w:val="center"/>
          </w:tcPr>
          <w:p>
            <w:pPr>
              <w:spacing w:line="360" w:lineRule="auto"/>
              <w:jc w:val="center"/>
              <w:rPr>
                <w:sz w:val="24"/>
              </w:rPr>
            </w:pPr>
            <w:bookmarkStart w:id="33" w:name="OLE_LINK15"/>
            <w:r>
              <w:rPr>
                <w:rFonts w:hint="eastAsia" w:ascii="宋体" w:hAnsi="宋体" w:cs="宋体"/>
                <w:bCs/>
                <w:sz w:val="24"/>
              </w:rPr>
              <w:t>接到招标人通知后60天内</w:t>
            </w:r>
            <w:bookmarkEnd w:id="33"/>
            <w:r>
              <w:rPr>
                <w:rFonts w:hint="eastAsia" w:ascii="宋体" w:hAnsi="宋体" w:cs="宋体"/>
                <w:bCs/>
                <w:sz w:val="24"/>
              </w:rPr>
              <w:t>，完成设备供货安装，并调试验收合格交付招标人使用，质保期不少于3年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pct"/>
            <w:vAlign w:val="center"/>
          </w:tcPr>
          <w:p>
            <w:pPr>
              <w:widowControl/>
              <w:jc w:val="center"/>
              <w:textAlignment w:val="center"/>
              <w:rPr>
                <w:rFonts w:ascii="宋体" w:hAnsi="宋体" w:cs="宋体"/>
                <w:sz w:val="24"/>
              </w:rPr>
            </w:pPr>
            <w:r>
              <w:rPr>
                <w:rFonts w:hint="eastAsia" w:ascii="宋体" w:hAnsi="宋体" w:cs="宋体"/>
                <w:kern w:val="0"/>
                <w:sz w:val="24"/>
              </w:rPr>
              <w:t>11</w:t>
            </w:r>
          </w:p>
        </w:tc>
        <w:tc>
          <w:tcPr>
            <w:tcW w:w="1468" w:type="pct"/>
            <w:vAlign w:val="center"/>
          </w:tcPr>
          <w:p>
            <w:pPr>
              <w:spacing w:line="360" w:lineRule="auto"/>
              <w:jc w:val="center"/>
              <w:rPr>
                <w:sz w:val="24"/>
              </w:rPr>
            </w:pPr>
            <w:r>
              <w:rPr>
                <w:sz w:val="24"/>
              </w:rPr>
              <w:t>国家加密机</w:t>
            </w:r>
          </w:p>
        </w:tc>
        <w:tc>
          <w:tcPr>
            <w:tcW w:w="468" w:type="pct"/>
            <w:vAlign w:val="center"/>
          </w:tcPr>
          <w:p>
            <w:pPr>
              <w:spacing w:line="360" w:lineRule="auto"/>
              <w:jc w:val="center"/>
              <w:rPr>
                <w:sz w:val="24"/>
              </w:rPr>
            </w:pPr>
            <w:r>
              <w:rPr>
                <w:sz w:val="24"/>
              </w:rPr>
              <w:t>1台</w:t>
            </w:r>
          </w:p>
        </w:tc>
        <w:tc>
          <w:tcPr>
            <w:tcW w:w="1271" w:type="pct"/>
            <w:vAlign w:val="center"/>
          </w:tcPr>
          <w:p>
            <w:pPr>
              <w:spacing w:line="360" w:lineRule="auto"/>
              <w:jc w:val="center"/>
              <w:rPr>
                <w:sz w:val="24"/>
              </w:rPr>
            </w:pPr>
            <w:r>
              <w:rPr>
                <w:rFonts w:hint="eastAsia"/>
                <w:sz w:val="24"/>
              </w:rPr>
              <w:t>货物</w:t>
            </w:r>
          </w:p>
        </w:tc>
        <w:tc>
          <w:tcPr>
            <w:tcW w:w="1271" w:type="pct"/>
            <w:vAlign w:val="center"/>
          </w:tcPr>
          <w:p>
            <w:pPr>
              <w:spacing w:line="360" w:lineRule="auto"/>
              <w:jc w:val="center"/>
              <w:rPr>
                <w:sz w:val="24"/>
              </w:rPr>
            </w:pPr>
            <w:r>
              <w:rPr>
                <w:rFonts w:hint="eastAsia" w:ascii="宋体" w:hAnsi="宋体" w:cs="宋体"/>
                <w:bCs/>
                <w:sz w:val="24"/>
              </w:rPr>
              <w:t>接到招标人通知后60天内，完成设备供货安装，并调试验收合格交付招标人使用，质保期不少于3年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pct"/>
            <w:vAlign w:val="center"/>
          </w:tcPr>
          <w:p>
            <w:pPr>
              <w:widowControl/>
              <w:jc w:val="center"/>
              <w:textAlignment w:val="center"/>
              <w:rPr>
                <w:rFonts w:ascii="宋体" w:hAnsi="宋体" w:cs="宋体"/>
                <w:sz w:val="24"/>
              </w:rPr>
            </w:pPr>
            <w:r>
              <w:rPr>
                <w:rFonts w:hint="eastAsia" w:ascii="宋体" w:hAnsi="宋体" w:cs="宋体"/>
                <w:kern w:val="0"/>
                <w:sz w:val="24"/>
              </w:rPr>
              <w:t>12</w:t>
            </w:r>
          </w:p>
        </w:tc>
        <w:tc>
          <w:tcPr>
            <w:tcW w:w="1468" w:type="pct"/>
            <w:vAlign w:val="center"/>
          </w:tcPr>
          <w:p>
            <w:pPr>
              <w:spacing w:line="360" w:lineRule="auto"/>
              <w:jc w:val="center"/>
              <w:rPr>
                <w:sz w:val="24"/>
              </w:rPr>
            </w:pPr>
            <w:r>
              <w:rPr>
                <w:sz w:val="24"/>
              </w:rPr>
              <w:t>等保整改负载均衡</w:t>
            </w:r>
          </w:p>
        </w:tc>
        <w:tc>
          <w:tcPr>
            <w:tcW w:w="468" w:type="pct"/>
            <w:vAlign w:val="center"/>
          </w:tcPr>
          <w:p>
            <w:pPr>
              <w:spacing w:line="360" w:lineRule="auto"/>
              <w:jc w:val="center"/>
              <w:rPr>
                <w:sz w:val="24"/>
              </w:rPr>
            </w:pPr>
            <w:r>
              <w:rPr>
                <w:sz w:val="24"/>
              </w:rPr>
              <w:t>2台</w:t>
            </w:r>
          </w:p>
        </w:tc>
        <w:tc>
          <w:tcPr>
            <w:tcW w:w="1271" w:type="pct"/>
            <w:vAlign w:val="center"/>
          </w:tcPr>
          <w:p>
            <w:pPr>
              <w:spacing w:line="360" w:lineRule="auto"/>
              <w:jc w:val="center"/>
              <w:rPr>
                <w:sz w:val="24"/>
              </w:rPr>
            </w:pPr>
            <w:r>
              <w:rPr>
                <w:rFonts w:hint="eastAsia"/>
                <w:sz w:val="24"/>
              </w:rPr>
              <w:t>货物</w:t>
            </w:r>
          </w:p>
        </w:tc>
        <w:tc>
          <w:tcPr>
            <w:tcW w:w="1271" w:type="pct"/>
            <w:vAlign w:val="center"/>
          </w:tcPr>
          <w:p>
            <w:pPr>
              <w:spacing w:line="360" w:lineRule="auto"/>
              <w:jc w:val="center"/>
              <w:rPr>
                <w:sz w:val="24"/>
              </w:rPr>
            </w:pPr>
            <w:r>
              <w:rPr>
                <w:rFonts w:hint="eastAsia" w:ascii="宋体" w:hAnsi="宋体" w:cs="宋体"/>
                <w:bCs/>
                <w:sz w:val="24"/>
              </w:rPr>
              <w:t>接到招标人通知后60天内，完成设备供货安装，并调试验收合格交付招标人使用，质保期不少于3年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pct"/>
            <w:vAlign w:val="center"/>
          </w:tcPr>
          <w:p>
            <w:pPr>
              <w:widowControl/>
              <w:jc w:val="center"/>
              <w:textAlignment w:val="center"/>
              <w:rPr>
                <w:rFonts w:ascii="宋体" w:hAnsi="宋体" w:cs="宋体"/>
                <w:sz w:val="24"/>
              </w:rPr>
            </w:pPr>
            <w:r>
              <w:rPr>
                <w:rFonts w:hint="eastAsia" w:ascii="宋体" w:hAnsi="宋体" w:cs="宋体"/>
                <w:kern w:val="0"/>
                <w:sz w:val="24"/>
              </w:rPr>
              <w:t>13</w:t>
            </w:r>
          </w:p>
        </w:tc>
        <w:tc>
          <w:tcPr>
            <w:tcW w:w="1468" w:type="pct"/>
            <w:vAlign w:val="center"/>
          </w:tcPr>
          <w:p>
            <w:pPr>
              <w:spacing w:line="360" w:lineRule="auto"/>
              <w:jc w:val="center"/>
              <w:rPr>
                <w:sz w:val="24"/>
              </w:rPr>
            </w:pPr>
            <w:r>
              <w:rPr>
                <w:sz w:val="24"/>
              </w:rPr>
              <w:t>自助机（带报告打印）</w:t>
            </w:r>
          </w:p>
        </w:tc>
        <w:tc>
          <w:tcPr>
            <w:tcW w:w="468" w:type="pct"/>
            <w:vAlign w:val="center"/>
          </w:tcPr>
          <w:p>
            <w:pPr>
              <w:spacing w:line="360" w:lineRule="auto"/>
              <w:jc w:val="center"/>
              <w:rPr>
                <w:sz w:val="24"/>
              </w:rPr>
            </w:pPr>
            <w:r>
              <w:rPr>
                <w:sz w:val="24"/>
              </w:rPr>
              <w:t>2台</w:t>
            </w:r>
          </w:p>
        </w:tc>
        <w:tc>
          <w:tcPr>
            <w:tcW w:w="1271" w:type="pct"/>
            <w:vAlign w:val="center"/>
          </w:tcPr>
          <w:p>
            <w:pPr>
              <w:spacing w:line="360" w:lineRule="auto"/>
              <w:jc w:val="center"/>
              <w:rPr>
                <w:sz w:val="24"/>
              </w:rPr>
            </w:pPr>
            <w:r>
              <w:rPr>
                <w:rFonts w:hint="eastAsia"/>
                <w:sz w:val="24"/>
              </w:rPr>
              <w:t>货物</w:t>
            </w:r>
          </w:p>
        </w:tc>
        <w:tc>
          <w:tcPr>
            <w:tcW w:w="1271" w:type="pct"/>
            <w:vAlign w:val="center"/>
          </w:tcPr>
          <w:p>
            <w:pPr>
              <w:spacing w:line="360" w:lineRule="auto"/>
              <w:jc w:val="center"/>
              <w:rPr>
                <w:sz w:val="24"/>
              </w:rPr>
            </w:pPr>
            <w:r>
              <w:rPr>
                <w:rFonts w:hint="eastAsia" w:ascii="宋体" w:hAnsi="宋体" w:cs="宋体"/>
                <w:bCs/>
                <w:sz w:val="24"/>
              </w:rPr>
              <w:t>接到招标人通知后60天内，完成设备供货安装，并调试验收合格交付招标人使用，质保期不少于3年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pct"/>
            <w:vAlign w:val="center"/>
          </w:tcPr>
          <w:p>
            <w:pPr>
              <w:widowControl/>
              <w:jc w:val="center"/>
              <w:textAlignment w:val="center"/>
              <w:rPr>
                <w:rFonts w:ascii="宋体" w:hAnsi="宋体" w:cs="宋体"/>
                <w:sz w:val="24"/>
              </w:rPr>
            </w:pPr>
            <w:r>
              <w:rPr>
                <w:rFonts w:hint="eastAsia" w:ascii="宋体" w:hAnsi="宋体" w:cs="宋体"/>
                <w:sz w:val="24"/>
              </w:rPr>
              <w:t>14</w:t>
            </w:r>
          </w:p>
        </w:tc>
        <w:tc>
          <w:tcPr>
            <w:tcW w:w="1468" w:type="pct"/>
            <w:vAlign w:val="center"/>
          </w:tcPr>
          <w:p>
            <w:pPr>
              <w:spacing w:line="360" w:lineRule="auto"/>
              <w:jc w:val="center"/>
              <w:rPr>
                <w:sz w:val="24"/>
              </w:rPr>
            </w:pPr>
            <w:r>
              <w:rPr>
                <w:sz w:val="24"/>
              </w:rPr>
              <w:t>互联网线路</w:t>
            </w:r>
          </w:p>
        </w:tc>
        <w:tc>
          <w:tcPr>
            <w:tcW w:w="468" w:type="pct"/>
            <w:vAlign w:val="center"/>
          </w:tcPr>
          <w:p>
            <w:pPr>
              <w:spacing w:line="360" w:lineRule="auto"/>
              <w:jc w:val="center"/>
              <w:rPr>
                <w:sz w:val="24"/>
              </w:rPr>
            </w:pPr>
            <w:r>
              <w:rPr>
                <w:rFonts w:hint="eastAsia"/>
                <w:sz w:val="24"/>
              </w:rPr>
              <w:t>2</w:t>
            </w:r>
            <w:r>
              <w:rPr>
                <w:sz w:val="24"/>
              </w:rPr>
              <w:t>年</w:t>
            </w:r>
          </w:p>
        </w:tc>
        <w:tc>
          <w:tcPr>
            <w:tcW w:w="1271" w:type="pct"/>
            <w:vAlign w:val="center"/>
          </w:tcPr>
          <w:p>
            <w:pPr>
              <w:spacing w:line="360" w:lineRule="auto"/>
              <w:jc w:val="center"/>
              <w:rPr>
                <w:sz w:val="24"/>
              </w:rPr>
            </w:pPr>
            <w:r>
              <w:rPr>
                <w:rFonts w:hint="eastAsia"/>
                <w:sz w:val="24"/>
              </w:rPr>
              <w:t>租赁服务，</w:t>
            </w:r>
            <w:r>
              <w:rPr>
                <w:sz w:val="24"/>
              </w:rPr>
              <w:t>1G互联网专线</w:t>
            </w:r>
          </w:p>
        </w:tc>
        <w:tc>
          <w:tcPr>
            <w:tcW w:w="1271" w:type="pct"/>
            <w:vAlign w:val="center"/>
          </w:tcPr>
          <w:p>
            <w:pPr>
              <w:spacing w:line="360" w:lineRule="auto"/>
              <w:jc w:val="center"/>
              <w:rPr>
                <w:sz w:val="24"/>
              </w:rPr>
            </w:pPr>
            <w:r>
              <w:rPr>
                <w:rFonts w:hint="eastAsia" w:ascii="宋体" w:hAnsi="宋体" w:cs="宋体"/>
                <w:bCs/>
                <w:sz w:val="24"/>
              </w:rPr>
              <w:t>接到招标人通知后10天内开通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pct"/>
            <w:vAlign w:val="center"/>
          </w:tcPr>
          <w:p>
            <w:pPr>
              <w:pStyle w:val="4"/>
              <w:ind w:firstLine="0" w:firstLineChars="0"/>
              <w:jc w:val="center"/>
              <w:rPr>
                <w:rFonts w:ascii="宋体" w:hAnsi="宋体" w:eastAsia="宋体" w:cs="宋体"/>
              </w:rPr>
            </w:pPr>
            <w:r>
              <w:rPr>
                <w:rFonts w:hint="eastAsia" w:ascii="宋体" w:hAnsi="宋体" w:eastAsia="宋体" w:cs="宋体"/>
              </w:rPr>
              <w:t>15</w:t>
            </w:r>
          </w:p>
        </w:tc>
        <w:tc>
          <w:tcPr>
            <w:tcW w:w="1468" w:type="pct"/>
            <w:vAlign w:val="center"/>
          </w:tcPr>
          <w:p>
            <w:pPr>
              <w:spacing w:line="360" w:lineRule="auto"/>
              <w:jc w:val="center"/>
              <w:rPr>
                <w:sz w:val="24"/>
              </w:rPr>
            </w:pPr>
            <w:r>
              <w:rPr>
                <w:sz w:val="24"/>
              </w:rPr>
              <w:t>(电路)专线</w:t>
            </w:r>
          </w:p>
        </w:tc>
        <w:tc>
          <w:tcPr>
            <w:tcW w:w="468" w:type="pct"/>
            <w:vAlign w:val="center"/>
          </w:tcPr>
          <w:p>
            <w:pPr>
              <w:spacing w:line="360" w:lineRule="auto"/>
              <w:jc w:val="center"/>
              <w:rPr>
                <w:sz w:val="24"/>
              </w:rPr>
            </w:pPr>
            <w:bookmarkStart w:id="34" w:name="OLE_LINK2"/>
            <w:r>
              <w:rPr>
                <w:rFonts w:hint="eastAsia"/>
                <w:sz w:val="24"/>
              </w:rPr>
              <w:t>2</w:t>
            </w:r>
            <w:r>
              <w:rPr>
                <w:sz w:val="24"/>
              </w:rPr>
              <w:t>年</w:t>
            </w:r>
            <w:bookmarkEnd w:id="34"/>
          </w:p>
        </w:tc>
        <w:tc>
          <w:tcPr>
            <w:tcW w:w="1271" w:type="pct"/>
            <w:vAlign w:val="center"/>
          </w:tcPr>
          <w:p>
            <w:pPr>
              <w:spacing w:line="360" w:lineRule="auto"/>
              <w:jc w:val="center"/>
              <w:rPr>
                <w:sz w:val="24"/>
              </w:rPr>
            </w:pPr>
            <w:r>
              <w:rPr>
                <w:rFonts w:hint="eastAsia"/>
                <w:sz w:val="24"/>
              </w:rPr>
              <w:t>租赁服务，1</w:t>
            </w:r>
            <w:r>
              <w:rPr>
                <w:sz w:val="24"/>
              </w:rPr>
              <w:t>00M医保专线一主一备，要求不通运营商，</w:t>
            </w:r>
            <w:r>
              <w:rPr>
                <w:rFonts w:hint="eastAsia"/>
                <w:sz w:val="24"/>
              </w:rPr>
              <w:t>1G医院专线一主一备，</w:t>
            </w:r>
            <w:r>
              <w:rPr>
                <w:sz w:val="24"/>
              </w:rPr>
              <w:t>要求不通运营商</w:t>
            </w:r>
          </w:p>
        </w:tc>
        <w:tc>
          <w:tcPr>
            <w:tcW w:w="1271" w:type="pct"/>
            <w:vAlign w:val="center"/>
          </w:tcPr>
          <w:p>
            <w:pPr>
              <w:spacing w:line="360" w:lineRule="auto"/>
              <w:jc w:val="center"/>
              <w:rPr>
                <w:sz w:val="24"/>
              </w:rPr>
            </w:pPr>
            <w:r>
              <w:rPr>
                <w:rFonts w:hint="eastAsia" w:ascii="宋体" w:hAnsi="宋体" w:cs="宋体"/>
                <w:bCs/>
                <w:sz w:val="24"/>
              </w:rPr>
              <w:t>接到招标人通知后10天内开通</w:t>
            </w:r>
          </w:p>
        </w:tc>
      </w:tr>
      <w:bookmarkEnd w:id="28"/>
      <w:bookmarkEnd w:id="31"/>
    </w:tbl>
    <w:p>
      <w:pPr>
        <w:pStyle w:val="3"/>
        <w:numPr>
          <w:ilvl w:val="1"/>
          <w:numId w:val="1"/>
        </w:numPr>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详细要求</w:t>
      </w:r>
    </w:p>
    <w:p>
      <w:pPr>
        <w:pStyle w:val="5"/>
        <w:spacing w:before="0" w:after="0" w:line="360" w:lineRule="auto"/>
        <w:ind w:left="0" w:firstLine="482"/>
        <w:jc w:val="both"/>
        <w:rPr>
          <w:rFonts w:ascii="Times New Roman" w:hAnsi="Times New Roman" w:eastAsia="宋体" w:cs="Times New Roman"/>
          <w:sz w:val="24"/>
          <w:szCs w:val="24"/>
        </w:rPr>
      </w:pPr>
      <w:bookmarkStart w:id="35" w:name="_Hlk180682377"/>
      <w:r>
        <w:rPr>
          <w:rFonts w:hint="eastAsia" w:ascii="Times New Roman" w:hAnsi="Times New Roman" w:eastAsia="宋体" w:cs="Times New Roman"/>
          <w:sz w:val="24"/>
          <w:szCs w:val="24"/>
          <w:lang w:val="en-US"/>
        </w:rPr>
        <w:t>1、</w:t>
      </w:r>
      <w:r>
        <w:rPr>
          <w:rFonts w:ascii="Times New Roman" w:hAnsi="Times New Roman" w:eastAsia="宋体" w:cs="Times New Roman"/>
          <w:sz w:val="24"/>
          <w:szCs w:val="24"/>
        </w:rPr>
        <w:t>操作系统授权、办公设备授权及信创终端授权</w:t>
      </w:r>
      <w:bookmarkEnd w:id="35"/>
    </w:p>
    <w:p>
      <w:pPr>
        <w:pStyle w:val="6"/>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rPr>
        <w:t>1</w:t>
      </w:r>
      <w:r>
        <w:rPr>
          <w:rFonts w:hint="eastAsia" w:ascii="Times New Roman" w:hAnsi="Times New Roman" w:eastAsia="宋体" w:cs="Times New Roman"/>
          <w:sz w:val="24"/>
          <w:szCs w:val="24"/>
        </w:rPr>
        <w:t>）</w:t>
      </w:r>
      <w:r>
        <w:rPr>
          <w:rFonts w:ascii="Times New Roman" w:hAnsi="Times New Roman" w:eastAsia="宋体" w:cs="Times New Roman"/>
          <w:sz w:val="24"/>
          <w:szCs w:val="24"/>
        </w:rPr>
        <w:t>需求清单</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3810"/>
        <w:gridCol w:w="1427"/>
        <w:gridCol w:w="3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blHeader/>
        </w:trPr>
        <w:tc>
          <w:tcPr>
            <w:tcW w:w="509" w:type="pct"/>
            <w:shd w:val="clear" w:color="auto" w:fill="auto"/>
            <w:vAlign w:val="center"/>
          </w:tcPr>
          <w:p>
            <w:pPr>
              <w:widowControl/>
              <w:spacing w:line="360" w:lineRule="auto"/>
              <w:jc w:val="center"/>
              <w:rPr>
                <w:kern w:val="0"/>
                <w:sz w:val="24"/>
              </w:rPr>
            </w:pPr>
            <w:r>
              <w:rPr>
                <w:kern w:val="0"/>
                <w:sz w:val="24"/>
              </w:rPr>
              <w:t>序号</w:t>
            </w:r>
          </w:p>
        </w:tc>
        <w:tc>
          <w:tcPr>
            <w:tcW w:w="2051" w:type="pct"/>
            <w:shd w:val="clear" w:color="auto" w:fill="auto"/>
            <w:vAlign w:val="center"/>
          </w:tcPr>
          <w:p>
            <w:pPr>
              <w:widowControl/>
              <w:spacing w:line="360" w:lineRule="auto"/>
              <w:jc w:val="center"/>
              <w:rPr>
                <w:kern w:val="0"/>
                <w:sz w:val="24"/>
              </w:rPr>
            </w:pPr>
            <w:r>
              <w:rPr>
                <w:kern w:val="0"/>
                <w:sz w:val="24"/>
              </w:rPr>
              <w:t>服务或产品类型</w:t>
            </w:r>
          </w:p>
        </w:tc>
        <w:tc>
          <w:tcPr>
            <w:tcW w:w="768" w:type="pct"/>
            <w:shd w:val="clear" w:color="auto" w:fill="auto"/>
            <w:vAlign w:val="center"/>
          </w:tcPr>
          <w:p>
            <w:pPr>
              <w:widowControl/>
              <w:spacing w:line="360" w:lineRule="auto"/>
              <w:jc w:val="center"/>
              <w:rPr>
                <w:kern w:val="0"/>
                <w:sz w:val="24"/>
              </w:rPr>
            </w:pPr>
            <w:r>
              <w:rPr>
                <w:kern w:val="0"/>
                <w:sz w:val="24"/>
              </w:rPr>
              <w:t>数量或服务时间</w:t>
            </w:r>
          </w:p>
        </w:tc>
        <w:tc>
          <w:tcPr>
            <w:tcW w:w="1671" w:type="pct"/>
            <w:shd w:val="clear" w:color="auto" w:fill="auto"/>
            <w:vAlign w:val="center"/>
          </w:tcPr>
          <w:p>
            <w:pPr>
              <w:widowControl/>
              <w:spacing w:line="360" w:lineRule="auto"/>
              <w:jc w:val="center"/>
              <w:rPr>
                <w:kern w:val="0"/>
                <w:sz w:val="24"/>
              </w:rPr>
            </w:pPr>
            <w:r>
              <w:rPr>
                <w:kern w:val="0"/>
                <w:sz w:val="24"/>
              </w:rPr>
              <w:t>服务或产品配置要求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09" w:type="pct"/>
            <w:shd w:val="clear" w:color="auto" w:fill="auto"/>
            <w:vAlign w:val="center"/>
          </w:tcPr>
          <w:p>
            <w:pPr>
              <w:widowControl/>
              <w:spacing w:line="360" w:lineRule="auto"/>
              <w:jc w:val="center"/>
              <w:rPr>
                <w:kern w:val="0"/>
                <w:sz w:val="24"/>
              </w:rPr>
            </w:pPr>
            <w:bookmarkStart w:id="36" w:name="_Hlk179360588"/>
            <w:r>
              <w:rPr>
                <w:kern w:val="0"/>
                <w:sz w:val="24"/>
              </w:rPr>
              <w:t>1</w:t>
            </w:r>
          </w:p>
        </w:tc>
        <w:tc>
          <w:tcPr>
            <w:tcW w:w="2051" w:type="pct"/>
            <w:shd w:val="clear" w:color="auto" w:fill="auto"/>
            <w:vAlign w:val="center"/>
          </w:tcPr>
          <w:p>
            <w:pPr>
              <w:widowControl/>
              <w:spacing w:line="360" w:lineRule="auto"/>
              <w:jc w:val="center"/>
              <w:rPr>
                <w:kern w:val="0"/>
                <w:sz w:val="24"/>
              </w:rPr>
            </w:pPr>
            <w:r>
              <w:rPr>
                <w:kern w:val="0"/>
                <w:sz w:val="24"/>
              </w:rPr>
              <w:t>桌面电脑操作系统软件</w:t>
            </w:r>
          </w:p>
          <w:p>
            <w:pPr>
              <w:widowControl/>
              <w:spacing w:line="360" w:lineRule="auto"/>
              <w:jc w:val="center"/>
              <w:rPr>
                <w:kern w:val="0"/>
                <w:sz w:val="24"/>
              </w:rPr>
            </w:pPr>
            <w:r>
              <w:rPr>
                <w:kern w:val="0"/>
                <w:sz w:val="24"/>
              </w:rPr>
              <w:t>永久授权</w:t>
            </w:r>
            <w:r>
              <w:rPr>
                <w:rFonts w:hint="eastAsia"/>
                <w:kern w:val="0"/>
                <w:sz w:val="24"/>
              </w:rPr>
              <w:t>、</w:t>
            </w:r>
            <w:r>
              <w:rPr>
                <w:kern w:val="0"/>
                <w:sz w:val="24"/>
              </w:rPr>
              <w:t>全院所有桌面电脑操作系统软件合规使用授权服务</w:t>
            </w:r>
          </w:p>
        </w:tc>
        <w:tc>
          <w:tcPr>
            <w:tcW w:w="768" w:type="pct"/>
            <w:shd w:val="clear" w:color="auto" w:fill="auto"/>
            <w:vAlign w:val="center"/>
          </w:tcPr>
          <w:p>
            <w:pPr>
              <w:widowControl/>
              <w:spacing w:line="360" w:lineRule="auto"/>
              <w:jc w:val="center"/>
              <w:rPr>
                <w:kern w:val="0"/>
                <w:sz w:val="24"/>
              </w:rPr>
            </w:pPr>
            <w:r>
              <w:rPr>
                <w:kern w:val="0"/>
                <w:sz w:val="24"/>
              </w:rPr>
              <w:t>135套</w:t>
            </w:r>
            <w:r>
              <w:rPr>
                <w:rFonts w:hint="eastAsia"/>
                <w:kern w:val="0"/>
                <w:sz w:val="24"/>
              </w:rPr>
              <w:t>，2年</w:t>
            </w:r>
          </w:p>
        </w:tc>
        <w:tc>
          <w:tcPr>
            <w:tcW w:w="1671" w:type="pct"/>
            <w:shd w:val="clear" w:color="auto" w:fill="auto"/>
            <w:vAlign w:val="center"/>
          </w:tcPr>
          <w:p>
            <w:pPr>
              <w:widowControl/>
              <w:spacing w:line="360" w:lineRule="auto"/>
              <w:jc w:val="center"/>
              <w:rPr>
                <w:kern w:val="0"/>
                <w:sz w:val="24"/>
              </w:rPr>
            </w:pPr>
            <w:r>
              <w:rPr>
                <w:kern w:val="0"/>
                <w:sz w:val="24"/>
              </w:rPr>
              <w:t>非OEM版本，原厂授权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09" w:type="pct"/>
            <w:shd w:val="clear" w:color="auto" w:fill="auto"/>
            <w:vAlign w:val="center"/>
          </w:tcPr>
          <w:p>
            <w:pPr>
              <w:widowControl/>
              <w:spacing w:line="360" w:lineRule="auto"/>
              <w:jc w:val="center"/>
              <w:rPr>
                <w:kern w:val="0"/>
                <w:sz w:val="24"/>
              </w:rPr>
            </w:pPr>
            <w:r>
              <w:rPr>
                <w:rFonts w:hint="eastAsia"/>
                <w:kern w:val="0"/>
                <w:sz w:val="24"/>
              </w:rPr>
              <w:t>2</w:t>
            </w:r>
          </w:p>
        </w:tc>
        <w:tc>
          <w:tcPr>
            <w:tcW w:w="2051" w:type="pct"/>
            <w:shd w:val="clear" w:color="auto" w:fill="auto"/>
            <w:vAlign w:val="center"/>
          </w:tcPr>
          <w:p>
            <w:pPr>
              <w:widowControl/>
              <w:spacing w:line="360" w:lineRule="auto"/>
              <w:jc w:val="center"/>
              <w:rPr>
                <w:kern w:val="0"/>
                <w:sz w:val="24"/>
              </w:rPr>
            </w:pPr>
            <w:r>
              <w:rPr>
                <w:kern w:val="0"/>
                <w:sz w:val="24"/>
              </w:rPr>
              <w:t>全院所有桌面电脑办公软件合规使用授权服务</w:t>
            </w:r>
          </w:p>
        </w:tc>
        <w:tc>
          <w:tcPr>
            <w:tcW w:w="768" w:type="pct"/>
            <w:shd w:val="clear" w:color="auto" w:fill="auto"/>
            <w:vAlign w:val="center"/>
          </w:tcPr>
          <w:p>
            <w:pPr>
              <w:widowControl/>
              <w:spacing w:line="360" w:lineRule="auto"/>
              <w:jc w:val="center"/>
              <w:rPr>
                <w:kern w:val="0"/>
                <w:sz w:val="24"/>
              </w:rPr>
            </w:pPr>
            <w:r>
              <w:rPr>
                <w:rFonts w:hint="eastAsia"/>
                <w:kern w:val="0"/>
                <w:sz w:val="24"/>
              </w:rPr>
              <w:t>2</w:t>
            </w:r>
            <w:r>
              <w:rPr>
                <w:kern w:val="0"/>
                <w:sz w:val="24"/>
              </w:rPr>
              <w:t>年</w:t>
            </w:r>
          </w:p>
        </w:tc>
        <w:tc>
          <w:tcPr>
            <w:tcW w:w="1671" w:type="pct"/>
            <w:shd w:val="clear" w:color="auto" w:fill="auto"/>
            <w:vAlign w:val="center"/>
          </w:tcPr>
          <w:p>
            <w:pPr>
              <w:widowControl/>
              <w:spacing w:line="360" w:lineRule="auto"/>
              <w:jc w:val="center"/>
              <w:rPr>
                <w:kern w:val="0"/>
                <w:sz w:val="24"/>
              </w:rPr>
            </w:pPr>
            <w:r>
              <w:rPr>
                <w:kern w:val="0"/>
                <w:sz w:val="24"/>
              </w:rPr>
              <w:t>非OEM版本，原厂授权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09" w:type="pct"/>
            <w:shd w:val="clear" w:color="auto" w:fill="auto"/>
            <w:vAlign w:val="center"/>
          </w:tcPr>
          <w:p>
            <w:pPr>
              <w:widowControl/>
              <w:spacing w:line="360" w:lineRule="auto"/>
              <w:jc w:val="center"/>
              <w:rPr>
                <w:kern w:val="0"/>
                <w:sz w:val="24"/>
              </w:rPr>
            </w:pPr>
            <w:bookmarkStart w:id="37" w:name="_Hlk179361562"/>
            <w:r>
              <w:rPr>
                <w:rFonts w:hint="eastAsia"/>
                <w:kern w:val="0"/>
                <w:sz w:val="24"/>
              </w:rPr>
              <w:t>3</w:t>
            </w:r>
          </w:p>
        </w:tc>
        <w:tc>
          <w:tcPr>
            <w:tcW w:w="2051" w:type="pct"/>
            <w:shd w:val="clear" w:color="auto" w:fill="auto"/>
            <w:vAlign w:val="center"/>
          </w:tcPr>
          <w:p>
            <w:pPr>
              <w:widowControl/>
              <w:spacing w:line="360" w:lineRule="auto"/>
              <w:jc w:val="center"/>
              <w:rPr>
                <w:kern w:val="0"/>
                <w:sz w:val="24"/>
              </w:rPr>
            </w:pPr>
            <w:r>
              <w:rPr>
                <w:kern w:val="0"/>
                <w:sz w:val="24"/>
              </w:rPr>
              <w:t>桌面电脑办公软件永久授权</w:t>
            </w:r>
          </w:p>
        </w:tc>
        <w:tc>
          <w:tcPr>
            <w:tcW w:w="768" w:type="pct"/>
            <w:shd w:val="clear" w:color="auto" w:fill="auto"/>
            <w:vAlign w:val="center"/>
          </w:tcPr>
          <w:p>
            <w:pPr>
              <w:widowControl/>
              <w:spacing w:line="360" w:lineRule="auto"/>
              <w:jc w:val="center"/>
              <w:rPr>
                <w:kern w:val="0"/>
                <w:sz w:val="24"/>
              </w:rPr>
            </w:pPr>
            <w:r>
              <w:rPr>
                <w:kern w:val="0"/>
                <w:sz w:val="24"/>
              </w:rPr>
              <w:t>8套</w:t>
            </w:r>
          </w:p>
        </w:tc>
        <w:tc>
          <w:tcPr>
            <w:tcW w:w="1671" w:type="pct"/>
            <w:shd w:val="clear" w:color="auto" w:fill="auto"/>
            <w:vAlign w:val="center"/>
          </w:tcPr>
          <w:p>
            <w:pPr>
              <w:widowControl/>
              <w:spacing w:line="360" w:lineRule="auto"/>
              <w:jc w:val="center"/>
              <w:rPr>
                <w:kern w:val="0"/>
                <w:sz w:val="24"/>
              </w:rPr>
            </w:pPr>
            <w:r>
              <w:rPr>
                <w:kern w:val="0"/>
                <w:sz w:val="24"/>
              </w:rPr>
              <w:t>非OEM版本，原厂授权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09" w:type="pct"/>
            <w:shd w:val="clear" w:color="auto" w:fill="auto"/>
            <w:vAlign w:val="center"/>
          </w:tcPr>
          <w:p>
            <w:pPr>
              <w:widowControl/>
              <w:spacing w:line="360" w:lineRule="auto"/>
              <w:jc w:val="center"/>
              <w:rPr>
                <w:kern w:val="0"/>
                <w:sz w:val="24"/>
              </w:rPr>
            </w:pPr>
            <w:r>
              <w:rPr>
                <w:rFonts w:hint="eastAsia"/>
                <w:kern w:val="0"/>
                <w:sz w:val="24"/>
              </w:rPr>
              <w:t>4</w:t>
            </w:r>
          </w:p>
        </w:tc>
        <w:tc>
          <w:tcPr>
            <w:tcW w:w="2051" w:type="pct"/>
            <w:shd w:val="clear" w:color="auto" w:fill="auto"/>
            <w:vAlign w:val="center"/>
          </w:tcPr>
          <w:p>
            <w:pPr>
              <w:widowControl/>
              <w:spacing w:line="360" w:lineRule="auto"/>
              <w:jc w:val="center"/>
              <w:rPr>
                <w:kern w:val="0"/>
                <w:sz w:val="24"/>
              </w:rPr>
            </w:pPr>
            <w:r>
              <w:rPr>
                <w:kern w:val="0"/>
                <w:sz w:val="24"/>
              </w:rPr>
              <w:t>桌面电脑操作系统软件永久授权</w:t>
            </w:r>
          </w:p>
        </w:tc>
        <w:tc>
          <w:tcPr>
            <w:tcW w:w="768" w:type="pct"/>
            <w:shd w:val="clear" w:color="auto" w:fill="auto"/>
            <w:vAlign w:val="center"/>
          </w:tcPr>
          <w:p>
            <w:pPr>
              <w:widowControl/>
              <w:spacing w:line="360" w:lineRule="auto"/>
              <w:jc w:val="center"/>
              <w:rPr>
                <w:kern w:val="0"/>
                <w:sz w:val="24"/>
              </w:rPr>
            </w:pPr>
            <w:r>
              <w:rPr>
                <w:kern w:val="0"/>
                <w:sz w:val="24"/>
              </w:rPr>
              <w:t>8套</w:t>
            </w:r>
          </w:p>
        </w:tc>
        <w:tc>
          <w:tcPr>
            <w:tcW w:w="1671" w:type="pct"/>
            <w:shd w:val="clear" w:color="auto" w:fill="auto"/>
            <w:vAlign w:val="center"/>
          </w:tcPr>
          <w:p>
            <w:pPr>
              <w:widowControl/>
              <w:spacing w:line="360" w:lineRule="auto"/>
              <w:jc w:val="center"/>
              <w:rPr>
                <w:kern w:val="0"/>
                <w:sz w:val="24"/>
              </w:rPr>
            </w:pPr>
            <w:r>
              <w:rPr>
                <w:kern w:val="0"/>
                <w:sz w:val="24"/>
              </w:rPr>
              <w:t>非OEM版本，原厂授权</w:t>
            </w:r>
          </w:p>
        </w:tc>
      </w:tr>
      <w:bookmarkEnd w:id="36"/>
      <w:bookmarkEnd w:id="37"/>
    </w:tbl>
    <w:p>
      <w:pPr>
        <w:pStyle w:val="6"/>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技术要求</w:t>
      </w:r>
    </w:p>
    <w:p>
      <w:pPr>
        <w:pStyle w:val="7"/>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lang w:val="en-US"/>
        </w:rPr>
        <w:t>1）</w:t>
      </w:r>
      <w:r>
        <w:rPr>
          <w:rFonts w:ascii="Times New Roman" w:hAnsi="Times New Roman" w:eastAsia="宋体" w:cs="Times New Roman"/>
          <w:sz w:val="24"/>
          <w:szCs w:val="24"/>
        </w:rPr>
        <w:t>桌面电脑操作系统软件永久授权及全院所有桌面电脑操作系统软件合规使用授权服务</w:t>
      </w:r>
      <w:r>
        <w:rPr>
          <w:rFonts w:hint="eastAsia" w:ascii="Times New Roman" w:hAnsi="Times New Roman" w:eastAsia="宋体" w:cs="Times New Roman"/>
          <w:sz w:val="24"/>
          <w:szCs w:val="24"/>
        </w:rPr>
        <w:t>。</w:t>
      </w:r>
    </w:p>
    <w:p>
      <w:pPr>
        <w:pStyle w:val="8"/>
        <w:spacing w:before="0" w:after="0" w:line="360" w:lineRule="auto"/>
        <w:ind w:left="0" w:firstLine="482"/>
        <w:jc w:val="both"/>
        <w:rPr>
          <w:rFonts w:ascii="Times New Roman" w:hAnsi="Times New Roman" w:eastAsia="宋体" w:cs="Times New Roman"/>
          <w:szCs w:val="24"/>
        </w:rPr>
      </w:pPr>
      <w:r>
        <w:rPr>
          <w:rFonts w:hint="eastAsia" w:ascii="Times New Roman" w:hAnsi="Times New Roman" w:eastAsia="宋体" w:cs="Times New Roman"/>
          <w:szCs w:val="24"/>
          <w:lang w:val="en-US"/>
        </w:rPr>
        <w:t>a）</w:t>
      </w:r>
      <w:r>
        <w:rPr>
          <w:rFonts w:ascii="Times New Roman" w:hAnsi="Times New Roman" w:eastAsia="宋体" w:cs="Times New Roman"/>
          <w:szCs w:val="24"/>
        </w:rPr>
        <w:t>基本功能</w:t>
      </w:r>
    </w:p>
    <w:p>
      <w:pPr>
        <w:pStyle w:val="4"/>
        <w:numPr>
          <w:ilvl w:val="255"/>
          <w:numId w:val="0"/>
        </w:numPr>
        <w:ind w:firstLine="480" w:firstLineChars="200"/>
        <w:rPr>
          <w:rFonts w:eastAsia="宋体" w:cs="Times New Roman"/>
        </w:rPr>
      </w:pPr>
      <w:r>
        <w:rPr>
          <w:rFonts w:eastAsia="宋体" w:cs="Times New Roman"/>
        </w:rPr>
        <w:t>最新的中文企业版，国内激活：系统激活在国内完成，设备数据及用户数据保存在中国国内。</w:t>
      </w:r>
    </w:p>
    <w:p>
      <w:pPr>
        <w:pStyle w:val="4"/>
        <w:numPr>
          <w:ilvl w:val="255"/>
          <w:numId w:val="0"/>
        </w:numPr>
        <w:ind w:firstLine="480" w:firstLineChars="200"/>
        <w:rPr>
          <w:rFonts w:eastAsia="宋体" w:cs="Times New Roman"/>
        </w:rPr>
      </w:pPr>
      <w:r>
        <w:rPr>
          <w:rFonts w:eastAsia="宋体" w:cs="Times New Roman"/>
        </w:rPr>
        <w:t>国内补丁更新和升级：系统补丁和升级服务器位于中国国内。</w:t>
      </w:r>
    </w:p>
    <w:p>
      <w:pPr>
        <w:pStyle w:val="4"/>
        <w:ind w:firstLine="480"/>
        <w:rPr>
          <w:rFonts w:eastAsia="宋体" w:cs="Times New Roman"/>
        </w:rPr>
      </w:pPr>
      <w:r>
        <w:rPr>
          <w:rFonts w:eastAsia="宋体" w:cs="Times New Roman"/>
        </w:rPr>
        <w:t>支持多种安装方式，采用光盘安装、网络安装、硬盘安装。</w:t>
      </w:r>
    </w:p>
    <w:p>
      <w:pPr>
        <w:pStyle w:val="4"/>
        <w:ind w:firstLine="480"/>
        <w:rPr>
          <w:rFonts w:eastAsia="宋体" w:cs="Times New Roman"/>
        </w:rPr>
      </w:pPr>
      <w:r>
        <w:rPr>
          <w:rFonts w:eastAsia="宋体" w:cs="Times New Roman"/>
        </w:rPr>
        <w:t>支持高级版本的操作系统无损升级。</w:t>
      </w:r>
    </w:p>
    <w:p>
      <w:pPr>
        <w:pStyle w:val="4"/>
        <w:ind w:firstLine="480"/>
        <w:rPr>
          <w:rFonts w:eastAsia="宋体" w:cs="Times New Roman"/>
        </w:rPr>
      </w:pPr>
      <w:r>
        <w:rPr>
          <w:rFonts w:eastAsia="宋体" w:cs="Times New Roman"/>
        </w:rPr>
        <w:t>支持自定义的系统镜像制作和管理。</w:t>
      </w:r>
    </w:p>
    <w:p>
      <w:pPr>
        <w:pStyle w:val="4"/>
        <w:ind w:firstLine="480"/>
        <w:rPr>
          <w:rFonts w:eastAsia="宋体" w:cs="Times New Roman"/>
        </w:rPr>
      </w:pPr>
      <w:r>
        <w:rPr>
          <w:rFonts w:eastAsia="宋体" w:cs="Times New Roman"/>
        </w:rPr>
        <w:t>支持最新的硬件平台，支持最新的核心处理器</w:t>
      </w:r>
      <w:r>
        <w:rPr>
          <w:rFonts w:hint="eastAsia" w:eastAsia="宋体" w:cs="Times New Roman"/>
        </w:rPr>
        <w:t>。</w:t>
      </w:r>
    </w:p>
    <w:p>
      <w:pPr>
        <w:pStyle w:val="4"/>
        <w:ind w:firstLine="480"/>
        <w:rPr>
          <w:rFonts w:eastAsia="宋体" w:cs="Times New Roman"/>
        </w:rPr>
      </w:pPr>
      <w:r>
        <w:rPr>
          <w:rFonts w:eastAsia="宋体" w:cs="Times New Roman"/>
        </w:rPr>
        <w:t>系统还原：可以选择恢复到系统的原始状态，并可以选择保留或删除原文件。</w:t>
      </w:r>
    </w:p>
    <w:p>
      <w:pPr>
        <w:pStyle w:val="4"/>
        <w:ind w:firstLine="480"/>
        <w:rPr>
          <w:rFonts w:eastAsia="宋体" w:cs="Times New Roman"/>
        </w:rPr>
      </w:pPr>
      <w:r>
        <w:rPr>
          <w:rFonts w:eastAsia="宋体" w:cs="Times New Roman"/>
        </w:rPr>
        <w:t>系统</w:t>
      </w:r>
      <w:r>
        <w:rPr>
          <w:rFonts w:hint="eastAsia" w:eastAsia="宋体" w:cs="Times New Roman"/>
        </w:rPr>
        <w:t>配备</w:t>
      </w:r>
      <w:r>
        <w:rPr>
          <w:rFonts w:eastAsia="宋体" w:cs="Times New Roman"/>
        </w:rPr>
        <w:t>Hyper-V虚拟化功能,提供解决应用兼容性方案和其它用途。</w:t>
      </w:r>
    </w:p>
    <w:p>
      <w:pPr>
        <w:pStyle w:val="8"/>
        <w:spacing w:before="0" w:after="0" w:line="360" w:lineRule="auto"/>
        <w:ind w:left="0" w:firstLine="482"/>
        <w:jc w:val="both"/>
        <w:rPr>
          <w:rFonts w:ascii="Times New Roman" w:hAnsi="Times New Roman" w:eastAsia="宋体" w:cs="Times New Roman"/>
          <w:szCs w:val="24"/>
        </w:rPr>
      </w:pPr>
      <w:r>
        <w:rPr>
          <w:rFonts w:hint="eastAsia" w:ascii="Times New Roman" w:hAnsi="Times New Roman" w:eastAsia="宋体" w:cs="Times New Roman"/>
          <w:szCs w:val="24"/>
          <w:lang w:val="en-US"/>
        </w:rPr>
        <w:t>b）</w:t>
      </w:r>
      <w:r>
        <w:rPr>
          <w:rFonts w:ascii="Times New Roman" w:hAnsi="Times New Roman" w:eastAsia="宋体" w:cs="Times New Roman"/>
          <w:szCs w:val="24"/>
        </w:rPr>
        <w:t>安全管理</w:t>
      </w:r>
    </w:p>
    <w:p>
      <w:pPr>
        <w:pStyle w:val="4"/>
        <w:ind w:firstLine="480"/>
        <w:rPr>
          <w:rFonts w:eastAsia="宋体" w:cs="Times New Roman"/>
        </w:rPr>
      </w:pPr>
      <w:r>
        <w:rPr>
          <w:rFonts w:eastAsia="宋体" w:cs="Times New Roman"/>
        </w:rPr>
        <w:t>支持磁盘或移动介质的加密</w:t>
      </w:r>
    </w:p>
    <w:p>
      <w:pPr>
        <w:pStyle w:val="4"/>
        <w:ind w:firstLine="480"/>
        <w:rPr>
          <w:rFonts w:eastAsia="宋体" w:cs="Times New Roman"/>
        </w:rPr>
      </w:pPr>
      <w:r>
        <w:rPr>
          <w:rFonts w:eastAsia="宋体" w:cs="Times New Roman"/>
        </w:rPr>
        <w:t>通过 AppLocker 和 Device Guard 设备卫士可以严格管控可运行的应用程序，避免数据被恶意程序被窃取。</w:t>
      </w:r>
    </w:p>
    <w:p>
      <w:pPr>
        <w:pStyle w:val="4"/>
        <w:ind w:firstLine="480"/>
        <w:rPr>
          <w:rFonts w:eastAsia="宋体" w:cs="Times New Roman"/>
        </w:rPr>
      </w:pPr>
      <w:r>
        <w:rPr>
          <w:rFonts w:eastAsia="宋体" w:cs="Times New Roman"/>
        </w:rPr>
        <w:t>支持系统的BranchCache分支缓存，可对企业分支机构之间需要多次访问的数据创建本地缓存，重复访问直接通过本地缓存获取</w:t>
      </w:r>
      <w:r>
        <w:rPr>
          <w:rFonts w:hint="eastAsia" w:eastAsia="宋体" w:cs="Times New Roman"/>
        </w:rPr>
        <w:t>。</w:t>
      </w:r>
    </w:p>
    <w:p>
      <w:pPr>
        <w:pStyle w:val="8"/>
        <w:spacing w:before="0" w:after="0" w:line="360" w:lineRule="auto"/>
        <w:ind w:left="0" w:firstLine="482"/>
        <w:jc w:val="both"/>
        <w:rPr>
          <w:rFonts w:ascii="Times New Roman" w:hAnsi="Times New Roman" w:eastAsia="宋体" w:cs="Times New Roman"/>
          <w:szCs w:val="24"/>
        </w:rPr>
      </w:pPr>
      <w:r>
        <w:rPr>
          <w:rFonts w:hint="eastAsia" w:ascii="Times New Roman" w:hAnsi="Times New Roman" w:eastAsia="宋体" w:cs="Times New Roman"/>
          <w:szCs w:val="24"/>
          <w:lang w:val="en-US"/>
        </w:rPr>
        <w:t>c）</w:t>
      </w:r>
      <w:r>
        <w:rPr>
          <w:rFonts w:ascii="Times New Roman" w:hAnsi="Times New Roman" w:eastAsia="宋体" w:cs="Times New Roman"/>
          <w:szCs w:val="24"/>
        </w:rPr>
        <w:t>文件和打印服务</w:t>
      </w:r>
    </w:p>
    <w:p>
      <w:pPr>
        <w:pStyle w:val="4"/>
        <w:numPr>
          <w:ilvl w:val="255"/>
          <w:numId w:val="0"/>
        </w:numPr>
        <w:ind w:firstLine="480" w:firstLineChars="200"/>
        <w:rPr>
          <w:rFonts w:eastAsia="宋体" w:cs="Times New Roman"/>
        </w:rPr>
      </w:pPr>
      <w:r>
        <w:rPr>
          <w:rFonts w:eastAsia="宋体" w:cs="Times New Roman"/>
        </w:rPr>
        <w:t>支持基于Kerberos协议的目录服务模式。</w:t>
      </w:r>
    </w:p>
    <w:p>
      <w:pPr>
        <w:pStyle w:val="4"/>
        <w:numPr>
          <w:ilvl w:val="255"/>
          <w:numId w:val="0"/>
        </w:numPr>
        <w:ind w:firstLine="480" w:firstLineChars="200"/>
        <w:rPr>
          <w:rFonts w:eastAsia="宋体" w:cs="Times New Roman"/>
        </w:rPr>
      </w:pPr>
      <w:r>
        <w:rPr>
          <w:rFonts w:eastAsia="宋体" w:cs="Times New Roman"/>
        </w:rPr>
        <w:t>支持基于工作组模式和基于证书方式的身份验证。</w:t>
      </w:r>
    </w:p>
    <w:p>
      <w:pPr>
        <w:pStyle w:val="4"/>
        <w:numPr>
          <w:ilvl w:val="255"/>
          <w:numId w:val="0"/>
        </w:numPr>
        <w:ind w:firstLine="480" w:firstLineChars="200"/>
        <w:rPr>
          <w:rFonts w:eastAsia="宋体" w:cs="Times New Roman"/>
        </w:rPr>
      </w:pPr>
      <w:r>
        <w:rPr>
          <w:rFonts w:eastAsia="宋体" w:cs="Times New Roman"/>
        </w:rPr>
        <w:t>支持文件内容索引、文件复制服务、文件夹重定向、脱机文件夹、文件权限管理、文件权限继承，共享文件夹权限/缓存/最大连接数设定。</w:t>
      </w:r>
    </w:p>
    <w:p>
      <w:pPr>
        <w:pStyle w:val="4"/>
        <w:numPr>
          <w:ilvl w:val="255"/>
          <w:numId w:val="0"/>
        </w:numPr>
        <w:ind w:firstLine="480" w:firstLineChars="200"/>
        <w:rPr>
          <w:rFonts w:eastAsia="宋体" w:cs="Times New Roman"/>
        </w:rPr>
      </w:pPr>
      <w:r>
        <w:rPr>
          <w:rFonts w:eastAsia="宋体" w:cs="Times New Roman"/>
        </w:rPr>
        <w:t>支持网络磁盘映射，网络位置发现，共享打印机。</w:t>
      </w:r>
    </w:p>
    <w:p>
      <w:pPr>
        <w:pStyle w:val="4"/>
        <w:numPr>
          <w:ilvl w:val="255"/>
          <w:numId w:val="0"/>
        </w:numPr>
        <w:ind w:firstLine="480" w:firstLineChars="200"/>
        <w:rPr>
          <w:rFonts w:eastAsia="宋体" w:cs="Times New Roman"/>
        </w:rPr>
      </w:pPr>
      <w:r>
        <w:rPr>
          <w:rFonts w:eastAsia="宋体" w:cs="Times New Roman"/>
        </w:rPr>
        <w:t>内置Zip压缩格式文件的压缩/解压。</w:t>
      </w:r>
    </w:p>
    <w:p>
      <w:pPr>
        <w:pStyle w:val="8"/>
        <w:spacing w:before="0" w:after="0" w:line="360" w:lineRule="auto"/>
        <w:ind w:left="0" w:firstLine="482"/>
        <w:jc w:val="both"/>
        <w:rPr>
          <w:rFonts w:ascii="Times New Roman" w:hAnsi="Times New Roman" w:eastAsia="宋体" w:cs="Times New Roman"/>
          <w:szCs w:val="24"/>
        </w:rPr>
      </w:pPr>
      <w:r>
        <w:rPr>
          <w:rFonts w:hint="eastAsia" w:ascii="Times New Roman" w:hAnsi="Times New Roman" w:eastAsia="宋体" w:cs="Times New Roman"/>
          <w:szCs w:val="24"/>
          <w:lang w:val="en-US"/>
        </w:rPr>
        <w:t>d）</w:t>
      </w:r>
      <w:r>
        <w:rPr>
          <w:rFonts w:ascii="Times New Roman" w:hAnsi="Times New Roman" w:eastAsia="宋体" w:cs="Times New Roman"/>
          <w:szCs w:val="24"/>
        </w:rPr>
        <w:t>磁盘和硬件驱动管理</w:t>
      </w:r>
    </w:p>
    <w:p>
      <w:pPr>
        <w:pStyle w:val="4"/>
        <w:numPr>
          <w:ilvl w:val="255"/>
          <w:numId w:val="0"/>
        </w:numPr>
        <w:ind w:firstLine="480" w:firstLineChars="200"/>
        <w:rPr>
          <w:rFonts w:eastAsia="宋体" w:cs="Times New Roman"/>
        </w:rPr>
      </w:pPr>
      <w:r>
        <w:rPr>
          <w:rFonts w:eastAsia="宋体" w:cs="Times New Roman"/>
        </w:rPr>
        <w:t>提供图形化和命令行界面的磁盘管理工具。</w:t>
      </w:r>
    </w:p>
    <w:p>
      <w:pPr>
        <w:pStyle w:val="4"/>
        <w:numPr>
          <w:ilvl w:val="255"/>
          <w:numId w:val="0"/>
        </w:numPr>
        <w:ind w:firstLine="480" w:firstLineChars="200"/>
        <w:rPr>
          <w:rFonts w:eastAsia="宋体" w:cs="Times New Roman"/>
        </w:rPr>
      </w:pPr>
      <w:r>
        <w:rPr>
          <w:rFonts w:eastAsia="宋体" w:cs="Times New Roman"/>
        </w:rPr>
        <w:t>支持磁盘分区压缩和扩展功能。</w:t>
      </w:r>
    </w:p>
    <w:p>
      <w:pPr>
        <w:pStyle w:val="4"/>
        <w:numPr>
          <w:ilvl w:val="255"/>
          <w:numId w:val="0"/>
        </w:numPr>
        <w:ind w:firstLine="480" w:firstLineChars="200"/>
        <w:rPr>
          <w:rFonts w:eastAsia="宋体" w:cs="Times New Roman"/>
        </w:rPr>
      </w:pPr>
      <w:r>
        <w:rPr>
          <w:rFonts w:eastAsia="宋体" w:cs="Times New Roman"/>
        </w:rPr>
        <w:t>支持MBR和GPT（全球唯一标识符(GUID)分区表）的分区类型转换。</w:t>
      </w:r>
    </w:p>
    <w:p>
      <w:pPr>
        <w:pStyle w:val="4"/>
        <w:numPr>
          <w:ilvl w:val="255"/>
          <w:numId w:val="0"/>
        </w:numPr>
        <w:ind w:firstLine="480" w:firstLineChars="200"/>
        <w:rPr>
          <w:rFonts w:eastAsia="宋体" w:cs="Times New Roman"/>
        </w:rPr>
      </w:pPr>
      <w:r>
        <w:rPr>
          <w:rFonts w:eastAsia="宋体" w:cs="Times New Roman"/>
        </w:rPr>
        <w:t>支持磁盘碎片整理，支持磁盘配额管理。</w:t>
      </w:r>
    </w:p>
    <w:p>
      <w:pPr>
        <w:pStyle w:val="4"/>
        <w:numPr>
          <w:ilvl w:val="255"/>
          <w:numId w:val="0"/>
        </w:numPr>
        <w:ind w:firstLine="480" w:firstLineChars="200"/>
        <w:rPr>
          <w:rFonts w:eastAsia="宋体" w:cs="Times New Roman"/>
        </w:rPr>
      </w:pPr>
      <w:r>
        <w:rPr>
          <w:rFonts w:eastAsia="宋体" w:cs="Times New Roman"/>
        </w:rPr>
        <w:t>支持所有硬件设备的管理界面，通过系统的自动更新功能对设备驱动进行更新。</w:t>
      </w:r>
    </w:p>
    <w:p>
      <w:pPr>
        <w:pStyle w:val="4"/>
        <w:numPr>
          <w:ilvl w:val="255"/>
          <w:numId w:val="0"/>
        </w:numPr>
        <w:ind w:firstLine="480" w:firstLineChars="200"/>
        <w:rPr>
          <w:rFonts w:eastAsia="宋体" w:cs="Times New Roman"/>
        </w:rPr>
      </w:pPr>
      <w:r>
        <w:rPr>
          <w:rFonts w:eastAsia="宋体" w:cs="Times New Roman"/>
        </w:rPr>
        <w:t>支持使用通过数字签名的驱动保护系统内核安全。</w:t>
      </w:r>
    </w:p>
    <w:p>
      <w:pPr>
        <w:pStyle w:val="4"/>
        <w:numPr>
          <w:ilvl w:val="255"/>
          <w:numId w:val="0"/>
        </w:numPr>
        <w:ind w:firstLine="480" w:firstLineChars="200"/>
        <w:rPr>
          <w:rFonts w:eastAsia="宋体" w:cs="Times New Roman"/>
        </w:rPr>
      </w:pPr>
      <w:r>
        <w:rPr>
          <w:rFonts w:eastAsia="宋体" w:cs="Times New Roman"/>
        </w:rPr>
        <w:t>具备兼容性报告诊断系统兼容性情况，通过回滚功能恢复到正常的硬件驱动。</w:t>
      </w:r>
    </w:p>
    <w:p>
      <w:pPr>
        <w:pStyle w:val="8"/>
        <w:spacing w:before="0" w:after="0" w:line="360" w:lineRule="auto"/>
        <w:ind w:left="0" w:firstLine="482"/>
        <w:jc w:val="both"/>
        <w:rPr>
          <w:rFonts w:ascii="Times New Roman" w:hAnsi="Times New Roman" w:eastAsia="宋体" w:cs="Times New Roman"/>
          <w:szCs w:val="24"/>
        </w:rPr>
      </w:pPr>
      <w:r>
        <w:rPr>
          <w:rFonts w:hint="eastAsia" w:ascii="Times New Roman" w:hAnsi="Times New Roman" w:eastAsia="宋体" w:cs="Times New Roman"/>
          <w:szCs w:val="24"/>
          <w:lang w:val="en-US"/>
        </w:rPr>
        <w:t>e）</w:t>
      </w:r>
      <w:r>
        <w:rPr>
          <w:rFonts w:ascii="Times New Roman" w:hAnsi="Times New Roman" w:eastAsia="宋体" w:cs="Times New Roman"/>
          <w:szCs w:val="24"/>
        </w:rPr>
        <w:t>网络服务</w:t>
      </w:r>
    </w:p>
    <w:p>
      <w:pPr>
        <w:pStyle w:val="4"/>
        <w:ind w:firstLine="480"/>
        <w:rPr>
          <w:rFonts w:eastAsia="宋体" w:cs="Times New Roman"/>
        </w:rPr>
      </w:pPr>
      <w:r>
        <w:rPr>
          <w:rFonts w:eastAsia="宋体" w:cs="Times New Roman"/>
        </w:rPr>
        <w:t>支持IPv4和IPv6地址，支持802.11无线网络标准。</w:t>
      </w:r>
    </w:p>
    <w:p>
      <w:pPr>
        <w:pStyle w:val="4"/>
        <w:ind w:firstLine="480"/>
        <w:rPr>
          <w:rFonts w:eastAsia="宋体" w:cs="Times New Roman"/>
        </w:rPr>
      </w:pPr>
      <w:r>
        <w:rPr>
          <w:rFonts w:eastAsia="宋体" w:cs="Times New Roman"/>
        </w:rPr>
        <w:t>支持主机名（Host Name）和NetBIOS名的名称解析服务，支持DHCP服务。</w:t>
      </w:r>
    </w:p>
    <w:p>
      <w:pPr>
        <w:pStyle w:val="4"/>
        <w:ind w:firstLine="480"/>
        <w:rPr>
          <w:rFonts w:eastAsia="宋体" w:cs="Times New Roman"/>
        </w:rPr>
      </w:pPr>
      <w:r>
        <w:rPr>
          <w:rFonts w:eastAsia="宋体" w:cs="Times New Roman"/>
        </w:rPr>
        <w:t>支持Telnet客户端，支持内置网络诊断和排错工具。</w:t>
      </w:r>
    </w:p>
    <w:p>
      <w:pPr>
        <w:pStyle w:val="8"/>
        <w:spacing w:before="0" w:after="0" w:line="360" w:lineRule="auto"/>
        <w:ind w:left="0" w:firstLine="482"/>
        <w:jc w:val="both"/>
        <w:rPr>
          <w:rFonts w:ascii="Times New Roman" w:hAnsi="Times New Roman" w:eastAsia="宋体" w:cs="Times New Roman"/>
          <w:szCs w:val="24"/>
        </w:rPr>
      </w:pPr>
      <w:r>
        <w:rPr>
          <w:rFonts w:hint="eastAsia" w:ascii="Times New Roman" w:hAnsi="Times New Roman" w:eastAsia="宋体" w:cs="Times New Roman"/>
          <w:szCs w:val="24"/>
          <w:lang w:val="en-US"/>
        </w:rPr>
        <w:t>f）</w:t>
      </w:r>
      <w:r>
        <w:rPr>
          <w:rFonts w:ascii="Times New Roman" w:hAnsi="Times New Roman" w:eastAsia="宋体" w:cs="Times New Roman"/>
          <w:szCs w:val="24"/>
        </w:rPr>
        <w:t>安全性管理</w:t>
      </w:r>
    </w:p>
    <w:p>
      <w:pPr>
        <w:pStyle w:val="4"/>
        <w:ind w:firstLine="480" w:firstLineChars="0"/>
        <w:rPr>
          <w:rFonts w:eastAsia="宋体" w:cs="Times New Roman"/>
        </w:rPr>
      </w:pPr>
      <w:r>
        <w:rPr>
          <w:rFonts w:eastAsia="宋体" w:cs="Times New Roman"/>
        </w:rPr>
        <w:t>支持统一的管理界面进行安全设置。</w:t>
      </w:r>
    </w:p>
    <w:p>
      <w:pPr>
        <w:pStyle w:val="4"/>
        <w:ind w:firstLine="480" w:firstLineChars="0"/>
        <w:rPr>
          <w:rFonts w:eastAsia="宋体" w:cs="Times New Roman"/>
        </w:rPr>
      </w:pPr>
      <w:r>
        <w:rPr>
          <w:rFonts w:eastAsia="宋体" w:cs="Times New Roman"/>
        </w:rPr>
        <w:t>支持通过一对多的策略方式管理用户和计算机。</w:t>
      </w:r>
    </w:p>
    <w:p>
      <w:pPr>
        <w:pStyle w:val="4"/>
        <w:ind w:firstLine="480" w:firstLineChars="0"/>
        <w:rPr>
          <w:rFonts w:eastAsia="宋体" w:cs="Times New Roman"/>
        </w:rPr>
      </w:pPr>
      <w:r>
        <w:rPr>
          <w:rFonts w:eastAsia="宋体" w:cs="Times New Roman"/>
        </w:rPr>
        <w:t>支持文件和文件夹的加密。</w:t>
      </w:r>
    </w:p>
    <w:p>
      <w:pPr>
        <w:pStyle w:val="4"/>
        <w:ind w:firstLine="480" w:firstLineChars="0"/>
        <w:rPr>
          <w:rFonts w:eastAsia="宋体" w:cs="Times New Roman"/>
        </w:rPr>
      </w:pPr>
      <w:r>
        <w:rPr>
          <w:rFonts w:eastAsia="宋体" w:cs="Times New Roman"/>
        </w:rPr>
        <w:t>支持早期版本系统的限制软件安装功能。</w:t>
      </w:r>
    </w:p>
    <w:p>
      <w:pPr>
        <w:pStyle w:val="4"/>
        <w:ind w:firstLine="480" w:firstLineChars="0"/>
        <w:rPr>
          <w:rFonts w:eastAsia="宋体" w:cs="Times New Roman"/>
        </w:rPr>
      </w:pPr>
      <w:r>
        <w:rPr>
          <w:rFonts w:eastAsia="宋体" w:cs="Times New Roman"/>
        </w:rPr>
        <w:t>支持用户账号权限的安全管理。</w:t>
      </w:r>
    </w:p>
    <w:p>
      <w:pPr>
        <w:pStyle w:val="4"/>
        <w:ind w:firstLine="480" w:firstLineChars="0"/>
        <w:rPr>
          <w:rFonts w:eastAsia="宋体" w:cs="Times New Roman"/>
        </w:rPr>
      </w:pPr>
      <w:r>
        <w:rPr>
          <w:rFonts w:eastAsia="宋体" w:cs="Times New Roman"/>
        </w:rPr>
        <w:t>支持不记录隐私信息的网站浏览模式。</w:t>
      </w:r>
    </w:p>
    <w:p>
      <w:pPr>
        <w:pStyle w:val="4"/>
        <w:ind w:firstLine="480" w:firstLineChars="0"/>
        <w:rPr>
          <w:rFonts w:eastAsia="宋体" w:cs="Times New Roman"/>
        </w:rPr>
      </w:pPr>
      <w:r>
        <w:rPr>
          <w:rFonts w:eastAsia="宋体" w:cs="Times New Roman"/>
        </w:rPr>
        <w:t>支持用户操作审核。</w:t>
      </w:r>
    </w:p>
    <w:p>
      <w:pPr>
        <w:pStyle w:val="4"/>
        <w:ind w:firstLine="480" w:firstLineChars="0"/>
        <w:rPr>
          <w:rFonts w:eastAsia="宋体" w:cs="Times New Roman"/>
        </w:rPr>
      </w:pPr>
      <w:r>
        <w:rPr>
          <w:rFonts w:eastAsia="宋体" w:cs="Times New Roman"/>
        </w:rPr>
        <w:t>支持在线系统更新。</w:t>
      </w:r>
    </w:p>
    <w:p>
      <w:pPr>
        <w:pStyle w:val="4"/>
        <w:ind w:firstLine="480" w:firstLineChars="0"/>
        <w:rPr>
          <w:rFonts w:eastAsia="宋体" w:cs="Times New Roman"/>
        </w:rPr>
      </w:pPr>
      <w:r>
        <w:rPr>
          <w:rFonts w:eastAsia="宋体" w:cs="Times New Roman"/>
        </w:rPr>
        <w:t>支持管理规范（WMI）和高级的命令行操作（PowerShell）。</w:t>
      </w:r>
    </w:p>
    <w:p>
      <w:pPr>
        <w:pStyle w:val="8"/>
        <w:spacing w:before="0" w:after="0" w:line="360" w:lineRule="auto"/>
        <w:ind w:left="0" w:firstLine="482"/>
        <w:jc w:val="both"/>
        <w:rPr>
          <w:rFonts w:ascii="Times New Roman" w:hAnsi="Times New Roman" w:eastAsia="宋体" w:cs="Times New Roman"/>
          <w:szCs w:val="24"/>
        </w:rPr>
      </w:pPr>
      <w:r>
        <w:rPr>
          <w:rFonts w:hint="eastAsia" w:ascii="Times New Roman" w:hAnsi="Times New Roman" w:eastAsia="宋体" w:cs="Times New Roman"/>
          <w:szCs w:val="24"/>
          <w:lang w:val="en-US"/>
        </w:rPr>
        <w:t>g）</w:t>
      </w:r>
      <w:r>
        <w:rPr>
          <w:rFonts w:ascii="Times New Roman" w:hAnsi="Times New Roman" w:eastAsia="宋体" w:cs="Times New Roman"/>
          <w:szCs w:val="24"/>
        </w:rPr>
        <w:t>系统维护和监控</w:t>
      </w:r>
    </w:p>
    <w:p>
      <w:pPr>
        <w:pStyle w:val="4"/>
        <w:ind w:firstLine="480"/>
        <w:rPr>
          <w:rFonts w:eastAsia="宋体" w:cs="Times New Roman"/>
        </w:rPr>
      </w:pPr>
      <w:r>
        <w:rPr>
          <w:rFonts w:eastAsia="宋体" w:cs="Times New Roman"/>
        </w:rPr>
        <w:t>支持性能检测，事件日志存储，实施性能数据收集和报表。</w:t>
      </w:r>
    </w:p>
    <w:p>
      <w:pPr>
        <w:pStyle w:val="4"/>
        <w:ind w:firstLine="480"/>
        <w:rPr>
          <w:rFonts w:eastAsia="宋体" w:cs="Times New Roman"/>
        </w:rPr>
      </w:pPr>
      <w:r>
        <w:rPr>
          <w:rFonts w:eastAsia="宋体" w:cs="Times New Roman"/>
        </w:rPr>
        <w:t>支持数据文件自动备份和多副本制作。</w:t>
      </w:r>
    </w:p>
    <w:p>
      <w:pPr>
        <w:pStyle w:val="4"/>
        <w:ind w:firstLine="480"/>
        <w:rPr>
          <w:rFonts w:eastAsia="宋体" w:cs="Times New Roman"/>
        </w:rPr>
      </w:pPr>
      <w:r>
        <w:rPr>
          <w:rFonts w:eastAsia="宋体" w:cs="Times New Roman"/>
        </w:rPr>
        <w:t>支持系统恢复和通过备份恢复丢失、损毁、变更的文件。</w:t>
      </w:r>
    </w:p>
    <w:p>
      <w:pPr>
        <w:pStyle w:val="4"/>
        <w:ind w:firstLine="480"/>
        <w:rPr>
          <w:rFonts w:eastAsia="宋体" w:cs="Times New Roman"/>
        </w:rPr>
      </w:pPr>
      <w:r>
        <w:rPr>
          <w:rFonts w:eastAsia="宋体" w:cs="Times New Roman"/>
        </w:rPr>
        <w:t>支持创建系统还原点并从还原点恢复。</w:t>
      </w:r>
    </w:p>
    <w:p>
      <w:pPr>
        <w:pStyle w:val="8"/>
        <w:spacing w:before="0" w:after="0" w:line="360" w:lineRule="auto"/>
        <w:ind w:left="0" w:firstLine="482"/>
        <w:jc w:val="both"/>
        <w:rPr>
          <w:rFonts w:ascii="Times New Roman" w:hAnsi="Times New Roman" w:eastAsia="宋体" w:cs="Times New Roman"/>
          <w:szCs w:val="24"/>
        </w:rPr>
      </w:pPr>
      <w:r>
        <w:rPr>
          <w:rFonts w:hint="eastAsia" w:ascii="Times New Roman" w:hAnsi="Times New Roman" w:eastAsia="宋体" w:cs="Times New Roman"/>
          <w:szCs w:val="24"/>
          <w:lang w:val="en-US"/>
        </w:rPr>
        <w:t>h）</w:t>
      </w:r>
      <w:r>
        <w:rPr>
          <w:rFonts w:ascii="Times New Roman" w:hAnsi="Times New Roman" w:eastAsia="宋体" w:cs="Times New Roman"/>
          <w:szCs w:val="24"/>
        </w:rPr>
        <w:t>系统的易用体验:</w:t>
      </w:r>
    </w:p>
    <w:p>
      <w:pPr>
        <w:pStyle w:val="4"/>
        <w:numPr>
          <w:ilvl w:val="255"/>
          <w:numId w:val="0"/>
        </w:numPr>
        <w:ind w:left="420" w:leftChars="200"/>
        <w:rPr>
          <w:rFonts w:eastAsia="宋体" w:cs="Times New Roman"/>
        </w:rPr>
      </w:pPr>
      <w:r>
        <w:rPr>
          <w:rFonts w:eastAsia="宋体" w:cs="Times New Roman"/>
        </w:rPr>
        <w:t>支持针对移动设备的多功能控制中心。</w:t>
      </w:r>
    </w:p>
    <w:p>
      <w:pPr>
        <w:pStyle w:val="4"/>
        <w:numPr>
          <w:ilvl w:val="255"/>
          <w:numId w:val="0"/>
        </w:numPr>
        <w:ind w:left="420" w:leftChars="200"/>
        <w:rPr>
          <w:rFonts w:eastAsia="宋体" w:cs="Times New Roman"/>
        </w:rPr>
      </w:pPr>
      <w:r>
        <w:rPr>
          <w:rFonts w:eastAsia="宋体" w:cs="Times New Roman"/>
        </w:rPr>
        <w:t>支持自定义电源管理方案。</w:t>
      </w:r>
    </w:p>
    <w:p>
      <w:pPr>
        <w:pStyle w:val="4"/>
        <w:numPr>
          <w:ilvl w:val="255"/>
          <w:numId w:val="0"/>
        </w:numPr>
        <w:ind w:left="420" w:leftChars="200"/>
        <w:rPr>
          <w:rFonts w:eastAsia="宋体" w:cs="Times New Roman"/>
        </w:rPr>
      </w:pPr>
      <w:r>
        <w:rPr>
          <w:rFonts w:eastAsia="宋体" w:cs="Times New Roman"/>
        </w:rPr>
        <w:t>支持计算机演示功能，支持多显示器。</w:t>
      </w:r>
    </w:p>
    <w:p>
      <w:pPr>
        <w:pStyle w:val="4"/>
        <w:numPr>
          <w:ilvl w:val="255"/>
          <w:numId w:val="0"/>
        </w:numPr>
        <w:ind w:left="420" w:leftChars="200"/>
        <w:rPr>
          <w:rFonts w:eastAsia="宋体" w:cs="Times New Roman"/>
        </w:rPr>
      </w:pPr>
      <w:r>
        <w:rPr>
          <w:rFonts w:eastAsia="宋体" w:cs="Times New Roman"/>
        </w:rPr>
        <w:t>支持快速用户账户切换及用户配置文件漫游。</w:t>
      </w:r>
    </w:p>
    <w:p>
      <w:pPr>
        <w:pStyle w:val="4"/>
        <w:numPr>
          <w:ilvl w:val="255"/>
          <w:numId w:val="0"/>
        </w:numPr>
        <w:ind w:left="420" w:leftChars="200"/>
        <w:rPr>
          <w:rFonts w:eastAsia="宋体" w:cs="Times New Roman"/>
        </w:rPr>
      </w:pPr>
      <w:r>
        <w:rPr>
          <w:rFonts w:eastAsia="宋体" w:cs="Times New Roman"/>
        </w:rPr>
        <w:t>支持多点触控。</w:t>
      </w:r>
    </w:p>
    <w:p>
      <w:pPr>
        <w:pStyle w:val="4"/>
        <w:numPr>
          <w:ilvl w:val="255"/>
          <w:numId w:val="0"/>
        </w:numPr>
        <w:ind w:left="420" w:leftChars="200"/>
        <w:rPr>
          <w:rFonts w:eastAsia="宋体" w:cs="Times New Roman"/>
        </w:rPr>
      </w:pPr>
      <w:r>
        <w:rPr>
          <w:rFonts w:eastAsia="宋体" w:cs="Times New Roman"/>
        </w:rPr>
        <w:t>支持多种窗口特效。</w:t>
      </w:r>
    </w:p>
    <w:p>
      <w:pPr>
        <w:pStyle w:val="8"/>
        <w:spacing w:before="0" w:after="0" w:line="360" w:lineRule="auto"/>
        <w:ind w:left="0" w:firstLine="482"/>
        <w:jc w:val="both"/>
        <w:rPr>
          <w:rFonts w:ascii="Times New Roman" w:hAnsi="Times New Roman" w:eastAsia="宋体" w:cs="Times New Roman"/>
          <w:szCs w:val="24"/>
        </w:rPr>
      </w:pPr>
      <w:r>
        <w:rPr>
          <w:rFonts w:hint="eastAsia" w:ascii="Times New Roman" w:hAnsi="Times New Roman" w:eastAsia="宋体" w:cs="Times New Roman"/>
          <w:szCs w:val="24"/>
          <w:lang w:val="en-US"/>
        </w:rPr>
        <w:t>i）</w:t>
      </w:r>
      <w:r>
        <w:rPr>
          <w:rFonts w:ascii="Times New Roman" w:hAnsi="Times New Roman" w:eastAsia="宋体" w:cs="Times New Roman"/>
          <w:szCs w:val="24"/>
        </w:rPr>
        <w:t>其他要求</w:t>
      </w:r>
    </w:p>
    <w:p>
      <w:pPr>
        <w:pStyle w:val="4"/>
        <w:ind w:firstLine="480"/>
        <w:rPr>
          <w:rFonts w:eastAsia="宋体" w:cs="Times New Roman"/>
        </w:rPr>
      </w:pPr>
      <w:r>
        <w:rPr>
          <w:rFonts w:eastAsia="宋体" w:cs="Times New Roman"/>
        </w:rPr>
        <w:t>操作系统在授权服务期内</w:t>
      </w:r>
      <w:r>
        <w:rPr>
          <w:rFonts w:hint="eastAsia" w:eastAsia="宋体" w:cs="Times New Roman"/>
        </w:rPr>
        <w:t>保证</w:t>
      </w:r>
      <w:r>
        <w:rPr>
          <w:rFonts w:eastAsia="宋体" w:cs="Times New Roman"/>
        </w:rPr>
        <w:t>能够</w:t>
      </w:r>
      <w:r>
        <w:rPr>
          <w:rFonts w:hint="eastAsia" w:eastAsia="宋体" w:cs="Times New Roman"/>
        </w:rPr>
        <w:t>升级到</w:t>
      </w:r>
      <w:r>
        <w:rPr>
          <w:rFonts w:eastAsia="宋体" w:cs="Times New Roman"/>
        </w:rPr>
        <w:t>最新的版本，并且向下兼容授权使用所有版本。</w:t>
      </w:r>
    </w:p>
    <w:p>
      <w:pPr>
        <w:pStyle w:val="4"/>
        <w:ind w:firstLine="480"/>
        <w:rPr>
          <w:rFonts w:eastAsia="宋体" w:cs="Times New Roman"/>
        </w:rPr>
      </w:pPr>
      <w:r>
        <w:rPr>
          <w:rFonts w:eastAsia="宋体" w:cs="Times New Roman"/>
        </w:rPr>
        <w:t>操作系统必须能够</w:t>
      </w:r>
      <w:r>
        <w:rPr>
          <w:rFonts w:hint="eastAsia" w:eastAsia="宋体" w:cs="Times New Roman"/>
        </w:rPr>
        <w:t>兼容</w:t>
      </w:r>
      <w:r>
        <w:rPr>
          <w:rFonts w:eastAsia="宋体" w:cs="Times New Roman"/>
        </w:rPr>
        <w:t>医院现有桌面终端设备</w:t>
      </w:r>
      <w:r>
        <w:rPr>
          <w:rFonts w:hint="eastAsia" w:eastAsia="宋体" w:cs="Times New Roman"/>
        </w:rPr>
        <w:t>、</w:t>
      </w:r>
      <w:r>
        <w:rPr>
          <w:rFonts w:eastAsia="宋体" w:cs="Times New Roman"/>
        </w:rPr>
        <w:t>现有桌面医疗软件</w:t>
      </w:r>
      <w:r>
        <w:rPr>
          <w:rFonts w:hint="eastAsia" w:eastAsia="宋体" w:cs="Times New Roman"/>
        </w:rPr>
        <w:t>，</w:t>
      </w:r>
      <w:r>
        <w:rPr>
          <w:rFonts w:eastAsia="宋体" w:cs="Times New Roman"/>
        </w:rPr>
        <w:t>并且能够连接医院现有使用的外围设备。</w:t>
      </w:r>
    </w:p>
    <w:p>
      <w:pPr>
        <w:pStyle w:val="7"/>
        <w:spacing w:before="0" w:after="0" w:line="360" w:lineRule="auto"/>
        <w:ind w:left="0" w:firstLine="482"/>
        <w:jc w:val="both"/>
        <w:rPr>
          <w:rFonts w:ascii="Times New Roman" w:hAnsi="Times New Roman" w:eastAsia="宋体" w:cs="Times New Roman"/>
          <w:sz w:val="24"/>
          <w:szCs w:val="24"/>
          <w:lang w:val="en-US"/>
        </w:rPr>
      </w:pPr>
      <w:r>
        <w:rPr>
          <w:rFonts w:hint="eastAsia" w:ascii="Times New Roman" w:hAnsi="Times New Roman" w:eastAsia="宋体" w:cs="Times New Roman"/>
          <w:sz w:val="24"/>
          <w:szCs w:val="24"/>
          <w:lang w:val="en-US"/>
        </w:rPr>
        <w:t>2）全院所有桌面电脑办公软件合规使用授权服务</w:t>
      </w:r>
    </w:p>
    <w:p>
      <w:pPr>
        <w:pStyle w:val="8"/>
        <w:spacing w:before="0" w:after="0" w:line="360" w:lineRule="auto"/>
        <w:ind w:left="0" w:firstLine="482"/>
        <w:jc w:val="both"/>
        <w:rPr>
          <w:rFonts w:ascii="Times New Roman" w:hAnsi="Times New Roman" w:eastAsia="宋体" w:cs="Times New Roman"/>
          <w:szCs w:val="24"/>
        </w:rPr>
      </w:pPr>
      <w:r>
        <w:rPr>
          <w:rFonts w:hint="eastAsia" w:ascii="Times New Roman" w:hAnsi="Times New Roman" w:eastAsia="宋体" w:cs="Times New Roman"/>
          <w:szCs w:val="24"/>
        </w:rPr>
        <w:t>a）</w:t>
      </w:r>
      <w:r>
        <w:rPr>
          <w:rFonts w:ascii="Times New Roman" w:hAnsi="Times New Roman" w:eastAsia="宋体" w:cs="Times New Roman"/>
          <w:szCs w:val="24"/>
        </w:rPr>
        <w:t>指标参数</w:t>
      </w: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7"/>
        <w:gridCol w:w="7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114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b/>
                <w:bCs/>
                <w:sz w:val="24"/>
              </w:rPr>
            </w:pPr>
            <w:r>
              <w:rPr>
                <w:b/>
                <w:bCs/>
                <w:sz w:val="24"/>
              </w:rPr>
              <w:t>指标项</w:t>
            </w:r>
          </w:p>
        </w:tc>
        <w:tc>
          <w:tcPr>
            <w:tcW w:w="386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b/>
                <w:bCs/>
                <w:sz w:val="24"/>
              </w:rPr>
            </w:pPr>
            <w:r>
              <w:rPr>
                <w:b/>
                <w:bCs/>
                <w:sz w:val="24"/>
              </w:rPr>
              <w:t>指标性能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版本</w:t>
            </w: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最新的标准版，非OEM/COEM版，产品生命周期不与硬件绑定。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通用功能</w:t>
            </w: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提供软件套件：专业排版文字处理软件、电子表格软件、演示文档软件、以及邮件及信息管理软件（应包括收发和管理电子邮件、管理联系人以及日程安排）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多语言支持：支持中文，英文等主流语言在内的多语言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符合国际、国家相关标准要求，支持OOXML、支持UOF2.0(最新版标文通,《中文办公软件文档格式规范》)，符合国家《中文办公软件应用编程接口规范》，及ISO 9001标准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软件产品升级支持介质升级、内网下发升级包自动升级两种方式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支持恢复未保存而关闭的文件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支持实时预览粘贴功能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支持图片编辑工具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支持更多主题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更多 SmartArt 图形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支持实时预览粘贴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支持插入屏幕快照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浮动工具栏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丰富的输入体验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跨设备的编辑并保持格式一致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历史版本查看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合作编辑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全新帮助功能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智能搜索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文档漫游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电子表格软件</w:t>
            </w: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对于大量财物数据进行计算和分析中，需要提供100%正确的函数计算结果。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数据获取能力。数据表格应该可以直接连接各种主流数据库系统，保障能够在表格中随时获取最新的业务数据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表格软件支持数据量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支持处理庞大的数据集（≥ 2 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新的图表功能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支持一键生成预测数据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支持迷你图功能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支持条件格式功能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支持推荐的数据透视表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支持快速浏览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支持线性预测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支持工作表探查和对比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支持快速分析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支持推荐的图表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支持图表格式控制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支持图表动画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支持日程表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支持快速开始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支持应用程序动画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支持应用集成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支持切片器功能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支持数据透视图交互功能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支持制作图表性能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支持规划求解加载项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支持数学公式编辑器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支持通过 Web 访问工作簿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演示文档软件</w:t>
            </w: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支持主题变体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支持合并形状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支持取色器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支持联机图片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支持在后台播放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支持格式设置任务窗格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支持修改数据布局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支持演示者视图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支持幻灯片缩放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支持缩略图导航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支持自动扩展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支持交换显示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支持简单共享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支持答复批注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支持批注窗格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支持继续阅读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支持联机演示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支持支持从文件直接嵌入视频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支持优化媒体兼容性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支持压缩媒体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支持更灵活的格式支持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支持支持视频和音频控件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 支持视频编辑和格式化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 支持音频编辑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支持支持从网站插入视频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支持支持幻灯片转换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支持支持幻灯片动画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支持支持幻灯片动画格式刷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支持支持幻灯片分节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支持多窗口支持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支持链接笔记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支持动态对齐向导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支持注释打印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支持阅读视图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支持墨迹书写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支持示例设计模板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支持幻灯片广播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支持与其他软件的互动能力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支持优化媒体兼容性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支持比较和合并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支持录制幻灯片播放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支持语言工具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支持翻译工具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专业排版文字处理软件</w:t>
            </w: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支持导航窗格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支持阅读视图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支持对象缩放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支持继续阅读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专业排版文字处理软件 – 联机视频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支持展开和折叠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支持答复批注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支持联机演示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支持简单标记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支持锁定修订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支持将批注标记为完成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支持编辑PDF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支持对齐参考线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支持实时布局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支持新的文档部件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支持查找体验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支持文本效果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支持Open Type 版式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支持形状和形状效果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支持选择窗格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支持上下文拼写检查程序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支持链接笔记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支持语言工具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支持翻译工具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支持内容控件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支持在 Web 上访问您的文档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邮件及信息管理</w:t>
            </w: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支持内联式答复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支持导航栏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支持网站邮箱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支持快速查看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支持策略提示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支持快速筛选器和上下文命令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支持天气栏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支持对话视图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支持快速步骤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支持邮件提示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支持搜索工具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支持多邮箱支持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支持日程安排视图和组时间安排工具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支持团队日历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支持日历预览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支持简化通信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支持快速联系人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支持人员搜索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支持房间查找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支持语言工具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支持翻译工具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支持通过 Web 访问您的电子邮件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支持通过收件箱访问语音邮件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通用功能</w:t>
            </w: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支持可访问性检查器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支持可信认文档功能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支持保护视图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支持软件安全接口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支持数据保护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对敏感数据限制</w:t>
            </w:r>
            <w:r>
              <w:rPr>
                <w:rFonts w:hint="eastAsia"/>
                <w:sz w:val="24"/>
              </w:rPr>
              <w:t>，</w:t>
            </w:r>
            <w:r>
              <w:rPr>
                <w:sz w:val="24"/>
              </w:rPr>
              <w:t>对副本保护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支持的操作系统</w:t>
            </w: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支持Windows 7 Service Pack 1、Windows Server 2008R2 或更高版本的 32 位或 64 位操作系统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支持的文件格式</w:t>
            </w: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支持传统的Office的格式，提供对Open XML标准数据的支持能力，可以打开和保存为Open XML文件格式，便于未来集成应用系统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与主流文档兼容性</w:t>
            </w:r>
          </w:p>
        </w:tc>
        <w:tc>
          <w:tcPr>
            <w:tcW w:w="386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 w:val="24"/>
              </w:rPr>
            </w:pPr>
            <w:r>
              <w:rPr>
                <w:sz w:val="24"/>
              </w:rPr>
              <w:t>能够与国内外主流的文档格式100%兼容（包括与主流文档互相读写，并且保证文档格式，数据透视表、计算公式以及演示文档）</w:t>
            </w:r>
          </w:p>
        </w:tc>
      </w:tr>
    </w:tbl>
    <w:p>
      <w:pPr>
        <w:pStyle w:val="8"/>
        <w:spacing w:before="0" w:after="0" w:line="360" w:lineRule="auto"/>
        <w:ind w:left="0" w:firstLine="482"/>
        <w:jc w:val="both"/>
        <w:rPr>
          <w:rFonts w:ascii="Times New Roman" w:hAnsi="Times New Roman" w:eastAsia="宋体" w:cs="Times New Roman"/>
          <w:szCs w:val="24"/>
        </w:rPr>
      </w:pPr>
      <w:r>
        <w:rPr>
          <w:rFonts w:hint="eastAsia" w:ascii="Times New Roman" w:hAnsi="Times New Roman" w:eastAsia="宋体" w:cs="Times New Roman"/>
          <w:szCs w:val="24"/>
        </w:rPr>
        <w:t>b）</w:t>
      </w:r>
      <w:r>
        <w:rPr>
          <w:rFonts w:ascii="Times New Roman" w:hAnsi="Times New Roman" w:eastAsia="宋体" w:cs="Times New Roman"/>
          <w:szCs w:val="24"/>
        </w:rPr>
        <w:t>其他要求</w:t>
      </w:r>
    </w:p>
    <w:p>
      <w:pPr>
        <w:spacing w:line="360" w:lineRule="auto"/>
        <w:ind w:firstLine="482" w:firstLineChars="200"/>
        <w:rPr>
          <w:b/>
          <w:bCs/>
          <w:sz w:val="24"/>
        </w:rPr>
      </w:pPr>
      <w:r>
        <w:rPr>
          <w:rFonts w:hint="eastAsia"/>
          <w:b/>
          <w:bCs/>
          <w:sz w:val="24"/>
        </w:rPr>
        <w:t>办公软件在授权服务期内能够更新为最新的版本，并且向下兼容授权使用所有版本。</w:t>
      </w:r>
    </w:p>
    <w:p>
      <w:pPr>
        <w:spacing w:line="360" w:lineRule="auto"/>
        <w:ind w:firstLine="482" w:firstLineChars="200"/>
        <w:rPr>
          <w:b/>
          <w:bCs/>
          <w:sz w:val="24"/>
        </w:rPr>
      </w:pPr>
      <w:r>
        <w:rPr>
          <w:rFonts w:hint="eastAsia"/>
          <w:b/>
          <w:bCs/>
          <w:sz w:val="24"/>
        </w:rPr>
        <w:t>办公软件必须能够兼容</w:t>
      </w:r>
      <w:r>
        <w:rPr>
          <w:b/>
          <w:bCs/>
          <w:sz w:val="24"/>
        </w:rPr>
        <w:t>医院现有桌面终端设备。</w:t>
      </w:r>
    </w:p>
    <w:p>
      <w:pPr>
        <w:pStyle w:val="7"/>
        <w:spacing w:before="0" w:after="0" w:line="360" w:lineRule="auto"/>
        <w:ind w:left="0" w:firstLine="482"/>
        <w:jc w:val="both"/>
        <w:rPr>
          <w:rFonts w:ascii="Times New Roman" w:hAnsi="Times New Roman" w:eastAsia="宋体" w:cs="Times New Roman"/>
          <w:sz w:val="24"/>
          <w:szCs w:val="24"/>
          <w:lang w:val="en-US"/>
        </w:rPr>
      </w:pPr>
      <w:r>
        <w:rPr>
          <w:rFonts w:hint="eastAsia" w:ascii="宋体" w:hAnsi="宋体" w:eastAsia="宋体" w:cs="宋体"/>
          <w:sz w:val="24"/>
          <w:szCs w:val="24"/>
          <w:lang w:val="en-US"/>
        </w:rPr>
        <w:t>3）</w:t>
      </w:r>
      <w:r>
        <w:rPr>
          <w:rFonts w:hint="eastAsia" w:ascii="Times New Roman" w:hAnsi="Times New Roman" w:eastAsia="宋体" w:cs="Times New Roman"/>
          <w:sz w:val="24"/>
          <w:szCs w:val="24"/>
          <w:lang w:val="en-US"/>
        </w:rPr>
        <w:t>桌面电脑办公软件永久授权1</w:t>
      </w: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trPr>
        <w:tc>
          <w:tcPr>
            <w:tcW w:w="683" w:type="pct"/>
            <w:shd w:val="clear" w:color="auto" w:fill="auto"/>
            <w:vAlign w:val="center"/>
          </w:tcPr>
          <w:p>
            <w:pPr>
              <w:spacing w:line="360" w:lineRule="auto"/>
              <w:jc w:val="center"/>
              <w:rPr>
                <w:sz w:val="24"/>
              </w:rPr>
            </w:pPr>
            <w:r>
              <w:rPr>
                <w:sz w:val="24"/>
              </w:rPr>
              <w:t>序号</w:t>
            </w:r>
          </w:p>
        </w:tc>
        <w:tc>
          <w:tcPr>
            <w:tcW w:w="4316" w:type="pct"/>
            <w:shd w:val="clear" w:color="auto" w:fill="auto"/>
            <w:vAlign w:val="center"/>
          </w:tcPr>
          <w:p>
            <w:pPr>
              <w:spacing w:line="360" w:lineRule="auto"/>
              <w:jc w:val="center"/>
              <w:rPr>
                <w:sz w:val="24"/>
              </w:rPr>
            </w:pPr>
            <w:r>
              <w:rPr>
                <w:sz w:val="24"/>
              </w:rPr>
              <w:t>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83" w:type="pct"/>
            <w:vMerge w:val="restart"/>
            <w:shd w:val="clear" w:color="auto" w:fill="auto"/>
            <w:vAlign w:val="center"/>
          </w:tcPr>
          <w:p>
            <w:pPr>
              <w:spacing w:line="360" w:lineRule="auto"/>
              <w:jc w:val="center"/>
              <w:rPr>
                <w:sz w:val="24"/>
              </w:rPr>
            </w:pPr>
            <w:r>
              <w:rPr>
                <w:sz w:val="24"/>
              </w:rPr>
              <w:t>1</w:t>
            </w:r>
          </w:p>
        </w:tc>
        <w:tc>
          <w:tcPr>
            <w:tcW w:w="4316" w:type="pct"/>
            <w:shd w:val="clear" w:color="auto" w:fill="auto"/>
            <w:vAlign w:val="center"/>
          </w:tcPr>
          <w:p>
            <w:pPr>
              <w:spacing w:line="360" w:lineRule="auto"/>
              <w:jc w:val="center"/>
              <w:rPr>
                <w:sz w:val="24"/>
              </w:rPr>
            </w:pPr>
            <w:r>
              <w:rPr>
                <w:sz w:val="24"/>
              </w:rPr>
              <w:t>支持龙芯、飞腾、鲲鹏、兆芯、申威等国产CPU；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83" w:type="pct"/>
            <w:vMerge w:val="continue"/>
            <w:vAlign w:val="center"/>
          </w:tcPr>
          <w:p>
            <w:pPr>
              <w:spacing w:line="360" w:lineRule="auto"/>
              <w:jc w:val="center"/>
              <w:rPr>
                <w:sz w:val="24"/>
              </w:rPr>
            </w:pPr>
          </w:p>
        </w:tc>
        <w:tc>
          <w:tcPr>
            <w:tcW w:w="4316" w:type="pct"/>
            <w:shd w:val="clear" w:color="auto" w:fill="auto"/>
            <w:vAlign w:val="center"/>
          </w:tcPr>
          <w:p>
            <w:pPr>
              <w:spacing w:line="360" w:lineRule="auto"/>
              <w:jc w:val="center"/>
              <w:rPr>
                <w:sz w:val="24"/>
              </w:rPr>
            </w:pPr>
            <w:r>
              <w:rPr>
                <w:sz w:val="24"/>
              </w:rPr>
              <w:t>支持UOS、麒麟V10、中标麒麟、银河麒麟、中科方德、深度等国产操作系统。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83" w:type="pct"/>
            <w:shd w:val="clear" w:color="auto" w:fill="auto"/>
            <w:vAlign w:val="center"/>
          </w:tcPr>
          <w:p>
            <w:pPr>
              <w:spacing w:line="360" w:lineRule="auto"/>
              <w:jc w:val="center"/>
              <w:rPr>
                <w:sz w:val="24"/>
              </w:rPr>
            </w:pPr>
            <w:r>
              <w:rPr>
                <w:sz w:val="24"/>
              </w:rPr>
              <w:t>2</w:t>
            </w:r>
          </w:p>
        </w:tc>
        <w:tc>
          <w:tcPr>
            <w:tcW w:w="4316" w:type="pct"/>
            <w:shd w:val="clear" w:color="auto" w:fill="auto"/>
            <w:vAlign w:val="center"/>
          </w:tcPr>
          <w:p>
            <w:pPr>
              <w:spacing w:line="360" w:lineRule="auto"/>
              <w:jc w:val="center"/>
              <w:rPr>
                <w:sz w:val="24"/>
              </w:rPr>
            </w:pPr>
            <w:r>
              <w:rPr>
                <w:sz w:val="24"/>
              </w:rPr>
              <w:t>文字、表格、演示三个组件均支持公式元素、支持更多设置，满足各种场景公式编写需求，并支持长图片输出，并且支持在输出的图片上添加水印。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83" w:type="pct"/>
            <w:shd w:val="clear" w:color="auto" w:fill="auto"/>
            <w:vAlign w:val="center"/>
          </w:tcPr>
          <w:p>
            <w:pPr>
              <w:spacing w:line="360" w:lineRule="auto"/>
              <w:jc w:val="center"/>
              <w:rPr>
                <w:sz w:val="24"/>
              </w:rPr>
            </w:pPr>
            <w:r>
              <w:rPr>
                <w:sz w:val="24"/>
              </w:rPr>
              <w:t>3</w:t>
            </w:r>
          </w:p>
        </w:tc>
        <w:tc>
          <w:tcPr>
            <w:tcW w:w="4316" w:type="pct"/>
            <w:shd w:val="clear" w:color="auto" w:fill="auto"/>
            <w:vAlign w:val="center"/>
          </w:tcPr>
          <w:p>
            <w:pPr>
              <w:spacing w:line="360" w:lineRule="auto"/>
              <w:jc w:val="center"/>
              <w:rPr>
                <w:sz w:val="24"/>
              </w:rPr>
            </w:pPr>
            <w:r>
              <w:rPr>
                <w:sz w:val="24"/>
              </w:rPr>
              <w:t>符合GB/T9704-2012国家标准的《党政机关公文格式》标准。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83" w:type="pct"/>
            <w:shd w:val="clear" w:color="auto" w:fill="auto"/>
            <w:vAlign w:val="center"/>
          </w:tcPr>
          <w:p>
            <w:pPr>
              <w:spacing w:line="360" w:lineRule="auto"/>
              <w:jc w:val="center"/>
              <w:rPr>
                <w:sz w:val="24"/>
              </w:rPr>
            </w:pPr>
            <w:r>
              <w:rPr>
                <w:sz w:val="24"/>
              </w:rPr>
              <w:t>4</w:t>
            </w:r>
          </w:p>
        </w:tc>
        <w:tc>
          <w:tcPr>
            <w:tcW w:w="4316" w:type="pct"/>
            <w:shd w:val="clear" w:color="auto" w:fill="auto"/>
            <w:vAlign w:val="center"/>
          </w:tcPr>
          <w:p>
            <w:pPr>
              <w:spacing w:line="360" w:lineRule="auto"/>
              <w:jc w:val="center"/>
              <w:rPr>
                <w:sz w:val="24"/>
              </w:rPr>
            </w:pPr>
            <w:r>
              <w:rPr>
                <w:sz w:val="24"/>
              </w:rPr>
              <w:t>文字、表格、演示均支持文本识别功能，可以截取系统内的图片或PDF中的文字，进行提取识别，方便用户将已经识别的字符直接添加入文档内，不需要再手动输入。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83" w:type="pct"/>
            <w:shd w:val="clear" w:color="auto" w:fill="auto"/>
            <w:vAlign w:val="center"/>
          </w:tcPr>
          <w:p>
            <w:pPr>
              <w:spacing w:line="360" w:lineRule="auto"/>
              <w:jc w:val="center"/>
              <w:rPr>
                <w:sz w:val="24"/>
              </w:rPr>
            </w:pPr>
            <w:r>
              <w:rPr>
                <w:sz w:val="24"/>
              </w:rPr>
              <w:t>5</w:t>
            </w:r>
          </w:p>
        </w:tc>
        <w:tc>
          <w:tcPr>
            <w:tcW w:w="4316" w:type="pct"/>
            <w:shd w:val="clear" w:color="auto" w:fill="auto"/>
            <w:vAlign w:val="center"/>
          </w:tcPr>
          <w:p>
            <w:pPr>
              <w:spacing w:line="360" w:lineRule="auto"/>
              <w:jc w:val="center"/>
              <w:rPr>
                <w:sz w:val="24"/>
              </w:rPr>
            </w:pPr>
            <w:r>
              <w:rPr>
                <w:sz w:val="24"/>
              </w:rPr>
              <w:t>文字，表格，演示三个组件均支持长图片输出，并且支持在输出的图片上添加水印。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83" w:type="pct"/>
            <w:shd w:val="clear" w:color="auto" w:fill="auto"/>
            <w:vAlign w:val="center"/>
          </w:tcPr>
          <w:p>
            <w:pPr>
              <w:spacing w:line="360" w:lineRule="auto"/>
              <w:jc w:val="center"/>
              <w:rPr>
                <w:sz w:val="24"/>
              </w:rPr>
            </w:pPr>
            <w:r>
              <w:rPr>
                <w:sz w:val="24"/>
              </w:rPr>
              <w:t>6</w:t>
            </w:r>
          </w:p>
        </w:tc>
        <w:tc>
          <w:tcPr>
            <w:tcW w:w="4316" w:type="pct"/>
            <w:shd w:val="clear" w:color="auto" w:fill="auto"/>
            <w:vAlign w:val="center"/>
          </w:tcPr>
          <w:p>
            <w:pPr>
              <w:spacing w:line="360" w:lineRule="auto"/>
              <w:jc w:val="center"/>
              <w:rPr>
                <w:sz w:val="24"/>
              </w:rPr>
            </w:pPr>
            <w:r>
              <w:rPr>
                <w:sz w:val="24"/>
              </w:rPr>
              <w:t>文字组件，支持智能识别目录。自动识别正文的段落结构，生成对应目录，节省手动设置标题格式时间。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83" w:type="pct"/>
            <w:shd w:val="clear" w:color="auto" w:fill="auto"/>
            <w:vAlign w:val="center"/>
          </w:tcPr>
          <w:p>
            <w:pPr>
              <w:spacing w:line="360" w:lineRule="auto"/>
              <w:jc w:val="center"/>
              <w:rPr>
                <w:sz w:val="24"/>
              </w:rPr>
            </w:pPr>
            <w:r>
              <w:rPr>
                <w:sz w:val="24"/>
              </w:rPr>
              <w:t>7</w:t>
            </w:r>
          </w:p>
        </w:tc>
        <w:tc>
          <w:tcPr>
            <w:tcW w:w="4316" w:type="pct"/>
            <w:shd w:val="clear" w:color="auto" w:fill="auto"/>
            <w:vAlign w:val="center"/>
          </w:tcPr>
          <w:p>
            <w:pPr>
              <w:spacing w:line="360" w:lineRule="auto"/>
              <w:jc w:val="center"/>
              <w:rPr>
                <w:sz w:val="24"/>
              </w:rPr>
            </w:pPr>
            <w:r>
              <w:rPr>
                <w:sz w:val="24"/>
              </w:rPr>
              <w:t>演示组件，支持分页插图，可批量选择多张图片，一次性按顺序插入到多页幻灯片中，方便用户跨幻灯片一键批量插入图片。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83" w:type="pct"/>
            <w:shd w:val="clear" w:color="auto" w:fill="auto"/>
            <w:vAlign w:val="center"/>
          </w:tcPr>
          <w:p>
            <w:pPr>
              <w:spacing w:line="360" w:lineRule="auto"/>
              <w:jc w:val="center"/>
              <w:rPr>
                <w:sz w:val="24"/>
              </w:rPr>
            </w:pPr>
            <w:r>
              <w:rPr>
                <w:sz w:val="24"/>
              </w:rPr>
              <w:t>8</w:t>
            </w:r>
          </w:p>
        </w:tc>
        <w:tc>
          <w:tcPr>
            <w:tcW w:w="4316" w:type="pct"/>
            <w:shd w:val="clear" w:color="auto" w:fill="auto"/>
            <w:vAlign w:val="center"/>
          </w:tcPr>
          <w:p>
            <w:pPr>
              <w:spacing w:line="360" w:lineRule="auto"/>
              <w:jc w:val="center"/>
              <w:rPr>
                <w:sz w:val="24"/>
              </w:rPr>
            </w:pPr>
            <w:r>
              <w:rPr>
                <w:sz w:val="24"/>
              </w:rPr>
              <w:t>文字、表格、演示均支持文本识别功能，可以截取系统内的图片或PDF中的文字，进行提取识别，方便用户将已经识别的字符直接添加入文档内，不需要再手动输入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83" w:type="pct"/>
            <w:shd w:val="clear" w:color="auto" w:fill="auto"/>
            <w:vAlign w:val="center"/>
          </w:tcPr>
          <w:p>
            <w:pPr>
              <w:spacing w:line="360" w:lineRule="auto"/>
              <w:jc w:val="center"/>
              <w:rPr>
                <w:sz w:val="24"/>
              </w:rPr>
            </w:pPr>
            <w:r>
              <w:rPr>
                <w:sz w:val="24"/>
              </w:rPr>
              <w:t>9</w:t>
            </w:r>
          </w:p>
        </w:tc>
        <w:tc>
          <w:tcPr>
            <w:tcW w:w="4316" w:type="pct"/>
            <w:shd w:val="clear" w:color="auto" w:fill="auto"/>
            <w:vAlign w:val="center"/>
          </w:tcPr>
          <w:p>
            <w:pPr>
              <w:spacing w:line="360" w:lineRule="auto"/>
              <w:jc w:val="center"/>
              <w:rPr>
                <w:sz w:val="24"/>
              </w:rPr>
            </w:pPr>
            <w:r>
              <w:rPr>
                <w:sz w:val="24"/>
              </w:rPr>
              <w:t>文字、表格、演示均支持在编辑时选中多个图形同时设置等高，等宽，等尺寸等对齐方式，不必再每个图形逐个调整设置。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83" w:type="pct"/>
            <w:shd w:val="clear" w:color="auto" w:fill="auto"/>
            <w:vAlign w:val="center"/>
          </w:tcPr>
          <w:p>
            <w:pPr>
              <w:spacing w:line="360" w:lineRule="auto"/>
              <w:jc w:val="center"/>
              <w:rPr>
                <w:sz w:val="24"/>
              </w:rPr>
            </w:pPr>
            <w:r>
              <w:rPr>
                <w:sz w:val="24"/>
              </w:rPr>
              <w:t>10</w:t>
            </w:r>
          </w:p>
        </w:tc>
        <w:tc>
          <w:tcPr>
            <w:tcW w:w="4316" w:type="pct"/>
            <w:shd w:val="clear" w:color="auto" w:fill="auto"/>
            <w:vAlign w:val="center"/>
          </w:tcPr>
          <w:p>
            <w:pPr>
              <w:spacing w:line="360" w:lineRule="auto"/>
              <w:jc w:val="center"/>
              <w:rPr>
                <w:sz w:val="24"/>
              </w:rPr>
            </w:pPr>
            <w:r>
              <w:rPr>
                <w:sz w:val="24"/>
              </w:rPr>
              <w:t>表格组件，支持“页面布局”视图，可以帮助用户在分页预览工作表的同时编辑数据、编辑页眉和页脚、使用工具栏编辑公式等。支持“筛选非空白项”，可筛选出非空白项。</w:t>
            </w:r>
          </w:p>
        </w:tc>
      </w:tr>
    </w:tbl>
    <w:p>
      <w:pPr>
        <w:pStyle w:val="7"/>
        <w:spacing w:before="0" w:after="0" w:line="360" w:lineRule="auto"/>
        <w:ind w:left="0" w:firstLine="482"/>
        <w:jc w:val="both"/>
        <w:rPr>
          <w:rFonts w:ascii="Times New Roman" w:hAnsi="Times New Roman" w:eastAsia="宋体" w:cs="Times New Roman"/>
          <w:sz w:val="24"/>
          <w:szCs w:val="24"/>
          <w:lang w:val="en-US"/>
        </w:rPr>
      </w:pPr>
      <w:r>
        <w:rPr>
          <w:rFonts w:hint="eastAsia" w:ascii="宋体" w:hAnsi="宋体" w:eastAsia="宋体" w:cs="宋体"/>
          <w:sz w:val="24"/>
          <w:szCs w:val="24"/>
          <w:lang w:val="en-US"/>
        </w:rPr>
        <w:t>4）</w:t>
      </w:r>
      <w:r>
        <w:rPr>
          <w:rFonts w:hint="eastAsia" w:ascii="Times New Roman" w:hAnsi="Times New Roman" w:eastAsia="宋体" w:cs="Times New Roman"/>
          <w:sz w:val="24"/>
          <w:szCs w:val="24"/>
          <w:lang w:val="en-US"/>
        </w:rPr>
        <w:t>桌面电脑操作系统软件永久授权</w:t>
      </w:r>
      <w:r>
        <w:rPr>
          <w:rFonts w:ascii="Times New Roman" w:hAnsi="Times New Roman" w:eastAsia="宋体" w:cs="Times New Roman"/>
          <w:sz w:val="24"/>
          <w:szCs w:val="24"/>
          <w:lang w:val="en-US"/>
        </w:rPr>
        <w:t>2</w:t>
      </w:r>
    </w:p>
    <w:tbl>
      <w:tblPr>
        <w:tblStyle w:val="63"/>
        <w:tblW w:w="49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906"/>
        <w:gridCol w:w="6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601" w:type="pct"/>
            <w:shd w:val="clear" w:color="auto" w:fill="auto"/>
            <w:vAlign w:val="center"/>
          </w:tcPr>
          <w:p>
            <w:pPr>
              <w:widowControl/>
              <w:spacing w:line="360" w:lineRule="auto"/>
              <w:jc w:val="center"/>
              <w:rPr>
                <w:b/>
                <w:bCs/>
                <w:kern w:val="0"/>
                <w:sz w:val="24"/>
              </w:rPr>
            </w:pPr>
            <w:r>
              <w:rPr>
                <w:b/>
                <w:bCs/>
                <w:kern w:val="0"/>
                <w:sz w:val="24"/>
              </w:rPr>
              <w:t>类别</w:t>
            </w:r>
          </w:p>
        </w:tc>
        <w:tc>
          <w:tcPr>
            <w:tcW w:w="1036" w:type="pct"/>
            <w:shd w:val="clear" w:color="auto" w:fill="auto"/>
            <w:vAlign w:val="center"/>
          </w:tcPr>
          <w:p>
            <w:pPr>
              <w:widowControl/>
              <w:spacing w:line="360" w:lineRule="auto"/>
              <w:jc w:val="center"/>
              <w:rPr>
                <w:b/>
                <w:bCs/>
                <w:kern w:val="0"/>
                <w:sz w:val="24"/>
              </w:rPr>
            </w:pPr>
            <w:r>
              <w:rPr>
                <w:b/>
                <w:bCs/>
                <w:kern w:val="0"/>
                <w:sz w:val="24"/>
              </w:rPr>
              <w:t>指标项</w:t>
            </w:r>
          </w:p>
        </w:tc>
        <w:tc>
          <w:tcPr>
            <w:tcW w:w="3363" w:type="pct"/>
            <w:shd w:val="clear" w:color="auto" w:fill="auto"/>
            <w:vAlign w:val="center"/>
          </w:tcPr>
          <w:p>
            <w:pPr>
              <w:widowControl/>
              <w:spacing w:line="360" w:lineRule="auto"/>
              <w:jc w:val="center"/>
              <w:rPr>
                <w:b/>
                <w:bCs/>
                <w:kern w:val="0"/>
                <w:sz w:val="24"/>
              </w:rPr>
            </w:pPr>
            <w:r>
              <w:rPr>
                <w:b/>
                <w:bCs/>
                <w:kern w:val="0"/>
                <w:sz w:val="24"/>
              </w:rPr>
              <w:t>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601" w:type="pct"/>
            <w:vMerge w:val="restart"/>
            <w:vAlign w:val="center"/>
          </w:tcPr>
          <w:p>
            <w:pPr>
              <w:widowControl/>
              <w:spacing w:line="360" w:lineRule="auto"/>
              <w:jc w:val="center"/>
              <w:rPr>
                <w:kern w:val="0"/>
                <w:sz w:val="24"/>
              </w:rPr>
            </w:pPr>
            <w:r>
              <w:rPr>
                <w:rFonts w:hint="eastAsia"/>
                <w:kern w:val="0"/>
                <w:sz w:val="24"/>
              </w:rPr>
              <w:t>基本</w:t>
            </w:r>
          </w:p>
          <w:p>
            <w:pPr>
              <w:widowControl/>
              <w:spacing w:line="360" w:lineRule="auto"/>
              <w:jc w:val="center"/>
              <w:rPr>
                <w:kern w:val="0"/>
                <w:sz w:val="24"/>
              </w:rPr>
            </w:pPr>
            <w:r>
              <w:rPr>
                <w:rFonts w:hint="eastAsia"/>
                <w:kern w:val="0"/>
                <w:sz w:val="24"/>
              </w:rPr>
              <w:t>功能</w:t>
            </w:r>
          </w:p>
        </w:tc>
        <w:tc>
          <w:tcPr>
            <w:tcW w:w="1036" w:type="pct"/>
            <w:shd w:val="clear" w:color="000000" w:fill="FFFFFF"/>
            <w:vAlign w:val="center"/>
          </w:tcPr>
          <w:p>
            <w:pPr>
              <w:widowControl/>
              <w:spacing w:line="360" w:lineRule="auto"/>
              <w:rPr>
                <w:kern w:val="0"/>
                <w:sz w:val="24"/>
              </w:rPr>
            </w:pPr>
            <w:r>
              <w:rPr>
                <w:kern w:val="0"/>
                <w:sz w:val="24"/>
              </w:rPr>
              <w:t>CPU支持</w:t>
            </w:r>
          </w:p>
        </w:tc>
        <w:tc>
          <w:tcPr>
            <w:tcW w:w="3363" w:type="pct"/>
            <w:shd w:val="clear" w:color="000000" w:fill="FFFFFF"/>
            <w:vAlign w:val="center"/>
          </w:tcPr>
          <w:p>
            <w:pPr>
              <w:widowControl/>
              <w:spacing w:line="360" w:lineRule="auto"/>
              <w:rPr>
                <w:kern w:val="0"/>
                <w:sz w:val="24"/>
              </w:rPr>
            </w:pPr>
            <w:r>
              <w:rPr>
                <w:kern w:val="0"/>
                <w:sz w:val="24"/>
              </w:rPr>
              <w:t>系统采用同源异构方式支持主流芯片处理器支持AMD64、ARM64、Mips64、SW64、LoongArch CPU</w:t>
            </w:r>
            <w:r>
              <w:rPr>
                <w:rFonts w:hint="eastAsia"/>
                <w:kern w:val="0"/>
                <w:sz w:val="24"/>
              </w:rPr>
              <w:t>等</w:t>
            </w:r>
            <w:r>
              <w:rPr>
                <w:kern w:val="0"/>
                <w:sz w:val="24"/>
              </w:rPr>
              <w:t>架构;支持海光、兆芯、鲲鹏、海思麒麟、飞腾、龙芯、申威</w:t>
            </w:r>
            <w:r>
              <w:rPr>
                <w:rFonts w:hint="eastAsia"/>
                <w:kern w:val="0"/>
                <w:sz w:val="24"/>
              </w:rPr>
              <w:t>等</w:t>
            </w:r>
            <w:r>
              <w:rPr>
                <w:kern w:val="0"/>
                <w:sz w:val="24"/>
              </w:rPr>
              <w:t>品牌CPU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01" w:type="pct"/>
            <w:vMerge w:val="continue"/>
            <w:vAlign w:val="center"/>
          </w:tcPr>
          <w:p>
            <w:pPr>
              <w:widowControl/>
              <w:spacing w:line="360" w:lineRule="auto"/>
              <w:rPr>
                <w:kern w:val="0"/>
                <w:sz w:val="24"/>
              </w:rPr>
            </w:pPr>
          </w:p>
        </w:tc>
        <w:tc>
          <w:tcPr>
            <w:tcW w:w="1036" w:type="pct"/>
            <w:shd w:val="clear" w:color="000000" w:fill="FFFFFF"/>
            <w:vAlign w:val="center"/>
          </w:tcPr>
          <w:p>
            <w:pPr>
              <w:widowControl/>
              <w:spacing w:line="360" w:lineRule="auto"/>
              <w:rPr>
                <w:kern w:val="0"/>
                <w:sz w:val="24"/>
              </w:rPr>
            </w:pPr>
            <w:r>
              <w:rPr>
                <w:kern w:val="0"/>
                <w:sz w:val="24"/>
              </w:rPr>
              <w:t>中文支持</w:t>
            </w:r>
          </w:p>
        </w:tc>
        <w:tc>
          <w:tcPr>
            <w:tcW w:w="3363" w:type="pct"/>
            <w:shd w:val="clear" w:color="000000" w:fill="FFFFFF"/>
            <w:vAlign w:val="center"/>
          </w:tcPr>
          <w:p>
            <w:pPr>
              <w:widowControl/>
              <w:spacing w:line="360" w:lineRule="auto"/>
              <w:rPr>
                <w:kern w:val="0"/>
                <w:sz w:val="24"/>
              </w:rPr>
            </w:pPr>
            <w:r>
              <w:rPr>
                <w:kern w:val="0"/>
                <w:sz w:val="24"/>
              </w:rPr>
              <w:t>系统采用 i18n（国际化）技术和标准；支持最新国家标准字符集 GB18030-2022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1" w:type="pct"/>
            <w:vMerge w:val="continue"/>
            <w:vAlign w:val="center"/>
          </w:tcPr>
          <w:p>
            <w:pPr>
              <w:widowControl/>
              <w:spacing w:line="360" w:lineRule="auto"/>
              <w:rPr>
                <w:kern w:val="0"/>
                <w:sz w:val="24"/>
              </w:rPr>
            </w:pPr>
          </w:p>
        </w:tc>
        <w:tc>
          <w:tcPr>
            <w:tcW w:w="1036" w:type="pct"/>
            <w:shd w:val="clear" w:color="000000" w:fill="FFFFFF"/>
            <w:vAlign w:val="center"/>
          </w:tcPr>
          <w:p>
            <w:pPr>
              <w:widowControl/>
              <w:spacing w:line="360" w:lineRule="auto"/>
              <w:rPr>
                <w:kern w:val="0"/>
                <w:sz w:val="24"/>
              </w:rPr>
            </w:pPr>
            <w:r>
              <w:rPr>
                <w:kern w:val="0"/>
                <w:sz w:val="24"/>
              </w:rPr>
              <w:sym w:font="Wingdings" w:char="F0AB"/>
            </w:r>
            <w:r>
              <w:rPr>
                <w:kern w:val="0"/>
                <w:sz w:val="24"/>
              </w:rPr>
              <w:t>文件系统</w:t>
            </w:r>
          </w:p>
        </w:tc>
        <w:tc>
          <w:tcPr>
            <w:tcW w:w="3363" w:type="pct"/>
            <w:shd w:val="clear" w:color="000000" w:fill="FFFFFF"/>
            <w:vAlign w:val="center"/>
          </w:tcPr>
          <w:p>
            <w:pPr>
              <w:widowControl/>
              <w:spacing w:line="360" w:lineRule="auto"/>
              <w:rPr>
                <w:kern w:val="0"/>
                <w:sz w:val="24"/>
              </w:rPr>
            </w:pPr>
            <w:r>
              <w:rPr>
                <w:kern w:val="0"/>
                <w:sz w:val="24"/>
              </w:rPr>
              <w:t>支持XFS、NTFS、FAT16/32、EXT3/4等文件系统</w:t>
            </w:r>
            <w:r>
              <w:rPr>
                <w:rFonts w:hint="eastAsia"/>
                <w:b/>
                <w:bCs/>
                <w:kern w:val="0"/>
                <w:sz w:val="24"/>
              </w:rPr>
              <w:t>（投标文件中</w:t>
            </w:r>
            <w:r>
              <w:rPr>
                <w:b/>
                <w:bCs/>
                <w:kern w:val="0"/>
                <w:sz w:val="24"/>
              </w:rPr>
              <w:t>提供系统截图</w:t>
            </w:r>
            <w:r>
              <w:rPr>
                <w:rFonts w:hint="eastAsia"/>
                <w:b/>
                <w:b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01" w:type="pct"/>
            <w:vMerge w:val="continue"/>
            <w:vAlign w:val="center"/>
          </w:tcPr>
          <w:p>
            <w:pPr>
              <w:widowControl/>
              <w:spacing w:line="360" w:lineRule="auto"/>
              <w:rPr>
                <w:kern w:val="0"/>
                <w:sz w:val="24"/>
              </w:rPr>
            </w:pPr>
          </w:p>
        </w:tc>
        <w:tc>
          <w:tcPr>
            <w:tcW w:w="1036" w:type="pct"/>
            <w:shd w:val="clear" w:color="000000" w:fill="FFFFFF"/>
            <w:vAlign w:val="center"/>
          </w:tcPr>
          <w:p>
            <w:pPr>
              <w:widowControl/>
              <w:spacing w:line="360" w:lineRule="auto"/>
              <w:rPr>
                <w:kern w:val="0"/>
                <w:sz w:val="24"/>
              </w:rPr>
            </w:pPr>
            <w:r>
              <w:rPr>
                <w:kern w:val="0"/>
                <w:sz w:val="24"/>
              </w:rPr>
              <w:t>网络协议</w:t>
            </w:r>
          </w:p>
        </w:tc>
        <w:tc>
          <w:tcPr>
            <w:tcW w:w="3363" w:type="pct"/>
            <w:shd w:val="clear" w:color="000000" w:fill="FFFFFF"/>
            <w:vAlign w:val="center"/>
          </w:tcPr>
          <w:p>
            <w:pPr>
              <w:widowControl/>
              <w:spacing w:line="360" w:lineRule="auto"/>
              <w:rPr>
                <w:kern w:val="0"/>
                <w:sz w:val="24"/>
              </w:rPr>
            </w:pPr>
            <w:r>
              <w:rPr>
                <w:kern w:val="0"/>
                <w:sz w:val="24"/>
              </w:rPr>
              <w:t>支持HTTP、SMTP、POP3、FTP、SNMP、TELNET 、SSH等协议</w:t>
            </w:r>
            <w:r>
              <w:rPr>
                <w:rFonts w:hint="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01" w:type="pct"/>
            <w:vMerge w:val="continue"/>
            <w:vAlign w:val="center"/>
          </w:tcPr>
          <w:p>
            <w:pPr>
              <w:widowControl/>
              <w:spacing w:line="360" w:lineRule="auto"/>
              <w:rPr>
                <w:kern w:val="0"/>
                <w:sz w:val="24"/>
              </w:rPr>
            </w:pPr>
          </w:p>
        </w:tc>
        <w:tc>
          <w:tcPr>
            <w:tcW w:w="1036" w:type="pct"/>
            <w:shd w:val="clear" w:color="000000" w:fill="FFFFFF"/>
            <w:vAlign w:val="center"/>
          </w:tcPr>
          <w:p>
            <w:pPr>
              <w:widowControl/>
              <w:spacing w:line="360" w:lineRule="auto"/>
              <w:rPr>
                <w:kern w:val="0"/>
                <w:sz w:val="24"/>
              </w:rPr>
            </w:pPr>
            <w:r>
              <w:rPr>
                <w:kern w:val="0"/>
                <w:sz w:val="24"/>
              </w:rPr>
              <w:sym w:font="Wingdings" w:char="F0AB"/>
            </w:r>
            <w:r>
              <w:rPr>
                <w:kern w:val="0"/>
                <w:sz w:val="24"/>
              </w:rPr>
              <w:t>系统工具</w:t>
            </w:r>
          </w:p>
        </w:tc>
        <w:tc>
          <w:tcPr>
            <w:tcW w:w="3363" w:type="pct"/>
            <w:shd w:val="clear" w:color="000000" w:fill="FFFFFF"/>
            <w:vAlign w:val="center"/>
          </w:tcPr>
          <w:p>
            <w:pPr>
              <w:widowControl/>
              <w:spacing w:line="360" w:lineRule="auto"/>
              <w:rPr>
                <w:kern w:val="0"/>
                <w:sz w:val="24"/>
              </w:rPr>
            </w:pPr>
            <w:r>
              <w:rPr>
                <w:kern w:val="0"/>
                <w:sz w:val="24"/>
              </w:rPr>
              <w:t>提供常用系统工具包括磁盘管理、文件浏览器、系统监视器、备份还原工具、光盘刻录、计算器等</w:t>
            </w:r>
            <w:r>
              <w:rPr>
                <w:rFonts w:hint="eastAsia"/>
                <w:b/>
                <w:bCs/>
                <w:kern w:val="0"/>
                <w:sz w:val="24"/>
              </w:rPr>
              <w:t>（投标文件中</w:t>
            </w:r>
            <w:r>
              <w:rPr>
                <w:b/>
                <w:bCs/>
                <w:kern w:val="0"/>
                <w:sz w:val="24"/>
              </w:rPr>
              <w:t>提供系统截图</w:t>
            </w:r>
            <w:r>
              <w:rPr>
                <w:rFonts w:hint="eastAsia"/>
                <w:b/>
                <w:b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601" w:type="pct"/>
            <w:vMerge w:val="continue"/>
            <w:vAlign w:val="center"/>
          </w:tcPr>
          <w:p>
            <w:pPr>
              <w:widowControl/>
              <w:spacing w:line="360" w:lineRule="auto"/>
              <w:rPr>
                <w:kern w:val="0"/>
                <w:sz w:val="24"/>
              </w:rPr>
            </w:pPr>
          </w:p>
        </w:tc>
        <w:tc>
          <w:tcPr>
            <w:tcW w:w="1036" w:type="pct"/>
            <w:shd w:val="clear" w:color="000000" w:fill="FFFFFF"/>
            <w:vAlign w:val="center"/>
          </w:tcPr>
          <w:p>
            <w:pPr>
              <w:widowControl/>
              <w:spacing w:line="360" w:lineRule="auto"/>
              <w:rPr>
                <w:kern w:val="0"/>
                <w:sz w:val="24"/>
              </w:rPr>
            </w:pPr>
            <w:r>
              <w:rPr>
                <w:kern w:val="0"/>
                <w:sz w:val="24"/>
              </w:rPr>
              <w:t>系统安装</w:t>
            </w:r>
          </w:p>
        </w:tc>
        <w:tc>
          <w:tcPr>
            <w:tcW w:w="3363" w:type="pct"/>
            <w:shd w:val="clear" w:color="000000" w:fill="FFFFFF"/>
            <w:vAlign w:val="center"/>
          </w:tcPr>
          <w:p>
            <w:pPr>
              <w:widowControl/>
              <w:spacing w:line="360" w:lineRule="auto"/>
              <w:rPr>
                <w:kern w:val="0"/>
                <w:sz w:val="24"/>
              </w:rPr>
            </w:pPr>
            <w:r>
              <w:rPr>
                <w:kern w:val="0"/>
                <w:sz w:val="24"/>
              </w:rPr>
              <w:t>具备自研系统安装器，支持中文图形化安装引导界面；支持全盘、手动、无人值守等多种安装方式；支持本地存储介质、网络方式等多种安装方式；支持光盘、U盘、PXE安装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01" w:type="pct"/>
            <w:vMerge w:val="continue"/>
            <w:vAlign w:val="center"/>
          </w:tcPr>
          <w:p>
            <w:pPr>
              <w:widowControl/>
              <w:spacing w:line="360" w:lineRule="auto"/>
              <w:rPr>
                <w:kern w:val="0"/>
                <w:sz w:val="24"/>
              </w:rPr>
            </w:pPr>
          </w:p>
        </w:tc>
        <w:tc>
          <w:tcPr>
            <w:tcW w:w="1036" w:type="pct"/>
            <w:shd w:val="clear" w:color="000000" w:fill="FFFFFF"/>
            <w:vAlign w:val="center"/>
          </w:tcPr>
          <w:p>
            <w:pPr>
              <w:widowControl/>
              <w:spacing w:line="360" w:lineRule="auto"/>
              <w:rPr>
                <w:kern w:val="0"/>
                <w:sz w:val="24"/>
              </w:rPr>
            </w:pPr>
            <w:r>
              <w:rPr>
                <w:kern w:val="0"/>
                <w:sz w:val="24"/>
              </w:rPr>
              <w:t>输入法</w:t>
            </w:r>
          </w:p>
        </w:tc>
        <w:tc>
          <w:tcPr>
            <w:tcW w:w="3363" w:type="pct"/>
            <w:shd w:val="clear" w:color="000000" w:fill="FFFFFF"/>
            <w:vAlign w:val="center"/>
          </w:tcPr>
          <w:p>
            <w:pPr>
              <w:widowControl/>
              <w:spacing w:line="360" w:lineRule="auto"/>
              <w:rPr>
                <w:kern w:val="0"/>
                <w:sz w:val="24"/>
              </w:rPr>
            </w:pPr>
            <w:r>
              <w:rPr>
                <w:kern w:val="0"/>
                <w:sz w:val="24"/>
              </w:rPr>
              <w:t>系统集成自研输入法支持五笔、拼音和双拼，支持搜狗、讯飞、华宇等输入法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01" w:type="pct"/>
            <w:vMerge w:val="continue"/>
            <w:vAlign w:val="center"/>
          </w:tcPr>
          <w:p>
            <w:pPr>
              <w:widowControl/>
              <w:spacing w:line="360" w:lineRule="auto"/>
              <w:rPr>
                <w:kern w:val="0"/>
                <w:sz w:val="24"/>
              </w:rPr>
            </w:pPr>
          </w:p>
        </w:tc>
        <w:tc>
          <w:tcPr>
            <w:tcW w:w="1036" w:type="pct"/>
            <w:vMerge w:val="restart"/>
            <w:shd w:val="clear" w:color="000000" w:fill="FFFFFF"/>
            <w:vAlign w:val="center"/>
          </w:tcPr>
          <w:p>
            <w:pPr>
              <w:widowControl/>
              <w:spacing w:line="360" w:lineRule="auto"/>
              <w:rPr>
                <w:kern w:val="0"/>
                <w:sz w:val="24"/>
              </w:rPr>
            </w:pPr>
            <w:r>
              <w:rPr>
                <w:kern w:val="0"/>
                <w:sz w:val="24"/>
              </w:rPr>
              <w:t>浏览器</w:t>
            </w:r>
          </w:p>
        </w:tc>
        <w:tc>
          <w:tcPr>
            <w:tcW w:w="3363" w:type="pct"/>
            <w:vMerge w:val="restart"/>
            <w:shd w:val="clear" w:color="000000" w:fill="FFFFFF"/>
            <w:vAlign w:val="center"/>
          </w:tcPr>
          <w:p>
            <w:pPr>
              <w:widowControl/>
              <w:spacing w:line="360" w:lineRule="auto"/>
              <w:rPr>
                <w:kern w:val="0"/>
                <w:sz w:val="24"/>
              </w:rPr>
            </w:pPr>
            <w:r>
              <w:rPr>
                <w:kern w:val="0"/>
                <w:sz w:val="24"/>
              </w:rPr>
              <w:t>系统预装自研浏览器，支持符合国家密码管理要求的商用密码算法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01" w:type="pct"/>
            <w:vMerge w:val="continue"/>
            <w:vAlign w:val="center"/>
          </w:tcPr>
          <w:p>
            <w:pPr>
              <w:widowControl/>
              <w:spacing w:line="360" w:lineRule="auto"/>
              <w:rPr>
                <w:kern w:val="0"/>
                <w:sz w:val="24"/>
              </w:rPr>
            </w:pPr>
          </w:p>
        </w:tc>
        <w:tc>
          <w:tcPr>
            <w:tcW w:w="1036" w:type="pct"/>
            <w:vMerge w:val="continue"/>
            <w:vAlign w:val="center"/>
          </w:tcPr>
          <w:p>
            <w:pPr>
              <w:widowControl/>
              <w:spacing w:line="360" w:lineRule="auto"/>
              <w:rPr>
                <w:kern w:val="0"/>
                <w:sz w:val="24"/>
              </w:rPr>
            </w:pPr>
          </w:p>
        </w:tc>
        <w:tc>
          <w:tcPr>
            <w:tcW w:w="3363" w:type="pct"/>
            <w:vMerge w:val="continue"/>
            <w:vAlign w:val="center"/>
          </w:tcPr>
          <w:p>
            <w:pPr>
              <w:widowControl/>
              <w:spacing w:line="360" w:lineRule="auto"/>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01" w:type="pct"/>
            <w:vMerge w:val="continue"/>
            <w:vAlign w:val="center"/>
          </w:tcPr>
          <w:p>
            <w:pPr>
              <w:widowControl/>
              <w:spacing w:line="360" w:lineRule="auto"/>
              <w:rPr>
                <w:kern w:val="0"/>
                <w:sz w:val="24"/>
              </w:rPr>
            </w:pPr>
          </w:p>
        </w:tc>
        <w:tc>
          <w:tcPr>
            <w:tcW w:w="1036" w:type="pct"/>
            <w:vMerge w:val="continue"/>
            <w:vAlign w:val="center"/>
          </w:tcPr>
          <w:p>
            <w:pPr>
              <w:widowControl/>
              <w:spacing w:line="360" w:lineRule="auto"/>
              <w:rPr>
                <w:kern w:val="0"/>
                <w:sz w:val="24"/>
              </w:rPr>
            </w:pPr>
          </w:p>
        </w:tc>
        <w:tc>
          <w:tcPr>
            <w:tcW w:w="3363" w:type="pct"/>
            <w:vMerge w:val="continue"/>
            <w:vAlign w:val="center"/>
          </w:tcPr>
          <w:p>
            <w:pPr>
              <w:widowControl/>
              <w:spacing w:line="360" w:lineRule="auto"/>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01" w:type="pct"/>
            <w:vMerge w:val="continue"/>
            <w:vAlign w:val="center"/>
          </w:tcPr>
          <w:p>
            <w:pPr>
              <w:widowControl/>
              <w:spacing w:line="360" w:lineRule="auto"/>
              <w:rPr>
                <w:kern w:val="0"/>
                <w:sz w:val="24"/>
              </w:rPr>
            </w:pPr>
          </w:p>
        </w:tc>
        <w:tc>
          <w:tcPr>
            <w:tcW w:w="1036" w:type="pct"/>
            <w:shd w:val="clear" w:color="000000" w:fill="FFFFFF"/>
            <w:vAlign w:val="center"/>
          </w:tcPr>
          <w:p>
            <w:pPr>
              <w:widowControl/>
              <w:spacing w:line="360" w:lineRule="auto"/>
              <w:rPr>
                <w:kern w:val="0"/>
                <w:sz w:val="24"/>
              </w:rPr>
            </w:pPr>
            <w:r>
              <w:rPr>
                <w:kern w:val="0"/>
                <w:sz w:val="24"/>
              </w:rPr>
              <w:t>应用商店</w:t>
            </w:r>
          </w:p>
        </w:tc>
        <w:tc>
          <w:tcPr>
            <w:tcW w:w="3363" w:type="pct"/>
            <w:shd w:val="clear" w:color="000000" w:fill="FFFFFF"/>
            <w:vAlign w:val="center"/>
          </w:tcPr>
          <w:p>
            <w:pPr>
              <w:widowControl/>
              <w:spacing w:line="360" w:lineRule="auto"/>
              <w:rPr>
                <w:kern w:val="0"/>
                <w:sz w:val="24"/>
              </w:rPr>
            </w:pPr>
            <w:r>
              <w:rPr>
                <w:kern w:val="0"/>
                <w:sz w:val="24"/>
              </w:rPr>
              <w:t>系统内置应用商店供用户下载软件，支持下载排行和搜索，支持原生应用、Windows迁移应用、安卓应用等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601" w:type="pct"/>
            <w:vMerge w:val="continue"/>
            <w:vAlign w:val="center"/>
          </w:tcPr>
          <w:p>
            <w:pPr>
              <w:widowControl/>
              <w:spacing w:line="360" w:lineRule="auto"/>
              <w:rPr>
                <w:kern w:val="0"/>
                <w:sz w:val="24"/>
              </w:rPr>
            </w:pPr>
          </w:p>
        </w:tc>
        <w:tc>
          <w:tcPr>
            <w:tcW w:w="1036" w:type="pct"/>
            <w:shd w:val="clear" w:color="000000" w:fill="FFFFFF"/>
            <w:vAlign w:val="center"/>
          </w:tcPr>
          <w:p>
            <w:pPr>
              <w:widowControl/>
              <w:spacing w:line="360" w:lineRule="auto"/>
              <w:rPr>
                <w:kern w:val="0"/>
                <w:sz w:val="24"/>
              </w:rPr>
            </w:pPr>
            <w:r>
              <w:rPr>
                <w:kern w:val="0"/>
                <w:sz w:val="24"/>
              </w:rPr>
              <w:t>文件管理器</w:t>
            </w:r>
          </w:p>
        </w:tc>
        <w:tc>
          <w:tcPr>
            <w:tcW w:w="3363" w:type="pct"/>
            <w:shd w:val="clear" w:color="000000" w:fill="FFFFFF"/>
            <w:vAlign w:val="center"/>
          </w:tcPr>
          <w:p>
            <w:pPr>
              <w:widowControl/>
              <w:spacing w:line="360" w:lineRule="auto"/>
              <w:rPr>
                <w:kern w:val="0"/>
                <w:sz w:val="24"/>
              </w:rPr>
            </w:pPr>
            <w:r>
              <w:rPr>
                <w:kern w:val="0"/>
                <w:sz w:val="24"/>
              </w:rPr>
              <w:t>需支持长文件名，文件名最少可支持200个汉字，且保证Windows下的长文件名文件可以顺利迁移到国产操作系统不丢失。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01" w:type="pct"/>
            <w:vMerge w:val="continue"/>
            <w:vAlign w:val="center"/>
          </w:tcPr>
          <w:p>
            <w:pPr>
              <w:widowControl/>
              <w:spacing w:line="360" w:lineRule="auto"/>
              <w:rPr>
                <w:kern w:val="0"/>
                <w:sz w:val="24"/>
              </w:rPr>
            </w:pPr>
          </w:p>
        </w:tc>
        <w:tc>
          <w:tcPr>
            <w:tcW w:w="1036" w:type="pct"/>
            <w:shd w:val="clear" w:color="000000" w:fill="FFFFFF"/>
            <w:vAlign w:val="center"/>
          </w:tcPr>
          <w:p>
            <w:pPr>
              <w:widowControl/>
              <w:spacing w:line="360" w:lineRule="auto"/>
              <w:rPr>
                <w:kern w:val="0"/>
                <w:sz w:val="24"/>
              </w:rPr>
            </w:pPr>
            <w:r>
              <w:rPr>
                <w:kern w:val="0"/>
                <w:sz w:val="24"/>
              </w:rPr>
              <w:t>常用工具</w:t>
            </w:r>
          </w:p>
        </w:tc>
        <w:tc>
          <w:tcPr>
            <w:tcW w:w="3363" w:type="pct"/>
            <w:shd w:val="clear" w:color="000000" w:fill="FFFFFF"/>
            <w:vAlign w:val="center"/>
          </w:tcPr>
          <w:p>
            <w:pPr>
              <w:widowControl/>
              <w:spacing w:line="360" w:lineRule="auto"/>
              <w:rPr>
                <w:kern w:val="0"/>
                <w:sz w:val="24"/>
              </w:rPr>
            </w:pPr>
            <w:r>
              <w:rPr>
                <w:kern w:val="0"/>
                <w:sz w:val="24"/>
              </w:rPr>
              <w:t>支持常用系统图形化配置工具包括网络配置、打印机配置、投影显示配置、声音配置、输入法设置、日期时间设置等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01" w:type="pct"/>
            <w:vMerge w:val="continue"/>
            <w:vAlign w:val="center"/>
          </w:tcPr>
          <w:p>
            <w:pPr>
              <w:widowControl/>
              <w:spacing w:line="360" w:lineRule="auto"/>
              <w:rPr>
                <w:kern w:val="0"/>
                <w:sz w:val="24"/>
              </w:rPr>
            </w:pPr>
          </w:p>
        </w:tc>
        <w:tc>
          <w:tcPr>
            <w:tcW w:w="1036" w:type="pct"/>
            <w:shd w:val="clear" w:color="000000" w:fill="FFFFFF"/>
            <w:vAlign w:val="center"/>
          </w:tcPr>
          <w:p>
            <w:pPr>
              <w:widowControl/>
              <w:spacing w:line="360" w:lineRule="auto"/>
              <w:rPr>
                <w:kern w:val="0"/>
                <w:sz w:val="24"/>
              </w:rPr>
            </w:pPr>
            <w:r>
              <w:rPr>
                <w:kern w:val="0"/>
                <w:sz w:val="24"/>
              </w:rPr>
              <w:t>邮箱客户端</w:t>
            </w:r>
          </w:p>
        </w:tc>
        <w:tc>
          <w:tcPr>
            <w:tcW w:w="3363" w:type="pct"/>
            <w:shd w:val="clear" w:color="000000" w:fill="FFFFFF"/>
            <w:vAlign w:val="center"/>
          </w:tcPr>
          <w:p>
            <w:pPr>
              <w:widowControl/>
              <w:spacing w:line="360" w:lineRule="auto"/>
              <w:rPr>
                <w:kern w:val="0"/>
                <w:sz w:val="24"/>
              </w:rPr>
            </w:pPr>
            <w:r>
              <w:rPr>
                <w:kern w:val="0"/>
                <w:sz w:val="24"/>
              </w:rPr>
              <w:t>需预装自研邮箱客户端，支持邮件分别发送、定时发送；需支持可设置邮件模板，提高常用邮件内容发送效率。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01" w:type="pct"/>
            <w:vMerge w:val="continue"/>
            <w:vAlign w:val="center"/>
          </w:tcPr>
          <w:p>
            <w:pPr>
              <w:widowControl/>
              <w:spacing w:line="360" w:lineRule="auto"/>
              <w:rPr>
                <w:kern w:val="0"/>
                <w:sz w:val="24"/>
              </w:rPr>
            </w:pPr>
          </w:p>
        </w:tc>
        <w:tc>
          <w:tcPr>
            <w:tcW w:w="1036" w:type="pct"/>
            <w:shd w:val="clear" w:color="000000" w:fill="FFFFFF"/>
            <w:vAlign w:val="center"/>
          </w:tcPr>
          <w:p>
            <w:pPr>
              <w:widowControl/>
              <w:spacing w:line="360" w:lineRule="auto"/>
              <w:rPr>
                <w:b/>
                <w:bCs/>
                <w:kern w:val="0"/>
                <w:sz w:val="24"/>
              </w:rPr>
            </w:pPr>
            <w:r>
              <w:rPr>
                <w:b/>
                <w:bCs/>
                <w:kern w:val="0"/>
                <w:sz w:val="24"/>
              </w:rPr>
              <w:t>★</w:t>
            </w:r>
            <w:r>
              <w:rPr>
                <w:kern w:val="0"/>
                <w:sz w:val="24"/>
              </w:rPr>
              <w:t>磁盘检查</w:t>
            </w:r>
          </w:p>
        </w:tc>
        <w:tc>
          <w:tcPr>
            <w:tcW w:w="3363" w:type="pct"/>
            <w:shd w:val="clear" w:color="000000" w:fill="FFFFFF"/>
            <w:vAlign w:val="center"/>
          </w:tcPr>
          <w:p>
            <w:pPr>
              <w:widowControl/>
              <w:spacing w:line="360" w:lineRule="auto"/>
              <w:rPr>
                <w:kern w:val="0"/>
                <w:sz w:val="24"/>
              </w:rPr>
            </w:pPr>
            <w:r>
              <w:rPr>
                <w:kern w:val="0"/>
                <w:sz w:val="24"/>
              </w:rPr>
              <w:t>需提供自研磁盘管理器，并支持磁盘健康检测、坏道检测与修复，分区挂载与卸载，分区表错误检查等功能。</w:t>
            </w:r>
          </w:p>
          <w:p>
            <w:pPr>
              <w:widowControl/>
              <w:spacing w:line="360" w:lineRule="auto"/>
              <w:rPr>
                <w:b/>
                <w:bCs/>
                <w:kern w:val="0"/>
                <w:sz w:val="24"/>
              </w:rPr>
            </w:pPr>
            <w:r>
              <w:rPr>
                <w:rFonts w:hint="eastAsia"/>
                <w:b/>
                <w:bCs/>
                <w:kern w:val="0"/>
                <w:sz w:val="24"/>
              </w:rPr>
              <w:t>投标文件中</w:t>
            </w:r>
            <w:r>
              <w:rPr>
                <w:b/>
                <w:bCs/>
                <w:kern w:val="0"/>
                <w:sz w:val="24"/>
              </w:rPr>
              <w:t>提供软件著作权复印件并加盖厂商公章。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601" w:type="pct"/>
            <w:vMerge w:val="restart"/>
            <w:shd w:val="clear" w:color="000000" w:fill="FFFFFF"/>
            <w:vAlign w:val="center"/>
          </w:tcPr>
          <w:p>
            <w:pPr>
              <w:widowControl/>
              <w:spacing w:line="360" w:lineRule="auto"/>
              <w:jc w:val="center"/>
              <w:rPr>
                <w:kern w:val="0"/>
                <w:sz w:val="24"/>
              </w:rPr>
            </w:pPr>
            <w:r>
              <w:rPr>
                <w:kern w:val="0"/>
                <w:sz w:val="24"/>
              </w:rPr>
              <w:t>特色</w:t>
            </w:r>
          </w:p>
          <w:p>
            <w:pPr>
              <w:widowControl/>
              <w:spacing w:line="360" w:lineRule="auto"/>
              <w:jc w:val="center"/>
              <w:rPr>
                <w:kern w:val="0"/>
                <w:sz w:val="24"/>
              </w:rPr>
            </w:pPr>
            <w:r>
              <w:rPr>
                <w:kern w:val="0"/>
                <w:sz w:val="24"/>
              </w:rPr>
              <w:t>功能</w:t>
            </w:r>
          </w:p>
        </w:tc>
        <w:tc>
          <w:tcPr>
            <w:tcW w:w="1036" w:type="pct"/>
            <w:shd w:val="clear" w:color="000000" w:fill="FFFFFF"/>
            <w:vAlign w:val="center"/>
          </w:tcPr>
          <w:p>
            <w:pPr>
              <w:widowControl/>
              <w:spacing w:line="360" w:lineRule="auto"/>
              <w:jc w:val="center"/>
              <w:rPr>
                <w:kern w:val="0"/>
                <w:sz w:val="24"/>
              </w:rPr>
            </w:pPr>
            <w:r>
              <w:rPr>
                <w:kern w:val="0"/>
                <w:sz w:val="24"/>
              </w:rPr>
              <w:t>云账号同步</w:t>
            </w:r>
          </w:p>
          <w:p>
            <w:pPr>
              <w:widowControl/>
              <w:spacing w:line="360" w:lineRule="auto"/>
              <w:jc w:val="center"/>
              <w:rPr>
                <w:kern w:val="0"/>
                <w:sz w:val="24"/>
              </w:rPr>
            </w:pPr>
            <w:r>
              <w:rPr>
                <w:kern w:val="0"/>
                <w:sz w:val="24"/>
              </w:rPr>
              <w:t>服务</w:t>
            </w:r>
          </w:p>
        </w:tc>
        <w:tc>
          <w:tcPr>
            <w:tcW w:w="3363" w:type="pct"/>
            <w:shd w:val="clear" w:color="000000" w:fill="FFFFFF"/>
            <w:vAlign w:val="center"/>
          </w:tcPr>
          <w:p>
            <w:pPr>
              <w:widowControl/>
              <w:spacing w:line="360" w:lineRule="auto"/>
              <w:rPr>
                <w:kern w:val="0"/>
                <w:sz w:val="24"/>
              </w:rPr>
            </w:pPr>
            <w:r>
              <w:rPr>
                <w:kern w:val="0"/>
                <w:sz w:val="24"/>
              </w:rPr>
              <w:t>支持网络、壁纸、电源和浏览器等本地配置同步到云端，在不同设备上登录云账号时，可以自动同步云端配置，支持通过云账号在线修改系统登录密码</w:t>
            </w:r>
            <w:r>
              <w:rPr>
                <w:rFonts w:hint="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1" w:type="pct"/>
            <w:vMerge w:val="continue"/>
            <w:vAlign w:val="center"/>
          </w:tcPr>
          <w:p>
            <w:pPr>
              <w:widowControl/>
              <w:spacing w:line="360" w:lineRule="auto"/>
              <w:rPr>
                <w:kern w:val="0"/>
                <w:sz w:val="24"/>
              </w:rPr>
            </w:pPr>
          </w:p>
        </w:tc>
        <w:tc>
          <w:tcPr>
            <w:tcW w:w="1036" w:type="pct"/>
            <w:shd w:val="clear" w:color="000000" w:fill="FFFFFF"/>
            <w:vAlign w:val="center"/>
          </w:tcPr>
          <w:p>
            <w:pPr>
              <w:widowControl/>
              <w:spacing w:line="360" w:lineRule="auto"/>
              <w:jc w:val="center"/>
              <w:rPr>
                <w:kern w:val="0"/>
                <w:sz w:val="24"/>
              </w:rPr>
            </w:pPr>
            <w:r>
              <w:rPr>
                <w:kern w:val="0"/>
                <w:sz w:val="24"/>
              </w:rPr>
              <w:t>滚动截图</w:t>
            </w:r>
          </w:p>
        </w:tc>
        <w:tc>
          <w:tcPr>
            <w:tcW w:w="3363" w:type="pct"/>
            <w:shd w:val="clear" w:color="000000" w:fill="FFFFFF"/>
            <w:vAlign w:val="center"/>
          </w:tcPr>
          <w:p>
            <w:pPr>
              <w:widowControl/>
              <w:spacing w:line="360" w:lineRule="auto"/>
              <w:rPr>
                <w:kern w:val="0"/>
                <w:sz w:val="24"/>
              </w:rPr>
            </w:pPr>
            <w:r>
              <w:rPr>
                <w:kern w:val="0"/>
                <w:sz w:val="24"/>
              </w:rPr>
              <w:t>操作系统预装自研截图录屏应用，支持滚动截取页面或者文档</w:t>
            </w:r>
            <w:r>
              <w:rPr>
                <w:rFonts w:hint="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01" w:type="pct"/>
            <w:vMerge w:val="continue"/>
            <w:vAlign w:val="center"/>
          </w:tcPr>
          <w:p>
            <w:pPr>
              <w:widowControl/>
              <w:spacing w:line="360" w:lineRule="auto"/>
              <w:rPr>
                <w:kern w:val="0"/>
                <w:sz w:val="24"/>
              </w:rPr>
            </w:pPr>
          </w:p>
        </w:tc>
        <w:tc>
          <w:tcPr>
            <w:tcW w:w="1036" w:type="pct"/>
            <w:shd w:val="clear" w:color="000000" w:fill="FFFFFF"/>
            <w:vAlign w:val="center"/>
          </w:tcPr>
          <w:p>
            <w:pPr>
              <w:widowControl/>
              <w:spacing w:line="360" w:lineRule="auto"/>
              <w:rPr>
                <w:kern w:val="0"/>
                <w:sz w:val="24"/>
              </w:rPr>
            </w:pPr>
            <w:r>
              <w:rPr>
                <w:kern w:val="0"/>
                <w:sz w:val="24"/>
              </w:rPr>
              <w:t>OCR</w:t>
            </w:r>
          </w:p>
        </w:tc>
        <w:tc>
          <w:tcPr>
            <w:tcW w:w="3363" w:type="pct"/>
            <w:shd w:val="clear" w:color="000000" w:fill="FFFFFF"/>
            <w:vAlign w:val="center"/>
          </w:tcPr>
          <w:p>
            <w:pPr>
              <w:widowControl/>
              <w:spacing w:line="360" w:lineRule="auto"/>
              <w:rPr>
                <w:kern w:val="0"/>
                <w:sz w:val="24"/>
              </w:rPr>
            </w:pPr>
            <w:r>
              <w:rPr>
                <w:kern w:val="0"/>
                <w:sz w:val="24"/>
              </w:rPr>
              <w:t>系统支持OCR功能，能够智能识别图片中的文字并提取为可复制文本</w:t>
            </w:r>
            <w:r>
              <w:rPr>
                <w:rFonts w:hint="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01" w:type="pct"/>
            <w:vMerge w:val="restart"/>
            <w:shd w:val="clear" w:color="000000" w:fill="FFFFFF"/>
            <w:vAlign w:val="center"/>
          </w:tcPr>
          <w:p>
            <w:pPr>
              <w:widowControl/>
              <w:spacing w:line="360" w:lineRule="auto"/>
              <w:rPr>
                <w:kern w:val="0"/>
                <w:sz w:val="24"/>
              </w:rPr>
            </w:pPr>
            <w:r>
              <w:rPr>
                <w:kern w:val="0"/>
                <w:sz w:val="24"/>
              </w:rPr>
              <w:t>兼容性</w:t>
            </w:r>
          </w:p>
        </w:tc>
        <w:tc>
          <w:tcPr>
            <w:tcW w:w="1036" w:type="pct"/>
            <w:shd w:val="clear" w:color="000000" w:fill="FFFFFF"/>
            <w:vAlign w:val="center"/>
          </w:tcPr>
          <w:p>
            <w:pPr>
              <w:widowControl/>
              <w:spacing w:line="360" w:lineRule="auto"/>
              <w:rPr>
                <w:kern w:val="0"/>
                <w:sz w:val="24"/>
              </w:rPr>
            </w:pPr>
            <w:r>
              <w:rPr>
                <w:kern w:val="0"/>
                <w:sz w:val="24"/>
              </w:rPr>
              <w:t>办公软件支持</w:t>
            </w:r>
          </w:p>
        </w:tc>
        <w:tc>
          <w:tcPr>
            <w:tcW w:w="3363" w:type="pct"/>
            <w:shd w:val="clear" w:color="000000" w:fill="FFFFFF"/>
            <w:vAlign w:val="center"/>
          </w:tcPr>
          <w:p>
            <w:pPr>
              <w:widowControl/>
              <w:spacing w:line="360" w:lineRule="auto"/>
              <w:rPr>
                <w:kern w:val="0"/>
                <w:sz w:val="24"/>
              </w:rPr>
            </w:pPr>
            <w:r>
              <w:rPr>
                <w:kern w:val="0"/>
                <w:sz w:val="24"/>
              </w:rPr>
              <w:t>系统支持常见流版签软件包括WPS、数科OFD、福昕PDF等</w:t>
            </w:r>
            <w:r>
              <w:rPr>
                <w:rFonts w:hint="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1" w:type="pct"/>
            <w:vMerge w:val="continue"/>
            <w:vAlign w:val="center"/>
          </w:tcPr>
          <w:p>
            <w:pPr>
              <w:widowControl/>
              <w:spacing w:line="360" w:lineRule="auto"/>
              <w:rPr>
                <w:kern w:val="0"/>
                <w:sz w:val="24"/>
              </w:rPr>
            </w:pPr>
          </w:p>
        </w:tc>
        <w:tc>
          <w:tcPr>
            <w:tcW w:w="1036" w:type="pct"/>
            <w:shd w:val="clear" w:color="000000" w:fill="FFFFFF"/>
            <w:vAlign w:val="center"/>
          </w:tcPr>
          <w:p>
            <w:pPr>
              <w:widowControl/>
              <w:spacing w:line="360" w:lineRule="auto"/>
              <w:rPr>
                <w:kern w:val="0"/>
                <w:sz w:val="24"/>
              </w:rPr>
            </w:pPr>
            <w:r>
              <w:rPr>
                <w:kern w:val="0"/>
                <w:sz w:val="24"/>
              </w:rPr>
              <w:t>虚拟化</w:t>
            </w:r>
          </w:p>
        </w:tc>
        <w:tc>
          <w:tcPr>
            <w:tcW w:w="3363" w:type="pct"/>
            <w:shd w:val="clear" w:color="000000" w:fill="FFFFFF"/>
            <w:vAlign w:val="center"/>
          </w:tcPr>
          <w:p>
            <w:pPr>
              <w:widowControl/>
              <w:spacing w:line="360" w:lineRule="auto"/>
              <w:rPr>
                <w:kern w:val="0"/>
                <w:sz w:val="24"/>
              </w:rPr>
            </w:pPr>
            <w:r>
              <w:rPr>
                <w:kern w:val="0"/>
                <w:sz w:val="24"/>
              </w:rPr>
              <w:t>系统支持KVM、Docker等虚拟化技术</w:t>
            </w:r>
            <w:r>
              <w:rPr>
                <w:rFonts w:hint="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01" w:type="pct"/>
            <w:vMerge w:val="restart"/>
            <w:shd w:val="clear" w:color="000000" w:fill="FFFFFF"/>
            <w:vAlign w:val="center"/>
          </w:tcPr>
          <w:p>
            <w:pPr>
              <w:widowControl/>
              <w:spacing w:line="360" w:lineRule="auto"/>
              <w:rPr>
                <w:kern w:val="0"/>
                <w:sz w:val="24"/>
              </w:rPr>
            </w:pPr>
            <w:r>
              <w:rPr>
                <w:kern w:val="0"/>
                <w:sz w:val="24"/>
              </w:rPr>
              <w:t>安全性</w:t>
            </w:r>
          </w:p>
        </w:tc>
        <w:tc>
          <w:tcPr>
            <w:tcW w:w="1036" w:type="pct"/>
            <w:shd w:val="clear" w:color="000000" w:fill="FFFFFF"/>
            <w:vAlign w:val="center"/>
          </w:tcPr>
          <w:p>
            <w:pPr>
              <w:widowControl/>
              <w:spacing w:line="360" w:lineRule="auto"/>
              <w:rPr>
                <w:kern w:val="0"/>
                <w:sz w:val="24"/>
              </w:rPr>
            </w:pPr>
            <w:r>
              <w:rPr>
                <w:kern w:val="0"/>
                <w:sz w:val="24"/>
              </w:rPr>
              <w:t>软件签名机制</w:t>
            </w:r>
          </w:p>
        </w:tc>
        <w:tc>
          <w:tcPr>
            <w:tcW w:w="3363" w:type="pct"/>
            <w:shd w:val="clear" w:color="000000" w:fill="FFFFFF"/>
            <w:vAlign w:val="center"/>
          </w:tcPr>
          <w:p>
            <w:pPr>
              <w:widowControl/>
              <w:spacing w:line="360" w:lineRule="auto"/>
              <w:rPr>
                <w:kern w:val="0"/>
                <w:sz w:val="24"/>
              </w:rPr>
            </w:pPr>
            <w:r>
              <w:rPr>
                <w:kern w:val="0"/>
                <w:sz w:val="24"/>
              </w:rPr>
              <w:t>系统具备应用软件数字签名的安全保护机制，确保安装应用软件来源可信，未签名的软件包无法正安装成功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01" w:type="pct"/>
            <w:vMerge w:val="continue"/>
            <w:vAlign w:val="center"/>
          </w:tcPr>
          <w:p>
            <w:pPr>
              <w:widowControl/>
              <w:spacing w:line="360" w:lineRule="auto"/>
              <w:rPr>
                <w:kern w:val="0"/>
                <w:sz w:val="24"/>
              </w:rPr>
            </w:pPr>
          </w:p>
        </w:tc>
        <w:tc>
          <w:tcPr>
            <w:tcW w:w="1036" w:type="pct"/>
            <w:shd w:val="clear" w:color="000000" w:fill="FFFFFF"/>
            <w:vAlign w:val="center"/>
          </w:tcPr>
          <w:p>
            <w:pPr>
              <w:widowControl/>
              <w:spacing w:line="360" w:lineRule="auto"/>
              <w:rPr>
                <w:b/>
                <w:bCs/>
                <w:kern w:val="0"/>
                <w:sz w:val="24"/>
              </w:rPr>
            </w:pPr>
            <w:r>
              <w:rPr>
                <w:kern w:val="0"/>
                <w:sz w:val="24"/>
              </w:rPr>
              <w:t>杀毒</w:t>
            </w:r>
          </w:p>
        </w:tc>
        <w:tc>
          <w:tcPr>
            <w:tcW w:w="3363" w:type="pct"/>
            <w:shd w:val="clear" w:color="000000" w:fill="FFFFFF"/>
            <w:vAlign w:val="center"/>
          </w:tcPr>
          <w:p>
            <w:pPr>
              <w:widowControl/>
              <w:spacing w:line="360" w:lineRule="auto"/>
              <w:rPr>
                <w:kern w:val="0"/>
                <w:sz w:val="24"/>
              </w:rPr>
            </w:pPr>
            <w:r>
              <w:rPr>
                <w:kern w:val="0"/>
                <w:sz w:val="24"/>
              </w:rPr>
              <w:t>系统深度集成杀毒引擎，无需单独下载第三方杀毒软件；提供至少两个杀毒库</w:t>
            </w:r>
            <w:r>
              <w:rPr>
                <w:rFonts w:hint="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601" w:type="pct"/>
            <w:vMerge w:val="continue"/>
            <w:vAlign w:val="center"/>
          </w:tcPr>
          <w:p>
            <w:pPr>
              <w:widowControl/>
              <w:spacing w:line="360" w:lineRule="auto"/>
              <w:rPr>
                <w:kern w:val="0"/>
                <w:sz w:val="24"/>
              </w:rPr>
            </w:pPr>
          </w:p>
        </w:tc>
        <w:tc>
          <w:tcPr>
            <w:tcW w:w="1036" w:type="pct"/>
            <w:shd w:val="clear" w:color="000000" w:fill="FFFFFF"/>
            <w:vAlign w:val="center"/>
          </w:tcPr>
          <w:p>
            <w:pPr>
              <w:widowControl/>
              <w:spacing w:line="360" w:lineRule="auto"/>
              <w:rPr>
                <w:kern w:val="0"/>
                <w:sz w:val="24"/>
              </w:rPr>
            </w:pPr>
            <w:r>
              <w:rPr>
                <w:kern w:val="0"/>
                <w:sz w:val="24"/>
              </w:rPr>
              <w:t>备份恢复</w:t>
            </w:r>
          </w:p>
        </w:tc>
        <w:tc>
          <w:tcPr>
            <w:tcW w:w="3363" w:type="pct"/>
            <w:shd w:val="clear" w:color="000000" w:fill="FFFFFF"/>
            <w:vAlign w:val="center"/>
          </w:tcPr>
          <w:p>
            <w:pPr>
              <w:widowControl/>
              <w:spacing w:line="360" w:lineRule="auto"/>
              <w:rPr>
                <w:kern w:val="0"/>
                <w:sz w:val="24"/>
              </w:rPr>
            </w:pPr>
            <w:r>
              <w:rPr>
                <w:kern w:val="0"/>
                <w:sz w:val="24"/>
              </w:rPr>
              <w:t>系统支持保障安全升级的自动主备双根分区，并且在系统中有RootA和RootB标识符，在系统升级后支持回滚，并保留用户个人数据</w:t>
            </w:r>
            <w:r>
              <w:rPr>
                <w:rFonts w:hint="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01" w:type="pct"/>
            <w:vMerge w:val="continue"/>
            <w:vAlign w:val="center"/>
          </w:tcPr>
          <w:p>
            <w:pPr>
              <w:widowControl/>
              <w:spacing w:line="360" w:lineRule="auto"/>
              <w:rPr>
                <w:kern w:val="0"/>
                <w:sz w:val="24"/>
              </w:rPr>
            </w:pPr>
          </w:p>
        </w:tc>
        <w:tc>
          <w:tcPr>
            <w:tcW w:w="1036" w:type="pct"/>
            <w:shd w:val="clear" w:color="000000" w:fill="FFFFFF"/>
            <w:vAlign w:val="center"/>
          </w:tcPr>
          <w:p>
            <w:pPr>
              <w:widowControl/>
              <w:spacing w:line="360" w:lineRule="auto"/>
              <w:rPr>
                <w:kern w:val="0"/>
                <w:sz w:val="24"/>
              </w:rPr>
            </w:pPr>
            <w:r>
              <w:rPr>
                <w:kern w:val="0"/>
                <w:sz w:val="24"/>
              </w:rPr>
              <w:t>可信文件保护</w:t>
            </w:r>
          </w:p>
        </w:tc>
        <w:tc>
          <w:tcPr>
            <w:tcW w:w="3363" w:type="pct"/>
            <w:shd w:val="clear" w:color="000000" w:fill="FFFFFF"/>
            <w:vAlign w:val="center"/>
          </w:tcPr>
          <w:p>
            <w:pPr>
              <w:widowControl/>
              <w:spacing w:line="360" w:lineRule="auto"/>
              <w:rPr>
                <w:kern w:val="0"/>
                <w:sz w:val="24"/>
              </w:rPr>
            </w:pPr>
            <w:r>
              <w:rPr>
                <w:kern w:val="0"/>
                <w:sz w:val="24"/>
              </w:rPr>
              <w:t>提供操作系统核心组件的完整性保护功能，当受保护文件被破坏时，会自动执行禁止或警告策略</w:t>
            </w:r>
            <w:r>
              <w:rPr>
                <w:rFonts w:hint="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01" w:type="pct"/>
            <w:vMerge w:val="continue"/>
            <w:vAlign w:val="center"/>
          </w:tcPr>
          <w:p>
            <w:pPr>
              <w:widowControl/>
              <w:spacing w:line="360" w:lineRule="auto"/>
              <w:rPr>
                <w:kern w:val="0"/>
                <w:sz w:val="24"/>
              </w:rPr>
            </w:pPr>
          </w:p>
        </w:tc>
        <w:tc>
          <w:tcPr>
            <w:tcW w:w="1036" w:type="pct"/>
            <w:shd w:val="clear" w:color="000000" w:fill="FFFFFF"/>
            <w:vAlign w:val="center"/>
          </w:tcPr>
          <w:p>
            <w:pPr>
              <w:widowControl/>
              <w:spacing w:line="360" w:lineRule="auto"/>
              <w:rPr>
                <w:kern w:val="0"/>
                <w:sz w:val="24"/>
              </w:rPr>
            </w:pPr>
            <w:r>
              <w:rPr>
                <w:kern w:val="0"/>
                <w:sz w:val="24"/>
              </w:rPr>
              <w:t>开发者模式</w:t>
            </w:r>
          </w:p>
        </w:tc>
        <w:tc>
          <w:tcPr>
            <w:tcW w:w="3363" w:type="pct"/>
            <w:shd w:val="clear" w:color="000000" w:fill="FFFFFF"/>
            <w:vAlign w:val="center"/>
          </w:tcPr>
          <w:p>
            <w:pPr>
              <w:widowControl/>
              <w:spacing w:line="360" w:lineRule="auto"/>
              <w:rPr>
                <w:kern w:val="0"/>
                <w:sz w:val="24"/>
              </w:rPr>
            </w:pPr>
            <w:r>
              <w:rPr>
                <w:kern w:val="0"/>
                <w:sz w:val="24"/>
              </w:rPr>
              <w:t>系统具备开发者模式功能，为保障系统安全，未打开开发者模式功能下无法获取root用户权限</w:t>
            </w:r>
            <w:r>
              <w:rPr>
                <w:rFonts w:hint="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1" w:type="pct"/>
            <w:vMerge w:val="continue"/>
            <w:vAlign w:val="center"/>
          </w:tcPr>
          <w:p>
            <w:pPr>
              <w:widowControl/>
              <w:spacing w:line="360" w:lineRule="auto"/>
              <w:rPr>
                <w:kern w:val="0"/>
                <w:sz w:val="24"/>
              </w:rPr>
            </w:pPr>
          </w:p>
        </w:tc>
        <w:tc>
          <w:tcPr>
            <w:tcW w:w="1036" w:type="pct"/>
            <w:shd w:val="clear" w:color="000000" w:fill="FFFFFF"/>
            <w:vAlign w:val="center"/>
          </w:tcPr>
          <w:p>
            <w:pPr>
              <w:widowControl/>
              <w:spacing w:line="360" w:lineRule="auto"/>
              <w:rPr>
                <w:kern w:val="0"/>
                <w:sz w:val="24"/>
              </w:rPr>
            </w:pPr>
            <w:r>
              <w:rPr>
                <w:kern w:val="0"/>
                <w:sz w:val="24"/>
              </w:rPr>
              <w:t>国密算法</w:t>
            </w:r>
          </w:p>
        </w:tc>
        <w:tc>
          <w:tcPr>
            <w:tcW w:w="3363" w:type="pct"/>
            <w:shd w:val="clear" w:color="000000" w:fill="FFFFFF"/>
            <w:vAlign w:val="center"/>
          </w:tcPr>
          <w:p>
            <w:pPr>
              <w:widowControl/>
              <w:spacing w:line="360" w:lineRule="auto"/>
              <w:rPr>
                <w:kern w:val="0"/>
                <w:sz w:val="24"/>
              </w:rPr>
            </w:pPr>
            <w:r>
              <w:rPr>
                <w:kern w:val="0"/>
                <w:sz w:val="24"/>
              </w:rPr>
              <w:t>系统支持国密算法，支持SM2/SM3/SM4</w:t>
            </w:r>
            <w:r>
              <w:rPr>
                <w:rFonts w:hint="eastAsia"/>
                <w:kern w:val="0"/>
                <w:sz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01" w:type="pct"/>
            <w:vMerge w:val="continue"/>
            <w:vAlign w:val="center"/>
          </w:tcPr>
          <w:p>
            <w:pPr>
              <w:widowControl/>
              <w:spacing w:line="360" w:lineRule="auto"/>
              <w:rPr>
                <w:kern w:val="0"/>
                <w:sz w:val="24"/>
              </w:rPr>
            </w:pPr>
          </w:p>
        </w:tc>
        <w:tc>
          <w:tcPr>
            <w:tcW w:w="1036" w:type="pct"/>
            <w:shd w:val="clear" w:color="000000" w:fill="FFFFFF"/>
            <w:vAlign w:val="center"/>
          </w:tcPr>
          <w:p>
            <w:pPr>
              <w:widowControl/>
              <w:spacing w:line="360" w:lineRule="auto"/>
              <w:rPr>
                <w:kern w:val="0"/>
                <w:sz w:val="24"/>
              </w:rPr>
            </w:pPr>
            <w:r>
              <w:rPr>
                <w:kern w:val="0"/>
                <w:sz w:val="24"/>
              </w:rPr>
              <w:t>GRUB编辑页面加密</w:t>
            </w:r>
          </w:p>
        </w:tc>
        <w:tc>
          <w:tcPr>
            <w:tcW w:w="3363" w:type="pct"/>
            <w:shd w:val="clear" w:color="000000" w:fill="FFFFFF"/>
            <w:vAlign w:val="center"/>
          </w:tcPr>
          <w:p>
            <w:pPr>
              <w:widowControl/>
              <w:spacing w:line="360" w:lineRule="auto"/>
              <w:rPr>
                <w:kern w:val="0"/>
                <w:sz w:val="24"/>
              </w:rPr>
            </w:pPr>
            <w:r>
              <w:rPr>
                <w:kern w:val="0"/>
                <w:sz w:val="24"/>
              </w:rPr>
              <w:t>需支持GRUB编辑页面加密，开启该功能后需要校验密码才能进入GRUB编辑页面，禁止绕过身份认证机制进入系统。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601" w:type="pct"/>
            <w:vMerge w:val="continue"/>
            <w:vAlign w:val="center"/>
          </w:tcPr>
          <w:p>
            <w:pPr>
              <w:widowControl/>
              <w:spacing w:line="360" w:lineRule="auto"/>
              <w:rPr>
                <w:kern w:val="0"/>
                <w:sz w:val="24"/>
              </w:rPr>
            </w:pPr>
          </w:p>
        </w:tc>
        <w:tc>
          <w:tcPr>
            <w:tcW w:w="1036" w:type="pct"/>
            <w:shd w:val="clear" w:color="000000" w:fill="FFFFFF"/>
            <w:vAlign w:val="center"/>
          </w:tcPr>
          <w:p>
            <w:pPr>
              <w:widowControl/>
              <w:spacing w:line="360" w:lineRule="auto"/>
              <w:rPr>
                <w:kern w:val="0"/>
                <w:sz w:val="24"/>
              </w:rPr>
            </w:pPr>
            <w:r>
              <w:rPr>
                <w:kern w:val="0"/>
                <w:sz w:val="24"/>
              </w:rPr>
              <w:t>UKSI</w:t>
            </w:r>
          </w:p>
        </w:tc>
        <w:tc>
          <w:tcPr>
            <w:tcW w:w="3363" w:type="pct"/>
            <w:shd w:val="clear" w:color="000000" w:fill="FFFFFF"/>
            <w:vAlign w:val="center"/>
          </w:tcPr>
          <w:p>
            <w:pPr>
              <w:widowControl/>
              <w:spacing w:line="360" w:lineRule="auto"/>
              <w:rPr>
                <w:kern w:val="0"/>
                <w:sz w:val="24"/>
              </w:rPr>
            </w:pPr>
            <w:r>
              <w:rPr>
                <w:kern w:val="0"/>
                <w:sz w:val="24"/>
              </w:rPr>
              <w:t>提供安全、统一的内核安全接口，</w:t>
            </w:r>
            <w:r>
              <w:rPr>
                <w:rFonts w:hint="eastAsia"/>
                <w:kern w:val="0"/>
                <w:sz w:val="24"/>
              </w:rPr>
              <w:t>支持</w:t>
            </w:r>
            <w:r>
              <w:rPr>
                <w:kern w:val="0"/>
                <w:sz w:val="24"/>
              </w:rPr>
              <w:t>第三方安全厂商来开发安全模块，并提供兼容性保障，内核升级时不影响第三方安全模块。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601" w:type="pct"/>
            <w:vMerge w:val="restart"/>
            <w:shd w:val="clear" w:color="000000" w:fill="FFFFFF"/>
            <w:vAlign w:val="center"/>
          </w:tcPr>
          <w:p>
            <w:pPr>
              <w:widowControl/>
              <w:spacing w:line="360" w:lineRule="auto"/>
              <w:rPr>
                <w:kern w:val="0"/>
                <w:sz w:val="24"/>
              </w:rPr>
            </w:pPr>
            <w:r>
              <w:rPr>
                <w:kern w:val="0"/>
                <w:sz w:val="24"/>
              </w:rPr>
              <w:t>可维</w:t>
            </w:r>
          </w:p>
          <w:p>
            <w:pPr>
              <w:widowControl/>
              <w:spacing w:line="360" w:lineRule="auto"/>
              <w:rPr>
                <w:kern w:val="0"/>
                <w:sz w:val="24"/>
              </w:rPr>
            </w:pPr>
            <w:r>
              <w:rPr>
                <w:kern w:val="0"/>
                <w:sz w:val="24"/>
              </w:rPr>
              <w:t>护性</w:t>
            </w:r>
          </w:p>
        </w:tc>
        <w:tc>
          <w:tcPr>
            <w:tcW w:w="1036" w:type="pct"/>
            <w:shd w:val="clear" w:color="000000" w:fill="FFFFFF"/>
            <w:vAlign w:val="center"/>
          </w:tcPr>
          <w:p>
            <w:pPr>
              <w:widowControl/>
              <w:spacing w:line="360" w:lineRule="auto"/>
              <w:rPr>
                <w:b/>
                <w:bCs/>
                <w:kern w:val="0"/>
                <w:sz w:val="24"/>
              </w:rPr>
            </w:pPr>
            <w:r>
              <w:rPr>
                <w:b/>
                <w:bCs/>
                <w:kern w:val="0"/>
                <w:sz w:val="24"/>
              </w:rPr>
              <w:t>★</w:t>
            </w:r>
            <w:r>
              <w:rPr>
                <w:kern w:val="0"/>
                <w:sz w:val="24"/>
              </w:rPr>
              <w:t>远程协助</w:t>
            </w:r>
          </w:p>
        </w:tc>
        <w:tc>
          <w:tcPr>
            <w:tcW w:w="3363" w:type="pct"/>
            <w:shd w:val="clear" w:color="000000" w:fill="FFFFFF"/>
            <w:vAlign w:val="center"/>
          </w:tcPr>
          <w:p>
            <w:pPr>
              <w:widowControl/>
              <w:spacing w:line="360" w:lineRule="auto"/>
              <w:rPr>
                <w:kern w:val="0"/>
                <w:sz w:val="24"/>
              </w:rPr>
            </w:pPr>
            <w:r>
              <w:rPr>
                <w:kern w:val="0"/>
                <w:sz w:val="24"/>
              </w:rPr>
              <w:t>需提供无服务中心的远程协助工具，支持在局域网和公共网络环境下均可完成远程协助。支持强制握手协议，主控端发起请求后，必须经过受控端确认方可建立连接。支持受控端一键取消控制权，保证受控端安全。支持AMD64、ARM64、SW64、MIPS64、LoongArch架构。支持断网重连、IP黑名单、连接记录查询。支持CFB加密方式，支持心跳包机制，保证在弱网环境下能够及时反馈状态。</w:t>
            </w:r>
          </w:p>
          <w:p>
            <w:pPr>
              <w:widowControl/>
              <w:spacing w:line="360" w:lineRule="auto"/>
              <w:rPr>
                <w:kern w:val="0"/>
                <w:sz w:val="24"/>
              </w:rPr>
            </w:pPr>
            <w:r>
              <w:rPr>
                <w:rFonts w:hint="eastAsia"/>
                <w:b/>
                <w:bCs/>
                <w:kern w:val="0"/>
                <w:sz w:val="24"/>
              </w:rPr>
              <w:t>投标文件</w:t>
            </w:r>
            <w:r>
              <w:rPr>
                <w:b/>
                <w:bCs/>
                <w:kern w:val="0"/>
                <w:sz w:val="24"/>
              </w:rPr>
              <w:t>提供专利</w:t>
            </w:r>
            <w:r>
              <w:rPr>
                <w:rFonts w:hint="eastAsia"/>
                <w:b/>
                <w:bCs/>
                <w:kern w:val="0"/>
                <w:sz w:val="24"/>
              </w:rPr>
              <w:t>证书复印件并加盖厂商公章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01" w:type="pct"/>
            <w:vMerge w:val="continue"/>
            <w:vAlign w:val="center"/>
          </w:tcPr>
          <w:p>
            <w:pPr>
              <w:widowControl/>
              <w:spacing w:line="360" w:lineRule="auto"/>
              <w:rPr>
                <w:kern w:val="0"/>
                <w:sz w:val="24"/>
              </w:rPr>
            </w:pPr>
          </w:p>
        </w:tc>
        <w:tc>
          <w:tcPr>
            <w:tcW w:w="1036" w:type="pct"/>
            <w:shd w:val="clear" w:color="000000" w:fill="FFFFFF"/>
            <w:vAlign w:val="center"/>
          </w:tcPr>
          <w:p>
            <w:pPr>
              <w:widowControl/>
              <w:spacing w:line="360" w:lineRule="auto"/>
              <w:rPr>
                <w:b/>
                <w:bCs/>
                <w:kern w:val="0"/>
                <w:sz w:val="24"/>
              </w:rPr>
            </w:pPr>
            <w:r>
              <w:rPr>
                <w:kern w:val="0"/>
                <w:sz w:val="24"/>
              </w:rPr>
              <w:t>选择性更新系统</w:t>
            </w:r>
          </w:p>
        </w:tc>
        <w:tc>
          <w:tcPr>
            <w:tcW w:w="3363" w:type="pct"/>
            <w:shd w:val="clear" w:color="000000" w:fill="FFFFFF"/>
            <w:vAlign w:val="center"/>
          </w:tcPr>
          <w:p>
            <w:pPr>
              <w:widowControl/>
              <w:spacing w:line="360" w:lineRule="auto"/>
              <w:rPr>
                <w:kern w:val="0"/>
                <w:sz w:val="24"/>
              </w:rPr>
            </w:pPr>
            <w:r>
              <w:rPr>
                <w:kern w:val="0"/>
                <w:sz w:val="24"/>
              </w:rPr>
              <w:t>系统区分功能升级和安全补丁升级，可在不升级系统版本的状态下，获得长期的安全补丁更新</w:t>
            </w:r>
            <w:r>
              <w:rPr>
                <w:rFonts w:hint="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01" w:type="pct"/>
            <w:vAlign w:val="center"/>
          </w:tcPr>
          <w:p>
            <w:pPr>
              <w:widowControl/>
              <w:spacing w:line="360" w:lineRule="auto"/>
              <w:rPr>
                <w:kern w:val="0"/>
                <w:sz w:val="24"/>
              </w:rPr>
            </w:pPr>
            <w:r>
              <w:rPr>
                <w:kern w:val="0"/>
                <w:sz w:val="24"/>
              </w:rPr>
              <w:t>服务</w:t>
            </w:r>
          </w:p>
        </w:tc>
        <w:tc>
          <w:tcPr>
            <w:tcW w:w="1036" w:type="pct"/>
            <w:shd w:val="clear" w:color="000000" w:fill="FFFFFF"/>
            <w:vAlign w:val="center"/>
          </w:tcPr>
          <w:p>
            <w:pPr>
              <w:widowControl/>
              <w:spacing w:line="360" w:lineRule="auto"/>
              <w:rPr>
                <w:kern w:val="0"/>
                <w:sz w:val="24"/>
              </w:rPr>
            </w:pPr>
            <w:r>
              <w:rPr>
                <w:kern w:val="0"/>
                <w:sz w:val="24"/>
              </w:rPr>
              <w:t>授权</w:t>
            </w:r>
          </w:p>
        </w:tc>
        <w:tc>
          <w:tcPr>
            <w:tcW w:w="3363" w:type="pct"/>
            <w:shd w:val="clear" w:color="000000" w:fill="FFFFFF"/>
            <w:vAlign w:val="center"/>
          </w:tcPr>
          <w:p>
            <w:pPr>
              <w:widowControl/>
              <w:spacing w:line="360" w:lineRule="auto"/>
              <w:rPr>
                <w:kern w:val="0"/>
                <w:sz w:val="24"/>
              </w:rPr>
            </w:pPr>
            <w:r>
              <w:rPr>
                <w:b/>
                <w:bCs/>
                <w:kern w:val="0"/>
                <w:sz w:val="24"/>
              </w:rPr>
              <w:t>永久授权，1年原厂质保服务</w:t>
            </w:r>
          </w:p>
        </w:tc>
      </w:tr>
    </w:tbl>
    <w:p>
      <w:pPr>
        <w:pStyle w:val="6"/>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lang w:val="en-US"/>
        </w:rPr>
        <w:t>11、</w:t>
      </w:r>
      <w:r>
        <w:rPr>
          <w:rFonts w:ascii="Times New Roman" w:hAnsi="Times New Roman" w:eastAsia="宋体" w:cs="Times New Roman"/>
          <w:sz w:val="24"/>
          <w:szCs w:val="24"/>
        </w:rPr>
        <w:t>商务要求</w:t>
      </w:r>
    </w:p>
    <w:p>
      <w:pPr>
        <w:pStyle w:val="7"/>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lang w:val="en-US"/>
        </w:rPr>
        <w:t>1</w:t>
      </w:r>
      <w:r>
        <w:rPr>
          <w:rFonts w:hint="eastAsia" w:ascii="Times New Roman" w:hAnsi="Times New Roman" w:eastAsia="宋体" w:cs="Times New Roman"/>
          <w:sz w:val="24"/>
          <w:szCs w:val="24"/>
        </w:rPr>
        <w:t>）</w:t>
      </w:r>
      <w:r>
        <w:rPr>
          <w:rFonts w:ascii="Times New Roman" w:hAnsi="Times New Roman" w:eastAsia="宋体" w:cs="Times New Roman"/>
          <w:sz w:val="24"/>
          <w:szCs w:val="24"/>
        </w:rPr>
        <w:t>授权许可</w:t>
      </w:r>
    </w:p>
    <w:p>
      <w:pPr>
        <w:spacing w:line="360" w:lineRule="auto"/>
        <w:ind w:firstLine="480" w:firstLineChars="200"/>
        <w:rPr>
          <w:sz w:val="24"/>
        </w:rPr>
      </w:pPr>
      <w:r>
        <w:rPr>
          <w:sz w:val="24"/>
        </w:rPr>
        <w:t>（1）</w:t>
      </w:r>
      <w:r>
        <w:rPr>
          <w:b/>
          <w:bCs/>
          <w:sz w:val="24"/>
        </w:rPr>
        <w:t>所有产品授权许可方式非OEM，COEM或彩盒包装产品。授权许可必须由原厂商官方电子邮件交付。</w:t>
      </w:r>
    </w:p>
    <w:p>
      <w:pPr>
        <w:spacing w:line="360" w:lineRule="auto"/>
        <w:ind w:firstLine="480" w:firstLineChars="200"/>
        <w:rPr>
          <w:sz w:val="24"/>
        </w:rPr>
      </w:pPr>
      <w:r>
        <w:rPr>
          <w:sz w:val="24"/>
        </w:rPr>
        <w:t>（2）软件产品授权许可，可任意降级使用早前历史版本或升级到服务期内的最新版权，不得与硬件绑定，当硬件损坏或更新换代以后，该授权还可用于更换后的新硬件。</w:t>
      </w:r>
    </w:p>
    <w:p>
      <w:pPr>
        <w:spacing w:line="360" w:lineRule="auto"/>
        <w:ind w:firstLine="480" w:firstLineChars="200"/>
        <w:rPr>
          <w:sz w:val="24"/>
        </w:rPr>
      </w:pPr>
      <w:r>
        <w:rPr>
          <w:sz w:val="24"/>
        </w:rPr>
        <w:t>（3）投标人在当前购买的软件授权清单范围内，须向采购人提供满足其使用所需的软件产品激活码，必须提供正版软件资产管理服务平台，供采购人激活所有正版产品，协助医院完成所投产品系列升级更新和部署（允许降级使用早前版本），并帮助医院逐步完善知识产权内部管理规范，负责解决与本次招标采购的软件授权相关问题或纠纷。</w:t>
      </w:r>
    </w:p>
    <w:p>
      <w:pPr>
        <w:spacing w:line="360" w:lineRule="auto"/>
        <w:ind w:firstLine="480" w:firstLineChars="200"/>
        <w:rPr>
          <w:sz w:val="24"/>
        </w:rPr>
      </w:pPr>
      <w:r>
        <w:rPr>
          <w:sz w:val="24"/>
        </w:rPr>
        <w:t>（4）投标人提供软件资源与服务管理平台及服务，软件资源授权与管理系统为医院提供自动软件下载与分发、密钥激活和授权使用记录报告等功能，实现对软件资源统一管理。同时提供多种授权方式：</w:t>
      </w:r>
    </w:p>
    <w:p>
      <w:pPr>
        <w:pStyle w:val="4"/>
        <w:numPr>
          <w:ilvl w:val="255"/>
          <w:numId w:val="0"/>
        </w:numPr>
        <w:ind w:firstLine="480" w:firstLineChars="200"/>
        <w:rPr>
          <w:rFonts w:eastAsia="宋体" w:cs="Times New Roman"/>
        </w:rPr>
      </w:pPr>
      <w:r>
        <w:rPr>
          <w:rFonts w:eastAsia="宋体" w:cs="Times New Roman"/>
        </w:rPr>
        <w:t>为院内计算机提供批量激活方式，医院安装操作系统和软件后，会自动连接至激活服务器进行激活，无需输入序列号；</w:t>
      </w:r>
    </w:p>
    <w:p>
      <w:pPr>
        <w:pStyle w:val="4"/>
        <w:numPr>
          <w:ilvl w:val="255"/>
          <w:numId w:val="0"/>
        </w:numPr>
        <w:ind w:firstLine="480" w:firstLineChars="200"/>
        <w:rPr>
          <w:rFonts w:eastAsia="宋体" w:cs="Times New Roman"/>
        </w:rPr>
      </w:pPr>
      <w:r>
        <w:rPr>
          <w:rFonts w:eastAsia="宋体" w:cs="Times New Roman"/>
        </w:rPr>
        <w:t>为医院计算机提供申请激活方式，逐台单独进行激活。支持对医生电脑中现有的盗版系统和其他版系统提供方便快捷的激活或系统升级方式，将系统更新的影响降到最低。</w:t>
      </w:r>
    </w:p>
    <w:p>
      <w:pPr>
        <w:spacing w:line="360" w:lineRule="auto"/>
        <w:ind w:firstLine="480" w:firstLineChars="200"/>
        <w:rPr>
          <w:sz w:val="24"/>
        </w:rPr>
      </w:pPr>
      <w:r>
        <w:rPr>
          <w:sz w:val="24"/>
        </w:rPr>
        <w:t>（5）投标人必须配合杭州市卫健委软件正版化工作要求，中标后7天内配合出具桌面电脑操作系统软件和桌面电脑办公软件正版化合规使用区域全覆盖年度</w:t>
      </w:r>
      <w:r>
        <w:rPr>
          <w:rFonts w:hint="eastAsia"/>
          <w:b/>
          <w:bCs/>
          <w:sz w:val="24"/>
        </w:rPr>
        <w:t>（2年）</w:t>
      </w:r>
      <w:r>
        <w:rPr>
          <w:sz w:val="24"/>
        </w:rPr>
        <w:t>授权文件，具体起始时间符合卫健委统一安排。如中标后不能提供，采购人有权拒绝签订合同，并将投标人参照政府采购黑名单机制处理。</w:t>
      </w:r>
    </w:p>
    <w:p>
      <w:pPr>
        <w:spacing w:line="360" w:lineRule="auto"/>
        <w:ind w:firstLine="480" w:firstLineChars="200"/>
        <w:rPr>
          <w:sz w:val="24"/>
        </w:rPr>
      </w:pPr>
      <w:r>
        <w:rPr>
          <w:sz w:val="24"/>
        </w:rPr>
        <w:t>（6）软件正版化合规使用期内所有新增计算机不再加收任何费用，所涉及产品无条件激活。</w:t>
      </w:r>
    </w:p>
    <w:p>
      <w:pPr>
        <w:pStyle w:val="7"/>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lang w:val="en-US"/>
        </w:rPr>
        <w:t>2）</w:t>
      </w:r>
      <w:r>
        <w:rPr>
          <w:rFonts w:ascii="Times New Roman" w:hAnsi="Times New Roman" w:eastAsia="宋体" w:cs="Times New Roman"/>
          <w:sz w:val="24"/>
          <w:szCs w:val="24"/>
        </w:rPr>
        <w:t>服务与培训</w:t>
      </w:r>
    </w:p>
    <w:p>
      <w:pPr>
        <w:spacing w:line="360" w:lineRule="auto"/>
        <w:ind w:firstLine="480" w:firstLineChars="200"/>
        <w:rPr>
          <w:sz w:val="24"/>
        </w:rPr>
      </w:pPr>
      <w:r>
        <w:rPr>
          <w:sz w:val="24"/>
        </w:rPr>
        <w:t>（1）投标产品必须是符合国家技术规范和质量标准的合格产品，满足采购人的使用需求，并具有可靠的售后服务体系，质量可靠、使用安全。</w:t>
      </w:r>
    </w:p>
    <w:p>
      <w:pPr>
        <w:spacing w:line="360" w:lineRule="auto"/>
        <w:ind w:firstLine="480" w:firstLineChars="200"/>
        <w:rPr>
          <w:sz w:val="24"/>
        </w:rPr>
      </w:pPr>
      <w:r>
        <w:rPr>
          <w:sz w:val="24"/>
        </w:rPr>
        <w:t>（2）供应商保证其提供的产品中所有预装和为本项目安装的软件均为具有合法版权或使用权的正版软件且无质量瑕疵；</w:t>
      </w:r>
    </w:p>
    <w:p>
      <w:pPr>
        <w:spacing w:line="360" w:lineRule="auto"/>
        <w:ind w:firstLine="480" w:firstLineChars="200"/>
        <w:rPr>
          <w:sz w:val="24"/>
        </w:rPr>
      </w:pPr>
      <w:r>
        <w:rPr>
          <w:sz w:val="24"/>
        </w:rPr>
        <w:t>（3）在质保期内，如遇软件产品升级、改版，应免费提供更新、升级服务，供应商必须按照采购人要求完成所有点设备实施。</w:t>
      </w:r>
    </w:p>
    <w:p>
      <w:pPr>
        <w:spacing w:line="360" w:lineRule="auto"/>
        <w:ind w:firstLine="480" w:firstLineChars="200"/>
        <w:rPr>
          <w:sz w:val="24"/>
        </w:rPr>
      </w:pPr>
      <w:r>
        <w:rPr>
          <w:sz w:val="24"/>
        </w:rPr>
        <w:t>（4）要求供应商提供的服务不得低于标准服务，即与投标产品制造厂商通过网站等对外公布的有效服务标准相一致（供应商不得另行制作网页）。在标准服务基础上，</w:t>
      </w:r>
      <w:r>
        <w:rPr>
          <w:rFonts w:hint="eastAsia"/>
          <w:sz w:val="24"/>
        </w:rPr>
        <w:t>投标人</w:t>
      </w:r>
      <w:r>
        <w:rPr>
          <w:sz w:val="24"/>
        </w:rPr>
        <w:t>还应达到以下标准：</w:t>
      </w:r>
    </w:p>
    <w:p>
      <w:pPr>
        <w:pStyle w:val="4"/>
        <w:numPr>
          <w:ilvl w:val="255"/>
          <w:numId w:val="0"/>
        </w:numPr>
        <w:ind w:firstLine="480"/>
        <w:rPr>
          <w:rFonts w:eastAsia="宋体" w:cs="Times New Roman"/>
        </w:rPr>
      </w:pPr>
      <w:r>
        <w:rPr>
          <w:rFonts w:eastAsia="宋体" w:cs="Times New Roman"/>
        </w:rPr>
        <w:t>①投标产品制造厂商应具有完善的服务保障体系；</w:t>
      </w:r>
      <w:r>
        <w:rPr>
          <w:rFonts w:hint="eastAsia" w:eastAsia="宋体" w:cs="Times New Roman"/>
        </w:rPr>
        <w:t>投标人</w:t>
      </w:r>
      <w:r>
        <w:rPr>
          <w:rFonts w:eastAsia="宋体" w:cs="Times New Roman"/>
        </w:rPr>
        <w:t>也应就投标货物的品质和服务对采购机构和采购人负责。</w:t>
      </w:r>
    </w:p>
    <w:p>
      <w:pPr>
        <w:pStyle w:val="4"/>
        <w:numPr>
          <w:ilvl w:val="255"/>
          <w:numId w:val="0"/>
        </w:numPr>
        <w:ind w:firstLine="480"/>
        <w:rPr>
          <w:rFonts w:eastAsia="宋体" w:cs="Times New Roman"/>
        </w:rPr>
      </w:pPr>
      <w:r>
        <w:rPr>
          <w:rFonts w:eastAsia="宋体" w:cs="Times New Roman"/>
        </w:rPr>
        <w:t>②</w:t>
      </w:r>
      <w:r>
        <w:rPr>
          <w:rFonts w:hint="eastAsia" w:eastAsia="宋体" w:cs="Times New Roman"/>
        </w:rPr>
        <w:t>投标人</w:t>
      </w:r>
      <w:r>
        <w:rPr>
          <w:rFonts w:eastAsia="宋体" w:cs="Times New Roman"/>
        </w:rPr>
        <w:t>应明确说明此次投标的服务方案，提供此次投标货物的服务计划（售后服务内容、等级、相关服务指标、售后服务组织机构及人员安排情况及其联络信息）。</w:t>
      </w:r>
    </w:p>
    <w:p>
      <w:pPr>
        <w:pStyle w:val="4"/>
        <w:numPr>
          <w:ilvl w:val="255"/>
          <w:numId w:val="0"/>
        </w:numPr>
        <w:ind w:firstLine="480"/>
        <w:rPr>
          <w:rFonts w:eastAsia="宋体" w:cs="Times New Roman"/>
        </w:rPr>
      </w:pPr>
      <w:r>
        <w:rPr>
          <w:rFonts w:eastAsia="宋体" w:cs="Times New Roman"/>
        </w:rPr>
        <w:t>③在质保期内供应商必须为</w:t>
      </w:r>
      <w:r>
        <w:rPr>
          <w:rFonts w:hint="eastAsia" w:eastAsia="宋体" w:cs="Times New Roman"/>
        </w:rPr>
        <w:t>采购人</w:t>
      </w:r>
      <w:r>
        <w:rPr>
          <w:rFonts w:eastAsia="宋体" w:cs="Times New Roman"/>
        </w:rPr>
        <w:t>提供技术服务热线（7*24小时），负责解答用户在设备使用中遇到的问题，并及时提出解决问题的建议和操作方法。技术服务热线支持应是中文服务。</w:t>
      </w:r>
    </w:p>
    <w:p>
      <w:pPr>
        <w:pStyle w:val="4"/>
        <w:numPr>
          <w:ilvl w:val="255"/>
          <w:numId w:val="0"/>
        </w:numPr>
        <w:ind w:firstLine="480"/>
        <w:rPr>
          <w:rFonts w:eastAsia="宋体" w:cs="Times New Roman"/>
        </w:rPr>
      </w:pPr>
      <w:r>
        <w:rPr>
          <w:rFonts w:eastAsia="宋体" w:cs="Times New Roman"/>
        </w:rPr>
        <w:t>④在投标货物质保期内，</w:t>
      </w:r>
      <w:r>
        <w:rPr>
          <w:rFonts w:hint="eastAsia" w:eastAsia="宋体" w:cs="Times New Roman"/>
        </w:rPr>
        <w:t>投标人</w:t>
      </w:r>
      <w:r>
        <w:rPr>
          <w:rFonts w:eastAsia="宋体" w:cs="Times New Roman"/>
        </w:rPr>
        <w:t>应提供不低于7*24小时的现场质保和技术支持服务，对故障即时响应，3小时以内到现场，4小时以内解决问题；不能当场修复的，必须采取提供备品、备件或备机等措施，以保证采购人的正常使用。如果逾期未作出响应，</w:t>
      </w:r>
      <w:r>
        <w:rPr>
          <w:rFonts w:hint="eastAsia" w:eastAsia="宋体" w:cs="Times New Roman"/>
        </w:rPr>
        <w:t>投标人</w:t>
      </w:r>
      <w:r>
        <w:rPr>
          <w:rFonts w:eastAsia="宋体" w:cs="Times New Roman"/>
        </w:rPr>
        <w:t xml:space="preserve">应承担由于故障所造成的全部损失。 </w:t>
      </w:r>
    </w:p>
    <w:p>
      <w:pPr>
        <w:pStyle w:val="4"/>
        <w:numPr>
          <w:ilvl w:val="255"/>
          <w:numId w:val="0"/>
        </w:numPr>
        <w:ind w:firstLine="480"/>
        <w:rPr>
          <w:rFonts w:eastAsia="宋体" w:cs="Times New Roman"/>
        </w:rPr>
      </w:pPr>
      <w:r>
        <w:rPr>
          <w:rFonts w:eastAsia="宋体" w:cs="Times New Roman"/>
        </w:rPr>
        <w:t>⑤当投标货物发生非人为因素严重故障时，</w:t>
      </w:r>
      <w:r>
        <w:rPr>
          <w:rFonts w:hint="eastAsia" w:eastAsia="宋体" w:cs="Times New Roman"/>
        </w:rPr>
        <w:t>投标人</w:t>
      </w:r>
      <w:r>
        <w:rPr>
          <w:rFonts w:eastAsia="宋体" w:cs="Times New Roman"/>
        </w:rPr>
        <w:t>应当免费在七日内将补充或者更换的货物运抵发生故障的货物所在地，由此产生的一切相关费用由</w:t>
      </w:r>
      <w:r>
        <w:rPr>
          <w:rFonts w:hint="eastAsia" w:eastAsia="宋体" w:cs="Times New Roman"/>
        </w:rPr>
        <w:t>投标人</w:t>
      </w:r>
      <w:r>
        <w:rPr>
          <w:rFonts w:eastAsia="宋体" w:cs="Times New Roman"/>
        </w:rPr>
        <w:t>负担。</w:t>
      </w:r>
    </w:p>
    <w:p>
      <w:pPr>
        <w:pStyle w:val="4"/>
        <w:numPr>
          <w:ilvl w:val="255"/>
          <w:numId w:val="0"/>
        </w:numPr>
        <w:ind w:firstLine="480"/>
        <w:rPr>
          <w:rFonts w:eastAsia="宋体" w:cs="Times New Roman"/>
        </w:rPr>
      </w:pPr>
      <w:r>
        <w:rPr>
          <w:rFonts w:eastAsia="宋体" w:cs="Times New Roman"/>
        </w:rPr>
        <w:t>⑥质保期内所有因更换或修理设备或部件而导致设备停止运行的时间应从其质保期内扣除。</w:t>
      </w:r>
    </w:p>
    <w:p>
      <w:pPr>
        <w:pStyle w:val="4"/>
        <w:numPr>
          <w:ilvl w:val="255"/>
          <w:numId w:val="0"/>
        </w:numPr>
        <w:ind w:firstLine="480"/>
        <w:rPr>
          <w:rFonts w:eastAsia="宋体" w:cs="Times New Roman"/>
        </w:rPr>
      </w:pPr>
      <w:r>
        <w:rPr>
          <w:rFonts w:eastAsia="宋体" w:cs="Times New Roman"/>
        </w:rPr>
        <w:t>⑦</w:t>
      </w:r>
      <w:r>
        <w:rPr>
          <w:rFonts w:hint="eastAsia" w:eastAsia="宋体" w:cs="Times New Roman"/>
        </w:rPr>
        <w:t>投标人</w:t>
      </w:r>
      <w:r>
        <w:rPr>
          <w:rFonts w:eastAsia="宋体" w:cs="Times New Roman"/>
        </w:rPr>
        <w:t>在质保期内安装的任何产品，必须是其投标产品制造厂商原产的或是经其认可的。</w:t>
      </w:r>
    </w:p>
    <w:p>
      <w:pPr>
        <w:pStyle w:val="4"/>
        <w:numPr>
          <w:ilvl w:val="255"/>
          <w:numId w:val="0"/>
        </w:numPr>
        <w:ind w:firstLine="480"/>
        <w:rPr>
          <w:rFonts w:eastAsia="宋体" w:cs="Times New Roman"/>
        </w:rPr>
      </w:pPr>
      <w:r>
        <w:rPr>
          <w:rFonts w:eastAsia="宋体" w:cs="Times New Roman"/>
        </w:rPr>
        <w:t>⑧所有的替代零配件必须是新的未使用和未经修复的，除非</w:t>
      </w:r>
      <w:r>
        <w:rPr>
          <w:rFonts w:hint="eastAsia" w:eastAsia="宋体" w:cs="Times New Roman"/>
        </w:rPr>
        <w:t>采购人</w:t>
      </w:r>
      <w:r>
        <w:rPr>
          <w:rFonts w:eastAsia="宋体" w:cs="Times New Roman"/>
        </w:rPr>
        <w:t>提供书面许可，否则不可使用此范围外的其他（非新的）配件。</w:t>
      </w:r>
    </w:p>
    <w:p>
      <w:pPr>
        <w:pStyle w:val="4"/>
        <w:numPr>
          <w:ilvl w:val="255"/>
          <w:numId w:val="0"/>
        </w:numPr>
        <w:ind w:firstLine="480"/>
        <w:rPr>
          <w:rFonts w:eastAsia="宋体" w:cs="Times New Roman"/>
        </w:rPr>
      </w:pPr>
      <w:r>
        <w:rPr>
          <w:rFonts w:eastAsia="宋体" w:cs="Times New Roman"/>
        </w:rPr>
        <w:t>⑨</w:t>
      </w:r>
      <w:r>
        <w:rPr>
          <w:rFonts w:hint="eastAsia" w:eastAsia="宋体" w:cs="Times New Roman"/>
        </w:rPr>
        <w:t>投标人</w:t>
      </w:r>
      <w:r>
        <w:rPr>
          <w:rFonts w:eastAsia="宋体" w:cs="Times New Roman"/>
        </w:rPr>
        <w:t>必须为维修和技术支持所未能解决的问题和故障提供正式的升级方案。</w:t>
      </w:r>
    </w:p>
    <w:p>
      <w:pPr>
        <w:pStyle w:val="4"/>
        <w:numPr>
          <w:ilvl w:val="255"/>
          <w:numId w:val="0"/>
        </w:numPr>
        <w:ind w:firstLine="480"/>
        <w:rPr>
          <w:rFonts w:eastAsia="宋体" w:cs="Times New Roman"/>
        </w:rPr>
      </w:pPr>
      <w:r>
        <w:rPr>
          <w:rFonts w:eastAsia="宋体" w:cs="Times New Roman"/>
        </w:rPr>
        <w:t>⑩在质保期内，</w:t>
      </w:r>
      <w:r>
        <w:rPr>
          <w:rFonts w:hint="eastAsia" w:eastAsia="宋体" w:cs="Times New Roman"/>
        </w:rPr>
        <w:t>投标人</w:t>
      </w:r>
      <w:r>
        <w:rPr>
          <w:rFonts w:eastAsia="宋体" w:cs="Times New Roman"/>
        </w:rPr>
        <w:t>有责任解决所提供的投标设备和软件系统的任何问题，在质保期满后，当需要时，</w:t>
      </w:r>
      <w:r>
        <w:rPr>
          <w:rFonts w:hint="eastAsia" w:eastAsia="宋体" w:cs="Times New Roman"/>
        </w:rPr>
        <w:t>投标人</w:t>
      </w:r>
      <w:r>
        <w:rPr>
          <w:rFonts w:eastAsia="宋体" w:cs="Times New Roman"/>
        </w:rPr>
        <w:t>仍须对因投标设备本身的固有缺陷和瑕疵承担相应责任。</w:t>
      </w:r>
    </w:p>
    <w:p>
      <w:pPr>
        <w:spacing w:line="360" w:lineRule="auto"/>
        <w:ind w:firstLine="480" w:firstLineChars="200"/>
        <w:rPr>
          <w:sz w:val="24"/>
        </w:rPr>
      </w:pPr>
      <w:r>
        <w:rPr>
          <w:sz w:val="24"/>
        </w:rPr>
        <w:t>（5）对产品服务要求的有效响应将被视为</w:t>
      </w:r>
      <w:r>
        <w:rPr>
          <w:rFonts w:hint="eastAsia"/>
          <w:sz w:val="24"/>
        </w:rPr>
        <w:t>投标人</w:t>
      </w:r>
      <w:r>
        <w:rPr>
          <w:sz w:val="24"/>
        </w:rPr>
        <w:t>对其所投标产品的服务承诺，如果中标，须将服务承诺列入合同的产品服务条款。</w:t>
      </w:r>
    </w:p>
    <w:p>
      <w:pPr>
        <w:spacing w:line="360" w:lineRule="auto"/>
        <w:ind w:firstLine="480" w:firstLineChars="200"/>
        <w:rPr>
          <w:sz w:val="24"/>
        </w:rPr>
      </w:pPr>
      <w:r>
        <w:rPr>
          <w:sz w:val="24"/>
        </w:rPr>
        <w:t>（6）投标人须保证所提供硬件产品包括相关附件为相应硬件厂家原装正品，软件产品为相关厂家正版软件，符合国家有关规定。</w:t>
      </w:r>
      <w:r>
        <w:rPr>
          <w:rFonts w:hint="eastAsia"/>
          <w:sz w:val="24"/>
        </w:rPr>
        <w:t>投标人</w:t>
      </w:r>
      <w:r>
        <w:rPr>
          <w:sz w:val="24"/>
        </w:rPr>
        <w:t>须保证所提供产品具有合法的版权或使用权，本项目采购的产品，如在本项目范围内使用过程中出现版权或使用权纠纷，应由中标人负责，采购人不承担责任。</w:t>
      </w:r>
    </w:p>
    <w:p>
      <w:pPr>
        <w:spacing w:line="360" w:lineRule="auto"/>
        <w:ind w:firstLine="480" w:firstLineChars="200"/>
        <w:rPr>
          <w:sz w:val="24"/>
        </w:rPr>
      </w:pPr>
      <w:r>
        <w:rPr>
          <w:sz w:val="24"/>
        </w:rPr>
        <w:t>（7）项目所涉及的设备及软件到货时，须提供原厂商的供货证明。</w:t>
      </w:r>
    </w:p>
    <w:p>
      <w:pPr>
        <w:pStyle w:val="7"/>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lang w:val="en-US"/>
        </w:rPr>
        <w:t>3）</w:t>
      </w:r>
      <w:r>
        <w:rPr>
          <w:rFonts w:ascii="Times New Roman" w:hAnsi="Times New Roman" w:eastAsia="宋体" w:cs="Times New Roman"/>
          <w:sz w:val="24"/>
          <w:szCs w:val="24"/>
        </w:rPr>
        <w:t>技术服务</w:t>
      </w:r>
    </w:p>
    <w:p>
      <w:pPr>
        <w:spacing w:line="360" w:lineRule="auto"/>
        <w:ind w:firstLine="480" w:firstLineChars="200"/>
        <w:rPr>
          <w:sz w:val="24"/>
        </w:rPr>
      </w:pPr>
      <w:r>
        <w:rPr>
          <w:sz w:val="24"/>
        </w:rPr>
        <w:t>（1）投标人应确保其技术建议以及所提供的产品的完整性、实用性，保证全部系统及时投入正常运行。否则若出现因</w:t>
      </w:r>
      <w:r>
        <w:rPr>
          <w:rFonts w:hint="eastAsia"/>
          <w:sz w:val="24"/>
        </w:rPr>
        <w:t>投标人</w:t>
      </w:r>
      <w:r>
        <w:rPr>
          <w:sz w:val="24"/>
        </w:rPr>
        <w:t>提供的设备不满足要求、不合理，或者其所提供的技术支持和服务不全面，而导致系统无法实现或不能完全实现的状况，</w:t>
      </w:r>
      <w:r>
        <w:rPr>
          <w:rFonts w:hint="eastAsia"/>
          <w:sz w:val="24"/>
        </w:rPr>
        <w:t>投标人</w:t>
      </w:r>
      <w:r>
        <w:rPr>
          <w:sz w:val="24"/>
        </w:rPr>
        <w:t>负全部责任。</w:t>
      </w:r>
    </w:p>
    <w:p>
      <w:pPr>
        <w:spacing w:line="360" w:lineRule="auto"/>
        <w:ind w:firstLine="480" w:firstLineChars="200"/>
        <w:rPr>
          <w:sz w:val="24"/>
        </w:rPr>
      </w:pPr>
      <w:r>
        <w:rPr>
          <w:sz w:val="24"/>
        </w:rPr>
        <w:t>（2）如果产品在质保期内发生产品故障，</w:t>
      </w:r>
      <w:r>
        <w:rPr>
          <w:rFonts w:hint="eastAsia"/>
          <w:sz w:val="24"/>
        </w:rPr>
        <w:t>投标人</w:t>
      </w:r>
      <w:r>
        <w:rPr>
          <w:sz w:val="24"/>
        </w:rPr>
        <w:t>应及时予以响应（免费上门服务），否则采购人将自行采取必要的措施，由此产生风险和费用由</w:t>
      </w:r>
      <w:r>
        <w:rPr>
          <w:rFonts w:hint="eastAsia"/>
          <w:sz w:val="24"/>
        </w:rPr>
        <w:t>投标人</w:t>
      </w:r>
      <w:r>
        <w:rPr>
          <w:sz w:val="24"/>
        </w:rPr>
        <w:t>承担。保修期从采购人对产品验收合格之日起开始计算。</w:t>
      </w:r>
    </w:p>
    <w:p>
      <w:pPr>
        <w:spacing w:line="360" w:lineRule="auto"/>
        <w:ind w:firstLine="480" w:firstLineChars="200"/>
        <w:rPr>
          <w:sz w:val="24"/>
        </w:rPr>
      </w:pPr>
      <w:r>
        <w:rPr>
          <w:sz w:val="24"/>
        </w:rPr>
        <w:t>（3）特别提示：如采购文件中遗漏了必须具备的设备、配件或服务，请</w:t>
      </w:r>
      <w:r>
        <w:rPr>
          <w:rFonts w:hint="eastAsia"/>
          <w:sz w:val="24"/>
        </w:rPr>
        <w:t>投标人</w:t>
      </w:r>
      <w:r>
        <w:rPr>
          <w:sz w:val="24"/>
        </w:rPr>
        <w:t>在投标文件中指出，并提出解决方案供采购人、采购机构参考；</w:t>
      </w:r>
      <w:r>
        <w:rPr>
          <w:rFonts w:hint="eastAsia"/>
          <w:sz w:val="24"/>
        </w:rPr>
        <w:t>中标人</w:t>
      </w:r>
      <w:r>
        <w:rPr>
          <w:sz w:val="24"/>
        </w:rPr>
        <w:t>有义务保证采购人系统的完整性，如项目实施过程中因缺少设备、配件或服务导致采购人系统无法正常运行，</w:t>
      </w:r>
      <w:r>
        <w:rPr>
          <w:rFonts w:hint="eastAsia"/>
          <w:sz w:val="24"/>
        </w:rPr>
        <w:t>中标人</w:t>
      </w:r>
      <w:r>
        <w:rPr>
          <w:sz w:val="24"/>
        </w:rPr>
        <w:t>须承诺免费提供。</w:t>
      </w:r>
    </w:p>
    <w:p>
      <w:pPr>
        <w:pStyle w:val="5"/>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信创云资源租用</w:t>
      </w:r>
    </w:p>
    <w:p>
      <w:pPr>
        <w:spacing w:line="360" w:lineRule="auto"/>
        <w:ind w:firstLine="480" w:firstLineChars="200"/>
        <w:rPr>
          <w:sz w:val="24"/>
        </w:rPr>
      </w:pPr>
      <w:r>
        <w:rPr>
          <w:sz w:val="24"/>
        </w:rPr>
        <w:t>信创云资源需求清单如下：</w:t>
      </w:r>
    </w:p>
    <w:tbl>
      <w:tblPr>
        <w:tblStyle w:val="6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172"/>
        <w:gridCol w:w="2441"/>
        <w:gridCol w:w="1744"/>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17" w:type="pct"/>
            <w:vAlign w:val="center"/>
          </w:tcPr>
          <w:p>
            <w:pPr>
              <w:spacing w:line="360" w:lineRule="auto"/>
              <w:jc w:val="center"/>
              <w:rPr>
                <w:sz w:val="24"/>
              </w:rPr>
            </w:pPr>
            <w:r>
              <w:rPr>
                <w:sz w:val="24"/>
              </w:rPr>
              <w:t>序号</w:t>
            </w:r>
          </w:p>
        </w:tc>
        <w:tc>
          <w:tcPr>
            <w:tcW w:w="1169" w:type="pct"/>
            <w:vAlign w:val="center"/>
          </w:tcPr>
          <w:p>
            <w:pPr>
              <w:spacing w:line="360" w:lineRule="auto"/>
              <w:jc w:val="center"/>
              <w:rPr>
                <w:sz w:val="24"/>
              </w:rPr>
            </w:pPr>
            <w:r>
              <w:rPr>
                <w:sz w:val="24"/>
              </w:rPr>
              <w:t>名称</w:t>
            </w:r>
          </w:p>
        </w:tc>
        <w:tc>
          <w:tcPr>
            <w:tcW w:w="1314" w:type="pct"/>
            <w:vAlign w:val="center"/>
          </w:tcPr>
          <w:p>
            <w:pPr>
              <w:spacing w:line="360" w:lineRule="auto"/>
              <w:jc w:val="center"/>
              <w:rPr>
                <w:sz w:val="24"/>
              </w:rPr>
            </w:pPr>
            <w:r>
              <w:rPr>
                <w:sz w:val="24"/>
              </w:rPr>
              <w:t>技术规格</w:t>
            </w:r>
          </w:p>
        </w:tc>
        <w:tc>
          <w:tcPr>
            <w:tcW w:w="939" w:type="pct"/>
            <w:vAlign w:val="center"/>
          </w:tcPr>
          <w:p>
            <w:pPr>
              <w:spacing w:line="360" w:lineRule="auto"/>
              <w:jc w:val="center"/>
              <w:rPr>
                <w:sz w:val="24"/>
              </w:rPr>
            </w:pPr>
            <w:r>
              <w:rPr>
                <w:sz w:val="24"/>
              </w:rPr>
              <w:t>租赁期限/月</w:t>
            </w:r>
          </w:p>
        </w:tc>
        <w:tc>
          <w:tcPr>
            <w:tcW w:w="1158" w:type="pct"/>
          </w:tcPr>
          <w:p>
            <w:pPr>
              <w:spacing w:line="360" w:lineRule="auto"/>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pStyle w:val="4"/>
              <w:ind w:firstLine="0" w:firstLineChars="0"/>
              <w:jc w:val="center"/>
              <w:rPr>
                <w:rFonts w:eastAsia="宋体" w:cs="Times New Roman"/>
              </w:rPr>
            </w:pPr>
            <w:r>
              <w:rPr>
                <w:rFonts w:eastAsia="宋体" w:cs="Times New Roman"/>
              </w:rPr>
              <w:t>1</w:t>
            </w:r>
          </w:p>
        </w:tc>
        <w:tc>
          <w:tcPr>
            <w:tcW w:w="1169" w:type="pct"/>
            <w:vAlign w:val="center"/>
          </w:tcPr>
          <w:p>
            <w:pPr>
              <w:spacing w:line="360" w:lineRule="auto"/>
              <w:jc w:val="center"/>
              <w:rPr>
                <w:bCs/>
                <w:sz w:val="24"/>
              </w:rPr>
            </w:pPr>
            <w:r>
              <w:rPr>
                <w:bCs/>
                <w:sz w:val="24"/>
              </w:rPr>
              <w:t>云服务器ECS</w:t>
            </w:r>
          </w:p>
        </w:tc>
        <w:tc>
          <w:tcPr>
            <w:tcW w:w="1314" w:type="pct"/>
            <w:vAlign w:val="center"/>
          </w:tcPr>
          <w:p>
            <w:pPr>
              <w:spacing w:line="360" w:lineRule="auto"/>
              <w:jc w:val="center"/>
              <w:rPr>
                <w:sz w:val="24"/>
              </w:rPr>
            </w:pPr>
            <w:bookmarkStart w:id="38" w:name="OLE_LINK7"/>
            <w:r>
              <w:rPr>
                <w:sz w:val="24"/>
              </w:rPr>
              <w:t>≥</w:t>
            </w:r>
            <w:bookmarkEnd w:id="38"/>
            <w:r>
              <w:rPr>
                <w:sz w:val="24"/>
              </w:rPr>
              <w:t>4核16G</w:t>
            </w:r>
          </w:p>
        </w:tc>
        <w:tc>
          <w:tcPr>
            <w:tcW w:w="939" w:type="pct"/>
            <w:vAlign w:val="center"/>
          </w:tcPr>
          <w:p>
            <w:pPr>
              <w:spacing w:line="360" w:lineRule="auto"/>
              <w:jc w:val="center"/>
              <w:rPr>
                <w:sz w:val="24"/>
              </w:rPr>
            </w:pPr>
            <w:r>
              <w:rPr>
                <w:sz w:val="24"/>
              </w:rPr>
              <w:t>24</w:t>
            </w:r>
          </w:p>
        </w:tc>
        <w:tc>
          <w:tcPr>
            <w:tcW w:w="1158" w:type="pct"/>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pStyle w:val="4"/>
              <w:ind w:firstLine="0" w:firstLineChars="0"/>
              <w:jc w:val="center"/>
              <w:rPr>
                <w:rFonts w:eastAsia="宋体" w:cs="Times New Roman"/>
              </w:rPr>
            </w:pPr>
            <w:r>
              <w:rPr>
                <w:rFonts w:eastAsia="宋体" w:cs="Times New Roman"/>
              </w:rPr>
              <w:t>2</w:t>
            </w:r>
          </w:p>
        </w:tc>
        <w:tc>
          <w:tcPr>
            <w:tcW w:w="1169" w:type="pct"/>
            <w:vAlign w:val="center"/>
          </w:tcPr>
          <w:p>
            <w:pPr>
              <w:spacing w:line="360" w:lineRule="auto"/>
              <w:jc w:val="center"/>
              <w:rPr>
                <w:sz w:val="24"/>
              </w:rPr>
            </w:pPr>
            <w:r>
              <w:rPr>
                <w:bCs/>
                <w:sz w:val="24"/>
              </w:rPr>
              <w:t>SSD盘（系统盘）</w:t>
            </w:r>
          </w:p>
        </w:tc>
        <w:tc>
          <w:tcPr>
            <w:tcW w:w="1314" w:type="pct"/>
            <w:vAlign w:val="center"/>
          </w:tcPr>
          <w:p>
            <w:pPr>
              <w:spacing w:line="360" w:lineRule="auto"/>
              <w:jc w:val="center"/>
              <w:rPr>
                <w:sz w:val="24"/>
              </w:rPr>
            </w:pPr>
            <w:r>
              <w:rPr>
                <w:sz w:val="24"/>
              </w:rPr>
              <w:t>≥40G</w:t>
            </w:r>
          </w:p>
        </w:tc>
        <w:tc>
          <w:tcPr>
            <w:tcW w:w="939" w:type="pct"/>
            <w:vAlign w:val="center"/>
          </w:tcPr>
          <w:p>
            <w:pPr>
              <w:spacing w:line="360" w:lineRule="auto"/>
              <w:jc w:val="center"/>
              <w:rPr>
                <w:sz w:val="24"/>
              </w:rPr>
            </w:pPr>
            <w:r>
              <w:rPr>
                <w:sz w:val="24"/>
              </w:rPr>
              <w:t>24</w:t>
            </w:r>
          </w:p>
        </w:tc>
        <w:tc>
          <w:tcPr>
            <w:tcW w:w="1158" w:type="pct"/>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pStyle w:val="4"/>
              <w:ind w:firstLine="0" w:firstLineChars="0"/>
              <w:jc w:val="center"/>
              <w:rPr>
                <w:rFonts w:eastAsia="宋体" w:cs="Times New Roman"/>
              </w:rPr>
            </w:pPr>
            <w:r>
              <w:rPr>
                <w:rFonts w:eastAsia="宋体" w:cs="Times New Roman"/>
              </w:rPr>
              <w:t>3</w:t>
            </w:r>
          </w:p>
        </w:tc>
        <w:tc>
          <w:tcPr>
            <w:tcW w:w="1169" w:type="pct"/>
            <w:vAlign w:val="center"/>
          </w:tcPr>
          <w:p>
            <w:pPr>
              <w:spacing w:line="360" w:lineRule="auto"/>
              <w:jc w:val="center"/>
              <w:rPr>
                <w:sz w:val="24"/>
              </w:rPr>
            </w:pPr>
            <w:r>
              <w:rPr>
                <w:bCs/>
                <w:sz w:val="24"/>
              </w:rPr>
              <w:t>高效云盘（数据盘）</w:t>
            </w:r>
          </w:p>
        </w:tc>
        <w:tc>
          <w:tcPr>
            <w:tcW w:w="1314" w:type="pct"/>
            <w:vAlign w:val="center"/>
          </w:tcPr>
          <w:p>
            <w:pPr>
              <w:spacing w:line="360" w:lineRule="auto"/>
              <w:jc w:val="center"/>
              <w:rPr>
                <w:sz w:val="24"/>
              </w:rPr>
            </w:pPr>
            <w:r>
              <w:rPr>
                <w:sz w:val="24"/>
              </w:rPr>
              <w:t>≥200G</w:t>
            </w:r>
          </w:p>
        </w:tc>
        <w:tc>
          <w:tcPr>
            <w:tcW w:w="939" w:type="pct"/>
            <w:vAlign w:val="center"/>
          </w:tcPr>
          <w:p>
            <w:pPr>
              <w:spacing w:line="360" w:lineRule="auto"/>
              <w:jc w:val="center"/>
              <w:rPr>
                <w:sz w:val="24"/>
              </w:rPr>
            </w:pPr>
            <w:r>
              <w:rPr>
                <w:sz w:val="24"/>
              </w:rPr>
              <w:t>24</w:t>
            </w:r>
          </w:p>
        </w:tc>
        <w:tc>
          <w:tcPr>
            <w:tcW w:w="1158" w:type="pct"/>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pStyle w:val="4"/>
              <w:ind w:firstLine="0" w:firstLineChars="0"/>
              <w:jc w:val="center"/>
              <w:rPr>
                <w:rFonts w:eastAsia="宋体" w:cs="Times New Roman"/>
              </w:rPr>
            </w:pPr>
            <w:r>
              <w:rPr>
                <w:rFonts w:eastAsia="宋体" w:cs="Times New Roman"/>
              </w:rPr>
              <w:t>4</w:t>
            </w:r>
          </w:p>
        </w:tc>
        <w:tc>
          <w:tcPr>
            <w:tcW w:w="1169" w:type="pct"/>
            <w:vAlign w:val="center"/>
          </w:tcPr>
          <w:p>
            <w:pPr>
              <w:spacing w:line="360" w:lineRule="auto"/>
              <w:jc w:val="center"/>
              <w:rPr>
                <w:sz w:val="24"/>
              </w:rPr>
            </w:pPr>
            <w:r>
              <w:rPr>
                <w:bCs/>
                <w:sz w:val="24"/>
              </w:rPr>
              <w:t>操作系统</w:t>
            </w:r>
          </w:p>
        </w:tc>
        <w:tc>
          <w:tcPr>
            <w:tcW w:w="1314" w:type="pct"/>
            <w:vAlign w:val="center"/>
          </w:tcPr>
          <w:p>
            <w:pPr>
              <w:spacing w:line="360" w:lineRule="auto"/>
              <w:jc w:val="center"/>
              <w:rPr>
                <w:sz w:val="24"/>
              </w:rPr>
            </w:pPr>
            <w:r>
              <w:rPr>
                <w:rFonts w:hint="eastAsia"/>
                <w:sz w:val="24"/>
              </w:rPr>
              <w:t>国产</w:t>
            </w:r>
          </w:p>
        </w:tc>
        <w:tc>
          <w:tcPr>
            <w:tcW w:w="939" w:type="pct"/>
            <w:vAlign w:val="center"/>
          </w:tcPr>
          <w:p>
            <w:pPr>
              <w:spacing w:line="360" w:lineRule="auto"/>
              <w:jc w:val="center"/>
              <w:rPr>
                <w:sz w:val="24"/>
              </w:rPr>
            </w:pPr>
            <w:r>
              <w:rPr>
                <w:sz w:val="24"/>
              </w:rPr>
              <w:t>24</w:t>
            </w:r>
          </w:p>
        </w:tc>
        <w:tc>
          <w:tcPr>
            <w:tcW w:w="1158" w:type="pct"/>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pStyle w:val="4"/>
              <w:ind w:firstLine="0" w:firstLineChars="0"/>
              <w:jc w:val="center"/>
              <w:rPr>
                <w:rFonts w:eastAsia="宋体" w:cs="Times New Roman"/>
              </w:rPr>
            </w:pPr>
            <w:r>
              <w:rPr>
                <w:rFonts w:eastAsia="宋体" w:cs="Times New Roman"/>
              </w:rPr>
              <w:t>5</w:t>
            </w:r>
          </w:p>
        </w:tc>
        <w:tc>
          <w:tcPr>
            <w:tcW w:w="1169" w:type="pct"/>
            <w:vAlign w:val="center"/>
          </w:tcPr>
          <w:p>
            <w:pPr>
              <w:spacing w:line="360" w:lineRule="auto"/>
              <w:jc w:val="center"/>
              <w:rPr>
                <w:sz w:val="24"/>
              </w:rPr>
            </w:pPr>
            <w:r>
              <w:rPr>
                <w:bCs/>
                <w:sz w:val="24"/>
              </w:rPr>
              <w:t>数据库</w:t>
            </w:r>
          </w:p>
        </w:tc>
        <w:tc>
          <w:tcPr>
            <w:tcW w:w="1314" w:type="pct"/>
            <w:vAlign w:val="center"/>
          </w:tcPr>
          <w:p>
            <w:pPr>
              <w:spacing w:line="360" w:lineRule="auto"/>
              <w:jc w:val="center"/>
              <w:rPr>
                <w:sz w:val="24"/>
              </w:rPr>
            </w:pPr>
            <w:r>
              <w:rPr>
                <w:rFonts w:hint="eastAsia"/>
                <w:sz w:val="24"/>
              </w:rPr>
              <w:t>国产</w:t>
            </w:r>
          </w:p>
        </w:tc>
        <w:tc>
          <w:tcPr>
            <w:tcW w:w="939" w:type="pct"/>
            <w:vAlign w:val="center"/>
          </w:tcPr>
          <w:p>
            <w:pPr>
              <w:spacing w:line="360" w:lineRule="auto"/>
              <w:jc w:val="center"/>
              <w:rPr>
                <w:sz w:val="24"/>
              </w:rPr>
            </w:pPr>
            <w:bookmarkStart w:id="39" w:name="OLE_LINK1"/>
            <w:r>
              <w:rPr>
                <w:sz w:val="24"/>
              </w:rPr>
              <w:t>24</w:t>
            </w:r>
            <w:bookmarkEnd w:id="39"/>
          </w:p>
        </w:tc>
        <w:tc>
          <w:tcPr>
            <w:tcW w:w="1158" w:type="pct"/>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pStyle w:val="4"/>
              <w:ind w:firstLine="0" w:firstLineChars="0"/>
              <w:jc w:val="center"/>
              <w:rPr>
                <w:rFonts w:eastAsia="宋体" w:cs="Times New Roman"/>
              </w:rPr>
            </w:pPr>
            <w:r>
              <w:rPr>
                <w:rFonts w:eastAsia="宋体" w:cs="Times New Roman"/>
              </w:rPr>
              <w:t>6</w:t>
            </w:r>
          </w:p>
        </w:tc>
        <w:tc>
          <w:tcPr>
            <w:tcW w:w="1169" w:type="pct"/>
            <w:vAlign w:val="center"/>
          </w:tcPr>
          <w:p>
            <w:pPr>
              <w:spacing w:line="360" w:lineRule="auto"/>
              <w:jc w:val="center"/>
              <w:rPr>
                <w:bCs/>
                <w:sz w:val="24"/>
              </w:rPr>
            </w:pPr>
            <w:r>
              <w:rPr>
                <w:bCs/>
                <w:sz w:val="24"/>
              </w:rPr>
              <w:t>外网带宽</w:t>
            </w:r>
          </w:p>
        </w:tc>
        <w:tc>
          <w:tcPr>
            <w:tcW w:w="1314" w:type="pct"/>
            <w:vAlign w:val="center"/>
          </w:tcPr>
          <w:p>
            <w:pPr>
              <w:spacing w:line="360" w:lineRule="auto"/>
              <w:jc w:val="center"/>
              <w:rPr>
                <w:sz w:val="24"/>
              </w:rPr>
            </w:pPr>
            <w:r>
              <w:rPr>
                <w:sz w:val="24"/>
              </w:rPr>
              <w:t>≥10M</w:t>
            </w:r>
          </w:p>
        </w:tc>
        <w:tc>
          <w:tcPr>
            <w:tcW w:w="939" w:type="pct"/>
            <w:vAlign w:val="center"/>
          </w:tcPr>
          <w:p>
            <w:pPr>
              <w:spacing w:line="360" w:lineRule="auto"/>
              <w:jc w:val="center"/>
              <w:rPr>
                <w:sz w:val="24"/>
              </w:rPr>
            </w:pPr>
            <w:bookmarkStart w:id="40" w:name="OLE_LINK5"/>
            <w:r>
              <w:rPr>
                <w:sz w:val="24"/>
              </w:rPr>
              <w:t>24</w:t>
            </w:r>
            <w:bookmarkEnd w:id="40"/>
          </w:p>
        </w:tc>
        <w:tc>
          <w:tcPr>
            <w:tcW w:w="1158" w:type="pct"/>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pStyle w:val="4"/>
              <w:ind w:firstLine="0" w:firstLineChars="0"/>
              <w:jc w:val="center"/>
              <w:rPr>
                <w:rFonts w:eastAsia="宋体" w:cs="Times New Roman"/>
              </w:rPr>
            </w:pPr>
            <w:r>
              <w:rPr>
                <w:rFonts w:eastAsia="宋体" w:cs="Times New Roman"/>
              </w:rPr>
              <w:t>7</w:t>
            </w:r>
          </w:p>
        </w:tc>
        <w:tc>
          <w:tcPr>
            <w:tcW w:w="1169" w:type="pct"/>
            <w:vAlign w:val="center"/>
          </w:tcPr>
          <w:p>
            <w:pPr>
              <w:spacing w:line="360" w:lineRule="auto"/>
              <w:jc w:val="center"/>
              <w:rPr>
                <w:bCs/>
                <w:sz w:val="24"/>
              </w:rPr>
            </w:pPr>
            <w:r>
              <w:rPr>
                <w:bCs/>
                <w:sz w:val="24"/>
              </w:rPr>
              <w:t>安骑士（主机安全）+态势感知</w:t>
            </w:r>
          </w:p>
        </w:tc>
        <w:tc>
          <w:tcPr>
            <w:tcW w:w="1314" w:type="pct"/>
            <w:vAlign w:val="center"/>
          </w:tcPr>
          <w:p>
            <w:pPr>
              <w:spacing w:line="360" w:lineRule="auto"/>
              <w:jc w:val="center"/>
              <w:rPr>
                <w:sz w:val="24"/>
              </w:rPr>
            </w:pPr>
            <w:r>
              <w:rPr>
                <w:bCs/>
                <w:sz w:val="24"/>
              </w:rPr>
              <w:t>1个虚拟机实例，</w:t>
            </w:r>
          </w:p>
        </w:tc>
        <w:tc>
          <w:tcPr>
            <w:tcW w:w="939" w:type="pct"/>
            <w:vAlign w:val="center"/>
          </w:tcPr>
          <w:p>
            <w:pPr>
              <w:spacing w:line="360" w:lineRule="auto"/>
              <w:jc w:val="center"/>
              <w:rPr>
                <w:sz w:val="24"/>
              </w:rPr>
            </w:pPr>
            <w:r>
              <w:rPr>
                <w:sz w:val="24"/>
              </w:rPr>
              <w:t>24</w:t>
            </w:r>
          </w:p>
        </w:tc>
        <w:tc>
          <w:tcPr>
            <w:tcW w:w="1158" w:type="pct"/>
            <w:vAlign w:val="center"/>
          </w:tcPr>
          <w:p>
            <w:pPr>
              <w:spacing w:line="360" w:lineRule="auto"/>
              <w:jc w:val="center"/>
              <w:rPr>
                <w:sz w:val="24"/>
              </w:rPr>
            </w:pPr>
            <w:r>
              <w:rPr>
                <w:sz w:val="24"/>
              </w:rPr>
              <w:t>等保三级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pStyle w:val="4"/>
              <w:ind w:firstLine="0" w:firstLineChars="0"/>
              <w:jc w:val="center"/>
              <w:rPr>
                <w:rFonts w:eastAsia="宋体" w:cs="Times New Roman"/>
              </w:rPr>
            </w:pPr>
            <w:r>
              <w:rPr>
                <w:rFonts w:eastAsia="宋体" w:cs="Times New Roman"/>
              </w:rPr>
              <w:t>8</w:t>
            </w:r>
          </w:p>
        </w:tc>
        <w:tc>
          <w:tcPr>
            <w:tcW w:w="1169" w:type="pct"/>
            <w:vAlign w:val="center"/>
          </w:tcPr>
          <w:p>
            <w:pPr>
              <w:spacing w:line="360" w:lineRule="auto"/>
              <w:jc w:val="center"/>
              <w:rPr>
                <w:sz w:val="24"/>
              </w:rPr>
            </w:pPr>
            <w:r>
              <w:rPr>
                <w:sz w:val="24"/>
              </w:rPr>
              <w:t>堡垒机服务</w:t>
            </w:r>
          </w:p>
        </w:tc>
        <w:tc>
          <w:tcPr>
            <w:tcW w:w="1314" w:type="pct"/>
            <w:vAlign w:val="center"/>
          </w:tcPr>
          <w:p>
            <w:pPr>
              <w:spacing w:line="360" w:lineRule="auto"/>
              <w:jc w:val="center"/>
              <w:rPr>
                <w:sz w:val="24"/>
              </w:rPr>
            </w:pPr>
            <w:r>
              <w:rPr>
                <w:sz w:val="24"/>
              </w:rPr>
              <w:t>单实例5资产，5并发</w:t>
            </w:r>
          </w:p>
        </w:tc>
        <w:tc>
          <w:tcPr>
            <w:tcW w:w="939" w:type="pct"/>
            <w:vAlign w:val="center"/>
          </w:tcPr>
          <w:p>
            <w:pPr>
              <w:spacing w:line="360" w:lineRule="auto"/>
              <w:jc w:val="center"/>
              <w:rPr>
                <w:sz w:val="24"/>
              </w:rPr>
            </w:pPr>
            <w:bookmarkStart w:id="41" w:name="OLE_LINK8"/>
            <w:r>
              <w:rPr>
                <w:sz w:val="24"/>
              </w:rPr>
              <w:t>24</w:t>
            </w:r>
            <w:bookmarkEnd w:id="41"/>
          </w:p>
        </w:tc>
        <w:tc>
          <w:tcPr>
            <w:tcW w:w="1158" w:type="pct"/>
            <w:vAlign w:val="center"/>
          </w:tcPr>
          <w:p>
            <w:pPr>
              <w:spacing w:line="360" w:lineRule="auto"/>
              <w:jc w:val="center"/>
              <w:rPr>
                <w:sz w:val="24"/>
              </w:rPr>
            </w:pPr>
            <w:r>
              <w:rPr>
                <w:sz w:val="24"/>
              </w:rPr>
              <w:t>等保三级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pStyle w:val="4"/>
              <w:ind w:firstLine="0" w:firstLineChars="0"/>
              <w:jc w:val="center"/>
              <w:rPr>
                <w:rFonts w:eastAsia="宋体" w:cs="Times New Roman"/>
              </w:rPr>
            </w:pPr>
            <w:r>
              <w:rPr>
                <w:rFonts w:eastAsia="宋体" w:cs="Times New Roman"/>
              </w:rPr>
              <w:t>9</w:t>
            </w:r>
          </w:p>
        </w:tc>
        <w:tc>
          <w:tcPr>
            <w:tcW w:w="1169" w:type="pct"/>
            <w:vAlign w:val="center"/>
          </w:tcPr>
          <w:p>
            <w:pPr>
              <w:spacing w:line="360" w:lineRule="auto"/>
              <w:jc w:val="center"/>
              <w:rPr>
                <w:sz w:val="24"/>
              </w:rPr>
            </w:pPr>
            <w:r>
              <w:rPr>
                <w:sz w:val="24"/>
              </w:rPr>
              <w:t>SLS日志审计</w:t>
            </w:r>
          </w:p>
        </w:tc>
        <w:tc>
          <w:tcPr>
            <w:tcW w:w="1314" w:type="pct"/>
            <w:vAlign w:val="center"/>
          </w:tcPr>
          <w:p>
            <w:pPr>
              <w:spacing w:line="360" w:lineRule="auto"/>
              <w:jc w:val="center"/>
              <w:rPr>
                <w:sz w:val="24"/>
              </w:rPr>
            </w:pPr>
            <w:r>
              <w:rPr>
                <w:sz w:val="24"/>
              </w:rPr>
              <w:t>≥1G</w:t>
            </w:r>
          </w:p>
        </w:tc>
        <w:tc>
          <w:tcPr>
            <w:tcW w:w="939" w:type="pct"/>
            <w:vAlign w:val="center"/>
          </w:tcPr>
          <w:p>
            <w:pPr>
              <w:spacing w:line="360" w:lineRule="auto"/>
              <w:jc w:val="center"/>
              <w:rPr>
                <w:sz w:val="24"/>
              </w:rPr>
            </w:pPr>
            <w:r>
              <w:rPr>
                <w:sz w:val="24"/>
              </w:rPr>
              <w:t>24</w:t>
            </w:r>
          </w:p>
        </w:tc>
        <w:tc>
          <w:tcPr>
            <w:tcW w:w="1158" w:type="pct"/>
            <w:vAlign w:val="center"/>
          </w:tcPr>
          <w:p>
            <w:pPr>
              <w:spacing w:line="360" w:lineRule="auto"/>
              <w:jc w:val="center"/>
              <w:rPr>
                <w:sz w:val="24"/>
              </w:rPr>
            </w:pPr>
            <w:r>
              <w:rPr>
                <w:sz w:val="24"/>
              </w:rPr>
              <w:t>等保三级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pStyle w:val="4"/>
              <w:numPr>
                <w:ilvl w:val="255"/>
                <w:numId w:val="0"/>
              </w:numPr>
              <w:jc w:val="center"/>
              <w:rPr>
                <w:rFonts w:eastAsia="宋体" w:cs="Times New Roman"/>
              </w:rPr>
            </w:pPr>
            <w:r>
              <w:rPr>
                <w:rFonts w:hint="eastAsia" w:eastAsia="宋体" w:cs="Times New Roman"/>
              </w:rPr>
              <w:t>10</w:t>
            </w:r>
          </w:p>
        </w:tc>
        <w:tc>
          <w:tcPr>
            <w:tcW w:w="1169" w:type="pct"/>
            <w:vAlign w:val="center"/>
          </w:tcPr>
          <w:p>
            <w:pPr>
              <w:spacing w:line="360" w:lineRule="auto"/>
              <w:jc w:val="center"/>
              <w:rPr>
                <w:sz w:val="24"/>
              </w:rPr>
            </w:pPr>
            <w:r>
              <w:rPr>
                <w:sz w:val="24"/>
              </w:rPr>
              <w:t>数据库审计</w:t>
            </w:r>
          </w:p>
        </w:tc>
        <w:tc>
          <w:tcPr>
            <w:tcW w:w="1314" w:type="pct"/>
            <w:vAlign w:val="center"/>
          </w:tcPr>
          <w:p>
            <w:pPr>
              <w:spacing w:line="360" w:lineRule="auto"/>
              <w:jc w:val="center"/>
              <w:rPr>
                <w:sz w:val="24"/>
              </w:rPr>
            </w:pPr>
            <w:r>
              <w:rPr>
                <w:sz w:val="24"/>
              </w:rPr>
              <w:t>1个数据库实例</w:t>
            </w:r>
          </w:p>
        </w:tc>
        <w:tc>
          <w:tcPr>
            <w:tcW w:w="939" w:type="pct"/>
            <w:vAlign w:val="center"/>
          </w:tcPr>
          <w:p>
            <w:pPr>
              <w:spacing w:line="360" w:lineRule="auto"/>
              <w:jc w:val="center"/>
              <w:rPr>
                <w:sz w:val="24"/>
              </w:rPr>
            </w:pPr>
            <w:r>
              <w:rPr>
                <w:sz w:val="24"/>
              </w:rPr>
              <w:t>24</w:t>
            </w:r>
          </w:p>
        </w:tc>
        <w:tc>
          <w:tcPr>
            <w:tcW w:w="1158" w:type="pct"/>
            <w:vAlign w:val="center"/>
          </w:tcPr>
          <w:p>
            <w:pPr>
              <w:spacing w:line="360" w:lineRule="auto"/>
              <w:jc w:val="center"/>
              <w:rPr>
                <w:sz w:val="24"/>
              </w:rPr>
            </w:pPr>
            <w:r>
              <w:rPr>
                <w:sz w:val="24"/>
              </w:rPr>
              <w:t>等保三级</w:t>
            </w:r>
          </w:p>
        </w:tc>
      </w:tr>
    </w:tbl>
    <w:p>
      <w:pPr>
        <w:pStyle w:val="5"/>
        <w:spacing w:before="0" w:after="0" w:line="360" w:lineRule="auto"/>
        <w:ind w:left="0" w:firstLine="482"/>
        <w:jc w:val="both"/>
        <w:rPr>
          <w:rFonts w:ascii="Times New Roman" w:hAnsi="Times New Roman" w:eastAsia="宋体" w:cs="Times New Roman"/>
          <w:sz w:val="24"/>
          <w:szCs w:val="24"/>
        </w:rPr>
      </w:pPr>
      <w:bookmarkStart w:id="42" w:name="_Hlk180679187"/>
      <w:r>
        <w:rPr>
          <w:rFonts w:hint="eastAsia" w:ascii="Times New Roman" w:hAnsi="Times New Roman" w:eastAsia="宋体" w:cs="Times New Roman"/>
          <w:sz w:val="24"/>
          <w:szCs w:val="24"/>
        </w:rPr>
        <w:t>3、</w:t>
      </w:r>
      <w:r>
        <w:rPr>
          <w:rFonts w:ascii="Times New Roman" w:hAnsi="Times New Roman" w:eastAsia="宋体" w:cs="Times New Roman"/>
          <w:sz w:val="24"/>
          <w:szCs w:val="24"/>
        </w:rPr>
        <w:t>OA及官网信创改造</w:t>
      </w:r>
      <w:bookmarkEnd w:id="42"/>
    </w:p>
    <w:p>
      <w:pPr>
        <w:pStyle w:val="6"/>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lang w:val="en-US"/>
        </w:rPr>
        <w:t>（1）</w:t>
      </w:r>
      <w:r>
        <w:rPr>
          <w:rFonts w:ascii="Times New Roman" w:hAnsi="Times New Roman" w:eastAsia="宋体" w:cs="Times New Roman"/>
          <w:sz w:val="24"/>
          <w:szCs w:val="24"/>
        </w:rPr>
        <w:t>概况</w:t>
      </w:r>
    </w:p>
    <w:p>
      <w:pPr>
        <w:spacing w:line="360" w:lineRule="auto"/>
        <w:ind w:firstLine="480" w:firstLineChars="200"/>
        <w:rPr>
          <w:sz w:val="24"/>
        </w:rPr>
      </w:pPr>
      <w:r>
        <w:rPr>
          <w:sz w:val="24"/>
        </w:rPr>
        <w:t>医院官网，作为医院对外宣传工作的重要阵地。根据中国信息安全测评中心部门的要求，需要对操作系统、数据库、浏览器各维度进行适配和改造，并对历史数据进行迁移。本次信创改造完成后，可进一步提升网站的网络信息安全、数据安全性，降低对国外技术的依赖，提升官网技术发展的自主可控性。</w:t>
      </w:r>
    </w:p>
    <w:p>
      <w:pPr>
        <w:spacing w:line="360" w:lineRule="auto"/>
        <w:ind w:firstLine="480" w:firstLineChars="200"/>
        <w:rPr>
          <w:sz w:val="24"/>
        </w:rPr>
      </w:pPr>
      <w:bookmarkStart w:id="43" w:name="_Hlk180679492"/>
      <w:r>
        <w:rPr>
          <w:sz w:val="24"/>
        </w:rPr>
        <w:t>本次改造范围包括中文官网、院内网和数字化信息发布管理平台，服务内容包括原有功能、操作系统、数据库、浏览器适配，以及历史数据迁移和部署。</w:t>
      </w:r>
      <w:bookmarkEnd w:id="43"/>
    </w:p>
    <w:p>
      <w:pPr>
        <w:pStyle w:val="6"/>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lang w:val="en-US"/>
        </w:rPr>
        <w:t>（2）</w:t>
      </w:r>
      <w:r>
        <w:rPr>
          <w:rFonts w:ascii="Times New Roman" w:hAnsi="Times New Roman" w:eastAsia="宋体" w:cs="Times New Roman"/>
          <w:sz w:val="24"/>
          <w:szCs w:val="24"/>
        </w:rPr>
        <w:t>技术要求</w:t>
      </w:r>
    </w:p>
    <w:p>
      <w:pPr>
        <w:pStyle w:val="7"/>
        <w:spacing w:before="0" w:after="0" w:line="360" w:lineRule="auto"/>
        <w:ind w:left="0" w:firstLine="482"/>
        <w:jc w:val="both"/>
        <w:rPr>
          <w:rFonts w:ascii="Times New Roman" w:hAnsi="Times New Roman" w:eastAsia="宋体" w:cs="Times New Roman"/>
          <w:sz w:val="24"/>
          <w:szCs w:val="24"/>
          <w:lang w:val="en-US"/>
        </w:rPr>
      </w:pPr>
      <w:r>
        <w:rPr>
          <w:rFonts w:hint="eastAsia" w:ascii="Times New Roman" w:hAnsi="Times New Roman" w:eastAsia="宋体" w:cs="Times New Roman"/>
          <w:sz w:val="24"/>
          <w:szCs w:val="24"/>
          <w:lang w:val="en-US"/>
        </w:rPr>
        <w:t>1）中文官网原有功能适配</w:t>
      </w:r>
    </w:p>
    <w:p>
      <w:pPr>
        <w:spacing w:line="360" w:lineRule="auto"/>
        <w:ind w:firstLine="480" w:firstLineChars="200"/>
        <w:rPr>
          <w:sz w:val="24"/>
        </w:rPr>
      </w:pPr>
      <w:r>
        <w:rPr>
          <w:sz w:val="24"/>
        </w:rPr>
        <w:t>此次中文官网信创改造需确保与原有网站架构及功能一致，具体如下：</w:t>
      </w:r>
    </w:p>
    <w:tbl>
      <w:tblPr>
        <w:tblStyle w:val="63"/>
        <w:tblW w:w="8667" w:type="dxa"/>
        <w:tblInd w:w="0" w:type="dxa"/>
        <w:tblLayout w:type="fixed"/>
        <w:tblCellMar>
          <w:top w:w="15" w:type="dxa"/>
          <w:left w:w="15" w:type="dxa"/>
          <w:bottom w:w="15" w:type="dxa"/>
          <w:right w:w="15" w:type="dxa"/>
        </w:tblCellMar>
      </w:tblPr>
      <w:tblGrid>
        <w:gridCol w:w="2122"/>
        <w:gridCol w:w="3477"/>
        <w:gridCol w:w="3068"/>
      </w:tblGrid>
      <w:tr>
        <w:tblPrEx>
          <w:tblCellMar>
            <w:top w:w="15" w:type="dxa"/>
            <w:left w:w="15" w:type="dxa"/>
            <w:bottom w:w="15" w:type="dxa"/>
            <w:right w:w="15" w:type="dxa"/>
          </w:tblCellMar>
        </w:tblPrEx>
        <w:trPr>
          <w:trHeight w:val="510" w:hRule="atLeast"/>
          <w:tblHeader/>
        </w:trPr>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2" w:firstLineChars="200"/>
              <w:textAlignment w:val="center"/>
              <w:rPr>
                <w:b/>
                <w:bCs/>
                <w:sz w:val="24"/>
              </w:rPr>
            </w:pPr>
            <w:bookmarkStart w:id="44" w:name="_Hlk180679581"/>
            <w:r>
              <w:rPr>
                <w:b/>
                <w:bCs/>
                <w:kern w:val="0"/>
                <w:sz w:val="24"/>
              </w:rPr>
              <w:t>一级栏目</w:t>
            </w:r>
          </w:p>
        </w:tc>
        <w:tc>
          <w:tcPr>
            <w:tcW w:w="34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2" w:firstLineChars="200"/>
              <w:textAlignment w:val="center"/>
              <w:rPr>
                <w:b/>
                <w:bCs/>
                <w:sz w:val="24"/>
              </w:rPr>
            </w:pPr>
            <w:r>
              <w:rPr>
                <w:b/>
                <w:bCs/>
                <w:kern w:val="0"/>
                <w:sz w:val="24"/>
              </w:rPr>
              <w:t>二级栏目</w:t>
            </w:r>
          </w:p>
        </w:tc>
        <w:tc>
          <w:tcPr>
            <w:tcW w:w="3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ind w:firstLine="482" w:firstLineChars="200"/>
              <w:textAlignment w:val="center"/>
              <w:rPr>
                <w:b/>
                <w:bCs/>
                <w:sz w:val="24"/>
              </w:rPr>
            </w:pPr>
            <w:r>
              <w:rPr>
                <w:b/>
                <w:bCs/>
                <w:kern w:val="0"/>
                <w:sz w:val="24"/>
              </w:rPr>
              <w:t>三级栏目</w:t>
            </w:r>
          </w:p>
        </w:tc>
      </w:tr>
      <w:tr>
        <w:tblPrEx>
          <w:tblCellMar>
            <w:top w:w="15" w:type="dxa"/>
            <w:left w:w="15" w:type="dxa"/>
            <w:bottom w:w="15" w:type="dxa"/>
            <w:right w:w="15" w:type="dxa"/>
          </w:tblCellMar>
        </w:tblPrEx>
        <w:trPr>
          <w:trHeight w:val="90" w:hRule="atLeast"/>
        </w:trPr>
        <w:tc>
          <w:tcPr>
            <w:tcW w:w="2122" w:type="dxa"/>
            <w:tcBorders>
              <w:top w:val="single" w:color="auto" w:sz="4" w:space="0"/>
              <w:left w:val="single" w:color="000000" w:sz="6" w:space="0"/>
              <w:bottom w:val="single" w:color="000000" w:sz="6" w:space="0"/>
              <w:right w:val="single" w:color="000000" w:sz="6" w:space="0"/>
            </w:tcBorders>
            <w:shd w:val="clear" w:color="auto" w:fill="auto"/>
            <w:vAlign w:val="center"/>
          </w:tcPr>
          <w:p>
            <w:pPr>
              <w:widowControl/>
              <w:spacing w:line="360" w:lineRule="auto"/>
              <w:ind w:firstLine="480" w:firstLineChars="200"/>
              <w:textAlignment w:val="center"/>
              <w:rPr>
                <w:sz w:val="24"/>
              </w:rPr>
            </w:pPr>
            <w:r>
              <w:rPr>
                <w:kern w:val="0"/>
                <w:sz w:val="24"/>
              </w:rPr>
              <w:t>首页</w:t>
            </w:r>
          </w:p>
        </w:tc>
        <w:tc>
          <w:tcPr>
            <w:tcW w:w="6545" w:type="dxa"/>
            <w:gridSpan w:val="2"/>
            <w:tcBorders>
              <w:top w:val="single" w:color="auto" w:sz="4" w:space="0"/>
              <w:left w:val="single" w:color="000000" w:sz="6" w:space="0"/>
              <w:bottom w:val="single" w:color="000000" w:sz="6" w:space="0"/>
              <w:right w:val="single" w:color="000000" w:sz="6" w:space="0"/>
            </w:tcBorders>
            <w:shd w:val="clear" w:color="auto" w:fill="auto"/>
            <w:vAlign w:val="center"/>
          </w:tcPr>
          <w:p>
            <w:pPr>
              <w:spacing w:line="360" w:lineRule="auto"/>
              <w:ind w:firstLine="480" w:firstLineChars="200"/>
              <w:rPr>
                <w:sz w:val="24"/>
              </w:rPr>
            </w:pPr>
            <w:r>
              <w:rPr>
                <w:sz w:val="24"/>
              </w:rPr>
              <w:t>Banner图、患者服务、医院公告、医院新闻、阳光工程、专病专科、楼宇分布、来院路线</w:t>
            </w:r>
          </w:p>
        </w:tc>
      </w:tr>
      <w:tr>
        <w:tblPrEx>
          <w:tblCellMar>
            <w:top w:w="15" w:type="dxa"/>
            <w:left w:w="15" w:type="dxa"/>
            <w:bottom w:w="15" w:type="dxa"/>
            <w:right w:w="15" w:type="dxa"/>
          </w:tblCellMar>
        </w:tblPrEx>
        <w:trPr>
          <w:trHeight w:val="465" w:hRule="atLeast"/>
        </w:trPr>
        <w:tc>
          <w:tcPr>
            <w:tcW w:w="212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line="360" w:lineRule="auto"/>
              <w:ind w:firstLine="480" w:firstLineChars="200"/>
              <w:textAlignment w:val="center"/>
              <w:rPr>
                <w:sz w:val="24"/>
              </w:rPr>
            </w:pPr>
            <w:r>
              <w:rPr>
                <w:kern w:val="0"/>
                <w:sz w:val="24"/>
              </w:rPr>
              <w:t>医院概况</w:t>
            </w:r>
          </w:p>
        </w:tc>
        <w:tc>
          <w:tcPr>
            <w:tcW w:w="347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line="360" w:lineRule="auto"/>
              <w:ind w:firstLine="480" w:firstLineChars="200"/>
              <w:textAlignment w:val="center"/>
              <w:rPr>
                <w:sz w:val="24"/>
              </w:rPr>
            </w:pPr>
            <w:r>
              <w:rPr>
                <w:kern w:val="0"/>
                <w:sz w:val="24"/>
              </w:rPr>
              <w:t>医院简介</w:t>
            </w:r>
          </w:p>
        </w:tc>
        <w:tc>
          <w:tcPr>
            <w:tcW w:w="30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360" w:lineRule="auto"/>
              <w:ind w:firstLine="480" w:firstLineChars="200"/>
              <w:rPr>
                <w:sz w:val="24"/>
              </w:rPr>
            </w:pPr>
          </w:p>
        </w:tc>
      </w:tr>
      <w:tr>
        <w:tblPrEx>
          <w:tblCellMar>
            <w:top w:w="15" w:type="dxa"/>
            <w:left w:w="15" w:type="dxa"/>
            <w:bottom w:w="15" w:type="dxa"/>
            <w:right w:w="15" w:type="dxa"/>
          </w:tblCellMar>
        </w:tblPrEx>
        <w:trPr>
          <w:trHeight w:val="465" w:hRule="atLeast"/>
        </w:trPr>
        <w:tc>
          <w:tcPr>
            <w:tcW w:w="212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480" w:firstLineChars="200"/>
              <w:rPr>
                <w:sz w:val="24"/>
              </w:rPr>
            </w:pPr>
          </w:p>
        </w:tc>
        <w:tc>
          <w:tcPr>
            <w:tcW w:w="347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line="360" w:lineRule="auto"/>
              <w:ind w:firstLine="480" w:firstLineChars="200"/>
              <w:textAlignment w:val="center"/>
              <w:rPr>
                <w:sz w:val="24"/>
              </w:rPr>
            </w:pPr>
            <w:r>
              <w:rPr>
                <w:kern w:val="0"/>
                <w:sz w:val="24"/>
              </w:rPr>
              <w:t>使命/愿景/核心价值观</w:t>
            </w:r>
          </w:p>
        </w:tc>
        <w:tc>
          <w:tcPr>
            <w:tcW w:w="30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360" w:lineRule="auto"/>
              <w:ind w:firstLine="480" w:firstLineChars="200"/>
              <w:rPr>
                <w:sz w:val="24"/>
              </w:rPr>
            </w:pPr>
          </w:p>
        </w:tc>
      </w:tr>
      <w:tr>
        <w:tblPrEx>
          <w:tblCellMar>
            <w:top w:w="15" w:type="dxa"/>
            <w:left w:w="15" w:type="dxa"/>
            <w:bottom w:w="15" w:type="dxa"/>
            <w:right w:w="15" w:type="dxa"/>
          </w:tblCellMar>
        </w:tblPrEx>
        <w:trPr>
          <w:trHeight w:val="465" w:hRule="atLeast"/>
        </w:trPr>
        <w:tc>
          <w:tcPr>
            <w:tcW w:w="212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480" w:firstLineChars="200"/>
              <w:rPr>
                <w:sz w:val="24"/>
              </w:rPr>
            </w:pPr>
          </w:p>
        </w:tc>
        <w:tc>
          <w:tcPr>
            <w:tcW w:w="347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line="360" w:lineRule="auto"/>
              <w:ind w:firstLine="480" w:firstLineChars="200"/>
              <w:textAlignment w:val="center"/>
              <w:rPr>
                <w:sz w:val="24"/>
              </w:rPr>
            </w:pPr>
            <w:r>
              <w:rPr>
                <w:kern w:val="0"/>
                <w:sz w:val="24"/>
              </w:rPr>
              <w:t>组织架构</w:t>
            </w:r>
          </w:p>
        </w:tc>
        <w:tc>
          <w:tcPr>
            <w:tcW w:w="30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360" w:lineRule="auto"/>
              <w:ind w:firstLine="480" w:firstLineChars="200"/>
              <w:rPr>
                <w:sz w:val="24"/>
              </w:rPr>
            </w:pPr>
          </w:p>
        </w:tc>
      </w:tr>
      <w:tr>
        <w:tblPrEx>
          <w:tblCellMar>
            <w:top w:w="15" w:type="dxa"/>
            <w:left w:w="15" w:type="dxa"/>
            <w:bottom w:w="15" w:type="dxa"/>
            <w:right w:w="15" w:type="dxa"/>
          </w:tblCellMar>
        </w:tblPrEx>
        <w:trPr>
          <w:trHeight w:val="465" w:hRule="atLeast"/>
        </w:trPr>
        <w:tc>
          <w:tcPr>
            <w:tcW w:w="212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480" w:firstLineChars="200"/>
              <w:rPr>
                <w:sz w:val="24"/>
              </w:rPr>
            </w:pPr>
          </w:p>
        </w:tc>
        <w:tc>
          <w:tcPr>
            <w:tcW w:w="347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line="360" w:lineRule="auto"/>
              <w:ind w:firstLine="480" w:firstLineChars="200"/>
              <w:textAlignment w:val="center"/>
              <w:rPr>
                <w:sz w:val="24"/>
              </w:rPr>
            </w:pPr>
            <w:r>
              <w:rPr>
                <w:kern w:val="0"/>
                <w:sz w:val="24"/>
              </w:rPr>
              <w:t>医疗设备</w:t>
            </w:r>
          </w:p>
        </w:tc>
        <w:tc>
          <w:tcPr>
            <w:tcW w:w="30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360" w:lineRule="auto"/>
              <w:ind w:firstLine="480" w:firstLineChars="200"/>
              <w:rPr>
                <w:sz w:val="24"/>
              </w:rPr>
            </w:pPr>
          </w:p>
        </w:tc>
      </w:tr>
      <w:tr>
        <w:tblPrEx>
          <w:tblCellMar>
            <w:top w:w="15" w:type="dxa"/>
            <w:left w:w="15" w:type="dxa"/>
            <w:bottom w:w="15" w:type="dxa"/>
            <w:right w:w="15" w:type="dxa"/>
          </w:tblCellMar>
        </w:tblPrEx>
        <w:trPr>
          <w:trHeight w:val="465" w:hRule="atLeast"/>
        </w:trPr>
        <w:tc>
          <w:tcPr>
            <w:tcW w:w="212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480" w:firstLineChars="200"/>
              <w:rPr>
                <w:sz w:val="24"/>
              </w:rPr>
            </w:pPr>
          </w:p>
        </w:tc>
        <w:tc>
          <w:tcPr>
            <w:tcW w:w="347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line="360" w:lineRule="auto"/>
              <w:ind w:firstLine="480" w:firstLineChars="200"/>
              <w:textAlignment w:val="center"/>
              <w:rPr>
                <w:sz w:val="24"/>
              </w:rPr>
            </w:pPr>
            <w:r>
              <w:rPr>
                <w:kern w:val="0"/>
                <w:sz w:val="24"/>
              </w:rPr>
              <w:t>医院环境</w:t>
            </w:r>
          </w:p>
        </w:tc>
        <w:tc>
          <w:tcPr>
            <w:tcW w:w="30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360" w:lineRule="auto"/>
              <w:ind w:firstLine="480" w:firstLineChars="200"/>
              <w:rPr>
                <w:sz w:val="24"/>
              </w:rPr>
            </w:pPr>
          </w:p>
        </w:tc>
      </w:tr>
      <w:tr>
        <w:tblPrEx>
          <w:tblCellMar>
            <w:top w:w="15" w:type="dxa"/>
            <w:left w:w="15" w:type="dxa"/>
            <w:bottom w:w="15" w:type="dxa"/>
            <w:right w:w="15" w:type="dxa"/>
          </w:tblCellMar>
        </w:tblPrEx>
        <w:trPr>
          <w:trHeight w:val="465" w:hRule="atLeast"/>
        </w:trPr>
        <w:tc>
          <w:tcPr>
            <w:tcW w:w="212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480" w:firstLineChars="200"/>
              <w:rPr>
                <w:sz w:val="24"/>
              </w:rPr>
            </w:pPr>
          </w:p>
        </w:tc>
        <w:tc>
          <w:tcPr>
            <w:tcW w:w="347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line="360" w:lineRule="auto"/>
              <w:ind w:firstLine="480" w:firstLineChars="200"/>
              <w:textAlignment w:val="center"/>
              <w:rPr>
                <w:sz w:val="24"/>
              </w:rPr>
            </w:pPr>
            <w:r>
              <w:rPr>
                <w:kern w:val="0"/>
                <w:sz w:val="24"/>
              </w:rPr>
              <w:t>医院历史</w:t>
            </w:r>
          </w:p>
        </w:tc>
        <w:tc>
          <w:tcPr>
            <w:tcW w:w="30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360" w:lineRule="auto"/>
              <w:ind w:firstLine="480" w:firstLineChars="200"/>
              <w:rPr>
                <w:sz w:val="24"/>
              </w:rPr>
            </w:pPr>
          </w:p>
        </w:tc>
      </w:tr>
      <w:tr>
        <w:tblPrEx>
          <w:tblCellMar>
            <w:top w:w="15" w:type="dxa"/>
            <w:left w:w="15" w:type="dxa"/>
            <w:bottom w:w="15" w:type="dxa"/>
            <w:right w:w="15" w:type="dxa"/>
          </w:tblCellMar>
        </w:tblPrEx>
        <w:trPr>
          <w:trHeight w:val="465" w:hRule="atLeast"/>
        </w:trPr>
        <w:tc>
          <w:tcPr>
            <w:tcW w:w="212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480" w:firstLineChars="200"/>
              <w:rPr>
                <w:sz w:val="24"/>
              </w:rPr>
            </w:pPr>
          </w:p>
        </w:tc>
        <w:tc>
          <w:tcPr>
            <w:tcW w:w="347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line="360" w:lineRule="auto"/>
              <w:ind w:firstLine="480" w:firstLineChars="200"/>
              <w:textAlignment w:val="center"/>
              <w:rPr>
                <w:sz w:val="24"/>
              </w:rPr>
            </w:pPr>
            <w:r>
              <w:rPr>
                <w:kern w:val="0"/>
                <w:sz w:val="24"/>
              </w:rPr>
              <w:t>院务公开</w:t>
            </w:r>
          </w:p>
        </w:tc>
        <w:tc>
          <w:tcPr>
            <w:tcW w:w="30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360" w:lineRule="auto"/>
              <w:ind w:firstLine="480" w:firstLineChars="200"/>
              <w:rPr>
                <w:sz w:val="24"/>
              </w:rPr>
            </w:pPr>
          </w:p>
        </w:tc>
      </w:tr>
      <w:tr>
        <w:tblPrEx>
          <w:tblCellMar>
            <w:top w:w="15" w:type="dxa"/>
            <w:left w:w="15" w:type="dxa"/>
            <w:bottom w:w="15" w:type="dxa"/>
            <w:right w:w="15" w:type="dxa"/>
          </w:tblCellMar>
        </w:tblPrEx>
        <w:trPr>
          <w:trHeight w:val="795" w:hRule="atLeast"/>
        </w:trPr>
        <w:tc>
          <w:tcPr>
            <w:tcW w:w="212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480" w:firstLineChars="200"/>
              <w:rPr>
                <w:sz w:val="24"/>
              </w:rPr>
            </w:pPr>
          </w:p>
        </w:tc>
        <w:tc>
          <w:tcPr>
            <w:tcW w:w="347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line="360" w:lineRule="auto"/>
              <w:ind w:firstLine="480" w:firstLineChars="200"/>
              <w:textAlignment w:val="center"/>
              <w:rPr>
                <w:sz w:val="24"/>
              </w:rPr>
            </w:pPr>
            <w:r>
              <w:rPr>
                <w:kern w:val="0"/>
                <w:sz w:val="24"/>
              </w:rPr>
              <w:t>执业登记</w:t>
            </w:r>
          </w:p>
        </w:tc>
        <w:tc>
          <w:tcPr>
            <w:tcW w:w="30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360" w:lineRule="auto"/>
              <w:ind w:firstLine="480" w:firstLineChars="200"/>
              <w:rPr>
                <w:sz w:val="24"/>
              </w:rPr>
            </w:pPr>
          </w:p>
        </w:tc>
      </w:tr>
      <w:tr>
        <w:tblPrEx>
          <w:tblCellMar>
            <w:top w:w="15" w:type="dxa"/>
            <w:left w:w="15" w:type="dxa"/>
            <w:bottom w:w="15" w:type="dxa"/>
            <w:right w:w="15" w:type="dxa"/>
          </w:tblCellMar>
        </w:tblPrEx>
        <w:trPr>
          <w:trHeight w:val="465" w:hRule="atLeast"/>
        </w:trPr>
        <w:tc>
          <w:tcPr>
            <w:tcW w:w="2122" w:type="dxa"/>
            <w:vMerge w:val="continue"/>
            <w:tcBorders>
              <w:top w:val="single" w:color="000000" w:sz="6" w:space="0"/>
              <w:left w:val="single" w:color="000000" w:sz="6" w:space="0"/>
              <w:bottom w:val="single" w:color="auto" w:sz="4" w:space="0"/>
              <w:right w:val="single" w:color="000000" w:sz="6" w:space="0"/>
            </w:tcBorders>
            <w:shd w:val="clear" w:color="auto" w:fill="auto"/>
            <w:vAlign w:val="center"/>
          </w:tcPr>
          <w:p>
            <w:pPr>
              <w:spacing w:line="360" w:lineRule="auto"/>
              <w:ind w:firstLine="480" w:firstLineChars="200"/>
              <w:rPr>
                <w:sz w:val="24"/>
              </w:rPr>
            </w:pPr>
          </w:p>
        </w:tc>
        <w:tc>
          <w:tcPr>
            <w:tcW w:w="3477" w:type="dxa"/>
            <w:tcBorders>
              <w:top w:val="single" w:color="000000" w:sz="6" w:space="0"/>
              <w:left w:val="single" w:color="000000" w:sz="6" w:space="0"/>
              <w:bottom w:val="single" w:color="auto" w:sz="4" w:space="0"/>
              <w:right w:val="single" w:color="000000" w:sz="6" w:space="0"/>
            </w:tcBorders>
            <w:shd w:val="clear" w:color="auto" w:fill="auto"/>
            <w:vAlign w:val="center"/>
          </w:tcPr>
          <w:p>
            <w:pPr>
              <w:widowControl/>
              <w:spacing w:line="360" w:lineRule="auto"/>
              <w:ind w:firstLine="480" w:firstLineChars="200"/>
              <w:textAlignment w:val="center"/>
              <w:rPr>
                <w:sz w:val="24"/>
              </w:rPr>
            </w:pPr>
            <w:r>
              <w:rPr>
                <w:kern w:val="0"/>
                <w:sz w:val="24"/>
              </w:rPr>
              <w:t>联系我们</w:t>
            </w:r>
          </w:p>
        </w:tc>
        <w:tc>
          <w:tcPr>
            <w:tcW w:w="3068" w:type="dxa"/>
            <w:tcBorders>
              <w:top w:val="single" w:color="000000" w:sz="6" w:space="0"/>
              <w:left w:val="single" w:color="000000" w:sz="6" w:space="0"/>
              <w:bottom w:val="single" w:color="auto" w:sz="4" w:space="0"/>
              <w:right w:val="single" w:color="000000" w:sz="6" w:space="0"/>
            </w:tcBorders>
            <w:shd w:val="clear" w:color="auto" w:fill="auto"/>
            <w:noWrap/>
            <w:vAlign w:val="center"/>
          </w:tcPr>
          <w:p>
            <w:pPr>
              <w:spacing w:line="360" w:lineRule="auto"/>
              <w:ind w:firstLine="480" w:firstLineChars="200"/>
              <w:rPr>
                <w:sz w:val="24"/>
              </w:rPr>
            </w:pPr>
          </w:p>
        </w:tc>
      </w:tr>
      <w:tr>
        <w:tblPrEx>
          <w:tblCellMar>
            <w:top w:w="15" w:type="dxa"/>
            <w:left w:w="15" w:type="dxa"/>
            <w:bottom w:w="15" w:type="dxa"/>
            <w:right w:w="15" w:type="dxa"/>
          </w:tblCellMar>
        </w:tblPrEx>
        <w:trPr>
          <w:trHeight w:val="420" w:hRule="atLeast"/>
        </w:trPr>
        <w:tc>
          <w:tcPr>
            <w:tcW w:w="21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textAlignment w:val="center"/>
              <w:rPr>
                <w:sz w:val="24"/>
              </w:rPr>
            </w:pPr>
            <w:r>
              <w:rPr>
                <w:kern w:val="0"/>
                <w:sz w:val="24"/>
              </w:rPr>
              <w:t>患者服务</w:t>
            </w:r>
          </w:p>
        </w:tc>
        <w:tc>
          <w:tcPr>
            <w:tcW w:w="34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textAlignment w:val="center"/>
              <w:rPr>
                <w:sz w:val="24"/>
              </w:rPr>
            </w:pPr>
            <w:r>
              <w:rPr>
                <w:kern w:val="0"/>
                <w:sz w:val="24"/>
              </w:rPr>
              <w:t>预约挂号</w:t>
            </w:r>
          </w:p>
        </w:tc>
        <w:tc>
          <w:tcPr>
            <w:tcW w:w="3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ind w:firstLine="480" w:firstLineChars="200"/>
              <w:textAlignment w:val="center"/>
              <w:rPr>
                <w:sz w:val="24"/>
              </w:rPr>
            </w:pPr>
            <w:r>
              <w:rPr>
                <w:kern w:val="0"/>
                <w:sz w:val="24"/>
              </w:rPr>
              <w:t>手机端预约</w:t>
            </w:r>
          </w:p>
        </w:tc>
      </w:tr>
      <w:tr>
        <w:tblPrEx>
          <w:tblCellMar>
            <w:top w:w="15" w:type="dxa"/>
            <w:left w:w="15" w:type="dxa"/>
            <w:bottom w:w="15" w:type="dxa"/>
            <w:right w:w="15" w:type="dxa"/>
          </w:tblCellMar>
        </w:tblPrEx>
        <w:trPr>
          <w:trHeight w:val="420" w:hRule="atLeast"/>
        </w:trPr>
        <w:tc>
          <w:tcPr>
            <w:tcW w:w="21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sz w:val="24"/>
              </w:rPr>
            </w:pPr>
          </w:p>
        </w:tc>
        <w:tc>
          <w:tcPr>
            <w:tcW w:w="34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sz w:val="24"/>
              </w:rPr>
            </w:pPr>
          </w:p>
        </w:tc>
        <w:tc>
          <w:tcPr>
            <w:tcW w:w="3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ind w:firstLine="480" w:firstLineChars="200"/>
              <w:textAlignment w:val="center"/>
              <w:rPr>
                <w:sz w:val="24"/>
              </w:rPr>
            </w:pPr>
            <w:r>
              <w:rPr>
                <w:kern w:val="0"/>
                <w:sz w:val="24"/>
              </w:rPr>
              <w:t>电话预约</w:t>
            </w:r>
          </w:p>
        </w:tc>
      </w:tr>
      <w:tr>
        <w:tblPrEx>
          <w:tblCellMar>
            <w:top w:w="15" w:type="dxa"/>
            <w:left w:w="15" w:type="dxa"/>
            <w:bottom w:w="15" w:type="dxa"/>
            <w:right w:w="15" w:type="dxa"/>
          </w:tblCellMar>
        </w:tblPrEx>
        <w:trPr>
          <w:trHeight w:val="420" w:hRule="atLeast"/>
        </w:trPr>
        <w:tc>
          <w:tcPr>
            <w:tcW w:w="21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sz w:val="24"/>
              </w:rPr>
            </w:pPr>
          </w:p>
        </w:tc>
        <w:tc>
          <w:tcPr>
            <w:tcW w:w="34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sz w:val="24"/>
              </w:rPr>
            </w:pPr>
          </w:p>
        </w:tc>
        <w:tc>
          <w:tcPr>
            <w:tcW w:w="3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ind w:firstLine="480" w:firstLineChars="200"/>
              <w:textAlignment w:val="center"/>
              <w:rPr>
                <w:sz w:val="24"/>
              </w:rPr>
            </w:pPr>
            <w:r>
              <w:rPr>
                <w:kern w:val="0"/>
                <w:sz w:val="24"/>
              </w:rPr>
              <w:t>现场预约</w:t>
            </w:r>
          </w:p>
        </w:tc>
      </w:tr>
      <w:tr>
        <w:tblPrEx>
          <w:tblCellMar>
            <w:top w:w="15" w:type="dxa"/>
            <w:left w:w="15" w:type="dxa"/>
            <w:bottom w:w="15" w:type="dxa"/>
            <w:right w:w="15" w:type="dxa"/>
          </w:tblCellMar>
        </w:tblPrEx>
        <w:trPr>
          <w:trHeight w:val="420" w:hRule="atLeast"/>
        </w:trPr>
        <w:tc>
          <w:tcPr>
            <w:tcW w:w="21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sz w:val="24"/>
              </w:rPr>
            </w:pPr>
          </w:p>
        </w:tc>
        <w:tc>
          <w:tcPr>
            <w:tcW w:w="34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sz w:val="24"/>
              </w:rPr>
            </w:pPr>
          </w:p>
        </w:tc>
        <w:tc>
          <w:tcPr>
            <w:tcW w:w="3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ind w:firstLine="480" w:firstLineChars="200"/>
              <w:textAlignment w:val="center"/>
              <w:rPr>
                <w:sz w:val="24"/>
              </w:rPr>
            </w:pPr>
            <w:r>
              <w:rPr>
                <w:kern w:val="0"/>
                <w:sz w:val="24"/>
              </w:rPr>
              <w:t>挂号须知</w:t>
            </w:r>
          </w:p>
        </w:tc>
      </w:tr>
      <w:tr>
        <w:tblPrEx>
          <w:tblCellMar>
            <w:top w:w="15" w:type="dxa"/>
            <w:left w:w="15" w:type="dxa"/>
            <w:bottom w:w="15" w:type="dxa"/>
            <w:right w:w="15" w:type="dxa"/>
          </w:tblCellMar>
        </w:tblPrEx>
        <w:trPr>
          <w:trHeight w:val="465" w:hRule="atLeast"/>
        </w:trPr>
        <w:tc>
          <w:tcPr>
            <w:tcW w:w="21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sz w:val="24"/>
              </w:rPr>
            </w:pPr>
          </w:p>
        </w:tc>
        <w:tc>
          <w:tcPr>
            <w:tcW w:w="34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textAlignment w:val="center"/>
              <w:rPr>
                <w:sz w:val="24"/>
              </w:rPr>
            </w:pPr>
            <w:r>
              <w:rPr>
                <w:kern w:val="0"/>
                <w:sz w:val="24"/>
              </w:rPr>
              <w:t>报告查询</w:t>
            </w:r>
          </w:p>
        </w:tc>
        <w:tc>
          <w:tcPr>
            <w:tcW w:w="306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480" w:firstLineChars="200"/>
              <w:rPr>
                <w:sz w:val="24"/>
              </w:rPr>
            </w:pPr>
          </w:p>
        </w:tc>
      </w:tr>
      <w:tr>
        <w:tblPrEx>
          <w:tblCellMar>
            <w:top w:w="15" w:type="dxa"/>
            <w:left w:w="15" w:type="dxa"/>
            <w:bottom w:w="15" w:type="dxa"/>
            <w:right w:w="15" w:type="dxa"/>
          </w:tblCellMar>
        </w:tblPrEx>
        <w:trPr>
          <w:trHeight w:val="465" w:hRule="atLeast"/>
        </w:trPr>
        <w:tc>
          <w:tcPr>
            <w:tcW w:w="21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sz w:val="24"/>
              </w:rPr>
            </w:pPr>
          </w:p>
        </w:tc>
        <w:tc>
          <w:tcPr>
            <w:tcW w:w="34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textAlignment w:val="center"/>
              <w:rPr>
                <w:sz w:val="24"/>
              </w:rPr>
            </w:pPr>
            <w:r>
              <w:rPr>
                <w:kern w:val="0"/>
                <w:sz w:val="24"/>
              </w:rPr>
              <w:t>价格查询</w:t>
            </w:r>
          </w:p>
        </w:tc>
        <w:tc>
          <w:tcPr>
            <w:tcW w:w="3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ind w:firstLine="480" w:firstLineChars="200"/>
              <w:textAlignment w:val="center"/>
              <w:rPr>
                <w:sz w:val="24"/>
              </w:rPr>
            </w:pPr>
            <w:r>
              <w:rPr>
                <w:kern w:val="0"/>
                <w:sz w:val="24"/>
              </w:rPr>
              <w:t>服务价格查询</w:t>
            </w:r>
          </w:p>
        </w:tc>
      </w:tr>
      <w:tr>
        <w:tblPrEx>
          <w:tblCellMar>
            <w:top w:w="15" w:type="dxa"/>
            <w:left w:w="15" w:type="dxa"/>
            <w:bottom w:w="15" w:type="dxa"/>
            <w:right w:w="15" w:type="dxa"/>
          </w:tblCellMar>
        </w:tblPrEx>
        <w:trPr>
          <w:trHeight w:val="465" w:hRule="atLeast"/>
        </w:trPr>
        <w:tc>
          <w:tcPr>
            <w:tcW w:w="21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sz w:val="24"/>
              </w:rPr>
            </w:pPr>
          </w:p>
        </w:tc>
        <w:tc>
          <w:tcPr>
            <w:tcW w:w="34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sz w:val="24"/>
              </w:rPr>
            </w:pPr>
          </w:p>
        </w:tc>
        <w:tc>
          <w:tcPr>
            <w:tcW w:w="3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ind w:firstLine="480" w:firstLineChars="200"/>
              <w:textAlignment w:val="center"/>
              <w:rPr>
                <w:sz w:val="24"/>
              </w:rPr>
            </w:pPr>
            <w:r>
              <w:rPr>
                <w:kern w:val="0"/>
                <w:sz w:val="24"/>
              </w:rPr>
              <w:t>药品价格查询</w:t>
            </w:r>
          </w:p>
        </w:tc>
      </w:tr>
      <w:tr>
        <w:tblPrEx>
          <w:tblCellMar>
            <w:top w:w="15" w:type="dxa"/>
            <w:left w:w="15" w:type="dxa"/>
            <w:bottom w:w="15" w:type="dxa"/>
            <w:right w:w="15" w:type="dxa"/>
          </w:tblCellMar>
        </w:tblPrEx>
        <w:trPr>
          <w:trHeight w:val="465" w:hRule="atLeast"/>
        </w:trPr>
        <w:tc>
          <w:tcPr>
            <w:tcW w:w="21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sz w:val="24"/>
              </w:rPr>
            </w:pPr>
          </w:p>
        </w:tc>
        <w:tc>
          <w:tcPr>
            <w:tcW w:w="34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sz w:val="24"/>
              </w:rPr>
            </w:pPr>
          </w:p>
        </w:tc>
        <w:tc>
          <w:tcPr>
            <w:tcW w:w="3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ind w:firstLine="480" w:firstLineChars="200"/>
              <w:textAlignment w:val="center"/>
              <w:rPr>
                <w:sz w:val="24"/>
              </w:rPr>
            </w:pPr>
            <w:r>
              <w:rPr>
                <w:kern w:val="0"/>
                <w:sz w:val="24"/>
              </w:rPr>
              <w:t>口腔材料价格查询</w:t>
            </w:r>
          </w:p>
        </w:tc>
      </w:tr>
      <w:tr>
        <w:tblPrEx>
          <w:tblCellMar>
            <w:top w:w="15" w:type="dxa"/>
            <w:left w:w="15" w:type="dxa"/>
            <w:bottom w:w="15" w:type="dxa"/>
            <w:right w:w="15" w:type="dxa"/>
          </w:tblCellMar>
        </w:tblPrEx>
        <w:trPr>
          <w:trHeight w:val="465" w:hRule="atLeast"/>
        </w:trPr>
        <w:tc>
          <w:tcPr>
            <w:tcW w:w="21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sz w:val="24"/>
              </w:rPr>
            </w:pPr>
          </w:p>
        </w:tc>
        <w:tc>
          <w:tcPr>
            <w:tcW w:w="34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textAlignment w:val="center"/>
              <w:rPr>
                <w:sz w:val="24"/>
              </w:rPr>
            </w:pPr>
            <w:r>
              <w:rPr>
                <w:kern w:val="0"/>
                <w:sz w:val="24"/>
              </w:rPr>
              <w:t>就诊指南</w:t>
            </w:r>
          </w:p>
        </w:tc>
        <w:tc>
          <w:tcPr>
            <w:tcW w:w="3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ind w:firstLine="480" w:firstLineChars="200"/>
              <w:textAlignment w:val="center"/>
              <w:rPr>
                <w:sz w:val="24"/>
              </w:rPr>
            </w:pPr>
            <w:r>
              <w:rPr>
                <w:kern w:val="0"/>
                <w:sz w:val="24"/>
              </w:rPr>
              <w:t>急诊指南</w:t>
            </w:r>
          </w:p>
        </w:tc>
      </w:tr>
      <w:tr>
        <w:tblPrEx>
          <w:tblCellMar>
            <w:top w:w="15" w:type="dxa"/>
            <w:left w:w="15" w:type="dxa"/>
            <w:bottom w:w="15" w:type="dxa"/>
            <w:right w:w="15" w:type="dxa"/>
          </w:tblCellMar>
        </w:tblPrEx>
        <w:trPr>
          <w:trHeight w:val="465" w:hRule="atLeast"/>
        </w:trPr>
        <w:tc>
          <w:tcPr>
            <w:tcW w:w="21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sz w:val="24"/>
              </w:rPr>
            </w:pPr>
          </w:p>
        </w:tc>
        <w:tc>
          <w:tcPr>
            <w:tcW w:w="34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sz w:val="24"/>
              </w:rPr>
            </w:pPr>
          </w:p>
        </w:tc>
        <w:tc>
          <w:tcPr>
            <w:tcW w:w="3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ind w:firstLine="480" w:firstLineChars="200"/>
              <w:textAlignment w:val="center"/>
              <w:rPr>
                <w:sz w:val="24"/>
              </w:rPr>
            </w:pPr>
            <w:r>
              <w:rPr>
                <w:kern w:val="0"/>
                <w:sz w:val="24"/>
              </w:rPr>
              <w:t>门诊指南</w:t>
            </w:r>
          </w:p>
        </w:tc>
      </w:tr>
      <w:tr>
        <w:tblPrEx>
          <w:tblCellMar>
            <w:top w:w="15" w:type="dxa"/>
            <w:left w:w="15" w:type="dxa"/>
            <w:bottom w:w="15" w:type="dxa"/>
            <w:right w:w="15" w:type="dxa"/>
          </w:tblCellMar>
        </w:tblPrEx>
        <w:trPr>
          <w:trHeight w:val="465" w:hRule="atLeast"/>
        </w:trPr>
        <w:tc>
          <w:tcPr>
            <w:tcW w:w="2122" w:type="dxa"/>
            <w:vMerge w:val="continue"/>
            <w:tcBorders>
              <w:top w:val="single" w:color="auto" w:sz="4" w:space="0"/>
              <w:left w:val="single" w:color="auto" w:sz="4" w:space="0"/>
              <w:bottom w:val="single" w:color="000000" w:sz="6" w:space="0"/>
              <w:right w:val="single" w:color="000000" w:sz="6" w:space="0"/>
            </w:tcBorders>
            <w:shd w:val="clear" w:color="auto" w:fill="auto"/>
            <w:vAlign w:val="center"/>
          </w:tcPr>
          <w:p>
            <w:pPr>
              <w:spacing w:line="360" w:lineRule="auto"/>
              <w:ind w:firstLine="480" w:firstLineChars="200"/>
              <w:rPr>
                <w:sz w:val="24"/>
              </w:rPr>
            </w:pPr>
          </w:p>
        </w:tc>
        <w:tc>
          <w:tcPr>
            <w:tcW w:w="3477" w:type="dxa"/>
            <w:vMerge w:val="continue"/>
            <w:tcBorders>
              <w:top w:val="single" w:color="auto" w:sz="4" w:space="0"/>
              <w:left w:val="single" w:color="000000" w:sz="6" w:space="0"/>
              <w:bottom w:val="single" w:color="000000" w:sz="6" w:space="0"/>
              <w:right w:val="single" w:color="000000" w:sz="6" w:space="0"/>
            </w:tcBorders>
            <w:shd w:val="clear" w:color="auto" w:fill="auto"/>
            <w:vAlign w:val="center"/>
          </w:tcPr>
          <w:p>
            <w:pPr>
              <w:spacing w:line="360" w:lineRule="auto"/>
              <w:ind w:firstLine="480" w:firstLineChars="200"/>
              <w:rPr>
                <w:sz w:val="24"/>
              </w:rPr>
            </w:pPr>
          </w:p>
        </w:tc>
        <w:tc>
          <w:tcPr>
            <w:tcW w:w="3068" w:type="dxa"/>
            <w:tcBorders>
              <w:top w:val="single" w:color="auto" w:sz="4" w:space="0"/>
              <w:left w:val="single" w:color="000000" w:sz="6" w:space="0"/>
              <w:bottom w:val="single" w:color="000000" w:sz="6" w:space="0"/>
              <w:right w:val="single" w:color="000000" w:sz="6" w:space="0"/>
            </w:tcBorders>
            <w:shd w:val="clear" w:color="auto" w:fill="auto"/>
            <w:noWrap/>
            <w:vAlign w:val="center"/>
          </w:tcPr>
          <w:p>
            <w:pPr>
              <w:widowControl/>
              <w:spacing w:line="360" w:lineRule="auto"/>
              <w:ind w:firstLine="480" w:firstLineChars="200"/>
              <w:textAlignment w:val="center"/>
              <w:rPr>
                <w:sz w:val="24"/>
              </w:rPr>
            </w:pPr>
            <w:r>
              <w:rPr>
                <w:kern w:val="0"/>
                <w:sz w:val="24"/>
              </w:rPr>
              <w:t>住院指南</w:t>
            </w:r>
          </w:p>
        </w:tc>
      </w:tr>
      <w:tr>
        <w:tblPrEx>
          <w:tblCellMar>
            <w:top w:w="15" w:type="dxa"/>
            <w:left w:w="15" w:type="dxa"/>
            <w:bottom w:w="15" w:type="dxa"/>
            <w:right w:w="15" w:type="dxa"/>
          </w:tblCellMar>
        </w:tblPrEx>
        <w:trPr>
          <w:trHeight w:val="465" w:hRule="atLeast"/>
        </w:trPr>
        <w:tc>
          <w:tcPr>
            <w:tcW w:w="2122" w:type="dxa"/>
            <w:vMerge w:val="continue"/>
            <w:tcBorders>
              <w:top w:val="single" w:color="000000" w:sz="6" w:space="0"/>
              <w:left w:val="single" w:color="auto" w:sz="4" w:space="0"/>
              <w:bottom w:val="single" w:color="000000" w:sz="6" w:space="0"/>
              <w:right w:val="single" w:color="000000" w:sz="6" w:space="0"/>
            </w:tcBorders>
            <w:shd w:val="clear" w:color="auto" w:fill="auto"/>
            <w:vAlign w:val="center"/>
          </w:tcPr>
          <w:p>
            <w:pPr>
              <w:spacing w:line="360" w:lineRule="auto"/>
              <w:ind w:firstLine="480" w:firstLineChars="200"/>
              <w:rPr>
                <w:sz w:val="24"/>
              </w:rPr>
            </w:pPr>
          </w:p>
        </w:tc>
        <w:tc>
          <w:tcPr>
            <w:tcW w:w="347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480" w:firstLineChars="200"/>
              <w:rPr>
                <w:sz w:val="24"/>
              </w:rPr>
            </w:pPr>
          </w:p>
        </w:tc>
        <w:tc>
          <w:tcPr>
            <w:tcW w:w="30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spacing w:line="360" w:lineRule="auto"/>
              <w:ind w:firstLine="480" w:firstLineChars="200"/>
              <w:textAlignment w:val="center"/>
              <w:rPr>
                <w:sz w:val="24"/>
              </w:rPr>
            </w:pPr>
            <w:r>
              <w:rPr>
                <w:kern w:val="0"/>
                <w:sz w:val="24"/>
              </w:rPr>
              <w:t>检查指南</w:t>
            </w:r>
          </w:p>
        </w:tc>
      </w:tr>
      <w:tr>
        <w:tblPrEx>
          <w:tblCellMar>
            <w:top w:w="15" w:type="dxa"/>
            <w:left w:w="15" w:type="dxa"/>
            <w:bottom w:w="15" w:type="dxa"/>
            <w:right w:w="15" w:type="dxa"/>
          </w:tblCellMar>
        </w:tblPrEx>
        <w:trPr>
          <w:trHeight w:val="465" w:hRule="atLeast"/>
        </w:trPr>
        <w:tc>
          <w:tcPr>
            <w:tcW w:w="2122" w:type="dxa"/>
            <w:vMerge w:val="continue"/>
            <w:tcBorders>
              <w:top w:val="single" w:color="000000" w:sz="6" w:space="0"/>
              <w:left w:val="single" w:color="auto" w:sz="4" w:space="0"/>
              <w:bottom w:val="single" w:color="000000" w:sz="6" w:space="0"/>
              <w:right w:val="single" w:color="000000" w:sz="6" w:space="0"/>
            </w:tcBorders>
            <w:shd w:val="clear" w:color="auto" w:fill="auto"/>
            <w:vAlign w:val="center"/>
          </w:tcPr>
          <w:p>
            <w:pPr>
              <w:spacing w:line="360" w:lineRule="auto"/>
              <w:ind w:firstLine="480" w:firstLineChars="200"/>
              <w:rPr>
                <w:sz w:val="24"/>
              </w:rPr>
            </w:pPr>
          </w:p>
        </w:tc>
        <w:tc>
          <w:tcPr>
            <w:tcW w:w="347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480" w:firstLineChars="200"/>
              <w:rPr>
                <w:sz w:val="24"/>
              </w:rPr>
            </w:pPr>
          </w:p>
        </w:tc>
        <w:tc>
          <w:tcPr>
            <w:tcW w:w="30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spacing w:line="360" w:lineRule="auto"/>
              <w:ind w:firstLine="480" w:firstLineChars="200"/>
              <w:textAlignment w:val="center"/>
              <w:rPr>
                <w:sz w:val="24"/>
              </w:rPr>
            </w:pPr>
            <w:r>
              <w:rPr>
                <w:kern w:val="0"/>
                <w:sz w:val="24"/>
              </w:rPr>
              <w:t>楼宇分布</w:t>
            </w:r>
          </w:p>
        </w:tc>
      </w:tr>
      <w:tr>
        <w:tblPrEx>
          <w:tblCellMar>
            <w:top w:w="15" w:type="dxa"/>
            <w:left w:w="15" w:type="dxa"/>
            <w:bottom w:w="15" w:type="dxa"/>
            <w:right w:w="15" w:type="dxa"/>
          </w:tblCellMar>
        </w:tblPrEx>
        <w:trPr>
          <w:trHeight w:val="465" w:hRule="atLeast"/>
        </w:trPr>
        <w:tc>
          <w:tcPr>
            <w:tcW w:w="2122" w:type="dxa"/>
            <w:vMerge w:val="continue"/>
            <w:tcBorders>
              <w:top w:val="single" w:color="000000" w:sz="6" w:space="0"/>
              <w:left w:val="single" w:color="auto" w:sz="4" w:space="0"/>
              <w:bottom w:val="single" w:color="000000" w:sz="6" w:space="0"/>
              <w:right w:val="single" w:color="000000" w:sz="6" w:space="0"/>
            </w:tcBorders>
            <w:shd w:val="clear" w:color="auto" w:fill="auto"/>
            <w:vAlign w:val="center"/>
          </w:tcPr>
          <w:p>
            <w:pPr>
              <w:spacing w:line="360" w:lineRule="auto"/>
              <w:ind w:firstLine="480" w:firstLineChars="200"/>
              <w:rPr>
                <w:sz w:val="24"/>
              </w:rPr>
            </w:pPr>
          </w:p>
        </w:tc>
        <w:tc>
          <w:tcPr>
            <w:tcW w:w="347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480" w:firstLineChars="200"/>
              <w:rPr>
                <w:sz w:val="24"/>
              </w:rPr>
            </w:pPr>
          </w:p>
        </w:tc>
        <w:tc>
          <w:tcPr>
            <w:tcW w:w="30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spacing w:line="360" w:lineRule="auto"/>
              <w:ind w:firstLine="480" w:firstLineChars="200"/>
              <w:textAlignment w:val="center"/>
              <w:rPr>
                <w:sz w:val="24"/>
              </w:rPr>
            </w:pPr>
            <w:r>
              <w:rPr>
                <w:kern w:val="0"/>
                <w:sz w:val="24"/>
              </w:rPr>
              <w:t>来院交通</w:t>
            </w:r>
          </w:p>
        </w:tc>
      </w:tr>
      <w:tr>
        <w:tblPrEx>
          <w:tblCellMar>
            <w:top w:w="15" w:type="dxa"/>
            <w:left w:w="15" w:type="dxa"/>
            <w:bottom w:w="15" w:type="dxa"/>
            <w:right w:w="15" w:type="dxa"/>
          </w:tblCellMar>
        </w:tblPrEx>
        <w:trPr>
          <w:trHeight w:val="465" w:hRule="atLeast"/>
        </w:trPr>
        <w:tc>
          <w:tcPr>
            <w:tcW w:w="2122" w:type="dxa"/>
            <w:vMerge w:val="continue"/>
            <w:tcBorders>
              <w:top w:val="single" w:color="000000" w:sz="6" w:space="0"/>
              <w:left w:val="single" w:color="auto" w:sz="4" w:space="0"/>
              <w:bottom w:val="single" w:color="000000" w:sz="6" w:space="0"/>
              <w:right w:val="single" w:color="000000" w:sz="6" w:space="0"/>
            </w:tcBorders>
            <w:shd w:val="clear" w:color="auto" w:fill="auto"/>
            <w:vAlign w:val="center"/>
          </w:tcPr>
          <w:p>
            <w:pPr>
              <w:spacing w:line="360" w:lineRule="auto"/>
              <w:ind w:firstLine="480" w:firstLineChars="200"/>
              <w:rPr>
                <w:sz w:val="24"/>
              </w:rPr>
            </w:pPr>
          </w:p>
        </w:tc>
        <w:tc>
          <w:tcPr>
            <w:tcW w:w="347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480" w:firstLineChars="200"/>
              <w:rPr>
                <w:sz w:val="24"/>
              </w:rPr>
            </w:pPr>
          </w:p>
        </w:tc>
        <w:tc>
          <w:tcPr>
            <w:tcW w:w="3068" w:type="dxa"/>
            <w:tcBorders>
              <w:top w:val="single" w:color="000000" w:sz="6" w:space="0"/>
              <w:left w:val="single" w:color="000000" w:sz="6" w:space="0"/>
              <w:bottom w:val="single" w:color="DEE0E3" w:sz="6" w:space="0"/>
              <w:right w:val="single" w:color="000000" w:sz="6" w:space="0"/>
            </w:tcBorders>
            <w:shd w:val="clear" w:color="auto" w:fill="auto"/>
            <w:noWrap/>
            <w:vAlign w:val="center"/>
          </w:tcPr>
          <w:p>
            <w:pPr>
              <w:widowControl/>
              <w:spacing w:line="360" w:lineRule="auto"/>
              <w:ind w:firstLine="480" w:firstLineChars="200"/>
              <w:textAlignment w:val="center"/>
              <w:rPr>
                <w:sz w:val="24"/>
              </w:rPr>
            </w:pPr>
            <w:r>
              <w:rPr>
                <w:kern w:val="0"/>
                <w:sz w:val="24"/>
              </w:rPr>
              <w:t>医保政策</w:t>
            </w:r>
          </w:p>
        </w:tc>
      </w:tr>
      <w:tr>
        <w:tblPrEx>
          <w:tblCellMar>
            <w:top w:w="15" w:type="dxa"/>
            <w:left w:w="15" w:type="dxa"/>
            <w:bottom w:w="15" w:type="dxa"/>
            <w:right w:w="15" w:type="dxa"/>
          </w:tblCellMar>
        </w:tblPrEx>
        <w:trPr>
          <w:trHeight w:val="465" w:hRule="atLeast"/>
        </w:trPr>
        <w:tc>
          <w:tcPr>
            <w:tcW w:w="2122" w:type="dxa"/>
            <w:vMerge w:val="continue"/>
            <w:tcBorders>
              <w:top w:val="single" w:color="000000" w:sz="6" w:space="0"/>
              <w:left w:val="single" w:color="auto" w:sz="4" w:space="0"/>
              <w:bottom w:val="single" w:color="000000" w:sz="6" w:space="0"/>
              <w:right w:val="single" w:color="000000" w:sz="6" w:space="0"/>
            </w:tcBorders>
            <w:shd w:val="clear" w:color="auto" w:fill="auto"/>
            <w:vAlign w:val="center"/>
          </w:tcPr>
          <w:p>
            <w:pPr>
              <w:spacing w:line="360" w:lineRule="auto"/>
              <w:ind w:firstLine="480" w:firstLineChars="200"/>
              <w:rPr>
                <w:sz w:val="24"/>
              </w:rPr>
            </w:pPr>
          </w:p>
        </w:tc>
        <w:tc>
          <w:tcPr>
            <w:tcW w:w="3477" w:type="dxa"/>
            <w:tcBorders>
              <w:top w:val="single" w:color="1F2329" w:sz="6" w:space="0"/>
              <w:left w:val="single" w:color="1F2329" w:sz="6" w:space="0"/>
              <w:bottom w:val="single" w:color="1F2329" w:sz="6" w:space="0"/>
              <w:right w:val="single" w:color="1F2329" w:sz="6" w:space="0"/>
            </w:tcBorders>
            <w:shd w:val="clear" w:color="auto" w:fill="auto"/>
            <w:vAlign w:val="center"/>
          </w:tcPr>
          <w:p>
            <w:pPr>
              <w:widowControl/>
              <w:spacing w:line="360" w:lineRule="auto"/>
              <w:ind w:firstLine="480" w:firstLineChars="200"/>
              <w:textAlignment w:val="center"/>
              <w:rPr>
                <w:sz w:val="24"/>
              </w:rPr>
            </w:pPr>
            <w:r>
              <w:rPr>
                <w:kern w:val="0"/>
                <w:sz w:val="24"/>
              </w:rPr>
              <w:t>体检预约</w:t>
            </w:r>
          </w:p>
        </w:tc>
        <w:tc>
          <w:tcPr>
            <w:tcW w:w="3068" w:type="dxa"/>
            <w:tcBorders>
              <w:top w:val="single" w:color="1F2329" w:sz="6" w:space="0"/>
              <w:left w:val="single" w:color="1F2329" w:sz="6" w:space="0"/>
              <w:bottom w:val="single" w:color="1F2329" w:sz="6" w:space="0"/>
              <w:right w:val="single" w:color="1F2329" w:sz="6" w:space="0"/>
            </w:tcBorders>
            <w:shd w:val="clear" w:color="auto" w:fill="auto"/>
            <w:noWrap/>
            <w:vAlign w:val="center"/>
          </w:tcPr>
          <w:p>
            <w:pPr>
              <w:spacing w:line="360" w:lineRule="auto"/>
              <w:ind w:firstLine="480" w:firstLineChars="200"/>
              <w:rPr>
                <w:sz w:val="24"/>
              </w:rPr>
            </w:pPr>
          </w:p>
        </w:tc>
      </w:tr>
      <w:tr>
        <w:tblPrEx>
          <w:tblCellMar>
            <w:top w:w="15" w:type="dxa"/>
            <w:left w:w="15" w:type="dxa"/>
            <w:bottom w:w="15" w:type="dxa"/>
            <w:right w:w="15" w:type="dxa"/>
          </w:tblCellMar>
        </w:tblPrEx>
        <w:trPr>
          <w:trHeight w:val="795" w:hRule="atLeast"/>
        </w:trPr>
        <w:tc>
          <w:tcPr>
            <w:tcW w:w="2122" w:type="dxa"/>
            <w:vMerge w:val="continue"/>
            <w:tcBorders>
              <w:top w:val="single" w:color="000000" w:sz="6" w:space="0"/>
              <w:left w:val="single" w:color="auto" w:sz="4" w:space="0"/>
              <w:bottom w:val="single" w:color="000000" w:sz="6" w:space="0"/>
              <w:right w:val="single" w:color="000000" w:sz="6" w:space="0"/>
            </w:tcBorders>
            <w:shd w:val="clear" w:color="auto" w:fill="auto"/>
            <w:vAlign w:val="center"/>
          </w:tcPr>
          <w:p>
            <w:pPr>
              <w:spacing w:line="360" w:lineRule="auto"/>
              <w:ind w:firstLine="480" w:firstLineChars="200"/>
              <w:rPr>
                <w:sz w:val="24"/>
              </w:rPr>
            </w:pPr>
          </w:p>
        </w:tc>
        <w:tc>
          <w:tcPr>
            <w:tcW w:w="3477" w:type="dxa"/>
            <w:tcBorders>
              <w:top w:val="single" w:color="1F2329" w:sz="6" w:space="0"/>
              <w:left w:val="single" w:color="1F2329" w:sz="6" w:space="0"/>
              <w:bottom w:val="single" w:color="1F2329" w:sz="6" w:space="0"/>
              <w:right w:val="single" w:color="1F2329" w:sz="6" w:space="0"/>
            </w:tcBorders>
            <w:shd w:val="clear" w:color="auto" w:fill="auto"/>
            <w:vAlign w:val="center"/>
          </w:tcPr>
          <w:p>
            <w:pPr>
              <w:widowControl/>
              <w:spacing w:line="360" w:lineRule="auto"/>
              <w:ind w:firstLine="480" w:firstLineChars="200"/>
              <w:textAlignment w:val="center"/>
              <w:rPr>
                <w:sz w:val="24"/>
              </w:rPr>
            </w:pPr>
            <w:r>
              <w:rPr>
                <w:kern w:val="0"/>
                <w:sz w:val="24"/>
              </w:rPr>
              <w:t>反馈&amp;投诉</w:t>
            </w:r>
          </w:p>
        </w:tc>
        <w:tc>
          <w:tcPr>
            <w:tcW w:w="3068" w:type="dxa"/>
            <w:tcBorders>
              <w:top w:val="single" w:color="1F2329" w:sz="6" w:space="0"/>
              <w:left w:val="single" w:color="1F2329" w:sz="6" w:space="0"/>
              <w:bottom w:val="single" w:color="1F2329" w:sz="6" w:space="0"/>
              <w:right w:val="single" w:color="1F2329" w:sz="6" w:space="0"/>
            </w:tcBorders>
            <w:shd w:val="clear" w:color="auto" w:fill="auto"/>
            <w:noWrap/>
            <w:vAlign w:val="center"/>
          </w:tcPr>
          <w:p>
            <w:pPr>
              <w:spacing w:line="360" w:lineRule="auto"/>
              <w:ind w:firstLine="480" w:firstLineChars="200"/>
              <w:rPr>
                <w:sz w:val="24"/>
              </w:rPr>
            </w:pPr>
          </w:p>
        </w:tc>
      </w:tr>
      <w:tr>
        <w:tblPrEx>
          <w:tblCellMar>
            <w:top w:w="15" w:type="dxa"/>
            <w:left w:w="15" w:type="dxa"/>
            <w:bottom w:w="15" w:type="dxa"/>
            <w:right w:w="15" w:type="dxa"/>
          </w:tblCellMar>
        </w:tblPrEx>
        <w:trPr>
          <w:trHeight w:val="465" w:hRule="atLeast"/>
        </w:trPr>
        <w:tc>
          <w:tcPr>
            <w:tcW w:w="2122" w:type="dxa"/>
            <w:vMerge w:val="continue"/>
            <w:tcBorders>
              <w:top w:val="single" w:color="000000" w:sz="6" w:space="0"/>
              <w:left w:val="single" w:color="auto" w:sz="4" w:space="0"/>
              <w:bottom w:val="single" w:color="000000" w:sz="6" w:space="0"/>
              <w:right w:val="single" w:color="000000" w:sz="6" w:space="0"/>
            </w:tcBorders>
            <w:shd w:val="clear" w:color="auto" w:fill="auto"/>
            <w:vAlign w:val="center"/>
          </w:tcPr>
          <w:p>
            <w:pPr>
              <w:spacing w:line="360" w:lineRule="auto"/>
              <w:ind w:firstLine="480" w:firstLineChars="200"/>
              <w:rPr>
                <w:sz w:val="24"/>
              </w:rPr>
            </w:pPr>
          </w:p>
        </w:tc>
        <w:tc>
          <w:tcPr>
            <w:tcW w:w="3477" w:type="dxa"/>
            <w:tcBorders>
              <w:top w:val="single" w:color="1F2329" w:sz="6" w:space="0"/>
              <w:left w:val="single" w:color="1F2329" w:sz="6" w:space="0"/>
              <w:bottom w:val="single" w:color="1F2329" w:sz="6" w:space="0"/>
              <w:right w:val="single" w:color="1F2329" w:sz="6" w:space="0"/>
            </w:tcBorders>
            <w:shd w:val="clear" w:color="auto" w:fill="auto"/>
            <w:vAlign w:val="center"/>
          </w:tcPr>
          <w:p>
            <w:pPr>
              <w:widowControl/>
              <w:spacing w:line="360" w:lineRule="auto"/>
              <w:ind w:firstLine="480" w:firstLineChars="200"/>
              <w:textAlignment w:val="center"/>
              <w:rPr>
                <w:sz w:val="24"/>
              </w:rPr>
            </w:pPr>
            <w:r>
              <w:rPr>
                <w:kern w:val="0"/>
                <w:sz w:val="24"/>
              </w:rPr>
              <w:t>病历复印</w:t>
            </w:r>
          </w:p>
        </w:tc>
        <w:tc>
          <w:tcPr>
            <w:tcW w:w="3068" w:type="dxa"/>
            <w:tcBorders>
              <w:top w:val="single" w:color="1F2329" w:sz="6" w:space="0"/>
              <w:left w:val="single" w:color="1F2329" w:sz="6" w:space="0"/>
              <w:bottom w:val="single" w:color="1F2329" w:sz="6" w:space="0"/>
              <w:right w:val="single" w:color="1F2329" w:sz="6" w:space="0"/>
            </w:tcBorders>
            <w:shd w:val="clear" w:color="auto" w:fill="auto"/>
            <w:noWrap/>
            <w:vAlign w:val="center"/>
          </w:tcPr>
          <w:p>
            <w:pPr>
              <w:spacing w:line="360" w:lineRule="auto"/>
              <w:ind w:firstLine="480" w:firstLineChars="200"/>
              <w:rPr>
                <w:sz w:val="24"/>
              </w:rPr>
            </w:pPr>
          </w:p>
        </w:tc>
      </w:tr>
      <w:tr>
        <w:tblPrEx>
          <w:tblCellMar>
            <w:top w:w="15" w:type="dxa"/>
            <w:left w:w="15" w:type="dxa"/>
            <w:bottom w:w="15" w:type="dxa"/>
            <w:right w:w="15" w:type="dxa"/>
          </w:tblCellMar>
        </w:tblPrEx>
        <w:trPr>
          <w:trHeight w:val="465" w:hRule="atLeast"/>
        </w:trPr>
        <w:tc>
          <w:tcPr>
            <w:tcW w:w="2122" w:type="dxa"/>
            <w:vMerge w:val="continue"/>
            <w:tcBorders>
              <w:top w:val="single" w:color="000000" w:sz="6" w:space="0"/>
              <w:left w:val="single" w:color="auto" w:sz="4" w:space="0"/>
              <w:bottom w:val="single" w:color="000000" w:sz="6" w:space="0"/>
              <w:right w:val="single" w:color="000000" w:sz="6" w:space="0"/>
            </w:tcBorders>
            <w:shd w:val="clear" w:color="auto" w:fill="auto"/>
            <w:vAlign w:val="center"/>
          </w:tcPr>
          <w:p>
            <w:pPr>
              <w:spacing w:line="360" w:lineRule="auto"/>
              <w:ind w:firstLine="480" w:firstLineChars="200"/>
              <w:rPr>
                <w:sz w:val="24"/>
              </w:rPr>
            </w:pPr>
          </w:p>
        </w:tc>
        <w:tc>
          <w:tcPr>
            <w:tcW w:w="3477" w:type="dxa"/>
            <w:tcBorders>
              <w:top w:val="single" w:color="1F2329" w:sz="6" w:space="0"/>
              <w:left w:val="single" w:color="1F2329" w:sz="6" w:space="0"/>
              <w:bottom w:val="single" w:color="1F2329" w:sz="6" w:space="0"/>
              <w:right w:val="single" w:color="1F2329" w:sz="6" w:space="0"/>
            </w:tcBorders>
            <w:shd w:val="clear" w:color="auto" w:fill="auto"/>
            <w:vAlign w:val="center"/>
          </w:tcPr>
          <w:p>
            <w:pPr>
              <w:widowControl/>
              <w:spacing w:line="360" w:lineRule="auto"/>
              <w:ind w:firstLine="480" w:firstLineChars="200"/>
              <w:textAlignment w:val="center"/>
              <w:rPr>
                <w:sz w:val="24"/>
              </w:rPr>
            </w:pPr>
            <w:r>
              <w:rPr>
                <w:kern w:val="0"/>
                <w:sz w:val="24"/>
              </w:rPr>
              <w:t>健康宣教</w:t>
            </w:r>
          </w:p>
        </w:tc>
        <w:tc>
          <w:tcPr>
            <w:tcW w:w="3068" w:type="dxa"/>
            <w:tcBorders>
              <w:top w:val="single" w:color="1F2329" w:sz="6" w:space="0"/>
              <w:left w:val="single" w:color="1F2329" w:sz="6" w:space="0"/>
              <w:bottom w:val="single" w:color="1F2329" w:sz="6" w:space="0"/>
              <w:right w:val="single" w:color="1F2329" w:sz="6" w:space="0"/>
            </w:tcBorders>
            <w:shd w:val="clear" w:color="auto" w:fill="auto"/>
            <w:noWrap/>
            <w:vAlign w:val="center"/>
          </w:tcPr>
          <w:p>
            <w:pPr>
              <w:spacing w:line="360" w:lineRule="auto"/>
              <w:ind w:firstLine="480" w:firstLineChars="200"/>
              <w:rPr>
                <w:sz w:val="24"/>
              </w:rPr>
            </w:pPr>
          </w:p>
        </w:tc>
      </w:tr>
      <w:tr>
        <w:tblPrEx>
          <w:tblCellMar>
            <w:top w:w="15" w:type="dxa"/>
            <w:left w:w="15" w:type="dxa"/>
            <w:bottom w:w="15" w:type="dxa"/>
            <w:right w:w="15" w:type="dxa"/>
          </w:tblCellMar>
        </w:tblPrEx>
        <w:trPr>
          <w:trHeight w:val="465" w:hRule="atLeast"/>
        </w:trPr>
        <w:tc>
          <w:tcPr>
            <w:tcW w:w="2122" w:type="dxa"/>
            <w:vMerge w:val="continue"/>
            <w:tcBorders>
              <w:top w:val="single" w:color="000000" w:sz="6" w:space="0"/>
              <w:left w:val="single" w:color="auto" w:sz="4" w:space="0"/>
              <w:bottom w:val="single" w:color="000000" w:sz="6" w:space="0"/>
              <w:right w:val="single" w:color="000000" w:sz="6" w:space="0"/>
            </w:tcBorders>
            <w:shd w:val="clear" w:color="auto" w:fill="auto"/>
            <w:vAlign w:val="center"/>
          </w:tcPr>
          <w:p>
            <w:pPr>
              <w:spacing w:line="360" w:lineRule="auto"/>
              <w:ind w:firstLine="480" w:firstLineChars="200"/>
              <w:rPr>
                <w:sz w:val="24"/>
              </w:rPr>
            </w:pPr>
          </w:p>
        </w:tc>
        <w:tc>
          <w:tcPr>
            <w:tcW w:w="3477" w:type="dxa"/>
            <w:tcBorders>
              <w:top w:val="single" w:color="1F2329" w:sz="6" w:space="0"/>
              <w:left w:val="single" w:color="1F2329" w:sz="6" w:space="0"/>
              <w:bottom w:val="single" w:color="1F2329" w:sz="6" w:space="0"/>
              <w:right w:val="single" w:color="1F2329" w:sz="6" w:space="0"/>
            </w:tcBorders>
            <w:shd w:val="clear" w:color="auto" w:fill="auto"/>
            <w:vAlign w:val="center"/>
          </w:tcPr>
          <w:p>
            <w:pPr>
              <w:widowControl/>
              <w:spacing w:line="360" w:lineRule="auto"/>
              <w:ind w:firstLine="480" w:firstLineChars="200"/>
              <w:textAlignment w:val="center"/>
              <w:rPr>
                <w:sz w:val="24"/>
              </w:rPr>
            </w:pPr>
            <w:r>
              <w:rPr>
                <w:kern w:val="0"/>
                <w:sz w:val="24"/>
              </w:rPr>
              <w:t>医保政策</w:t>
            </w:r>
          </w:p>
        </w:tc>
        <w:tc>
          <w:tcPr>
            <w:tcW w:w="3068" w:type="dxa"/>
            <w:tcBorders>
              <w:top w:val="single" w:color="1F2329" w:sz="6" w:space="0"/>
              <w:left w:val="single" w:color="1F2329" w:sz="6" w:space="0"/>
              <w:bottom w:val="single" w:color="1F2329" w:sz="6" w:space="0"/>
              <w:right w:val="single" w:color="1F2329" w:sz="6" w:space="0"/>
            </w:tcBorders>
            <w:shd w:val="clear" w:color="auto" w:fill="auto"/>
            <w:noWrap/>
            <w:vAlign w:val="center"/>
          </w:tcPr>
          <w:p>
            <w:pPr>
              <w:spacing w:line="360" w:lineRule="auto"/>
              <w:ind w:firstLine="480" w:firstLineChars="200"/>
              <w:rPr>
                <w:sz w:val="24"/>
              </w:rPr>
            </w:pPr>
          </w:p>
        </w:tc>
      </w:tr>
      <w:tr>
        <w:tblPrEx>
          <w:tblCellMar>
            <w:top w:w="15" w:type="dxa"/>
            <w:left w:w="15" w:type="dxa"/>
            <w:bottom w:w="15" w:type="dxa"/>
            <w:right w:w="15" w:type="dxa"/>
          </w:tblCellMar>
        </w:tblPrEx>
        <w:trPr>
          <w:trHeight w:val="465" w:hRule="atLeast"/>
        </w:trPr>
        <w:tc>
          <w:tcPr>
            <w:tcW w:w="2122" w:type="dxa"/>
            <w:vMerge w:val="continue"/>
            <w:tcBorders>
              <w:top w:val="single" w:color="000000" w:sz="6" w:space="0"/>
              <w:left w:val="single" w:color="auto" w:sz="4" w:space="0"/>
              <w:bottom w:val="single" w:color="auto" w:sz="4" w:space="0"/>
              <w:right w:val="single" w:color="000000" w:sz="6" w:space="0"/>
            </w:tcBorders>
            <w:shd w:val="clear" w:color="auto" w:fill="auto"/>
            <w:vAlign w:val="center"/>
          </w:tcPr>
          <w:p>
            <w:pPr>
              <w:spacing w:line="360" w:lineRule="auto"/>
              <w:ind w:firstLine="480" w:firstLineChars="200"/>
              <w:rPr>
                <w:sz w:val="24"/>
              </w:rPr>
            </w:pPr>
          </w:p>
        </w:tc>
        <w:tc>
          <w:tcPr>
            <w:tcW w:w="3477" w:type="dxa"/>
            <w:tcBorders>
              <w:top w:val="single" w:color="1F2329" w:sz="6" w:space="0"/>
              <w:left w:val="single" w:color="1F2329" w:sz="6" w:space="0"/>
              <w:bottom w:val="single" w:color="auto" w:sz="4" w:space="0"/>
              <w:right w:val="single" w:color="1F2329" w:sz="6" w:space="0"/>
            </w:tcBorders>
            <w:shd w:val="clear" w:color="auto" w:fill="auto"/>
            <w:vAlign w:val="center"/>
          </w:tcPr>
          <w:p>
            <w:pPr>
              <w:widowControl/>
              <w:spacing w:line="360" w:lineRule="auto"/>
              <w:ind w:firstLine="480" w:firstLineChars="200"/>
              <w:textAlignment w:val="center"/>
              <w:rPr>
                <w:sz w:val="24"/>
              </w:rPr>
            </w:pPr>
            <w:r>
              <w:rPr>
                <w:kern w:val="0"/>
                <w:sz w:val="24"/>
              </w:rPr>
              <w:t>楼宇分布</w:t>
            </w:r>
          </w:p>
        </w:tc>
        <w:tc>
          <w:tcPr>
            <w:tcW w:w="3068" w:type="dxa"/>
            <w:tcBorders>
              <w:top w:val="single" w:color="1F2329" w:sz="6" w:space="0"/>
              <w:left w:val="single" w:color="1F2329" w:sz="6" w:space="0"/>
              <w:bottom w:val="single" w:color="auto" w:sz="4" w:space="0"/>
              <w:right w:val="single" w:color="1F2329" w:sz="6" w:space="0"/>
            </w:tcBorders>
            <w:shd w:val="clear" w:color="auto" w:fill="auto"/>
            <w:noWrap/>
            <w:vAlign w:val="center"/>
          </w:tcPr>
          <w:p>
            <w:pPr>
              <w:spacing w:line="360" w:lineRule="auto"/>
              <w:ind w:firstLine="480" w:firstLineChars="200"/>
              <w:rPr>
                <w:sz w:val="24"/>
              </w:rPr>
            </w:pPr>
          </w:p>
        </w:tc>
      </w:tr>
      <w:tr>
        <w:tblPrEx>
          <w:tblCellMar>
            <w:top w:w="15" w:type="dxa"/>
            <w:left w:w="15" w:type="dxa"/>
            <w:bottom w:w="15" w:type="dxa"/>
            <w:right w:w="15" w:type="dxa"/>
          </w:tblCellMar>
        </w:tblPrEx>
        <w:trPr>
          <w:trHeight w:val="465" w:hRule="atLeast"/>
        </w:trPr>
        <w:tc>
          <w:tcPr>
            <w:tcW w:w="21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textAlignment w:val="center"/>
              <w:rPr>
                <w:sz w:val="24"/>
              </w:rPr>
            </w:pPr>
            <w:r>
              <w:rPr>
                <w:kern w:val="0"/>
                <w:sz w:val="24"/>
              </w:rPr>
              <w:t>特色诊疗</w:t>
            </w:r>
          </w:p>
        </w:tc>
        <w:tc>
          <w:tcPr>
            <w:tcW w:w="34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ind w:firstLine="480" w:firstLineChars="200"/>
              <w:textAlignment w:val="center"/>
              <w:rPr>
                <w:sz w:val="24"/>
              </w:rPr>
            </w:pPr>
            <w:r>
              <w:rPr>
                <w:kern w:val="0"/>
                <w:sz w:val="24"/>
              </w:rPr>
              <w:t>科室导航</w:t>
            </w:r>
          </w:p>
        </w:tc>
        <w:tc>
          <w:tcPr>
            <w:tcW w:w="306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480" w:firstLineChars="200"/>
              <w:rPr>
                <w:sz w:val="24"/>
              </w:rPr>
            </w:pPr>
          </w:p>
        </w:tc>
      </w:tr>
      <w:tr>
        <w:tblPrEx>
          <w:tblCellMar>
            <w:top w:w="15" w:type="dxa"/>
            <w:left w:w="15" w:type="dxa"/>
            <w:bottom w:w="15" w:type="dxa"/>
            <w:right w:w="15" w:type="dxa"/>
          </w:tblCellMar>
        </w:tblPrEx>
        <w:trPr>
          <w:trHeight w:val="465" w:hRule="atLeast"/>
        </w:trPr>
        <w:tc>
          <w:tcPr>
            <w:tcW w:w="21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sz w:val="24"/>
              </w:rPr>
            </w:pPr>
          </w:p>
        </w:tc>
        <w:tc>
          <w:tcPr>
            <w:tcW w:w="34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ind w:firstLine="480" w:firstLineChars="200"/>
              <w:textAlignment w:val="center"/>
              <w:rPr>
                <w:sz w:val="24"/>
              </w:rPr>
            </w:pPr>
            <w:r>
              <w:rPr>
                <w:kern w:val="0"/>
                <w:sz w:val="24"/>
              </w:rPr>
              <w:t>专家出诊信息</w:t>
            </w:r>
          </w:p>
        </w:tc>
        <w:tc>
          <w:tcPr>
            <w:tcW w:w="306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480" w:firstLineChars="200"/>
              <w:rPr>
                <w:sz w:val="24"/>
              </w:rPr>
            </w:pPr>
          </w:p>
        </w:tc>
      </w:tr>
      <w:tr>
        <w:tblPrEx>
          <w:tblCellMar>
            <w:top w:w="15" w:type="dxa"/>
            <w:left w:w="15" w:type="dxa"/>
            <w:bottom w:w="15" w:type="dxa"/>
            <w:right w:w="15" w:type="dxa"/>
          </w:tblCellMar>
        </w:tblPrEx>
        <w:trPr>
          <w:trHeight w:val="465" w:hRule="atLeast"/>
        </w:trPr>
        <w:tc>
          <w:tcPr>
            <w:tcW w:w="2122" w:type="dxa"/>
            <w:vMerge w:val="continue"/>
            <w:tcBorders>
              <w:top w:val="single" w:color="auto" w:sz="4" w:space="0"/>
              <w:left w:val="single" w:color="auto" w:sz="4" w:space="0"/>
              <w:bottom w:val="single" w:color="000000" w:sz="6" w:space="0"/>
              <w:right w:val="single" w:color="000000" w:sz="6" w:space="0"/>
            </w:tcBorders>
            <w:shd w:val="clear" w:color="auto" w:fill="auto"/>
            <w:vAlign w:val="center"/>
          </w:tcPr>
          <w:p>
            <w:pPr>
              <w:spacing w:line="360" w:lineRule="auto"/>
              <w:ind w:firstLine="480" w:firstLineChars="200"/>
              <w:rPr>
                <w:sz w:val="24"/>
              </w:rPr>
            </w:pPr>
          </w:p>
        </w:tc>
        <w:tc>
          <w:tcPr>
            <w:tcW w:w="3477" w:type="dxa"/>
            <w:tcBorders>
              <w:top w:val="single" w:color="auto" w:sz="4" w:space="0"/>
              <w:left w:val="single" w:color="000000" w:sz="6" w:space="0"/>
              <w:bottom w:val="single" w:color="000000" w:sz="6" w:space="0"/>
              <w:right w:val="single" w:color="000000" w:sz="6" w:space="0"/>
            </w:tcBorders>
            <w:shd w:val="clear" w:color="auto" w:fill="auto"/>
            <w:noWrap/>
            <w:vAlign w:val="center"/>
          </w:tcPr>
          <w:p>
            <w:pPr>
              <w:widowControl/>
              <w:spacing w:line="360" w:lineRule="auto"/>
              <w:ind w:firstLine="480" w:firstLineChars="200"/>
              <w:textAlignment w:val="center"/>
              <w:rPr>
                <w:kern w:val="0"/>
                <w:sz w:val="24"/>
              </w:rPr>
            </w:pPr>
            <w:r>
              <w:rPr>
                <w:kern w:val="0"/>
                <w:sz w:val="24"/>
              </w:rPr>
              <w:t>专家名录</w:t>
            </w:r>
          </w:p>
        </w:tc>
        <w:tc>
          <w:tcPr>
            <w:tcW w:w="3068" w:type="dxa"/>
            <w:tcBorders>
              <w:top w:val="single" w:color="auto" w:sz="4" w:space="0"/>
              <w:left w:val="single" w:color="000000" w:sz="6" w:space="0"/>
              <w:bottom w:val="single" w:color="000000" w:sz="6" w:space="0"/>
              <w:right w:val="single" w:color="000000" w:sz="6" w:space="0"/>
            </w:tcBorders>
            <w:shd w:val="clear" w:color="auto" w:fill="auto"/>
            <w:noWrap/>
            <w:vAlign w:val="center"/>
          </w:tcPr>
          <w:p>
            <w:pPr>
              <w:spacing w:line="360" w:lineRule="auto"/>
              <w:ind w:firstLine="480" w:firstLineChars="200"/>
              <w:rPr>
                <w:sz w:val="24"/>
              </w:rPr>
            </w:pPr>
          </w:p>
        </w:tc>
      </w:tr>
      <w:tr>
        <w:tblPrEx>
          <w:tblCellMar>
            <w:top w:w="15" w:type="dxa"/>
            <w:left w:w="15" w:type="dxa"/>
            <w:bottom w:w="15" w:type="dxa"/>
            <w:right w:w="15" w:type="dxa"/>
          </w:tblCellMar>
        </w:tblPrEx>
        <w:trPr>
          <w:trHeight w:val="465" w:hRule="atLeast"/>
        </w:trPr>
        <w:tc>
          <w:tcPr>
            <w:tcW w:w="2122" w:type="dxa"/>
            <w:vMerge w:val="continue"/>
            <w:tcBorders>
              <w:top w:val="single" w:color="000000" w:sz="6" w:space="0"/>
              <w:left w:val="single" w:color="auto" w:sz="4" w:space="0"/>
              <w:bottom w:val="single" w:color="000000" w:sz="6" w:space="0"/>
              <w:right w:val="single" w:color="000000" w:sz="6" w:space="0"/>
            </w:tcBorders>
            <w:shd w:val="clear" w:color="auto" w:fill="auto"/>
            <w:vAlign w:val="center"/>
          </w:tcPr>
          <w:p>
            <w:pPr>
              <w:spacing w:line="360" w:lineRule="auto"/>
              <w:ind w:firstLine="480" w:firstLineChars="200"/>
              <w:rPr>
                <w:sz w:val="24"/>
              </w:rPr>
            </w:pPr>
          </w:p>
        </w:tc>
        <w:tc>
          <w:tcPr>
            <w:tcW w:w="3477"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spacing w:line="360" w:lineRule="auto"/>
              <w:ind w:firstLine="480" w:firstLineChars="200"/>
              <w:textAlignment w:val="center"/>
              <w:rPr>
                <w:kern w:val="0"/>
                <w:sz w:val="24"/>
              </w:rPr>
            </w:pPr>
            <w:r>
              <w:rPr>
                <w:kern w:val="0"/>
                <w:sz w:val="24"/>
              </w:rPr>
              <w:t>诊治中心</w:t>
            </w:r>
          </w:p>
        </w:tc>
        <w:tc>
          <w:tcPr>
            <w:tcW w:w="30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360" w:lineRule="auto"/>
              <w:ind w:firstLine="480" w:firstLineChars="200"/>
              <w:rPr>
                <w:sz w:val="24"/>
              </w:rPr>
            </w:pPr>
          </w:p>
        </w:tc>
      </w:tr>
      <w:tr>
        <w:tblPrEx>
          <w:tblCellMar>
            <w:top w:w="15" w:type="dxa"/>
            <w:left w:w="15" w:type="dxa"/>
            <w:bottom w:w="15" w:type="dxa"/>
            <w:right w:w="15" w:type="dxa"/>
          </w:tblCellMar>
        </w:tblPrEx>
        <w:trPr>
          <w:trHeight w:val="465" w:hRule="atLeast"/>
        </w:trPr>
        <w:tc>
          <w:tcPr>
            <w:tcW w:w="2122" w:type="dxa"/>
            <w:vMerge w:val="continue"/>
            <w:tcBorders>
              <w:top w:val="single" w:color="000000" w:sz="6" w:space="0"/>
              <w:left w:val="single" w:color="auto" w:sz="4" w:space="0"/>
              <w:bottom w:val="single" w:color="000000" w:sz="6" w:space="0"/>
              <w:right w:val="single" w:color="000000" w:sz="6" w:space="0"/>
            </w:tcBorders>
            <w:shd w:val="clear" w:color="auto" w:fill="auto"/>
            <w:vAlign w:val="center"/>
          </w:tcPr>
          <w:p>
            <w:pPr>
              <w:spacing w:line="360" w:lineRule="auto"/>
              <w:ind w:firstLine="480" w:firstLineChars="200"/>
              <w:rPr>
                <w:sz w:val="24"/>
              </w:rPr>
            </w:pPr>
          </w:p>
        </w:tc>
        <w:tc>
          <w:tcPr>
            <w:tcW w:w="3477"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spacing w:line="360" w:lineRule="auto"/>
              <w:ind w:firstLine="480" w:firstLineChars="200"/>
              <w:textAlignment w:val="center"/>
              <w:rPr>
                <w:kern w:val="0"/>
                <w:sz w:val="24"/>
              </w:rPr>
            </w:pPr>
            <w:r>
              <w:rPr>
                <w:kern w:val="0"/>
                <w:sz w:val="24"/>
              </w:rPr>
              <w:t>专病专科</w:t>
            </w:r>
          </w:p>
        </w:tc>
        <w:tc>
          <w:tcPr>
            <w:tcW w:w="30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360" w:lineRule="auto"/>
              <w:ind w:firstLine="480" w:firstLineChars="200"/>
              <w:rPr>
                <w:sz w:val="24"/>
              </w:rPr>
            </w:pPr>
          </w:p>
        </w:tc>
      </w:tr>
      <w:tr>
        <w:tblPrEx>
          <w:tblCellMar>
            <w:top w:w="15" w:type="dxa"/>
            <w:left w:w="15" w:type="dxa"/>
            <w:bottom w:w="15" w:type="dxa"/>
            <w:right w:w="15" w:type="dxa"/>
          </w:tblCellMar>
        </w:tblPrEx>
        <w:trPr>
          <w:trHeight w:val="465" w:hRule="atLeast"/>
        </w:trPr>
        <w:tc>
          <w:tcPr>
            <w:tcW w:w="212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line="360" w:lineRule="auto"/>
              <w:ind w:firstLine="480" w:firstLineChars="200"/>
              <w:textAlignment w:val="center"/>
              <w:rPr>
                <w:sz w:val="24"/>
              </w:rPr>
            </w:pPr>
            <w:r>
              <w:rPr>
                <w:kern w:val="0"/>
                <w:sz w:val="24"/>
              </w:rPr>
              <w:t>科研教学</w:t>
            </w:r>
          </w:p>
        </w:tc>
        <w:tc>
          <w:tcPr>
            <w:tcW w:w="347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line="360" w:lineRule="auto"/>
              <w:ind w:firstLine="480" w:firstLineChars="200"/>
              <w:textAlignment w:val="center"/>
              <w:rPr>
                <w:kern w:val="0"/>
                <w:sz w:val="24"/>
              </w:rPr>
            </w:pPr>
            <w:r>
              <w:rPr>
                <w:kern w:val="0"/>
                <w:sz w:val="24"/>
              </w:rPr>
              <w:t>科研教学</w:t>
            </w:r>
          </w:p>
        </w:tc>
        <w:tc>
          <w:tcPr>
            <w:tcW w:w="30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360" w:lineRule="auto"/>
              <w:ind w:firstLine="480" w:firstLineChars="200"/>
              <w:rPr>
                <w:sz w:val="24"/>
              </w:rPr>
            </w:pPr>
          </w:p>
        </w:tc>
      </w:tr>
      <w:tr>
        <w:tblPrEx>
          <w:tblCellMar>
            <w:top w:w="15" w:type="dxa"/>
            <w:left w:w="15" w:type="dxa"/>
            <w:bottom w:w="15" w:type="dxa"/>
            <w:right w:w="15" w:type="dxa"/>
          </w:tblCellMar>
        </w:tblPrEx>
        <w:trPr>
          <w:trHeight w:val="465" w:hRule="atLeast"/>
        </w:trPr>
        <w:tc>
          <w:tcPr>
            <w:tcW w:w="212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480" w:firstLineChars="200"/>
              <w:rPr>
                <w:sz w:val="24"/>
              </w:rPr>
            </w:pPr>
          </w:p>
        </w:tc>
        <w:tc>
          <w:tcPr>
            <w:tcW w:w="347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line="360" w:lineRule="auto"/>
              <w:ind w:firstLine="480" w:firstLineChars="200"/>
              <w:textAlignment w:val="center"/>
              <w:rPr>
                <w:sz w:val="24"/>
              </w:rPr>
            </w:pPr>
            <w:r>
              <w:rPr>
                <w:kern w:val="0"/>
                <w:sz w:val="24"/>
              </w:rPr>
              <w:t>学术交流</w:t>
            </w:r>
          </w:p>
        </w:tc>
        <w:tc>
          <w:tcPr>
            <w:tcW w:w="30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360" w:lineRule="auto"/>
              <w:ind w:firstLine="480" w:firstLineChars="200"/>
              <w:rPr>
                <w:sz w:val="24"/>
              </w:rPr>
            </w:pPr>
          </w:p>
        </w:tc>
      </w:tr>
      <w:tr>
        <w:tblPrEx>
          <w:tblCellMar>
            <w:top w:w="15" w:type="dxa"/>
            <w:left w:w="15" w:type="dxa"/>
            <w:bottom w:w="15" w:type="dxa"/>
            <w:right w:w="15" w:type="dxa"/>
          </w:tblCellMar>
        </w:tblPrEx>
        <w:trPr>
          <w:trHeight w:val="465" w:hRule="atLeast"/>
        </w:trPr>
        <w:tc>
          <w:tcPr>
            <w:tcW w:w="212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line="360" w:lineRule="auto"/>
              <w:ind w:firstLine="480" w:firstLineChars="200"/>
              <w:textAlignment w:val="center"/>
              <w:rPr>
                <w:sz w:val="24"/>
              </w:rPr>
            </w:pPr>
            <w:r>
              <w:rPr>
                <w:kern w:val="0"/>
                <w:sz w:val="24"/>
              </w:rPr>
              <w:t>新闻中心</w:t>
            </w:r>
          </w:p>
        </w:tc>
        <w:tc>
          <w:tcPr>
            <w:tcW w:w="347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line="360" w:lineRule="auto"/>
              <w:ind w:firstLine="480" w:firstLineChars="200"/>
              <w:textAlignment w:val="center"/>
              <w:rPr>
                <w:sz w:val="24"/>
              </w:rPr>
            </w:pPr>
            <w:r>
              <w:rPr>
                <w:kern w:val="0"/>
                <w:sz w:val="24"/>
              </w:rPr>
              <w:t>医院新闻</w:t>
            </w:r>
          </w:p>
        </w:tc>
        <w:tc>
          <w:tcPr>
            <w:tcW w:w="30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360" w:lineRule="auto"/>
              <w:ind w:firstLine="480" w:firstLineChars="200"/>
              <w:rPr>
                <w:sz w:val="24"/>
              </w:rPr>
            </w:pPr>
          </w:p>
        </w:tc>
      </w:tr>
      <w:tr>
        <w:tblPrEx>
          <w:tblCellMar>
            <w:top w:w="15" w:type="dxa"/>
            <w:left w:w="15" w:type="dxa"/>
            <w:bottom w:w="15" w:type="dxa"/>
            <w:right w:w="15" w:type="dxa"/>
          </w:tblCellMar>
        </w:tblPrEx>
        <w:trPr>
          <w:trHeight w:val="465" w:hRule="atLeast"/>
        </w:trPr>
        <w:tc>
          <w:tcPr>
            <w:tcW w:w="212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480" w:firstLineChars="200"/>
              <w:rPr>
                <w:sz w:val="24"/>
              </w:rPr>
            </w:pPr>
          </w:p>
        </w:tc>
        <w:tc>
          <w:tcPr>
            <w:tcW w:w="347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line="360" w:lineRule="auto"/>
              <w:ind w:firstLine="480" w:firstLineChars="200"/>
              <w:textAlignment w:val="center"/>
              <w:rPr>
                <w:sz w:val="24"/>
              </w:rPr>
            </w:pPr>
            <w:r>
              <w:rPr>
                <w:kern w:val="0"/>
                <w:sz w:val="24"/>
              </w:rPr>
              <w:t>医院公告</w:t>
            </w:r>
          </w:p>
        </w:tc>
        <w:tc>
          <w:tcPr>
            <w:tcW w:w="30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360" w:lineRule="auto"/>
              <w:ind w:firstLine="480" w:firstLineChars="200"/>
              <w:rPr>
                <w:sz w:val="24"/>
              </w:rPr>
            </w:pPr>
          </w:p>
        </w:tc>
      </w:tr>
      <w:tr>
        <w:tblPrEx>
          <w:tblCellMar>
            <w:top w:w="15" w:type="dxa"/>
            <w:left w:w="15" w:type="dxa"/>
            <w:bottom w:w="15" w:type="dxa"/>
            <w:right w:w="15" w:type="dxa"/>
          </w:tblCellMar>
        </w:tblPrEx>
        <w:trPr>
          <w:trHeight w:val="465" w:hRule="atLeast"/>
        </w:trPr>
        <w:tc>
          <w:tcPr>
            <w:tcW w:w="212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480" w:firstLineChars="200"/>
              <w:rPr>
                <w:sz w:val="24"/>
              </w:rPr>
            </w:pPr>
          </w:p>
        </w:tc>
        <w:tc>
          <w:tcPr>
            <w:tcW w:w="347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line="360" w:lineRule="auto"/>
              <w:ind w:firstLine="480" w:firstLineChars="200"/>
              <w:textAlignment w:val="center"/>
              <w:rPr>
                <w:sz w:val="24"/>
              </w:rPr>
            </w:pPr>
            <w:r>
              <w:rPr>
                <w:kern w:val="0"/>
                <w:sz w:val="24"/>
              </w:rPr>
              <w:t>党建动态</w:t>
            </w:r>
          </w:p>
        </w:tc>
        <w:tc>
          <w:tcPr>
            <w:tcW w:w="30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360" w:lineRule="auto"/>
              <w:ind w:firstLine="480" w:firstLineChars="200"/>
              <w:rPr>
                <w:sz w:val="24"/>
              </w:rPr>
            </w:pPr>
          </w:p>
        </w:tc>
      </w:tr>
      <w:tr>
        <w:tblPrEx>
          <w:tblCellMar>
            <w:top w:w="15" w:type="dxa"/>
            <w:left w:w="15" w:type="dxa"/>
            <w:bottom w:w="15" w:type="dxa"/>
            <w:right w:w="15" w:type="dxa"/>
          </w:tblCellMar>
        </w:tblPrEx>
        <w:trPr>
          <w:trHeight w:val="465" w:hRule="atLeast"/>
        </w:trPr>
        <w:tc>
          <w:tcPr>
            <w:tcW w:w="212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480" w:firstLineChars="200"/>
              <w:rPr>
                <w:sz w:val="24"/>
              </w:rPr>
            </w:pPr>
          </w:p>
        </w:tc>
        <w:tc>
          <w:tcPr>
            <w:tcW w:w="347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line="360" w:lineRule="auto"/>
              <w:ind w:firstLine="480" w:firstLineChars="200"/>
              <w:textAlignment w:val="center"/>
              <w:rPr>
                <w:sz w:val="24"/>
              </w:rPr>
            </w:pPr>
            <w:r>
              <w:rPr>
                <w:kern w:val="0"/>
                <w:sz w:val="24"/>
              </w:rPr>
              <w:t>医疗快讯</w:t>
            </w:r>
          </w:p>
        </w:tc>
        <w:tc>
          <w:tcPr>
            <w:tcW w:w="30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360" w:lineRule="auto"/>
              <w:ind w:firstLine="480" w:firstLineChars="200"/>
              <w:rPr>
                <w:sz w:val="24"/>
              </w:rPr>
            </w:pPr>
          </w:p>
        </w:tc>
      </w:tr>
      <w:tr>
        <w:tblPrEx>
          <w:tblCellMar>
            <w:top w:w="15" w:type="dxa"/>
            <w:left w:w="15" w:type="dxa"/>
            <w:bottom w:w="15" w:type="dxa"/>
            <w:right w:w="15" w:type="dxa"/>
          </w:tblCellMar>
        </w:tblPrEx>
        <w:trPr>
          <w:trHeight w:val="465" w:hRule="atLeast"/>
        </w:trPr>
        <w:tc>
          <w:tcPr>
            <w:tcW w:w="212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480" w:firstLineChars="200"/>
              <w:rPr>
                <w:sz w:val="24"/>
              </w:rPr>
            </w:pPr>
          </w:p>
        </w:tc>
        <w:tc>
          <w:tcPr>
            <w:tcW w:w="347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line="360" w:lineRule="auto"/>
              <w:ind w:firstLine="480" w:firstLineChars="200"/>
              <w:textAlignment w:val="center"/>
              <w:rPr>
                <w:sz w:val="24"/>
              </w:rPr>
            </w:pPr>
            <w:r>
              <w:rPr>
                <w:kern w:val="0"/>
                <w:sz w:val="24"/>
              </w:rPr>
              <w:t>阳光工程</w:t>
            </w:r>
          </w:p>
        </w:tc>
        <w:tc>
          <w:tcPr>
            <w:tcW w:w="30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360" w:lineRule="auto"/>
              <w:ind w:firstLine="480" w:firstLineChars="200"/>
              <w:rPr>
                <w:sz w:val="24"/>
              </w:rPr>
            </w:pPr>
          </w:p>
        </w:tc>
      </w:tr>
      <w:tr>
        <w:tblPrEx>
          <w:tblCellMar>
            <w:top w:w="15" w:type="dxa"/>
            <w:left w:w="15" w:type="dxa"/>
            <w:bottom w:w="15" w:type="dxa"/>
            <w:right w:w="15" w:type="dxa"/>
          </w:tblCellMar>
        </w:tblPrEx>
        <w:trPr>
          <w:trHeight w:val="465" w:hRule="atLeast"/>
        </w:trPr>
        <w:tc>
          <w:tcPr>
            <w:tcW w:w="212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480" w:firstLineChars="200"/>
              <w:rPr>
                <w:sz w:val="24"/>
              </w:rPr>
            </w:pPr>
          </w:p>
        </w:tc>
        <w:tc>
          <w:tcPr>
            <w:tcW w:w="347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line="360" w:lineRule="auto"/>
              <w:ind w:firstLine="480" w:firstLineChars="200"/>
              <w:textAlignment w:val="center"/>
              <w:rPr>
                <w:sz w:val="24"/>
              </w:rPr>
            </w:pPr>
            <w:r>
              <w:rPr>
                <w:kern w:val="0"/>
                <w:sz w:val="24"/>
              </w:rPr>
              <w:t>护理天地</w:t>
            </w:r>
          </w:p>
        </w:tc>
        <w:tc>
          <w:tcPr>
            <w:tcW w:w="30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360" w:lineRule="auto"/>
              <w:ind w:firstLine="480" w:firstLineChars="200"/>
              <w:rPr>
                <w:sz w:val="24"/>
              </w:rPr>
            </w:pPr>
          </w:p>
        </w:tc>
      </w:tr>
      <w:tr>
        <w:tblPrEx>
          <w:tblCellMar>
            <w:top w:w="15" w:type="dxa"/>
            <w:left w:w="15" w:type="dxa"/>
            <w:bottom w:w="15" w:type="dxa"/>
            <w:right w:w="15" w:type="dxa"/>
          </w:tblCellMar>
        </w:tblPrEx>
        <w:trPr>
          <w:trHeight w:val="465" w:hRule="atLeast"/>
        </w:trPr>
        <w:tc>
          <w:tcPr>
            <w:tcW w:w="212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480" w:firstLineChars="200"/>
              <w:rPr>
                <w:sz w:val="24"/>
              </w:rPr>
            </w:pPr>
          </w:p>
        </w:tc>
        <w:tc>
          <w:tcPr>
            <w:tcW w:w="3477" w:type="dxa"/>
            <w:tcBorders>
              <w:top w:val="single" w:color="000000" w:sz="6" w:space="0"/>
              <w:left w:val="single" w:color="000000" w:sz="6" w:space="0"/>
              <w:bottom w:val="single" w:color="DEE0E3" w:sz="6" w:space="0"/>
              <w:right w:val="single" w:color="000000" w:sz="6" w:space="0"/>
            </w:tcBorders>
            <w:shd w:val="clear" w:color="auto" w:fill="auto"/>
            <w:vAlign w:val="center"/>
          </w:tcPr>
          <w:p>
            <w:pPr>
              <w:widowControl/>
              <w:spacing w:line="360" w:lineRule="auto"/>
              <w:ind w:firstLine="480" w:firstLineChars="200"/>
              <w:textAlignment w:val="center"/>
              <w:rPr>
                <w:sz w:val="24"/>
              </w:rPr>
            </w:pPr>
            <w:r>
              <w:rPr>
                <w:kern w:val="0"/>
                <w:sz w:val="24"/>
              </w:rPr>
              <w:t>职工之家</w:t>
            </w:r>
          </w:p>
        </w:tc>
        <w:tc>
          <w:tcPr>
            <w:tcW w:w="3068" w:type="dxa"/>
            <w:tcBorders>
              <w:top w:val="single" w:color="000000" w:sz="6" w:space="0"/>
              <w:left w:val="single" w:color="000000" w:sz="6" w:space="0"/>
              <w:bottom w:val="single" w:color="DEE0E3" w:sz="6" w:space="0"/>
              <w:right w:val="single" w:color="000000" w:sz="6" w:space="0"/>
            </w:tcBorders>
            <w:shd w:val="clear" w:color="auto" w:fill="auto"/>
            <w:noWrap/>
            <w:vAlign w:val="center"/>
          </w:tcPr>
          <w:p>
            <w:pPr>
              <w:spacing w:line="360" w:lineRule="auto"/>
              <w:ind w:firstLine="480" w:firstLineChars="200"/>
              <w:rPr>
                <w:sz w:val="24"/>
              </w:rPr>
            </w:pPr>
          </w:p>
        </w:tc>
      </w:tr>
      <w:tr>
        <w:tblPrEx>
          <w:tblCellMar>
            <w:top w:w="15" w:type="dxa"/>
            <w:left w:w="15" w:type="dxa"/>
            <w:bottom w:w="15" w:type="dxa"/>
            <w:right w:w="15" w:type="dxa"/>
          </w:tblCellMar>
        </w:tblPrEx>
        <w:trPr>
          <w:trHeight w:val="510" w:hRule="atLeast"/>
        </w:trPr>
        <w:tc>
          <w:tcPr>
            <w:tcW w:w="2122" w:type="dxa"/>
            <w:tcBorders>
              <w:top w:val="single" w:color="1F2329" w:sz="6" w:space="0"/>
              <w:left w:val="single" w:color="1F2329" w:sz="6" w:space="0"/>
              <w:bottom w:val="single" w:color="DEE0E3" w:sz="6" w:space="0"/>
              <w:right w:val="single" w:color="DEE0E3" w:sz="6" w:space="0"/>
            </w:tcBorders>
            <w:shd w:val="clear" w:color="auto" w:fill="auto"/>
            <w:noWrap/>
            <w:vAlign w:val="center"/>
          </w:tcPr>
          <w:p>
            <w:pPr>
              <w:widowControl/>
              <w:spacing w:line="360" w:lineRule="auto"/>
              <w:ind w:firstLine="480" w:firstLineChars="200"/>
              <w:textAlignment w:val="center"/>
              <w:rPr>
                <w:sz w:val="24"/>
              </w:rPr>
            </w:pPr>
            <w:r>
              <w:rPr>
                <w:kern w:val="0"/>
                <w:sz w:val="24"/>
              </w:rPr>
              <w:t>人才招聘</w:t>
            </w:r>
          </w:p>
        </w:tc>
        <w:tc>
          <w:tcPr>
            <w:tcW w:w="3477" w:type="dxa"/>
            <w:tcBorders>
              <w:top w:val="single" w:color="1F2329" w:sz="6" w:space="0"/>
              <w:left w:val="single" w:color="1F2329" w:sz="6" w:space="0"/>
              <w:bottom w:val="single" w:color="1F2329" w:sz="6" w:space="0"/>
              <w:right w:val="single" w:color="DEE0E3" w:sz="6" w:space="0"/>
            </w:tcBorders>
            <w:shd w:val="clear" w:color="auto" w:fill="auto"/>
            <w:vAlign w:val="center"/>
          </w:tcPr>
          <w:p>
            <w:pPr>
              <w:spacing w:line="360" w:lineRule="auto"/>
              <w:ind w:firstLine="480" w:firstLineChars="200"/>
              <w:rPr>
                <w:sz w:val="24"/>
              </w:rPr>
            </w:pPr>
          </w:p>
        </w:tc>
        <w:tc>
          <w:tcPr>
            <w:tcW w:w="3068" w:type="dxa"/>
            <w:tcBorders>
              <w:top w:val="single" w:color="1F2329" w:sz="6" w:space="0"/>
              <w:left w:val="single" w:color="1F2329" w:sz="6" w:space="0"/>
              <w:bottom w:val="single" w:color="1F2329" w:sz="6" w:space="0"/>
              <w:right w:val="single" w:color="1F2329" w:sz="6" w:space="0"/>
            </w:tcBorders>
            <w:shd w:val="clear" w:color="auto" w:fill="auto"/>
            <w:noWrap/>
            <w:vAlign w:val="center"/>
          </w:tcPr>
          <w:p>
            <w:pPr>
              <w:spacing w:line="360" w:lineRule="auto"/>
              <w:ind w:firstLine="480" w:firstLineChars="200"/>
              <w:rPr>
                <w:sz w:val="24"/>
              </w:rPr>
            </w:pPr>
          </w:p>
        </w:tc>
      </w:tr>
      <w:tr>
        <w:tblPrEx>
          <w:tblCellMar>
            <w:top w:w="15" w:type="dxa"/>
            <w:left w:w="15" w:type="dxa"/>
            <w:bottom w:w="15" w:type="dxa"/>
            <w:right w:w="15" w:type="dxa"/>
          </w:tblCellMar>
        </w:tblPrEx>
        <w:trPr>
          <w:trHeight w:val="465" w:hRule="atLeast"/>
        </w:trPr>
        <w:tc>
          <w:tcPr>
            <w:tcW w:w="2122" w:type="dxa"/>
            <w:vMerge w:val="restart"/>
            <w:tcBorders>
              <w:top w:val="single" w:color="1F2329" w:sz="6" w:space="0"/>
              <w:left w:val="single" w:color="1F2329" w:sz="6" w:space="0"/>
              <w:bottom w:val="single" w:color="1F2329" w:sz="6" w:space="0"/>
              <w:right w:val="single" w:color="1F2329" w:sz="6" w:space="0"/>
            </w:tcBorders>
            <w:shd w:val="clear" w:color="auto" w:fill="auto"/>
            <w:noWrap/>
            <w:vAlign w:val="center"/>
          </w:tcPr>
          <w:p>
            <w:pPr>
              <w:widowControl/>
              <w:spacing w:line="360" w:lineRule="auto"/>
              <w:ind w:firstLine="480" w:firstLineChars="200"/>
              <w:textAlignment w:val="center"/>
              <w:rPr>
                <w:sz w:val="24"/>
              </w:rPr>
            </w:pPr>
            <w:r>
              <w:rPr>
                <w:kern w:val="0"/>
                <w:sz w:val="24"/>
              </w:rPr>
              <w:t>医共体院区</w:t>
            </w:r>
          </w:p>
        </w:tc>
        <w:tc>
          <w:tcPr>
            <w:tcW w:w="3477" w:type="dxa"/>
            <w:tcBorders>
              <w:top w:val="single" w:color="1F2329" w:sz="6" w:space="0"/>
              <w:left w:val="single" w:color="DEE0E3" w:sz="6" w:space="0"/>
              <w:bottom w:val="single" w:color="1F2329" w:sz="6" w:space="0"/>
              <w:right w:val="single" w:color="DEE0E3" w:sz="6" w:space="0"/>
            </w:tcBorders>
            <w:shd w:val="clear" w:color="auto" w:fill="auto"/>
            <w:vAlign w:val="center"/>
          </w:tcPr>
          <w:p>
            <w:pPr>
              <w:widowControl/>
              <w:spacing w:line="360" w:lineRule="auto"/>
              <w:ind w:firstLine="480" w:firstLineChars="200"/>
              <w:textAlignment w:val="center"/>
              <w:rPr>
                <w:sz w:val="24"/>
              </w:rPr>
            </w:pPr>
            <w:r>
              <w:rPr>
                <w:kern w:val="0"/>
                <w:sz w:val="24"/>
              </w:rPr>
              <w:t>江南院区</w:t>
            </w:r>
          </w:p>
        </w:tc>
        <w:tc>
          <w:tcPr>
            <w:tcW w:w="3068" w:type="dxa"/>
            <w:tcBorders>
              <w:top w:val="single" w:color="1F2329" w:sz="6" w:space="0"/>
              <w:left w:val="single" w:color="1F2329" w:sz="6" w:space="0"/>
              <w:bottom w:val="single" w:color="1F2329" w:sz="6" w:space="0"/>
              <w:right w:val="single" w:color="1F2329" w:sz="6" w:space="0"/>
            </w:tcBorders>
            <w:shd w:val="clear" w:color="auto" w:fill="auto"/>
            <w:noWrap/>
            <w:vAlign w:val="center"/>
          </w:tcPr>
          <w:p>
            <w:pPr>
              <w:spacing w:line="360" w:lineRule="auto"/>
              <w:ind w:firstLine="480" w:firstLineChars="200"/>
              <w:rPr>
                <w:sz w:val="24"/>
              </w:rPr>
            </w:pPr>
          </w:p>
        </w:tc>
      </w:tr>
      <w:tr>
        <w:tblPrEx>
          <w:tblCellMar>
            <w:top w:w="15" w:type="dxa"/>
            <w:left w:w="15" w:type="dxa"/>
            <w:bottom w:w="15" w:type="dxa"/>
            <w:right w:w="15" w:type="dxa"/>
          </w:tblCellMar>
        </w:tblPrEx>
        <w:trPr>
          <w:trHeight w:val="465" w:hRule="atLeast"/>
        </w:trPr>
        <w:tc>
          <w:tcPr>
            <w:tcW w:w="2122" w:type="dxa"/>
            <w:vMerge w:val="continue"/>
            <w:tcBorders>
              <w:top w:val="single" w:color="1F2329" w:sz="6" w:space="0"/>
              <w:left w:val="single" w:color="1F2329" w:sz="6" w:space="0"/>
              <w:bottom w:val="single" w:color="1F2329" w:sz="6" w:space="0"/>
              <w:right w:val="single" w:color="1F2329" w:sz="6" w:space="0"/>
            </w:tcBorders>
            <w:shd w:val="clear" w:color="auto" w:fill="auto"/>
            <w:noWrap/>
            <w:vAlign w:val="center"/>
          </w:tcPr>
          <w:p>
            <w:pPr>
              <w:spacing w:line="360" w:lineRule="auto"/>
              <w:ind w:firstLine="480" w:firstLineChars="200"/>
              <w:rPr>
                <w:sz w:val="24"/>
              </w:rPr>
            </w:pPr>
          </w:p>
        </w:tc>
        <w:tc>
          <w:tcPr>
            <w:tcW w:w="3477" w:type="dxa"/>
            <w:tcBorders>
              <w:top w:val="single" w:color="1F2329" w:sz="6" w:space="0"/>
              <w:left w:val="single" w:color="DEE0E3" w:sz="6" w:space="0"/>
              <w:bottom w:val="single" w:color="1F2329" w:sz="6" w:space="0"/>
              <w:right w:val="single" w:color="DEE0E3" w:sz="6" w:space="0"/>
            </w:tcBorders>
            <w:shd w:val="clear" w:color="auto" w:fill="auto"/>
            <w:vAlign w:val="center"/>
          </w:tcPr>
          <w:p>
            <w:pPr>
              <w:widowControl/>
              <w:spacing w:line="360" w:lineRule="auto"/>
              <w:ind w:firstLine="480" w:firstLineChars="200"/>
              <w:textAlignment w:val="center"/>
              <w:rPr>
                <w:sz w:val="24"/>
              </w:rPr>
            </w:pPr>
            <w:r>
              <w:rPr>
                <w:kern w:val="0"/>
                <w:sz w:val="24"/>
              </w:rPr>
              <w:t>凤川院区</w:t>
            </w:r>
          </w:p>
        </w:tc>
        <w:tc>
          <w:tcPr>
            <w:tcW w:w="3068" w:type="dxa"/>
            <w:tcBorders>
              <w:top w:val="single" w:color="1F2329" w:sz="6" w:space="0"/>
              <w:left w:val="single" w:color="1F2329" w:sz="6" w:space="0"/>
              <w:bottom w:val="single" w:color="1F2329" w:sz="6" w:space="0"/>
              <w:right w:val="single" w:color="1F2329" w:sz="6" w:space="0"/>
            </w:tcBorders>
            <w:shd w:val="clear" w:color="auto" w:fill="auto"/>
            <w:noWrap/>
            <w:vAlign w:val="center"/>
          </w:tcPr>
          <w:p>
            <w:pPr>
              <w:spacing w:line="360" w:lineRule="auto"/>
              <w:ind w:firstLine="480" w:firstLineChars="200"/>
              <w:rPr>
                <w:sz w:val="24"/>
              </w:rPr>
            </w:pPr>
          </w:p>
        </w:tc>
      </w:tr>
      <w:tr>
        <w:tblPrEx>
          <w:tblCellMar>
            <w:top w:w="15" w:type="dxa"/>
            <w:left w:w="15" w:type="dxa"/>
            <w:bottom w:w="15" w:type="dxa"/>
            <w:right w:w="15" w:type="dxa"/>
          </w:tblCellMar>
        </w:tblPrEx>
        <w:trPr>
          <w:trHeight w:val="465" w:hRule="atLeast"/>
        </w:trPr>
        <w:tc>
          <w:tcPr>
            <w:tcW w:w="2122" w:type="dxa"/>
            <w:vMerge w:val="continue"/>
            <w:tcBorders>
              <w:top w:val="single" w:color="1F2329" w:sz="6" w:space="0"/>
              <w:left w:val="single" w:color="1F2329" w:sz="6" w:space="0"/>
              <w:bottom w:val="single" w:color="1F2329" w:sz="6" w:space="0"/>
              <w:right w:val="single" w:color="1F2329" w:sz="6" w:space="0"/>
            </w:tcBorders>
            <w:shd w:val="clear" w:color="auto" w:fill="auto"/>
            <w:noWrap/>
            <w:vAlign w:val="center"/>
          </w:tcPr>
          <w:p>
            <w:pPr>
              <w:spacing w:line="360" w:lineRule="auto"/>
              <w:ind w:firstLine="480" w:firstLineChars="200"/>
              <w:rPr>
                <w:sz w:val="24"/>
              </w:rPr>
            </w:pPr>
          </w:p>
        </w:tc>
        <w:tc>
          <w:tcPr>
            <w:tcW w:w="3477" w:type="dxa"/>
            <w:tcBorders>
              <w:top w:val="single" w:color="1F2329" w:sz="6" w:space="0"/>
              <w:left w:val="single" w:color="DEE0E3" w:sz="6" w:space="0"/>
              <w:bottom w:val="single" w:color="1F2329" w:sz="6" w:space="0"/>
              <w:right w:val="single" w:color="DEE0E3" w:sz="6" w:space="0"/>
            </w:tcBorders>
            <w:shd w:val="clear" w:color="auto" w:fill="auto"/>
            <w:vAlign w:val="center"/>
          </w:tcPr>
          <w:p>
            <w:pPr>
              <w:widowControl/>
              <w:spacing w:line="360" w:lineRule="auto"/>
              <w:ind w:firstLine="480" w:firstLineChars="200"/>
              <w:textAlignment w:val="center"/>
              <w:rPr>
                <w:sz w:val="24"/>
              </w:rPr>
            </w:pPr>
            <w:r>
              <w:rPr>
                <w:kern w:val="0"/>
                <w:sz w:val="24"/>
              </w:rPr>
              <w:t>富春江院区</w:t>
            </w:r>
          </w:p>
        </w:tc>
        <w:tc>
          <w:tcPr>
            <w:tcW w:w="3068" w:type="dxa"/>
            <w:tcBorders>
              <w:top w:val="single" w:color="DEE0E3" w:sz="6" w:space="0"/>
              <w:left w:val="single" w:color="1F2329" w:sz="6" w:space="0"/>
              <w:bottom w:val="single" w:color="1F2329" w:sz="6" w:space="0"/>
              <w:right w:val="single" w:color="1F2329" w:sz="6" w:space="0"/>
            </w:tcBorders>
            <w:shd w:val="clear" w:color="auto" w:fill="auto"/>
            <w:noWrap/>
            <w:vAlign w:val="center"/>
          </w:tcPr>
          <w:p>
            <w:pPr>
              <w:spacing w:line="360" w:lineRule="auto"/>
              <w:ind w:firstLine="480" w:firstLineChars="200"/>
              <w:rPr>
                <w:sz w:val="24"/>
              </w:rPr>
            </w:pPr>
          </w:p>
        </w:tc>
      </w:tr>
      <w:tr>
        <w:tblPrEx>
          <w:tblCellMar>
            <w:top w:w="15" w:type="dxa"/>
            <w:left w:w="15" w:type="dxa"/>
            <w:bottom w:w="15" w:type="dxa"/>
            <w:right w:w="15" w:type="dxa"/>
          </w:tblCellMar>
        </w:tblPrEx>
        <w:trPr>
          <w:trHeight w:val="465" w:hRule="atLeast"/>
        </w:trPr>
        <w:tc>
          <w:tcPr>
            <w:tcW w:w="2122" w:type="dxa"/>
            <w:vMerge w:val="continue"/>
            <w:tcBorders>
              <w:top w:val="single" w:color="1F2329" w:sz="6" w:space="0"/>
              <w:left w:val="single" w:color="1F2329" w:sz="6" w:space="0"/>
              <w:bottom w:val="single" w:color="1F2329" w:sz="6" w:space="0"/>
              <w:right w:val="single" w:color="1F2329" w:sz="6" w:space="0"/>
            </w:tcBorders>
            <w:shd w:val="clear" w:color="auto" w:fill="auto"/>
            <w:noWrap/>
            <w:vAlign w:val="center"/>
          </w:tcPr>
          <w:p>
            <w:pPr>
              <w:spacing w:line="360" w:lineRule="auto"/>
              <w:ind w:firstLine="480" w:firstLineChars="200"/>
              <w:rPr>
                <w:sz w:val="24"/>
              </w:rPr>
            </w:pPr>
          </w:p>
        </w:tc>
        <w:tc>
          <w:tcPr>
            <w:tcW w:w="3477" w:type="dxa"/>
            <w:tcBorders>
              <w:top w:val="single" w:color="1F2329" w:sz="6" w:space="0"/>
              <w:left w:val="single" w:color="DEE0E3" w:sz="6" w:space="0"/>
              <w:bottom w:val="single" w:color="1F2329" w:sz="6" w:space="0"/>
              <w:right w:val="single" w:color="DEE0E3" w:sz="6" w:space="0"/>
            </w:tcBorders>
            <w:shd w:val="clear" w:color="auto" w:fill="auto"/>
            <w:vAlign w:val="center"/>
          </w:tcPr>
          <w:p>
            <w:pPr>
              <w:widowControl/>
              <w:spacing w:line="360" w:lineRule="auto"/>
              <w:ind w:firstLine="480" w:firstLineChars="200"/>
              <w:textAlignment w:val="center"/>
              <w:rPr>
                <w:sz w:val="24"/>
              </w:rPr>
            </w:pPr>
            <w:r>
              <w:rPr>
                <w:kern w:val="0"/>
                <w:sz w:val="24"/>
              </w:rPr>
              <w:t>新合院区</w:t>
            </w:r>
          </w:p>
        </w:tc>
        <w:tc>
          <w:tcPr>
            <w:tcW w:w="3068" w:type="dxa"/>
            <w:tcBorders>
              <w:top w:val="single" w:color="1F2329" w:sz="6" w:space="0"/>
              <w:left w:val="single" w:color="1F2329" w:sz="6" w:space="0"/>
              <w:bottom w:val="single" w:color="1F2329" w:sz="6" w:space="0"/>
              <w:right w:val="single" w:color="1F2329" w:sz="6" w:space="0"/>
            </w:tcBorders>
            <w:shd w:val="clear" w:color="auto" w:fill="auto"/>
            <w:noWrap/>
            <w:vAlign w:val="center"/>
          </w:tcPr>
          <w:p>
            <w:pPr>
              <w:spacing w:line="360" w:lineRule="auto"/>
              <w:ind w:firstLine="480" w:firstLineChars="200"/>
              <w:rPr>
                <w:sz w:val="24"/>
              </w:rPr>
            </w:pPr>
          </w:p>
        </w:tc>
      </w:tr>
      <w:bookmarkEnd w:id="44"/>
    </w:tbl>
    <w:p>
      <w:pPr>
        <w:pStyle w:val="7"/>
        <w:spacing w:before="0" w:after="0" w:line="360" w:lineRule="auto"/>
        <w:ind w:left="0" w:firstLine="482"/>
        <w:jc w:val="both"/>
        <w:rPr>
          <w:rFonts w:ascii="Times New Roman" w:hAnsi="Times New Roman" w:eastAsia="宋体" w:cs="Times New Roman"/>
          <w:sz w:val="24"/>
          <w:szCs w:val="24"/>
          <w:lang w:val="en-US"/>
        </w:rPr>
      </w:pPr>
      <w:bookmarkStart w:id="45" w:name="_Hlk180679660"/>
      <w:r>
        <w:rPr>
          <w:rFonts w:hint="eastAsia" w:ascii="Times New Roman" w:hAnsi="Times New Roman" w:eastAsia="宋体" w:cs="Times New Roman"/>
          <w:sz w:val="24"/>
          <w:szCs w:val="24"/>
          <w:lang w:val="en-US"/>
        </w:rPr>
        <w:t>2）院内网原有功能适配</w:t>
      </w:r>
      <w:bookmarkEnd w:id="45"/>
    </w:p>
    <w:p>
      <w:pPr>
        <w:spacing w:line="360" w:lineRule="auto"/>
        <w:ind w:firstLine="480" w:firstLineChars="200"/>
        <w:rPr>
          <w:sz w:val="24"/>
        </w:rPr>
      </w:pPr>
      <w:r>
        <w:rPr>
          <w:sz w:val="24"/>
        </w:rPr>
        <w:t>此次院内网信创改造需确保与原有网站架构及功能一致，具体如下：</w:t>
      </w:r>
    </w:p>
    <w:tbl>
      <w:tblPr>
        <w:tblStyle w:val="6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22"/>
        <w:gridCol w:w="3402"/>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blHeader/>
        </w:trPr>
        <w:tc>
          <w:tcPr>
            <w:tcW w:w="2122" w:type="dxa"/>
            <w:shd w:val="clear" w:color="auto" w:fill="auto"/>
            <w:noWrap/>
            <w:vAlign w:val="center"/>
          </w:tcPr>
          <w:p>
            <w:pPr>
              <w:widowControl/>
              <w:spacing w:line="360" w:lineRule="auto"/>
              <w:ind w:firstLine="482" w:firstLineChars="200"/>
              <w:textAlignment w:val="center"/>
              <w:rPr>
                <w:b/>
                <w:bCs/>
                <w:sz w:val="24"/>
              </w:rPr>
            </w:pPr>
            <w:bookmarkStart w:id="46" w:name="_Hlk180679682"/>
            <w:r>
              <w:rPr>
                <w:b/>
                <w:bCs/>
                <w:kern w:val="0"/>
                <w:sz w:val="24"/>
              </w:rPr>
              <w:t>一级栏目</w:t>
            </w:r>
          </w:p>
        </w:tc>
        <w:tc>
          <w:tcPr>
            <w:tcW w:w="3402" w:type="dxa"/>
            <w:shd w:val="clear" w:color="auto" w:fill="auto"/>
            <w:noWrap/>
            <w:vAlign w:val="center"/>
          </w:tcPr>
          <w:p>
            <w:pPr>
              <w:widowControl/>
              <w:spacing w:line="360" w:lineRule="auto"/>
              <w:ind w:firstLine="482" w:firstLineChars="200"/>
              <w:textAlignment w:val="center"/>
              <w:rPr>
                <w:b/>
                <w:bCs/>
                <w:sz w:val="24"/>
              </w:rPr>
            </w:pPr>
            <w:r>
              <w:rPr>
                <w:b/>
                <w:bCs/>
                <w:kern w:val="0"/>
                <w:sz w:val="24"/>
              </w:rPr>
              <w:t>二级栏目</w:t>
            </w:r>
          </w:p>
        </w:tc>
        <w:tc>
          <w:tcPr>
            <w:tcW w:w="3118" w:type="dxa"/>
            <w:shd w:val="clear" w:color="auto" w:fill="auto"/>
            <w:noWrap/>
            <w:vAlign w:val="center"/>
          </w:tcPr>
          <w:p>
            <w:pPr>
              <w:widowControl/>
              <w:spacing w:line="360" w:lineRule="auto"/>
              <w:ind w:firstLine="482" w:firstLineChars="200"/>
              <w:textAlignment w:val="center"/>
              <w:rPr>
                <w:b/>
                <w:bCs/>
                <w:sz w:val="24"/>
              </w:rPr>
            </w:pPr>
            <w:r>
              <w:rPr>
                <w:b/>
                <w:bCs/>
                <w:kern w:val="0"/>
                <w:sz w:val="24"/>
              </w:rPr>
              <w:t>三级栏目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6" w:hRule="atLeast"/>
        </w:trPr>
        <w:tc>
          <w:tcPr>
            <w:tcW w:w="2122" w:type="dxa"/>
            <w:shd w:val="clear" w:color="auto" w:fill="auto"/>
            <w:noWrap/>
            <w:vAlign w:val="center"/>
          </w:tcPr>
          <w:p>
            <w:pPr>
              <w:widowControl/>
              <w:spacing w:line="360" w:lineRule="auto"/>
              <w:ind w:firstLine="480" w:firstLineChars="200"/>
              <w:textAlignment w:val="center"/>
              <w:rPr>
                <w:sz w:val="24"/>
              </w:rPr>
            </w:pPr>
            <w:r>
              <w:rPr>
                <w:kern w:val="0"/>
                <w:sz w:val="24"/>
              </w:rPr>
              <w:t>首页</w:t>
            </w:r>
          </w:p>
        </w:tc>
        <w:tc>
          <w:tcPr>
            <w:tcW w:w="6520" w:type="dxa"/>
            <w:gridSpan w:val="2"/>
            <w:shd w:val="clear" w:color="auto" w:fill="auto"/>
            <w:noWrap/>
            <w:vAlign w:val="center"/>
          </w:tcPr>
          <w:p>
            <w:pPr>
              <w:spacing w:line="360" w:lineRule="auto"/>
              <w:ind w:firstLine="480" w:firstLineChars="200"/>
              <w:rPr>
                <w:sz w:val="24"/>
              </w:rPr>
            </w:pPr>
            <w:r>
              <w:rPr>
                <w:sz w:val="24"/>
              </w:rPr>
              <w:t>重点推荐、医院动态、临床工作、党建园地、护理天地、综合管理、常用资讯、活动与讲座、下载专区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2122" w:type="dxa"/>
            <w:vMerge w:val="restart"/>
            <w:shd w:val="clear" w:color="auto" w:fill="auto"/>
            <w:noWrap/>
            <w:vAlign w:val="center"/>
          </w:tcPr>
          <w:p>
            <w:pPr>
              <w:spacing w:line="360" w:lineRule="auto"/>
              <w:ind w:firstLine="480" w:firstLineChars="200"/>
              <w:rPr>
                <w:sz w:val="24"/>
              </w:rPr>
            </w:pPr>
            <w:r>
              <w:rPr>
                <w:sz w:val="24"/>
              </w:rPr>
              <w:t>医院动态</w:t>
            </w:r>
          </w:p>
        </w:tc>
        <w:tc>
          <w:tcPr>
            <w:tcW w:w="3402" w:type="dxa"/>
            <w:shd w:val="clear" w:color="auto" w:fill="auto"/>
            <w:noWrap/>
            <w:vAlign w:val="center"/>
          </w:tcPr>
          <w:p>
            <w:pPr>
              <w:widowControl/>
              <w:spacing w:line="360" w:lineRule="auto"/>
              <w:ind w:firstLine="480" w:firstLineChars="200"/>
              <w:textAlignment w:val="center"/>
              <w:rPr>
                <w:sz w:val="24"/>
              </w:rPr>
            </w:pPr>
            <w:r>
              <w:rPr>
                <w:kern w:val="0"/>
                <w:sz w:val="24"/>
              </w:rPr>
              <w:t>最新通知</w:t>
            </w:r>
          </w:p>
        </w:tc>
        <w:tc>
          <w:tcPr>
            <w:tcW w:w="3118" w:type="dxa"/>
            <w:shd w:val="clear" w:color="auto" w:fill="auto"/>
            <w:noWrap/>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2122" w:type="dxa"/>
            <w:vMerge w:val="continue"/>
            <w:shd w:val="clear" w:color="auto" w:fill="auto"/>
            <w:noWrap/>
            <w:vAlign w:val="center"/>
          </w:tcPr>
          <w:p>
            <w:pPr>
              <w:spacing w:line="360" w:lineRule="auto"/>
              <w:ind w:firstLine="480" w:firstLineChars="200"/>
              <w:rPr>
                <w:sz w:val="24"/>
              </w:rPr>
            </w:pPr>
          </w:p>
        </w:tc>
        <w:tc>
          <w:tcPr>
            <w:tcW w:w="3402" w:type="dxa"/>
            <w:shd w:val="clear" w:color="auto" w:fill="auto"/>
            <w:noWrap/>
            <w:vAlign w:val="center"/>
          </w:tcPr>
          <w:p>
            <w:pPr>
              <w:widowControl/>
              <w:spacing w:line="360" w:lineRule="auto"/>
              <w:ind w:firstLine="480" w:firstLineChars="200"/>
              <w:textAlignment w:val="center"/>
              <w:rPr>
                <w:sz w:val="24"/>
              </w:rPr>
            </w:pPr>
            <w:r>
              <w:rPr>
                <w:kern w:val="0"/>
                <w:sz w:val="24"/>
              </w:rPr>
              <w:t>公示公告</w:t>
            </w:r>
          </w:p>
        </w:tc>
        <w:tc>
          <w:tcPr>
            <w:tcW w:w="3118" w:type="dxa"/>
            <w:shd w:val="clear" w:color="auto" w:fill="auto"/>
            <w:noWrap/>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2122" w:type="dxa"/>
            <w:vMerge w:val="continue"/>
            <w:shd w:val="clear" w:color="auto" w:fill="auto"/>
            <w:noWrap/>
            <w:vAlign w:val="center"/>
          </w:tcPr>
          <w:p>
            <w:pPr>
              <w:spacing w:line="360" w:lineRule="auto"/>
              <w:ind w:firstLine="480" w:firstLineChars="200"/>
              <w:rPr>
                <w:sz w:val="24"/>
              </w:rPr>
            </w:pPr>
          </w:p>
        </w:tc>
        <w:tc>
          <w:tcPr>
            <w:tcW w:w="3402" w:type="dxa"/>
            <w:shd w:val="clear" w:color="auto" w:fill="auto"/>
            <w:noWrap/>
            <w:vAlign w:val="center"/>
          </w:tcPr>
          <w:p>
            <w:pPr>
              <w:widowControl/>
              <w:spacing w:line="360" w:lineRule="auto"/>
              <w:ind w:firstLine="480" w:firstLineChars="200"/>
              <w:textAlignment w:val="center"/>
              <w:rPr>
                <w:sz w:val="24"/>
              </w:rPr>
            </w:pPr>
            <w:r>
              <w:rPr>
                <w:kern w:val="0"/>
                <w:sz w:val="24"/>
              </w:rPr>
              <w:t>文件发布</w:t>
            </w:r>
          </w:p>
        </w:tc>
        <w:tc>
          <w:tcPr>
            <w:tcW w:w="3118" w:type="dxa"/>
            <w:shd w:val="clear" w:color="auto" w:fill="auto"/>
            <w:noWrap/>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2122" w:type="dxa"/>
            <w:vMerge w:val="continue"/>
            <w:shd w:val="clear" w:color="auto" w:fill="auto"/>
            <w:noWrap/>
            <w:vAlign w:val="center"/>
          </w:tcPr>
          <w:p>
            <w:pPr>
              <w:spacing w:line="360" w:lineRule="auto"/>
              <w:ind w:firstLine="480" w:firstLineChars="200"/>
              <w:rPr>
                <w:sz w:val="24"/>
              </w:rPr>
            </w:pPr>
          </w:p>
        </w:tc>
        <w:tc>
          <w:tcPr>
            <w:tcW w:w="3402" w:type="dxa"/>
            <w:shd w:val="clear" w:color="auto" w:fill="auto"/>
            <w:noWrap/>
            <w:vAlign w:val="center"/>
          </w:tcPr>
          <w:p>
            <w:pPr>
              <w:widowControl/>
              <w:spacing w:line="360" w:lineRule="auto"/>
              <w:ind w:firstLine="480" w:firstLineChars="200"/>
              <w:textAlignment w:val="center"/>
              <w:rPr>
                <w:sz w:val="24"/>
              </w:rPr>
            </w:pPr>
            <w:r>
              <w:rPr>
                <w:kern w:val="0"/>
                <w:sz w:val="24"/>
              </w:rPr>
              <w:t>职工之家</w:t>
            </w:r>
          </w:p>
        </w:tc>
        <w:tc>
          <w:tcPr>
            <w:tcW w:w="3118" w:type="dxa"/>
            <w:shd w:val="clear" w:color="auto" w:fill="auto"/>
            <w:noWrap/>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2122" w:type="dxa"/>
            <w:vMerge w:val="continue"/>
            <w:shd w:val="clear" w:color="auto" w:fill="auto"/>
            <w:noWrap/>
            <w:vAlign w:val="center"/>
          </w:tcPr>
          <w:p>
            <w:pPr>
              <w:spacing w:line="360" w:lineRule="auto"/>
              <w:ind w:firstLine="480" w:firstLineChars="200"/>
              <w:rPr>
                <w:sz w:val="24"/>
              </w:rPr>
            </w:pPr>
          </w:p>
        </w:tc>
        <w:tc>
          <w:tcPr>
            <w:tcW w:w="3402" w:type="dxa"/>
            <w:shd w:val="clear" w:color="auto" w:fill="auto"/>
            <w:noWrap/>
            <w:vAlign w:val="center"/>
          </w:tcPr>
          <w:p>
            <w:pPr>
              <w:widowControl/>
              <w:spacing w:line="360" w:lineRule="auto"/>
              <w:ind w:firstLine="480" w:firstLineChars="200"/>
              <w:textAlignment w:val="center"/>
              <w:rPr>
                <w:sz w:val="24"/>
              </w:rPr>
            </w:pPr>
            <w:r>
              <w:rPr>
                <w:kern w:val="0"/>
                <w:sz w:val="24"/>
              </w:rPr>
              <w:t>活动与讲座</w:t>
            </w:r>
          </w:p>
        </w:tc>
        <w:tc>
          <w:tcPr>
            <w:tcW w:w="3118" w:type="dxa"/>
            <w:shd w:val="clear" w:color="auto" w:fill="auto"/>
            <w:noWrap/>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2122" w:type="dxa"/>
            <w:vMerge w:val="restart"/>
            <w:shd w:val="clear" w:color="auto" w:fill="auto"/>
            <w:noWrap/>
            <w:vAlign w:val="center"/>
          </w:tcPr>
          <w:p>
            <w:pPr>
              <w:widowControl/>
              <w:spacing w:line="360" w:lineRule="auto"/>
              <w:ind w:firstLine="480" w:firstLineChars="200"/>
              <w:textAlignment w:val="center"/>
              <w:rPr>
                <w:sz w:val="24"/>
              </w:rPr>
            </w:pPr>
            <w:r>
              <w:rPr>
                <w:kern w:val="0"/>
                <w:sz w:val="24"/>
              </w:rPr>
              <w:t>党建园地</w:t>
            </w:r>
          </w:p>
        </w:tc>
        <w:tc>
          <w:tcPr>
            <w:tcW w:w="3402" w:type="dxa"/>
            <w:shd w:val="clear" w:color="auto" w:fill="auto"/>
            <w:noWrap/>
            <w:vAlign w:val="center"/>
          </w:tcPr>
          <w:p>
            <w:pPr>
              <w:widowControl/>
              <w:spacing w:line="360" w:lineRule="auto"/>
              <w:ind w:firstLine="480" w:firstLineChars="200"/>
              <w:textAlignment w:val="center"/>
              <w:rPr>
                <w:sz w:val="24"/>
              </w:rPr>
            </w:pPr>
            <w:r>
              <w:rPr>
                <w:kern w:val="0"/>
                <w:sz w:val="24"/>
              </w:rPr>
              <w:t>党建新闻</w:t>
            </w:r>
          </w:p>
        </w:tc>
        <w:tc>
          <w:tcPr>
            <w:tcW w:w="3118" w:type="dxa"/>
            <w:shd w:val="clear" w:color="auto" w:fill="auto"/>
            <w:noWrap/>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2122" w:type="dxa"/>
            <w:vMerge w:val="continue"/>
            <w:shd w:val="clear" w:color="auto" w:fill="auto"/>
            <w:noWrap/>
            <w:vAlign w:val="center"/>
          </w:tcPr>
          <w:p>
            <w:pPr>
              <w:spacing w:line="360" w:lineRule="auto"/>
              <w:ind w:firstLine="480" w:firstLineChars="200"/>
              <w:rPr>
                <w:sz w:val="24"/>
              </w:rPr>
            </w:pPr>
          </w:p>
        </w:tc>
        <w:tc>
          <w:tcPr>
            <w:tcW w:w="3402" w:type="dxa"/>
            <w:shd w:val="clear" w:color="auto" w:fill="auto"/>
            <w:noWrap/>
            <w:vAlign w:val="center"/>
          </w:tcPr>
          <w:p>
            <w:pPr>
              <w:widowControl/>
              <w:spacing w:line="360" w:lineRule="auto"/>
              <w:ind w:firstLine="480" w:firstLineChars="200"/>
              <w:textAlignment w:val="center"/>
              <w:rPr>
                <w:sz w:val="24"/>
              </w:rPr>
            </w:pPr>
            <w:r>
              <w:rPr>
                <w:kern w:val="0"/>
                <w:sz w:val="24"/>
              </w:rPr>
              <w:t>党务公开</w:t>
            </w:r>
          </w:p>
        </w:tc>
        <w:tc>
          <w:tcPr>
            <w:tcW w:w="3118" w:type="dxa"/>
            <w:shd w:val="clear" w:color="auto" w:fill="auto"/>
            <w:noWrap/>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2122" w:type="dxa"/>
            <w:vMerge w:val="continue"/>
            <w:shd w:val="clear" w:color="auto" w:fill="auto"/>
            <w:noWrap/>
            <w:vAlign w:val="center"/>
          </w:tcPr>
          <w:p>
            <w:pPr>
              <w:spacing w:line="360" w:lineRule="auto"/>
              <w:ind w:firstLine="480" w:firstLineChars="200"/>
              <w:rPr>
                <w:sz w:val="24"/>
              </w:rPr>
            </w:pPr>
          </w:p>
        </w:tc>
        <w:tc>
          <w:tcPr>
            <w:tcW w:w="3402" w:type="dxa"/>
            <w:shd w:val="clear" w:color="auto" w:fill="auto"/>
            <w:noWrap/>
            <w:vAlign w:val="center"/>
          </w:tcPr>
          <w:p>
            <w:pPr>
              <w:widowControl/>
              <w:spacing w:line="360" w:lineRule="auto"/>
              <w:ind w:firstLine="480" w:firstLineChars="200"/>
              <w:textAlignment w:val="center"/>
              <w:rPr>
                <w:sz w:val="24"/>
              </w:rPr>
            </w:pPr>
            <w:r>
              <w:rPr>
                <w:kern w:val="0"/>
                <w:sz w:val="24"/>
              </w:rPr>
              <w:t>支部活动</w:t>
            </w:r>
          </w:p>
        </w:tc>
        <w:tc>
          <w:tcPr>
            <w:tcW w:w="3118" w:type="dxa"/>
            <w:shd w:val="clear" w:color="auto" w:fill="auto"/>
            <w:noWrap/>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2122" w:type="dxa"/>
            <w:vMerge w:val="continue"/>
            <w:shd w:val="clear" w:color="auto" w:fill="auto"/>
            <w:noWrap/>
            <w:vAlign w:val="center"/>
          </w:tcPr>
          <w:p>
            <w:pPr>
              <w:spacing w:line="360" w:lineRule="auto"/>
              <w:ind w:firstLine="480" w:firstLineChars="200"/>
              <w:rPr>
                <w:sz w:val="24"/>
              </w:rPr>
            </w:pPr>
          </w:p>
        </w:tc>
        <w:tc>
          <w:tcPr>
            <w:tcW w:w="3402" w:type="dxa"/>
            <w:shd w:val="clear" w:color="auto" w:fill="auto"/>
            <w:noWrap/>
            <w:vAlign w:val="center"/>
          </w:tcPr>
          <w:p>
            <w:pPr>
              <w:widowControl/>
              <w:spacing w:line="360" w:lineRule="auto"/>
              <w:ind w:firstLine="480" w:firstLineChars="200"/>
              <w:textAlignment w:val="center"/>
              <w:rPr>
                <w:sz w:val="24"/>
              </w:rPr>
            </w:pPr>
            <w:r>
              <w:rPr>
                <w:kern w:val="0"/>
                <w:sz w:val="24"/>
              </w:rPr>
              <w:t>志愿者之家</w:t>
            </w:r>
          </w:p>
        </w:tc>
        <w:tc>
          <w:tcPr>
            <w:tcW w:w="3118" w:type="dxa"/>
            <w:shd w:val="clear" w:color="auto" w:fill="auto"/>
            <w:noWrap/>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2122" w:type="dxa"/>
            <w:vMerge w:val="restart"/>
            <w:shd w:val="clear" w:color="auto" w:fill="auto"/>
            <w:noWrap/>
            <w:vAlign w:val="center"/>
          </w:tcPr>
          <w:p>
            <w:pPr>
              <w:widowControl/>
              <w:spacing w:line="360" w:lineRule="auto"/>
              <w:ind w:firstLine="480" w:firstLineChars="200"/>
              <w:textAlignment w:val="center"/>
              <w:rPr>
                <w:sz w:val="24"/>
              </w:rPr>
            </w:pPr>
            <w:r>
              <w:rPr>
                <w:kern w:val="0"/>
                <w:sz w:val="24"/>
              </w:rPr>
              <w:t>临床工作</w:t>
            </w:r>
          </w:p>
        </w:tc>
        <w:tc>
          <w:tcPr>
            <w:tcW w:w="3402" w:type="dxa"/>
            <w:shd w:val="clear" w:color="auto" w:fill="auto"/>
            <w:noWrap/>
            <w:vAlign w:val="center"/>
          </w:tcPr>
          <w:p>
            <w:pPr>
              <w:widowControl/>
              <w:spacing w:line="360" w:lineRule="auto"/>
              <w:ind w:firstLine="480" w:firstLineChars="200"/>
              <w:textAlignment w:val="center"/>
              <w:rPr>
                <w:sz w:val="24"/>
              </w:rPr>
            </w:pPr>
            <w:r>
              <w:rPr>
                <w:kern w:val="0"/>
                <w:sz w:val="24"/>
              </w:rPr>
              <w:t>医务管理</w:t>
            </w:r>
          </w:p>
        </w:tc>
        <w:tc>
          <w:tcPr>
            <w:tcW w:w="3118" w:type="dxa"/>
            <w:shd w:val="clear" w:color="auto" w:fill="auto"/>
            <w:noWrap/>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trPr>
        <w:tc>
          <w:tcPr>
            <w:tcW w:w="2122" w:type="dxa"/>
            <w:vMerge w:val="continue"/>
            <w:shd w:val="clear" w:color="auto" w:fill="auto"/>
            <w:noWrap/>
            <w:vAlign w:val="center"/>
          </w:tcPr>
          <w:p>
            <w:pPr>
              <w:spacing w:line="360" w:lineRule="auto"/>
              <w:ind w:firstLine="480" w:firstLineChars="200"/>
              <w:rPr>
                <w:sz w:val="24"/>
              </w:rPr>
            </w:pPr>
          </w:p>
        </w:tc>
        <w:tc>
          <w:tcPr>
            <w:tcW w:w="3402" w:type="dxa"/>
            <w:vMerge w:val="restart"/>
            <w:shd w:val="clear" w:color="auto" w:fill="auto"/>
            <w:noWrap/>
            <w:vAlign w:val="center"/>
          </w:tcPr>
          <w:p>
            <w:pPr>
              <w:widowControl/>
              <w:spacing w:line="360" w:lineRule="auto"/>
              <w:ind w:firstLine="480" w:firstLineChars="200"/>
              <w:textAlignment w:val="center"/>
              <w:rPr>
                <w:sz w:val="24"/>
              </w:rPr>
            </w:pPr>
            <w:r>
              <w:rPr>
                <w:kern w:val="0"/>
                <w:sz w:val="24"/>
              </w:rPr>
              <w:t>质量管理</w:t>
            </w:r>
          </w:p>
        </w:tc>
        <w:tc>
          <w:tcPr>
            <w:tcW w:w="3118" w:type="dxa"/>
            <w:shd w:val="clear" w:color="auto" w:fill="auto"/>
            <w:vAlign w:val="center"/>
          </w:tcPr>
          <w:p>
            <w:pPr>
              <w:widowControl/>
              <w:spacing w:line="360" w:lineRule="auto"/>
              <w:ind w:firstLine="480" w:firstLineChars="200"/>
              <w:textAlignment w:val="center"/>
              <w:rPr>
                <w:sz w:val="24"/>
              </w:rPr>
            </w:pPr>
            <w:r>
              <w:rPr>
                <w:kern w:val="0"/>
                <w:sz w:val="24"/>
              </w:rPr>
              <w:t>质量管理栏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trPr>
        <w:tc>
          <w:tcPr>
            <w:tcW w:w="2122" w:type="dxa"/>
            <w:vMerge w:val="continue"/>
            <w:shd w:val="clear" w:color="auto" w:fill="auto"/>
            <w:noWrap/>
            <w:vAlign w:val="center"/>
          </w:tcPr>
          <w:p>
            <w:pPr>
              <w:spacing w:line="360" w:lineRule="auto"/>
              <w:ind w:firstLine="480" w:firstLineChars="200"/>
              <w:rPr>
                <w:sz w:val="24"/>
              </w:rPr>
            </w:pPr>
          </w:p>
        </w:tc>
        <w:tc>
          <w:tcPr>
            <w:tcW w:w="3402" w:type="dxa"/>
            <w:vMerge w:val="continue"/>
            <w:shd w:val="clear" w:color="auto" w:fill="auto"/>
            <w:noWrap/>
            <w:vAlign w:val="center"/>
          </w:tcPr>
          <w:p>
            <w:pPr>
              <w:spacing w:line="360" w:lineRule="auto"/>
              <w:ind w:firstLine="480" w:firstLineChars="200"/>
              <w:rPr>
                <w:sz w:val="24"/>
              </w:rPr>
            </w:pPr>
          </w:p>
        </w:tc>
        <w:tc>
          <w:tcPr>
            <w:tcW w:w="3118" w:type="dxa"/>
            <w:shd w:val="clear" w:color="auto" w:fill="auto"/>
            <w:vAlign w:val="center"/>
          </w:tcPr>
          <w:p>
            <w:pPr>
              <w:widowControl/>
              <w:spacing w:line="360" w:lineRule="auto"/>
              <w:ind w:firstLine="480" w:firstLineChars="200"/>
              <w:textAlignment w:val="center"/>
              <w:rPr>
                <w:sz w:val="24"/>
              </w:rPr>
            </w:pPr>
            <w:r>
              <w:rPr>
                <w:kern w:val="0"/>
                <w:sz w:val="24"/>
              </w:rPr>
              <w:t>DRG专栏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trPr>
        <w:tc>
          <w:tcPr>
            <w:tcW w:w="2122" w:type="dxa"/>
            <w:vMerge w:val="continue"/>
            <w:shd w:val="clear" w:color="auto" w:fill="auto"/>
            <w:noWrap/>
            <w:vAlign w:val="center"/>
          </w:tcPr>
          <w:p>
            <w:pPr>
              <w:spacing w:line="360" w:lineRule="auto"/>
              <w:ind w:firstLine="480" w:firstLineChars="200"/>
              <w:rPr>
                <w:sz w:val="24"/>
              </w:rPr>
            </w:pPr>
          </w:p>
        </w:tc>
        <w:tc>
          <w:tcPr>
            <w:tcW w:w="3402" w:type="dxa"/>
            <w:vMerge w:val="continue"/>
            <w:shd w:val="clear" w:color="auto" w:fill="auto"/>
            <w:noWrap/>
            <w:vAlign w:val="center"/>
          </w:tcPr>
          <w:p>
            <w:pPr>
              <w:spacing w:line="360" w:lineRule="auto"/>
              <w:ind w:firstLine="480" w:firstLineChars="200"/>
              <w:rPr>
                <w:sz w:val="24"/>
              </w:rPr>
            </w:pPr>
          </w:p>
        </w:tc>
        <w:tc>
          <w:tcPr>
            <w:tcW w:w="3118" w:type="dxa"/>
            <w:shd w:val="clear" w:color="auto" w:fill="auto"/>
            <w:vAlign w:val="center"/>
          </w:tcPr>
          <w:p>
            <w:pPr>
              <w:widowControl/>
              <w:spacing w:line="360" w:lineRule="auto"/>
              <w:ind w:firstLine="480" w:firstLineChars="200"/>
              <w:textAlignment w:val="center"/>
              <w:rPr>
                <w:sz w:val="24"/>
              </w:rPr>
            </w:pPr>
            <w:r>
              <w:rPr>
                <w:kern w:val="0"/>
                <w:sz w:val="24"/>
              </w:rPr>
              <w:t>临床路径栏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trPr>
        <w:tc>
          <w:tcPr>
            <w:tcW w:w="2122" w:type="dxa"/>
            <w:vMerge w:val="continue"/>
            <w:shd w:val="clear" w:color="auto" w:fill="auto"/>
            <w:noWrap/>
            <w:vAlign w:val="center"/>
          </w:tcPr>
          <w:p>
            <w:pPr>
              <w:spacing w:line="360" w:lineRule="auto"/>
              <w:ind w:firstLine="480" w:firstLineChars="200"/>
              <w:rPr>
                <w:sz w:val="24"/>
              </w:rPr>
            </w:pPr>
          </w:p>
        </w:tc>
        <w:tc>
          <w:tcPr>
            <w:tcW w:w="3402" w:type="dxa"/>
            <w:vMerge w:val="continue"/>
            <w:shd w:val="clear" w:color="auto" w:fill="auto"/>
            <w:noWrap/>
            <w:vAlign w:val="center"/>
          </w:tcPr>
          <w:p>
            <w:pPr>
              <w:spacing w:line="360" w:lineRule="auto"/>
              <w:ind w:firstLine="480" w:firstLineChars="200"/>
              <w:rPr>
                <w:sz w:val="24"/>
              </w:rPr>
            </w:pPr>
          </w:p>
        </w:tc>
        <w:tc>
          <w:tcPr>
            <w:tcW w:w="3118" w:type="dxa"/>
            <w:shd w:val="clear" w:color="auto" w:fill="auto"/>
            <w:vAlign w:val="center"/>
          </w:tcPr>
          <w:p>
            <w:pPr>
              <w:widowControl/>
              <w:spacing w:line="360" w:lineRule="auto"/>
              <w:ind w:firstLine="480" w:firstLineChars="200"/>
              <w:textAlignment w:val="center"/>
              <w:rPr>
                <w:sz w:val="24"/>
              </w:rPr>
            </w:pPr>
            <w:r>
              <w:rPr>
                <w:kern w:val="0"/>
                <w:sz w:val="24"/>
              </w:rPr>
              <w:t>病历质量栏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trPr>
        <w:tc>
          <w:tcPr>
            <w:tcW w:w="2122" w:type="dxa"/>
            <w:vMerge w:val="continue"/>
            <w:shd w:val="clear" w:color="auto" w:fill="auto"/>
            <w:noWrap/>
            <w:vAlign w:val="center"/>
          </w:tcPr>
          <w:p>
            <w:pPr>
              <w:spacing w:line="360" w:lineRule="auto"/>
              <w:ind w:firstLine="480" w:firstLineChars="200"/>
              <w:rPr>
                <w:sz w:val="24"/>
              </w:rPr>
            </w:pPr>
          </w:p>
        </w:tc>
        <w:tc>
          <w:tcPr>
            <w:tcW w:w="3402" w:type="dxa"/>
            <w:vMerge w:val="continue"/>
            <w:shd w:val="clear" w:color="auto" w:fill="auto"/>
            <w:noWrap/>
            <w:vAlign w:val="center"/>
          </w:tcPr>
          <w:p>
            <w:pPr>
              <w:spacing w:line="360" w:lineRule="auto"/>
              <w:ind w:firstLine="480" w:firstLineChars="200"/>
              <w:rPr>
                <w:sz w:val="24"/>
              </w:rPr>
            </w:pPr>
          </w:p>
        </w:tc>
        <w:tc>
          <w:tcPr>
            <w:tcW w:w="3118" w:type="dxa"/>
            <w:shd w:val="clear" w:color="auto" w:fill="auto"/>
            <w:vAlign w:val="center"/>
          </w:tcPr>
          <w:p>
            <w:pPr>
              <w:widowControl/>
              <w:spacing w:line="360" w:lineRule="auto"/>
              <w:ind w:firstLine="480" w:firstLineChars="200"/>
              <w:textAlignment w:val="center"/>
              <w:rPr>
                <w:sz w:val="24"/>
              </w:rPr>
            </w:pPr>
            <w:r>
              <w:rPr>
                <w:kern w:val="0"/>
                <w:sz w:val="24"/>
              </w:rPr>
              <w:t>单病种管理栏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2122" w:type="dxa"/>
            <w:vMerge w:val="continue"/>
            <w:shd w:val="clear" w:color="auto" w:fill="auto"/>
            <w:noWrap/>
            <w:vAlign w:val="center"/>
          </w:tcPr>
          <w:p>
            <w:pPr>
              <w:spacing w:line="360" w:lineRule="auto"/>
              <w:ind w:firstLine="480" w:firstLineChars="200"/>
              <w:rPr>
                <w:sz w:val="24"/>
              </w:rPr>
            </w:pPr>
          </w:p>
        </w:tc>
        <w:tc>
          <w:tcPr>
            <w:tcW w:w="3402" w:type="dxa"/>
            <w:shd w:val="clear" w:color="auto" w:fill="auto"/>
            <w:noWrap/>
            <w:vAlign w:val="center"/>
          </w:tcPr>
          <w:p>
            <w:pPr>
              <w:widowControl/>
              <w:spacing w:line="360" w:lineRule="auto"/>
              <w:ind w:firstLine="480" w:firstLineChars="200"/>
              <w:textAlignment w:val="center"/>
              <w:rPr>
                <w:sz w:val="24"/>
              </w:rPr>
            </w:pPr>
            <w:r>
              <w:rPr>
                <w:kern w:val="0"/>
                <w:sz w:val="24"/>
              </w:rPr>
              <w:t>医保之窗</w:t>
            </w:r>
          </w:p>
        </w:tc>
        <w:tc>
          <w:tcPr>
            <w:tcW w:w="3118" w:type="dxa"/>
            <w:shd w:val="clear" w:color="auto" w:fill="auto"/>
            <w:noWrap/>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2122" w:type="dxa"/>
            <w:vMerge w:val="continue"/>
            <w:shd w:val="clear" w:color="auto" w:fill="auto"/>
            <w:noWrap/>
            <w:vAlign w:val="center"/>
          </w:tcPr>
          <w:p>
            <w:pPr>
              <w:spacing w:line="360" w:lineRule="auto"/>
              <w:ind w:firstLine="480" w:firstLineChars="200"/>
              <w:rPr>
                <w:sz w:val="24"/>
              </w:rPr>
            </w:pPr>
          </w:p>
        </w:tc>
        <w:tc>
          <w:tcPr>
            <w:tcW w:w="3402" w:type="dxa"/>
            <w:shd w:val="clear" w:color="auto" w:fill="auto"/>
            <w:noWrap/>
            <w:vAlign w:val="center"/>
          </w:tcPr>
          <w:p>
            <w:pPr>
              <w:widowControl/>
              <w:spacing w:line="360" w:lineRule="auto"/>
              <w:ind w:firstLine="480" w:firstLineChars="200"/>
              <w:textAlignment w:val="center"/>
              <w:rPr>
                <w:sz w:val="24"/>
              </w:rPr>
            </w:pPr>
            <w:r>
              <w:rPr>
                <w:kern w:val="0"/>
                <w:sz w:val="24"/>
              </w:rPr>
              <w:t>感染管理</w:t>
            </w:r>
          </w:p>
        </w:tc>
        <w:tc>
          <w:tcPr>
            <w:tcW w:w="3118" w:type="dxa"/>
            <w:shd w:val="clear" w:color="auto" w:fill="auto"/>
            <w:noWrap/>
            <w:vAlign w:val="center"/>
          </w:tcPr>
          <w:p>
            <w:pPr>
              <w:spacing w:line="360" w:lineRule="auto"/>
              <w:ind w:firstLine="480" w:firstLineChars="200"/>
              <w:rPr>
                <w:sz w:val="24"/>
              </w:rPr>
            </w:pPr>
          </w:p>
        </w:tc>
      </w:tr>
      <w:tr>
        <w:tblPrEx>
          <w:tblCellMar>
            <w:top w:w="15" w:type="dxa"/>
            <w:left w:w="15" w:type="dxa"/>
            <w:bottom w:w="15" w:type="dxa"/>
            <w:right w:w="15" w:type="dxa"/>
          </w:tblCellMar>
        </w:tblPrEx>
        <w:trPr>
          <w:trHeight w:val="465" w:hRule="atLeast"/>
        </w:trPr>
        <w:tc>
          <w:tcPr>
            <w:tcW w:w="2122" w:type="dxa"/>
            <w:vMerge w:val="continue"/>
            <w:shd w:val="clear" w:color="auto" w:fill="auto"/>
            <w:noWrap/>
            <w:vAlign w:val="center"/>
          </w:tcPr>
          <w:p>
            <w:pPr>
              <w:spacing w:line="360" w:lineRule="auto"/>
              <w:ind w:firstLine="480" w:firstLineChars="200"/>
              <w:rPr>
                <w:sz w:val="24"/>
              </w:rPr>
            </w:pPr>
          </w:p>
        </w:tc>
        <w:tc>
          <w:tcPr>
            <w:tcW w:w="3402" w:type="dxa"/>
            <w:shd w:val="clear" w:color="auto" w:fill="auto"/>
            <w:noWrap/>
            <w:vAlign w:val="center"/>
          </w:tcPr>
          <w:p>
            <w:pPr>
              <w:widowControl/>
              <w:spacing w:line="360" w:lineRule="auto"/>
              <w:ind w:firstLine="480" w:firstLineChars="200"/>
              <w:textAlignment w:val="center"/>
              <w:rPr>
                <w:sz w:val="24"/>
              </w:rPr>
            </w:pPr>
            <w:r>
              <w:rPr>
                <w:kern w:val="0"/>
                <w:sz w:val="24"/>
              </w:rPr>
              <w:t>门诊管理</w:t>
            </w:r>
          </w:p>
        </w:tc>
        <w:tc>
          <w:tcPr>
            <w:tcW w:w="3118" w:type="dxa"/>
            <w:shd w:val="clear" w:color="auto" w:fill="auto"/>
            <w:noWrap/>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2122" w:type="dxa"/>
            <w:vMerge w:val="continue"/>
            <w:shd w:val="clear" w:color="auto" w:fill="auto"/>
            <w:noWrap/>
            <w:vAlign w:val="center"/>
          </w:tcPr>
          <w:p>
            <w:pPr>
              <w:spacing w:line="360" w:lineRule="auto"/>
              <w:ind w:firstLine="480" w:firstLineChars="200"/>
              <w:rPr>
                <w:sz w:val="24"/>
              </w:rPr>
            </w:pPr>
          </w:p>
        </w:tc>
        <w:tc>
          <w:tcPr>
            <w:tcW w:w="3402" w:type="dxa"/>
            <w:shd w:val="clear" w:color="auto" w:fill="auto"/>
            <w:noWrap/>
            <w:vAlign w:val="center"/>
          </w:tcPr>
          <w:p>
            <w:pPr>
              <w:widowControl/>
              <w:spacing w:line="360" w:lineRule="auto"/>
              <w:ind w:firstLine="480" w:firstLineChars="200"/>
              <w:textAlignment w:val="center"/>
              <w:rPr>
                <w:sz w:val="24"/>
              </w:rPr>
            </w:pPr>
            <w:r>
              <w:rPr>
                <w:kern w:val="0"/>
                <w:sz w:val="24"/>
              </w:rPr>
              <w:t>中医园地</w:t>
            </w:r>
          </w:p>
        </w:tc>
        <w:tc>
          <w:tcPr>
            <w:tcW w:w="3118" w:type="dxa"/>
            <w:shd w:val="clear" w:color="auto" w:fill="auto"/>
            <w:noWrap/>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2122" w:type="dxa"/>
            <w:vMerge w:val="continue"/>
            <w:shd w:val="clear" w:color="auto" w:fill="auto"/>
            <w:noWrap/>
            <w:vAlign w:val="center"/>
          </w:tcPr>
          <w:p>
            <w:pPr>
              <w:spacing w:line="360" w:lineRule="auto"/>
              <w:ind w:firstLine="480" w:firstLineChars="200"/>
              <w:rPr>
                <w:sz w:val="24"/>
              </w:rPr>
            </w:pPr>
          </w:p>
        </w:tc>
        <w:tc>
          <w:tcPr>
            <w:tcW w:w="3402" w:type="dxa"/>
            <w:shd w:val="clear" w:color="auto" w:fill="auto"/>
            <w:noWrap/>
            <w:vAlign w:val="center"/>
          </w:tcPr>
          <w:p>
            <w:pPr>
              <w:widowControl/>
              <w:spacing w:line="360" w:lineRule="auto"/>
              <w:ind w:firstLine="480" w:firstLineChars="200"/>
              <w:textAlignment w:val="center"/>
              <w:rPr>
                <w:sz w:val="24"/>
              </w:rPr>
            </w:pPr>
            <w:r>
              <w:rPr>
                <w:kern w:val="0"/>
                <w:sz w:val="24"/>
              </w:rPr>
              <w:t>药事天地</w:t>
            </w:r>
          </w:p>
        </w:tc>
        <w:tc>
          <w:tcPr>
            <w:tcW w:w="3118" w:type="dxa"/>
            <w:shd w:val="clear" w:color="auto" w:fill="auto"/>
            <w:noWrap/>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2122" w:type="dxa"/>
            <w:vMerge w:val="continue"/>
            <w:shd w:val="clear" w:color="auto" w:fill="auto"/>
            <w:noWrap/>
            <w:vAlign w:val="center"/>
          </w:tcPr>
          <w:p>
            <w:pPr>
              <w:spacing w:line="360" w:lineRule="auto"/>
              <w:ind w:firstLine="480" w:firstLineChars="200"/>
              <w:rPr>
                <w:sz w:val="24"/>
              </w:rPr>
            </w:pPr>
          </w:p>
        </w:tc>
        <w:tc>
          <w:tcPr>
            <w:tcW w:w="3402" w:type="dxa"/>
            <w:shd w:val="clear" w:color="auto" w:fill="auto"/>
            <w:noWrap/>
            <w:vAlign w:val="center"/>
          </w:tcPr>
          <w:p>
            <w:pPr>
              <w:widowControl/>
              <w:spacing w:line="360" w:lineRule="auto"/>
              <w:ind w:firstLine="480" w:firstLineChars="200"/>
              <w:textAlignment w:val="center"/>
              <w:rPr>
                <w:sz w:val="24"/>
              </w:rPr>
            </w:pPr>
            <w:r>
              <w:rPr>
                <w:kern w:val="0"/>
                <w:sz w:val="24"/>
              </w:rPr>
              <w:t>检验园地</w:t>
            </w:r>
          </w:p>
        </w:tc>
        <w:tc>
          <w:tcPr>
            <w:tcW w:w="3118" w:type="dxa"/>
            <w:shd w:val="clear" w:color="auto" w:fill="auto"/>
            <w:noWrap/>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2122" w:type="dxa"/>
            <w:vMerge w:val="restart"/>
            <w:shd w:val="clear" w:color="auto" w:fill="auto"/>
            <w:noWrap/>
            <w:vAlign w:val="center"/>
          </w:tcPr>
          <w:p>
            <w:pPr>
              <w:widowControl/>
              <w:spacing w:line="360" w:lineRule="auto"/>
              <w:ind w:firstLine="480" w:firstLineChars="200"/>
              <w:textAlignment w:val="center"/>
              <w:rPr>
                <w:sz w:val="24"/>
              </w:rPr>
            </w:pPr>
            <w:r>
              <w:rPr>
                <w:kern w:val="0"/>
                <w:sz w:val="24"/>
              </w:rPr>
              <w:t>护理天地</w:t>
            </w:r>
          </w:p>
        </w:tc>
        <w:tc>
          <w:tcPr>
            <w:tcW w:w="3402" w:type="dxa"/>
            <w:shd w:val="clear" w:color="auto" w:fill="auto"/>
            <w:noWrap/>
            <w:vAlign w:val="center"/>
          </w:tcPr>
          <w:p>
            <w:pPr>
              <w:widowControl/>
              <w:spacing w:line="360" w:lineRule="auto"/>
              <w:ind w:firstLine="480" w:firstLineChars="200"/>
              <w:textAlignment w:val="center"/>
              <w:rPr>
                <w:sz w:val="24"/>
              </w:rPr>
            </w:pPr>
            <w:r>
              <w:rPr>
                <w:kern w:val="0"/>
                <w:sz w:val="24"/>
              </w:rPr>
              <w:t>护理动态</w:t>
            </w:r>
          </w:p>
        </w:tc>
        <w:tc>
          <w:tcPr>
            <w:tcW w:w="3118" w:type="dxa"/>
            <w:shd w:val="clear" w:color="auto" w:fill="auto"/>
            <w:noWrap/>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2122" w:type="dxa"/>
            <w:vMerge w:val="continue"/>
            <w:shd w:val="clear" w:color="auto" w:fill="auto"/>
            <w:noWrap/>
            <w:vAlign w:val="center"/>
          </w:tcPr>
          <w:p>
            <w:pPr>
              <w:spacing w:line="360" w:lineRule="auto"/>
              <w:ind w:firstLine="480" w:firstLineChars="200"/>
              <w:rPr>
                <w:sz w:val="24"/>
              </w:rPr>
            </w:pPr>
          </w:p>
        </w:tc>
        <w:tc>
          <w:tcPr>
            <w:tcW w:w="3402" w:type="dxa"/>
            <w:shd w:val="clear" w:color="auto" w:fill="auto"/>
            <w:noWrap/>
            <w:vAlign w:val="center"/>
          </w:tcPr>
          <w:p>
            <w:pPr>
              <w:widowControl/>
              <w:spacing w:line="360" w:lineRule="auto"/>
              <w:ind w:firstLine="480" w:firstLineChars="200"/>
              <w:textAlignment w:val="center"/>
              <w:rPr>
                <w:sz w:val="24"/>
              </w:rPr>
            </w:pPr>
            <w:r>
              <w:rPr>
                <w:kern w:val="0"/>
                <w:sz w:val="24"/>
              </w:rPr>
              <w:t>护理管理</w:t>
            </w:r>
          </w:p>
        </w:tc>
        <w:tc>
          <w:tcPr>
            <w:tcW w:w="3118" w:type="dxa"/>
            <w:shd w:val="clear" w:color="auto" w:fill="auto"/>
            <w:noWrap/>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2122" w:type="dxa"/>
            <w:vMerge w:val="restart"/>
            <w:shd w:val="clear" w:color="auto" w:fill="auto"/>
            <w:noWrap/>
            <w:vAlign w:val="center"/>
          </w:tcPr>
          <w:p>
            <w:pPr>
              <w:widowControl/>
              <w:spacing w:line="360" w:lineRule="auto"/>
              <w:ind w:firstLine="480" w:firstLineChars="200"/>
              <w:textAlignment w:val="center"/>
              <w:rPr>
                <w:sz w:val="24"/>
              </w:rPr>
            </w:pPr>
            <w:r>
              <w:rPr>
                <w:kern w:val="0"/>
                <w:sz w:val="24"/>
              </w:rPr>
              <w:t>综合管理</w:t>
            </w:r>
          </w:p>
        </w:tc>
        <w:tc>
          <w:tcPr>
            <w:tcW w:w="3402" w:type="dxa"/>
            <w:shd w:val="clear" w:color="auto" w:fill="auto"/>
            <w:noWrap/>
            <w:vAlign w:val="center"/>
          </w:tcPr>
          <w:p>
            <w:pPr>
              <w:widowControl/>
              <w:spacing w:line="360" w:lineRule="auto"/>
              <w:ind w:firstLine="480" w:firstLineChars="200"/>
              <w:textAlignment w:val="center"/>
              <w:rPr>
                <w:sz w:val="24"/>
              </w:rPr>
            </w:pPr>
            <w:r>
              <w:rPr>
                <w:kern w:val="0"/>
                <w:sz w:val="24"/>
              </w:rPr>
              <w:t>人力资源</w:t>
            </w:r>
          </w:p>
        </w:tc>
        <w:tc>
          <w:tcPr>
            <w:tcW w:w="3118" w:type="dxa"/>
            <w:shd w:val="clear" w:color="auto" w:fill="auto"/>
            <w:noWrap/>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2122" w:type="dxa"/>
            <w:vMerge w:val="continue"/>
            <w:shd w:val="clear" w:color="auto" w:fill="auto"/>
            <w:noWrap/>
            <w:vAlign w:val="center"/>
          </w:tcPr>
          <w:p>
            <w:pPr>
              <w:spacing w:line="360" w:lineRule="auto"/>
              <w:ind w:firstLine="480" w:firstLineChars="200"/>
              <w:rPr>
                <w:sz w:val="24"/>
              </w:rPr>
            </w:pPr>
          </w:p>
        </w:tc>
        <w:tc>
          <w:tcPr>
            <w:tcW w:w="3402" w:type="dxa"/>
            <w:shd w:val="clear" w:color="auto" w:fill="auto"/>
            <w:noWrap/>
            <w:vAlign w:val="center"/>
          </w:tcPr>
          <w:p>
            <w:pPr>
              <w:widowControl/>
              <w:spacing w:line="360" w:lineRule="auto"/>
              <w:ind w:firstLine="480" w:firstLineChars="200"/>
              <w:textAlignment w:val="center"/>
              <w:rPr>
                <w:sz w:val="24"/>
              </w:rPr>
            </w:pPr>
            <w:r>
              <w:rPr>
                <w:kern w:val="0"/>
                <w:sz w:val="24"/>
              </w:rPr>
              <w:t>信息中心</w:t>
            </w:r>
          </w:p>
        </w:tc>
        <w:tc>
          <w:tcPr>
            <w:tcW w:w="3118" w:type="dxa"/>
            <w:shd w:val="clear" w:color="auto" w:fill="auto"/>
            <w:noWrap/>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2122" w:type="dxa"/>
            <w:vMerge w:val="continue"/>
            <w:shd w:val="clear" w:color="auto" w:fill="auto"/>
            <w:noWrap/>
            <w:vAlign w:val="center"/>
          </w:tcPr>
          <w:p>
            <w:pPr>
              <w:spacing w:line="360" w:lineRule="auto"/>
              <w:ind w:firstLine="480" w:firstLineChars="200"/>
              <w:rPr>
                <w:sz w:val="24"/>
              </w:rPr>
            </w:pPr>
          </w:p>
        </w:tc>
        <w:tc>
          <w:tcPr>
            <w:tcW w:w="3402" w:type="dxa"/>
            <w:shd w:val="clear" w:color="auto" w:fill="auto"/>
            <w:noWrap/>
            <w:vAlign w:val="center"/>
          </w:tcPr>
          <w:p>
            <w:pPr>
              <w:widowControl/>
              <w:spacing w:line="360" w:lineRule="auto"/>
              <w:ind w:firstLine="480" w:firstLineChars="200"/>
              <w:textAlignment w:val="center"/>
              <w:rPr>
                <w:sz w:val="24"/>
              </w:rPr>
            </w:pPr>
            <w:r>
              <w:rPr>
                <w:kern w:val="0"/>
                <w:sz w:val="24"/>
              </w:rPr>
              <w:t>后勤服务</w:t>
            </w:r>
          </w:p>
        </w:tc>
        <w:tc>
          <w:tcPr>
            <w:tcW w:w="3118" w:type="dxa"/>
            <w:shd w:val="clear" w:color="auto" w:fill="auto"/>
            <w:noWrap/>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2122" w:type="dxa"/>
            <w:vMerge w:val="continue"/>
            <w:shd w:val="clear" w:color="auto" w:fill="auto"/>
            <w:noWrap/>
            <w:vAlign w:val="center"/>
          </w:tcPr>
          <w:p>
            <w:pPr>
              <w:spacing w:line="360" w:lineRule="auto"/>
              <w:ind w:firstLine="480" w:firstLineChars="200"/>
              <w:rPr>
                <w:sz w:val="24"/>
              </w:rPr>
            </w:pPr>
          </w:p>
        </w:tc>
        <w:tc>
          <w:tcPr>
            <w:tcW w:w="3402" w:type="dxa"/>
            <w:shd w:val="clear" w:color="auto" w:fill="auto"/>
            <w:noWrap/>
            <w:vAlign w:val="center"/>
          </w:tcPr>
          <w:p>
            <w:pPr>
              <w:widowControl/>
              <w:spacing w:line="360" w:lineRule="auto"/>
              <w:ind w:firstLine="480" w:firstLineChars="200"/>
              <w:textAlignment w:val="center"/>
              <w:rPr>
                <w:sz w:val="24"/>
              </w:rPr>
            </w:pPr>
            <w:r>
              <w:rPr>
                <w:kern w:val="0"/>
                <w:sz w:val="24"/>
              </w:rPr>
              <w:t>医患之间</w:t>
            </w:r>
          </w:p>
        </w:tc>
        <w:tc>
          <w:tcPr>
            <w:tcW w:w="3118" w:type="dxa"/>
            <w:shd w:val="clear" w:color="auto" w:fill="auto"/>
            <w:noWrap/>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2122" w:type="dxa"/>
            <w:vMerge w:val="continue"/>
            <w:shd w:val="clear" w:color="auto" w:fill="auto"/>
            <w:noWrap/>
            <w:vAlign w:val="center"/>
          </w:tcPr>
          <w:p>
            <w:pPr>
              <w:spacing w:line="360" w:lineRule="auto"/>
              <w:ind w:firstLine="480" w:firstLineChars="200"/>
              <w:rPr>
                <w:sz w:val="24"/>
              </w:rPr>
            </w:pPr>
          </w:p>
        </w:tc>
        <w:tc>
          <w:tcPr>
            <w:tcW w:w="3402" w:type="dxa"/>
            <w:shd w:val="clear" w:color="auto" w:fill="auto"/>
            <w:noWrap/>
            <w:vAlign w:val="center"/>
          </w:tcPr>
          <w:p>
            <w:pPr>
              <w:widowControl/>
              <w:spacing w:line="360" w:lineRule="auto"/>
              <w:ind w:firstLine="480" w:firstLineChars="200"/>
              <w:textAlignment w:val="center"/>
              <w:rPr>
                <w:sz w:val="24"/>
              </w:rPr>
            </w:pPr>
            <w:r>
              <w:rPr>
                <w:kern w:val="0"/>
                <w:sz w:val="24"/>
              </w:rPr>
              <w:t>科研教学</w:t>
            </w:r>
          </w:p>
        </w:tc>
        <w:tc>
          <w:tcPr>
            <w:tcW w:w="3118" w:type="dxa"/>
            <w:shd w:val="clear" w:color="auto" w:fill="auto"/>
            <w:noWrap/>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2122" w:type="dxa"/>
            <w:vMerge w:val="restart"/>
            <w:shd w:val="clear" w:color="auto" w:fill="auto"/>
            <w:noWrap/>
            <w:vAlign w:val="center"/>
          </w:tcPr>
          <w:p>
            <w:pPr>
              <w:widowControl/>
              <w:spacing w:line="360" w:lineRule="auto"/>
              <w:ind w:firstLine="480" w:firstLineChars="200"/>
              <w:textAlignment w:val="center"/>
              <w:rPr>
                <w:sz w:val="24"/>
              </w:rPr>
            </w:pPr>
            <w:r>
              <w:rPr>
                <w:kern w:val="0"/>
                <w:sz w:val="24"/>
              </w:rPr>
              <w:t>常用资讯</w:t>
            </w:r>
          </w:p>
        </w:tc>
        <w:tc>
          <w:tcPr>
            <w:tcW w:w="3402" w:type="dxa"/>
            <w:shd w:val="clear" w:color="auto" w:fill="auto"/>
            <w:noWrap/>
            <w:vAlign w:val="center"/>
          </w:tcPr>
          <w:p>
            <w:pPr>
              <w:widowControl/>
              <w:spacing w:line="360" w:lineRule="auto"/>
              <w:ind w:firstLine="480" w:firstLineChars="200"/>
              <w:textAlignment w:val="center"/>
              <w:rPr>
                <w:sz w:val="24"/>
              </w:rPr>
            </w:pPr>
            <w:r>
              <w:rPr>
                <w:kern w:val="0"/>
                <w:sz w:val="24"/>
              </w:rPr>
              <w:t>各类排班</w:t>
            </w:r>
          </w:p>
        </w:tc>
        <w:tc>
          <w:tcPr>
            <w:tcW w:w="3118" w:type="dxa"/>
            <w:shd w:val="clear" w:color="auto" w:fill="auto"/>
            <w:noWrap/>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2122" w:type="dxa"/>
            <w:vMerge w:val="continue"/>
            <w:shd w:val="clear" w:color="auto" w:fill="auto"/>
            <w:noWrap/>
            <w:vAlign w:val="center"/>
          </w:tcPr>
          <w:p>
            <w:pPr>
              <w:spacing w:line="360" w:lineRule="auto"/>
              <w:ind w:firstLine="480" w:firstLineChars="200"/>
              <w:rPr>
                <w:sz w:val="24"/>
              </w:rPr>
            </w:pPr>
          </w:p>
        </w:tc>
        <w:tc>
          <w:tcPr>
            <w:tcW w:w="3402" w:type="dxa"/>
            <w:shd w:val="clear" w:color="auto" w:fill="auto"/>
            <w:noWrap/>
            <w:vAlign w:val="center"/>
          </w:tcPr>
          <w:p>
            <w:pPr>
              <w:widowControl/>
              <w:spacing w:line="360" w:lineRule="auto"/>
              <w:ind w:firstLine="480" w:firstLineChars="200"/>
              <w:textAlignment w:val="center"/>
              <w:rPr>
                <w:sz w:val="24"/>
              </w:rPr>
            </w:pPr>
            <w:r>
              <w:rPr>
                <w:kern w:val="0"/>
                <w:sz w:val="24"/>
              </w:rPr>
              <w:t>周会纪要</w:t>
            </w:r>
          </w:p>
        </w:tc>
        <w:tc>
          <w:tcPr>
            <w:tcW w:w="3118" w:type="dxa"/>
            <w:shd w:val="clear" w:color="auto" w:fill="auto"/>
            <w:noWrap/>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trPr>
        <w:tc>
          <w:tcPr>
            <w:tcW w:w="2122" w:type="dxa"/>
            <w:vMerge w:val="continue"/>
            <w:shd w:val="clear" w:color="auto" w:fill="auto"/>
            <w:noWrap/>
            <w:vAlign w:val="center"/>
          </w:tcPr>
          <w:p>
            <w:pPr>
              <w:spacing w:line="360" w:lineRule="auto"/>
              <w:ind w:firstLine="480" w:firstLineChars="200"/>
              <w:rPr>
                <w:sz w:val="24"/>
              </w:rPr>
            </w:pPr>
          </w:p>
        </w:tc>
        <w:tc>
          <w:tcPr>
            <w:tcW w:w="3402" w:type="dxa"/>
            <w:vMerge w:val="restart"/>
            <w:shd w:val="clear" w:color="auto" w:fill="auto"/>
            <w:noWrap/>
            <w:vAlign w:val="center"/>
          </w:tcPr>
          <w:p>
            <w:pPr>
              <w:widowControl/>
              <w:spacing w:line="360" w:lineRule="auto"/>
              <w:ind w:firstLine="480" w:firstLineChars="200"/>
              <w:textAlignment w:val="center"/>
              <w:rPr>
                <w:sz w:val="24"/>
              </w:rPr>
            </w:pPr>
            <w:r>
              <w:rPr>
                <w:kern w:val="0"/>
                <w:sz w:val="24"/>
              </w:rPr>
              <w:t>院务公开</w:t>
            </w:r>
          </w:p>
        </w:tc>
        <w:tc>
          <w:tcPr>
            <w:tcW w:w="3118" w:type="dxa"/>
            <w:shd w:val="clear" w:color="auto" w:fill="auto"/>
            <w:vAlign w:val="center"/>
          </w:tcPr>
          <w:p>
            <w:pPr>
              <w:widowControl/>
              <w:spacing w:line="360" w:lineRule="auto"/>
              <w:ind w:firstLine="480" w:firstLineChars="200"/>
              <w:textAlignment w:val="center"/>
              <w:rPr>
                <w:sz w:val="24"/>
              </w:rPr>
            </w:pPr>
            <w:r>
              <w:rPr>
                <w:kern w:val="0"/>
                <w:sz w:val="24"/>
              </w:rPr>
              <w:t>三重一大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trPr>
        <w:tc>
          <w:tcPr>
            <w:tcW w:w="2122" w:type="dxa"/>
            <w:vMerge w:val="continue"/>
            <w:shd w:val="clear" w:color="auto" w:fill="auto"/>
            <w:noWrap/>
            <w:vAlign w:val="center"/>
          </w:tcPr>
          <w:p>
            <w:pPr>
              <w:spacing w:line="360" w:lineRule="auto"/>
              <w:ind w:firstLine="480" w:firstLineChars="200"/>
              <w:rPr>
                <w:sz w:val="24"/>
              </w:rPr>
            </w:pPr>
          </w:p>
        </w:tc>
        <w:tc>
          <w:tcPr>
            <w:tcW w:w="3402" w:type="dxa"/>
            <w:vMerge w:val="continue"/>
            <w:shd w:val="clear" w:color="auto" w:fill="auto"/>
            <w:noWrap/>
            <w:vAlign w:val="center"/>
          </w:tcPr>
          <w:p>
            <w:pPr>
              <w:spacing w:line="360" w:lineRule="auto"/>
              <w:ind w:firstLine="480" w:firstLineChars="200"/>
              <w:rPr>
                <w:sz w:val="24"/>
              </w:rPr>
            </w:pPr>
          </w:p>
        </w:tc>
        <w:tc>
          <w:tcPr>
            <w:tcW w:w="3118" w:type="dxa"/>
            <w:shd w:val="clear" w:color="auto" w:fill="auto"/>
            <w:vAlign w:val="center"/>
          </w:tcPr>
          <w:p>
            <w:pPr>
              <w:widowControl/>
              <w:spacing w:line="360" w:lineRule="auto"/>
              <w:ind w:firstLine="480" w:firstLineChars="200"/>
              <w:textAlignment w:val="center"/>
              <w:rPr>
                <w:sz w:val="24"/>
              </w:rPr>
            </w:pPr>
            <w:r>
              <w:rPr>
                <w:kern w:val="0"/>
                <w:sz w:val="24"/>
              </w:rPr>
              <w:t>医院规划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trPr>
        <w:tc>
          <w:tcPr>
            <w:tcW w:w="2122" w:type="dxa"/>
            <w:vMerge w:val="continue"/>
            <w:shd w:val="clear" w:color="auto" w:fill="auto"/>
            <w:noWrap/>
            <w:vAlign w:val="center"/>
          </w:tcPr>
          <w:p>
            <w:pPr>
              <w:spacing w:line="360" w:lineRule="auto"/>
              <w:ind w:firstLine="480" w:firstLineChars="200"/>
              <w:rPr>
                <w:sz w:val="24"/>
              </w:rPr>
            </w:pPr>
          </w:p>
        </w:tc>
        <w:tc>
          <w:tcPr>
            <w:tcW w:w="3402" w:type="dxa"/>
            <w:vMerge w:val="continue"/>
            <w:shd w:val="clear" w:color="auto" w:fill="auto"/>
            <w:noWrap/>
            <w:vAlign w:val="center"/>
          </w:tcPr>
          <w:p>
            <w:pPr>
              <w:spacing w:line="360" w:lineRule="auto"/>
              <w:ind w:firstLine="480" w:firstLineChars="200"/>
              <w:rPr>
                <w:sz w:val="24"/>
              </w:rPr>
            </w:pPr>
          </w:p>
        </w:tc>
        <w:tc>
          <w:tcPr>
            <w:tcW w:w="3118" w:type="dxa"/>
            <w:shd w:val="clear" w:color="auto" w:fill="auto"/>
            <w:vAlign w:val="center"/>
          </w:tcPr>
          <w:p>
            <w:pPr>
              <w:widowControl/>
              <w:spacing w:line="360" w:lineRule="auto"/>
              <w:ind w:firstLine="480" w:firstLineChars="200"/>
              <w:textAlignment w:val="center"/>
              <w:rPr>
                <w:sz w:val="24"/>
              </w:rPr>
            </w:pPr>
            <w:r>
              <w:rPr>
                <w:kern w:val="0"/>
                <w:sz w:val="24"/>
              </w:rPr>
              <w:t>组织架构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trPr>
        <w:tc>
          <w:tcPr>
            <w:tcW w:w="2122" w:type="dxa"/>
            <w:vMerge w:val="continue"/>
            <w:shd w:val="clear" w:color="auto" w:fill="auto"/>
            <w:noWrap/>
            <w:vAlign w:val="center"/>
          </w:tcPr>
          <w:p>
            <w:pPr>
              <w:spacing w:line="360" w:lineRule="auto"/>
              <w:ind w:firstLine="480" w:firstLineChars="200"/>
              <w:rPr>
                <w:sz w:val="24"/>
              </w:rPr>
            </w:pPr>
          </w:p>
        </w:tc>
        <w:tc>
          <w:tcPr>
            <w:tcW w:w="3402" w:type="dxa"/>
            <w:vMerge w:val="continue"/>
            <w:shd w:val="clear" w:color="auto" w:fill="auto"/>
            <w:noWrap/>
            <w:vAlign w:val="center"/>
          </w:tcPr>
          <w:p>
            <w:pPr>
              <w:spacing w:line="360" w:lineRule="auto"/>
              <w:ind w:firstLine="480" w:firstLineChars="200"/>
              <w:rPr>
                <w:sz w:val="24"/>
              </w:rPr>
            </w:pPr>
          </w:p>
        </w:tc>
        <w:tc>
          <w:tcPr>
            <w:tcW w:w="3118" w:type="dxa"/>
            <w:shd w:val="clear" w:color="auto" w:fill="auto"/>
            <w:vAlign w:val="center"/>
          </w:tcPr>
          <w:p>
            <w:pPr>
              <w:widowControl/>
              <w:spacing w:line="360" w:lineRule="auto"/>
              <w:ind w:firstLine="480" w:firstLineChars="200"/>
              <w:textAlignment w:val="center"/>
              <w:rPr>
                <w:sz w:val="24"/>
              </w:rPr>
            </w:pPr>
            <w:r>
              <w:rPr>
                <w:kern w:val="0"/>
                <w:sz w:val="24"/>
              </w:rPr>
              <w:t>人事任免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trPr>
        <w:tc>
          <w:tcPr>
            <w:tcW w:w="2122" w:type="dxa"/>
            <w:vMerge w:val="continue"/>
            <w:shd w:val="clear" w:color="auto" w:fill="auto"/>
            <w:noWrap/>
            <w:vAlign w:val="center"/>
          </w:tcPr>
          <w:p>
            <w:pPr>
              <w:spacing w:line="360" w:lineRule="auto"/>
              <w:ind w:firstLine="480" w:firstLineChars="200"/>
              <w:rPr>
                <w:sz w:val="24"/>
              </w:rPr>
            </w:pPr>
          </w:p>
        </w:tc>
        <w:tc>
          <w:tcPr>
            <w:tcW w:w="3402" w:type="dxa"/>
            <w:vMerge w:val="continue"/>
            <w:shd w:val="clear" w:color="auto" w:fill="auto"/>
            <w:noWrap/>
            <w:vAlign w:val="center"/>
          </w:tcPr>
          <w:p>
            <w:pPr>
              <w:spacing w:line="360" w:lineRule="auto"/>
              <w:ind w:firstLine="480" w:firstLineChars="200"/>
              <w:rPr>
                <w:sz w:val="24"/>
              </w:rPr>
            </w:pPr>
          </w:p>
        </w:tc>
        <w:tc>
          <w:tcPr>
            <w:tcW w:w="3118" w:type="dxa"/>
            <w:shd w:val="clear" w:color="auto" w:fill="auto"/>
            <w:vAlign w:val="center"/>
          </w:tcPr>
          <w:p>
            <w:pPr>
              <w:widowControl/>
              <w:spacing w:line="360" w:lineRule="auto"/>
              <w:ind w:firstLine="480" w:firstLineChars="200"/>
              <w:textAlignment w:val="center"/>
              <w:rPr>
                <w:sz w:val="24"/>
              </w:rPr>
            </w:pPr>
            <w:r>
              <w:rPr>
                <w:kern w:val="0"/>
                <w:sz w:val="24"/>
              </w:rPr>
              <w:t>奖惩晋级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trPr>
        <w:tc>
          <w:tcPr>
            <w:tcW w:w="2122" w:type="dxa"/>
            <w:vMerge w:val="continue"/>
            <w:shd w:val="clear" w:color="auto" w:fill="auto"/>
            <w:noWrap/>
            <w:vAlign w:val="center"/>
          </w:tcPr>
          <w:p>
            <w:pPr>
              <w:spacing w:line="360" w:lineRule="auto"/>
              <w:ind w:firstLine="480" w:firstLineChars="200"/>
              <w:rPr>
                <w:sz w:val="24"/>
              </w:rPr>
            </w:pPr>
          </w:p>
        </w:tc>
        <w:tc>
          <w:tcPr>
            <w:tcW w:w="3402" w:type="dxa"/>
            <w:vMerge w:val="continue"/>
            <w:shd w:val="clear" w:color="auto" w:fill="auto"/>
            <w:noWrap/>
            <w:vAlign w:val="center"/>
          </w:tcPr>
          <w:p>
            <w:pPr>
              <w:spacing w:line="360" w:lineRule="auto"/>
              <w:ind w:firstLine="480" w:firstLineChars="200"/>
              <w:rPr>
                <w:sz w:val="24"/>
              </w:rPr>
            </w:pPr>
          </w:p>
        </w:tc>
        <w:tc>
          <w:tcPr>
            <w:tcW w:w="3118" w:type="dxa"/>
            <w:shd w:val="clear" w:color="auto" w:fill="auto"/>
            <w:vAlign w:val="center"/>
          </w:tcPr>
          <w:p>
            <w:pPr>
              <w:widowControl/>
              <w:spacing w:line="360" w:lineRule="auto"/>
              <w:ind w:firstLine="480" w:firstLineChars="200"/>
              <w:textAlignment w:val="center"/>
              <w:rPr>
                <w:sz w:val="24"/>
              </w:rPr>
            </w:pPr>
            <w:r>
              <w:rPr>
                <w:kern w:val="0"/>
                <w:sz w:val="24"/>
              </w:rPr>
              <w:t>职工福利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trPr>
        <w:tc>
          <w:tcPr>
            <w:tcW w:w="2122" w:type="dxa"/>
            <w:vMerge w:val="continue"/>
            <w:shd w:val="clear" w:color="auto" w:fill="auto"/>
            <w:noWrap/>
            <w:vAlign w:val="center"/>
          </w:tcPr>
          <w:p>
            <w:pPr>
              <w:spacing w:line="360" w:lineRule="auto"/>
              <w:ind w:firstLine="480" w:firstLineChars="200"/>
              <w:rPr>
                <w:sz w:val="24"/>
              </w:rPr>
            </w:pPr>
          </w:p>
        </w:tc>
        <w:tc>
          <w:tcPr>
            <w:tcW w:w="3402" w:type="dxa"/>
            <w:vMerge w:val="continue"/>
            <w:shd w:val="clear" w:color="auto" w:fill="auto"/>
            <w:noWrap/>
            <w:vAlign w:val="center"/>
          </w:tcPr>
          <w:p>
            <w:pPr>
              <w:spacing w:line="360" w:lineRule="auto"/>
              <w:ind w:firstLine="480" w:firstLineChars="200"/>
              <w:rPr>
                <w:sz w:val="24"/>
              </w:rPr>
            </w:pPr>
          </w:p>
        </w:tc>
        <w:tc>
          <w:tcPr>
            <w:tcW w:w="3118" w:type="dxa"/>
            <w:shd w:val="clear" w:color="auto" w:fill="auto"/>
            <w:vAlign w:val="center"/>
          </w:tcPr>
          <w:p>
            <w:pPr>
              <w:widowControl/>
              <w:spacing w:line="360" w:lineRule="auto"/>
              <w:ind w:firstLine="480" w:firstLineChars="200"/>
              <w:textAlignment w:val="center"/>
              <w:rPr>
                <w:sz w:val="24"/>
              </w:rPr>
            </w:pPr>
            <w:r>
              <w:rPr>
                <w:kern w:val="0"/>
                <w:sz w:val="24"/>
              </w:rPr>
              <w:t>职代会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2122" w:type="dxa"/>
            <w:vMerge w:val="continue"/>
            <w:shd w:val="clear" w:color="auto" w:fill="auto"/>
            <w:noWrap/>
            <w:vAlign w:val="center"/>
          </w:tcPr>
          <w:p>
            <w:pPr>
              <w:spacing w:line="360" w:lineRule="auto"/>
              <w:ind w:firstLine="480" w:firstLineChars="200"/>
              <w:rPr>
                <w:sz w:val="24"/>
              </w:rPr>
            </w:pPr>
          </w:p>
        </w:tc>
        <w:tc>
          <w:tcPr>
            <w:tcW w:w="3402" w:type="dxa"/>
            <w:shd w:val="clear" w:color="auto" w:fill="auto"/>
            <w:noWrap/>
            <w:vAlign w:val="center"/>
          </w:tcPr>
          <w:p>
            <w:pPr>
              <w:widowControl/>
              <w:spacing w:line="360" w:lineRule="auto"/>
              <w:ind w:firstLine="480" w:firstLineChars="200"/>
              <w:textAlignment w:val="center"/>
              <w:rPr>
                <w:sz w:val="24"/>
              </w:rPr>
            </w:pPr>
            <w:r>
              <w:rPr>
                <w:kern w:val="0"/>
                <w:sz w:val="24"/>
              </w:rPr>
              <w:t>常用资讯</w:t>
            </w:r>
          </w:p>
        </w:tc>
        <w:tc>
          <w:tcPr>
            <w:tcW w:w="3118" w:type="dxa"/>
            <w:shd w:val="clear" w:color="auto" w:fill="auto"/>
            <w:noWrap/>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2122" w:type="dxa"/>
            <w:vMerge w:val="restart"/>
            <w:shd w:val="clear" w:color="auto" w:fill="auto"/>
            <w:noWrap/>
            <w:vAlign w:val="center"/>
          </w:tcPr>
          <w:p>
            <w:pPr>
              <w:widowControl/>
              <w:spacing w:line="360" w:lineRule="auto"/>
              <w:ind w:firstLine="480" w:firstLineChars="200"/>
              <w:textAlignment w:val="center"/>
              <w:rPr>
                <w:sz w:val="24"/>
              </w:rPr>
            </w:pPr>
            <w:r>
              <w:rPr>
                <w:kern w:val="0"/>
                <w:sz w:val="24"/>
              </w:rPr>
              <w:t>下载专区</w:t>
            </w:r>
          </w:p>
        </w:tc>
        <w:tc>
          <w:tcPr>
            <w:tcW w:w="3402" w:type="dxa"/>
            <w:shd w:val="clear" w:color="auto" w:fill="auto"/>
            <w:noWrap/>
            <w:vAlign w:val="center"/>
          </w:tcPr>
          <w:p>
            <w:pPr>
              <w:widowControl/>
              <w:spacing w:line="360" w:lineRule="auto"/>
              <w:ind w:firstLine="480" w:firstLineChars="200"/>
              <w:textAlignment w:val="center"/>
              <w:rPr>
                <w:sz w:val="24"/>
              </w:rPr>
            </w:pPr>
            <w:r>
              <w:rPr>
                <w:kern w:val="0"/>
                <w:sz w:val="24"/>
              </w:rPr>
              <w:t>常用资源</w:t>
            </w:r>
          </w:p>
        </w:tc>
        <w:tc>
          <w:tcPr>
            <w:tcW w:w="3118" w:type="dxa"/>
            <w:shd w:val="clear" w:color="auto" w:fill="auto"/>
            <w:noWrap/>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2122" w:type="dxa"/>
            <w:vMerge w:val="continue"/>
            <w:shd w:val="clear" w:color="auto" w:fill="auto"/>
            <w:noWrap/>
            <w:vAlign w:val="center"/>
          </w:tcPr>
          <w:p>
            <w:pPr>
              <w:spacing w:line="360" w:lineRule="auto"/>
              <w:ind w:firstLine="480" w:firstLineChars="200"/>
              <w:rPr>
                <w:sz w:val="24"/>
              </w:rPr>
            </w:pPr>
          </w:p>
        </w:tc>
        <w:tc>
          <w:tcPr>
            <w:tcW w:w="3402" w:type="dxa"/>
            <w:shd w:val="clear" w:color="auto" w:fill="auto"/>
            <w:noWrap/>
            <w:vAlign w:val="center"/>
          </w:tcPr>
          <w:p>
            <w:pPr>
              <w:widowControl/>
              <w:spacing w:line="360" w:lineRule="auto"/>
              <w:ind w:firstLine="480" w:firstLineChars="200"/>
              <w:textAlignment w:val="center"/>
              <w:rPr>
                <w:sz w:val="24"/>
              </w:rPr>
            </w:pPr>
            <w:r>
              <w:rPr>
                <w:kern w:val="0"/>
                <w:sz w:val="24"/>
              </w:rPr>
              <w:t>医务相关</w:t>
            </w:r>
          </w:p>
        </w:tc>
        <w:tc>
          <w:tcPr>
            <w:tcW w:w="3118" w:type="dxa"/>
            <w:shd w:val="clear" w:color="auto" w:fill="auto"/>
            <w:noWrap/>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2122" w:type="dxa"/>
            <w:vMerge w:val="continue"/>
            <w:shd w:val="clear" w:color="auto" w:fill="auto"/>
            <w:noWrap/>
            <w:vAlign w:val="center"/>
          </w:tcPr>
          <w:p>
            <w:pPr>
              <w:spacing w:line="360" w:lineRule="auto"/>
              <w:ind w:firstLine="480" w:firstLineChars="200"/>
              <w:rPr>
                <w:sz w:val="24"/>
              </w:rPr>
            </w:pPr>
          </w:p>
        </w:tc>
        <w:tc>
          <w:tcPr>
            <w:tcW w:w="3402" w:type="dxa"/>
            <w:shd w:val="clear" w:color="auto" w:fill="auto"/>
            <w:noWrap/>
            <w:vAlign w:val="center"/>
          </w:tcPr>
          <w:p>
            <w:pPr>
              <w:widowControl/>
              <w:spacing w:line="360" w:lineRule="auto"/>
              <w:ind w:firstLine="480" w:firstLineChars="200"/>
              <w:textAlignment w:val="center"/>
              <w:rPr>
                <w:sz w:val="24"/>
              </w:rPr>
            </w:pPr>
            <w:r>
              <w:rPr>
                <w:kern w:val="0"/>
                <w:sz w:val="24"/>
              </w:rPr>
              <w:t>质管相关</w:t>
            </w:r>
          </w:p>
        </w:tc>
        <w:tc>
          <w:tcPr>
            <w:tcW w:w="3118" w:type="dxa"/>
            <w:shd w:val="clear" w:color="auto" w:fill="auto"/>
            <w:noWrap/>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2122" w:type="dxa"/>
            <w:vMerge w:val="continue"/>
            <w:shd w:val="clear" w:color="auto" w:fill="auto"/>
            <w:noWrap/>
            <w:vAlign w:val="center"/>
          </w:tcPr>
          <w:p>
            <w:pPr>
              <w:spacing w:line="360" w:lineRule="auto"/>
              <w:ind w:firstLine="480" w:firstLineChars="200"/>
              <w:rPr>
                <w:sz w:val="24"/>
              </w:rPr>
            </w:pPr>
          </w:p>
        </w:tc>
        <w:tc>
          <w:tcPr>
            <w:tcW w:w="3402" w:type="dxa"/>
            <w:shd w:val="clear" w:color="auto" w:fill="auto"/>
            <w:noWrap/>
            <w:vAlign w:val="center"/>
          </w:tcPr>
          <w:p>
            <w:pPr>
              <w:widowControl/>
              <w:spacing w:line="360" w:lineRule="auto"/>
              <w:ind w:firstLine="480" w:firstLineChars="200"/>
              <w:textAlignment w:val="center"/>
              <w:rPr>
                <w:sz w:val="24"/>
              </w:rPr>
            </w:pPr>
            <w:r>
              <w:rPr>
                <w:kern w:val="0"/>
                <w:sz w:val="24"/>
              </w:rPr>
              <w:t>护理相关</w:t>
            </w:r>
          </w:p>
        </w:tc>
        <w:tc>
          <w:tcPr>
            <w:tcW w:w="3118" w:type="dxa"/>
            <w:shd w:val="clear" w:color="auto" w:fill="auto"/>
            <w:noWrap/>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2122" w:type="dxa"/>
            <w:vMerge w:val="continue"/>
            <w:shd w:val="clear" w:color="auto" w:fill="auto"/>
            <w:noWrap/>
            <w:vAlign w:val="center"/>
          </w:tcPr>
          <w:p>
            <w:pPr>
              <w:spacing w:line="360" w:lineRule="auto"/>
              <w:ind w:firstLine="480" w:firstLineChars="200"/>
              <w:rPr>
                <w:sz w:val="24"/>
              </w:rPr>
            </w:pPr>
          </w:p>
        </w:tc>
        <w:tc>
          <w:tcPr>
            <w:tcW w:w="3402" w:type="dxa"/>
            <w:shd w:val="clear" w:color="auto" w:fill="auto"/>
            <w:noWrap/>
            <w:vAlign w:val="center"/>
          </w:tcPr>
          <w:p>
            <w:pPr>
              <w:widowControl/>
              <w:spacing w:line="360" w:lineRule="auto"/>
              <w:ind w:firstLine="480" w:firstLineChars="200"/>
              <w:textAlignment w:val="center"/>
              <w:rPr>
                <w:sz w:val="24"/>
              </w:rPr>
            </w:pPr>
            <w:r>
              <w:rPr>
                <w:kern w:val="0"/>
                <w:sz w:val="24"/>
              </w:rPr>
              <w:t>人事相关</w:t>
            </w:r>
          </w:p>
        </w:tc>
        <w:tc>
          <w:tcPr>
            <w:tcW w:w="3118" w:type="dxa"/>
            <w:shd w:val="clear" w:color="auto" w:fill="auto"/>
            <w:noWrap/>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2122" w:type="dxa"/>
            <w:vMerge w:val="continue"/>
            <w:shd w:val="clear" w:color="auto" w:fill="auto"/>
            <w:noWrap/>
            <w:vAlign w:val="center"/>
          </w:tcPr>
          <w:p>
            <w:pPr>
              <w:spacing w:line="360" w:lineRule="auto"/>
              <w:ind w:firstLine="480" w:firstLineChars="200"/>
              <w:rPr>
                <w:sz w:val="24"/>
              </w:rPr>
            </w:pPr>
          </w:p>
        </w:tc>
        <w:tc>
          <w:tcPr>
            <w:tcW w:w="3402" w:type="dxa"/>
            <w:shd w:val="clear" w:color="auto" w:fill="auto"/>
            <w:noWrap/>
            <w:vAlign w:val="center"/>
          </w:tcPr>
          <w:p>
            <w:pPr>
              <w:widowControl/>
              <w:spacing w:line="360" w:lineRule="auto"/>
              <w:ind w:firstLine="480" w:firstLineChars="200"/>
              <w:textAlignment w:val="center"/>
              <w:rPr>
                <w:sz w:val="24"/>
              </w:rPr>
            </w:pPr>
            <w:r>
              <w:rPr>
                <w:kern w:val="0"/>
                <w:sz w:val="24"/>
              </w:rPr>
              <w:t>后勤服务</w:t>
            </w:r>
          </w:p>
        </w:tc>
        <w:tc>
          <w:tcPr>
            <w:tcW w:w="3118" w:type="dxa"/>
            <w:shd w:val="clear" w:color="auto" w:fill="auto"/>
            <w:noWrap/>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2122" w:type="dxa"/>
            <w:vMerge w:val="continue"/>
            <w:shd w:val="clear" w:color="auto" w:fill="auto"/>
            <w:noWrap/>
            <w:vAlign w:val="center"/>
          </w:tcPr>
          <w:p>
            <w:pPr>
              <w:spacing w:line="360" w:lineRule="auto"/>
              <w:ind w:firstLine="480" w:firstLineChars="200"/>
              <w:rPr>
                <w:sz w:val="24"/>
              </w:rPr>
            </w:pPr>
          </w:p>
        </w:tc>
        <w:tc>
          <w:tcPr>
            <w:tcW w:w="3402" w:type="dxa"/>
            <w:shd w:val="clear" w:color="auto" w:fill="auto"/>
            <w:noWrap/>
            <w:vAlign w:val="center"/>
          </w:tcPr>
          <w:p>
            <w:pPr>
              <w:widowControl/>
              <w:spacing w:line="360" w:lineRule="auto"/>
              <w:ind w:firstLine="480" w:firstLineChars="200"/>
              <w:textAlignment w:val="center"/>
              <w:rPr>
                <w:sz w:val="24"/>
              </w:rPr>
            </w:pPr>
            <w:r>
              <w:rPr>
                <w:kern w:val="0"/>
                <w:sz w:val="24"/>
              </w:rPr>
              <w:t>医技相关</w:t>
            </w:r>
          </w:p>
        </w:tc>
        <w:tc>
          <w:tcPr>
            <w:tcW w:w="3118" w:type="dxa"/>
            <w:shd w:val="clear" w:color="auto" w:fill="auto"/>
            <w:noWrap/>
            <w:vAlign w:val="center"/>
          </w:tcPr>
          <w:p>
            <w:pPr>
              <w:spacing w:line="360" w:lineRule="auto"/>
              <w:ind w:firstLine="480" w:firstLineChars="200"/>
              <w:rPr>
                <w:sz w:val="24"/>
              </w:rPr>
            </w:pPr>
          </w:p>
        </w:tc>
      </w:tr>
      <w:bookmarkEnd w:id="46"/>
    </w:tbl>
    <w:p>
      <w:pPr>
        <w:pStyle w:val="7"/>
        <w:spacing w:before="0" w:after="0" w:line="360" w:lineRule="auto"/>
        <w:ind w:left="0" w:firstLine="482"/>
        <w:jc w:val="both"/>
        <w:rPr>
          <w:rFonts w:ascii="Times New Roman" w:hAnsi="Times New Roman" w:eastAsia="宋体" w:cs="Times New Roman"/>
          <w:sz w:val="24"/>
          <w:szCs w:val="24"/>
          <w:lang w:val="en-US"/>
        </w:rPr>
      </w:pPr>
      <w:bookmarkStart w:id="47" w:name="_Hlk180679714"/>
      <w:r>
        <w:rPr>
          <w:rFonts w:hint="eastAsia" w:ascii="Times New Roman" w:hAnsi="Times New Roman" w:eastAsia="宋体" w:cs="Times New Roman"/>
          <w:sz w:val="24"/>
          <w:szCs w:val="24"/>
          <w:lang w:val="en-US"/>
        </w:rPr>
        <w:t>3）数字化信息发布管理平台原有功能适配</w:t>
      </w:r>
      <w:bookmarkEnd w:id="47"/>
    </w:p>
    <w:p>
      <w:pPr>
        <w:spacing w:line="360" w:lineRule="auto"/>
        <w:ind w:firstLine="480" w:firstLineChars="200"/>
        <w:rPr>
          <w:sz w:val="24"/>
        </w:rPr>
      </w:pPr>
      <w:bookmarkStart w:id="48" w:name="_Hlk180679723"/>
      <w:r>
        <w:rPr>
          <w:sz w:val="24"/>
        </w:rPr>
        <w:t>通过对多个信息系统数据内容及发布栏目进行整合管理，实现一后台管理发布多个网络媒体，现代化医院--数字化信息发布管理平台在满足医院各类信息发布需求基础上，向以“用户”为中心的全生命周期管理模式发展，体现“以人为本”的医疗卫生信息系统一体化设计理念。严格按照“统一规划、统一标准、集成开发、共建共用”的原则，在准确理解、把握医院宣传系统在医院信息平台中的定位、作用和相互关系基础上，做好与相关业务领域的数据资源整合和应用系统整合，并充分利用医院信息平台提供的各项功能，搭建高效统一的集约化管理系统，实现对外服务与对内交流的信息化发展建设的需要。</w:t>
      </w:r>
    </w:p>
    <w:bookmarkEnd w:id="48"/>
    <w:p>
      <w:pPr>
        <w:pStyle w:val="7"/>
        <w:spacing w:before="0" w:after="0" w:line="360" w:lineRule="auto"/>
        <w:ind w:left="0" w:firstLine="482"/>
        <w:jc w:val="both"/>
        <w:rPr>
          <w:rFonts w:ascii="Times New Roman" w:hAnsi="Times New Roman" w:eastAsia="宋体" w:cs="Times New Roman"/>
          <w:sz w:val="24"/>
          <w:szCs w:val="24"/>
          <w:lang w:val="en-US"/>
        </w:rPr>
      </w:pPr>
      <w:bookmarkStart w:id="49" w:name="_Hlk180679765"/>
      <w:r>
        <w:rPr>
          <w:rFonts w:hint="eastAsia" w:ascii="Times New Roman" w:hAnsi="Times New Roman" w:eastAsia="宋体" w:cs="Times New Roman"/>
          <w:sz w:val="24"/>
          <w:szCs w:val="24"/>
          <w:lang w:val="en-US"/>
        </w:rPr>
        <w:t>4）信创改造要求</w:t>
      </w:r>
      <w:bookmarkEnd w:id="49"/>
    </w:p>
    <w:p>
      <w:pPr>
        <w:pStyle w:val="8"/>
        <w:spacing w:before="0" w:after="0" w:line="360" w:lineRule="auto"/>
        <w:ind w:left="0" w:firstLine="482"/>
        <w:jc w:val="both"/>
        <w:rPr>
          <w:rFonts w:ascii="Times New Roman" w:hAnsi="Times New Roman" w:eastAsia="宋体" w:cs="Times New Roman"/>
          <w:szCs w:val="24"/>
        </w:rPr>
      </w:pPr>
      <w:r>
        <w:rPr>
          <w:rFonts w:hint="eastAsia" w:ascii="Times New Roman" w:hAnsi="Times New Roman" w:eastAsia="宋体" w:cs="Times New Roman"/>
          <w:szCs w:val="24"/>
        </w:rPr>
        <w:t>a)</w:t>
      </w:r>
      <w:r>
        <w:rPr>
          <w:rFonts w:ascii="Times New Roman" w:hAnsi="Times New Roman" w:eastAsia="宋体" w:cs="Times New Roman"/>
          <w:szCs w:val="24"/>
        </w:rPr>
        <w:t>总体要求</w:t>
      </w:r>
    </w:p>
    <w:p>
      <w:pPr>
        <w:spacing w:line="360" w:lineRule="auto"/>
        <w:ind w:firstLine="480" w:firstLineChars="200"/>
        <w:rPr>
          <w:sz w:val="24"/>
        </w:rPr>
      </w:pPr>
      <w:r>
        <w:rPr>
          <w:sz w:val="24"/>
        </w:rPr>
        <w:t>需要将平台框架服务与国产终端的特点要求相结合，进行信创适配改造：</w:t>
      </w:r>
    </w:p>
    <w:p>
      <w:pPr>
        <w:spacing w:line="360" w:lineRule="auto"/>
        <w:ind w:firstLine="480" w:firstLineChars="200"/>
        <w:rPr>
          <w:sz w:val="24"/>
        </w:rPr>
      </w:pPr>
      <w:r>
        <w:rPr>
          <w:sz w:val="24"/>
        </w:rPr>
        <w:t>（1）</w:t>
      </w:r>
      <w:bookmarkStart w:id="50" w:name="_Hlk180679785"/>
      <w:r>
        <w:rPr>
          <w:sz w:val="24"/>
        </w:rPr>
        <w:t>采用国产操作系统:基于信创云环境，对网站进行适配改造，以适应国产操作系统。需支持主流操作系统（银河麒麟及统信），并提供厂商官方认证的兼容性证明。</w:t>
      </w:r>
    </w:p>
    <w:p>
      <w:pPr>
        <w:spacing w:line="360" w:lineRule="auto"/>
        <w:ind w:firstLine="480" w:firstLineChars="200"/>
        <w:rPr>
          <w:sz w:val="24"/>
        </w:rPr>
      </w:pPr>
      <w:r>
        <w:rPr>
          <w:sz w:val="24"/>
        </w:rPr>
        <w:t>（2）基于国产数据库改造:基于信创云提供的国产数据库，对网站代码进行改造，以适应新的数据库环境。基于国产数据库，对网站内容进行迁移。需支持主流国产数据库（达梦及人大金仓），并提供厂商官方认证的兼容性证明。</w:t>
      </w:r>
    </w:p>
    <w:p>
      <w:pPr>
        <w:spacing w:line="360" w:lineRule="auto"/>
        <w:ind w:firstLine="480" w:firstLineChars="200"/>
        <w:rPr>
          <w:sz w:val="24"/>
        </w:rPr>
      </w:pPr>
      <w:r>
        <w:rPr>
          <w:sz w:val="24"/>
        </w:rPr>
        <w:t>（3）基于国产浏览器改造:基于国产Firefox火狐浏览器360安全浏览器等国产浏览器进行全站页面测试。</w:t>
      </w:r>
    </w:p>
    <w:p>
      <w:pPr>
        <w:spacing w:line="360" w:lineRule="auto"/>
        <w:ind w:firstLine="480" w:firstLineChars="200"/>
        <w:rPr>
          <w:sz w:val="24"/>
        </w:rPr>
      </w:pPr>
      <w:r>
        <w:rPr>
          <w:sz w:val="24"/>
        </w:rPr>
        <w:t>▲（4）本项目中标商应提供免费接口并承担与本项目相关的医院原站点对接的接口及其他对接费用。</w:t>
      </w:r>
    </w:p>
    <w:p>
      <w:pPr>
        <w:spacing w:line="360" w:lineRule="auto"/>
        <w:ind w:firstLine="480" w:firstLineChars="200"/>
        <w:rPr>
          <w:sz w:val="24"/>
        </w:rPr>
      </w:pPr>
      <w:r>
        <w:rPr>
          <w:sz w:val="24"/>
        </w:rPr>
        <w:t>▲（5）为保证项目的一致性，开发语言需与原语言保持一致，原语言为php。</w:t>
      </w:r>
      <w:bookmarkEnd w:id="50"/>
    </w:p>
    <w:p>
      <w:pPr>
        <w:pStyle w:val="8"/>
        <w:spacing w:before="0" w:after="0" w:line="360" w:lineRule="auto"/>
        <w:ind w:left="0" w:firstLine="482"/>
        <w:jc w:val="both"/>
        <w:rPr>
          <w:rFonts w:ascii="Times New Roman" w:hAnsi="Times New Roman" w:eastAsia="宋体" w:cs="Times New Roman"/>
          <w:szCs w:val="24"/>
        </w:rPr>
      </w:pPr>
      <w:r>
        <w:rPr>
          <w:rFonts w:hint="eastAsia" w:ascii="Times New Roman" w:hAnsi="Times New Roman" w:eastAsia="宋体" w:cs="Times New Roman"/>
          <w:szCs w:val="24"/>
        </w:rPr>
        <w:t>b)</w:t>
      </w:r>
      <w:r>
        <w:rPr>
          <w:rFonts w:ascii="Times New Roman" w:hAnsi="Times New Roman" w:eastAsia="宋体" w:cs="Times New Roman"/>
          <w:szCs w:val="24"/>
        </w:rPr>
        <w:t>改造内容要求</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blHeader/>
        </w:trPr>
        <w:tc>
          <w:tcPr>
            <w:tcW w:w="2235" w:type="dxa"/>
          </w:tcPr>
          <w:p>
            <w:pPr>
              <w:widowControl/>
              <w:autoSpaceDE w:val="0"/>
              <w:autoSpaceDN w:val="0"/>
              <w:snapToGrid w:val="0"/>
              <w:spacing w:line="360" w:lineRule="auto"/>
              <w:textAlignment w:val="bottom"/>
              <w:rPr>
                <w:b/>
                <w:bCs/>
                <w:kern w:val="0"/>
                <w:sz w:val="24"/>
              </w:rPr>
            </w:pPr>
            <w:bookmarkStart w:id="51" w:name="_Hlk180679808"/>
            <w:r>
              <w:rPr>
                <w:b/>
                <w:bCs/>
                <w:kern w:val="0"/>
                <w:sz w:val="24"/>
              </w:rPr>
              <w:t>改造内容</w:t>
            </w:r>
          </w:p>
        </w:tc>
        <w:tc>
          <w:tcPr>
            <w:tcW w:w="6520" w:type="dxa"/>
          </w:tcPr>
          <w:p>
            <w:pPr>
              <w:widowControl/>
              <w:autoSpaceDE w:val="0"/>
              <w:autoSpaceDN w:val="0"/>
              <w:snapToGrid w:val="0"/>
              <w:spacing w:line="360" w:lineRule="auto"/>
              <w:textAlignment w:val="bottom"/>
              <w:rPr>
                <w:b/>
                <w:bCs/>
                <w:kern w:val="0"/>
                <w:sz w:val="24"/>
              </w:rPr>
            </w:pPr>
            <w:r>
              <w:rPr>
                <w:b/>
                <w:bCs/>
                <w:kern w:val="0"/>
                <w:sz w:val="24"/>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restart"/>
          </w:tcPr>
          <w:p>
            <w:pPr>
              <w:widowControl/>
              <w:autoSpaceDE w:val="0"/>
              <w:autoSpaceDN w:val="0"/>
              <w:snapToGrid w:val="0"/>
              <w:spacing w:line="360" w:lineRule="auto"/>
              <w:textAlignment w:val="bottom"/>
              <w:rPr>
                <w:kern w:val="0"/>
                <w:sz w:val="24"/>
              </w:rPr>
            </w:pPr>
            <w:r>
              <w:rPr>
                <w:kern w:val="0"/>
                <w:sz w:val="24"/>
              </w:rPr>
              <w:t>操作系统适配</w:t>
            </w:r>
          </w:p>
        </w:tc>
        <w:tc>
          <w:tcPr>
            <w:tcW w:w="6520" w:type="dxa"/>
          </w:tcPr>
          <w:p>
            <w:pPr>
              <w:widowControl/>
              <w:autoSpaceDE w:val="0"/>
              <w:autoSpaceDN w:val="0"/>
              <w:snapToGrid w:val="0"/>
              <w:spacing w:line="360" w:lineRule="auto"/>
              <w:textAlignment w:val="bottom"/>
              <w:rPr>
                <w:kern w:val="0"/>
                <w:sz w:val="24"/>
              </w:rPr>
            </w:pPr>
            <w:r>
              <w:rPr>
                <w:kern w:val="0"/>
                <w:sz w:val="24"/>
              </w:rPr>
              <w:t>防火墙适配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continue"/>
          </w:tcPr>
          <w:p>
            <w:pPr>
              <w:widowControl/>
              <w:autoSpaceDE w:val="0"/>
              <w:autoSpaceDN w:val="0"/>
              <w:snapToGrid w:val="0"/>
              <w:spacing w:line="360" w:lineRule="auto"/>
              <w:textAlignment w:val="bottom"/>
              <w:rPr>
                <w:kern w:val="0"/>
                <w:sz w:val="24"/>
              </w:rPr>
            </w:pPr>
          </w:p>
        </w:tc>
        <w:tc>
          <w:tcPr>
            <w:tcW w:w="6520" w:type="dxa"/>
          </w:tcPr>
          <w:p>
            <w:pPr>
              <w:widowControl/>
              <w:autoSpaceDE w:val="0"/>
              <w:autoSpaceDN w:val="0"/>
              <w:snapToGrid w:val="0"/>
              <w:spacing w:line="360" w:lineRule="auto"/>
              <w:textAlignment w:val="bottom"/>
              <w:rPr>
                <w:kern w:val="0"/>
                <w:sz w:val="24"/>
              </w:rPr>
            </w:pPr>
            <w:r>
              <w:rPr>
                <w:kern w:val="0"/>
                <w:sz w:val="24"/>
              </w:rPr>
              <w:t>系统权限适配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continue"/>
          </w:tcPr>
          <w:p>
            <w:pPr>
              <w:widowControl/>
              <w:autoSpaceDE w:val="0"/>
              <w:autoSpaceDN w:val="0"/>
              <w:snapToGrid w:val="0"/>
              <w:spacing w:line="360" w:lineRule="auto"/>
              <w:textAlignment w:val="bottom"/>
              <w:rPr>
                <w:kern w:val="0"/>
                <w:sz w:val="24"/>
              </w:rPr>
            </w:pPr>
          </w:p>
        </w:tc>
        <w:tc>
          <w:tcPr>
            <w:tcW w:w="6520" w:type="dxa"/>
          </w:tcPr>
          <w:p>
            <w:pPr>
              <w:widowControl/>
              <w:autoSpaceDE w:val="0"/>
              <w:autoSpaceDN w:val="0"/>
              <w:snapToGrid w:val="0"/>
              <w:spacing w:line="360" w:lineRule="auto"/>
              <w:textAlignment w:val="bottom"/>
              <w:rPr>
                <w:kern w:val="0"/>
                <w:sz w:val="24"/>
              </w:rPr>
            </w:pPr>
            <w:r>
              <w:rPr>
                <w:kern w:val="0"/>
                <w:sz w:val="24"/>
              </w:rPr>
              <w:t>文件适配(文件上传、图片及多媒体文件、配置文件等)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restart"/>
          </w:tcPr>
          <w:p>
            <w:pPr>
              <w:widowControl/>
              <w:autoSpaceDE w:val="0"/>
              <w:autoSpaceDN w:val="0"/>
              <w:snapToGrid w:val="0"/>
              <w:spacing w:line="360" w:lineRule="auto"/>
              <w:textAlignment w:val="bottom"/>
              <w:rPr>
                <w:kern w:val="0"/>
                <w:sz w:val="24"/>
              </w:rPr>
            </w:pPr>
            <w:r>
              <w:rPr>
                <w:kern w:val="0"/>
                <w:sz w:val="24"/>
              </w:rPr>
              <w:t>数据库适配</w:t>
            </w:r>
          </w:p>
        </w:tc>
        <w:tc>
          <w:tcPr>
            <w:tcW w:w="6520" w:type="dxa"/>
          </w:tcPr>
          <w:p>
            <w:pPr>
              <w:widowControl/>
              <w:autoSpaceDE w:val="0"/>
              <w:autoSpaceDN w:val="0"/>
              <w:snapToGrid w:val="0"/>
              <w:spacing w:line="360" w:lineRule="auto"/>
              <w:textAlignment w:val="bottom"/>
              <w:rPr>
                <w:kern w:val="0"/>
                <w:sz w:val="24"/>
              </w:rPr>
            </w:pPr>
            <w:r>
              <w:rPr>
                <w:kern w:val="0"/>
                <w:sz w:val="24"/>
              </w:rPr>
              <w:t>国产数据库结构创建及数据初始化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continue"/>
          </w:tcPr>
          <w:p>
            <w:pPr>
              <w:widowControl/>
              <w:autoSpaceDE w:val="0"/>
              <w:autoSpaceDN w:val="0"/>
              <w:snapToGrid w:val="0"/>
              <w:spacing w:line="360" w:lineRule="auto"/>
              <w:textAlignment w:val="bottom"/>
              <w:rPr>
                <w:kern w:val="0"/>
                <w:sz w:val="24"/>
              </w:rPr>
            </w:pPr>
          </w:p>
        </w:tc>
        <w:tc>
          <w:tcPr>
            <w:tcW w:w="6520" w:type="dxa"/>
          </w:tcPr>
          <w:p>
            <w:pPr>
              <w:widowControl/>
              <w:autoSpaceDE w:val="0"/>
              <w:autoSpaceDN w:val="0"/>
              <w:snapToGrid w:val="0"/>
              <w:spacing w:line="360" w:lineRule="auto"/>
              <w:textAlignment w:val="bottom"/>
              <w:rPr>
                <w:kern w:val="0"/>
                <w:sz w:val="24"/>
              </w:rPr>
            </w:pPr>
            <w:r>
              <w:rPr>
                <w:kern w:val="0"/>
                <w:sz w:val="24"/>
              </w:rPr>
              <w:t>适配国产数据库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continue"/>
          </w:tcPr>
          <w:p>
            <w:pPr>
              <w:widowControl/>
              <w:autoSpaceDE w:val="0"/>
              <w:autoSpaceDN w:val="0"/>
              <w:snapToGrid w:val="0"/>
              <w:spacing w:line="360" w:lineRule="auto"/>
              <w:textAlignment w:val="bottom"/>
              <w:rPr>
                <w:kern w:val="0"/>
                <w:sz w:val="24"/>
              </w:rPr>
            </w:pPr>
          </w:p>
        </w:tc>
        <w:tc>
          <w:tcPr>
            <w:tcW w:w="6520" w:type="dxa"/>
          </w:tcPr>
          <w:p>
            <w:pPr>
              <w:widowControl/>
              <w:autoSpaceDE w:val="0"/>
              <w:autoSpaceDN w:val="0"/>
              <w:snapToGrid w:val="0"/>
              <w:spacing w:line="360" w:lineRule="auto"/>
              <w:textAlignment w:val="bottom"/>
              <w:rPr>
                <w:kern w:val="0"/>
                <w:sz w:val="24"/>
              </w:rPr>
            </w:pPr>
            <w:r>
              <w:rPr>
                <w:kern w:val="0"/>
                <w:sz w:val="24"/>
              </w:rPr>
              <w:t>数据库压力测试及性能优化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continue"/>
          </w:tcPr>
          <w:p>
            <w:pPr>
              <w:widowControl/>
              <w:autoSpaceDE w:val="0"/>
              <w:autoSpaceDN w:val="0"/>
              <w:snapToGrid w:val="0"/>
              <w:spacing w:line="360" w:lineRule="auto"/>
              <w:textAlignment w:val="bottom"/>
              <w:rPr>
                <w:kern w:val="0"/>
                <w:sz w:val="24"/>
              </w:rPr>
            </w:pPr>
          </w:p>
        </w:tc>
        <w:tc>
          <w:tcPr>
            <w:tcW w:w="6520" w:type="dxa"/>
          </w:tcPr>
          <w:p>
            <w:pPr>
              <w:widowControl/>
              <w:autoSpaceDE w:val="0"/>
              <w:autoSpaceDN w:val="0"/>
              <w:snapToGrid w:val="0"/>
              <w:spacing w:line="360" w:lineRule="auto"/>
              <w:textAlignment w:val="bottom"/>
              <w:rPr>
                <w:kern w:val="0"/>
                <w:sz w:val="24"/>
              </w:rPr>
            </w:pPr>
            <w:r>
              <w:rPr>
                <w:kern w:val="0"/>
                <w:sz w:val="24"/>
              </w:rPr>
              <w:t>数据库备份机制调整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restart"/>
          </w:tcPr>
          <w:p>
            <w:pPr>
              <w:widowControl/>
              <w:autoSpaceDE w:val="0"/>
              <w:autoSpaceDN w:val="0"/>
              <w:snapToGrid w:val="0"/>
              <w:spacing w:line="360" w:lineRule="auto"/>
              <w:textAlignment w:val="bottom"/>
              <w:rPr>
                <w:kern w:val="0"/>
                <w:sz w:val="24"/>
              </w:rPr>
            </w:pPr>
            <w:r>
              <w:rPr>
                <w:kern w:val="0"/>
                <w:sz w:val="24"/>
              </w:rPr>
              <w:t>浏览器适配</w:t>
            </w:r>
          </w:p>
        </w:tc>
        <w:tc>
          <w:tcPr>
            <w:tcW w:w="6520" w:type="dxa"/>
          </w:tcPr>
          <w:p>
            <w:pPr>
              <w:widowControl/>
              <w:autoSpaceDE w:val="0"/>
              <w:autoSpaceDN w:val="0"/>
              <w:snapToGrid w:val="0"/>
              <w:spacing w:line="360" w:lineRule="auto"/>
              <w:textAlignment w:val="bottom"/>
              <w:rPr>
                <w:kern w:val="0"/>
                <w:sz w:val="24"/>
              </w:rPr>
            </w:pPr>
            <w:r>
              <w:rPr>
                <w:kern w:val="0"/>
                <w:sz w:val="24"/>
              </w:rPr>
              <w:t>前端代码调整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continue"/>
          </w:tcPr>
          <w:p>
            <w:pPr>
              <w:widowControl/>
              <w:autoSpaceDE w:val="0"/>
              <w:autoSpaceDN w:val="0"/>
              <w:snapToGrid w:val="0"/>
              <w:spacing w:line="360" w:lineRule="auto"/>
              <w:textAlignment w:val="bottom"/>
              <w:rPr>
                <w:kern w:val="0"/>
                <w:sz w:val="24"/>
              </w:rPr>
            </w:pPr>
          </w:p>
        </w:tc>
        <w:tc>
          <w:tcPr>
            <w:tcW w:w="6520" w:type="dxa"/>
          </w:tcPr>
          <w:p>
            <w:pPr>
              <w:widowControl/>
              <w:autoSpaceDE w:val="0"/>
              <w:autoSpaceDN w:val="0"/>
              <w:snapToGrid w:val="0"/>
              <w:spacing w:line="360" w:lineRule="auto"/>
              <w:textAlignment w:val="bottom"/>
              <w:rPr>
                <w:kern w:val="0"/>
                <w:sz w:val="24"/>
              </w:rPr>
            </w:pPr>
            <w:r>
              <w:rPr>
                <w:kern w:val="0"/>
                <w:sz w:val="24"/>
              </w:rPr>
              <w:t>360浏览器兼容测试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continue"/>
          </w:tcPr>
          <w:p>
            <w:pPr>
              <w:widowControl/>
              <w:autoSpaceDE w:val="0"/>
              <w:autoSpaceDN w:val="0"/>
              <w:snapToGrid w:val="0"/>
              <w:spacing w:line="360" w:lineRule="auto"/>
              <w:textAlignment w:val="bottom"/>
              <w:rPr>
                <w:kern w:val="0"/>
                <w:sz w:val="24"/>
              </w:rPr>
            </w:pPr>
          </w:p>
        </w:tc>
        <w:tc>
          <w:tcPr>
            <w:tcW w:w="6520" w:type="dxa"/>
          </w:tcPr>
          <w:p>
            <w:pPr>
              <w:widowControl/>
              <w:autoSpaceDE w:val="0"/>
              <w:autoSpaceDN w:val="0"/>
              <w:snapToGrid w:val="0"/>
              <w:spacing w:line="360" w:lineRule="auto"/>
              <w:textAlignment w:val="bottom"/>
              <w:rPr>
                <w:kern w:val="0"/>
                <w:sz w:val="24"/>
              </w:rPr>
            </w:pPr>
            <w:r>
              <w:rPr>
                <w:kern w:val="0"/>
                <w:sz w:val="24"/>
              </w:rPr>
              <w:t>UC浏览器兼容测试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continue"/>
          </w:tcPr>
          <w:p>
            <w:pPr>
              <w:widowControl/>
              <w:autoSpaceDE w:val="0"/>
              <w:autoSpaceDN w:val="0"/>
              <w:snapToGrid w:val="0"/>
              <w:spacing w:line="360" w:lineRule="auto"/>
              <w:textAlignment w:val="bottom"/>
              <w:rPr>
                <w:kern w:val="0"/>
                <w:sz w:val="24"/>
              </w:rPr>
            </w:pPr>
          </w:p>
        </w:tc>
        <w:tc>
          <w:tcPr>
            <w:tcW w:w="6520" w:type="dxa"/>
          </w:tcPr>
          <w:p>
            <w:pPr>
              <w:widowControl/>
              <w:autoSpaceDE w:val="0"/>
              <w:autoSpaceDN w:val="0"/>
              <w:snapToGrid w:val="0"/>
              <w:spacing w:line="360" w:lineRule="auto"/>
              <w:textAlignment w:val="bottom"/>
              <w:rPr>
                <w:kern w:val="0"/>
                <w:sz w:val="24"/>
              </w:rPr>
            </w:pPr>
            <w:r>
              <w:rPr>
                <w:kern w:val="0"/>
                <w:sz w:val="24"/>
              </w:rPr>
              <w:t>搜狗浏览器兼容测试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restart"/>
          </w:tcPr>
          <w:p>
            <w:pPr>
              <w:widowControl/>
              <w:autoSpaceDE w:val="0"/>
              <w:autoSpaceDN w:val="0"/>
              <w:snapToGrid w:val="0"/>
              <w:spacing w:line="360" w:lineRule="auto"/>
              <w:textAlignment w:val="bottom"/>
              <w:rPr>
                <w:kern w:val="0"/>
                <w:sz w:val="24"/>
              </w:rPr>
            </w:pPr>
            <w:r>
              <w:rPr>
                <w:kern w:val="0"/>
                <w:sz w:val="24"/>
              </w:rPr>
              <w:t>历史迁移及部署</w:t>
            </w:r>
          </w:p>
        </w:tc>
        <w:tc>
          <w:tcPr>
            <w:tcW w:w="6520" w:type="dxa"/>
          </w:tcPr>
          <w:p>
            <w:pPr>
              <w:widowControl/>
              <w:autoSpaceDE w:val="0"/>
              <w:autoSpaceDN w:val="0"/>
              <w:snapToGrid w:val="0"/>
              <w:spacing w:line="360" w:lineRule="auto"/>
              <w:textAlignment w:val="bottom"/>
              <w:rPr>
                <w:kern w:val="0"/>
                <w:sz w:val="24"/>
              </w:rPr>
            </w:pPr>
            <w:r>
              <w:rPr>
                <w:kern w:val="0"/>
                <w:sz w:val="24"/>
              </w:rPr>
              <w:t>原数据迁移到国产数据库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continue"/>
          </w:tcPr>
          <w:p>
            <w:pPr>
              <w:widowControl/>
              <w:autoSpaceDE w:val="0"/>
              <w:autoSpaceDN w:val="0"/>
              <w:snapToGrid w:val="0"/>
              <w:spacing w:line="360" w:lineRule="auto"/>
              <w:textAlignment w:val="bottom"/>
              <w:rPr>
                <w:kern w:val="0"/>
                <w:sz w:val="24"/>
              </w:rPr>
            </w:pPr>
          </w:p>
        </w:tc>
        <w:tc>
          <w:tcPr>
            <w:tcW w:w="6520" w:type="dxa"/>
          </w:tcPr>
          <w:p>
            <w:pPr>
              <w:widowControl/>
              <w:autoSpaceDE w:val="0"/>
              <w:autoSpaceDN w:val="0"/>
              <w:snapToGrid w:val="0"/>
              <w:spacing w:line="360" w:lineRule="auto"/>
              <w:textAlignment w:val="bottom"/>
              <w:rPr>
                <w:kern w:val="0"/>
                <w:sz w:val="24"/>
              </w:rPr>
            </w:pPr>
            <w:r>
              <w:rPr>
                <w:kern w:val="0"/>
                <w:sz w:val="24"/>
              </w:rPr>
              <w:t>整体联调及回归测试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continue"/>
          </w:tcPr>
          <w:p>
            <w:pPr>
              <w:widowControl/>
              <w:autoSpaceDE w:val="0"/>
              <w:autoSpaceDN w:val="0"/>
              <w:snapToGrid w:val="0"/>
              <w:spacing w:line="360" w:lineRule="auto"/>
              <w:textAlignment w:val="bottom"/>
              <w:rPr>
                <w:kern w:val="0"/>
                <w:sz w:val="24"/>
              </w:rPr>
            </w:pPr>
          </w:p>
        </w:tc>
        <w:tc>
          <w:tcPr>
            <w:tcW w:w="6520" w:type="dxa"/>
          </w:tcPr>
          <w:p>
            <w:pPr>
              <w:widowControl/>
              <w:autoSpaceDE w:val="0"/>
              <w:autoSpaceDN w:val="0"/>
              <w:snapToGrid w:val="0"/>
              <w:spacing w:line="360" w:lineRule="auto"/>
              <w:textAlignment w:val="bottom"/>
              <w:rPr>
                <w:kern w:val="0"/>
                <w:sz w:val="24"/>
              </w:rPr>
            </w:pPr>
            <w:r>
              <w:rPr>
                <w:kern w:val="0"/>
                <w:sz w:val="24"/>
              </w:rPr>
              <w:t>安全测试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continue"/>
          </w:tcPr>
          <w:p>
            <w:pPr>
              <w:widowControl/>
              <w:autoSpaceDE w:val="0"/>
              <w:autoSpaceDN w:val="0"/>
              <w:snapToGrid w:val="0"/>
              <w:spacing w:line="360" w:lineRule="auto"/>
              <w:textAlignment w:val="bottom"/>
              <w:rPr>
                <w:kern w:val="0"/>
                <w:sz w:val="24"/>
              </w:rPr>
            </w:pPr>
          </w:p>
        </w:tc>
        <w:tc>
          <w:tcPr>
            <w:tcW w:w="6520" w:type="dxa"/>
          </w:tcPr>
          <w:p>
            <w:pPr>
              <w:widowControl/>
              <w:autoSpaceDE w:val="0"/>
              <w:autoSpaceDN w:val="0"/>
              <w:snapToGrid w:val="0"/>
              <w:spacing w:line="360" w:lineRule="auto"/>
              <w:textAlignment w:val="bottom"/>
              <w:rPr>
                <w:kern w:val="0"/>
                <w:sz w:val="24"/>
              </w:rPr>
            </w:pPr>
            <w:r>
              <w:rPr>
                <w:kern w:val="0"/>
                <w:sz w:val="24"/>
              </w:rPr>
              <w:t>生产环境搭建及部署上线</w:t>
            </w:r>
          </w:p>
        </w:tc>
      </w:tr>
      <w:bookmarkEnd w:id="51"/>
    </w:tbl>
    <w:p>
      <w:pPr>
        <w:spacing w:line="360" w:lineRule="auto"/>
        <w:ind w:firstLine="480" w:firstLineChars="200"/>
        <w:rPr>
          <w:sz w:val="24"/>
        </w:rPr>
      </w:pPr>
    </w:p>
    <w:p>
      <w:pPr>
        <w:pStyle w:val="8"/>
        <w:spacing w:before="0" w:after="0" w:line="360" w:lineRule="auto"/>
        <w:ind w:left="0" w:firstLine="482"/>
        <w:jc w:val="both"/>
        <w:rPr>
          <w:rFonts w:ascii="Times New Roman" w:hAnsi="Times New Roman" w:eastAsia="宋体" w:cs="Times New Roman"/>
          <w:szCs w:val="24"/>
        </w:rPr>
      </w:pPr>
      <w:r>
        <w:rPr>
          <w:rFonts w:hint="eastAsia" w:ascii="Times New Roman" w:hAnsi="Times New Roman" w:eastAsia="宋体" w:cs="Times New Roman"/>
          <w:szCs w:val="24"/>
        </w:rPr>
        <w:t>3)</w:t>
      </w:r>
      <w:r>
        <w:rPr>
          <w:rFonts w:ascii="Times New Roman" w:hAnsi="Times New Roman" w:eastAsia="宋体" w:cs="Times New Roman"/>
          <w:szCs w:val="24"/>
        </w:rPr>
        <w:t>安全性要求</w:t>
      </w:r>
    </w:p>
    <w:p>
      <w:pPr>
        <w:spacing w:line="360" w:lineRule="auto"/>
        <w:ind w:firstLine="480" w:firstLineChars="200"/>
        <w:rPr>
          <w:sz w:val="24"/>
        </w:rPr>
      </w:pPr>
      <w:bookmarkStart w:id="52" w:name="_Hlk180679821"/>
      <w:r>
        <w:rPr>
          <w:sz w:val="24"/>
        </w:rPr>
        <w:t>投标人须按照国家网络安全等级保护二级标准进行平台方案的设计、开发及实施，如需整改，投标人须配合进行整改、调试，确保系统满足等保二级要求。投标人须按等保要求，协助用户完成二级等保备案和测评工作。</w:t>
      </w:r>
      <w:bookmarkEnd w:id="52"/>
    </w:p>
    <w:p>
      <w:pPr>
        <w:pStyle w:val="6"/>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商务要求</w:t>
      </w:r>
    </w:p>
    <w:p>
      <w:pPr>
        <w:pStyle w:val="7"/>
        <w:spacing w:before="0" w:after="0" w:line="360" w:lineRule="auto"/>
        <w:ind w:left="0" w:firstLine="482"/>
        <w:jc w:val="both"/>
        <w:rPr>
          <w:rFonts w:ascii="Times New Roman" w:hAnsi="Times New Roman" w:eastAsia="宋体" w:cs="Times New Roman"/>
          <w:sz w:val="24"/>
          <w:szCs w:val="24"/>
          <w:lang w:val="en-US"/>
        </w:rPr>
      </w:pPr>
      <w:r>
        <w:rPr>
          <w:rFonts w:hint="eastAsia" w:ascii="Times New Roman" w:hAnsi="Times New Roman" w:cs="Times New Roman" w:eastAsiaTheme="minorEastAsia"/>
          <w:sz w:val="24"/>
          <w:szCs w:val="24"/>
          <w:lang w:val="en-US"/>
        </w:rPr>
        <w:t>1)</w:t>
      </w:r>
      <w:r>
        <w:rPr>
          <w:rFonts w:hint="eastAsia" w:ascii="Times New Roman" w:hAnsi="Times New Roman" w:eastAsia="宋体" w:cs="Times New Roman"/>
          <w:sz w:val="24"/>
          <w:szCs w:val="24"/>
          <w:lang w:val="en-US"/>
        </w:rPr>
        <w:t>数据迁移要求</w:t>
      </w:r>
    </w:p>
    <w:p>
      <w:pPr>
        <w:spacing w:line="360" w:lineRule="auto"/>
        <w:ind w:firstLine="480" w:firstLineChars="200"/>
        <w:rPr>
          <w:sz w:val="24"/>
        </w:rPr>
      </w:pPr>
      <w:r>
        <w:rPr>
          <w:sz w:val="24"/>
        </w:rPr>
        <w:t>数字化信息发布管理平台信创版本搭建完成后，需根据新版和旧版平台不同栏目、数据特点，采用不同的迁移方式，确保迁移后的数据完整性、一致性：对于数据映射比较规则的数据，采用数据迁移工具软件实现自动迁移整合，实现单项或批量数据迁移；对映射关系不规则的数据，采用手工迁移整合，实现单项或批量数据迁移。最后需提供迁移数据完整性、一致性检测工具，保证数据迁移的质量。</w:t>
      </w:r>
    </w:p>
    <w:p>
      <w:pPr>
        <w:spacing w:line="360" w:lineRule="auto"/>
        <w:ind w:firstLine="480" w:firstLineChars="200"/>
        <w:rPr>
          <w:sz w:val="24"/>
        </w:rPr>
      </w:pPr>
      <w:r>
        <w:rPr>
          <w:sz w:val="24"/>
        </w:rPr>
        <w:t>迁移现有平台中的成品稿件库数据和文件到数字化信息发布管理平台系统中。过程中应保证数据的完整性，具体以实际需求为准。</w:t>
      </w:r>
    </w:p>
    <w:p>
      <w:pPr>
        <w:pStyle w:val="7"/>
        <w:spacing w:before="0" w:after="0" w:line="360" w:lineRule="auto"/>
        <w:ind w:left="0" w:firstLine="482"/>
        <w:jc w:val="both"/>
        <w:rPr>
          <w:rFonts w:ascii="Times New Roman" w:hAnsi="Times New Roman" w:cs="Times New Roman" w:eastAsiaTheme="minorEastAsia"/>
          <w:sz w:val="24"/>
          <w:szCs w:val="24"/>
          <w:lang w:val="en-US"/>
        </w:rPr>
      </w:pPr>
      <w:r>
        <w:rPr>
          <w:rFonts w:hint="eastAsia" w:ascii="Times New Roman" w:hAnsi="Times New Roman" w:cs="Times New Roman" w:eastAsiaTheme="minorEastAsia"/>
          <w:sz w:val="24"/>
          <w:szCs w:val="24"/>
          <w:lang w:val="en-US"/>
        </w:rPr>
        <w:t>2）进度要求</w:t>
      </w:r>
    </w:p>
    <w:p>
      <w:pPr>
        <w:spacing w:line="360" w:lineRule="auto"/>
        <w:ind w:firstLine="480" w:firstLineChars="200"/>
        <w:rPr>
          <w:sz w:val="24"/>
        </w:rPr>
      </w:pPr>
      <w:r>
        <w:rPr>
          <w:sz w:val="24"/>
        </w:rPr>
        <w:t>3个月内，完成整体系统的实施、培训等工作，系统整体上线试运行。</w:t>
      </w:r>
    </w:p>
    <w:p>
      <w:pPr>
        <w:pStyle w:val="7"/>
        <w:spacing w:before="0" w:after="0" w:line="360" w:lineRule="auto"/>
        <w:ind w:left="0" w:firstLine="482"/>
        <w:jc w:val="both"/>
        <w:rPr>
          <w:rFonts w:ascii="Times New Roman" w:hAnsi="Times New Roman" w:cs="Times New Roman" w:eastAsiaTheme="minorEastAsia"/>
          <w:sz w:val="24"/>
          <w:szCs w:val="24"/>
          <w:lang w:val="en-US"/>
        </w:rPr>
      </w:pPr>
      <w:r>
        <w:rPr>
          <w:rFonts w:hint="eastAsia" w:ascii="Times New Roman" w:hAnsi="Times New Roman" w:cs="Times New Roman" w:eastAsiaTheme="minorEastAsia"/>
          <w:sz w:val="24"/>
          <w:szCs w:val="24"/>
          <w:lang w:val="en-US"/>
        </w:rPr>
        <w:t>3）实施要求</w:t>
      </w:r>
    </w:p>
    <w:p>
      <w:pPr>
        <w:spacing w:line="360" w:lineRule="auto"/>
        <w:ind w:firstLine="480" w:firstLineChars="200"/>
        <w:rPr>
          <w:sz w:val="24"/>
        </w:rPr>
      </w:pPr>
      <w:r>
        <w:rPr>
          <w:sz w:val="24"/>
        </w:rPr>
        <w:t>（1）投标人应充分考虑满足投标项目的建设要求，提出完整的项目管理及实施方案。</w:t>
      </w:r>
    </w:p>
    <w:p>
      <w:pPr>
        <w:spacing w:line="360" w:lineRule="auto"/>
        <w:ind w:firstLine="480" w:firstLineChars="200"/>
        <w:rPr>
          <w:sz w:val="24"/>
        </w:rPr>
      </w:pPr>
      <w:r>
        <w:rPr>
          <w:sz w:val="24"/>
        </w:rPr>
        <w:t>（2）服务期内通过技术手段全天候监控值守，以保障服务范围内的相关服务和系统的正常运行。对于监控的内容进行分级定义，并可以邮件或微信形式推送至管理员手机。</w:t>
      </w:r>
    </w:p>
    <w:p>
      <w:pPr>
        <w:pStyle w:val="7"/>
        <w:spacing w:before="0" w:after="0" w:line="360" w:lineRule="auto"/>
        <w:ind w:left="0" w:firstLine="482"/>
        <w:jc w:val="both"/>
        <w:rPr>
          <w:rFonts w:ascii="Times New Roman" w:hAnsi="Times New Roman" w:cs="Times New Roman" w:eastAsiaTheme="minorEastAsia"/>
          <w:sz w:val="24"/>
          <w:szCs w:val="24"/>
          <w:lang w:val="en-US"/>
        </w:rPr>
      </w:pPr>
      <w:r>
        <w:rPr>
          <w:rFonts w:hint="eastAsia" w:ascii="Times New Roman" w:hAnsi="Times New Roman" w:cs="Times New Roman" w:eastAsiaTheme="minorEastAsia"/>
          <w:sz w:val="24"/>
          <w:szCs w:val="24"/>
          <w:lang w:val="en-US"/>
        </w:rPr>
        <w:t>4）验收要求</w:t>
      </w:r>
    </w:p>
    <w:p>
      <w:pPr>
        <w:spacing w:line="360" w:lineRule="auto"/>
        <w:ind w:firstLine="480" w:firstLineChars="200"/>
        <w:rPr>
          <w:sz w:val="24"/>
        </w:rPr>
      </w:pPr>
      <w:r>
        <w:rPr>
          <w:sz w:val="24"/>
        </w:rPr>
        <w:t>系统应在规定时间内建设完成后，投入试运行。试运行过程中需确保系统功能，运行效果符合要求，由中标公司提供验收申请和验收材料，医院进行项目的全面审核后同意项目终验。</w:t>
      </w:r>
    </w:p>
    <w:p>
      <w:pPr>
        <w:pStyle w:val="7"/>
        <w:spacing w:before="0" w:after="0" w:line="360" w:lineRule="auto"/>
        <w:ind w:left="0" w:firstLine="482"/>
        <w:jc w:val="both"/>
        <w:rPr>
          <w:rFonts w:ascii="Times New Roman" w:hAnsi="Times New Roman" w:cs="Times New Roman" w:eastAsiaTheme="minorEastAsia"/>
          <w:sz w:val="24"/>
          <w:szCs w:val="24"/>
          <w:lang w:val="en-US"/>
        </w:rPr>
      </w:pPr>
      <w:r>
        <w:rPr>
          <w:rFonts w:ascii="Times New Roman" w:hAnsi="Times New Roman" w:cs="Times New Roman" w:eastAsiaTheme="minorEastAsia"/>
          <w:sz w:val="24"/>
          <w:szCs w:val="24"/>
          <w:lang w:val="en-US"/>
        </w:rPr>
        <w:t>5</w:t>
      </w:r>
      <w:r>
        <w:rPr>
          <w:rFonts w:hint="eastAsia" w:ascii="Times New Roman" w:hAnsi="Times New Roman" w:cs="Times New Roman" w:eastAsiaTheme="minorEastAsia"/>
          <w:sz w:val="24"/>
          <w:szCs w:val="24"/>
          <w:lang w:val="en-US"/>
        </w:rPr>
        <w:t>）运维服务要求</w:t>
      </w:r>
    </w:p>
    <w:p>
      <w:pPr>
        <w:spacing w:line="360" w:lineRule="auto"/>
        <w:ind w:firstLine="480" w:firstLineChars="200"/>
        <w:rPr>
          <w:sz w:val="24"/>
        </w:rPr>
      </w:pPr>
      <w:r>
        <w:rPr>
          <w:sz w:val="24"/>
        </w:rPr>
        <w:t>（1）项目验收通过后，提供不少于一年的软件免费运行维护服务。</w:t>
      </w:r>
    </w:p>
    <w:p>
      <w:pPr>
        <w:spacing w:line="360" w:lineRule="auto"/>
        <w:ind w:firstLine="480" w:firstLineChars="200"/>
        <w:rPr>
          <w:sz w:val="24"/>
        </w:rPr>
      </w:pPr>
      <w:r>
        <w:rPr>
          <w:sz w:val="24"/>
        </w:rPr>
        <w:t>（2）提供7×24小时技术支持服务，对客户的反映的任何问题响应时限为2小时内，如需现场维护，响应服务6小时内，特殊情况在24小时内无法修复的，须提供备用方案，保证项目的稳定运行。</w:t>
      </w:r>
    </w:p>
    <w:p>
      <w:pPr>
        <w:spacing w:line="360" w:lineRule="auto"/>
        <w:ind w:firstLine="480" w:firstLineChars="200"/>
        <w:rPr>
          <w:sz w:val="24"/>
        </w:rPr>
      </w:pPr>
      <w:r>
        <w:rPr>
          <w:sz w:val="24"/>
        </w:rPr>
        <w:t>（3）能够提供5*8小时日常技术咨询服务。</w:t>
      </w:r>
    </w:p>
    <w:p>
      <w:pPr>
        <w:spacing w:line="360" w:lineRule="auto"/>
        <w:ind w:firstLine="480" w:firstLineChars="200"/>
        <w:rPr>
          <w:sz w:val="24"/>
        </w:rPr>
      </w:pPr>
      <w:r>
        <w:rPr>
          <w:sz w:val="24"/>
        </w:rPr>
        <w:t>（4）投标人须保证所提供产品符合国家有关规定。投标人须保证所提供产品具有合法的版权或使用权，本项目采购的产品，如在本项目范围内使用过程中出现版权或使用权纠纷，应由中标人负责，采购人不承担责任。</w:t>
      </w:r>
    </w:p>
    <w:p>
      <w:pPr>
        <w:pStyle w:val="5"/>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ascii="Times New Roman" w:hAnsi="Times New Roman" w:eastAsia="宋体" w:cs="Times New Roman"/>
          <w:sz w:val="24"/>
          <w:szCs w:val="24"/>
        </w:rPr>
        <w:t>钉钉专业版</w:t>
      </w:r>
      <w:r>
        <w:rPr>
          <w:rFonts w:hint="eastAsia" w:ascii="Times New Roman" w:hAnsi="Times New Roman" w:eastAsia="宋体" w:cs="Times New Roman"/>
          <w:sz w:val="24"/>
          <w:szCs w:val="24"/>
        </w:rPr>
        <w:t>认证授权</w:t>
      </w:r>
    </w:p>
    <w:p>
      <w:pPr>
        <w:spacing w:line="360" w:lineRule="auto"/>
        <w:ind w:firstLine="480" w:firstLineChars="200"/>
        <w:rPr>
          <w:sz w:val="24"/>
        </w:rPr>
      </w:pPr>
      <w:bookmarkStart w:id="53" w:name="_Hlk180679839"/>
      <w:r>
        <w:rPr>
          <w:sz w:val="24"/>
        </w:rPr>
        <w:t>钉钉专业版授权</w:t>
      </w:r>
      <w:r>
        <w:rPr>
          <w:rFonts w:hint="eastAsia"/>
          <w:sz w:val="24"/>
        </w:rPr>
        <w:t>（2年）</w:t>
      </w:r>
      <w:r>
        <w:rPr>
          <w:sz w:val="24"/>
        </w:rPr>
        <w:t>，享受审批模板150个、审批实例数4万条，专享open api等权益。</w:t>
      </w:r>
      <w:bookmarkEnd w:id="53"/>
    </w:p>
    <w:p>
      <w:pPr>
        <w:pStyle w:val="5"/>
        <w:spacing w:before="0" w:after="0" w:line="360" w:lineRule="auto"/>
        <w:ind w:left="0" w:firstLine="482"/>
        <w:jc w:val="both"/>
        <w:rPr>
          <w:rFonts w:ascii="Times New Roman" w:hAnsi="Times New Roman" w:eastAsia="宋体" w:cs="Times New Roman"/>
          <w:sz w:val="24"/>
          <w:szCs w:val="24"/>
        </w:rPr>
      </w:pPr>
      <w:bookmarkStart w:id="54" w:name="_Hlk180679851"/>
      <w:r>
        <w:rPr>
          <w:rFonts w:hint="eastAsia" w:ascii="Times New Roman" w:hAnsi="Times New Roman" w:eastAsia="宋体" w:cs="Times New Roman"/>
          <w:sz w:val="24"/>
          <w:szCs w:val="24"/>
          <w:lang w:val="en-US"/>
        </w:rPr>
        <w:t>5、</w:t>
      </w:r>
      <w:r>
        <w:rPr>
          <w:rFonts w:ascii="Times New Roman" w:hAnsi="Times New Roman" w:eastAsia="宋体" w:cs="Times New Roman"/>
          <w:sz w:val="24"/>
          <w:szCs w:val="24"/>
        </w:rPr>
        <w:t>数据库运维服务</w:t>
      </w:r>
      <w:bookmarkEnd w:id="54"/>
    </w:p>
    <w:p>
      <w:pPr>
        <w:pStyle w:val="6"/>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rPr>
        <w:t>1</w:t>
      </w:r>
      <w:r>
        <w:rPr>
          <w:rFonts w:hint="eastAsia" w:ascii="Times New Roman" w:hAnsi="Times New Roman" w:eastAsia="宋体" w:cs="Times New Roman"/>
          <w:sz w:val="24"/>
          <w:szCs w:val="24"/>
        </w:rPr>
        <w:t>）</w:t>
      </w:r>
      <w:r>
        <w:rPr>
          <w:rFonts w:ascii="Times New Roman" w:hAnsi="Times New Roman" w:eastAsia="宋体" w:cs="Times New Roman"/>
          <w:sz w:val="24"/>
          <w:szCs w:val="24"/>
        </w:rPr>
        <w:t>概述</w:t>
      </w:r>
    </w:p>
    <w:p>
      <w:pPr>
        <w:spacing w:line="360" w:lineRule="auto"/>
        <w:ind w:firstLine="482" w:firstLineChars="200"/>
        <w:rPr>
          <w:sz w:val="24"/>
        </w:rPr>
      </w:pPr>
      <w:r>
        <w:rPr>
          <w:b/>
          <w:bCs/>
          <w:sz w:val="24"/>
        </w:rPr>
        <w:t>总体目标：</w:t>
      </w:r>
      <w:bookmarkStart w:id="55" w:name="_Hlk180679861"/>
      <w:r>
        <w:rPr>
          <w:sz w:val="24"/>
        </w:rPr>
        <w:t>保障杭州市第一人民医院桐庐医院各业务系统数据库的正常稳定运行，及时处理出现的各类故障，应对灾难发生，保障核心数据的安全。</w:t>
      </w:r>
      <w:bookmarkEnd w:id="55"/>
    </w:p>
    <w:p>
      <w:pPr>
        <w:spacing w:line="360" w:lineRule="auto"/>
        <w:ind w:firstLine="482" w:firstLineChars="200"/>
        <w:rPr>
          <w:sz w:val="24"/>
        </w:rPr>
      </w:pPr>
      <w:r>
        <w:rPr>
          <w:b/>
          <w:bCs/>
          <w:sz w:val="24"/>
        </w:rPr>
        <w:t>服务范围：</w:t>
      </w:r>
      <w:r>
        <w:rPr>
          <w:sz w:val="24"/>
        </w:rPr>
        <w:t>医院现有数据库系统</w:t>
      </w:r>
    </w:p>
    <w:p>
      <w:pPr>
        <w:spacing w:line="360" w:lineRule="auto"/>
        <w:ind w:firstLine="482" w:firstLineChars="200"/>
        <w:rPr>
          <w:sz w:val="24"/>
        </w:rPr>
      </w:pPr>
      <w:r>
        <w:rPr>
          <w:b/>
          <w:bCs/>
          <w:sz w:val="24"/>
        </w:rPr>
        <w:t>服务时间：</w:t>
      </w:r>
      <w:r>
        <w:rPr>
          <w:sz w:val="24"/>
        </w:rPr>
        <w:t>1年</w:t>
      </w:r>
    </w:p>
    <w:p>
      <w:pPr>
        <w:spacing w:line="360" w:lineRule="auto"/>
        <w:ind w:firstLine="482" w:firstLineChars="200"/>
        <w:rPr>
          <w:sz w:val="24"/>
        </w:rPr>
      </w:pPr>
      <w:r>
        <w:rPr>
          <w:b/>
          <w:bCs/>
          <w:sz w:val="24"/>
        </w:rPr>
        <w:t>响应时间</w:t>
      </w:r>
      <w:r>
        <w:rPr>
          <w:sz w:val="24"/>
        </w:rPr>
        <w:t>：7*24小时响应</w:t>
      </w:r>
    </w:p>
    <w:p>
      <w:pPr>
        <w:spacing w:line="360" w:lineRule="auto"/>
        <w:ind w:firstLine="480" w:firstLineChars="200"/>
        <w:rPr>
          <w:sz w:val="24"/>
        </w:rPr>
      </w:pPr>
      <w:r>
        <w:rPr>
          <w:sz w:val="24"/>
        </w:rPr>
        <w:t>服务内容如下：</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387"/>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line="360" w:lineRule="auto"/>
              <w:ind w:firstLine="482" w:firstLineChars="200"/>
              <w:rPr>
                <w:b/>
                <w:bCs/>
                <w:sz w:val="24"/>
              </w:rPr>
            </w:pPr>
            <w:r>
              <w:rPr>
                <w:b/>
                <w:bCs/>
                <w:sz w:val="24"/>
              </w:rPr>
              <w:t>序号</w:t>
            </w:r>
          </w:p>
        </w:tc>
        <w:tc>
          <w:tcPr>
            <w:tcW w:w="5387" w:type="dxa"/>
            <w:vAlign w:val="center"/>
          </w:tcPr>
          <w:p>
            <w:pPr>
              <w:spacing w:line="360" w:lineRule="auto"/>
              <w:ind w:firstLine="482" w:firstLineChars="200"/>
              <w:rPr>
                <w:b/>
                <w:bCs/>
                <w:sz w:val="24"/>
              </w:rPr>
            </w:pPr>
            <w:r>
              <w:rPr>
                <w:b/>
                <w:bCs/>
                <w:sz w:val="24"/>
              </w:rPr>
              <w:t>服务内容</w:t>
            </w:r>
          </w:p>
        </w:tc>
        <w:tc>
          <w:tcPr>
            <w:tcW w:w="1638" w:type="dxa"/>
            <w:vAlign w:val="center"/>
          </w:tcPr>
          <w:p>
            <w:pPr>
              <w:spacing w:line="360" w:lineRule="auto"/>
              <w:rPr>
                <w:b/>
                <w:bCs/>
                <w:sz w:val="24"/>
              </w:rPr>
            </w:pPr>
            <w:r>
              <w:rPr>
                <w:b/>
                <w:bCs/>
                <w:sz w:val="24"/>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line="360" w:lineRule="auto"/>
              <w:ind w:firstLine="482" w:firstLineChars="200"/>
              <w:rPr>
                <w:b/>
                <w:bCs/>
                <w:sz w:val="24"/>
              </w:rPr>
            </w:pPr>
            <w:r>
              <w:rPr>
                <w:b/>
                <w:bCs/>
                <w:sz w:val="24"/>
              </w:rPr>
              <w:t>1</w:t>
            </w:r>
          </w:p>
        </w:tc>
        <w:tc>
          <w:tcPr>
            <w:tcW w:w="5387" w:type="dxa"/>
            <w:vAlign w:val="center"/>
          </w:tcPr>
          <w:p>
            <w:pPr>
              <w:spacing w:line="360" w:lineRule="auto"/>
              <w:ind w:firstLine="482" w:firstLineChars="200"/>
              <w:rPr>
                <w:b/>
                <w:bCs/>
                <w:sz w:val="24"/>
              </w:rPr>
            </w:pPr>
            <w:r>
              <w:rPr>
                <w:b/>
                <w:bCs/>
                <w:sz w:val="24"/>
              </w:rPr>
              <w:t>数据库维护技术服务</w:t>
            </w:r>
          </w:p>
        </w:tc>
        <w:tc>
          <w:tcPr>
            <w:tcW w:w="1638" w:type="dxa"/>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line="360" w:lineRule="auto"/>
              <w:ind w:firstLine="480" w:firstLineChars="200"/>
              <w:rPr>
                <w:sz w:val="24"/>
              </w:rPr>
            </w:pPr>
            <w:r>
              <w:rPr>
                <w:sz w:val="24"/>
              </w:rPr>
              <w:t>1.1</w:t>
            </w:r>
          </w:p>
        </w:tc>
        <w:tc>
          <w:tcPr>
            <w:tcW w:w="5387" w:type="dxa"/>
          </w:tcPr>
          <w:p>
            <w:pPr>
              <w:spacing w:line="360" w:lineRule="auto"/>
              <w:ind w:firstLine="480" w:firstLineChars="200"/>
              <w:rPr>
                <w:sz w:val="24"/>
              </w:rPr>
            </w:pPr>
            <w:r>
              <w:rPr>
                <w:sz w:val="24"/>
              </w:rPr>
              <w:t>7*24小时远程应急支持服务</w:t>
            </w:r>
          </w:p>
        </w:tc>
        <w:tc>
          <w:tcPr>
            <w:tcW w:w="1638" w:type="dxa"/>
            <w:vAlign w:val="center"/>
          </w:tcPr>
          <w:p>
            <w:pPr>
              <w:spacing w:line="360" w:lineRule="auto"/>
              <w:ind w:firstLine="480" w:firstLineChars="200"/>
              <w:rPr>
                <w:sz w:val="24"/>
              </w:rPr>
            </w:pPr>
            <w:r>
              <w:rPr>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line="360" w:lineRule="auto"/>
              <w:ind w:firstLine="480" w:firstLineChars="200"/>
              <w:rPr>
                <w:sz w:val="24"/>
              </w:rPr>
            </w:pPr>
            <w:r>
              <w:rPr>
                <w:sz w:val="24"/>
              </w:rPr>
              <w:t>1.2</w:t>
            </w:r>
          </w:p>
        </w:tc>
        <w:tc>
          <w:tcPr>
            <w:tcW w:w="5387" w:type="dxa"/>
          </w:tcPr>
          <w:p>
            <w:pPr>
              <w:spacing w:line="360" w:lineRule="auto"/>
              <w:ind w:firstLine="480" w:firstLineChars="200"/>
              <w:rPr>
                <w:sz w:val="24"/>
              </w:rPr>
            </w:pPr>
            <w:r>
              <w:rPr>
                <w:sz w:val="24"/>
              </w:rPr>
              <w:t>灾难性故障应急支持</w:t>
            </w:r>
          </w:p>
        </w:tc>
        <w:tc>
          <w:tcPr>
            <w:tcW w:w="1638" w:type="dxa"/>
            <w:vAlign w:val="center"/>
          </w:tcPr>
          <w:p>
            <w:pPr>
              <w:spacing w:line="360" w:lineRule="auto"/>
              <w:ind w:firstLine="480" w:firstLineChars="200"/>
              <w:rPr>
                <w:sz w:val="24"/>
              </w:rPr>
            </w:pPr>
            <w:r>
              <w:rPr>
                <w:sz w:val="24"/>
              </w:rPr>
              <w:t>4人天/年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line="360" w:lineRule="auto"/>
              <w:ind w:firstLine="480" w:firstLineChars="200"/>
              <w:rPr>
                <w:sz w:val="24"/>
              </w:rPr>
            </w:pPr>
            <w:r>
              <w:rPr>
                <w:sz w:val="24"/>
              </w:rPr>
              <w:t>1.3</w:t>
            </w:r>
          </w:p>
        </w:tc>
        <w:tc>
          <w:tcPr>
            <w:tcW w:w="5387" w:type="dxa"/>
          </w:tcPr>
          <w:p>
            <w:pPr>
              <w:spacing w:line="360" w:lineRule="auto"/>
              <w:ind w:firstLine="480" w:firstLineChars="200"/>
              <w:rPr>
                <w:sz w:val="24"/>
              </w:rPr>
            </w:pPr>
            <w:r>
              <w:rPr>
                <w:sz w:val="24"/>
              </w:rPr>
              <w:t>数据库现场巡检服务</w:t>
            </w:r>
          </w:p>
        </w:tc>
        <w:tc>
          <w:tcPr>
            <w:tcW w:w="1638" w:type="dxa"/>
            <w:vAlign w:val="center"/>
          </w:tcPr>
          <w:p>
            <w:pPr>
              <w:spacing w:line="360" w:lineRule="auto"/>
              <w:ind w:firstLine="480" w:firstLineChars="200"/>
              <w:rPr>
                <w:sz w:val="24"/>
              </w:rPr>
            </w:pPr>
            <w:r>
              <w:rPr>
                <w:sz w:val="24"/>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line="360" w:lineRule="auto"/>
              <w:ind w:firstLine="480" w:firstLineChars="200"/>
              <w:rPr>
                <w:sz w:val="24"/>
              </w:rPr>
            </w:pPr>
            <w:r>
              <w:rPr>
                <w:sz w:val="24"/>
              </w:rPr>
              <w:t>1.4</w:t>
            </w:r>
          </w:p>
        </w:tc>
        <w:tc>
          <w:tcPr>
            <w:tcW w:w="5387" w:type="dxa"/>
          </w:tcPr>
          <w:p>
            <w:pPr>
              <w:spacing w:line="360" w:lineRule="auto"/>
              <w:ind w:firstLine="480" w:firstLineChars="200"/>
              <w:rPr>
                <w:sz w:val="24"/>
              </w:rPr>
            </w:pPr>
            <w:r>
              <w:rPr>
                <w:sz w:val="24"/>
              </w:rPr>
              <w:t>数据库性能优化服务</w:t>
            </w:r>
          </w:p>
        </w:tc>
        <w:tc>
          <w:tcPr>
            <w:tcW w:w="1638" w:type="dxa"/>
            <w:vAlign w:val="center"/>
          </w:tcPr>
          <w:p>
            <w:pPr>
              <w:spacing w:line="360" w:lineRule="auto"/>
              <w:ind w:firstLine="480" w:firstLineChars="200"/>
              <w:rPr>
                <w:sz w:val="24"/>
              </w:rPr>
            </w:pPr>
            <w:r>
              <w:rPr>
                <w:sz w:val="24"/>
              </w:rPr>
              <w:t>2人天/年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line="360" w:lineRule="auto"/>
              <w:ind w:firstLine="480" w:firstLineChars="200"/>
              <w:rPr>
                <w:sz w:val="24"/>
              </w:rPr>
            </w:pPr>
            <w:r>
              <w:rPr>
                <w:sz w:val="24"/>
              </w:rPr>
              <w:t>1.5</w:t>
            </w:r>
          </w:p>
        </w:tc>
        <w:tc>
          <w:tcPr>
            <w:tcW w:w="5387" w:type="dxa"/>
          </w:tcPr>
          <w:p>
            <w:pPr>
              <w:spacing w:line="360" w:lineRule="auto"/>
              <w:ind w:firstLine="480" w:firstLineChars="200"/>
              <w:rPr>
                <w:sz w:val="24"/>
              </w:rPr>
            </w:pPr>
            <w:r>
              <w:rPr>
                <w:sz w:val="24"/>
              </w:rPr>
              <w:t>客户档案管理服务</w:t>
            </w:r>
          </w:p>
        </w:tc>
        <w:tc>
          <w:tcPr>
            <w:tcW w:w="1638" w:type="dxa"/>
            <w:vAlign w:val="center"/>
          </w:tcPr>
          <w:p>
            <w:pPr>
              <w:spacing w:line="360" w:lineRule="auto"/>
              <w:ind w:firstLine="480" w:firstLineChars="200"/>
              <w:rPr>
                <w:sz w:val="24"/>
              </w:rPr>
            </w:pPr>
            <w:r>
              <w:rPr>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line="360" w:lineRule="auto"/>
              <w:ind w:firstLine="480" w:firstLineChars="200"/>
              <w:rPr>
                <w:sz w:val="24"/>
              </w:rPr>
            </w:pPr>
            <w:r>
              <w:rPr>
                <w:sz w:val="24"/>
              </w:rPr>
              <w:t>1.6</w:t>
            </w:r>
          </w:p>
        </w:tc>
        <w:tc>
          <w:tcPr>
            <w:tcW w:w="5387" w:type="dxa"/>
          </w:tcPr>
          <w:p>
            <w:pPr>
              <w:spacing w:line="360" w:lineRule="auto"/>
              <w:ind w:firstLine="480" w:firstLineChars="200"/>
              <w:rPr>
                <w:sz w:val="24"/>
              </w:rPr>
            </w:pPr>
            <w:r>
              <w:rPr>
                <w:sz w:val="24"/>
              </w:rPr>
              <w:t>技术培训服务</w:t>
            </w:r>
          </w:p>
        </w:tc>
        <w:tc>
          <w:tcPr>
            <w:tcW w:w="1638" w:type="dxa"/>
            <w:vAlign w:val="center"/>
          </w:tcPr>
          <w:p>
            <w:pPr>
              <w:spacing w:line="360" w:lineRule="auto"/>
              <w:ind w:firstLine="480" w:firstLineChars="200"/>
              <w:rPr>
                <w:sz w:val="24"/>
              </w:rPr>
            </w:pPr>
            <w:r>
              <w:rPr>
                <w:sz w:val="24"/>
              </w:rPr>
              <w:t>6人次/年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line="360" w:lineRule="auto"/>
              <w:ind w:firstLine="482" w:firstLineChars="200"/>
              <w:rPr>
                <w:b/>
                <w:bCs/>
                <w:sz w:val="24"/>
              </w:rPr>
            </w:pPr>
            <w:r>
              <w:rPr>
                <w:b/>
                <w:bCs/>
                <w:sz w:val="24"/>
              </w:rPr>
              <w:t>2</w:t>
            </w:r>
          </w:p>
        </w:tc>
        <w:tc>
          <w:tcPr>
            <w:tcW w:w="5387" w:type="dxa"/>
            <w:vAlign w:val="center"/>
          </w:tcPr>
          <w:p>
            <w:pPr>
              <w:spacing w:line="360" w:lineRule="auto"/>
              <w:ind w:firstLine="482" w:firstLineChars="200"/>
              <w:rPr>
                <w:b/>
                <w:bCs/>
                <w:sz w:val="24"/>
              </w:rPr>
            </w:pPr>
            <w:r>
              <w:rPr>
                <w:b/>
                <w:bCs/>
                <w:sz w:val="24"/>
              </w:rPr>
              <w:t>数据库运行监控服务</w:t>
            </w:r>
          </w:p>
        </w:tc>
        <w:tc>
          <w:tcPr>
            <w:tcW w:w="1638" w:type="dxa"/>
            <w:vAlign w:val="center"/>
          </w:tcPr>
          <w:p>
            <w:pPr>
              <w:spacing w:line="360" w:lineRule="auto"/>
              <w:ind w:firstLine="480" w:firstLineChars="200"/>
              <w:rPr>
                <w:sz w:val="24"/>
              </w:rPr>
            </w:pPr>
            <w:r>
              <w:rPr>
                <w:sz w:val="24"/>
              </w:rPr>
              <w:t>1年</w:t>
            </w:r>
          </w:p>
        </w:tc>
      </w:tr>
    </w:tbl>
    <w:p>
      <w:pPr>
        <w:pStyle w:val="6"/>
        <w:spacing w:before="0" w:after="0" w:line="360" w:lineRule="auto"/>
        <w:ind w:left="0" w:firstLine="482"/>
        <w:jc w:val="both"/>
        <w:rPr>
          <w:rFonts w:ascii="Times New Roman" w:hAnsi="Times New Roman" w:eastAsia="宋体" w:cs="Times New Roman"/>
          <w:sz w:val="24"/>
          <w:szCs w:val="24"/>
        </w:rPr>
      </w:pPr>
      <w:bookmarkStart w:id="56" w:name="_Hlk180679885"/>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数据库维护技术服务</w:t>
      </w:r>
      <w:bookmarkEnd w:id="56"/>
    </w:p>
    <w:p>
      <w:pPr>
        <w:pStyle w:val="7"/>
        <w:spacing w:before="0" w:after="0" w:line="360" w:lineRule="auto"/>
        <w:ind w:left="0" w:firstLine="482"/>
        <w:jc w:val="both"/>
        <w:rPr>
          <w:rFonts w:ascii="Times New Roman" w:hAnsi="Times New Roman" w:eastAsia="宋体" w:cs="Times New Roman"/>
          <w:sz w:val="24"/>
          <w:szCs w:val="24"/>
        </w:rPr>
      </w:pPr>
      <w:bookmarkStart w:id="57" w:name="_Hlk180679939"/>
      <w:r>
        <w:rPr>
          <w:rFonts w:hint="eastAsia" w:ascii="Times New Roman" w:hAnsi="Times New Roman" w:eastAsia="宋体" w:cs="Times New Roman"/>
          <w:sz w:val="24"/>
          <w:szCs w:val="24"/>
          <w:lang w:val="en-US"/>
        </w:rPr>
        <w:t>1）</w:t>
      </w:r>
      <w:r>
        <w:rPr>
          <w:rFonts w:ascii="Times New Roman" w:hAnsi="Times New Roman" w:eastAsia="宋体" w:cs="Times New Roman"/>
          <w:sz w:val="24"/>
          <w:szCs w:val="24"/>
        </w:rPr>
        <w:t>7*24小时远程应急支持服务</w:t>
      </w:r>
    </w:p>
    <w:p>
      <w:pPr>
        <w:spacing w:line="360" w:lineRule="auto"/>
        <w:ind w:firstLine="480" w:firstLineChars="200"/>
        <w:rPr>
          <w:sz w:val="24"/>
        </w:rPr>
      </w:pPr>
      <w:r>
        <w:rPr>
          <w:sz w:val="24"/>
        </w:rPr>
        <w:t>对数据库系统故障或与数据库系统相关联的系统故障，投标人提供7*24小时不间断非现场(可以是400电话、e-mail、VPN、QQ等形式)支持服务，通过以上方式直接联络服务商的技术工程师，寻求问题的解决方案、技术文档以及技术指导，提供故障处理案例。</w:t>
      </w:r>
    </w:p>
    <w:p>
      <w:pPr>
        <w:spacing w:line="360" w:lineRule="auto"/>
        <w:ind w:firstLine="480" w:firstLineChars="200"/>
        <w:rPr>
          <w:sz w:val="24"/>
        </w:rPr>
      </w:pPr>
      <w:r>
        <w:rPr>
          <w:sz w:val="24"/>
        </w:rPr>
        <w:t>投标人接到采购人故障申告后应于5分钟内响应，如故障未能在15分钟内通过远程支持得到解决，</w:t>
      </w:r>
      <w:r>
        <w:rPr>
          <w:b/>
          <w:bCs/>
          <w:sz w:val="24"/>
        </w:rPr>
        <w:t>投标人承诺根据招标方要求派指定服务工程师在2小时内赶到招标方现场，提供不间断故障处理服务。</w:t>
      </w:r>
    </w:p>
    <w:p>
      <w:pPr>
        <w:pStyle w:val="7"/>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lang w:val="en-US"/>
        </w:rPr>
        <w:t>2）</w:t>
      </w:r>
      <w:r>
        <w:rPr>
          <w:rFonts w:ascii="Times New Roman" w:hAnsi="Times New Roman" w:eastAsia="宋体" w:cs="Times New Roman"/>
          <w:sz w:val="24"/>
          <w:szCs w:val="24"/>
        </w:rPr>
        <w:t>灾难性故障应急支持</w:t>
      </w:r>
    </w:p>
    <w:p>
      <w:pPr>
        <w:spacing w:line="360" w:lineRule="auto"/>
        <w:ind w:firstLine="480" w:firstLineChars="200"/>
        <w:rPr>
          <w:sz w:val="24"/>
        </w:rPr>
      </w:pPr>
      <w:r>
        <w:rPr>
          <w:sz w:val="24"/>
        </w:rPr>
        <w:t>灾难性故障指由于各种原因引起数据库不可用或者部分不可用的状况。要求服务团队精通灾备技术，快速恢复各种灾难性故障。熟悉采购人的备份机制和模式，利用备份机制实现快速故障恢复，针对数据灾难情形提供强有力的挽救技术或工具。</w:t>
      </w:r>
    </w:p>
    <w:p>
      <w:pPr>
        <w:spacing w:line="360" w:lineRule="auto"/>
        <w:ind w:firstLine="482" w:firstLineChars="200"/>
        <w:rPr>
          <w:b/>
          <w:bCs/>
          <w:sz w:val="24"/>
        </w:rPr>
      </w:pPr>
      <w:r>
        <w:rPr>
          <w:b/>
          <w:bCs/>
          <w:sz w:val="24"/>
        </w:rPr>
        <w:t>服务期内提供不少于4人天的现场服务。</w:t>
      </w:r>
    </w:p>
    <w:p>
      <w:pPr>
        <w:pStyle w:val="7"/>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lang w:val="en-US"/>
        </w:rPr>
        <w:t>3</w:t>
      </w:r>
      <w:r>
        <w:rPr>
          <w:rFonts w:hint="eastAsia" w:ascii="Times New Roman" w:hAnsi="Times New Roman" w:eastAsia="宋体" w:cs="Times New Roman"/>
          <w:sz w:val="24"/>
          <w:szCs w:val="24"/>
        </w:rPr>
        <w:t>）</w:t>
      </w:r>
      <w:r>
        <w:rPr>
          <w:rFonts w:ascii="Times New Roman" w:hAnsi="Times New Roman" w:eastAsia="宋体" w:cs="Times New Roman"/>
          <w:sz w:val="24"/>
          <w:szCs w:val="24"/>
        </w:rPr>
        <w:t>数据库现场巡检服务</w:t>
      </w:r>
    </w:p>
    <w:p>
      <w:pPr>
        <w:spacing w:line="360" w:lineRule="auto"/>
        <w:ind w:firstLine="480" w:firstLineChars="200"/>
        <w:rPr>
          <w:sz w:val="24"/>
        </w:rPr>
      </w:pPr>
      <w:r>
        <w:rPr>
          <w:sz w:val="24"/>
        </w:rPr>
        <w:t>服务期内提供数据库现场巡检服务，检查至少包括以下内容：</w:t>
      </w:r>
    </w:p>
    <w:p>
      <w:pPr>
        <w:spacing w:line="360" w:lineRule="auto"/>
        <w:ind w:firstLine="480" w:firstLineChars="200"/>
        <w:rPr>
          <w:sz w:val="24"/>
        </w:rPr>
      </w:pPr>
      <w:r>
        <w:rPr>
          <w:sz w:val="24"/>
        </w:rPr>
        <w:t>（1）检查相关软硬件、数据库配置和SGA、PGA的配置情况；</w:t>
      </w:r>
    </w:p>
    <w:p>
      <w:pPr>
        <w:spacing w:line="360" w:lineRule="auto"/>
        <w:ind w:firstLine="480" w:firstLineChars="200"/>
        <w:rPr>
          <w:sz w:val="24"/>
        </w:rPr>
      </w:pPr>
      <w:r>
        <w:rPr>
          <w:sz w:val="24"/>
        </w:rPr>
        <w:t>（2）检查数据库、备份结果集、各表空间的变化情况等，并对数据变化情况作评估；</w:t>
      </w:r>
    </w:p>
    <w:p>
      <w:pPr>
        <w:spacing w:line="360" w:lineRule="auto"/>
        <w:ind w:firstLine="480" w:firstLineChars="200"/>
        <w:rPr>
          <w:sz w:val="24"/>
        </w:rPr>
      </w:pPr>
      <w:r>
        <w:rPr>
          <w:sz w:val="24"/>
        </w:rPr>
        <w:t>（3）统计当前表空间、文件系统和数据文件的使用情况；</w:t>
      </w:r>
    </w:p>
    <w:p>
      <w:pPr>
        <w:spacing w:line="360" w:lineRule="auto"/>
        <w:ind w:firstLine="480" w:firstLineChars="200"/>
        <w:rPr>
          <w:sz w:val="24"/>
        </w:rPr>
      </w:pPr>
      <w:r>
        <w:rPr>
          <w:sz w:val="24"/>
        </w:rPr>
        <w:t>（4）检查数据库alert.log日志文件和相关trace文件；</w:t>
      </w:r>
    </w:p>
    <w:p>
      <w:pPr>
        <w:spacing w:line="360" w:lineRule="auto"/>
        <w:ind w:firstLine="480" w:firstLineChars="200"/>
        <w:rPr>
          <w:sz w:val="24"/>
        </w:rPr>
      </w:pPr>
      <w:r>
        <w:rPr>
          <w:sz w:val="24"/>
        </w:rPr>
        <w:t>（5）检查操作系统用户、数据库用户、系统本身的安全性；</w:t>
      </w:r>
    </w:p>
    <w:p>
      <w:pPr>
        <w:spacing w:line="360" w:lineRule="auto"/>
        <w:ind w:firstLine="480" w:firstLineChars="200"/>
        <w:rPr>
          <w:sz w:val="24"/>
        </w:rPr>
      </w:pPr>
      <w:r>
        <w:rPr>
          <w:sz w:val="24"/>
        </w:rPr>
        <w:t>（6）收集数据库运行期间的负载情况和Instance各性能指标；</w:t>
      </w:r>
    </w:p>
    <w:p>
      <w:pPr>
        <w:spacing w:line="360" w:lineRule="auto"/>
        <w:ind w:firstLine="480" w:firstLineChars="200"/>
        <w:rPr>
          <w:sz w:val="24"/>
        </w:rPr>
      </w:pPr>
      <w:r>
        <w:rPr>
          <w:sz w:val="24"/>
        </w:rPr>
        <w:t>（7）检查数据库备份是否正常；</w:t>
      </w:r>
    </w:p>
    <w:p>
      <w:pPr>
        <w:spacing w:line="360" w:lineRule="auto"/>
        <w:ind w:firstLine="480" w:firstLineChars="200"/>
        <w:rPr>
          <w:sz w:val="24"/>
        </w:rPr>
      </w:pPr>
      <w:r>
        <w:rPr>
          <w:sz w:val="24"/>
        </w:rPr>
        <w:t>（8）</w:t>
      </w:r>
      <w:r>
        <w:rPr>
          <w:rFonts w:hint="eastAsia"/>
          <w:b/>
          <w:bCs/>
          <w:sz w:val="24"/>
        </w:rPr>
        <w:t>提供一年不少于</w:t>
      </w:r>
      <w:r>
        <w:rPr>
          <w:b/>
          <w:bCs/>
          <w:sz w:val="24"/>
        </w:rPr>
        <w:t>4</w:t>
      </w:r>
      <w:r>
        <w:rPr>
          <w:rFonts w:hint="eastAsia"/>
          <w:b/>
          <w:bCs/>
          <w:sz w:val="24"/>
        </w:rPr>
        <w:t>次的日常数据库巡检服务。</w:t>
      </w:r>
    </w:p>
    <w:p>
      <w:pPr>
        <w:pStyle w:val="7"/>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lang w:val="en-US"/>
        </w:rPr>
        <w:t>4）</w:t>
      </w:r>
      <w:r>
        <w:rPr>
          <w:rFonts w:ascii="Times New Roman" w:hAnsi="Times New Roman" w:eastAsia="宋体" w:cs="Times New Roman"/>
          <w:sz w:val="24"/>
          <w:szCs w:val="24"/>
        </w:rPr>
        <w:t>数据库性能优化服务</w:t>
      </w:r>
    </w:p>
    <w:p>
      <w:pPr>
        <w:spacing w:line="360" w:lineRule="auto"/>
        <w:ind w:firstLine="480" w:firstLineChars="200"/>
        <w:rPr>
          <w:sz w:val="24"/>
        </w:rPr>
      </w:pPr>
      <w:r>
        <w:rPr>
          <w:sz w:val="24"/>
        </w:rPr>
        <w:t>结合系统定期巡检和采购人重大事件等实际需要，根据检查的内容和采购人提出的具体需求，制定数据库性能调优方案。</w:t>
      </w:r>
    </w:p>
    <w:p>
      <w:pPr>
        <w:spacing w:line="360" w:lineRule="auto"/>
        <w:ind w:firstLine="480" w:firstLineChars="200"/>
        <w:rPr>
          <w:sz w:val="24"/>
        </w:rPr>
      </w:pPr>
      <w:r>
        <w:rPr>
          <w:sz w:val="24"/>
        </w:rPr>
        <w:t>投标人在采购人的同意下进行数据库性能优化或 SQL优化。</w:t>
      </w:r>
    </w:p>
    <w:p>
      <w:pPr>
        <w:spacing w:line="360" w:lineRule="auto"/>
        <w:ind w:firstLine="480" w:firstLineChars="200"/>
        <w:rPr>
          <w:sz w:val="24"/>
        </w:rPr>
      </w:pPr>
      <w:r>
        <w:rPr>
          <w:sz w:val="24"/>
        </w:rPr>
        <w:t>要求服务团队极为擅长性能优化和SQL语句优化，具有丰富的性能优化案例和性能优化相关培训课程,能结合实际案例自行编著培训课程（即ORACLE官方OCP或OCM教材不计在内）者可作为优选。</w:t>
      </w:r>
    </w:p>
    <w:p>
      <w:pPr>
        <w:spacing w:line="360" w:lineRule="auto"/>
        <w:ind w:firstLine="482" w:firstLineChars="200"/>
        <w:rPr>
          <w:b/>
          <w:bCs/>
          <w:sz w:val="24"/>
        </w:rPr>
      </w:pPr>
      <w:r>
        <w:rPr>
          <w:rFonts w:hint="eastAsia"/>
          <w:b/>
          <w:bCs/>
          <w:sz w:val="24"/>
        </w:rPr>
        <w:t>提供一年不少于</w:t>
      </w:r>
      <w:r>
        <w:rPr>
          <w:b/>
          <w:bCs/>
          <w:sz w:val="24"/>
        </w:rPr>
        <w:t>2</w:t>
      </w:r>
      <w:r>
        <w:rPr>
          <w:rFonts w:hint="eastAsia"/>
          <w:b/>
          <w:bCs/>
          <w:sz w:val="24"/>
        </w:rPr>
        <w:t>人天的健康检查优化服务。</w:t>
      </w:r>
    </w:p>
    <w:p>
      <w:pPr>
        <w:pStyle w:val="7"/>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lang w:val="en-US"/>
        </w:rPr>
        <w:t>5）</w:t>
      </w:r>
      <w:r>
        <w:rPr>
          <w:rFonts w:ascii="Times New Roman" w:hAnsi="Times New Roman" w:eastAsia="宋体" w:cs="Times New Roman"/>
          <w:sz w:val="24"/>
          <w:szCs w:val="24"/>
        </w:rPr>
        <w:t>客户档案管理服务</w:t>
      </w:r>
    </w:p>
    <w:p>
      <w:pPr>
        <w:spacing w:line="360" w:lineRule="auto"/>
        <w:ind w:firstLine="480" w:firstLineChars="200"/>
        <w:rPr>
          <w:sz w:val="24"/>
        </w:rPr>
      </w:pPr>
      <w:r>
        <w:rPr>
          <w:sz w:val="24"/>
        </w:rPr>
        <w:t>为了提高数据库运维服务能力，要求提供完善的客户服务档案，具体如下：</w:t>
      </w:r>
    </w:p>
    <w:p>
      <w:pPr>
        <w:spacing w:line="360" w:lineRule="auto"/>
        <w:ind w:firstLine="480" w:firstLineChars="200"/>
        <w:rPr>
          <w:sz w:val="24"/>
        </w:rPr>
      </w:pPr>
      <w:r>
        <w:rPr>
          <w:sz w:val="24"/>
        </w:rPr>
        <w:t>（1）现场技术顾问现场填写，采购人签字认可的报告，包括但不限于：</w:t>
      </w:r>
    </w:p>
    <w:p>
      <w:pPr>
        <w:pStyle w:val="4"/>
        <w:numPr>
          <w:ilvl w:val="255"/>
          <w:numId w:val="0"/>
        </w:numPr>
        <w:ind w:firstLine="480"/>
        <w:rPr>
          <w:rFonts w:eastAsia="宋体" w:cs="Times New Roman"/>
        </w:rPr>
      </w:pPr>
      <w:r>
        <w:rPr>
          <w:rFonts w:eastAsia="宋体" w:cs="Times New Roman"/>
        </w:rPr>
        <w:t>①现场服务报告</w:t>
      </w:r>
    </w:p>
    <w:p>
      <w:pPr>
        <w:pStyle w:val="4"/>
        <w:numPr>
          <w:ilvl w:val="255"/>
          <w:numId w:val="0"/>
        </w:numPr>
        <w:ind w:firstLine="480"/>
        <w:rPr>
          <w:rFonts w:eastAsia="宋体" w:cs="Times New Roman"/>
        </w:rPr>
      </w:pPr>
      <w:r>
        <w:rPr>
          <w:rFonts w:eastAsia="宋体" w:cs="Times New Roman"/>
        </w:rPr>
        <w:t>②现场技术工程师服务完成后提供的报告，以报告形式和电子文档2种形式的方式送交给客户，包括：</w:t>
      </w:r>
    </w:p>
    <w:p>
      <w:pPr>
        <w:pStyle w:val="4"/>
        <w:numPr>
          <w:ilvl w:val="255"/>
          <w:numId w:val="0"/>
        </w:numPr>
        <w:ind w:firstLine="480"/>
        <w:rPr>
          <w:rFonts w:eastAsia="宋体" w:cs="Times New Roman"/>
        </w:rPr>
      </w:pPr>
      <w:r>
        <w:rPr>
          <w:rFonts w:eastAsia="宋体" w:cs="Times New Roman"/>
        </w:rPr>
        <w:t>③现场服务后的检查报告</w:t>
      </w:r>
    </w:p>
    <w:p>
      <w:pPr>
        <w:pStyle w:val="4"/>
        <w:numPr>
          <w:ilvl w:val="255"/>
          <w:numId w:val="0"/>
        </w:numPr>
        <w:ind w:firstLine="480"/>
        <w:rPr>
          <w:rFonts w:eastAsia="宋体" w:cs="Times New Roman"/>
        </w:rPr>
      </w:pPr>
      <w:r>
        <w:rPr>
          <w:rFonts w:eastAsia="宋体" w:cs="Times New Roman"/>
        </w:rPr>
        <w:t>④优化调整报告</w:t>
      </w:r>
    </w:p>
    <w:p>
      <w:pPr>
        <w:pStyle w:val="4"/>
        <w:numPr>
          <w:ilvl w:val="255"/>
          <w:numId w:val="0"/>
        </w:numPr>
        <w:ind w:firstLine="480"/>
        <w:rPr>
          <w:rFonts w:eastAsia="宋体" w:cs="Times New Roman"/>
        </w:rPr>
      </w:pPr>
      <w:r>
        <w:rPr>
          <w:rFonts w:eastAsia="宋体" w:cs="Times New Roman"/>
        </w:rPr>
        <w:t>⑤软件和数据库升级报告</w:t>
      </w:r>
    </w:p>
    <w:p>
      <w:pPr>
        <w:pStyle w:val="4"/>
        <w:numPr>
          <w:ilvl w:val="255"/>
          <w:numId w:val="0"/>
        </w:numPr>
        <w:ind w:firstLine="480"/>
        <w:rPr>
          <w:rFonts w:eastAsia="宋体" w:cs="Times New Roman"/>
        </w:rPr>
      </w:pPr>
      <w:r>
        <w:rPr>
          <w:rFonts w:eastAsia="宋体" w:cs="Times New Roman"/>
        </w:rPr>
        <w:t>⑥数据库巡检报告</w:t>
      </w:r>
    </w:p>
    <w:p>
      <w:pPr>
        <w:pStyle w:val="4"/>
        <w:numPr>
          <w:ilvl w:val="255"/>
          <w:numId w:val="0"/>
        </w:numPr>
        <w:ind w:firstLine="480"/>
        <w:rPr>
          <w:rFonts w:eastAsia="宋体" w:cs="Times New Roman"/>
        </w:rPr>
      </w:pPr>
      <w:r>
        <w:rPr>
          <w:rFonts w:eastAsia="宋体" w:cs="Times New Roman"/>
        </w:rPr>
        <w:t>⑦服务年度总结报告</w:t>
      </w:r>
    </w:p>
    <w:p>
      <w:pPr>
        <w:spacing w:line="360" w:lineRule="auto"/>
        <w:ind w:firstLine="480" w:firstLineChars="200"/>
        <w:rPr>
          <w:sz w:val="24"/>
        </w:rPr>
      </w:pPr>
      <w:r>
        <w:rPr>
          <w:sz w:val="24"/>
        </w:rPr>
        <w:t>（2）由投标人提供，采购人填写的报告：</w:t>
      </w:r>
    </w:p>
    <w:p>
      <w:pPr>
        <w:spacing w:line="360" w:lineRule="auto"/>
        <w:ind w:firstLine="480" w:firstLineChars="200"/>
        <w:rPr>
          <w:sz w:val="24"/>
        </w:rPr>
      </w:pPr>
      <w:r>
        <w:rPr>
          <w:sz w:val="24"/>
        </w:rPr>
        <w:t>服务效果反馈报告</w:t>
      </w:r>
    </w:p>
    <w:p>
      <w:pPr>
        <w:pStyle w:val="7"/>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lang w:val="en-US"/>
        </w:rPr>
        <w:t>5）</w:t>
      </w:r>
      <w:r>
        <w:rPr>
          <w:rFonts w:ascii="Times New Roman" w:hAnsi="Times New Roman" w:eastAsia="宋体" w:cs="Times New Roman"/>
          <w:sz w:val="24"/>
          <w:szCs w:val="24"/>
        </w:rPr>
        <w:t>技术培训服务</w:t>
      </w:r>
    </w:p>
    <w:p>
      <w:pPr>
        <w:spacing w:line="360" w:lineRule="auto"/>
        <w:ind w:firstLine="480" w:firstLineChars="200"/>
        <w:rPr>
          <w:sz w:val="24"/>
        </w:rPr>
      </w:pPr>
      <w:r>
        <w:rPr>
          <w:sz w:val="24"/>
        </w:rPr>
        <w:t>持续培训有利于提高采购人DBA团队的技术水平，要求服务团队制定一年的培训计划，要求提供至少两个月进行一次培训，具有丰富的培训课程选择，避免培训课程重复。</w:t>
      </w:r>
    </w:p>
    <w:p>
      <w:pPr>
        <w:spacing w:line="360" w:lineRule="auto"/>
        <w:ind w:firstLine="482" w:firstLineChars="200"/>
        <w:rPr>
          <w:b/>
          <w:bCs/>
          <w:sz w:val="24"/>
        </w:rPr>
      </w:pPr>
      <w:r>
        <w:rPr>
          <w:b/>
          <w:bCs/>
          <w:sz w:val="24"/>
        </w:rPr>
        <w:t>服务期内要求提供不少于6人次的数据库相关培训。</w:t>
      </w:r>
    </w:p>
    <w:p>
      <w:pPr>
        <w:pStyle w:val="6"/>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lang w:val="en-US"/>
        </w:rPr>
        <w:t>（3）</w:t>
      </w:r>
      <w:r>
        <w:rPr>
          <w:rFonts w:ascii="Times New Roman" w:hAnsi="Times New Roman" w:eastAsia="宋体" w:cs="Times New Roman"/>
          <w:sz w:val="24"/>
          <w:szCs w:val="24"/>
        </w:rPr>
        <w:t>数据库运行监控服务</w:t>
      </w:r>
    </w:p>
    <w:p>
      <w:pPr>
        <w:spacing w:line="360" w:lineRule="auto"/>
        <w:ind w:firstLine="480" w:firstLineChars="200"/>
        <w:rPr>
          <w:sz w:val="24"/>
        </w:rPr>
      </w:pPr>
      <w:r>
        <w:rPr>
          <w:sz w:val="24"/>
        </w:rPr>
        <w:t>投标人需要提供自主研发具有相应软件著作权的数据库运行管理平台，供采购人进行数据库运行监控，数据库运行管理平台需要满足资产发现、监控告警、智能巡检等数据库日常运维场景服务。</w:t>
      </w:r>
    </w:p>
    <w:p>
      <w:pPr>
        <w:pStyle w:val="7"/>
        <w:spacing w:before="0" w:after="0" w:line="360" w:lineRule="auto"/>
        <w:ind w:left="0" w:firstLine="482"/>
        <w:jc w:val="both"/>
        <w:rPr>
          <w:rFonts w:ascii="Times New Roman" w:hAnsi="Times New Roman" w:eastAsia="宋体" w:cs="Times New Roman"/>
          <w:sz w:val="24"/>
          <w:szCs w:val="24"/>
          <w:lang w:val="en-US"/>
        </w:rPr>
      </w:pPr>
      <w:r>
        <w:rPr>
          <w:rFonts w:hint="eastAsia" w:ascii="Times New Roman" w:hAnsi="Times New Roman" w:eastAsia="宋体" w:cs="Times New Roman"/>
          <w:sz w:val="24"/>
          <w:szCs w:val="24"/>
          <w:lang w:val="en-US"/>
        </w:rPr>
        <w:t>1）</w:t>
      </w:r>
      <w:r>
        <w:rPr>
          <w:rFonts w:ascii="Times New Roman" w:hAnsi="Times New Roman" w:eastAsia="宋体" w:cs="Times New Roman"/>
          <w:sz w:val="24"/>
          <w:szCs w:val="24"/>
        </w:rPr>
        <w:t>数据库适配</w:t>
      </w:r>
    </w:p>
    <w:p>
      <w:pPr>
        <w:spacing w:line="360" w:lineRule="auto"/>
        <w:ind w:firstLine="480" w:firstLineChars="200"/>
        <w:rPr>
          <w:sz w:val="24"/>
        </w:rPr>
      </w:pPr>
      <w:r>
        <w:rPr>
          <w:sz w:val="24"/>
        </w:rPr>
        <w:sym w:font="Wingdings" w:char="F0AB"/>
      </w:r>
      <w:r>
        <w:rPr>
          <w:sz w:val="24"/>
        </w:rPr>
        <w:t>（1）支持数据库适配类型：Oracle、SQL Server、MySQL、DB2、PostgreSQL、MongoDB、达梦、人大金仓、Redis、Caché、HANA、TDSQL、TiDB、OceanBase、Kafka、阿里云RDS for MySQL等。（</w:t>
      </w:r>
      <w:r>
        <w:rPr>
          <w:b/>
          <w:bCs/>
          <w:sz w:val="24"/>
        </w:rPr>
        <w:t>投标文件中提供证明材料截图</w:t>
      </w:r>
      <w:r>
        <w:rPr>
          <w:sz w:val="24"/>
        </w:rPr>
        <w:t>）</w:t>
      </w:r>
    </w:p>
    <w:p>
      <w:pPr>
        <w:spacing w:line="360" w:lineRule="auto"/>
        <w:ind w:firstLine="480" w:firstLineChars="200"/>
        <w:rPr>
          <w:sz w:val="24"/>
        </w:rPr>
      </w:pPr>
      <w:r>
        <w:rPr>
          <w:sz w:val="24"/>
        </w:rPr>
        <w:t>（2）支持主机适配类型：Linux、Windows、AIX、HP-UX、Solaris、中标麒麟等。</w:t>
      </w:r>
    </w:p>
    <w:p>
      <w:pPr>
        <w:spacing w:line="360" w:lineRule="auto"/>
        <w:ind w:firstLine="480" w:firstLineChars="200"/>
        <w:rPr>
          <w:sz w:val="24"/>
        </w:rPr>
      </w:pPr>
      <w:r>
        <w:rPr>
          <w:sz w:val="24"/>
        </w:rPr>
        <w:t>（3）支持云库和无主机模式接入。</w:t>
      </w:r>
    </w:p>
    <w:p>
      <w:pPr>
        <w:pStyle w:val="7"/>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lang w:val="en-US"/>
        </w:rPr>
        <w:t>2）</w:t>
      </w:r>
      <w:r>
        <w:rPr>
          <w:rFonts w:ascii="Times New Roman" w:hAnsi="Times New Roman" w:eastAsia="宋体" w:cs="Times New Roman"/>
          <w:sz w:val="24"/>
          <w:szCs w:val="24"/>
        </w:rPr>
        <w:t>资产发现</w:t>
      </w:r>
    </w:p>
    <w:p>
      <w:pPr>
        <w:spacing w:line="360" w:lineRule="auto"/>
        <w:ind w:firstLine="480" w:firstLineChars="200"/>
        <w:rPr>
          <w:sz w:val="24"/>
        </w:rPr>
      </w:pPr>
      <w:r>
        <w:rPr>
          <w:sz w:val="24"/>
        </w:rPr>
        <w:t>（1）支持自定义IP和数据库端口方式，自动发现数据库资产。</w:t>
      </w:r>
    </w:p>
    <w:p>
      <w:pPr>
        <w:spacing w:line="360" w:lineRule="auto"/>
        <w:ind w:firstLine="480" w:firstLineChars="200"/>
        <w:rPr>
          <w:sz w:val="24"/>
        </w:rPr>
      </w:pPr>
      <w:r>
        <w:rPr>
          <w:sz w:val="24"/>
        </w:rPr>
        <w:sym w:font="Wingdings" w:char="F0AB"/>
      </w:r>
      <w:r>
        <w:rPr>
          <w:sz w:val="24"/>
        </w:rPr>
        <w:t>（2）支持自动识别数据库集群和容灾架构，包括：Oracle RAC/DG/OGG、SQL Server Alwayson、MySQL Cluster/主从/主主、DBRA等，并自动生成拓扑图。（</w:t>
      </w:r>
      <w:r>
        <w:rPr>
          <w:b/>
          <w:bCs/>
          <w:sz w:val="24"/>
        </w:rPr>
        <w:t>投标文件中提供证明材料截图</w:t>
      </w:r>
      <w:r>
        <w:rPr>
          <w:sz w:val="24"/>
        </w:rPr>
        <w:t>）</w:t>
      </w:r>
    </w:p>
    <w:p>
      <w:pPr>
        <w:spacing w:line="360" w:lineRule="auto"/>
        <w:ind w:firstLine="480" w:firstLineChars="200"/>
        <w:rPr>
          <w:sz w:val="24"/>
        </w:rPr>
      </w:pPr>
      <w:r>
        <w:rPr>
          <w:sz w:val="24"/>
        </w:rPr>
        <w:sym w:font="Wingdings" w:char="F0AB"/>
      </w:r>
      <w:r>
        <w:rPr>
          <w:sz w:val="24"/>
        </w:rPr>
        <w:t>（3）自动检测资产DB-LINK关系，提供拓扑图和表格形式展示，展示各对象之间的数据流向。（</w:t>
      </w:r>
      <w:r>
        <w:rPr>
          <w:b/>
          <w:bCs/>
          <w:sz w:val="24"/>
        </w:rPr>
        <w:t>投标文件中提供证明材料截图</w:t>
      </w:r>
      <w:r>
        <w:rPr>
          <w:sz w:val="24"/>
        </w:rPr>
        <w:t>）</w:t>
      </w:r>
    </w:p>
    <w:p>
      <w:pPr>
        <w:spacing w:line="360" w:lineRule="auto"/>
        <w:ind w:firstLine="480" w:firstLineChars="200"/>
        <w:rPr>
          <w:sz w:val="24"/>
        </w:rPr>
      </w:pPr>
      <w:r>
        <w:rPr>
          <w:sz w:val="24"/>
        </w:rPr>
        <w:t>（4）支持以报表形式批量导出数据库资产。</w:t>
      </w:r>
    </w:p>
    <w:p>
      <w:pPr>
        <w:pStyle w:val="7"/>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lang w:val="en-US"/>
        </w:rPr>
        <w:t>3）</w:t>
      </w:r>
      <w:r>
        <w:rPr>
          <w:rFonts w:ascii="Times New Roman" w:hAnsi="Times New Roman" w:eastAsia="宋体" w:cs="Times New Roman"/>
          <w:sz w:val="24"/>
          <w:szCs w:val="24"/>
        </w:rPr>
        <w:t>运行监控</w:t>
      </w:r>
    </w:p>
    <w:p>
      <w:pPr>
        <w:spacing w:line="360" w:lineRule="auto"/>
        <w:ind w:firstLine="480" w:firstLineChars="200"/>
        <w:rPr>
          <w:sz w:val="24"/>
        </w:rPr>
      </w:pPr>
      <w:r>
        <w:rPr>
          <w:sz w:val="24"/>
        </w:rPr>
        <w:t>运行监控内容至少包括：</w:t>
      </w:r>
    </w:p>
    <w:p>
      <w:pPr>
        <w:spacing w:line="360" w:lineRule="auto"/>
        <w:ind w:firstLine="480" w:firstLineChars="200"/>
        <w:rPr>
          <w:sz w:val="24"/>
        </w:rPr>
      </w:pPr>
      <w:r>
        <w:rPr>
          <w:sz w:val="24"/>
        </w:rPr>
        <w:t>（1）数据库连接、监听、实例状态，数据库启停状态。</w:t>
      </w:r>
    </w:p>
    <w:p>
      <w:pPr>
        <w:spacing w:line="360" w:lineRule="auto"/>
        <w:ind w:firstLine="480" w:firstLineChars="200"/>
        <w:rPr>
          <w:sz w:val="24"/>
        </w:rPr>
      </w:pPr>
      <w:r>
        <w:rPr>
          <w:sz w:val="24"/>
        </w:rPr>
        <w:t>（2）表空间、ASM磁盘组、归档日志、闪回空间、数据文件、文件系统状态和变化。</w:t>
      </w:r>
    </w:p>
    <w:p>
      <w:pPr>
        <w:spacing w:line="360" w:lineRule="auto"/>
        <w:ind w:firstLine="480" w:firstLineChars="200"/>
        <w:rPr>
          <w:sz w:val="24"/>
        </w:rPr>
      </w:pPr>
      <w:r>
        <w:rPr>
          <w:sz w:val="24"/>
        </w:rPr>
        <w:t>（3）Oracle RAC/DG/OGG、SQL Server Alwayson、MySQL Cluster/主从/主主、DBRA等集群和容灾状态。</w:t>
      </w:r>
    </w:p>
    <w:p>
      <w:pPr>
        <w:spacing w:line="360" w:lineRule="auto"/>
        <w:ind w:firstLine="480" w:firstLineChars="200"/>
        <w:rPr>
          <w:sz w:val="24"/>
        </w:rPr>
      </w:pPr>
      <w:r>
        <w:rPr>
          <w:sz w:val="24"/>
        </w:rPr>
        <w:t>（4）长事务、大事务运行状态。</w:t>
      </w:r>
    </w:p>
    <w:p>
      <w:pPr>
        <w:spacing w:line="360" w:lineRule="auto"/>
        <w:ind w:firstLine="480" w:firstLineChars="200"/>
        <w:rPr>
          <w:sz w:val="24"/>
        </w:rPr>
      </w:pPr>
      <w:r>
        <w:rPr>
          <w:sz w:val="24"/>
        </w:rPr>
        <w:t>（5）数据库登录、数据库连接、SQL解析、SQL执行、SQL提交状态。</w:t>
      </w:r>
    </w:p>
    <w:p>
      <w:pPr>
        <w:spacing w:line="360" w:lineRule="auto"/>
        <w:ind w:firstLine="480" w:firstLineChars="200"/>
        <w:rPr>
          <w:sz w:val="24"/>
        </w:rPr>
      </w:pPr>
      <w:r>
        <w:rPr>
          <w:sz w:val="24"/>
        </w:rPr>
        <w:t>（6）Processes、Sessions、DB files、Jobs等数据库资源使用状态。</w:t>
      </w:r>
    </w:p>
    <w:p>
      <w:pPr>
        <w:spacing w:line="360" w:lineRule="auto"/>
        <w:ind w:firstLine="480" w:firstLineChars="200"/>
        <w:rPr>
          <w:sz w:val="24"/>
        </w:rPr>
      </w:pPr>
      <w:r>
        <w:rPr>
          <w:sz w:val="24"/>
        </w:rPr>
        <w:t>（7）Lock、Latch、Mutex锁资源状态。</w:t>
      </w:r>
    </w:p>
    <w:p>
      <w:pPr>
        <w:spacing w:line="360" w:lineRule="auto"/>
        <w:ind w:firstLine="480" w:firstLineChars="200"/>
        <w:rPr>
          <w:sz w:val="24"/>
        </w:rPr>
      </w:pPr>
      <w:r>
        <w:rPr>
          <w:sz w:val="24"/>
        </w:rPr>
        <w:t>（8）物理备份和逻辑备份状态。</w:t>
      </w:r>
    </w:p>
    <w:p>
      <w:pPr>
        <w:spacing w:line="360" w:lineRule="auto"/>
        <w:ind w:firstLine="480" w:firstLineChars="200"/>
        <w:rPr>
          <w:sz w:val="24"/>
        </w:rPr>
      </w:pPr>
      <w:r>
        <w:rPr>
          <w:sz w:val="24"/>
        </w:rPr>
        <w:t>（9）CPU、内存、存储I/O、网络等主机资源使用状态。</w:t>
      </w:r>
    </w:p>
    <w:p>
      <w:pPr>
        <w:spacing w:line="360" w:lineRule="auto"/>
        <w:ind w:firstLine="480" w:firstLineChars="200"/>
        <w:rPr>
          <w:sz w:val="24"/>
        </w:rPr>
      </w:pPr>
      <w:r>
        <w:rPr>
          <w:sz w:val="24"/>
        </w:rPr>
        <w:sym w:font="Wingdings" w:char="F0AB"/>
      </w:r>
      <w:r>
        <w:rPr>
          <w:sz w:val="24"/>
        </w:rPr>
        <w:t>（10）支持自定义监控指标项。（</w:t>
      </w:r>
      <w:bookmarkStart w:id="58" w:name="OLE_LINK3"/>
      <w:r>
        <w:rPr>
          <w:b/>
          <w:bCs/>
          <w:sz w:val="24"/>
        </w:rPr>
        <w:t>投标文件中</w:t>
      </w:r>
      <w:bookmarkEnd w:id="58"/>
      <w:r>
        <w:rPr>
          <w:b/>
          <w:bCs/>
          <w:sz w:val="24"/>
        </w:rPr>
        <w:t>提供产品功能截图</w:t>
      </w:r>
      <w:r>
        <w:rPr>
          <w:sz w:val="24"/>
        </w:rPr>
        <w:t>）</w:t>
      </w:r>
    </w:p>
    <w:p>
      <w:pPr>
        <w:pStyle w:val="7"/>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lang w:val="en-US"/>
        </w:rPr>
        <w:t>4）</w:t>
      </w:r>
      <w:r>
        <w:rPr>
          <w:rFonts w:ascii="Times New Roman" w:hAnsi="Times New Roman" w:eastAsia="宋体" w:cs="Times New Roman"/>
          <w:sz w:val="24"/>
          <w:szCs w:val="24"/>
        </w:rPr>
        <w:t>聚合监控</w:t>
      </w:r>
    </w:p>
    <w:p>
      <w:pPr>
        <w:spacing w:line="360" w:lineRule="auto"/>
        <w:ind w:firstLine="480" w:firstLineChars="200"/>
        <w:rPr>
          <w:sz w:val="24"/>
        </w:rPr>
      </w:pPr>
      <w:r>
        <w:rPr>
          <w:sz w:val="24"/>
        </w:rPr>
        <w:t>支持聚合监控大屏，显示内容至少包括：</w:t>
      </w:r>
    </w:p>
    <w:p>
      <w:pPr>
        <w:spacing w:line="360" w:lineRule="auto"/>
        <w:ind w:firstLine="480" w:firstLineChars="200"/>
        <w:rPr>
          <w:sz w:val="24"/>
        </w:rPr>
      </w:pPr>
      <w:r>
        <w:rPr>
          <w:sz w:val="24"/>
        </w:rPr>
        <w:sym w:font="Wingdings" w:char="F0AB"/>
      </w:r>
      <w:r>
        <w:rPr>
          <w:sz w:val="24"/>
        </w:rPr>
        <w:t>（1）显示全局或指定业务系统的健康度、繁忙度、可用度指数。（</w:t>
      </w:r>
      <w:r>
        <w:rPr>
          <w:b/>
          <w:bCs/>
          <w:sz w:val="24"/>
        </w:rPr>
        <w:t>投标文件中提供健康度、繁忙度、可用度的指数截图</w:t>
      </w:r>
      <w:r>
        <w:rPr>
          <w:sz w:val="24"/>
        </w:rPr>
        <w:t>）</w:t>
      </w:r>
    </w:p>
    <w:p>
      <w:pPr>
        <w:spacing w:line="360" w:lineRule="auto"/>
        <w:ind w:firstLine="480" w:firstLineChars="200"/>
        <w:rPr>
          <w:sz w:val="24"/>
        </w:rPr>
      </w:pPr>
      <w:r>
        <w:rPr>
          <w:sz w:val="24"/>
        </w:rPr>
        <w:t>（2）显示Top5告警数、变更数、会话数、健康度、过去7天可用度、繁忙度的数据库资产。</w:t>
      </w:r>
    </w:p>
    <w:p>
      <w:pPr>
        <w:spacing w:line="360" w:lineRule="auto"/>
        <w:ind w:firstLine="480" w:firstLineChars="200"/>
        <w:rPr>
          <w:sz w:val="24"/>
        </w:rPr>
      </w:pPr>
      <w:r>
        <w:rPr>
          <w:sz w:val="24"/>
        </w:rPr>
        <w:t>（3）显示多实例的正常/异常状态，并可以下钻到指定实例或集群大屏。</w:t>
      </w:r>
    </w:p>
    <w:p>
      <w:pPr>
        <w:spacing w:line="360" w:lineRule="auto"/>
        <w:ind w:firstLine="480" w:firstLineChars="200"/>
        <w:rPr>
          <w:sz w:val="24"/>
        </w:rPr>
      </w:pPr>
      <w:r>
        <w:rPr>
          <w:sz w:val="24"/>
        </w:rPr>
        <w:t>（4）显示待处理告警列表。</w:t>
      </w:r>
    </w:p>
    <w:p>
      <w:pPr>
        <w:pStyle w:val="7"/>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lang w:val="en-US"/>
        </w:rPr>
        <w:t>5）</w:t>
      </w:r>
      <w:r>
        <w:rPr>
          <w:rFonts w:ascii="Times New Roman" w:hAnsi="Times New Roman" w:eastAsia="宋体" w:cs="Times New Roman"/>
          <w:sz w:val="24"/>
          <w:szCs w:val="24"/>
        </w:rPr>
        <w:t>监控大屏</w:t>
      </w:r>
    </w:p>
    <w:p>
      <w:pPr>
        <w:spacing w:line="360" w:lineRule="auto"/>
        <w:ind w:firstLine="480" w:firstLineChars="200"/>
        <w:rPr>
          <w:sz w:val="24"/>
        </w:rPr>
      </w:pPr>
      <w:r>
        <w:rPr>
          <w:sz w:val="24"/>
        </w:rPr>
        <w:t>（1）自动识别单实例/集群架构，并自动选择单实例/集群大屏模版进行适配展示。</w:t>
      </w:r>
    </w:p>
    <w:p>
      <w:pPr>
        <w:spacing w:line="360" w:lineRule="auto"/>
        <w:ind w:firstLine="480" w:firstLineChars="200"/>
        <w:rPr>
          <w:sz w:val="24"/>
        </w:rPr>
      </w:pPr>
      <w:r>
        <w:rPr>
          <w:sz w:val="24"/>
        </w:rPr>
        <w:t>（2）显示数据库可用性、错误、性能、变化、可靠性状态。</w:t>
      </w:r>
    </w:p>
    <w:p>
      <w:pPr>
        <w:spacing w:line="360" w:lineRule="auto"/>
        <w:ind w:firstLine="480" w:firstLineChars="200"/>
        <w:rPr>
          <w:sz w:val="24"/>
        </w:rPr>
      </w:pPr>
      <w:r>
        <w:rPr>
          <w:sz w:val="24"/>
        </w:rPr>
        <w:t>（3）显示数据库登录、数据库连接、SQL解析、SQL执行、SQL提交状态。</w:t>
      </w:r>
    </w:p>
    <w:p>
      <w:pPr>
        <w:spacing w:line="360" w:lineRule="auto"/>
        <w:ind w:firstLine="480" w:firstLineChars="200"/>
        <w:rPr>
          <w:sz w:val="24"/>
        </w:rPr>
      </w:pPr>
      <w:r>
        <w:rPr>
          <w:sz w:val="24"/>
        </w:rPr>
        <w:t>（4）显示SQL执行次数、SQL执行时间，直观发现SQL执行性能瓶颈。</w:t>
      </w:r>
    </w:p>
    <w:p>
      <w:pPr>
        <w:spacing w:line="360" w:lineRule="auto"/>
        <w:ind w:firstLine="480" w:firstLineChars="200"/>
        <w:rPr>
          <w:sz w:val="24"/>
        </w:rPr>
      </w:pPr>
      <w:r>
        <w:rPr>
          <w:sz w:val="24"/>
        </w:rPr>
        <w:t>（5）显示数据库资源（Processes、Sessions、DB files、Jobs）、锁资源（Lock、Latch、Mutex）和主机资源（CPU、内存、存储、网络）状态。</w:t>
      </w:r>
    </w:p>
    <w:p>
      <w:pPr>
        <w:spacing w:line="360" w:lineRule="auto"/>
        <w:ind w:firstLine="480" w:firstLineChars="200"/>
        <w:rPr>
          <w:sz w:val="24"/>
        </w:rPr>
      </w:pPr>
      <w:r>
        <w:rPr>
          <w:sz w:val="24"/>
        </w:rPr>
        <w:sym w:font="Wingdings" w:char="F0AB"/>
      </w:r>
      <w:r>
        <w:rPr>
          <w:sz w:val="24"/>
        </w:rPr>
        <w:t>（6）显示各单元模块状态指示灯，直观展示该单元模块指标正常和异常情况，不同单元模块的状态指示灯支持告警联动。（</w:t>
      </w:r>
      <w:r>
        <w:rPr>
          <w:b/>
          <w:bCs/>
          <w:sz w:val="24"/>
        </w:rPr>
        <w:t>投标文件中提供实例状态指示灯联动截图</w:t>
      </w:r>
      <w:r>
        <w:rPr>
          <w:sz w:val="24"/>
        </w:rPr>
        <w:t>）</w:t>
      </w:r>
    </w:p>
    <w:p>
      <w:pPr>
        <w:spacing w:line="360" w:lineRule="auto"/>
        <w:ind w:firstLine="480" w:firstLineChars="200"/>
        <w:rPr>
          <w:sz w:val="24"/>
        </w:rPr>
      </w:pPr>
      <w:r>
        <w:rPr>
          <w:sz w:val="24"/>
        </w:rPr>
        <w:t>（7）显示单实例/集群资产当前的待处理告警分布。</w:t>
      </w:r>
    </w:p>
    <w:p>
      <w:pPr>
        <w:pStyle w:val="7"/>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lang w:val="en-US"/>
        </w:rPr>
        <w:t>6）</w:t>
      </w:r>
      <w:r>
        <w:rPr>
          <w:rFonts w:ascii="Times New Roman" w:hAnsi="Times New Roman" w:eastAsia="宋体" w:cs="Times New Roman"/>
          <w:sz w:val="24"/>
          <w:szCs w:val="24"/>
        </w:rPr>
        <w:t>可视化监控内容自定义</w:t>
      </w:r>
    </w:p>
    <w:p>
      <w:pPr>
        <w:spacing w:line="360" w:lineRule="auto"/>
        <w:ind w:firstLine="480" w:firstLineChars="200"/>
        <w:rPr>
          <w:sz w:val="24"/>
        </w:rPr>
      </w:pPr>
      <w:bookmarkStart w:id="59" w:name="OLE_LINK6"/>
      <w:r>
        <w:rPr>
          <w:sz w:val="24"/>
        </w:rPr>
        <w:sym w:font="Wingdings" w:char="F0AB"/>
      </w:r>
      <w:bookmarkEnd w:id="59"/>
      <w:r>
        <w:rPr>
          <w:sz w:val="24"/>
        </w:rPr>
        <w:t>（1）支持对单资产的多指标自由组合展示查看，可自定义指标内容展示样式，如表格、线图、柱图、饼图等。（</w:t>
      </w:r>
      <w:bookmarkStart w:id="60" w:name="OLE_LINK4"/>
      <w:r>
        <w:rPr>
          <w:b/>
          <w:bCs/>
          <w:sz w:val="24"/>
        </w:rPr>
        <w:t>投标文件中提供</w:t>
      </w:r>
      <w:bookmarkEnd w:id="60"/>
      <w:r>
        <w:rPr>
          <w:b/>
          <w:bCs/>
          <w:sz w:val="24"/>
        </w:rPr>
        <w:t>自定义实例看板截图</w:t>
      </w:r>
      <w:r>
        <w:rPr>
          <w:sz w:val="24"/>
        </w:rPr>
        <w:t>）</w:t>
      </w:r>
    </w:p>
    <w:p>
      <w:pPr>
        <w:spacing w:line="360" w:lineRule="auto"/>
        <w:ind w:firstLine="480" w:firstLineChars="200"/>
        <w:rPr>
          <w:sz w:val="24"/>
        </w:rPr>
      </w:pPr>
      <w:r>
        <w:rPr>
          <w:sz w:val="24"/>
        </w:rPr>
        <w:sym w:font="Wingdings" w:char="F0AB"/>
      </w:r>
      <w:r>
        <w:rPr>
          <w:sz w:val="24"/>
        </w:rPr>
        <w:t>（2）支持对核心指标的自定义比对查看，一屏对多个资产某重要指标信息的比对展示。（</w:t>
      </w:r>
      <w:r>
        <w:rPr>
          <w:b/>
          <w:bCs/>
          <w:sz w:val="24"/>
        </w:rPr>
        <w:t>投标文件中提供自定义指标看板截图</w:t>
      </w:r>
      <w:r>
        <w:rPr>
          <w:sz w:val="24"/>
        </w:rPr>
        <w:t>）</w:t>
      </w:r>
    </w:p>
    <w:p>
      <w:pPr>
        <w:pStyle w:val="7"/>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lang w:val="en-US"/>
        </w:rPr>
        <w:t>7）</w:t>
      </w:r>
      <w:r>
        <w:rPr>
          <w:rFonts w:ascii="Times New Roman" w:hAnsi="Times New Roman" w:eastAsia="宋体" w:cs="Times New Roman"/>
          <w:sz w:val="24"/>
          <w:szCs w:val="24"/>
        </w:rPr>
        <w:t>轻量巡检</w:t>
      </w:r>
    </w:p>
    <w:p>
      <w:pPr>
        <w:spacing w:line="360" w:lineRule="auto"/>
        <w:ind w:firstLine="480" w:firstLineChars="200"/>
        <w:rPr>
          <w:sz w:val="24"/>
        </w:rPr>
      </w:pPr>
      <w:r>
        <w:rPr>
          <w:sz w:val="24"/>
        </w:rPr>
        <w:t>日常轻量巡检，至少包括以下内容：</w:t>
      </w:r>
    </w:p>
    <w:p>
      <w:pPr>
        <w:spacing w:line="360" w:lineRule="auto"/>
        <w:ind w:firstLine="480" w:firstLineChars="200"/>
        <w:rPr>
          <w:sz w:val="24"/>
        </w:rPr>
      </w:pPr>
      <w:r>
        <w:rPr>
          <w:sz w:val="24"/>
        </w:rPr>
        <w:t>（1）从数据库可用性、资源就绪、可靠性、变化、作业等维度，完成对数据库资产的轻量级检查。</w:t>
      </w:r>
    </w:p>
    <w:p>
      <w:pPr>
        <w:spacing w:line="360" w:lineRule="auto"/>
        <w:ind w:firstLine="480" w:firstLineChars="200"/>
        <w:rPr>
          <w:sz w:val="24"/>
        </w:rPr>
      </w:pPr>
      <w:r>
        <w:rPr>
          <w:sz w:val="24"/>
        </w:rPr>
        <w:t>（2）通过设定上班、下班时间，自动执行日常巡检，并支持基于上班时间点和下班时间点的巡检结果比对，掌握数据库系统变化。</w:t>
      </w:r>
    </w:p>
    <w:p>
      <w:pPr>
        <w:spacing w:line="360" w:lineRule="auto"/>
        <w:ind w:firstLine="480" w:firstLineChars="200"/>
        <w:rPr>
          <w:sz w:val="24"/>
        </w:rPr>
      </w:pPr>
      <w:r>
        <w:rPr>
          <w:sz w:val="24"/>
        </w:rPr>
        <w:t>（3）支持一页展示多实例的日常巡检结果，实现快捷查阅。</w:t>
      </w:r>
    </w:p>
    <w:p>
      <w:pPr>
        <w:spacing w:line="360" w:lineRule="auto"/>
        <w:ind w:firstLine="480" w:firstLineChars="200"/>
        <w:rPr>
          <w:sz w:val="24"/>
        </w:rPr>
      </w:pPr>
      <w:r>
        <w:rPr>
          <w:sz w:val="24"/>
        </w:rPr>
        <w:t>（4）日常轻量巡检项目支持自定义。</w:t>
      </w:r>
    </w:p>
    <w:p>
      <w:pPr>
        <w:pStyle w:val="7"/>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lang w:val="en-US"/>
        </w:rPr>
        <w:t>8）</w:t>
      </w:r>
      <w:r>
        <w:rPr>
          <w:rFonts w:ascii="Times New Roman" w:hAnsi="Times New Roman" w:eastAsia="宋体" w:cs="Times New Roman"/>
          <w:sz w:val="24"/>
          <w:szCs w:val="24"/>
        </w:rPr>
        <w:t>全面巡检</w:t>
      </w:r>
    </w:p>
    <w:p>
      <w:pPr>
        <w:spacing w:line="360" w:lineRule="auto"/>
        <w:ind w:firstLine="480" w:firstLineChars="200"/>
        <w:rPr>
          <w:sz w:val="24"/>
        </w:rPr>
      </w:pPr>
      <w:r>
        <w:rPr>
          <w:sz w:val="24"/>
        </w:rPr>
        <w:t>全面深度巡检，至少包含以下内容：</w:t>
      </w:r>
    </w:p>
    <w:p>
      <w:pPr>
        <w:spacing w:line="360" w:lineRule="auto"/>
        <w:ind w:firstLine="480" w:firstLineChars="200"/>
        <w:rPr>
          <w:sz w:val="24"/>
        </w:rPr>
      </w:pPr>
      <w:r>
        <w:rPr>
          <w:sz w:val="24"/>
        </w:rPr>
        <w:t>（1）支持自动和手动两种方式实深度巡检，支持批量巡检。</w:t>
      </w:r>
    </w:p>
    <w:p>
      <w:pPr>
        <w:spacing w:line="360" w:lineRule="auto"/>
        <w:ind w:firstLine="480" w:firstLineChars="200"/>
        <w:rPr>
          <w:sz w:val="24"/>
        </w:rPr>
      </w:pPr>
      <w:r>
        <w:rPr>
          <w:sz w:val="24"/>
        </w:rPr>
        <w:t>（2）从数据库可用性、空间管理、安全性、可靠性、性能、错误、主机资源、数据库资源、数据库软件、数据库参数、系统参数等维度，完成对数据库资产的全面深度检查。</w:t>
      </w:r>
    </w:p>
    <w:p>
      <w:pPr>
        <w:spacing w:line="360" w:lineRule="auto"/>
        <w:ind w:firstLine="480" w:firstLineChars="200"/>
        <w:rPr>
          <w:sz w:val="24"/>
        </w:rPr>
      </w:pPr>
      <w:r>
        <w:rPr>
          <w:sz w:val="24"/>
        </w:rPr>
        <w:t>（3）巡检结果提供异常告警项汇总页，可查看近期巡检的异常告警项数量分布图，并支持查看当前巡检的异常告警项具体内容。</w:t>
      </w:r>
    </w:p>
    <w:p>
      <w:pPr>
        <w:spacing w:line="360" w:lineRule="auto"/>
        <w:ind w:firstLine="480" w:firstLineChars="200"/>
        <w:rPr>
          <w:sz w:val="24"/>
        </w:rPr>
      </w:pPr>
      <w:r>
        <w:rPr>
          <w:sz w:val="24"/>
        </w:rPr>
        <w:t>（4）可通过巡检报告对数据库可能存在的故障和问题进行快速定位，对每个异常指标提供专业解读和建议。</w:t>
      </w:r>
    </w:p>
    <w:p>
      <w:pPr>
        <w:spacing w:line="360" w:lineRule="auto"/>
        <w:ind w:firstLine="480" w:firstLineChars="200"/>
        <w:rPr>
          <w:sz w:val="24"/>
        </w:rPr>
      </w:pPr>
      <w:r>
        <w:rPr>
          <w:sz w:val="24"/>
        </w:rPr>
        <w:sym w:font="Wingdings" w:char="F0AB"/>
      </w:r>
      <w:r>
        <w:rPr>
          <w:sz w:val="24"/>
        </w:rPr>
        <w:t>（5）支持WORD和PDF文档两种方式下载巡检报告。（</w:t>
      </w:r>
      <w:r>
        <w:rPr>
          <w:b/>
          <w:bCs/>
          <w:sz w:val="24"/>
        </w:rPr>
        <w:t>投标文件中提供产品功能截图</w:t>
      </w:r>
      <w:r>
        <w:rPr>
          <w:sz w:val="24"/>
        </w:rPr>
        <w:t>）</w:t>
      </w:r>
    </w:p>
    <w:p>
      <w:pPr>
        <w:pStyle w:val="7"/>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lang w:val="en-US"/>
        </w:rPr>
        <w:t>9）</w:t>
      </w:r>
      <w:r>
        <w:rPr>
          <w:rFonts w:ascii="Times New Roman" w:hAnsi="Times New Roman" w:eastAsia="宋体" w:cs="Times New Roman"/>
          <w:sz w:val="24"/>
          <w:szCs w:val="24"/>
        </w:rPr>
        <w:t>错误日志</w:t>
      </w:r>
    </w:p>
    <w:p>
      <w:pPr>
        <w:spacing w:line="360" w:lineRule="auto"/>
        <w:ind w:firstLine="480" w:firstLineChars="200"/>
        <w:rPr>
          <w:sz w:val="24"/>
        </w:rPr>
      </w:pPr>
      <w:r>
        <w:rPr>
          <w:sz w:val="24"/>
        </w:rPr>
        <w:t>（1）支持错误日志自动获取，并以图形化方式展示错误日志的分布。</w:t>
      </w:r>
    </w:p>
    <w:p>
      <w:pPr>
        <w:spacing w:line="360" w:lineRule="auto"/>
        <w:ind w:firstLine="480" w:firstLineChars="200"/>
        <w:rPr>
          <w:sz w:val="24"/>
        </w:rPr>
      </w:pPr>
      <w:r>
        <w:rPr>
          <w:sz w:val="24"/>
        </w:rPr>
        <w:t>（2）支持对错误日志内容的特征码自动识别，并自动合并统计。</w:t>
      </w:r>
    </w:p>
    <w:p>
      <w:pPr>
        <w:spacing w:line="360" w:lineRule="auto"/>
        <w:ind w:firstLine="480" w:firstLineChars="200"/>
        <w:rPr>
          <w:sz w:val="24"/>
        </w:rPr>
      </w:pPr>
      <w:r>
        <w:rPr>
          <w:sz w:val="24"/>
        </w:rPr>
        <w:t>（3）支持对错误日志的历史数据查询。</w:t>
      </w:r>
    </w:p>
    <w:p>
      <w:pPr>
        <w:pStyle w:val="7"/>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lang w:val="en-US"/>
        </w:rPr>
        <w:t>10）</w:t>
      </w:r>
      <w:r>
        <w:rPr>
          <w:rFonts w:ascii="Times New Roman" w:hAnsi="Times New Roman" w:eastAsia="宋体" w:cs="Times New Roman"/>
          <w:sz w:val="24"/>
          <w:szCs w:val="24"/>
        </w:rPr>
        <w:t>一键扩容</w:t>
      </w:r>
    </w:p>
    <w:p>
      <w:pPr>
        <w:spacing w:line="360" w:lineRule="auto"/>
        <w:ind w:firstLine="480" w:firstLineChars="200"/>
        <w:rPr>
          <w:sz w:val="24"/>
        </w:rPr>
      </w:pPr>
      <w:r>
        <w:rPr>
          <w:sz w:val="24"/>
        </w:rPr>
        <w:t>（1）支持从数据库维度和文件系统维度入口，统计分析容量信息。</w:t>
      </w:r>
    </w:p>
    <w:p>
      <w:pPr>
        <w:spacing w:line="360" w:lineRule="auto"/>
        <w:ind w:firstLine="480" w:firstLineChars="200"/>
        <w:rPr>
          <w:sz w:val="24"/>
        </w:rPr>
      </w:pPr>
      <w:r>
        <w:rPr>
          <w:sz w:val="24"/>
        </w:rPr>
        <w:t>（2）支持查看数据库与表空间层级的增量变化与增量统计。</w:t>
      </w:r>
    </w:p>
    <w:p>
      <w:pPr>
        <w:spacing w:line="360" w:lineRule="auto"/>
        <w:ind w:firstLine="480" w:firstLineChars="200"/>
        <w:rPr>
          <w:sz w:val="24"/>
        </w:rPr>
      </w:pPr>
      <w:r>
        <w:rPr>
          <w:sz w:val="24"/>
        </w:rPr>
        <w:t>（3）支持容量空间基于未来可用天数的预警。</w:t>
      </w:r>
    </w:p>
    <w:p>
      <w:pPr>
        <w:spacing w:line="360" w:lineRule="auto"/>
        <w:ind w:firstLine="480" w:firstLineChars="200"/>
        <w:rPr>
          <w:sz w:val="24"/>
        </w:rPr>
      </w:pPr>
      <w:r>
        <w:rPr>
          <w:sz w:val="24"/>
        </w:rPr>
        <w:sym w:font="Wingdings" w:char="F0AB"/>
      </w:r>
      <w:r>
        <w:rPr>
          <w:sz w:val="24"/>
        </w:rPr>
        <w:t>（4）提供表空间一键扩容，支持已有表空间扩容和创建新表空间扩容方式。（</w:t>
      </w:r>
      <w:r>
        <w:rPr>
          <w:b/>
          <w:bCs/>
          <w:sz w:val="24"/>
        </w:rPr>
        <w:t>投标文件中提供产品功能截图</w:t>
      </w:r>
      <w:r>
        <w:rPr>
          <w:sz w:val="24"/>
        </w:rPr>
        <w:t>）</w:t>
      </w:r>
    </w:p>
    <w:p>
      <w:pPr>
        <w:spacing w:line="360" w:lineRule="auto"/>
        <w:ind w:firstLine="480" w:firstLineChars="200"/>
        <w:rPr>
          <w:sz w:val="24"/>
        </w:rPr>
      </w:pPr>
      <w:r>
        <w:rPr>
          <w:sz w:val="24"/>
        </w:rPr>
        <w:t>（5）支持ASM磁盘组的管理，包括但不局限于磁盘组的查看、创建新磁盘组等。</w:t>
      </w:r>
    </w:p>
    <w:p>
      <w:pPr>
        <w:pStyle w:val="7"/>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lang w:val="en-US"/>
        </w:rPr>
        <w:t>11）</w:t>
      </w:r>
      <w:r>
        <w:rPr>
          <w:rFonts w:ascii="Times New Roman" w:hAnsi="Times New Roman" w:eastAsia="宋体" w:cs="Times New Roman"/>
          <w:sz w:val="24"/>
          <w:szCs w:val="24"/>
        </w:rPr>
        <w:t>性能</w:t>
      </w:r>
    </w:p>
    <w:p>
      <w:pPr>
        <w:spacing w:line="360" w:lineRule="auto"/>
        <w:ind w:firstLine="480" w:firstLineChars="200"/>
        <w:rPr>
          <w:sz w:val="24"/>
        </w:rPr>
      </w:pPr>
      <w:r>
        <w:rPr>
          <w:sz w:val="24"/>
        </w:rPr>
        <w:t>（1）支持基于主机、数据库资源和SQL性能指标的分析下钻，智能定位性能瓶颈点。</w:t>
      </w:r>
    </w:p>
    <w:p>
      <w:pPr>
        <w:spacing w:line="360" w:lineRule="auto"/>
        <w:ind w:firstLine="480" w:firstLineChars="200"/>
        <w:rPr>
          <w:sz w:val="24"/>
        </w:rPr>
      </w:pPr>
      <w:r>
        <w:rPr>
          <w:sz w:val="24"/>
        </w:rPr>
        <w:t>（2）支持自动获取指定时间窗口的Top SQL，并对SQL语句提供在线诊断，输出诊断报告。</w:t>
      </w:r>
    </w:p>
    <w:p>
      <w:pPr>
        <w:pStyle w:val="7"/>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lang w:val="en-US"/>
        </w:rPr>
        <w:t>12）</w:t>
      </w:r>
      <w:r>
        <w:rPr>
          <w:rFonts w:ascii="Times New Roman" w:hAnsi="Times New Roman" w:eastAsia="宋体" w:cs="Times New Roman"/>
          <w:sz w:val="24"/>
          <w:szCs w:val="24"/>
        </w:rPr>
        <w:t>AWR报告</w:t>
      </w:r>
    </w:p>
    <w:p>
      <w:pPr>
        <w:spacing w:line="360" w:lineRule="auto"/>
        <w:ind w:firstLine="480" w:firstLineChars="200"/>
        <w:rPr>
          <w:sz w:val="24"/>
        </w:rPr>
      </w:pPr>
      <w:r>
        <w:rPr>
          <w:sz w:val="24"/>
        </w:rPr>
        <w:t>（1）支持自动获取AWR报告。</w:t>
      </w:r>
    </w:p>
    <w:p>
      <w:pPr>
        <w:spacing w:line="360" w:lineRule="auto"/>
        <w:ind w:firstLine="480" w:firstLineChars="200"/>
        <w:rPr>
          <w:sz w:val="24"/>
        </w:rPr>
      </w:pPr>
      <w:r>
        <w:rPr>
          <w:sz w:val="24"/>
        </w:rPr>
        <w:t>（2）支持AWR报告全中文解读，解读内容至少包括：主机资源、数据库资源、会话登录、SQL解析、SQL执行、事务提交、RAC统计和数据库参数等，并根据数据库的性能状况给出专业分析，对数据库存在的性能瓶颈进行定位，对异常指标提供优化建议。（</w:t>
      </w:r>
      <w:r>
        <w:rPr>
          <w:b/>
          <w:bCs/>
          <w:sz w:val="24"/>
        </w:rPr>
        <w:t>投标文件中提供AWR解读报告截图</w:t>
      </w:r>
      <w:r>
        <w:rPr>
          <w:sz w:val="24"/>
        </w:rPr>
        <w:t>）</w:t>
      </w:r>
    </w:p>
    <w:p>
      <w:pPr>
        <w:spacing w:line="360" w:lineRule="auto"/>
        <w:ind w:firstLine="480" w:firstLineChars="200"/>
        <w:rPr>
          <w:sz w:val="24"/>
        </w:rPr>
      </w:pPr>
      <w:r>
        <w:rPr>
          <w:sz w:val="24"/>
        </w:rPr>
        <w:t>（3）AWR解读报告支持WORD和PDF格式输出。</w:t>
      </w:r>
    </w:p>
    <w:p>
      <w:pPr>
        <w:pStyle w:val="7"/>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lang w:val="en-US"/>
        </w:rPr>
        <w:t>13）</w:t>
      </w:r>
      <w:r>
        <w:rPr>
          <w:rFonts w:ascii="Times New Roman" w:hAnsi="Times New Roman" w:eastAsia="宋体" w:cs="Times New Roman"/>
          <w:sz w:val="24"/>
          <w:szCs w:val="24"/>
        </w:rPr>
        <w:t>SQL审核</w:t>
      </w:r>
    </w:p>
    <w:p>
      <w:pPr>
        <w:spacing w:line="360" w:lineRule="auto"/>
        <w:ind w:firstLine="480" w:firstLineChars="200"/>
        <w:rPr>
          <w:sz w:val="24"/>
        </w:rPr>
      </w:pPr>
      <w:r>
        <w:rPr>
          <w:sz w:val="24"/>
        </w:rPr>
        <w:t>（1）应用上线前，提供输入SQL语句、导入脚本文件方式进行静态规则审核，给出SQL语句优化建议。</w:t>
      </w:r>
    </w:p>
    <w:p>
      <w:pPr>
        <w:spacing w:line="360" w:lineRule="auto"/>
        <w:ind w:firstLine="480" w:firstLineChars="200"/>
        <w:rPr>
          <w:sz w:val="24"/>
        </w:rPr>
      </w:pPr>
      <w:r>
        <w:rPr>
          <w:sz w:val="24"/>
        </w:rPr>
        <w:t>（2）应用上线后，可指定时间段自动捕获低效、高消耗、异常的增量SQL等，并对SQL语句提供在线诊断，输出诊断报告，诊断报告内容至少包括：SQL ID、SQL文本、SQL执行计划和SQL优化建议。（</w:t>
      </w:r>
      <w:r>
        <w:rPr>
          <w:b/>
          <w:bCs/>
          <w:sz w:val="24"/>
        </w:rPr>
        <w:t>投标文件中提供SQL诊断报告截图</w:t>
      </w:r>
      <w:r>
        <w:rPr>
          <w:sz w:val="24"/>
        </w:rPr>
        <w:t>）</w:t>
      </w:r>
    </w:p>
    <w:p>
      <w:pPr>
        <w:spacing w:line="360" w:lineRule="auto"/>
        <w:ind w:firstLine="480" w:firstLineChars="200"/>
        <w:rPr>
          <w:sz w:val="24"/>
        </w:rPr>
      </w:pPr>
      <w:r>
        <w:rPr>
          <w:sz w:val="24"/>
        </w:rPr>
        <w:t>（3）SQL诊断报告支持在线查看和PDF格式下载，支持汇总报告。</w:t>
      </w:r>
    </w:p>
    <w:p>
      <w:pPr>
        <w:pStyle w:val="7"/>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lang w:val="en-US"/>
        </w:rPr>
        <w:t>14）</w:t>
      </w:r>
      <w:r>
        <w:rPr>
          <w:rFonts w:ascii="Times New Roman" w:hAnsi="Times New Roman" w:eastAsia="宋体" w:cs="Times New Roman"/>
          <w:sz w:val="24"/>
          <w:szCs w:val="24"/>
        </w:rPr>
        <w:t>运维编排</w:t>
      </w:r>
    </w:p>
    <w:p>
      <w:pPr>
        <w:spacing w:line="360" w:lineRule="auto"/>
        <w:ind w:firstLine="480" w:firstLineChars="200"/>
        <w:rPr>
          <w:sz w:val="24"/>
        </w:rPr>
      </w:pPr>
      <w:r>
        <w:rPr>
          <w:sz w:val="24"/>
        </w:rPr>
        <w:t>（1）提供常见运维场景的编排模版，实现从告警到故障处理的自动化运维，要求至少提供2个以上运维编排模版。（</w:t>
      </w:r>
      <w:r>
        <w:rPr>
          <w:b/>
          <w:bCs/>
          <w:sz w:val="24"/>
        </w:rPr>
        <w:t>投标文件中提供故障处理场景的运维模板截图</w:t>
      </w:r>
      <w:r>
        <w:rPr>
          <w:sz w:val="24"/>
        </w:rPr>
        <w:t>）</w:t>
      </w:r>
    </w:p>
    <w:p>
      <w:pPr>
        <w:spacing w:line="360" w:lineRule="auto"/>
        <w:ind w:firstLine="480" w:firstLineChars="200"/>
        <w:rPr>
          <w:sz w:val="24"/>
        </w:rPr>
      </w:pPr>
      <w:r>
        <w:rPr>
          <w:sz w:val="24"/>
        </w:rPr>
        <w:t>（2）支持触发条件自定义。</w:t>
      </w:r>
    </w:p>
    <w:p>
      <w:pPr>
        <w:pStyle w:val="7"/>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lang w:val="en-US"/>
        </w:rPr>
        <w:t>15）</w:t>
      </w:r>
      <w:r>
        <w:rPr>
          <w:rFonts w:ascii="Times New Roman" w:hAnsi="Times New Roman" w:eastAsia="宋体" w:cs="Times New Roman"/>
          <w:sz w:val="24"/>
          <w:szCs w:val="24"/>
        </w:rPr>
        <w:t>报告生产</w:t>
      </w:r>
    </w:p>
    <w:p>
      <w:pPr>
        <w:spacing w:line="360" w:lineRule="auto"/>
        <w:ind w:firstLine="480" w:firstLineChars="200"/>
        <w:rPr>
          <w:b/>
          <w:bCs/>
          <w:sz w:val="24"/>
        </w:rPr>
      </w:pPr>
      <w:r>
        <w:rPr>
          <w:sz w:val="24"/>
        </w:rPr>
        <w:t>（1）支持不同资产、不同功能模块的报告汇总和输出。</w:t>
      </w:r>
      <w:r>
        <w:rPr>
          <w:rFonts w:hint="eastAsia"/>
          <w:b/>
          <w:bCs/>
          <w:sz w:val="24"/>
        </w:rPr>
        <w:t>（投标时提供报告内容自定义截图）</w:t>
      </w:r>
    </w:p>
    <w:p>
      <w:pPr>
        <w:spacing w:line="360" w:lineRule="auto"/>
        <w:ind w:firstLine="480" w:firstLineChars="200"/>
        <w:rPr>
          <w:sz w:val="24"/>
        </w:rPr>
      </w:pPr>
      <w:r>
        <w:rPr>
          <w:sz w:val="24"/>
        </w:rPr>
        <w:t>（2）提供不同使用场景的报告模板。</w:t>
      </w:r>
    </w:p>
    <w:p>
      <w:pPr>
        <w:spacing w:line="360" w:lineRule="auto"/>
        <w:ind w:firstLine="480" w:firstLineChars="200"/>
        <w:rPr>
          <w:sz w:val="24"/>
        </w:rPr>
      </w:pPr>
      <w:r>
        <w:rPr>
          <w:sz w:val="24"/>
        </w:rPr>
        <w:t>（3）支持报告封面、报告内容等信息自定义。</w:t>
      </w:r>
    </w:p>
    <w:p>
      <w:pPr>
        <w:pStyle w:val="7"/>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lang w:val="en-US"/>
        </w:rPr>
        <w:t>16）</w:t>
      </w:r>
      <w:r>
        <w:rPr>
          <w:rFonts w:ascii="Times New Roman" w:hAnsi="Times New Roman" w:eastAsia="宋体" w:cs="Times New Roman"/>
          <w:sz w:val="24"/>
          <w:szCs w:val="24"/>
        </w:rPr>
        <w:t>数据库账号安全管理</w:t>
      </w:r>
    </w:p>
    <w:p>
      <w:pPr>
        <w:spacing w:line="360" w:lineRule="auto"/>
        <w:ind w:firstLine="480" w:firstLineChars="200"/>
        <w:rPr>
          <w:sz w:val="24"/>
        </w:rPr>
      </w:pPr>
      <w:r>
        <w:rPr>
          <w:sz w:val="24"/>
        </w:rPr>
        <w:t>（1）支持数据库账户的创建、赋权、改密、启停等操作。</w:t>
      </w:r>
    </w:p>
    <w:p>
      <w:pPr>
        <w:spacing w:line="360" w:lineRule="auto"/>
        <w:ind w:firstLine="480" w:firstLineChars="200"/>
        <w:rPr>
          <w:sz w:val="24"/>
        </w:rPr>
      </w:pPr>
      <w:r>
        <w:rPr>
          <w:sz w:val="24"/>
        </w:rPr>
        <w:t>（2）全局展示所有数据库对象从权限、用户状态、登录时间用户检测统计结果，对大权限账户、过期状态账户态和长时间未登录账户等告警，并给出检测报告。</w:t>
      </w:r>
    </w:p>
    <w:p>
      <w:pPr>
        <w:spacing w:line="360" w:lineRule="auto"/>
        <w:ind w:firstLine="480" w:firstLineChars="200"/>
        <w:rPr>
          <w:sz w:val="24"/>
        </w:rPr>
      </w:pPr>
      <w:r>
        <w:rPr>
          <w:sz w:val="24"/>
        </w:rPr>
        <w:t>（3）支持查看单个数据库对象用户检测详细结果，并对用户检测结果给出等级分类。</w:t>
      </w:r>
    </w:p>
    <w:p>
      <w:pPr>
        <w:spacing w:line="360" w:lineRule="auto"/>
        <w:ind w:firstLine="480" w:firstLineChars="200"/>
        <w:rPr>
          <w:sz w:val="24"/>
        </w:rPr>
      </w:pPr>
      <w:r>
        <w:rPr>
          <w:sz w:val="24"/>
        </w:rPr>
        <w:t>（4）支持数据库补丁安装检测，可查看最新补丁详细信息，包括：补丁号、发布日期、修复BUG等。</w:t>
      </w:r>
    </w:p>
    <w:p>
      <w:pPr>
        <w:spacing w:line="360" w:lineRule="auto"/>
        <w:ind w:firstLine="480" w:firstLineChars="200"/>
        <w:rPr>
          <w:sz w:val="24"/>
        </w:rPr>
      </w:pPr>
      <w:r>
        <w:rPr>
          <w:sz w:val="24"/>
        </w:rPr>
        <w:t>（5）支持比特币病毒检测，并提供一键清理比特币病毒功能。</w:t>
      </w:r>
    </w:p>
    <w:p>
      <w:pPr>
        <w:pStyle w:val="7"/>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lang w:val="en-US"/>
        </w:rPr>
        <w:t>17）</w:t>
      </w:r>
      <w:r>
        <w:rPr>
          <w:rFonts w:ascii="Times New Roman" w:hAnsi="Times New Roman" w:eastAsia="宋体" w:cs="Times New Roman"/>
          <w:sz w:val="24"/>
          <w:szCs w:val="24"/>
        </w:rPr>
        <w:t>变更追溯</w:t>
      </w:r>
    </w:p>
    <w:p>
      <w:pPr>
        <w:spacing w:line="360" w:lineRule="auto"/>
        <w:ind w:firstLine="480" w:firstLineChars="200"/>
        <w:rPr>
          <w:sz w:val="24"/>
        </w:rPr>
      </w:pPr>
      <w:r>
        <w:rPr>
          <w:sz w:val="24"/>
        </w:rPr>
        <w:t>（1）变更追溯信息要求包括：主机配置、主机资源、数据库用户、数据库应用、数据库对象、数据库配置、数据库空间等维度。</w:t>
      </w:r>
    </w:p>
    <w:p>
      <w:pPr>
        <w:spacing w:line="360" w:lineRule="auto"/>
        <w:ind w:firstLine="480" w:firstLineChars="200"/>
        <w:rPr>
          <w:sz w:val="24"/>
        </w:rPr>
      </w:pPr>
      <w:r>
        <w:rPr>
          <w:sz w:val="24"/>
        </w:rPr>
        <w:t>（2）支持查看变更的详细信息，包括：变更时间、变更类型、变更操作和变更内容。</w:t>
      </w:r>
    </w:p>
    <w:p>
      <w:pPr>
        <w:pStyle w:val="7"/>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lang w:val="en-US"/>
        </w:rPr>
        <w:t>18）</w:t>
      </w:r>
      <w:r>
        <w:rPr>
          <w:rFonts w:ascii="Times New Roman" w:hAnsi="Times New Roman" w:eastAsia="宋体" w:cs="Times New Roman"/>
          <w:sz w:val="24"/>
          <w:szCs w:val="24"/>
        </w:rPr>
        <w:t>常用工具</w:t>
      </w:r>
    </w:p>
    <w:p>
      <w:pPr>
        <w:pStyle w:val="8"/>
        <w:spacing w:before="0" w:after="0" w:line="360" w:lineRule="auto"/>
        <w:ind w:left="0" w:firstLine="482"/>
        <w:jc w:val="both"/>
        <w:rPr>
          <w:rFonts w:ascii="Times New Roman" w:hAnsi="Times New Roman" w:eastAsia="宋体" w:cs="Times New Roman"/>
          <w:szCs w:val="24"/>
        </w:rPr>
      </w:pPr>
      <w:r>
        <w:rPr>
          <w:rFonts w:hint="eastAsia" w:ascii="Times New Roman" w:hAnsi="Times New Roman" w:eastAsia="宋体" w:cs="Times New Roman"/>
          <w:szCs w:val="24"/>
        </w:rPr>
        <w:t>a)</w:t>
      </w:r>
      <w:r>
        <w:rPr>
          <w:rFonts w:ascii="Times New Roman" w:hAnsi="Times New Roman" w:eastAsia="宋体" w:cs="Times New Roman"/>
          <w:szCs w:val="24"/>
        </w:rPr>
        <w:t>自动锁处理工具</w:t>
      </w:r>
    </w:p>
    <w:p>
      <w:pPr>
        <w:spacing w:line="360" w:lineRule="auto"/>
        <w:ind w:firstLine="480" w:firstLineChars="200"/>
        <w:rPr>
          <w:sz w:val="24"/>
        </w:rPr>
      </w:pPr>
      <w:r>
        <w:rPr>
          <w:sz w:val="24"/>
        </w:rPr>
        <w:t>（1）支持自动定位锁源及被锁源阻塞的会话。（</w:t>
      </w:r>
      <w:r>
        <w:rPr>
          <w:b/>
          <w:bCs/>
          <w:sz w:val="24"/>
        </w:rPr>
        <w:t>投标文件中提供产品功能截图</w:t>
      </w:r>
      <w:r>
        <w:rPr>
          <w:sz w:val="24"/>
        </w:rPr>
        <w:t>）</w:t>
      </w:r>
    </w:p>
    <w:p>
      <w:pPr>
        <w:spacing w:line="360" w:lineRule="auto"/>
        <w:ind w:firstLine="480" w:firstLineChars="200"/>
        <w:rPr>
          <w:sz w:val="24"/>
        </w:rPr>
      </w:pPr>
      <w:r>
        <w:rPr>
          <w:sz w:val="24"/>
        </w:rPr>
        <w:t>（2）支持SQL锁源现场保留。</w:t>
      </w:r>
    </w:p>
    <w:p>
      <w:pPr>
        <w:spacing w:line="360" w:lineRule="auto"/>
        <w:ind w:firstLine="480" w:firstLineChars="200"/>
        <w:rPr>
          <w:sz w:val="24"/>
        </w:rPr>
      </w:pPr>
      <w:r>
        <w:rPr>
          <w:sz w:val="24"/>
        </w:rPr>
        <w:t>（3）支持一键杀锁操作。</w:t>
      </w:r>
    </w:p>
    <w:p>
      <w:pPr>
        <w:pStyle w:val="8"/>
        <w:spacing w:before="0" w:after="0" w:line="360" w:lineRule="auto"/>
        <w:ind w:left="0" w:firstLine="482"/>
        <w:jc w:val="both"/>
        <w:rPr>
          <w:rFonts w:ascii="Times New Roman" w:hAnsi="Times New Roman" w:eastAsia="宋体" w:cs="Times New Roman"/>
          <w:szCs w:val="24"/>
        </w:rPr>
      </w:pPr>
      <w:r>
        <w:rPr>
          <w:rFonts w:hint="eastAsia" w:ascii="Times New Roman" w:hAnsi="Times New Roman" w:eastAsia="宋体" w:cs="Times New Roman"/>
          <w:szCs w:val="24"/>
          <w:lang w:val="en-US"/>
        </w:rPr>
        <w:t>b)</w:t>
      </w:r>
      <w:r>
        <w:rPr>
          <w:rFonts w:ascii="Times New Roman" w:hAnsi="Times New Roman" w:eastAsia="宋体" w:cs="Times New Roman"/>
          <w:szCs w:val="24"/>
        </w:rPr>
        <w:t>归档日志清理工具</w:t>
      </w:r>
    </w:p>
    <w:p>
      <w:pPr>
        <w:spacing w:line="360" w:lineRule="auto"/>
        <w:ind w:firstLine="480" w:firstLineChars="200"/>
        <w:rPr>
          <w:sz w:val="24"/>
        </w:rPr>
      </w:pPr>
      <w:r>
        <w:rPr>
          <w:sz w:val="24"/>
        </w:rPr>
        <w:t>（1）提供归档路径、归档空间使用率、备份成功开始时间、最近归档时间等信息。</w:t>
      </w:r>
    </w:p>
    <w:p>
      <w:pPr>
        <w:spacing w:line="360" w:lineRule="auto"/>
        <w:ind w:firstLine="480" w:firstLineChars="200"/>
        <w:rPr>
          <w:sz w:val="24"/>
        </w:rPr>
      </w:pPr>
      <w:r>
        <w:rPr>
          <w:sz w:val="24"/>
        </w:rPr>
        <w:t>（2）支持清理最近一次成功全备份之前的全面归档日志的安全清理方式。</w:t>
      </w:r>
    </w:p>
    <w:p>
      <w:pPr>
        <w:spacing w:line="360" w:lineRule="auto"/>
        <w:ind w:firstLine="480" w:firstLineChars="200"/>
        <w:rPr>
          <w:sz w:val="24"/>
        </w:rPr>
      </w:pPr>
      <w:r>
        <w:rPr>
          <w:sz w:val="24"/>
        </w:rPr>
        <w:t>（3）支持清理1小时之前的全部归档日志的紧急清理方式。</w:t>
      </w:r>
    </w:p>
    <w:p>
      <w:pPr>
        <w:pStyle w:val="8"/>
        <w:spacing w:before="0" w:after="0" w:line="360" w:lineRule="auto"/>
        <w:ind w:left="0" w:firstLine="482"/>
        <w:jc w:val="both"/>
        <w:rPr>
          <w:rFonts w:ascii="Times New Roman" w:hAnsi="Times New Roman" w:eastAsia="宋体" w:cs="Times New Roman"/>
          <w:szCs w:val="24"/>
        </w:rPr>
      </w:pPr>
      <w:r>
        <w:rPr>
          <w:rFonts w:hint="eastAsia" w:ascii="Times New Roman" w:hAnsi="Times New Roman" w:eastAsia="宋体" w:cs="Times New Roman"/>
          <w:szCs w:val="24"/>
          <w:lang w:val="en-US"/>
        </w:rPr>
        <w:t>c)</w:t>
      </w:r>
      <w:r>
        <w:rPr>
          <w:rFonts w:ascii="Times New Roman" w:hAnsi="Times New Roman" w:eastAsia="宋体" w:cs="Times New Roman"/>
          <w:szCs w:val="24"/>
        </w:rPr>
        <w:t>监听日志清理工具</w:t>
      </w:r>
    </w:p>
    <w:p>
      <w:pPr>
        <w:spacing w:line="360" w:lineRule="auto"/>
        <w:ind w:firstLine="480" w:firstLineChars="200"/>
        <w:rPr>
          <w:sz w:val="24"/>
        </w:rPr>
      </w:pPr>
      <w:r>
        <w:rPr>
          <w:sz w:val="24"/>
        </w:rPr>
        <w:t>（1）提供监听日志路径、大小等信息。</w:t>
      </w:r>
    </w:p>
    <w:p>
      <w:pPr>
        <w:spacing w:line="360" w:lineRule="auto"/>
        <w:ind w:firstLine="480" w:firstLineChars="200"/>
        <w:rPr>
          <w:sz w:val="24"/>
        </w:rPr>
      </w:pPr>
      <w:r>
        <w:rPr>
          <w:sz w:val="24"/>
        </w:rPr>
        <w:t>（2）支持对监听日志进行一键清理。</w:t>
      </w:r>
    </w:p>
    <w:p>
      <w:pPr>
        <w:pStyle w:val="8"/>
        <w:spacing w:before="0" w:after="0" w:line="360" w:lineRule="auto"/>
        <w:ind w:left="0" w:firstLine="482"/>
        <w:jc w:val="both"/>
        <w:rPr>
          <w:rFonts w:ascii="Times New Roman" w:hAnsi="Times New Roman" w:eastAsia="宋体" w:cs="Times New Roman"/>
          <w:szCs w:val="24"/>
        </w:rPr>
      </w:pPr>
      <w:r>
        <w:rPr>
          <w:rFonts w:hint="eastAsia" w:ascii="Times New Roman" w:hAnsi="Times New Roman" w:eastAsia="宋体" w:cs="Times New Roman"/>
          <w:szCs w:val="24"/>
          <w:lang w:val="en-US"/>
        </w:rPr>
        <w:t>d)</w:t>
      </w:r>
      <w:r>
        <w:rPr>
          <w:rFonts w:ascii="Times New Roman" w:hAnsi="Times New Roman" w:eastAsia="宋体" w:cs="Times New Roman"/>
          <w:szCs w:val="24"/>
        </w:rPr>
        <w:t>DUMP文件导出工具</w:t>
      </w:r>
    </w:p>
    <w:p>
      <w:pPr>
        <w:spacing w:line="360" w:lineRule="auto"/>
        <w:ind w:firstLine="480" w:firstLineChars="200"/>
        <w:rPr>
          <w:sz w:val="24"/>
        </w:rPr>
      </w:pPr>
      <w:r>
        <w:rPr>
          <w:sz w:val="24"/>
        </w:rPr>
        <w:t>（1）支持exp、expdp两种类别导出dump文件。</w:t>
      </w:r>
    </w:p>
    <w:p>
      <w:pPr>
        <w:spacing w:line="360" w:lineRule="auto"/>
        <w:ind w:firstLine="480" w:firstLineChars="200"/>
        <w:rPr>
          <w:sz w:val="24"/>
        </w:rPr>
      </w:pPr>
      <w:r>
        <w:rPr>
          <w:sz w:val="24"/>
        </w:rPr>
        <w:t>（2）支持全库、用户、表格三种方式导出dump文件。</w:t>
      </w:r>
    </w:p>
    <w:p>
      <w:pPr>
        <w:pStyle w:val="8"/>
        <w:spacing w:before="0" w:after="0" w:line="360" w:lineRule="auto"/>
        <w:ind w:left="0" w:firstLine="482"/>
        <w:jc w:val="both"/>
        <w:rPr>
          <w:rFonts w:ascii="Times New Roman" w:hAnsi="Times New Roman" w:eastAsia="宋体" w:cs="Times New Roman"/>
          <w:szCs w:val="24"/>
        </w:rPr>
      </w:pPr>
      <w:r>
        <w:rPr>
          <w:rFonts w:hint="eastAsia" w:ascii="Times New Roman" w:hAnsi="Times New Roman" w:eastAsia="宋体" w:cs="Times New Roman"/>
          <w:szCs w:val="24"/>
          <w:lang w:val="en-US"/>
        </w:rPr>
        <w:t>e)</w:t>
      </w:r>
      <w:r>
        <w:rPr>
          <w:rFonts w:ascii="Times New Roman" w:hAnsi="Times New Roman" w:eastAsia="宋体" w:cs="Times New Roman"/>
          <w:szCs w:val="24"/>
        </w:rPr>
        <w:t>主机连接检测工具</w:t>
      </w:r>
    </w:p>
    <w:p>
      <w:pPr>
        <w:spacing w:line="360" w:lineRule="auto"/>
        <w:ind w:firstLine="480" w:firstLineChars="200"/>
        <w:rPr>
          <w:sz w:val="24"/>
        </w:rPr>
      </w:pPr>
      <w:r>
        <w:rPr>
          <w:sz w:val="24"/>
        </w:rPr>
        <w:t>（1）支持一键实时发起主机连接检测，提供主机连接检测结果。</w:t>
      </w:r>
    </w:p>
    <w:p>
      <w:pPr>
        <w:spacing w:line="360" w:lineRule="auto"/>
        <w:ind w:firstLine="480" w:firstLineChars="200"/>
        <w:rPr>
          <w:sz w:val="24"/>
        </w:rPr>
      </w:pPr>
      <w:r>
        <w:rPr>
          <w:sz w:val="24"/>
        </w:rPr>
        <w:t>（2）提供主机连接检测详细信息，至少包含：主机名、程序名、总连接数、状态等。</w:t>
      </w:r>
    </w:p>
    <w:p>
      <w:pPr>
        <w:spacing w:line="360" w:lineRule="auto"/>
        <w:ind w:firstLine="480" w:firstLineChars="200"/>
        <w:rPr>
          <w:sz w:val="24"/>
        </w:rPr>
      </w:pPr>
      <w:r>
        <w:rPr>
          <w:sz w:val="24"/>
        </w:rPr>
        <w:t>（3）支持一键中止主机连接。</w:t>
      </w:r>
    </w:p>
    <w:p>
      <w:pPr>
        <w:spacing w:line="360" w:lineRule="auto"/>
        <w:ind w:firstLine="480" w:firstLineChars="200"/>
        <w:rPr>
          <w:sz w:val="24"/>
        </w:rPr>
      </w:pPr>
      <w:r>
        <w:rPr>
          <w:sz w:val="24"/>
        </w:rPr>
        <w:t>（4）支持主机连接历史记录查看。</w:t>
      </w:r>
    </w:p>
    <w:p>
      <w:pPr>
        <w:pStyle w:val="7"/>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lang w:val="en-US"/>
        </w:rPr>
        <w:t>19）</w:t>
      </w:r>
      <w:r>
        <w:rPr>
          <w:rFonts w:ascii="Times New Roman" w:hAnsi="Times New Roman" w:eastAsia="宋体" w:cs="Times New Roman"/>
          <w:sz w:val="24"/>
          <w:szCs w:val="24"/>
        </w:rPr>
        <w:t>数据库SCN检测工具</w:t>
      </w:r>
    </w:p>
    <w:p>
      <w:pPr>
        <w:spacing w:line="360" w:lineRule="auto"/>
        <w:ind w:firstLine="480" w:firstLineChars="200"/>
        <w:rPr>
          <w:sz w:val="24"/>
        </w:rPr>
      </w:pPr>
      <w:r>
        <w:rPr>
          <w:sz w:val="24"/>
        </w:rPr>
        <w:t>（1）支持查看数据库对象SCN检测详细信息，包括：数据库版本号、补丁集、SCN增长速率、当前SCN值、Headroom值以及临界值。</w:t>
      </w:r>
    </w:p>
    <w:p>
      <w:pPr>
        <w:spacing w:line="360" w:lineRule="auto"/>
        <w:ind w:firstLine="480" w:firstLineChars="200"/>
        <w:rPr>
          <w:sz w:val="24"/>
        </w:rPr>
      </w:pPr>
      <w:r>
        <w:rPr>
          <w:sz w:val="24"/>
        </w:rPr>
        <w:t>（2）提供数据库对象SCN趋势分布图。</w:t>
      </w:r>
    </w:p>
    <w:p>
      <w:pPr>
        <w:spacing w:line="360" w:lineRule="auto"/>
        <w:ind w:firstLine="480" w:firstLineChars="200"/>
        <w:rPr>
          <w:sz w:val="24"/>
        </w:rPr>
      </w:pPr>
      <w:r>
        <w:rPr>
          <w:sz w:val="24"/>
        </w:rPr>
        <w:t>（3）提供SCN检测结论和建议。</w:t>
      </w:r>
    </w:p>
    <w:p>
      <w:pPr>
        <w:pStyle w:val="7"/>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lang w:val="en-US"/>
        </w:rPr>
        <w:t>20）</w:t>
      </w:r>
      <w:r>
        <w:rPr>
          <w:rFonts w:ascii="Times New Roman" w:hAnsi="Times New Roman" w:eastAsia="宋体" w:cs="Times New Roman"/>
          <w:sz w:val="24"/>
          <w:szCs w:val="24"/>
        </w:rPr>
        <w:t>告警</w:t>
      </w:r>
    </w:p>
    <w:p>
      <w:pPr>
        <w:spacing w:line="360" w:lineRule="auto"/>
        <w:ind w:firstLine="480" w:firstLineChars="200"/>
        <w:rPr>
          <w:sz w:val="24"/>
        </w:rPr>
      </w:pPr>
      <w:r>
        <w:rPr>
          <w:sz w:val="24"/>
        </w:rPr>
        <w:t>（1）支持待处理告警和日常运维工具的自动关联。</w:t>
      </w:r>
    </w:p>
    <w:p>
      <w:pPr>
        <w:spacing w:line="360" w:lineRule="auto"/>
        <w:ind w:firstLine="480" w:firstLineChars="200"/>
        <w:rPr>
          <w:sz w:val="24"/>
        </w:rPr>
      </w:pPr>
      <w:r>
        <w:rPr>
          <w:sz w:val="24"/>
        </w:rPr>
        <w:t>（2）历史告警支持按时间线进行聚合展示。</w:t>
      </w:r>
    </w:p>
    <w:p>
      <w:pPr>
        <w:spacing w:line="360" w:lineRule="auto"/>
        <w:ind w:firstLine="480" w:firstLineChars="200"/>
        <w:rPr>
          <w:sz w:val="24"/>
        </w:rPr>
      </w:pPr>
      <w:r>
        <w:rPr>
          <w:sz w:val="24"/>
        </w:rPr>
        <w:t>（3）支持对指定待处理告警进行隔离，隔离后的待处理告警不影响数据库健康指数。</w:t>
      </w:r>
    </w:p>
    <w:p>
      <w:pPr>
        <w:spacing w:line="360" w:lineRule="auto"/>
        <w:ind w:firstLine="480" w:firstLineChars="200"/>
        <w:rPr>
          <w:sz w:val="24"/>
        </w:rPr>
      </w:pPr>
      <w:r>
        <w:rPr>
          <w:sz w:val="24"/>
        </w:rPr>
        <w:t>（4）支持在默认告警模版基础上实现告警模版自定义。</w:t>
      </w:r>
    </w:p>
    <w:p>
      <w:pPr>
        <w:spacing w:line="360" w:lineRule="auto"/>
        <w:ind w:firstLine="480" w:firstLineChars="200"/>
        <w:rPr>
          <w:sz w:val="24"/>
        </w:rPr>
      </w:pPr>
      <w:r>
        <w:rPr>
          <w:sz w:val="24"/>
        </w:rPr>
        <w:t>（5）支持对待处理告警的关联诊断分析。（</w:t>
      </w:r>
      <w:r>
        <w:rPr>
          <w:b/>
          <w:bCs/>
          <w:sz w:val="24"/>
        </w:rPr>
        <w:t>投标文件中提供待处理诊断分析截图</w:t>
      </w:r>
      <w:r>
        <w:rPr>
          <w:sz w:val="24"/>
        </w:rPr>
        <w:t>）</w:t>
      </w:r>
    </w:p>
    <w:p>
      <w:pPr>
        <w:pStyle w:val="7"/>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lang w:val="en-US"/>
        </w:rPr>
        <w:t>21）</w:t>
      </w:r>
      <w:r>
        <w:rPr>
          <w:rFonts w:ascii="Times New Roman" w:hAnsi="Times New Roman" w:eastAsia="宋体" w:cs="Times New Roman"/>
          <w:sz w:val="24"/>
          <w:szCs w:val="24"/>
        </w:rPr>
        <w:t>通知</w:t>
      </w:r>
    </w:p>
    <w:p>
      <w:pPr>
        <w:spacing w:line="360" w:lineRule="auto"/>
        <w:ind w:firstLine="480" w:firstLineChars="200"/>
        <w:rPr>
          <w:sz w:val="24"/>
        </w:rPr>
      </w:pPr>
      <w:r>
        <w:rPr>
          <w:sz w:val="24"/>
        </w:rPr>
        <w:t>（1）支持邮件、企业微信、钉钉、短信等通知方式。</w:t>
      </w:r>
    </w:p>
    <w:p>
      <w:pPr>
        <w:spacing w:line="360" w:lineRule="auto"/>
        <w:ind w:firstLine="480" w:firstLineChars="200"/>
        <w:rPr>
          <w:sz w:val="24"/>
        </w:rPr>
      </w:pPr>
      <w:r>
        <w:rPr>
          <w:sz w:val="24"/>
        </w:rPr>
        <w:t>（2）通知内容包括告警、错误日志，并支持自定义选择。</w:t>
      </w:r>
    </w:p>
    <w:p>
      <w:pPr>
        <w:spacing w:line="360" w:lineRule="auto"/>
        <w:ind w:firstLine="480" w:firstLineChars="200"/>
        <w:rPr>
          <w:sz w:val="24"/>
        </w:rPr>
      </w:pPr>
      <w:r>
        <w:rPr>
          <w:sz w:val="24"/>
        </w:rPr>
        <w:t>（3）通知支持聚合降噪，避免状态抖动引发的通知泛滥。</w:t>
      </w:r>
    </w:p>
    <w:bookmarkEnd w:id="57"/>
    <w:p>
      <w:pPr>
        <w:pStyle w:val="6"/>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lang w:val="en-US"/>
        </w:rPr>
        <w:t>（4）</w:t>
      </w:r>
      <w:r>
        <w:rPr>
          <w:rFonts w:ascii="Times New Roman" w:hAnsi="Times New Roman" w:eastAsia="宋体" w:cs="Times New Roman"/>
          <w:sz w:val="24"/>
          <w:szCs w:val="24"/>
        </w:rPr>
        <w:t>其他要求</w:t>
      </w:r>
    </w:p>
    <w:p>
      <w:pPr>
        <w:spacing w:line="360" w:lineRule="auto"/>
        <w:ind w:firstLine="482" w:firstLineChars="200"/>
        <w:rPr>
          <w:sz w:val="24"/>
        </w:rPr>
      </w:pPr>
      <w:r>
        <w:rPr>
          <w:rFonts w:hint="eastAsia"/>
          <w:b/>
          <w:bCs/>
          <w:sz w:val="24"/>
        </w:rPr>
        <w:t>（1）节假日保障服务：</w:t>
      </w:r>
      <w:r>
        <w:rPr>
          <w:sz w:val="24"/>
        </w:rPr>
        <w:t>在每次国定长假前提供系统健康检查服务，投标人在长假期间提供响应的7*24小时值班人员及联系电话，根据采购人的实际、客观需要，提供假日现场服务。</w:t>
      </w:r>
    </w:p>
    <w:p>
      <w:pPr>
        <w:spacing w:line="360" w:lineRule="auto"/>
        <w:ind w:firstLine="480" w:firstLineChars="200"/>
        <w:rPr>
          <w:sz w:val="24"/>
        </w:rPr>
      </w:pPr>
      <w:r>
        <w:rPr>
          <w:sz w:val="24"/>
        </w:rPr>
        <w:t>（</w:t>
      </w:r>
      <w:r>
        <w:rPr>
          <w:rFonts w:hint="eastAsia"/>
          <w:b/>
          <w:bCs/>
          <w:sz w:val="24"/>
        </w:rPr>
        <w:t>2）技术支持服务：</w:t>
      </w:r>
      <w:r>
        <w:rPr>
          <w:sz w:val="24"/>
        </w:rPr>
        <w:t>对于采购人因本项目涉及设备出现技术上的问题或其他项目涉及本项目设备需要配合时，提供远程电话或现场技术支持服务。第三方服务配合：当采购人问题涉及第三方服务商时，承担协调工作。当招标方问题需要配合时，承担配合工作。</w:t>
      </w:r>
    </w:p>
    <w:p>
      <w:pPr>
        <w:spacing w:line="360" w:lineRule="auto"/>
        <w:ind w:firstLine="482" w:firstLineChars="200"/>
        <w:rPr>
          <w:b/>
          <w:bCs/>
          <w:sz w:val="24"/>
        </w:rPr>
      </w:pPr>
      <w:r>
        <w:rPr>
          <w:rFonts w:hint="eastAsia"/>
          <w:b/>
          <w:bCs/>
          <w:sz w:val="24"/>
        </w:rPr>
        <w:t>（3）系统安装、升级和优化服务</w:t>
      </w:r>
    </w:p>
    <w:p>
      <w:pPr>
        <w:spacing w:line="360" w:lineRule="auto"/>
        <w:ind w:firstLine="480" w:firstLineChars="200"/>
        <w:rPr>
          <w:sz w:val="24"/>
        </w:rPr>
      </w:pPr>
      <w:r>
        <w:rPr>
          <w:sz w:val="24"/>
        </w:rPr>
        <w:t>对本项目涉及设备的版本进行及时更新；根据巡检结果，对系统结构进行优化，同时对于不涉及系统的整体构架变更和功能增加提供支持服务。根据采购人业务系统的需要，进行服务器操作系统安装、补丁更新和升级服务。</w:t>
      </w:r>
    </w:p>
    <w:p>
      <w:pPr>
        <w:spacing w:line="360" w:lineRule="auto"/>
        <w:ind w:firstLine="482" w:firstLineChars="200"/>
        <w:rPr>
          <w:b/>
          <w:bCs/>
          <w:sz w:val="24"/>
        </w:rPr>
      </w:pPr>
      <w:r>
        <w:rPr>
          <w:b/>
          <w:bCs/>
          <w:sz w:val="24"/>
        </w:rPr>
        <w:t>（4）服务总结：向采购人提供详细的年度服务总结报告。</w:t>
      </w:r>
    </w:p>
    <w:p>
      <w:pPr>
        <w:pStyle w:val="5"/>
        <w:spacing w:before="0" w:after="0" w:line="360" w:lineRule="auto"/>
        <w:ind w:left="0" w:firstLine="482"/>
        <w:jc w:val="both"/>
        <w:rPr>
          <w:rFonts w:ascii="Times New Roman" w:hAnsi="Times New Roman" w:eastAsia="宋体" w:cs="Times New Roman"/>
          <w:sz w:val="24"/>
          <w:szCs w:val="24"/>
        </w:rPr>
      </w:pPr>
      <w:bookmarkStart w:id="61" w:name="_Hlk180680621"/>
      <w:r>
        <w:rPr>
          <w:rFonts w:hint="eastAsia" w:ascii="Times New Roman" w:hAnsi="Times New Roman" w:eastAsia="宋体" w:cs="Times New Roman"/>
          <w:sz w:val="24"/>
          <w:szCs w:val="24"/>
        </w:rPr>
        <w:t>6</w:t>
      </w:r>
      <w:r>
        <w:rPr>
          <w:rFonts w:hint="eastAsia" w:ascii="Times New Roman" w:hAnsi="Times New Roman" w:eastAsia="宋体" w:cs="Times New Roman"/>
          <w:sz w:val="24"/>
          <w:szCs w:val="24"/>
          <w:lang w:val="en-US"/>
        </w:rPr>
        <w:t>、</w:t>
      </w:r>
      <w:r>
        <w:rPr>
          <w:rFonts w:ascii="Times New Roman" w:hAnsi="Times New Roman" w:eastAsia="宋体" w:cs="Times New Roman"/>
          <w:sz w:val="24"/>
          <w:szCs w:val="24"/>
        </w:rPr>
        <w:t>网络设备运维</w:t>
      </w:r>
      <w:bookmarkEnd w:id="61"/>
    </w:p>
    <w:p>
      <w:pPr>
        <w:pStyle w:val="6"/>
        <w:spacing w:before="0" w:after="0" w:line="360" w:lineRule="auto"/>
        <w:ind w:left="0" w:firstLine="482"/>
        <w:jc w:val="both"/>
        <w:rPr>
          <w:rFonts w:ascii="Times New Roman" w:hAnsi="Times New Roman" w:eastAsia="宋体" w:cs="Times New Roman"/>
          <w:sz w:val="24"/>
          <w:szCs w:val="24"/>
        </w:rPr>
      </w:pPr>
      <w:bookmarkStart w:id="62" w:name="_Hlk180680689"/>
      <w:r>
        <w:rPr>
          <w:rFonts w:hint="eastAsia" w:ascii="Times New Roman" w:hAnsi="Times New Roman" w:eastAsia="宋体" w:cs="Times New Roman"/>
          <w:sz w:val="24"/>
          <w:szCs w:val="24"/>
        </w:rPr>
        <w:t>（</w:t>
      </w:r>
      <w:r>
        <w:rPr>
          <w:rFonts w:ascii="Times New Roman" w:hAnsi="Times New Roman" w:eastAsia="宋体" w:cs="Times New Roman"/>
          <w:sz w:val="24"/>
          <w:szCs w:val="24"/>
          <w:lang w:val="en-US"/>
        </w:rPr>
        <w:t>1</w:t>
      </w:r>
      <w:r>
        <w:rPr>
          <w:rFonts w:hint="eastAsia" w:ascii="Times New Roman" w:hAnsi="Times New Roman" w:eastAsia="宋体" w:cs="Times New Roman"/>
          <w:sz w:val="24"/>
          <w:szCs w:val="24"/>
        </w:rPr>
        <w:t>）</w:t>
      </w:r>
      <w:r>
        <w:rPr>
          <w:rFonts w:ascii="Times New Roman" w:hAnsi="Times New Roman" w:eastAsia="宋体" w:cs="Times New Roman"/>
          <w:sz w:val="24"/>
          <w:szCs w:val="24"/>
        </w:rPr>
        <w:t>前期网络系统梳理</w:t>
      </w:r>
    </w:p>
    <w:p>
      <w:pPr>
        <w:spacing w:line="360" w:lineRule="auto"/>
        <w:ind w:firstLine="480" w:firstLineChars="200"/>
        <w:rPr>
          <w:sz w:val="24"/>
        </w:rPr>
      </w:pPr>
      <w:r>
        <w:rPr>
          <w:sz w:val="24"/>
        </w:rPr>
        <w:t>对医院整网网络系统进行摸查梳理，形成文档，包括全网网络拓扑、设备型号、软件版本、网络设备配置、管理IP地址、登录方式、物理位置等网络系统基础信息；同时对现网网络系统进行分析，针对分析出来的现网问题隐患，提出整改建议方案并与医院确认进行整改，具体包括设备配置优化、组网结构调整、相关设备线路整理等。</w:t>
      </w:r>
    </w:p>
    <w:p>
      <w:pPr>
        <w:pStyle w:val="6"/>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lang w:val="en-US"/>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网络运维及优化</w:t>
      </w:r>
    </w:p>
    <w:p>
      <w:pPr>
        <w:spacing w:line="360" w:lineRule="auto"/>
        <w:ind w:firstLine="480" w:firstLineChars="200"/>
        <w:rPr>
          <w:sz w:val="24"/>
        </w:rPr>
      </w:pPr>
      <w:r>
        <w:rPr>
          <w:sz w:val="24"/>
        </w:rPr>
        <w:t>负责网络系统设备配置的维护及优化，在医院业务需求变更、业务新增及其他情况下，配合完成相应的网络系统的调整、优化，以满足业务使用需求，包括且不限于维保设备清单内设备。</w:t>
      </w:r>
    </w:p>
    <w:p>
      <w:pPr>
        <w:pStyle w:val="6"/>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lang w:val="en-US"/>
        </w:rPr>
        <w:t>3</w:t>
      </w:r>
      <w:r>
        <w:rPr>
          <w:rFonts w:hint="eastAsia" w:ascii="Times New Roman" w:hAnsi="Times New Roman" w:eastAsia="宋体" w:cs="Times New Roman"/>
          <w:sz w:val="24"/>
          <w:szCs w:val="24"/>
        </w:rPr>
        <w:t>）</w:t>
      </w:r>
      <w:r>
        <w:rPr>
          <w:rFonts w:ascii="Times New Roman" w:hAnsi="Times New Roman" w:eastAsia="宋体" w:cs="Times New Roman"/>
          <w:sz w:val="24"/>
          <w:szCs w:val="24"/>
        </w:rPr>
        <w:t>故障处理</w:t>
      </w:r>
    </w:p>
    <w:p>
      <w:pPr>
        <w:spacing w:line="360" w:lineRule="auto"/>
        <w:ind w:firstLine="480" w:firstLineChars="200"/>
        <w:rPr>
          <w:sz w:val="24"/>
        </w:rPr>
      </w:pPr>
      <w:r>
        <w:rPr>
          <w:sz w:val="24"/>
        </w:rPr>
        <w:t>出现网络故障（包括网络设备故障、线路故障等），在接到通知后，须即时响应，对不能远程技术支持解决的，4小时以内赶到现场，根据问题的严重程度，提供相应的技术解决方案，最快恢复医院网络。</w:t>
      </w:r>
    </w:p>
    <w:p>
      <w:pPr>
        <w:pStyle w:val="6"/>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lang w:val="en-US"/>
        </w:rPr>
        <w:t>4</w:t>
      </w:r>
      <w:r>
        <w:rPr>
          <w:rFonts w:hint="eastAsia" w:ascii="Times New Roman" w:hAnsi="Times New Roman" w:eastAsia="宋体" w:cs="Times New Roman"/>
          <w:sz w:val="24"/>
          <w:szCs w:val="24"/>
        </w:rPr>
        <w:t>）</w:t>
      </w:r>
      <w:r>
        <w:rPr>
          <w:rFonts w:ascii="Times New Roman" w:hAnsi="Times New Roman" w:eastAsia="宋体" w:cs="Times New Roman"/>
          <w:sz w:val="24"/>
          <w:szCs w:val="24"/>
        </w:rPr>
        <w:t>系统升级</w:t>
      </w:r>
    </w:p>
    <w:p>
      <w:pPr>
        <w:spacing w:line="360" w:lineRule="auto"/>
        <w:ind w:firstLine="480" w:firstLineChars="200"/>
        <w:rPr>
          <w:sz w:val="24"/>
        </w:rPr>
      </w:pPr>
      <w:r>
        <w:rPr>
          <w:sz w:val="24"/>
        </w:rPr>
        <w:t>对系统软硬件有所改进、增加新功能，以及适应新标准所做修改的最新版本，将提供产品软、硬件现场升级服务，并提供相应的技术文件。</w:t>
      </w:r>
    </w:p>
    <w:p>
      <w:pPr>
        <w:pStyle w:val="6"/>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lang w:val="en-US"/>
        </w:rPr>
        <w:t>5</w:t>
      </w:r>
      <w:r>
        <w:rPr>
          <w:rFonts w:hint="eastAsia" w:ascii="Times New Roman" w:hAnsi="Times New Roman" w:eastAsia="宋体" w:cs="Times New Roman"/>
          <w:sz w:val="24"/>
          <w:szCs w:val="24"/>
        </w:rPr>
        <w:t>）</w:t>
      </w:r>
      <w:r>
        <w:rPr>
          <w:rFonts w:ascii="Times New Roman" w:hAnsi="Times New Roman" w:eastAsia="宋体" w:cs="Times New Roman"/>
          <w:sz w:val="24"/>
          <w:szCs w:val="24"/>
        </w:rPr>
        <w:t>电话支持</w:t>
      </w:r>
    </w:p>
    <w:p>
      <w:pPr>
        <w:spacing w:line="360" w:lineRule="auto"/>
        <w:ind w:firstLine="480" w:firstLineChars="200"/>
        <w:rPr>
          <w:sz w:val="24"/>
        </w:rPr>
      </w:pPr>
      <w:r>
        <w:rPr>
          <w:sz w:val="24"/>
        </w:rPr>
        <w:t>提供7×24小时不间断热线电话支持服务，通过电话可以直接联络技术工程师，寻求问题的解决方案、技术文档以及技术指导，电话支持需及时响应。</w:t>
      </w:r>
    </w:p>
    <w:p>
      <w:pPr>
        <w:pStyle w:val="6"/>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lang w:val="en-US"/>
        </w:rPr>
        <w:t>6</w:t>
      </w:r>
      <w:r>
        <w:rPr>
          <w:rFonts w:hint="eastAsia" w:ascii="Times New Roman" w:hAnsi="Times New Roman" w:eastAsia="宋体" w:cs="Times New Roman"/>
          <w:sz w:val="24"/>
          <w:szCs w:val="24"/>
        </w:rPr>
        <w:t>）</w:t>
      </w:r>
      <w:r>
        <w:rPr>
          <w:rFonts w:ascii="Times New Roman" w:hAnsi="Times New Roman" w:eastAsia="宋体" w:cs="Times New Roman"/>
          <w:sz w:val="24"/>
          <w:szCs w:val="24"/>
        </w:rPr>
        <w:t>备品备件</w:t>
      </w:r>
    </w:p>
    <w:p>
      <w:pPr>
        <w:spacing w:line="360" w:lineRule="auto"/>
        <w:ind w:firstLine="480" w:firstLineChars="200"/>
        <w:rPr>
          <w:sz w:val="24"/>
        </w:rPr>
      </w:pPr>
      <w:r>
        <w:rPr>
          <w:sz w:val="24"/>
        </w:rPr>
        <w:t>当医院网络设备损害无法修复，维保单位免费提供相同档次的备件设备作为暂时应急使用。</w:t>
      </w:r>
    </w:p>
    <w:p>
      <w:pPr>
        <w:pStyle w:val="6"/>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lang w:val="en-US"/>
        </w:rPr>
        <w:t>7</w:t>
      </w:r>
      <w:r>
        <w:rPr>
          <w:rFonts w:hint="eastAsia" w:ascii="Times New Roman" w:hAnsi="Times New Roman" w:eastAsia="宋体" w:cs="Times New Roman"/>
          <w:sz w:val="24"/>
          <w:szCs w:val="24"/>
        </w:rPr>
        <w:t>）</w:t>
      </w:r>
      <w:r>
        <w:rPr>
          <w:rFonts w:ascii="Times New Roman" w:hAnsi="Times New Roman" w:eastAsia="宋体" w:cs="Times New Roman"/>
          <w:sz w:val="24"/>
          <w:szCs w:val="24"/>
        </w:rPr>
        <w:t>网络建设规划建议</w:t>
      </w:r>
    </w:p>
    <w:p>
      <w:pPr>
        <w:spacing w:line="360" w:lineRule="auto"/>
        <w:ind w:firstLine="480" w:firstLineChars="200"/>
        <w:rPr>
          <w:sz w:val="24"/>
        </w:rPr>
      </w:pPr>
      <w:r>
        <w:rPr>
          <w:sz w:val="24"/>
        </w:rPr>
        <w:t>针对医院网络现状，提出网络优化建议，根据医院要求出具一份详细的网络建设规划方案。</w:t>
      </w:r>
    </w:p>
    <w:p>
      <w:pPr>
        <w:pStyle w:val="6"/>
        <w:spacing w:before="0" w:after="0" w:line="360" w:lineRule="auto"/>
        <w:ind w:left="0" w:firstLine="482"/>
        <w:jc w:val="both"/>
        <w:rPr>
          <w:rFonts w:ascii="Times New Roman" w:hAnsi="Times New Roman" w:eastAsia="宋体" w:cs="Times New Roman"/>
          <w:sz w:val="24"/>
          <w:szCs w:val="24"/>
        </w:rPr>
      </w:pPr>
      <w:bookmarkStart w:id="63" w:name="OLE_LINK28"/>
      <w:r>
        <w:rPr>
          <w:rFonts w:hint="eastAsia" w:ascii="Times New Roman" w:hAnsi="Times New Roman" w:eastAsia="宋体" w:cs="Times New Roman"/>
          <w:sz w:val="24"/>
          <w:szCs w:val="24"/>
        </w:rPr>
        <w:t>（</w:t>
      </w:r>
      <w:r>
        <w:rPr>
          <w:rFonts w:ascii="Times New Roman" w:hAnsi="Times New Roman" w:eastAsia="宋体" w:cs="Times New Roman"/>
          <w:sz w:val="24"/>
          <w:szCs w:val="24"/>
          <w:lang w:val="en-US"/>
        </w:rPr>
        <w:t>8</w:t>
      </w:r>
      <w:r>
        <w:rPr>
          <w:rFonts w:hint="eastAsia" w:ascii="Times New Roman" w:hAnsi="Times New Roman" w:eastAsia="宋体" w:cs="Times New Roman"/>
          <w:sz w:val="24"/>
          <w:szCs w:val="24"/>
        </w:rPr>
        <w:t>）</w:t>
      </w:r>
      <w:r>
        <w:rPr>
          <w:rFonts w:ascii="Times New Roman" w:hAnsi="Times New Roman" w:eastAsia="宋体" w:cs="Times New Roman"/>
          <w:sz w:val="24"/>
          <w:szCs w:val="24"/>
        </w:rPr>
        <w:t>服务要求</w:t>
      </w:r>
    </w:p>
    <w:p>
      <w:pPr>
        <w:spacing w:line="360" w:lineRule="auto"/>
        <w:ind w:firstLine="480" w:firstLineChars="200"/>
        <w:rPr>
          <w:sz w:val="24"/>
        </w:rPr>
      </w:pPr>
      <w:r>
        <w:rPr>
          <w:sz w:val="24"/>
        </w:rPr>
        <w:t>服务期1年，服务期内提供7*24小时现场技术支持服务，包含设备系统日常运维、故障排除及系统调优等相关技术支持服务。</w:t>
      </w:r>
    </w:p>
    <w:bookmarkEnd w:id="63"/>
    <w:p>
      <w:pPr>
        <w:pStyle w:val="5"/>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7</w:t>
      </w:r>
      <w:r>
        <w:rPr>
          <w:rFonts w:hint="eastAsia" w:ascii="Times New Roman" w:hAnsi="Times New Roman" w:eastAsia="宋体" w:cs="Times New Roman"/>
          <w:sz w:val="24"/>
          <w:szCs w:val="24"/>
          <w:lang w:val="en-US"/>
        </w:rPr>
        <w:t>、弱电终端运维</w:t>
      </w:r>
    </w:p>
    <w:bookmarkEnd w:id="62"/>
    <w:p>
      <w:pPr>
        <w:pStyle w:val="6"/>
        <w:spacing w:before="0" w:after="0" w:line="360" w:lineRule="auto"/>
        <w:ind w:left="0" w:firstLine="482"/>
        <w:jc w:val="both"/>
        <w:rPr>
          <w:rFonts w:ascii="Times New Roman" w:hAnsi="Times New Roman" w:eastAsia="宋体" w:cs="Times New Roman"/>
          <w:sz w:val="24"/>
          <w:szCs w:val="24"/>
        </w:rPr>
      </w:pPr>
      <w:bookmarkStart w:id="64" w:name="OLE_LINK29"/>
      <w:r>
        <w:rPr>
          <w:rFonts w:hint="eastAsia" w:ascii="Times New Roman" w:hAnsi="Times New Roman" w:eastAsia="宋体" w:cs="Times New Roman"/>
          <w:sz w:val="24"/>
          <w:szCs w:val="24"/>
        </w:rPr>
        <w:t>（1）</w:t>
      </w:r>
      <w:r>
        <w:rPr>
          <w:rFonts w:ascii="Times New Roman" w:hAnsi="Times New Roman" w:eastAsia="宋体" w:cs="Times New Roman"/>
          <w:sz w:val="24"/>
          <w:szCs w:val="24"/>
        </w:rPr>
        <w:t>服务</w:t>
      </w:r>
      <w:r>
        <w:rPr>
          <w:rFonts w:hint="eastAsia" w:ascii="Times New Roman" w:hAnsi="Times New Roman" w:eastAsia="宋体" w:cs="Times New Roman"/>
          <w:sz w:val="24"/>
          <w:szCs w:val="24"/>
        </w:rPr>
        <w:t>概述</w:t>
      </w:r>
    </w:p>
    <w:bookmarkEnd w:id="64"/>
    <w:p>
      <w:pPr>
        <w:spacing w:line="360" w:lineRule="auto"/>
        <w:ind w:firstLine="480" w:firstLineChars="200"/>
        <w:rPr>
          <w:sz w:val="24"/>
        </w:rPr>
      </w:pPr>
      <w:r>
        <w:rPr>
          <w:sz w:val="24"/>
        </w:rPr>
        <w:t>服务期1年，</w:t>
      </w:r>
      <w:r>
        <w:rPr>
          <w:rFonts w:hint="eastAsia"/>
          <w:sz w:val="24"/>
        </w:rPr>
        <w:t>提供两名弱电驻点人员，维护院内综合布线系统、网络电视电话线路、医用呼叫系统、会议、LED、触摸屏等弱电维保。</w:t>
      </w:r>
    </w:p>
    <w:p>
      <w:pPr>
        <w:pStyle w:val="6"/>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lang w:val="en-US"/>
        </w:rPr>
        <w:t>2</w:t>
      </w:r>
      <w:r>
        <w:rPr>
          <w:rFonts w:hint="eastAsia" w:ascii="Times New Roman" w:hAnsi="Times New Roman" w:eastAsia="宋体" w:cs="Times New Roman"/>
          <w:sz w:val="24"/>
          <w:szCs w:val="24"/>
        </w:rPr>
        <w:t>）综合布线系统维护</w:t>
      </w:r>
    </w:p>
    <w:p>
      <w:pPr>
        <w:pStyle w:val="7"/>
        <w:spacing w:before="0" w:after="0" w:line="360" w:lineRule="auto"/>
        <w:ind w:left="0" w:firstLine="482"/>
        <w:jc w:val="both"/>
        <w:rPr>
          <w:sz w:val="24"/>
        </w:rPr>
      </w:pPr>
      <w:r>
        <w:rPr>
          <w:rFonts w:ascii="Times New Roman" w:hAnsi="Times New Roman" w:eastAsia="宋体" w:cs="Times New Roman"/>
          <w:sz w:val="24"/>
          <w:szCs w:val="24"/>
          <w:lang w:val="en-US"/>
        </w:rPr>
        <w:t>1</w:t>
      </w:r>
      <w:r>
        <w:rPr>
          <w:rFonts w:hint="eastAsia" w:ascii="Times New Roman" w:hAnsi="Times New Roman" w:eastAsia="宋体" w:cs="Times New Roman"/>
          <w:sz w:val="24"/>
          <w:szCs w:val="24"/>
          <w:lang w:val="en-US"/>
        </w:rPr>
        <w:t>）日常维护与巡检</w:t>
      </w:r>
    </w:p>
    <w:p>
      <w:pPr>
        <w:spacing w:line="360" w:lineRule="auto"/>
        <w:ind w:firstLine="480" w:firstLineChars="200"/>
        <w:rPr>
          <w:sz w:val="24"/>
        </w:rPr>
      </w:pPr>
      <w:r>
        <w:rPr>
          <w:rFonts w:hint="eastAsia"/>
          <w:sz w:val="24"/>
        </w:rPr>
        <w:t>定期巡检：每月至少进行一次全面的系统巡检，包括但不限于线缆走线、接头状态、配线架及面板的紧固情况、标识清晰度等，确保所有硬件处于良好工作状态。</w:t>
      </w:r>
      <w:bookmarkStart w:id="65" w:name="_Hlk180681169"/>
    </w:p>
    <w:p>
      <w:pPr>
        <w:spacing w:line="360" w:lineRule="auto"/>
        <w:ind w:firstLine="480" w:firstLineChars="200"/>
        <w:rPr>
          <w:sz w:val="24"/>
        </w:rPr>
      </w:pPr>
      <w:r>
        <w:rPr>
          <w:rFonts w:hint="eastAsia"/>
          <w:sz w:val="24"/>
        </w:rPr>
        <w:t>环境监控：检查布线区域的环境条件，如温度、湿度、尘埃积累情况，确保符合综合布线系统的运行要求，避免环境因素导致的系统性能下降或故障。</w:t>
      </w:r>
    </w:p>
    <w:p>
      <w:pPr>
        <w:spacing w:line="360" w:lineRule="auto"/>
        <w:ind w:firstLine="480" w:firstLineChars="200"/>
        <w:rPr>
          <w:sz w:val="24"/>
        </w:rPr>
      </w:pPr>
      <w:r>
        <w:rPr>
          <w:rFonts w:hint="eastAsia"/>
          <w:sz w:val="24"/>
        </w:rPr>
        <w:t>清洁保养：定期对配线架、跳线、面板等部件进行清洁，去除灰尘和污垢，保持设备表面干净，提高信号传输质量。</w:t>
      </w:r>
    </w:p>
    <w:p>
      <w:pPr>
        <w:pStyle w:val="7"/>
        <w:spacing w:before="0" w:after="0" w:line="360" w:lineRule="auto"/>
        <w:ind w:left="0" w:firstLine="482"/>
        <w:jc w:val="both"/>
        <w:rPr>
          <w:sz w:val="24"/>
        </w:rPr>
      </w:pPr>
      <w:r>
        <w:rPr>
          <w:rFonts w:ascii="Times New Roman" w:hAnsi="Times New Roman" w:eastAsia="宋体" w:cs="Times New Roman"/>
          <w:sz w:val="24"/>
          <w:szCs w:val="24"/>
          <w:lang w:val="en-US"/>
        </w:rPr>
        <w:t>2</w:t>
      </w:r>
      <w:r>
        <w:rPr>
          <w:rFonts w:hint="eastAsia" w:ascii="Times New Roman" w:hAnsi="Times New Roman" w:eastAsia="宋体" w:cs="Times New Roman"/>
          <w:sz w:val="24"/>
          <w:szCs w:val="24"/>
          <w:lang w:val="en-US"/>
        </w:rPr>
        <w:t>）故障排查与修复</w:t>
      </w:r>
    </w:p>
    <w:p>
      <w:pPr>
        <w:spacing w:line="360" w:lineRule="auto"/>
        <w:ind w:firstLine="480" w:firstLineChars="200"/>
        <w:rPr>
          <w:sz w:val="24"/>
        </w:rPr>
      </w:pPr>
      <w:r>
        <w:rPr>
          <w:rFonts w:hint="eastAsia"/>
          <w:sz w:val="24"/>
        </w:rPr>
        <w:t>即时响应：建立快速响应机制，对于任何报告的布线系统故障，承诺在接到通知后的规定时间内（如2小时内）到达现场进行初步诊断。</w:t>
      </w:r>
    </w:p>
    <w:p>
      <w:pPr>
        <w:spacing w:line="360" w:lineRule="auto"/>
        <w:ind w:firstLine="480" w:firstLineChars="200"/>
        <w:rPr>
          <w:sz w:val="24"/>
        </w:rPr>
      </w:pPr>
      <w:r>
        <w:rPr>
          <w:rFonts w:hint="eastAsia"/>
          <w:sz w:val="24"/>
        </w:rPr>
        <w:t>精准定位：利用专业工具和技术手段，快速准确地定位故障点，包括但不限于线路断路、短路、接触不良等问题。</w:t>
      </w:r>
    </w:p>
    <w:p>
      <w:pPr>
        <w:spacing w:line="360" w:lineRule="auto"/>
        <w:ind w:firstLine="480" w:firstLineChars="200"/>
        <w:rPr>
          <w:sz w:val="24"/>
        </w:rPr>
      </w:pPr>
      <w:r>
        <w:rPr>
          <w:rFonts w:hint="eastAsia"/>
          <w:sz w:val="24"/>
        </w:rPr>
        <w:t>高效修复：根据故障类型，采取更换损坏部件、重新接线、调整配置等措施，确保在最短时间内恢复系统正常运行。</w:t>
      </w:r>
    </w:p>
    <w:p>
      <w:pPr>
        <w:pStyle w:val="7"/>
        <w:spacing w:before="0" w:after="0" w:line="360" w:lineRule="auto"/>
        <w:ind w:left="0" w:firstLine="482"/>
        <w:jc w:val="both"/>
        <w:rPr>
          <w:sz w:val="24"/>
        </w:rPr>
      </w:pPr>
      <w:r>
        <w:rPr>
          <w:rFonts w:ascii="Times New Roman" w:hAnsi="Times New Roman" w:eastAsia="宋体" w:cs="Times New Roman"/>
          <w:sz w:val="24"/>
          <w:szCs w:val="24"/>
          <w:lang w:val="en-US"/>
        </w:rPr>
        <w:t>3</w:t>
      </w:r>
      <w:r>
        <w:rPr>
          <w:rFonts w:hint="eastAsia" w:ascii="Times New Roman" w:hAnsi="Times New Roman" w:eastAsia="宋体" w:cs="Times New Roman"/>
          <w:sz w:val="24"/>
          <w:szCs w:val="24"/>
          <w:lang w:val="en-US"/>
        </w:rPr>
        <w:t>）预防性维护</w:t>
      </w:r>
    </w:p>
    <w:p>
      <w:pPr>
        <w:spacing w:line="360" w:lineRule="auto"/>
        <w:ind w:firstLine="480" w:firstLineChars="200"/>
        <w:rPr>
          <w:sz w:val="24"/>
        </w:rPr>
      </w:pPr>
      <w:r>
        <w:rPr>
          <w:rFonts w:hint="eastAsia"/>
          <w:sz w:val="24"/>
        </w:rPr>
        <w:t>性能测试：每年至少进行一次全面的系统性能测试，包括线缆衰减、近端串扰、回波损耗等关键参数，确保系统性能符合设计标准。</w:t>
      </w:r>
    </w:p>
    <w:p>
      <w:pPr>
        <w:spacing w:line="360" w:lineRule="auto"/>
        <w:ind w:firstLine="480" w:firstLineChars="200"/>
        <w:rPr>
          <w:sz w:val="24"/>
        </w:rPr>
      </w:pPr>
      <w:r>
        <w:rPr>
          <w:rFonts w:hint="eastAsia"/>
          <w:sz w:val="24"/>
        </w:rPr>
        <w:t>文档更新：维护详细的布线系统图纸和文档，包括最新的线路布局图、设备清单、变更记录等，确保信息的准确性和可追溯性。</w:t>
      </w:r>
    </w:p>
    <w:p>
      <w:pPr>
        <w:spacing w:line="360" w:lineRule="auto"/>
        <w:ind w:firstLine="480" w:firstLineChars="200"/>
        <w:rPr>
          <w:sz w:val="24"/>
        </w:rPr>
      </w:pPr>
      <w:r>
        <w:rPr>
          <w:rFonts w:hint="eastAsia"/>
          <w:sz w:val="24"/>
        </w:rPr>
        <w:t>培训与指导：定期对院内工作人员进行基本的布线系统使用和维护培训，提高其对系统的认识和自我排查简单问题的能力。</w:t>
      </w:r>
    </w:p>
    <w:p>
      <w:pPr>
        <w:pStyle w:val="7"/>
        <w:spacing w:before="0" w:after="0" w:line="360" w:lineRule="auto"/>
        <w:ind w:left="0" w:firstLine="482"/>
        <w:jc w:val="both"/>
        <w:rPr>
          <w:sz w:val="24"/>
        </w:rPr>
      </w:pPr>
      <w:r>
        <w:rPr>
          <w:rFonts w:ascii="Times New Roman" w:hAnsi="Times New Roman" w:eastAsia="宋体" w:cs="Times New Roman"/>
          <w:sz w:val="24"/>
          <w:szCs w:val="24"/>
          <w:lang w:val="en-US"/>
        </w:rPr>
        <w:t>4</w:t>
      </w:r>
      <w:r>
        <w:rPr>
          <w:rFonts w:hint="eastAsia" w:ascii="Times New Roman" w:hAnsi="Times New Roman" w:eastAsia="宋体" w:cs="Times New Roman"/>
          <w:sz w:val="24"/>
          <w:szCs w:val="24"/>
          <w:lang w:val="en-US"/>
        </w:rPr>
        <w:t>）系统升级与优化</w:t>
      </w:r>
    </w:p>
    <w:p>
      <w:pPr>
        <w:spacing w:line="360" w:lineRule="auto"/>
        <w:ind w:firstLine="480" w:firstLineChars="200"/>
        <w:rPr>
          <w:sz w:val="24"/>
        </w:rPr>
      </w:pPr>
      <w:r>
        <w:rPr>
          <w:rFonts w:hint="eastAsia"/>
          <w:sz w:val="24"/>
        </w:rPr>
        <w:t>技术评估：根据技术发展趋势和院内实际需求，定期评估现有布线系统的适应性和升级潜力。</w:t>
      </w:r>
    </w:p>
    <w:p>
      <w:pPr>
        <w:spacing w:line="360" w:lineRule="auto"/>
        <w:ind w:firstLine="480" w:firstLineChars="200"/>
        <w:rPr>
          <w:sz w:val="24"/>
        </w:rPr>
      </w:pPr>
      <w:r>
        <w:rPr>
          <w:rFonts w:hint="eastAsia"/>
          <w:sz w:val="24"/>
        </w:rPr>
        <w:t>升级建议：提出合理的系统升级方案，如增加带宽支持、采用新型连接技术等，以提升系统性能和未来扩展性。</w:t>
      </w:r>
    </w:p>
    <w:p>
      <w:pPr>
        <w:spacing w:line="360" w:lineRule="auto"/>
        <w:ind w:firstLine="480" w:firstLineChars="200"/>
        <w:rPr>
          <w:sz w:val="24"/>
        </w:rPr>
      </w:pPr>
      <w:r>
        <w:rPr>
          <w:rFonts w:hint="eastAsia"/>
          <w:sz w:val="24"/>
        </w:rPr>
        <w:t>优化实施：在获得批准后，负责实施系统升级和优化工作，确保升级过程中系统的平稳过渡和数据安全。</w:t>
      </w:r>
    </w:p>
    <w:p>
      <w:pPr>
        <w:pStyle w:val="7"/>
        <w:spacing w:before="0" w:after="0" w:line="360" w:lineRule="auto"/>
        <w:ind w:left="0" w:firstLine="482"/>
        <w:jc w:val="both"/>
        <w:rPr>
          <w:sz w:val="24"/>
        </w:rPr>
      </w:pPr>
      <w:r>
        <w:rPr>
          <w:rFonts w:ascii="Times New Roman" w:hAnsi="Times New Roman" w:eastAsia="宋体" w:cs="Times New Roman"/>
          <w:sz w:val="24"/>
          <w:szCs w:val="24"/>
          <w:lang w:val="en-US"/>
        </w:rPr>
        <w:t>5</w:t>
      </w:r>
      <w:r>
        <w:rPr>
          <w:rFonts w:hint="eastAsia" w:ascii="Times New Roman" w:hAnsi="Times New Roman" w:eastAsia="宋体" w:cs="Times New Roman"/>
          <w:sz w:val="24"/>
          <w:szCs w:val="24"/>
          <w:lang w:val="en-US"/>
        </w:rPr>
        <w:t>）应急准备与恢复</w:t>
      </w:r>
    </w:p>
    <w:p>
      <w:pPr>
        <w:spacing w:line="360" w:lineRule="auto"/>
        <w:ind w:firstLine="480" w:firstLineChars="200"/>
        <w:rPr>
          <w:sz w:val="24"/>
        </w:rPr>
      </w:pPr>
      <w:r>
        <w:rPr>
          <w:rFonts w:hint="eastAsia"/>
          <w:sz w:val="24"/>
        </w:rPr>
        <w:t>应急预案：制定详细的布线系统故障应急预案，包括紧急联系人、备用线路方案、快速恢复步骤等。</w:t>
      </w:r>
    </w:p>
    <w:p>
      <w:pPr>
        <w:spacing w:line="360" w:lineRule="auto"/>
        <w:ind w:firstLine="480" w:firstLineChars="200"/>
        <w:rPr>
          <w:sz w:val="24"/>
        </w:rPr>
      </w:pPr>
      <w:r>
        <w:rPr>
          <w:rFonts w:hint="eastAsia"/>
          <w:sz w:val="24"/>
        </w:rPr>
        <w:t>模拟演练：定期组织应急演练，检验应急预案的有效性和团队的应急响应能力。</w:t>
      </w:r>
    </w:p>
    <w:p>
      <w:pPr>
        <w:pStyle w:val="6"/>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lang w:val="en-US"/>
        </w:rPr>
        <w:t>3</w:t>
      </w:r>
      <w:r>
        <w:rPr>
          <w:rFonts w:hint="eastAsia" w:ascii="Times New Roman" w:hAnsi="Times New Roman" w:eastAsia="宋体" w:cs="Times New Roman"/>
          <w:sz w:val="24"/>
          <w:szCs w:val="24"/>
        </w:rPr>
        <w:t>）网络电视电话线路维护</w:t>
      </w:r>
    </w:p>
    <w:p>
      <w:pPr>
        <w:pStyle w:val="7"/>
        <w:spacing w:before="0" w:after="0" w:line="360" w:lineRule="auto"/>
        <w:ind w:left="0" w:firstLine="482"/>
        <w:jc w:val="both"/>
        <w:rPr>
          <w:sz w:val="24"/>
        </w:rPr>
      </w:pPr>
      <w:r>
        <w:rPr>
          <w:rFonts w:ascii="Times New Roman" w:hAnsi="Times New Roman" w:eastAsia="宋体" w:cs="Times New Roman"/>
          <w:sz w:val="24"/>
          <w:szCs w:val="24"/>
          <w:lang w:val="en-US"/>
        </w:rPr>
        <w:t>1</w:t>
      </w:r>
      <w:r>
        <w:rPr>
          <w:rFonts w:hint="eastAsia" w:ascii="Times New Roman" w:hAnsi="Times New Roman" w:eastAsia="宋体" w:cs="Times New Roman"/>
          <w:sz w:val="24"/>
          <w:szCs w:val="24"/>
          <w:lang w:val="en-US"/>
        </w:rPr>
        <w:t>）日常维护与检查</w:t>
      </w:r>
    </w:p>
    <w:p>
      <w:pPr>
        <w:spacing w:line="360" w:lineRule="auto"/>
        <w:ind w:firstLine="480" w:firstLineChars="200"/>
        <w:rPr>
          <w:sz w:val="24"/>
        </w:rPr>
      </w:pPr>
      <w:r>
        <w:rPr>
          <w:rFonts w:hint="eastAsia"/>
          <w:sz w:val="24"/>
        </w:rPr>
        <w:t>线路检查：定期检查网络电视电话线路的完整性，包括线缆的磨损、老化、断裂等情况，确保线路的物理连接正常。检查线路接头和插座的紧固情况，防止因松动而导致的信号传输问题。</w:t>
      </w:r>
    </w:p>
    <w:p>
      <w:pPr>
        <w:spacing w:line="360" w:lineRule="auto"/>
        <w:ind w:firstLine="480" w:firstLineChars="200"/>
        <w:rPr>
          <w:sz w:val="24"/>
        </w:rPr>
      </w:pPr>
      <w:r>
        <w:rPr>
          <w:rFonts w:hint="eastAsia"/>
          <w:sz w:val="24"/>
        </w:rPr>
        <w:t>信号质量监测：使用专业设备监测网络电视电话信号的强度和稳定性，确保信号质量符合使用要求。定期检查信号的传输质量，包括误码率、丢包率等指标，及时发现并处理信号传输问题。</w:t>
      </w:r>
    </w:p>
    <w:p>
      <w:pPr>
        <w:spacing w:line="360" w:lineRule="auto"/>
        <w:ind w:firstLine="480" w:firstLineChars="200"/>
        <w:rPr>
          <w:sz w:val="24"/>
        </w:rPr>
      </w:pPr>
      <w:r>
        <w:rPr>
          <w:rFonts w:hint="eastAsia"/>
          <w:sz w:val="24"/>
        </w:rPr>
        <w:t>设备巡检：定期检查网络电视电话相关的设备，如路由器、交换机、机顶盒、电话交换机等，确保其运行状态良好。检查设备的配置参数，确保配置正确无误，防止因配置错误而导致的故障。</w:t>
      </w:r>
    </w:p>
    <w:p>
      <w:pPr>
        <w:pStyle w:val="7"/>
        <w:spacing w:before="0" w:after="0" w:line="360" w:lineRule="auto"/>
        <w:ind w:left="0" w:firstLine="482"/>
        <w:jc w:val="both"/>
        <w:rPr>
          <w:sz w:val="24"/>
        </w:rPr>
      </w:pPr>
      <w:r>
        <w:rPr>
          <w:rFonts w:ascii="Times New Roman" w:hAnsi="Times New Roman" w:eastAsia="宋体" w:cs="Times New Roman"/>
          <w:sz w:val="24"/>
          <w:szCs w:val="24"/>
          <w:lang w:val="en-US"/>
        </w:rPr>
        <w:t>2</w:t>
      </w:r>
      <w:r>
        <w:rPr>
          <w:rFonts w:hint="eastAsia" w:ascii="Times New Roman" w:hAnsi="Times New Roman" w:eastAsia="宋体" w:cs="Times New Roman"/>
          <w:sz w:val="24"/>
          <w:szCs w:val="24"/>
          <w:lang w:val="en-US"/>
        </w:rPr>
        <w:t>）故障排查与修复</w:t>
      </w:r>
    </w:p>
    <w:p>
      <w:pPr>
        <w:spacing w:line="360" w:lineRule="auto"/>
        <w:ind w:firstLine="480" w:firstLineChars="200"/>
        <w:rPr>
          <w:sz w:val="24"/>
        </w:rPr>
      </w:pPr>
      <w:r>
        <w:rPr>
          <w:rFonts w:hint="eastAsia"/>
          <w:sz w:val="24"/>
        </w:rPr>
        <w:t>故障定位：当网络电视电话线路出现故障时，迅速定位故障点，包括线路故障、设备故障等。使用专业工具和技术手段，如线路测试仪、信号分析仪等，进行故障排查。</w:t>
      </w:r>
    </w:p>
    <w:p>
      <w:pPr>
        <w:spacing w:line="360" w:lineRule="auto"/>
        <w:ind w:firstLine="480" w:firstLineChars="200"/>
        <w:rPr>
          <w:sz w:val="24"/>
        </w:rPr>
      </w:pPr>
      <w:r>
        <w:rPr>
          <w:rFonts w:hint="eastAsia"/>
          <w:sz w:val="24"/>
        </w:rPr>
        <w:t>故障修复：根据故障定位结果，采取相应的修复措施，如更换损坏的线缆、修复断裂的接头、更换故障设备等。修复完成后，进行功能测试和信号质量测试，确保故障得到彻底解决。</w:t>
      </w:r>
    </w:p>
    <w:p>
      <w:pPr>
        <w:pStyle w:val="7"/>
        <w:spacing w:before="0" w:after="0" w:line="360" w:lineRule="auto"/>
        <w:ind w:left="0" w:firstLine="482"/>
        <w:jc w:val="both"/>
        <w:rPr>
          <w:sz w:val="24"/>
        </w:rPr>
      </w:pPr>
      <w:r>
        <w:rPr>
          <w:rFonts w:ascii="Times New Roman" w:hAnsi="Times New Roman" w:eastAsia="宋体" w:cs="Times New Roman"/>
          <w:sz w:val="24"/>
          <w:szCs w:val="24"/>
          <w:lang w:val="en-US"/>
        </w:rPr>
        <w:t>3</w:t>
      </w:r>
      <w:r>
        <w:rPr>
          <w:rFonts w:hint="eastAsia" w:ascii="Times New Roman" w:hAnsi="Times New Roman" w:eastAsia="宋体" w:cs="Times New Roman"/>
          <w:sz w:val="24"/>
          <w:szCs w:val="24"/>
          <w:lang w:val="en-US"/>
        </w:rPr>
        <w:t>）预防性维护</w:t>
      </w:r>
    </w:p>
    <w:p>
      <w:pPr>
        <w:spacing w:line="360" w:lineRule="auto"/>
        <w:ind w:firstLine="480" w:firstLineChars="200"/>
        <w:rPr>
          <w:sz w:val="24"/>
        </w:rPr>
      </w:pPr>
      <w:r>
        <w:rPr>
          <w:rFonts w:hint="eastAsia"/>
          <w:sz w:val="24"/>
        </w:rPr>
        <w:t>线路优化：根据网络电视电话线路的使用情况和业务需求，进行线路优化，如增加线路冗余、调整线路布局等。优化后，进行性能测试和验证，确保优化效果符合预期。</w:t>
      </w:r>
    </w:p>
    <w:p>
      <w:pPr>
        <w:spacing w:line="360" w:lineRule="auto"/>
        <w:ind w:firstLine="480" w:firstLineChars="200"/>
        <w:rPr>
          <w:sz w:val="24"/>
        </w:rPr>
      </w:pPr>
      <w:r>
        <w:rPr>
          <w:rFonts w:hint="eastAsia"/>
          <w:sz w:val="24"/>
        </w:rPr>
        <w:t>设备升级：定期评估网络电视电话相关设备的性能和稳定性，根据评估结果进行设备升级或更换。升级或更换设备时，确保新设备与原系统的兼容性和稳定性。</w:t>
      </w:r>
    </w:p>
    <w:p>
      <w:pPr>
        <w:spacing w:line="360" w:lineRule="auto"/>
        <w:ind w:firstLine="480" w:firstLineChars="200"/>
        <w:rPr>
          <w:sz w:val="24"/>
        </w:rPr>
      </w:pPr>
      <w:r>
        <w:rPr>
          <w:rFonts w:hint="eastAsia"/>
          <w:sz w:val="24"/>
        </w:rPr>
        <w:t>备份与恢复：定期备份网络电视电话系统的配置数据和用户数据，确保数据的完整性和安全性。在系统故障或数据丢失时，及时恢复备份数据，确保系统的正常运行。</w:t>
      </w:r>
    </w:p>
    <w:p>
      <w:pPr>
        <w:pStyle w:val="6"/>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lang w:val="en-US"/>
        </w:rPr>
        <w:t>4</w:t>
      </w:r>
      <w:r>
        <w:rPr>
          <w:rFonts w:hint="eastAsia" w:ascii="Times New Roman" w:hAnsi="Times New Roman" w:eastAsia="宋体" w:cs="Times New Roman"/>
          <w:sz w:val="24"/>
          <w:szCs w:val="24"/>
        </w:rPr>
        <w:t>）医用呼叫系统维护</w:t>
      </w:r>
    </w:p>
    <w:p>
      <w:pPr>
        <w:pStyle w:val="7"/>
        <w:spacing w:before="0" w:after="0" w:line="360" w:lineRule="auto"/>
        <w:ind w:left="0" w:firstLine="482"/>
        <w:jc w:val="both"/>
        <w:rPr>
          <w:sz w:val="24"/>
        </w:rPr>
      </w:pPr>
      <w:r>
        <w:rPr>
          <w:rFonts w:ascii="Times New Roman" w:hAnsi="Times New Roman" w:eastAsia="宋体" w:cs="Times New Roman"/>
          <w:sz w:val="24"/>
          <w:szCs w:val="24"/>
          <w:lang w:val="en-US"/>
        </w:rPr>
        <w:t>1</w:t>
      </w:r>
      <w:r>
        <w:rPr>
          <w:rFonts w:hint="eastAsia" w:ascii="Times New Roman" w:hAnsi="Times New Roman" w:eastAsia="宋体" w:cs="Times New Roman"/>
          <w:sz w:val="24"/>
          <w:szCs w:val="24"/>
          <w:lang w:val="en-US"/>
        </w:rPr>
        <w:t>）日常巡检与维护</w:t>
      </w:r>
    </w:p>
    <w:p>
      <w:pPr>
        <w:spacing w:line="360" w:lineRule="auto"/>
        <w:ind w:firstLine="480" w:firstLineChars="200"/>
        <w:rPr>
          <w:sz w:val="24"/>
        </w:rPr>
      </w:pPr>
      <w:r>
        <w:rPr>
          <w:rFonts w:hint="eastAsia"/>
          <w:sz w:val="24"/>
        </w:rPr>
        <w:t>硬件设备检查：定期检查呼叫按钮、接收器、显示器等硬件设备是否有损坏或磨损。确保所有无线设备（如呼叫器）都有足够的电量，并定期检查电池状态，及时充电或更换。</w:t>
      </w:r>
    </w:p>
    <w:p>
      <w:pPr>
        <w:spacing w:line="360" w:lineRule="auto"/>
        <w:ind w:firstLine="480" w:firstLineChars="200"/>
        <w:rPr>
          <w:sz w:val="24"/>
        </w:rPr>
      </w:pPr>
      <w:r>
        <w:rPr>
          <w:rFonts w:hint="eastAsia"/>
          <w:sz w:val="24"/>
        </w:rPr>
        <w:t>信号传输检查：检查天线和无线信号传输线路，确保无线信号传输正常。测试呼叫系统的响应速度和准确性，确保患者能够及时获得医护人员的响应。</w:t>
      </w:r>
    </w:p>
    <w:p>
      <w:pPr>
        <w:spacing w:line="360" w:lineRule="auto"/>
        <w:ind w:firstLine="480" w:firstLineChars="200"/>
        <w:rPr>
          <w:sz w:val="24"/>
        </w:rPr>
      </w:pPr>
      <w:r>
        <w:rPr>
          <w:rFonts w:hint="eastAsia"/>
          <w:sz w:val="24"/>
        </w:rPr>
        <w:t>清洁与保养：定期清洁呼叫按钮、接收器等设备，避免灰尘和污垢影响设备性能。对于使用电池的设备，还需定期检查电池状态，及时充电或更换。</w:t>
      </w:r>
    </w:p>
    <w:p>
      <w:pPr>
        <w:pStyle w:val="7"/>
        <w:spacing w:before="0" w:after="0" w:line="360" w:lineRule="auto"/>
        <w:ind w:left="0" w:firstLine="482"/>
        <w:jc w:val="both"/>
        <w:rPr>
          <w:sz w:val="24"/>
        </w:rPr>
      </w:pPr>
      <w:r>
        <w:rPr>
          <w:rFonts w:ascii="Times New Roman" w:hAnsi="Times New Roman" w:eastAsia="宋体" w:cs="Times New Roman"/>
          <w:sz w:val="24"/>
          <w:szCs w:val="24"/>
          <w:lang w:val="en-US"/>
        </w:rPr>
        <w:t>2</w:t>
      </w:r>
      <w:r>
        <w:rPr>
          <w:rFonts w:hint="eastAsia" w:ascii="Times New Roman" w:hAnsi="Times New Roman" w:eastAsia="宋体" w:cs="Times New Roman"/>
          <w:sz w:val="24"/>
          <w:szCs w:val="24"/>
          <w:lang w:val="en-US"/>
        </w:rPr>
        <w:t>）故障排查与修复</w:t>
      </w:r>
    </w:p>
    <w:p>
      <w:pPr>
        <w:spacing w:line="360" w:lineRule="auto"/>
        <w:ind w:firstLine="480" w:firstLineChars="200"/>
        <w:rPr>
          <w:sz w:val="24"/>
        </w:rPr>
      </w:pPr>
      <w:r>
        <w:rPr>
          <w:rFonts w:hint="eastAsia"/>
          <w:sz w:val="24"/>
        </w:rPr>
        <w:t>故障诊断：当系统出现故障时，首先进行故障诊断，确定是硬件故障还是软件故障。使用专业工具和技术手段进行故障排查，如使用测试仪检测线路是否畅通，使用软件诊断工具检查系统是否存在软件错误。</w:t>
      </w:r>
    </w:p>
    <w:p>
      <w:pPr>
        <w:spacing w:line="360" w:lineRule="auto"/>
        <w:ind w:firstLine="480" w:firstLineChars="200"/>
        <w:rPr>
          <w:sz w:val="24"/>
        </w:rPr>
      </w:pPr>
      <w:r>
        <w:rPr>
          <w:rFonts w:hint="eastAsia"/>
          <w:sz w:val="24"/>
        </w:rPr>
        <w:t>故障修复：对于硬件故障，如损坏的呼叫按钮、显示器等，进行更换或维修。对于软件故障，尝试重启系统或恢复出厂设置，如无法解决，则重新配置系统设置或重新安装软件。</w:t>
      </w:r>
    </w:p>
    <w:p>
      <w:pPr>
        <w:pStyle w:val="7"/>
        <w:spacing w:before="0" w:after="0" w:line="360" w:lineRule="auto"/>
        <w:ind w:left="0" w:firstLine="482"/>
        <w:jc w:val="both"/>
        <w:rPr>
          <w:sz w:val="24"/>
        </w:rPr>
      </w:pPr>
      <w:r>
        <w:rPr>
          <w:rFonts w:ascii="Times New Roman" w:hAnsi="Times New Roman" w:eastAsia="宋体" w:cs="Times New Roman"/>
          <w:sz w:val="24"/>
          <w:szCs w:val="24"/>
          <w:lang w:val="en-US"/>
        </w:rPr>
        <w:t>3</w:t>
      </w:r>
      <w:r>
        <w:rPr>
          <w:rFonts w:hint="eastAsia" w:ascii="Times New Roman" w:hAnsi="Times New Roman" w:eastAsia="宋体" w:cs="Times New Roman"/>
          <w:sz w:val="24"/>
          <w:szCs w:val="24"/>
          <w:lang w:val="en-US"/>
        </w:rPr>
        <w:t>）系统升级与优化</w:t>
      </w:r>
    </w:p>
    <w:p>
      <w:pPr>
        <w:spacing w:line="360" w:lineRule="auto"/>
        <w:ind w:firstLine="480" w:firstLineChars="200"/>
        <w:rPr>
          <w:sz w:val="24"/>
        </w:rPr>
      </w:pPr>
      <w:r>
        <w:rPr>
          <w:rFonts w:hint="eastAsia"/>
          <w:sz w:val="24"/>
        </w:rPr>
        <w:t>软件更新：定期检查并更新系统固件和软件，确保系统运行的是最新版本。升级软件时，确保新软件与原系统的兼容性和稳定性。</w:t>
      </w:r>
    </w:p>
    <w:p>
      <w:pPr>
        <w:spacing w:line="360" w:lineRule="auto"/>
        <w:ind w:firstLine="480" w:firstLineChars="200"/>
        <w:rPr>
          <w:sz w:val="24"/>
        </w:rPr>
      </w:pPr>
      <w:r>
        <w:rPr>
          <w:rFonts w:hint="eastAsia"/>
          <w:sz w:val="24"/>
        </w:rPr>
        <w:t>性能优化：根据医疗机构的实际需求和业务变化，对系统进行性能优化。优化系统的响应速度、数据处理能力等，提高系统的整体性能。</w:t>
      </w:r>
    </w:p>
    <w:p>
      <w:pPr>
        <w:pStyle w:val="6"/>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lang w:val="en-US"/>
        </w:rPr>
        <w:t>5</w:t>
      </w:r>
      <w:r>
        <w:rPr>
          <w:rFonts w:hint="eastAsia" w:ascii="Times New Roman" w:hAnsi="Times New Roman" w:eastAsia="宋体" w:cs="Times New Roman"/>
          <w:sz w:val="24"/>
          <w:szCs w:val="24"/>
        </w:rPr>
        <w:t>）会议音像系统</w:t>
      </w:r>
    </w:p>
    <w:p>
      <w:pPr>
        <w:pStyle w:val="7"/>
        <w:spacing w:before="0" w:after="0" w:line="360" w:lineRule="auto"/>
        <w:ind w:left="0" w:firstLine="482"/>
        <w:jc w:val="both"/>
        <w:rPr>
          <w:sz w:val="24"/>
        </w:rPr>
      </w:pPr>
      <w:r>
        <w:rPr>
          <w:rFonts w:ascii="Times New Roman" w:hAnsi="Times New Roman" w:eastAsia="宋体" w:cs="Times New Roman"/>
          <w:sz w:val="24"/>
          <w:szCs w:val="24"/>
          <w:lang w:val="en-US"/>
        </w:rPr>
        <w:t>1</w:t>
      </w:r>
      <w:r>
        <w:rPr>
          <w:rFonts w:hint="eastAsia" w:ascii="Times New Roman" w:hAnsi="Times New Roman" w:eastAsia="宋体" w:cs="Times New Roman"/>
          <w:sz w:val="24"/>
          <w:szCs w:val="24"/>
          <w:lang w:val="en-US"/>
        </w:rPr>
        <w:t>）设备检查与维护</w:t>
      </w:r>
    </w:p>
    <w:p>
      <w:pPr>
        <w:spacing w:line="360" w:lineRule="auto"/>
        <w:ind w:firstLine="480" w:firstLineChars="200"/>
        <w:rPr>
          <w:sz w:val="24"/>
        </w:rPr>
      </w:pPr>
      <w:r>
        <w:rPr>
          <w:rFonts w:hint="eastAsia"/>
          <w:sz w:val="24"/>
        </w:rPr>
        <w:t>音响设备：定期检查音响设备的连接线路，包括音频线、电源线等，确保连接牢固无松动。清洁音响设备的表面和内部，去除灰尘和污垢，保持设备的良好散热和性能。检查音响设备的扬声器、话筒等部件，确保其完好无损，音质清晰。</w:t>
      </w:r>
    </w:p>
    <w:p>
      <w:pPr>
        <w:spacing w:line="360" w:lineRule="auto"/>
        <w:ind w:firstLine="480" w:firstLineChars="200"/>
        <w:rPr>
          <w:sz w:val="24"/>
        </w:rPr>
      </w:pPr>
      <w:r>
        <w:rPr>
          <w:rFonts w:hint="eastAsia"/>
          <w:sz w:val="24"/>
        </w:rPr>
        <w:t>视频设备：检查投影仪、显示屏等视频输出设备的连接和显示效果，确保图像清晰、色彩准确。清洁视频设备的镜头和屏幕，去除指纹、灰尘等污渍，保持画面质量。检查视频传输线路，如HDMI线、VGA线等，确保信号传输稳定。</w:t>
      </w:r>
    </w:p>
    <w:p>
      <w:pPr>
        <w:pStyle w:val="7"/>
        <w:spacing w:before="0" w:after="0" w:line="360" w:lineRule="auto"/>
        <w:ind w:left="0" w:firstLine="482"/>
        <w:jc w:val="both"/>
        <w:rPr>
          <w:sz w:val="24"/>
        </w:rPr>
      </w:pPr>
      <w:r>
        <w:rPr>
          <w:rFonts w:ascii="Times New Roman" w:hAnsi="Times New Roman" w:eastAsia="宋体" w:cs="Times New Roman"/>
          <w:sz w:val="24"/>
          <w:szCs w:val="24"/>
          <w:lang w:val="en-US"/>
        </w:rPr>
        <w:t>2</w:t>
      </w:r>
      <w:r>
        <w:rPr>
          <w:rFonts w:hint="eastAsia" w:ascii="Times New Roman" w:hAnsi="Times New Roman" w:eastAsia="宋体" w:cs="Times New Roman"/>
          <w:sz w:val="24"/>
          <w:szCs w:val="24"/>
          <w:lang w:val="en-US"/>
        </w:rPr>
        <w:t>）系统调试与优化</w:t>
      </w:r>
    </w:p>
    <w:p>
      <w:pPr>
        <w:spacing w:line="360" w:lineRule="auto"/>
        <w:ind w:firstLine="480" w:firstLineChars="200"/>
        <w:rPr>
          <w:sz w:val="24"/>
        </w:rPr>
      </w:pPr>
      <w:r>
        <w:rPr>
          <w:rFonts w:hint="eastAsia"/>
          <w:sz w:val="24"/>
        </w:rPr>
        <w:t>音频调试：调整音响系统的音量、音质和音效，确保声音清晰、均衡、无杂音。测试话筒的拾音效果和回声抑制功能，确保通话质量。</w:t>
      </w:r>
    </w:p>
    <w:p>
      <w:pPr>
        <w:spacing w:line="360" w:lineRule="auto"/>
        <w:ind w:firstLine="480" w:firstLineChars="200"/>
        <w:rPr>
          <w:sz w:val="24"/>
        </w:rPr>
      </w:pPr>
      <w:r>
        <w:rPr>
          <w:rFonts w:hint="eastAsia"/>
          <w:sz w:val="24"/>
        </w:rPr>
        <w:t>视频调试：调整投影仪的投影角度、亮度和对比度，确保画面清晰、亮度适中。测试视频信号的稳定性和流畅性，确保无卡顿、无延迟。</w:t>
      </w:r>
    </w:p>
    <w:p>
      <w:pPr>
        <w:spacing w:line="360" w:lineRule="auto"/>
        <w:ind w:firstLine="480" w:firstLineChars="200"/>
        <w:rPr>
          <w:sz w:val="24"/>
        </w:rPr>
      </w:pPr>
      <w:r>
        <w:rPr>
          <w:rFonts w:hint="eastAsia"/>
          <w:sz w:val="24"/>
        </w:rPr>
        <w:t>系统集成与优化：根据会议需求，调整音响和视频系统的集成方式，确保系统间的协同工作。优化系统配置，提高系统的稳定性和性能。</w:t>
      </w:r>
    </w:p>
    <w:p>
      <w:pPr>
        <w:pStyle w:val="7"/>
        <w:spacing w:before="0" w:after="0" w:line="360" w:lineRule="auto"/>
        <w:ind w:left="0" w:firstLine="482"/>
        <w:jc w:val="both"/>
        <w:rPr>
          <w:sz w:val="24"/>
        </w:rPr>
      </w:pPr>
      <w:r>
        <w:rPr>
          <w:rFonts w:ascii="Times New Roman" w:hAnsi="Times New Roman" w:eastAsia="宋体" w:cs="Times New Roman"/>
          <w:sz w:val="24"/>
          <w:szCs w:val="24"/>
          <w:lang w:val="en-US"/>
        </w:rPr>
        <w:t>3</w:t>
      </w:r>
      <w:r>
        <w:rPr>
          <w:rFonts w:hint="eastAsia" w:ascii="Times New Roman" w:hAnsi="Times New Roman" w:eastAsia="宋体" w:cs="Times New Roman"/>
          <w:sz w:val="24"/>
          <w:szCs w:val="24"/>
          <w:lang w:val="en-US"/>
        </w:rPr>
        <w:t>）故障排查与修复</w:t>
      </w:r>
    </w:p>
    <w:p>
      <w:pPr>
        <w:spacing w:line="360" w:lineRule="auto"/>
        <w:ind w:firstLine="480" w:firstLineChars="200"/>
        <w:rPr>
          <w:sz w:val="24"/>
        </w:rPr>
      </w:pPr>
      <w:r>
        <w:rPr>
          <w:rFonts w:hint="eastAsia"/>
          <w:sz w:val="24"/>
        </w:rPr>
        <w:t>故障诊断：当系统出现故障时，使用专业工具进行故障诊断，确定故障位置和原因。根据故障现象和诊断结果，制定相应的修复方案。</w:t>
      </w:r>
    </w:p>
    <w:p>
      <w:pPr>
        <w:spacing w:line="360" w:lineRule="auto"/>
        <w:ind w:firstLine="480" w:firstLineChars="200"/>
        <w:rPr>
          <w:sz w:val="24"/>
        </w:rPr>
      </w:pPr>
      <w:r>
        <w:rPr>
          <w:rFonts w:hint="eastAsia"/>
          <w:sz w:val="24"/>
        </w:rPr>
        <w:t>故障修复：修复音响设备的连接线路、扬声器、话筒等部件的故障。修复视频设备的连接线路、显示屏、投影仪等部件的故障。修复系统集成中的故障，确保系统正常运行。</w:t>
      </w:r>
    </w:p>
    <w:p>
      <w:pPr>
        <w:pStyle w:val="6"/>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lang w:val="en-US"/>
        </w:rPr>
        <w:t>6</w:t>
      </w:r>
      <w:r>
        <w:rPr>
          <w:rFonts w:hint="eastAsia" w:ascii="Times New Roman" w:hAnsi="Times New Roman" w:eastAsia="宋体" w:cs="Times New Roman"/>
          <w:sz w:val="24"/>
          <w:szCs w:val="24"/>
        </w:rPr>
        <w:t>）LED电子屏系统维护</w:t>
      </w:r>
    </w:p>
    <w:p>
      <w:pPr>
        <w:pStyle w:val="7"/>
        <w:spacing w:before="0" w:after="0" w:line="360" w:lineRule="auto"/>
        <w:ind w:left="0" w:firstLine="482"/>
        <w:jc w:val="both"/>
        <w:rPr>
          <w:sz w:val="24"/>
        </w:rPr>
      </w:pPr>
      <w:r>
        <w:rPr>
          <w:rFonts w:ascii="Times New Roman" w:hAnsi="Times New Roman" w:eastAsia="宋体" w:cs="Times New Roman"/>
          <w:sz w:val="24"/>
          <w:szCs w:val="24"/>
          <w:lang w:val="en-US"/>
        </w:rPr>
        <w:t>1</w:t>
      </w:r>
      <w:r>
        <w:rPr>
          <w:rFonts w:hint="eastAsia" w:ascii="Times New Roman" w:hAnsi="Times New Roman" w:eastAsia="宋体" w:cs="Times New Roman"/>
          <w:sz w:val="24"/>
          <w:szCs w:val="24"/>
          <w:lang w:val="en-US"/>
        </w:rPr>
        <w:t>）巡检与保养</w:t>
      </w:r>
    </w:p>
    <w:p>
      <w:pPr>
        <w:spacing w:line="360" w:lineRule="auto"/>
        <w:ind w:firstLine="480" w:firstLineChars="200"/>
        <w:rPr>
          <w:sz w:val="24"/>
        </w:rPr>
      </w:pPr>
      <w:r>
        <w:rPr>
          <w:rFonts w:hint="eastAsia"/>
          <w:sz w:val="24"/>
        </w:rPr>
        <w:t>定期检查：每月至少进行一次全面的系统检查，包括电源、信号传输、控制系统以及LED模块等。检查LED显示屏屏体，包含灯管模块、模组、电源、控制卡等。检查LED显示屏控制系统，包含控制器、光纤转换卡、分配器、发送卡等。重大活动前进行专项检查，确保系统能够稳定运行。</w:t>
      </w:r>
    </w:p>
    <w:p>
      <w:pPr>
        <w:spacing w:line="360" w:lineRule="auto"/>
        <w:ind w:firstLine="480" w:firstLineChars="200"/>
        <w:rPr>
          <w:sz w:val="24"/>
        </w:rPr>
      </w:pPr>
      <w:r>
        <w:rPr>
          <w:rFonts w:hint="eastAsia"/>
          <w:sz w:val="24"/>
        </w:rPr>
        <w:t>系统保养：对系统进行必要的清洁和保养，包括清除灰尘、污垢等。检查并紧固连接件，确保系统连接牢固可靠。检查系统的散热情况，确保散热设备正常工作，防止过热导致设备损坏。</w:t>
      </w:r>
    </w:p>
    <w:p>
      <w:pPr>
        <w:pStyle w:val="7"/>
        <w:spacing w:before="0" w:after="0" w:line="360" w:lineRule="auto"/>
        <w:ind w:left="0" w:firstLine="482"/>
        <w:jc w:val="both"/>
        <w:rPr>
          <w:sz w:val="24"/>
        </w:rPr>
      </w:pPr>
      <w:r>
        <w:rPr>
          <w:rFonts w:ascii="Times New Roman" w:hAnsi="Times New Roman" w:eastAsia="宋体" w:cs="Times New Roman"/>
          <w:sz w:val="24"/>
          <w:szCs w:val="24"/>
          <w:lang w:val="en-US"/>
        </w:rPr>
        <w:t>2</w:t>
      </w:r>
      <w:r>
        <w:rPr>
          <w:rFonts w:hint="eastAsia" w:ascii="Times New Roman" w:hAnsi="Times New Roman" w:eastAsia="宋体" w:cs="Times New Roman"/>
          <w:sz w:val="24"/>
          <w:szCs w:val="24"/>
          <w:lang w:val="en-US"/>
        </w:rPr>
        <w:t>）故障排查与维修</w:t>
      </w:r>
    </w:p>
    <w:p>
      <w:pPr>
        <w:spacing w:line="360" w:lineRule="auto"/>
        <w:ind w:firstLine="480" w:firstLineChars="200"/>
        <w:rPr>
          <w:sz w:val="24"/>
        </w:rPr>
      </w:pPr>
      <w:r>
        <w:rPr>
          <w:rFonts w:hint="eastAsia"/>
          <w:sz w:val="24"/>
        </w:rPr>
        <w:t>故障诊断：当系统出现故障时，及时进行故障诊断，确定故障位置和原因。使用专业工具进行故障排查，如信号测试仪、电源测试仪等。</w:t>
      </w:r>
    </w:p>
    <w:p>
      <w:pPr>
        <w:spacing w:line="360" w:lineRule="auto"/>
        <w:ind w:firstLine="480" w:firstLineChars="200"/>
        <w:rPr>
          <w:sz w:val="24"/>
        </w:rPr>
      </w:pPr>
      <w:r>
        <w:rPr>
          <w:rFonts w:hint="eastAsia"/>
          <w:sz w:val="24"/>
        </w:rPr>
        <w:t>故障维修：根据故障诊断结果，进行相应的维修操作，如更换损坏的模块、修复断裂的线路等。维修完成后，进行系统测试，确保系统能够正常运行。</w:t>
      </w:r>
    </w:p>
    <w:p>
      <w:pPr>
        <w:pStyle w:val="7"/>
        <w:spacing w:before="0" w:after="0" w:line="360" w:lineRule="auto"/>
        <w:ind w:left="0" w:firstLine="482"/>
        <w:jc w:val="both"/>
        <w:rPr>
          <w:sz w:val="24"/>
        </w:rPr>
      </w:pPr>
      <w:r>
        <w:rPr>
          <w:rFonts w:ascii="Times New Roman" w:hAnsi="Times New Roman" w:eastAsia="宋体" w:cs="Times New Roman"/>
          <w:sz w:val="24"/>
          <w:szCs w:val="24"/>
          <w:lang w:val="en-US"/>
        </w:rPr>
        <w:t>3</w:t>
      </w:r>
      <w:r>
        <w:rPr>
          <w:rFonts w:hint="eastAsia" w:ascii="Times New Roman" w:hAnsi="Times New Roman" w:eastAsia="宋体" w:cs="Times New Roman"/>
          <w:sz w:val="24"/>
          <w:szCs w:val="24"/>
          <w:lang w:val="en-US"/>
        </w:rPr>
        <w:t>）软件维护与升级</w:t>
      </w:r>
    </w:p>
    <w:p>
      <w:pPr>
        <w:spacing w:line="360" w:lineRule="auto"/>
        <w:ind w:firstLine="480" w:firstLineChars="200"/>
        <w:rPr>
          <w:sz w:val="24"/>
        </w:rPr>
      </w:pPr>
      <w:r>
        <w:rPr>
          <w:rFonts w:hint="eastAsia"/>
          <w:sz w:val="24"/>
        </w:rPr>
        <w:t>软件维护：定期检查并维护LED显示屏专用播放操作软件，包括软件的更新、升级等。确保软件运行稳定，无崩溃、无卡顿等现象。</w:t>
      </w:r>
    </w:p>
    <w:p>
      <w:pPr>
        <w:spacing w:line="360" w:lineRule="auto"/>
        <w:ind w:firstLine="480" w:firstLineChars="200"/>
        <w:rPr>
          <w:sz w:val="24"/>
        </w:rPr>
      </w:pPr>
      <w:r>
        <w:rPr>
          <w:rFonts w:hint="eastAsia"/>
          <w:sz w:val="24"/>
        </w:rPr>
        <w:t>软件升级：根据实际需求和技术发展，对软件进行必要的升级操作，以提高系统的性能和稳定性。升级前进行备份，确保数据安全。</w:t>
      </w:r>
    </w:p>
    <w:p>
      <w:pPr>
        <w:spacing w:line="360" w:lineRule="auto"/>
        <w:ind w:firstLine="480" w:firstLineChars="200"/>
        <w:rPr>
          <w:sz w:val="24"/>
        </w:rPr>
      </w:pPr>
      <w:r>
        <w:rPr>
          <w:rFonts w:hint="eastAsia"/>
          <w:sz w:val="24"/>
        </w:rPr>
        <w:t>4）清洁与防护</w:t>
      </w:r>
    </w:p>
    <w:p>
      <w:pPr>
        <w:spacing w:line="360" w:lineRule="auto"/>
        <w:ind w:firstLine="480" w:firstLineChars="200"/>
        <w:rPr>
          <w:sz w:val="24"/>
        </w:rPr>
      </w:pPr>
      <w:r>
        <w:rPr>
          <w:rFonts w:hint="eastAsia"/>
          <w:sz w:val="24"/>
        </w:rPr>
        <w:t>屏幕清洁：定期清洁LED显示屏表面，去除灰尘、污垢等，保持屏幕清晰。使用软毛刷或吸尘器进行清洁，避免使用液体清洁剂，防止损坏LED灯珠。</w:t>
      </w:r>
    </w:p>
    <w:p>
      <w:pPr>
        <w:spacing w:line="360" w:lineRule="auto"/>
        <w:ind w:firstLine="480" w:firstLineChars="200"/>
        <w:rPr>
          <w:sz w:val="24"/>
        </w:rPr>
      </w:pPr>
      <w:r>
        <w:rPr>
          <w:rFonts w:hint="eastAsia"/>
          <w:sz w:val="24"/>
        </w:rPr>
        <w:t>防护处理：对室外LED显示屏进行防护处理，如安装防雨罩、防尘罩等，防止风雨、灰尘等自然因素对设备的损害。定期检查防护设备的完好性，及时更换损坏的防护设备。</w:t>
      </w:r>
    </w:p>
    <w:p>
      <w:pPr>
        <w:pStyle w:val="6"/>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lang w:val="en-US"/>
        </w:rPr>
        <w:t>7</w:t>
      </w:r>
      <w:r>
        <w:rPr>
          <w:rFonts w:hint="eastAsia" w:ascii="Times New Roman" w:hAnsi="Times New Roman" w:eastAsia="宋体" w:cs="Times New Roman"/>
          <w:sz w:val="24"/>
          <w:szCs w:val="24"/>
        </w:rPr>
        <w:t>）触摸屏系统维护</w:t>
      </w:r>
    </w:p>
    <w:p>
      <w:pPr>
        <w:pStyle w:val="7"/>
        <w:spacing w:before="0" w:after="0" w:line="360" w:lineRule="auto"/>
        <w:ind w:left="0" w:firstLine="482"/>
        <w:jc w:val="both"/>
        <w:rPr>
          <w:sz w:val="24"/>
        </w:rPr>
      </w:pPr>
      <w:r>
        <w:rPr>
          <w:rFonts w:ascii="Times New Roman" w:hAnsi="Times New Roman" w:eastAsia="宋体" w:cs="Times New Roman"/>
          <w:sz w:val="24"/>
          <w:szCs w:val="24"/>
          <w:lang w:val="en-US"/>
        </w:rPr>
        <w:t>1</w:t>
      </w:r>
      <w:r>
        <w:rPr>
          <w:rFonts w:hint="eastAsia" w:ascii="Times New Roman" w:hAnsi="Times New Roman" w:eastAsia="宋体" w:cs="Times New Roman"/>
          <w:sz w:val="24"/>
          <w:szCs w:val="24"/>
          <w:lang w:val="en-US"/>
        </w:rPr>
        <w:t>）日常巡检与保养</w:t>
      </w:r>
    </w:p>
    <w:p>
      <w:pPr>
        <w:spacing w:line="360" w:lineRule="auto"/>
        <w:ind w:firstLine="480" w:firstLineChars="200"/>
        <w:rPr>
          <w:sz w:val="24"/>
        </w:rPr>
      </w:pPr>
      <w:r>
        <w:rPr>
          <w:rFonts w:hint="eastAsia"/>
          <w:sz w:val="24"/>
        </w:rPr>
        <w:t>外观检查：定期检查触摸屏的外观，包括屏幕表面是否有划痕、裂缝或污渍。检查触摸屏边框和固定件是否松动或损坏。</w:t>
      </w:r>
    </w:p>
    <w:p>
      <w:pPr>
        <w:spacing w:line="360" w:lineRule="auto"/>
        <w:ind w:firstLine="480" w:firstLineChars="200"/>
        <w:rPr>
          <w:sz w:val="24"/>
        </w:rPr>
      </w:pPr>
      <w:r>
        <w:rPr>
          <w:rFonts w:hint="eastAsia"/>
          <w:sz w:val="24"/>
        </w:rPr>
        <w:t>清洁保养：使用柔软的清洁布和适当的清洁剂清洁触摸屏表面，避免使用有研磨作用的清洁剂。清洁触摸屏时，避免液体流入屏幕内部，以防短路。</w:t>
      </w:r>
    </w:p>
    <w:p>
      <w:pPr>
        <w:spacing w:line="360" w:lineRule="auto"/>
        <w:ind w:firstLine="480" w:firstLineChars="200"/>
        <w:rPr>
          <w:sz w:val="24"/>
        </w:rPr>
      </w:pPr>
      <w:r>
        <w:rPr>
          <w:rFonts w:hint="eastAsia"/>
          <w:sz w:val="24"/>
        </w:rPr>
        <w:t>功能测试：定期检查触摸屏的触摸响应是否灵敏，无卡顿或延迟现象。测试触摸屏的显示功能，确保图像清晰、色彩准确。</w:t>
      </w:r>
    </w:p>
    <w:p>
      <w:pPr>
        <w:pStyle w:val="7"/>
        <w:spacing w:before="0" w:after="0" w:line="360" w:lineRule="auto"/>
        <w:ind w:left="0" w:firstLine="482"/>
        <w:jc w:val="both"/>
        <w:rPr>
          <w:sz w:val="24"/>
        </w:rPr>
      </w:pPr>
      <w:r>
        <w:rPr>
          <w:rFonts w:ascii="Times New Roman" w:hAnsi="Times New Roman" w:eastAsia="宋体" w:cs="Times New Roman"/>
          <w:sz w:val="24"/>
          <w:szCs w:val="24"/>
          <w:lang w:val="en-US"/>
        </w:rPr>
        <w:t>2</w:t>
      </w:r>
      <w:r>
        <w:rPr>
          <w:rFonts w:hint="eastAsia" w:ascii="Times New Roman" w:hAnsi="Times New Roman" w:eastAsia="宋体" w:cs="Times New Roman"/>
          <w:sz w:val="24"/>
          <w:szCs w:val="24"/>
          <w:lang w:val="en-US"/>
        </w:rPr>
        <w:t>）故障排查与维修</w:t>
      </w:r>
    </w:p>
    <w:p>
      <w:pPr>
        <w:spacing w:line="360" w:lineRule="auto"/>
        <w:ind w:firstLine="480" w:firstLineChars="200"/>
        <w:rPr>
          <w:sz w:val="24"/>
        </w:rPr>
      </w:pPr>
      <w:r>
        <w:rPr>
          <w:rFonts w:hint="eastAsia"/>
          <w:sz w:val="24"/>
        </w:rPr>
        <w:t>故障诊断：当触摸屏出现故障时，使用专业工具进行故障诊断，确定故障位置和原因。常见故障包括触摸无响应、显示异常（如花屏、黑屏）、连接问题等。</w:t>
      </w:r>
    </w:p>
    <w:p>
      <w:pPr>
        <w:spacing w:line="360" w:lineRule="auto"/>
        <w:ind w:firstLine="480" w:firstLineChars="200"/>
        <w:rPr>
          <w:sz w:val="24"/>
        </w:rPr>
      </w:pPr>
      <w:r>
        <w:rPr>
          <w:rFonts w:hint="eastAsia"/>
          <w:sz w:val="24"/>
        </w:rPr>
        <w:t>维修操作：根据故障诊断结果，进行相应的维修操作。例如，更换损坏的触摸玻璃、修复断裂的线路、更换老化的液晶显示屏等。维修完成后，进行系统测试，确保触摸屏能够正常运行。</w:t>
      </w:r>
    </w:p>
    <w:p>
      <w:pPr>
        <w:pStyle w:val="7"/>
        <w:spacing w:before="0" w:after="0" w:line="360" w:lineRule="auto"/>
        <w:ind w:left="0" w:firstLine="482"/>
        <w:jc w:val="both"/>
        <w:rPr>
          <w:sz w:val="24"/>
        </w:rPr>
      </w:pPr>
      <w:r>
        <w:rPr>
          <w:rFonts w:ascii="Times New Roman" w:hAnsi="Times New Roman" w:eastAsia="宋体" w:cs="Times New Roman"/>
          <w:sz w:val="24"/>
          <w:szCs w:val="24"/>
          <w:lang w:val="en-US"/>
        </w:rPr>
        <w:t>3</w:t>
      </w:r>
      <w:r>
        <w:rPr>
          <w:rFonts w:hint="eastAsia" w:ascii="Times New Roman" w:hAnsi="Times New Roman" w:eastAsia="宋体" w:cs="Times New Roman"/>
          <w:sz w:val="24"/>
          <w:szCs w:val="24"/>
          <w:lang w:val="en-US"/>
        </w:rPr>
        <w:t>）软件维护与升级</w:t>
      </w:r>
    </w:p>
    <w:p>
      <w:pPr>
        <w:spacing w:line="360" w:lineRule="auto"/>
        <w:ind w:firstLine="480" w:firstLineChars="200"/>
        <w:rPr>
          <w:sz w:val="24"/>
        </w:rPr>
      </w:pPr>
      <w:r>
        <w:rPr>
          <w:rFonts w:hint="eastAsia"/>
          <w:sz w:val="24"/>
        </w:rPr>
        <w:t>软件更新：定期检查触摸屏系统的软件版本，确保使用的是最新版本。根据软件供应商的建议，进行必要的软件更新和升级，以提高系统的性能和稳定性。</w:t>
      </w:r>
    </w:p>
    <w:p>
      <w:pPr>
        <w:spacing w:line="360" w:lineRule="auto"/>
        <w:ind w:firstLine="480" w:firstLineChars="200"/>
        <w:rPr>
          <w:sz w:val="24"/>
        </w:rPr>
      </w:pPr>
      <w:r>
        <w:rPr>
          <w:rFonts w:hint="eastAsia"/>
          <w:sz w:val="24"/>
        </w:rPr>
        <w:t>系统校准：定期对触摸屏进行校准操作，以确保触摸点与显示点能够准确对应。校准操作通常在触摸屏驱动程序安装后、显示器分辨率或显示模式改变后进行。</w:t>
      </w:r>
    </w:p>
    <w:p>
      <w:pPr>
        <w:pStyle w:val="7"/>
        <w:spacing w:before="0" w:after="0" w:line="360" w:lineRule="auto"/>
        <w:ind w:left="0" w:firstLine="482"/>
        <w:jc w:val="both"/>
        <w:rPr>
          <w:sz w:val="24"/>
        </w:rPr>
      </w:pPr>
      <w:r>
        <w:rPr>
          <w:rFonts w:ascii="Times New Roman" w:hAnsi="Times New Roman" w:eastAsia="宋体" w:cs="Times New Roman"/>
          <w:sz w:val="24"/>
          <w:szCs w:val="24"/>
          <w:lang w:val="en-US"/>
        </w:rPr>
        <w:t>4</w:t>
      </w:r>
      <w:r>
        <w:rPr>
          <w:rFonts w:hint="eastAsia" w:ascii="Times New Roman" w:hAnsi="Times New Roman" w:eastAsia="宋体" w:cs="Times New Roman"/>
          <w:sz w:val="24"/>
          <w:szCs w:val="24"/>
          <w:lang w:val="en-US"/>
        </w:rPr>
        <w:t>）硬件检查与更换</w:t>
      </w:r>
    </w:p>
    <w:p>
      <w:pPr>
        <w:spacing w:line="360" w:lineRule="auto"/>
        <w:ind w:firstLine="480" w:firstLineChars="200"/>
        <w:rPr>
          <w:sz w:val="24"/>
        </w:rPr>
      </w:pPr>
      <w:r>
        <w:rPr>
          <w:rFonts w:hint="eastAsia"/>
          <w:sz w:val="24"/>
        </w:rPr>
        <w:t>硬件检查：定期检查触摸屏系统的硬件组件，如控制器、连接线、电源等。确保硬件组件连接牢固、无损坏或老化现象。</w:t>
      </w:r>
    </w:p>
    <w:p>
      <w:pPr>
        <w:spacing w:line="360" w:lineRule="auto"/>
        <w:ind w:firstLine="480" w:firstLineChars="200"/>
        <w:rPr>
          <w:sz w:val="24"/>
        </w:rPr>
      </w:pPr>
      <w:r>
        <w:rPr>
          <w:rFonts w:hint="eastAsia"/>
          <w:sz w:val="24"/>
        </w:rPr>
        <w:t>硬件更换：如发现硬件组件损坏或老化，及时进行更换。更换硬件时，确保新组件与原系统的兼容性和稳定性。</w:t>
      </w:r>
    </w:p>
    <w:p>
      <w:pPr>
        <w:pStyle w:val="5"/>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8</w:t>
      </w:r>
      <w:r>
        <w:rPr>
          <w:rFonts w:hint="eastAsia" w:ascii="Times New Roman" w:hAnsi="Times New Roman" w:eastAsia="宋体" w:cs="Times New Roman"/>
          <w:sz w:val="24"/>
          <w:szCs w:val="24"/>
          <w:lang w:val="en-US"/>
        </w:rPr>
        <w:t>、</w:t>
      </w:r>
      <w:r>
        <w:rPr>
          <w:rFonts w:hint="eastAsia" w:ascii="Times New Roman" w:hAnsi="Times New Roman" w:eastAsia="宋体" w:cs="Times New Roman"/>
          <w:sz w:val="24"/>
          <w:szCs w:val="24"/>
        </w:rPr>
        <w:t>网络</w:t>
      </w:r>
      <w:r>
        <w:rPr>
          <w:rFonts w:hint="eastAsia" w:ascii="Times New Roman" w:hAnsi="Times New Roman" w:eastAsia="宋体" w:cs="Times New Roman"/>
          <w:sz w:val="24"/>
          <w:szCs w:val="24"/>
          <w:lang w:val="en-US"/>
        </w:rPr>
        <w:t>安全服务</w:t>
      </w:r>
    </w:p>
    <w:p>
      <w:pPr>
        <w:pStyle w:val="6"/>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（1）全网安全服务</w:t>
      </w:r>
    </w:p>
    <w:p>
      <w:pPr>
        <w:pStyle w:val="7"/>
        <w:spacing w:before="0" w:after="0" w:line="360" w:lineRule="auto"/>
        <w:ind w:left="0" w:firstLine="482"/>
        <w:jc w:val="both"/>
        <w:rPr>
          <w:rFonts w:ascii="Times New Roman" w:hAnsi="Times New Roman" w:eastAsia="宋体" w:cs="Times New Roman"/>
          <w:sz w:val="24"/>
          <w:szCs w:val="24"/>
          <w:lang w:val="en-US"/>
        </w:rPr>
      </w:pPr>
      <w:r>
        <w:rPr>
          <w:rFonts w:hint="eastAsia" w:ascii="Times New Roman" w:hAnsi="Times New Roman" w:eastAsia="宋体" w:cs="Times New Roman"/>
          <w:sz w:val="24"/>
          <w:szCs w:val="24"/>
          <w:lang w:val="en-US"/>
        </w:rPr>
        <w:t>1）服务概述</w:t>
      </w:r>
    </w:p>
    <w:p>
      <w:pPr>
        <w:spacing w:line="360" w:lineRule="auto"/>
        <w:ind w:firstLine="480" w:firstLineChars="200"/>
        <w:rPr>
          <w:sz w:val="24"/>
        </w:rPr>
      </w:pPr>
      <w:r>
        <w:rPr>
          <w:sz w:val="24"/>
        </w:rPr>
        <w:t>服务期1年，</w:t>
      </w:r>
      <w:r>
        <w:rPr>
          <w:rFonts w:hint="eastAsia"/>
          <w:sz w:val="24"/>
        </w:rPr>
        <w:t>包含基线核查服务、风险评估服务、安全日志分析与响应服务、应急响应、重要时期安全保障服务、入侵检测防护服务、主动安全防护服务、安全威胁分析联动服务、新系统上线安全评估服务、专项终端安全检测防护服务、安全设备异构统筹服务、安全加固服务、安全培训服务，通过一系列的服务，为医院构建一个全防护、多层次的安全运营防护体系。</w:t>
      </w:r>
    </w:p>
    <w:p>
      <w:pPr>
        <w:pStyle w:val="7"/>
        <w:spacing w:before="0" w:after="0" w:line="360" w:lineRule="auto"/>
        <w:ind w:left="0" w:firstLine="482"/>
        <w:jc w:val="both"/>
        <w:rPr>
          <w:rFonts w:ascii="Times New Roman" w:hAnsi="Times New Roman" w:eastAsia="宋体" w:cs="Times New Roman"/>
          <w:sz w:val="24"/>
          <w:szCs w:val="24"/>
          <w:lang w:val="en-US"/>
        </w:rPr>
      </w:pPr>
      <w:bookmarkStart w:id="66" w:name="OLE_LINK31"/>
      <w:r>
        <w:rPr>
          <w:rFonts w:hint="eastAsia" w:ascii="Times New Roman" w:hAnsi="Times New Roman" w:eastAsia="宋体" w:cs="Times New Roman"/>
          <w:sz w:val="24"/>
          <w:szCs w:val="24"/>
          <w:lang w:val="en-US"/>
        </w:rPr>
        <w:t>2）风险评估服务</w:t>
      </w:r>
    </w:p>
    <w:bookmarkEnd w:id="66"/>
    <w:p>
      <w:pPr>
        <w:spacing w:line="360" w:lineRule="auto"/>
        <w:ind w:firstLine="480" w:firstLineChars="200"/>
        <w:rPr>
          <w:sz w:val="24"/>
        </w:rPr>
      </w:pPr>
      <w:r>
        <w:rPr>
          <w:rFonts w:hint="eastAsia"/>
          <w:sz w:val="24"/>
        </w:rPr>
        <w:t>一年一次，识别信息系统中关键资产，并对信息系统中的风险与威助进行分析评估，梳理现有网络安全、安全技术、安全管理等各方面的不足之处，提出安全整改建议，提供一次全面的风险评估服务。</w:t>
      </w:r>
    </w:p>
    <w:p>
      <w:pPr>
        <w:spacing w:line="360" w:lineRule="auto"/>
        <w:ind w:firstLine="480" w:firstLineChars="200"/>
        <w:rPr>
          <w:sz w:val="24"/>
        </w:rPr>
      </w:pPr>
      <w:r>
        <w:rPr>
          <w:rFonts w:hint="eastAsia"/>
          <w:sz w:val="24"/>
        </w:rPr>
        <w:t>1）系统调研访谈：以IT设备为基本单位，调查设备的基本属性如IP、型号、版本号、所存储的信息、连接方式等，得到资产列表及资产详细信息库。确定各项资产（如主机、路由器等）的安全价值，分别对每一项资产的安全属性进行赋值。</w:t>
      </w:r>
    </w:p>
    <w:p>
      <w:pPr>
        <w:spacing w:line="360" w:lineRule="auto"/>
        <w:ind w:firstLine="480" w:firstLineChars="200"/>
        <w:rPr>
          <w:sz w:val="24"/>
        </w:rPr>
      </w:pPr>
      <w:r>
        <w:rPr>
          <w:rFonts w:hint="eastAsia"/>
          <w:sz w:val="24"/>
        </w:rPr>
        <w:t>2）工具评估：对系统、主机、网络设备进行安全威胁扫描和验证。</w:t>
      </w:r>
    </w:p>
    <w:p>
      <w:pPr>
        <w:spacing w:line="360" w:lineRule="auto"/>
        <w:ind w:firstLine="480" w:firstLineChars="200"/>
        <w:rPr>
          <w:sz w:val="24"/>
        </w:rPr>
      </w:pPr>
      <w:r>
        <w:rPr>
          <w:rFonts w:hint="eastAsia"/>
          <w:sz w:val="24"/>
        </w:rPr>
        <w:t>3）渗透测试：结合渗透测试服务的结果综合分析，获得系统脆弱性的直接证据。</w:t>
      </w:r>
    </w:p>
    <w:p>
      <w:pPr>
        <w:spacing w:line="360" w:lineRule="auto"/>
        <w:ind w:firstLine="480" w:firstLineChars="200"/>
        <w:rPr>
          <w:sz w:val="24"/>
        </w:rPr>
      </w:pPr>
      <w:r>
        <w:rPr>
          <w:rFonts w:hint="eastAsia"/>
          <w:sz w:val="24"/>
        </w:rPr>
        <w:t>4）安全配置检查：包括主机配置评估、设备安全配置检查、备份策略等。</w:t>
      </w:r>
    </w:p>
    <w:p>
      <w:pPr>
        <w:spacing w:line="360" w:lineRule="auto"/>
        <w:ind w:firstLine="480" w:firstLineChars="200"/>
        <w:rPr>
          <w:sz w:val="24"/>
        </w:rPr>
      </w:pPr>
      <w:r>
        <w:rPr>
          <w:rFonts w:hint="eastAsia"/>
          <w:sz w:val="24"/>
        </w:rPr>
        <w:t>5）网络架构评估：对信息网络的网络拓扑结构进行安全分析，从整体结构合理性、设计与实际符合性与优化调整给出评估建议。</w:t>
      </w:r>
    </w:p>
    <w:p>
      <w:pPr>
        <w:spacing w:line="360" w:lineRule="auto"/>
        <w:ind w:firstLine="480" w:firstLineChars="200"/>
        <w:rPr>
          <w:sz w:val="24"/>
        </w:rPr>
      </w:pPr>
      <w:r>
        <w:rPr>
          <w:rFonts w:hint="eastAsia"/>
          <w:sz w:val="24"/>
        </w:rPr>
        <w:t>6）管理评估：通过对相关领导、运维关键责任人等进行调研卷访谈，调研单位现有的管理制度。</w:t>
      </w:r>
    </w:p>
    <w:p>
      <w:pPr>
        <w:spacing w:line="360" w:lineRule="auto"/>
        <w:ind w:firstLine="480" w:firstLineChars="200"/>
        <w:rPr>
          <w:sz w:val="24"/>
        </w:rPr>
      </w:pPr>
      <w:r>
        <w:rPr>
          <w:rFonts w:hint="eastAsia"/>
          <w:sz w:val="24"/>
        </w:rPr>
        <w:t>7）风险分析：依据技术方案约定的分析方法，进行风险分析，沟通风险处置方法。</w:t>
      </w:r>
    </w:p>
    <w:p>
      <w:pPr>
        <w:spacing w:line="360" w:lineRule="auto"/>
        <w:ind w:firstLine="480" w:firstLineChars="200"/>
        <w:rPr>
          <w:sz w:val="24"/>
        </w:rPr>
      </w:pPr>
      <w:r>
        <w:rPr>
          <w:rFonts w:hint="eastAsia"/>
          <w:sz w:val="24"/>
        </w:rPr>
        <w:t>服务总体实施步骤：</w:t>
      </w:r>
    </w:p>
    <w:p>
      <w:pPr>
        <w:spacing w:line="360" w:lineRule="auto"/>
        <w:ind w:firstLine="480" w:firstLineChars="200"/>
        <w:rPr>
          <w:sz w:val="24"/>
        </w:rPr>
      </w:pPr>
      <w:r>
        <w:rPr>
          <w:rFonts w:hint="eastAsia"/>
          <w:sz w:val="24"/>
        </w:rPr>
        <w:t>1）项目启动会议(准备工作)</w:t>
      </w:r>
    </w:p>
    <w:p>
      <w:pPr>
        <w:spacing w:line="360" w:lineRule="auto"/>
        <w:ind w:firstLine="480" w:firstLineChars="200"/>
        <w:rPr>
          <w:sz w:val="24"/>
        </w:rPr>
      </w:pPr>
      <w:r>
        <w:rPr>
          <w:rFonts w:hint="eastAsia"/>
          <w:sz w:val="24"/>
        </w:rPr>
        <w:t>2）资产识别：资产梳理、资产赋值及重要性区分</w:t>
      </w:r>
    </w:p>
    <w:p>
      <w:pPr>
        <w:spacing w:line="360" w:lineRule="auto"/>
        <w:ind w:firstLine="480" w:firstLineChars="200"/>
        <w:rPr>
          <w:sz w:val="24"/>
        </w:rPr>
      </w:pPr>
      <w:r>
        <w:rPr>
          <w:rFonts w:hint="eastAsia"/>
          <w:sz w:val="24"/>
        </w:rPr>
        <w:t>3）脆弱性识别：漏洞扫描（使用系统漏洞扫描工具对 数据库、操作系统、中间件等进行漏洞、端口、弱口令扫描，扫描完成后由技术人员对漏洞进行确认测试，提出整改建议，协助开发人员整改。1.环境配置。2.漏洞扫描。3.漏洞验证。4.输出报告）、基线核查、脆弱性统计及赋值等</w:t>
      </w:r>
    </w:p>
    <w:p>
      <w:pPr>
        <w:spacing w:line="360" w:lineRule="auto"/>
        <w:ind w:firstLine="480" w:firstLineChars="200"/>
        <w:rPr>
          <w:sz w:val="24"/>
        </w:rPr>
      </w:pPr>
      <w:r>
        <w:rPr>
          <w:rFonts w:hint="eastAsia"/>
          <w:sz w:val="24"/>
        </w:rPr>
        <w:t>4）威胁识别：脆弱性威胁关联及赋值、潜伏威胁检测</w:t>
      </w:r>
    </w:p>
    <w:p>
      <w:pPr>
        <w:spacing w:line="360" w:lineRule="auto"/>
        <w:ind w:firstLine="480" w:firstLineChars="200"/>
        <w:rPr>
          <w:sz w:val="24"/>
        </w:rPr>
      </w:pPr>
      <w:r>
        <w:rPr>
          <w:rFonts w:hint="eastAsia"/>
          <w:sz w:val="24"/>
        </w:rPr>
        <w:t>5）风险分析：不可接受风险处理建议</w:t>
      </w:r>
    </w:p>
    <w:p>
      <w:pPr>
        <w:spacing w:line="360" w:lineRule="auto"/>
        <w:ind w:firstLine="480" w:firstLineChars="200"/>
        <w:rPr>
          <w:sz w:val="24"/>
        </w:rPr>
      </w:pPr>
      <w:r>
        <w:rPr>
          <w:rFonts w:hint="eastAsia"/>
          <w:sz w:val="24"/>
        </w:rPr>
        <w:t>6）编写报告</w:t>
      </w:r>
    </w:p>
    <w:p>
      <w:pPr>
        <w:spacing w:line="360" w:lineRule="auto"/>
        <w:ind w:firstLine="480" w:firstLineChars="200"/>
        <w:rPr>
          <w:sz w:val="24"/>
        </w:rPr>
      </w:pPr>
      <w:r>
        <w:rPr>
          <w:rFonts w:hint="eastAsia"/>
          <w:sz w:val="24"/>
        </w:rPr>
        <w:t>7）项目总结会</w:t>
      </w:r>
    </w:p>
    <w:p>
      <w:pPr>
        <w:pStyle w:val="7"/>
        <w:spacing w:before="0" w:after="0" w:line="360" w:lineRule="auto"/>
        <w:ind w:left="0" w:firstLine="482"/>
        <w:jc w:val="both"/>
        <w:rPr>
          <w:rFonts w:ascii="Times New Roman" w:hAnsi="Times New Roman" w:eastAsia="宋体" w:cs="Times New Roman"/>
          <w:sz w:val="24"/>
          <w:szCs w:val="24"/>
          <w:lang w:val="en-US"/>
        </w:rPr>
      </w:pPr>
      <w:r>
        <w:rPr>
          <w:rFonts w:hint="eastAsia" w:ascii="Times New Roman" w:hAnsi="Times New Roman" w:eastAsia="宋体" w:cs="Times New Roman"/>
          <w:sz w:val="24"/>
          <w:szCs w:val="24"/>
          <w:lang w:val="en-US"/>
        </w:rPr>
        <w:t>3）合规性安全检查服务</w:t>
      </w:r>
    </w:p>
    <w:p>
      <w:pPr>
        <w:spacing w:line="360" w:lineRule="auto"/>
        <w:ind w:firstLine="480" w:firstLineChars="200"/>
        <w:rPr>
          <w:sz w:val="24"/>
        </w:rPr>
      </w:pPr>
      <w:r>
        <w:rPr>
          <w:rFonts w:hint="eastAsia"/>
          <w:sz w:val="24"/>
        </w:rPr>
        <w:t>4次/年，采用业界认可的、专业的扫描工具，通过定制的扫描规则，形成安全扫描策略文档，对用户指定主机进行一次全面的自动化安全扫描，人工验证扫描结果，并输出安全扫描报告及修复建议。一、安全威胁分析：结合安全感知日志和威胁情报进行深度分析，研判网络中存在的威胁和攻击行为，明确对业务的影响和危害。以下为具体服务要求：</w:t>
      </w:r>
    </w:p>
    <w:p>
      <w:pPr>
        <w:spacing w:line="360" w:lineRule="auto"/>
        <w:ind w:firstLine="480" w:firstLineChars="200"/>
        <w:rPr>
          <w:sz w:val="24"/>
        </w:rPr>
      </w:pPr>
      <w:r>
        <w:rPr>
          <w:rFonts w:hint="eastAsia"/>
          <w:sz w:val="24"/>
        </w:rPr>
        <w:t>漏洞扫描：将采用具有自主知识产权的漏洞扫描工具对服务范围内各种软硬件设备进行网络层、系统层、数据库、应用层面的全面扫描与分析，扫描设备检测规则库及知识库应涵盖CVE、CNCVE、CNVD、CNNVD等标准。扫描完成后并人工验证所发现的操作系统漏洞、数据库漏洞、弱口令、信息泄露及配置不当等脆弱性问题。提出准确有效的扫描报告，并针对漏洞扫描中出现的问题，提供解决方案，协助用户进行解决。</w:t>
      </w:r>
    </w:p>
    <w:p>
      <w:pPr>
        <w:spacing w:line="360" w:lineRule="auto"/>
        <w:ind w:firstLine="480" w:firstLineChars="200"/>
        <w:rPr>
          <w:sz w:val="24"/>
        </w:rPr>
      </w:pPr>
      <w:r>
        <w:rPr>
          <w:rFonts w:hint="eastAsia"/>
          <w:sz w:val="24"/>
        </w:rPr>
        <w:t>木马后门扫描：WEB服务器开放在互联网中，版本经常迭代，历史上存在的安全问题在处理过程中，很有可能遗留有Webshell后门程序，本次安全服务关注历史上的安全事件，包括历史webshell等遗留程序，需要针对性开展服务器后门检测，重点发现历史的webshell后门工具，避免出现“后门直通车”，输出物《合规性安全检查报告》。</w:t>
      </w:r>
    </w:p>
    <w:p>
      <w:pPr>
        <w:pStyle w:val="7"/>
        <w:spacing w:before="0" w:after="0" w:line="360" w:lineRule="auto"/>
        <w:ind w:left="0" w:firstLine="482"/>
        <w:jc w:val="both"/>
        <w:rPr>
          <w:rFonts w:ascii="Times New Roman" w:hAnsi="Times New Roman" w:eastAsia="宋体" w:cs="Times New Roman"/>
          <w:sz w:val="24"/>
          <w:szCs w:val="24"/>
          <w:lang w:val="en-US"/>
        </w:rPr>
      </w:pPr>
      <w:r>
        <w:rPr>
          <w:rFonts w:hint="eastAsia" w:ascii="Times New Roman" w:hAnsi="Times New Roman" w:eastAsia="宋体" w:cs="Times New Roman"/>
          <w:sz w:val="24"/>
          <w:szCs w:val="24"/>
          <w:lang w:val="en-US"/>
        </w:rPr>
        <w:t>4）新系统上线前检查服务</w:t>
      </w:r>
    </w:p>
    <w:p>
      <w:pPr>
        <w:spacing w:line="360" w:lineRule="auto"/>
        <w:ind w:firstLine="480" w:firstLineChars="200"/>
        <w:rPr>
          <w:sz w:val="24"/>
        </w:rPr>
      </w:pPr>
      <w:r>
        <w:rPr>
          <w:rFonts w:hint="eastAsia"/>
          <w:sz w:val="24"/>
        </w:rPr>
        <w:t>按需不限次/1年，医院新系统上线前实施安全检查，协助制订相应的评估方案，对新系统环境及代码进行安全评估。评估包括代码安全检测、渗透测试、APP安全评估服务。在评估完成后，提供有针对性的整改建议。以下为具体服务要求：</w:t>
      </w:r>
    </w:p>
    <w:p>
      <w:pPr>
        <w:spacing w:line="360" w:lineRule="auto"/>
        <w:ind w:firstLine="480" w:firstLineChars="200"/>
        <w:rPr>
          <w:sz w:val="24"/>
        </w:rPr>
      </w:pPr>
      <w:r>
        <w:rPr>
          <w:rFonts w:hint="eastAsia"/>
          <w:sz w:val="24"/>
        </w:rPr>
        <w:t>1）代码安全评估</w:t>
      </w:r>
    </w:p>
    <w:p>
      <w:pPr>
        <w:spacing w:line="360" w:lineRule="auto"/>
        <w:ind w:firstLine="480" w:firstLineChars="200"/>
        <w:rPr>
          <w:sz w:val="24"/>
        </w:rPr>
      </w:pPr>
      <w:r>
        <w:rPr>
          <w:rFonts w:hint="eastAsia"/>
          <w:sz w:val="24"/>
        </w:rPr>
        <w:t>由资深代码审计工程师对在信息系统开发过程中，对开发人员编写的代码进行安全审计，依据包含Owasp Top 10在内的150多种安全漏洞及代码质量问题，出具源代码审计报告，并提供修复建议协助开发人员修复安全问题。</w:t>
      </w:r>
    </w:p>
    <w:p>
      <w:pPr>
        <w:spacing w:line="360" w:lineRule="auto"/>
        <w:ind w:firstLine="480" w:firstLineChars="200"/>
        <w:rPr>
          <w:sz w:val="24"/>
        </w:rPr>
      </w:pPr>
      <w:r>
        <w:rPr>
          <w:rFonts w:hint="eastAsia"/>
          <w:sz w:val="24"/>
        </w:rPr>
        <w:t>2）渗透性测试</w:t>
      </w:r>
    </w:p>
    <w:p>
      <w:pPr>
        <w:spacing w:line="360" w:lineRule="auto"/>
        <w:ind w:firstLine="480" w:firstLineChars="200"/>
        <w:rPr>
          <w:sz w:val="24"/>
        </w:rPr>
      </w:pPr>
      <w:r>
        <w:rPr>
          <w:rFonts w:hint="eastAsia"/>
          <w:sz w:val="24"/>
        </w:rPr>
        <w:t>渗透性测试是对安全情况最客观、最直接的评估方式，主要是模拟黑客的攻击方法对系统和网络进行非破坏性质的攻击性测试，目的是侵入系统，获取系统控制权并将入侵的过程和细节产生报告给用户，由此证实用户系统所存在的安全威胁和风险，并能及时提醒安全管理员完善安全策略。</w:t>
      </w:r>
    </w:p>
    <w:p>
      <w:pPr>
        <w:spacing w:line="360" w:lineRule="auto"/>
        <w:ind w:firstLine="480" w:firstLineChars="200"/>
        <w:rPr>
          <w:sz w:val="24"/>
        </w:rPr>
      </w:pPr>
      <w:r>
        <w:rPr>
          <w:rFonts w:hint="eastAsia"/>
          <w:sz w:val="24"/>
        </w:rPr>
        <w:t>渗透性测试是工具扫描和人工评估的重要补充。工具扫描具有很好的效率和速度，但是存在一定的误报率，不能发现高层次、复杂的安全问题；渗透测试需要投入的人力资源较大、对测试者的专业技能要求很高（渗透测试报告的价值直接依赖于测试者的专业技能），但是非常准确，可以发现逻辑性更强、更深层次的弱点。</w:t>
      </w:r>
    </w:p>
    <w:p>
      <w:pPr>
        <w:spacing w:line="360" w:lineRule="auto"/>
        <w:ind w:firstLine="480" w:firstLineChars="200"/>
        <w:rPr>
          <w:sz w:val="24"/>
        </w:rPr>
      </w:pPr>
      <w:r>
        <w:rPr>
          <w:rFonts w:hint="eastAsia"/>
          <w:sz w:val="24"/>
        </w:rPr>
        <w:t>针对新上线系统进行渗透测试，重点发现其应用层业务流程和逻辑上的安全漏洞和敏感信息泄露的风险，输出渗透测试报告。主要是通过网络层、系统层、应用层三个方面进行渗透测试</w:t>
      </w:r>
    </w:p>
    <w:p>
      <w:pPr>
        <w:spacing w:line="360" w:lineRule="auto"/>
        <w:ind w:firstLine="480" w:firstLineChars="200"/>
        <w:rPr>
          <w:sz w:val="24"/>
        </w:rPr>
      </w:pPr>
      <w:r>
        <w:rPr>
          <w:rFonts w:hint="eastAsia"/>
          <w:sz w:val="24"/>
        </w:rPr>
        <w:t>3）安全策略评估</w:t>
      </w:r>
    </w:p>
    <w:p>
      <w:pPr>
        <w:spacing w:line="360" w:lineRule="auto"/>
        <w:ind w:firstLine="480" w:firstLineChars="200"/>
        <w:rPr>
          <w:sz w:val="24"/>
        </w:rPr>
      </w:pPr>
      <w:r>
        <w:rPr>
          <w:rFonts w:hint="eastAsia"/>
          <w:sz w:val="24"/>
        </w:rPr>
        <w:t>对系统的安全策略进行评估，包括用户管理、访问控制、数据备份等方面的安全策略。安全策略评估可以帮助发现系统中可能存在的安全风险和管理漏洞。</w:t>
      </w:r>
    </w:p>
    <w:p>
      <w:pPr>
        <w:pStyle w:val="7"/>
        <w:spacing w:before="0" w:after="0" w:line="360" w:lineRule="auto"/>
        <w:ind w:left="0" w:firstLine="482"/>
        <w:jc w:val="both"/>
        <w:rPr>
          <w:rFonts w:ascii="Times New Roman" w:hAnsi="Times New Roman" w:eastAsia="宋体" w:cs="Times New Roman"/>
          <w:sz w:val="24"/>
          <w:szCs w:val="24"/>
          <w:lang w:val="en-US"/>
        </w:rPr>
      </w:pPr>
      <w:r>
        <w:rPr>
          <w:rFonts w:hint="eastAsia" w:ascii="Times New Roman" w:hAnsi="Times New Roman" w:eastAsia="宋体" w:cs="Times New Roman"/>
          <w:sz w:val="24"/>
          <w:szCs w:val="24"/>
          <w:lang w:val="en-US"/>
        </w:rPr>
        <w:t>5）安全应急响应处置服务</w:t>
      </w:r>
    </w:p>
    <w:p>
      <w:pPr>
        <w:spacing w:line="360" w:lineRule="auto"/>
        <w:ind w:firstLine="480" w:firstLineChars="200"/>
        <w:rPr>
          <w:sz w:val="24"/>
        </w:rPr>
      </w:pPr>
      <w:r>
        <w:rPr>
          <w:rFonts w:hint="eastAsia"/>
          <w:sz w:val="24"/>
        </w:rPr>
        <w:t>应急响应是指遇到突发网络安全事件后，协助采取的措施和行动。而突发事件则是指影响一个系统正常工作的情况。这里的系统包括主机范畴内的问题，也包括网络范畴内的问题，例如黑客入侵、信息窃取、拒绝服务攻击、网络流量异常等。</w:t>
      </w:r>
    </w:p>
    <w:p>
      <w:pPr>
        <w:spacing w:line="360" w:lineRule="auto"/>
        <w:ind w:firstLine="480" w:firstLineChars="200"/>
        <w:rPr>
          <w:sz w:val="24"/>
        </w:rPr>
      </w:pPr>
      <w:r>
        <w:rPr>
          <w:rFonts w:hint="eastAsia"/>
          <w:sz w:val="24"/>
        </w:rPr>
        <w:t>当安全威胁事件发生或安全问题影响到业务正常运转后，在接到应急响应需求后2小时内到达现场，采取措施和行动，以最快速度恢复系统的保密性、完整性和可用性，阻止和降低相关事件带来的严重性影响，恢复业务到正常服务状态。调查安全事件发生的原因，避免同类安全事件再次发生。以下为具体服务要求：</w:t>
      </w:r>
    </w:p>
    <w:p>
      <w:pPr>
        <w:spacing w:line="360" w:lineRule="auto"/>
        <w:ind w:firstLine="480" w:firstLineChars="200"/>
        <w:rPr>
          <w:sz w:val="24"/>
        </w:rPr>
      </w:pPr>
      <w:r>
        <w:rPr>
          <w:rFonts w:hint="eastAsia"/>
          <w:sz w:val="24"/>
        </w:rPr>
        <w:t>当入侵或者破坏发生时，对应的处理方法主要的原则是首先保护或恢复计算机、网络服务的正常工作；然后再对入侵者进行追查。因此对于客户紧急事件响应服务主要包括准备、识别事件（判定安全事件类型）、抑制（缩小事件的影响范围）、解决问题、恢复以及后续跟踪。</w:t>
      </w:r>
    </w:p>
    <w:p>
      <w:pPr>
        <w:spacing w:line="360" w:lineRule="auto"/>
        <w:ind w:firstLine="480" w:firstLineChars="200"/>
        <w:rPr>
          <w:sz w:val="24"/>
        </w:rPr>
      </w:pPr>
      <w:r>
        <w:rPr>
          <w:rFonts w:hint="eastAsia"/>
          <w:sz w:val="24"/>
        </w:rPr>
        <w:t>应急响应服务可以在发现信息完全威胁后第一时间进行跟进处理，最大限度的降低安全事故带来的危害，减少安全事故带来的影响，将客户的安全损失降到最低。</w:t>
      </w:r>
    </w:p>
    <w:p>
      <w:pPr>
        <w:spacing w:line="360" w:lineRule="auto"/>
        <w:ind w:firstLine="480" w:firstLineChars="200"/>
        <w:rPr>
          <w:sz w:val="24"/>
        </w:rPr>
      </w:pPr>
      <w:r>
        <w:rPr>
          <w:rFonts w:hint="eastAsia"/>
          <w:sz w:val="24"/>
        </w:rPr>
        <w:t>1、及时解决安全故障，修复系统，使客户网络和信息服务恢复正常运行，尽可能挽回或减少损失；</w:t>
      </w:r>
    </w:p>
    <w:p>
      <w:pPr>
        <w:spacing w:line="360" w:lineRule="auto"/>
        <w:ind w:firstLine="480" w:firstLineChars="200"/>
        <w:rPr>
          <w:sz w:val="24"/>
        </w:rPr>
      </w:pPr>
      <w:r>
        <w:rPr>
          <w:rFonts w:hint="eastAsia"/>
          <w:sz w:val="24"/>
        </w:rPr>
        <w:t>2、对安全故障发生的系统作安全检查和清理工作，保证信息系统安全；</w:t>
      </w:r>
    </w:p>
    <w:p>
      <w:pPr>
        <w:spacing w:line="360" w:lineRule="auto"/>
        <w:ind w:firstLine="480" w:firstLineChars="200"/>
        <w:rPr>
          <w:sz w:val="24"/>
        </w:rPr>
      </w:pPr>
      <w:r>
        <w:rPr>
          <w:rFonts w:hint="eastAsia"/>
          <w:sz w:val="24"/>
        </w:rPr>
        <w:t>3、弥补安全故障发生系统上的安全漏洞，加强安全保护措施，防止类似事件的再次发生；</w:t>
      </w:r>
    </w:p>
    <w:p>
      <w:pPr>
        <w:spacing w:line="360" w:lineRule="auto"/>
        <w:ind w:firstLine="480" w:firstLineChars="200"/>
        <w:rPr>
          <w:sz w:val="24"/>
        </w:rPr>
      </w:pPr>
      <w:r>
        <w:rPr>
          <w:rFonts w:hint="eastAsia"/>
          <w:sz w:val="24"/>
        </w:rPr>
        <w:t>4、收集由于安全故障造成的入侵记录、破坏情况、直接损失情况等证据；</w:t>
      </w:r>
    </w:p>
    <w:p>
      <w:pPr>
        <w:spacing w:line="360" w:lineRule="auto"/>
        <w:ind w:firstLine="480" w:firstLineChars="200"/>
        <w:rPr>
          <w:sz w:val="24"/>
        </w:rPr>
      </w:pPr>
      <w:r>
        <w:rPr>
          <w:rFonts w:hint="eastAsia"/>
          <w:sz w:val="24"/>
        </w:rPr>
        <w:t>5、获得服务结果报告，内容包括在应急响应服务中的所遇到的安全问题、安全事故处理过程、处理结果。针对在应急响应服务的所遇到的安全问题、安全事故处理过程、处理结果，汇总形成应急响应服务结果报告，提交给客户。</w:t>
      </w:r>
    </w:p>
    <w:p>
      <w:pPr>
        <w:pStyle w:val="7"/>
        <w:spacing w:before="0" w:after="0" w:line="360" w:lineRule="auto"/>
        <w:ind w:left="0" w:firstLine="482"/>
        <w:jc w:val="both"/>
        <w:rPr>
          <w:sz w:val="24"/>
        </w:rPr>
      </w:pPr>
      <w:r>
        <w:rPr>
          <w:rFonts w:hint="eastAsia" w:ascii="Times New Roman" w:hAnsi="Times New Roman" w:eastAsia="宋体" w:cs="Times New Roman"/>
          <w:sz w:val="24"/>
          <w:szCs w:val="24"/>
        </w:rPr>
        <w:t>6）入侵检测防护服务</w:t>
      </w:r>
    </w:p>
    <w:p>
      <w:pPr>
        <w:spacing w:line="360" w:lineRule="auto"/>
        <w:ind w:firstLine="480" w:firstLineChars="200"/>
        <w:rPr>
          <w:sz w:val="24"/>
        </w:rPr>
      </w:pPr>
      <w:r>
        <w:rPr>
          <w:rFonts w:hint="eastAsia"/>
          <w:sz w:val="24"/>
        </w:rPr>
        <w:t>入侵检测防护服务结合了监测、识别和应对数据威胁，为数据提供了多层面、全方位的安全保障。能够实现从预警到实时干预的完整防护链路，有效降低遭受攻击的风险。具体服务内容如下：</w:t>
      </w:r>
    </w:p>
    <w:p>
      <w:pPr>
        <w:spacing w:line="360" w:lineRule="auto"/>
        <w:ind w:firstLine="480" w:firstLineChars="200"/>
        <w:rPr>
          <w:sz w:val="24"/>
        </w:rPr>
      </w:pPr>
      <w:r>
        <w:rPr>
          <w:rFonts w:hint="eastAsia"/>
          <w:sz w:val="24"/>
        </w:rPr>
        <w:t>1、采用旁路部署的模式接入网络，不改变组网结构，通过镜像流量智能分析，不对正常业务造成干扰。</w:t>
      </w:r>
    </w:p>
    <w:p>
      <w:pPr>
        <w:spacing w:line="360" w:lineRule="auto"/>
        <w:ind w:firstLine="480" w:firstLineChars="200"/>
        <w:rPr>
          <w:sz w:val="24"/>
        </w:rPr>
      </w:pPr>
      <w:r>
        <w:rPr>
          <w:rFonts w:hint="eastAsia"/>
          <w:sz w:val="24"/>
        </w:rPr>
        <w:t>2、采用先进的SSL证书认证技术，构筑坚实可靠的HTTPS安全链接，确保数据传输的完整性与机密性，深度加密防护</w:t>
      </w:r>
    </w:p>
    <w:p>
      <w:pPr>
        <w:spacing w:line="360" w:lineRule="auto"/>
        <w:ind w:firstLine="480" w:firstLineChars="200"/>
        <w:rPr>
          <w:sz w:val="24"/>
        </w:rPr>
      </w:pPr>
      <w:r>
        <w:rPr>
          <w:rFonts w:hint="eastAsia"/>
          <w:sz w:val="24"/>
        </w:rPr>
        <w:t>3、支持主动呈现给用户的操作提示信息，帮助用户更好地理解和使用产品中的特定功能或完成特定任务。</w:t>
      </w:r>
    </w:p>
    <w:p>
      <w:pPr>
        <w:spacing w:line="360" w:lineRule="auto"/>
        <w:ind w:firstLine="480" w:firstLineChars="200"/>
        <w:rPr>
          <w:sz w:val="24"/>
        </w:rPr>
      </w:pPr>
      <w:r>
        <w:rPr>
          <w:rFonts w:hint="eastAsia"/>
          <w:sz w:val="24"/>
        </w:rPr>
        <w:t>4、利用网络安全技术和算法，对设备的网络和流量进行实时探测和分析，及时发现对设备的攻击或扫描行为。</w:t>
      </w:r>
    </w:p>
    <w:p>
      <w:pPr>
        <w:spacing w:line="360" w:lineRule="auto"/>
        <w:ind w:firstLine="480" w:firstLineChars="200"/>
        <w:rPr>
          <w:sz w:val="24"/>
        </w:rPr>
      </w:pPr>
      <w:r>
        <w:rPr>
          <w:rFonts w:hint="eastAsia"/>
          <w:sz w:val="24"/>
        </w:rPr>
        <w:t>5、实时监测和分析网络流量以及设备行为，能够对攻击行为进行准确判断，根据预定的警报规则和算法，对异常情况进行预警，并提供系统捕捉到的相关异常信息，包括风险IP、风险等级、预警时间等。</w:t>
      </w:r>
    </w:p>
    <w:p>
      <w:pPr>
        <w:spacing w:line="360" w:lineRule="auto"/>
        <w:ind w:firstLine="480" w:firstLineChars="200"/>
        <w:rPr>
          <w:sz w:val="24"/>
        </w:rPr>
      </w:pPr>
      <w:r>
        <w:rPr>
          <w:rFonts w:hint="eastAsia"/>
          <w:sz w:val="24"/>
        </w:rPr>
        <w:t>6、支持自学习主动屏蔽功能，采用大流量的智能分析技术，对含有漏洞探测行为的流量进行防护，使其无法获取到目的资产的漏洞信息。</w:t>
      </w:r>
    </w:p>
    <w:p>
      <w:pPr>
        <w:spacing w:line="360" w:lineRule="auto"/>
        <w:ind w:firstLine="480" w:firstLineChars="200"/>
        <w:rPr>
          <w:sz w:val="24"/>
        </w:rPr>
      </w:pPr>
      <w:r>
        <w:rPr>
          <w:rFonts w:hint="eastAsia"/>
          <w:sz w:val="24"/>
        </w:rPr>
        <w:t>7、基于高频触发、部分爬虫行为的风险分析。采用流量分析手段识别恶意工具的访问扫描行为。</w:t>
      </w:r>
    </w:p>
    <w:p>
      <w:pPr>
        <w:spacing w:line="360" w:lineRule="auto"/>
        <w:ind w:firstLine="480" w:firstLineChars="200"/>
        <w:rPr>
          <w:sz w:val="24"/>
        </w:rPr>
      </w:pPr>
      <w:r>
        <w:rPr>
          <w:rFonts w:hint="eastAsia"/>
          <w:sz w:val="24"/>
        </w:rPr>
        <w:t>8、基于规则库的攻击行为分析，库内支持30w+规则，采用漏洞规则比对手段检测中间件、系统框架、数据库、病毒木马等恶意攻击行为。</w:t>
      </w:r>
    </w:p>
    <w:p>
      <w:pPr>
        <w:spacing w:line="360" w:lineRule="auto"/>
        <w:ind w:firstLine="480" w:firstLineChars="200"/>
        <w:rPr>
          <w:sz w:val="24"/>
        </w:rPr>
      </w:pPr>
      <w:r>
        <w:rPr>
          <w:rFonts w:hint="eastAsia"/>
          <w:sz w:val="24"/>
        </w:rPr>
        <w:t>9、支持在IP路由协议(RIP、IGRP、OSPF、IS-IS、BGP、MPLS-VPN）下实现漏洞自动屏蔽。</w:t>
      </w:r>
    </w:p>
    <w:p>
      <w:pPr>
        <w:spacing w:line="360" w:lineRule="auto"/>
        <w:ind w:firstLine="480" w:firstLineChars="200"/>
        <w:rPr>
          <w:sz w:val="24"/>
        </w:rPr>
      </w:pPr>
      <w:r>
        <w:rPr>
          <w:rFonts w:hint="eastAsia"/>
          <w:sz w:val="24"/>
        </w:rPr>
        <w:t>10、支持大流量40/60/80G吞吐量。</w:t>
      </w:r>
    </w:p>
    <w:p>
      <w:pPr>
        <w:spacing w:line="360" w:lineRule="auto"/>
        <w:ind w:firstLine="480" w:firstLineChars="200"/>
        <w:rPr>
          <w:sz w:val="24"/>
        </w:rPr>
      </w:pPr>
      <w:r>
        <w:rPr>
          <w:rFonts w:hint="eastAsia"/>
          <w:sz w:val="24"/>
        </w:rPr>
        <w:t>11、支持手动录入或自动发现风险IP信息，能够更好地进行风险管理和决策制定。</w:t>
      </w:r>
    </w:p>
    <w:p>
      <w:pPr>
        <w:spacing w:line="360" w:lineRule="auto"/>
        <w:ind w:firstLine="480" w:firstLineChars="200"/>
        <w:rPr>
          <w:sz w:val="24"/>
        </w:rPr>
      </w:pPr>
      <w:r>
        <w:rPr>
          <w:rFonts w:hint="eastAsia"/>
          <w:sz w:val="24"/>
        </w:rPr>
        <w:t>12、支持对内网重要网段进行批量上传防护，对导入的数据进行解析、验证，结合安全策略和规则，对导入的数据划分“隔离”和“放行”。</w:t>
      </w:r>
    </w:p>
    <w:p>
      <w:pPr>
        <w:spacing w:line="360" w:lineRule="auto"/>
        <w:ind w:firstLine="480" w:firstLineChars="200"/>
        <w:rPr>
          <w:sz w:val="24"/>
        </w:rPr>
      </w:pPr>
      <w:r>
        <w:rPr>
          <w:rFonts w:hint="eastAsia"/>
          <w:sz w:val="24"/>
        </w:rPr>
        <w:t>13、数据下发：支持管理员手动触发同步配置，将已调整更新的数据同步给后端程序。</w:t>
      </w:r>
    </w:p>
    <w:p>
      <w:pPr>
        <w:spacing w:line="360" w:lineRule="auto"/>
        <w:ind w:firstLine="480" w:firstLineChars="200"/>
        <w:rPr>
          <w:sz w:val="24"/>
        </w:rPr>
      </w:pPr>
      <w:r>
        <w:rPr>
          <w:rFonts w:hint="eastAsia"/>
          <w:sz w:val="24"/>
        </w:rPr>
        <w:t>14、双向阻断：同步双向监听外网发起的攻击、访问、扫描行为，监听内网硬件设备是否存在被攻击的风险，双向监听提高程序的可靠性、网络的安全性。</w:t>
      </w:r>
    </w:p>
    <w:p>
      <w:pPr>
        <w:spacing w:line="360" w:lineRule="auto"/>
        <w:ind w:firstLine="480" w:firstLineChars="200"/>
        <w:rPr>
          <w:sz w:val="24"/>
        </w:rPr>
      </w:pPr>
      <w:r>
        <w:rPr>
          <w:rFonts w:hint="eastAsia"/>
          <w:sz w:val="24"/>
        </w:rPr>
        <w:t>15、支持内网防护配置列表，对列表内IP开启漏洞防护功能，对蜜罐、诱饵、仿真类主机不加入防护列表。</w:t>
      </w:r>
    </w:p>
    <w:p>
      <w:pPr>
        <w:spacing w:line="360" w:lineRule="auto"/>
        <w:ind w:firstLine="480" w:firstLineChars="200"/>
        <w:rPr>
          <w:sz w:val="24"/>
        </w:rPr>
      </w:pPr>
      <w:r>
        <w:rPr>
          <w:rFonts w:hint="eastAsia"/>
          <w:sz w:val="24"/>
        </w:rPr>
        <w:t>16、支持对风险IP进行批量确认标记，一键拦截风险主机攻击行为。</w:t>
      </w:r>
    </w:p>
    <w:p>
      <w:pPr>
        <w:spacing w:line="360" w:lineRule="auto"/>
        <w:ind w:firstLine="480" w:firstLineChars="200"/>
        <w:rPr>
          <w:sz w:val="24"/>
        </w:rPr>
      </w:pPr>
      <w:r>
        <w:rPr>
          <w:rFonts w:hint="eastAsia"/>
          <w:sz w:val="24"/>
        </w:rPr>
        <w:t>支持配置风险白名单，允许部分IP进入内网扫描。应用于内网自查漏洞风险、内网存在探测设备等场景。</w:t>
      </w:r>
    </w:p>
    <w:p>
      <w:pPr>
        <w:spacing w:line="360" w:lineRule="auto"/>
        <w:ind w:firstLine="480" w:firstLineChars="200"/>
        <w:rPr>
          <w:sz w:val="24"/>
        </w:rPr>
      </w:pPr>
      <w:r>
        <w:rPr>
          <w:rFonts w:hint="eastAsia"/>
          <w:sz w:val="24"/>
        </w:rPr>
        <w:t>17、二次扫描：支持自定义扫描功能，开启后自动执行二次扫描机制，降低漏报率。</w:t>
      </w:r>
    </w:p>
    <w:p>
      <w:pPr>
        <w:spacing w:line="360" w:lineRule="auto"/>
        <w:ind w:firstLine="480" w:firstLineChars="200"/>
        <w:rPr>
          <w:sz w:val="24"/>
        </w:rPr>
      </w:pPr>
      <w:r>
        <w:rPr>
          <w:rFonts w:hint="eastAsia"/>
          <w:sz w:val="24"/>
        </w:rPr>
        <w:t>18、支持拦截内部横向攻击。</w:t>
      </w:r>
    </w:p>
    <w:p>
      <w:pPr>
        <w:spacing w:line="360" w:lineRule="auto"/>
        <w:ind w:firstLine="480" w:firstLineChars="200"/>
        <w:rPr>
          <w:sz w:val="24"/>
        </w:rPr>
      </w:pPr>
      <w:r>
        <w:rPr>
          <w:rFonts w:hint="eastAsia"/>
          <w:sz w:val="24"/>
        </w:rPr>
        <w:t>19、支持分析未拦截风险IP数量、已拦截风险IP数量、是否标记的风险IP数量等。</w:t>
      </w:r>
    </w:p>
    <w:p>
      <w:pPr>
        <w:pStyle w:val="7"/>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7）主动安全防护服务</w:t>
      </w:r>
    </w:p>
    <w:p>
      <w:pPr>
        <w:spacing w:line="360" w:lineRule="auto"/>
        <w:ind w:firstLine="480" w:firstLineChars="200"/>
        <w:rPr>
          <w:sz w:val="24"/>
        </w:rPr>
      </w:pPr>
      <w:r>
        <w:rPr>
          <w:rFonts w:hint="eastAsia"/>
          <w:sz w:val="24"/>
        </w:rPr>
        <w:t>主动安全防护服务采用一种模拟真实数据安全漏洞的技术手段，通过构建与实际软件系统中存在的安全漏洞相似的环境和条件，以便数据安全专家可以在受控环境中重现这些漏洞的行为特征，达到验证漏洞存在性、评估风险程度、测试防护措施有效性，实现开发修复的策略以及屏蔽手段。具体服务内容如下：</w:t>
      </w:r>
    </w:p>
    <w:p>
      <w:pPr>
        <w:spacing w:line="360" w:lineRule="auto"/>
        <w:ind w:firstLine="480" w:firstLineChars="200"/>
        <w:rPr>
          <w:sz w:val="24"/>
        </w:rPr>
      </w:pPr>
      <w:r>
        <w:rPr>
          <w:rFonts w:hint="eastAsia"/>
          <w:sz w:val="24"/>
        </w:rPr>
        <w:t>1、采用旁路部署模式接入网络，无需对原始的网络架构和业务流程进行任何修改，不干扰正常业务运行对网络流量进行捕获和分析。</w:t>
      </w:r>
    </w:p>
    <w:p>
      <w:pPr>
        <w:spacing w:line="360" w:lineRule="auto"/>
        <w:ind w:firstLine="480" w:firstLineChars="200"/>
        <w:rPr>
          <w:sz w:val="24"/>
        </w:rPr>
      </w:pPr>
      <w:r>
        <w:rPr>
          <w:rFonts w:hint="eastAsia"/>
          <w:sz w:val="24"/>
        </w:rPr>
        <w:t>2、在攻击者入侵的关键路径上部署诱饵和节点，不占用业务环境内实际资源，诱导攻击者转移攻击目标进入与真实网络隔离的蜜网。</w:t>
      </w:r>
    </w:p>
    <w:p>
      <w:pPr>
        <w:spacing w:line="360" w:lineRule="auto"/>
        <w:ind w:firstLine="480" w:firstLineChars="200"/>
        <w:rPr>
          <w:sz w:val="24"/>
        </w:rPr>
      </w:pPr>
      <w:r>
        <w:rPr>
          <w:rFonts w:hint="eastAsia"/>
          <w:sz w:val="24"/>
        </w:rPr>
        <w:t>3、不改变本地现有资源情况下，虚拟出泛漏洞信息散布，扩散业务量将真实业务藏身于虚拟环境内。</w:t>
      </w:r>
    </w:p>
    <w:p>
      <w:pPr>
        <w:spacing w:line="360" w:lineRule="auto"/>
        <w:ind w:firstLine="480" w:firstLineChars="200"/>
        <w:rPr>
          <w:sz w:val="24"/>
        </w:rPr>
      </w:pPr>
      <w:r>
        <w:rPr>
          <w:rFonts w:hint="eastAsia"/>
          <w:sz w:val="24"/>
        </w:rPr>
        <w:t>4、自动虚拟泛业务场景，包括但不限于服务器数量、业务网站数量、资产数量、访问数量等，扩大虚拟业务数据量弱化真实业务的存在。</w:t>
      </w:r>
    </w:p>
    <w:p>
      <w:pPr>
        <w:spacing w:line="360" w:lineRule="auto"/>
        <w:ind w:firstLine="480" w:firstLineChars="200"/>
        <w:rPr>
          <w:sz w:val="24"/>
        </w:rPr>
      </w:pPr>
      <w:r>
        <w:rPr>
          <w:rFonts w:hint="eastAsia"/>
          <w:sz w:val="24"/>
        </w:rPr>
        <w:t>5、虚拟服务依托于本机环境，不占用实际业务资源。</w:t>
      </w:r>
    </w:p>
    <w:p>
      <w:pPr>
        <w:spacing w:line="360" w:lineRule="auto"/>
        <w:ind w:firstLine="480" w:firstLineChars="200"/>
        <w:rPr>
          <w:sz w:val="24"/>
        </w:rPr>
      </w:pPr>
      <w:r>
        <w:rPr>
          <w:rFonts w:hint="eastAsia"/>
          <w:sz w:val="24"/>
        </w:rPr>
        <w:t>6、通过精确模拟单位环境中的业务流程和数据流，伪装真实业务场景。</w:t>
      </w:r>
    </w:p>
    <w:p>
      <w:pPr>
        <w:spacing w:line="360" w:lineRule="auto"/>
        <w:ind w:firstLine="480" w:firstLineChars="200"/>
        <w:rPr>
          <w:sz w:val="24"/>
        </w:rPr>
      </w:pPr>
      <w:r>
        <w:rPr>
          <w:rFonts w:hint="eastAsia"/>
          <w:sz w:val="24"/>
        </w:rPr>
        <w:t>7、使用虚拟化技术模拟出具有已知漏洞特征的系统环境，引诱黑客攻击流量。</w:t>
      </w:r>
    </w:p>
    <w:p>
      <w:pPr>
        <w:spacing w:line="360" w:lineRule="auto"/>
        <w:ind w:firstLine="480" w:firstLineChars="200"/>
        <w:rPr>
          <w:sz w:val="24"/>
        </w:rPr>
      </w:pPr>
      <w:r>
        <w:rPr>
          <w:rFonts w:hint="eastAsia"/>
          <w:sz w:val="24"/>
        </w:rPr>
        <w:t>8、通过专利技术识别具有异常的行为特征的流量，引导流量优先走向虚拟业务、仿真漏洞内。</w:t>
      </w:r>
    </w:p>
    <w:p>
      <w:pPr>
        <w:spacing w:line="360" w:lineRule="auto"/>
        <w:ind w:firstLine="480" w:firstLineChars="200"/>
        <w:rPr>
          <w:sz w:val="24"/>
        </w:rPr>
      </w:pPr>
      <w:r>
        <w:rPr>
          <w:rFonts w:hint="eastAsia"/>
          <w:sz w:val="24"/>
        </w:rPr>
        <w:t>9、实时监听诱饵、沙箱以及各个节点的失陷状态，即是否被未经授权的第三方入侵或控制。</w:t>
      </w:r>
    </w:p>
    <w:p>
      <w:pPr>
        <w:spacing w:line="360" w:lineRule="auto"/>
        <w:ind w:firstLine="480" w:firstLineChars="200"/>
        <w:rPr>
          <w:sz w:val="24"/>
        </w:rPr>
      </w:pPr>
      <w:r>
        <w:rPr>
          <w:rFonts w:hint="eastAsia"/>
          <w:sz w:val="24"/>
        </w:rPr>
        <w:t>10、发现攻击者触发仿真系统节点，其所有操作都会被详细记录，包括使用的工具、策略、路径以及尝试执行的恶意代码等。</w:t>
      </w:r>
    </w:p>
    <w:p>
      <w:pPr>
        <w:spacing w:line="360" w:lineRule="auto"/>
        <w:ind w:firstLine="480" w:firstLineChars="200"/>
        <w:rPr>
          <w:sz w:val="24"/>
        </w:rPr>
      </w:pPr>
      <w:r>
        <w:rPr>
          <w:rFonts w:hint="eastAsia"/>
          <w:sz w:val="24"/>
        </w:rPr>
        <w:t>11、当攻击者成功踏入仿真漏洞，系统会触发实时告警机制并在平台内留痕。</w:t>
      </w:r>
    </w:p>
    <w:p>
      <w:pPr>
        <w:spacing w:line="360" w:lineRule="auto"/>
        <w:ind w:firstLine="480" w:firstLineChars="200"/>
        <w:rPr>
          <w:sz w:val="24"/>
        </w:rPr>
      </w:pPr>
      <w:r>
        <w:rPr>
          <w:rFonts w:hint="eastAsia"/>
          <w:sz w:val="24"/>
        </w:rPr>
        <w:t>12、对系统收集到的日志数据进行自动化的分析，判断攻击者的行为模式、访问的URL、端口等信息，可以生成攻击者画像或行为路径。</w:t>
      </w:r>
    </w:p>
    <w:p>
      <w:pPr>
        <w:spacing w:line="360" w:lineRule="auto"/>
        <w:ind w:firstLine="480" w:firstLineChars="200"/>
        <w:rPr>
          <w:sz w:val="24"/>
        </w:rPr>
      </w:pPr>
      <w:r>
        <w:rPr>
          <w:rFonts w:hint="eastAsia"/>
          <w:sz w:val="24"/>
        </w:rPr>
        <w:t>13、精准识别互联网/内网的URL攻击行为并将检测信息转为风险记录保存，系统会针对URL攻击做出虚拟漏洞响应行为。</w:t>
      </w:r>
    </w:p>
    <w:p>
      <w:pPr>
        <w:spacing w:line="360" w:lineRule="auto"/>
        <w:ind w:firstLine="480" w:firstLineChars="200"/>
        <w:rPr>
          <w:sz w:val="24"/>
        </w:rPr>
      </w:pPr>
      <w:r>
        <w:rPr>
          <w:rFonts w:hint="eastAsia"/>
          <w:sz w:val="24"/>
        </w:rPr>
        <w:t>14、将恶意程序与命令、文本、工具等正常程序捆绑成一个文件，并通过伪装漏洞、虚拟业务等方式发送给攻击者。</w:t>
      </w:r>
    </w:p>
    <w:p>
      <w:pPr>
        <w:spacing w:line="360" w:lineRule="auto"/>
        <w:ind w:firstLine="480" w:firstLineChars="200"/>
        <w:rPr>
          <w:sz w:val="24"/>
        </w:rPr>
      </w:pPr>
      <w:r>
        <w:rPr>
          <w:rFonts w:hint="eastAsia"/>
          <w:sz w:val="24"/>
        </w:rPr>
        <w:t>15、攻击者执行被伪装的木马程序后，管理设备支持通过木马程序远程控制用户计算机，并在后台建立与服务器的连接。反制手段包括文件操作、进程管理、键盘记录、屏幕监控、摄像头控制、权限访问等。</w:t>
      </w:r>
    </w:p>
    <w:p>
      <w:pPr>
        <w:spacing w:line="360" w:lineRule="auto"/>
        <w:ind w:firstLine="480" w:firstLineChars="200"/>
        <w:rPr>
          <w:sz w:val="24"/>
        </w:rPr>
      </w:pPr>
      <w:r>
        <w:rPr>
          <w:rFonts w:hint="eastAsia"/>
          <w:sz w:val="24"/>
        </w:rPr>
        <w:t>16、支持获取目标计算机上的敏感信息，包括但不限于账号密码、文件资料、设备指纹信息、网址信息、手机号、社交账号等。</w:t>
      </w:r>
    </w:p>
    <w:p>
      <w:pPr>
        <w:pStyle w:val="7"/>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8）安全威胁分析联动服务</w:t>
      </w:r>
    </w:p>
    <w:p>
      <w:pPr>
        <w:spacing w:line="360" w:lineRule="auto"/>
        <w:ind w:firstLine="480" w:firstLineChars="200"/>
        <w:rPr>
          <w:sz w:val="24"/>
        </w:rPr>
      </w:pPr>
      <w:r>
        <w:rPr>
          <w:rFonts w:hint="eastAsia"/>
          <w:sz w:val="24"/>
        </w:rPr>
        <w:t>安全威胁分析联动服务是一种集成化的数据安全防御策略和解决方案，它涵盖了威胁检测、分析、预警以及跨系统、跨部门之间的协同响应机制。通过构建全面的数据安全态势感知体系，将不同来源的数据安全信息进行关联分析，并在发现潜在威胁时，通过智能化、自动化的方式，实现从威胁检测、分析到响应处置的闭环管理，从而增强组织对各类安全威胁的抵御能力及响应效率。具体功能如下：</w:t>
      </w:r>
    </w:p>
    <w:p>
      <w:pPr>
        <w:spacing w:line="360" w:lineRule="auto"/>
        <w:ind w:firstLine="480" w:firstLineChars="200"/>
        <w:rPr>
          <w:sz w:val="24"/>
        </w:rPr>
      </w:pPr>
      <w:r>
        <w:rPr>
          <w:rFonts w:hint="eastAsia"/>
          <w:sz w:val="24"/>
        </w:rPr>
        <w:t>1、支持主流厂商的态势感知、IDS、IPS、蜜罐等安全设备对接并收集互联网风险告警信息，包括威胁情报、攻击行为、漏洞等方面的相关情况。</w:t>
      </w:r>
    </w:p>
    <w:p>
      <w:pPr>
        <w:spacing w:line="360" w:lineRule="auto"/>
        <w:ind w:firstLine="480" w:firstLineChars="200"/>
        <w:rPr>
          <w:sz w:val="24"/>
        </w:rPr>
      </w:pPr>
      <w:r>
        <w:rPr>
          <w:rFonts w:hint="eastAsia"/>
          <w:sz w:val="24"/>
        </w:rPr>
        <w:t>2、系统区分“监测类型设备”和“处理类型设备”，自动对接入设备进行类型和功能区分</w:t>
      </w:r>
    </w:p>
    <w:p>
      <w:pPr>
        <w:spacing w:line="360" w:lineRule="auto"/>
        <w:ind w:firstLine="480" w:firstLineChars="200"/>
        <w:rPr>
          <w:sz w:val="24"/>
        </w:rPr>
      </w:pPr>
      <w:r>
        <w:rPr>
          <w:rFonts w:hint="eastAsia"/>
          <w:sz w:val="24"/>
        </w:rPr>
        <w:t>3、支持对第三方接入设备进行动态连接测试，保障第三方信息的持续收集，快速发现单位网络环境内的异常行为</w:t>
      </w:r>
    </w:p>
    <w:p>
      <w:pPr>
        <w:spacing w:line="360" w:lineRule="auto"/>
        <w:ind w:firstLine="480" w:firstLineChars="200"/>
        <w:rPr>
          <w:sz w:val="24"/>
        </w:rPr>
      </w:pPr>
      <w:r>
        <w:rPr>
          <w:rFonts w:hint="eastAsia"/>
          <w:sz w:val="24"/>
        </w:rPr>
        <w:t>4、提供定制化开发服务，配合客户单位拓宽产品联动领域，对产品新版本或是其他厂商或类型的安全产品进行对接开发</w:t>
      </w:r>
    </w:p>
    <w:p>
      <w:pPr>
        <w:spacing w:line="360" w:lineRule="auto"/>
        <w:ind w:firstLine="480" w:firstLineChars="200"/>
        <w:rPr>
          <w:sz w:val="24"/>
        </w:rPr>
      </w:pPr>
      <w:r>
        <w:rPr>
          <w:rFonts w:hint="eastAsia"/>
          <w:sz w:val="24"/>
        </w:rPr>
        <w:t>5、支持对接入信息进行数据识别分析，列举展示更加名称、源目地址、源目端口、协议等。</w:t>
      </w:r>
    </w:p>
    <w:p>
      <w:pPr>
        <w:spacing w:line="360" w:lineRule="auto"/>
        <w:ind w:firstLine="480" w:firstLineChars="200"/>
        <w:rPr>
          <w:sz w:val="24"/>
        </w:rPr>
      </w:pPr>
      <w:r>
        <w:rPr>
          <w:rFonts w:hint="eastAsia"/>
          <w:sz w:val="24"/>
        </w:rPr>
        <w:t>6、支持对异常告警信息的内容进行判断，通过内部核心动态数据分析技术实现数据来源定位，危险等级判断。</w:t>
      </w:r>
    </w:p>
    <w:p>
      <w:pPr>
        <w:spacing w:line="360" w:lineRule="auto"/>
        <w:ind w:firstLine="480" w:firstLineChars="200"/>
        <w:rPr>
          <w:sz w:val="24"/>
        </w:rPr>
      </w:pPr>
      <w:r>
        <w:rPr>
          <w:rFonts w:hint="eastAsia"/>
          <w:sz w:val="24"/>
        </w:rPr>
        <w:t>7、通过第三方对接收集到的数据包，对多条数据包进行大规模数据处理、数据清洗和数据分析，比较字段值的相似度和重复性，经过拆分、搭建、选择、重组、整合流程，将多条有效信息组合成一条新的风险告警数据信息进行展示。</w:t>
      </w:r>
    </w:p>
    <w:p>
      <w:pPr>
        <w:spacing w:line="360" w:lineRule="auto"/>
        <w:ind w:firstLine="480" w:firstLineChars="200"/>
        <w:rPr>
          <w:sz w:val="24"/>
        </w:rPr>
      </w:pPr>
      <w:r>
        <w:rPr>
          <w:rFonts w:hint="eastAsia"/>
          <w:sz w:val="24"/>
        </w:rPr>
        <w:t>8、支持调动处置设备，自动对已发现的异常风险进行快速处置，并在风险处置页面记录相关风险信息，包括风险IP、风险类型、风险来源、处置设备、处置结果等信息。</w:t>
      </w:r>
    </w:p>
    <w:p>
      <w:pPr>
        <w:spacing w:line="360" w:lineRule="auto"/>
        <w:ind w:firstLine="480" w:firstLineChars="200"/>
        <w:rPr>
          <w:sz w:val="24"/>
        </w:rPr>
      </w:pPr>
      <w:r>
        <w:rPr>
          <w:rFonts w:hint="eastAsia"/>
          <w:sz w:val="24"/>
        </w:rPr>
        <w:t>9、支持自主新增风险IP进行提前预防，增加客户对网络环境的把控和灵活应对的手段</w:t>
      </w:r>
    </w:p>
    <w:p>
      <w:pPr>
        <w:spacing w:line="360" w:lineRule="auto"/>
        <w:ind w:firstLine="480" w:firstLineChars="200"/>
        <w:rPr>
          <w:sz w:val="24"/>
        </w:rPr>
      </w:pPr>
      <w:r>
        <w:rPr>
          <w:rFonts w:hint="eastAsia"/>
          <w:sz w:val="24"/>
        </w:rPr>
        <w:t>10、通过配置内网地址进行防护，对内网地址进行逻辑隔离和试试监测，从而过滤掉来自互联网地址的非法访问和攻击。</w:t>
      </w:r>
    </w:p>
    <w:p>
      <w:pPr>
        <w:spacing w:line="360" w:lineRule="auto"/>
        <w:ind w:firstLine="480" w:firstLineChars="200"/>
        <w:rPr>
          <w:sz w:val="24"/>
        </w:rPr>
      </w:pPr>
      <w:r>
        <w:rPr>
          <w:rFonts w:hint="eastAsia"/>
          <w:sz w:val="24"/>
        </w:rPr>
        <w:t>11、支持配置内网地址白名单，只允许来自白名单的内网地址进行访问和通信，禁止互联网进行访问和通信。</w:t>
      </w:r>
    </w:p>
    <w:p>
      <w:pPr>
        <w:spacing w:line="360" w:lineRule="auto"/>
        <w:ind w:firstLine="480" w:firstLineChars="200"/>
        <w:rPr>
          <w:sz w:val="24"/>
        </w:rPr>
      </w:pPr>
      <w:r>
        <w:rPr>
          <w:rFonts w:hint="eastAsia"/>
          <w:sz w:val="24"/>
        </w:rPr>
        <w:t>12、支持对系统的用户、机构、角色、岗位等参数进行谁当和调整，支持对系统的使用者进行权限划分和管理。</w:t>
      </w:r>
    </w:p>
    <w:p>
      <w:pPr>
        <w:spacing w:line="360" w:lineRule="auto"/>
        <w:ind w:firstLine="480" w:firstLineChars="200"/>
        <w:rPr>
          <w:sz w:val="24"/>
        </w:rPr>
      </w:pPr>
      <w:r>
        <w:rPr>
          <w:rFonts w:hint="eastAsia"/>
          <w:sz w:val="24"/>
        </w:rPr>
        <w:t>13、具备溯源功能，可追踪登录和操作日志，确保用户身份可信，并提供详细的操作记录，以实现对系统安全性和合规性的监控和审计。</w:t>
      </w:r>
    </w:p>
    <w:p>
      <w:pPr>
        <w:spacing w:line="360" w:lineRule="auto"/>
        <w:ind w:firstLine="480" w:firstLineChars="200"/>
        <w:rPr>
          <w:sz w:val="24"/>
        </w:rPr>
      </w:pPr>
      <w:r>
        <w:rPr>
          <w:rFonts w:hint="eastAsia"/>
          <w:sz w:val="24"/>
        </w:rPr>
        <w:t>14、搭配远程网络安全技术专家进行在线服务支撑，支持护网、重保等活动期间提供专业技术指导帮助</w:t>
      </w:r>
    </w:p>
    <w:p>
      <w:pPr>
        <w:spacing w:line="360" w:lineRule="auto"/>
        <w:ind w:firstLine="480" w:firstLineChars="200"/>
        <w:rPr>
          <w:sz w:val="24"/>
        </w:rPr>
      </w:pPr>
      <w:r>
        <w:rPr>
          <w:rFonts w:hint="eastAsia"/>
          <w:sz w:val="24"/>
        </w:rPr>
        <w:t>15、默认配备端口扫描、漏洞排查等安全服务运行模板，通过预先设定特定任务的运行参数、流程和条件，在需要执行相似任务时，用户可以直接选择相应模板，自动应用之前的配置，节省时间和精力，实现线上智能安服。</w:t>
      </w:r>
    </w:p>
    <w:p>
      <w:pPr>
        <w:pStyle w:val="7"/>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9）重保期间人员驻场保障</w:t>
      </w:r>
    </w:p>
    <w:p>
      <w:pPr>
        <w:spacing w:line="360" w:lineRule="auto"/>
        <w:ind w:firstLine="480" w:firstLineChars="200"/>
        <w:rPr>
          <w:sz w:val="24"/>
        </w:rPr>
      </w:pPr>
      <w:r>
        <w:rPr>
          <w:rFonts w:hint="eastAsia"/>
          <w:sz w:val="24"/>
        </w:rPr>
        <w:t>按需不限次/1年，通过派遣1名安全工程师进行重保时期驻场日常运维服务，帮助医院解决日常网络安全工作及问题，以事前检查、事中监测分析和事后响应处置的方式，全面了解网络存在的安全风险和隐患，做到早发现、早处置，避免发生重大网络安全事件，降低/规避客户网络安全风险。并且对日常运维服务进行总结归纳，持续改进和优化整体网络安全技术防护策略，提升整体网络安全防护能力。</w:t>
      </w:r>
    </w:p>
    <w:p>
      <w:pPr>
        <w:spacing w:line="360" w:lineRule="auto"/>
        <w:ind w:firstLine="480" w:firstLineChars="200"/>
        <w:rPr>
          <w:sz w:val="24"/>
        </w:rPr>
      </w:pPr>
      <w:r>
        <w:rPr>
          <w:rFonts w:hint="eastAsia"/>
          <w:sz w:val="24"/>
        </w:rPr>
        <w:t>帮助用户开展系统安全设备的性能指标、功能指标和硬件状态的巡检，记录指标值。根据巡检记录，针对关键链路和节点设备的CPU、内存、磁盘使用率、网络连通性、网络会话连接数、网络流量等指标设置正常运行区间值、异常运行区间值及告警方式，一旦相关指标发生异常，及时进行安全告警。针对监测指标产生的异常告警进行确认、分析，查找异常原因，提供解决方案，协解客户完成安全整改和修复。以下为具体服务要求：</w:t>
      </w:r>
    </w:p>
    <w:p>
      <w:pPr>
        <w:spacing w:line="360" w:lineRule="auto"/>
        <w:ind w:firstLine="480" w:firstLineChars="200"/>
        <w:rPr>
          <w:sz w:val="24"/>
        </w:rPr>
      </w:pPr>
      <w:r>
        <w:rPr>
          <w:rFonts w:hint="eastAsia"/>
          <w:sz w:val="24"/>
        </w:rPr>
        <w:t>1.对业务系统进行集中运维管理，对身份、访问、权限进行控制。</w:t>
      </w:r>
    </w:p>
    <w:p>
      <w:pPr>
        <w:spacing w:line="360" w:lineRule="auto"/>
        <w:ind w:firstLine="480" w:firstLineChars="200"/>
        <w:rPr>
          <w:sz w:val="24"/>
        </w:rPr>
      </w:pPr>
      <w:r>
        <w:rPr>
          <w:rFonts w:hint="eastAsia"/>
          <w:sz w:val="24"/>
        </w:rPr>
        <w:t>2.利用收集到的安全日志，结合资产信息等实际情况，分析数据关联关系，挖掘出有价值的网络攻击、运行故障等信息，及时开展相应的处置工作。</w:t>
      </w:r>
    </w:p>
    <w:p>
      <w:pPr>
        <w:spacing w:line="360" w:lineRule="auto"/>
        <w:ind w:firstLine="480" w:firstLineChars="200"/>
        <w:rPr>
          <w:sz w:val="24"/>
        </w:rPr>
      </w:pPr>
      <w:r>
        <w:rPr>
          <w:rFonts w:hint="eastAsia"/>
          <w:sz w:val="24"/>
        </w:rPr>
        <w:t>3.结合实际业务安全需求，对现有安全策略进行差距分析，发现策略缺失、策略冗余、策略未废止等问题，并制定相应工作方案开展定期策略优化。</w:t>
      </w:r>
    </w:p>
    <w:p>
      <w:pPr>
        <w:spacing w:line="360" w:lineRule="auto"/>
        <w:ind w:firstLine="480" w:firstLineChars="200"/>
        <w:rPr>
          <w:sz w:val="24"/>
        </w:rPr>
      </w:pPr>
      <w:r>
        <w:rPr>
          <w:rFonts w:hint="eastAsia"/>
          <w:sz w:val="24"/>
        </w:rPr>
        <w:t>4.针对安全防护体系中构建的安全产品，在运行过程中所进行的一系列常态化维护工作，包括设备运行安全监测、设备运行安全审计、设备及策略备份更新等工作。</w:t>
      </w:r>
    </w:p>
    <w:p>
      <w:pPr>
        <w:pStyle w:val="6"/>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（2）渗透、漏扫等安全服务</w:t>
      </w:r>
    </w:p>
    <w:p>
      <w:pPr>
        <w:pStyle w:val="7"/>
        <w:spacing w:before="0" w:after="0" w:line="360" w:lineRule="auto"/>
        <w:ind w:left="0" w:firstLine="482"/>
        <w:jc w:val="both"/>
        <w:rPr>
          <w:rFonts w:ascii="Times New Roman" w:hAnsi="Times New Roman" w:eastAsia="宋体" w:cs="Times New Roman"/>
          <w:sz w:val="24"/>
          <w:szCs w:val="24"/>
        </w:rPr>
      </w:pPr>
      <w:bookmarkStart w:id="67" w:name="OLE_LINK32"/>
      <w:r>
        <w:rPr>
          <w:rFonts w:hint="eastAsia" w:ascii="Times New Roman" w:hAnsi="Times New Roman" w:eastAsia="宋体" w:cs="Times New Roman"/>
          <w:sz w:val="24"/>
          <w:szCs w:val="24"/>
        </w:rPr>
        <w:t>1）</w:t>
      </w:r>
      <w:r>
        <w:rPr>
          <w:rFonts w:ascii="Times New Roman" w:hAnsi="Times New Roman" w:eastAsia="宋体" w:cs="Times New Roman"/>
          <w:sz w:val="24"/>
          <w:szCs w:val="24"/>
        </w:rPr>
        <w:t>服务</w:t>
      </w:r>
      <w:r>
        <w:rPr>
          <w:rFonts w:hint="eastAsia" w:ascii="Times New Roman" w:hAnsi="Times New Roman" w:eastAsia="宋体" w:cs="Times New Roman"/>
          <w:sz w:val="24"/>
          <w:szCs w:val="24"/>
        </w:rPr>
        <w:t>概述</w:t>
      </w:r>
    </w:p>
    <w:bookmarkEnd w:id="67"/>
    <w:p>
      <w:pPr>
        <w:spacing w:line="360" w:lineRule="auto"/>
        <w:ind w:firstLine="480" w:firstLineChars="200"/>
        <w:rPr>
          <w:sz w:val="24"/>
        </w:rPr>
      </w:pPr>
      <w:r>
        <w:rPr>
          <w:sz w:val="24"/>
        </w:rPr>
        <w:t>服务期1年，</w:t>
      </w:r>
      <w:r>
        <w:rPr>
          <w:rFonts w:hint="eastAsia"/>
          <w:sz w:val="24"/>
        </w:rPr>
        <w:t>包含漏洞扫描服务、漏洞挖掘服务、渗透测试服务。</w:t>
      </w:r>
    </w:p>
    <w:p>
      <w:pPr>
        <w:pStyle w:val="7"/>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2）漏洞扫描服务</w:t>
      </w:r>
    </w:p>
    <w:p>
      <w:pPr>
        <w:spacing w:line="360" w:lineRule="auto"/>
        <w:ind w:firstLine="480" w:firstLineChars="200"/>
        <w:rPr>
          <w:sz w:val="24"/>
        </w:rPr>
      </w:pPr>
      <w:r>
        <w:rPr>
          <w:rFonts w:hint="eastAsia"/>
          <w:sz w:val="24"/>
        </w:rPr>
        <w:t>12次/年，数据库、操作系统及中间件作为信息系统的核心组件，其安全性直接关系到整个系统的稳定运行和数据安全。因此，本服务旨在通过专业的安全服务工程师对数据库、操作系统及中间件进行漏洞、端口、弱口令检测，发现潜在的安全风险，并提出整改建议，协助开发人员整改，以提高网络安全性。</w:t>
      </w:r>
    </w:p>
    <w:p>
      <w:pPr>
        <w:spacing w:line="360" w:lineRule="auto"/>
        <w:ind w:firstLine="480" w:firstLineChars="200"/>
        <w:rPr>
          <w:sz w:val="24"/>
        </w:rPr>
      </w:pPr>
      <w:r>
        <w:rPr>
          <w:rFonts w:hint="eastAsia"/>
          <w:sz w:val="24"/>
        </w:rPr>
        <w:t>1）漏洞扫描与检测</w:t>
      </w:r>
    </w:p>
    <w:p>
      <w:pPr>
        <w:spacing w:line="360" w:lineRule="auto"/>
        <w:ind w:firstLine="480" w:firstLineChars="200"/>
        <w:rPr>
          <w:sz w:val="24"/>
        </w:rPr>
      </w:pPr>
      <w:r>
        <w:rPr>
          <w:rFonts w:hint="eastAsia"/>
          <w:sz w:val="24"/>
        </w:rPr>
        <w:t>使用系统漏洞扫描工具对数据库、操作系统、中间件等进行漏洞、端口、弱口令扫描。</w:t>
      </w:r>
    </w:p>
    <w:p>
      <w:pPr>
        <w:spacing w:line="360" w:lineRule="auto"/>
        <w:ind w:firstLine="480" w:firstLineChars="200"/>
        <w:rPr>
          <w:sz w:val="24"/>
        </w:rPr>
      </w:pPr>
      <w:r>
        <w:rPr>
          <w:rFonts w:hint="eastAsia"/>
          <w:sz w:val="24"/>
        </w:rPr>
        <w:t>利用专业级WEB应用扫描工具对被评估对象进行应用检测，以发现网站应用层面可能存在的技术漏洞；包括WEB容器识别，如：Apache、tomcat、Weblogic、WebSphere和Ngix等；支持多种服务端语言探测，如：PHP、JSP、ASP、ASPX和.NET等；支持WEB前端框架探测，如：jQuery、Bootstrap、HTML5等；支持WEB后端开发框架探测，如：Django、Rails、ThinkPHP、Struts等； 支持WEB业务应用探测，如：BBS、CMS和BLOG等（备注：逻辑类漏洞主要通过人工渗透测试完成）支持扫描对象包括：B/S架构类应用漏洞，主要包括：SQL注入、XSS跨站脚本攻击、应用系统弱口令、敏感文件下载、后台用户枚举等。</w:t>
      </w:r>
    </w:p>
    <w:p>
      <w:pPr>
        <w:spacing w:line="360" w:lineRule="auto"/>
        <w:ind w:firstLine="480" w:firstLineChars="200"/>
        <w:rPr>
          <w:sz w:val="24"/>
        </w:rPr>
      </w:pPr>
      <w:r>
        <w:rPr>
          <w:rFonts w:hint="eastAsia"/>
          <w:sz w:val="24"/>
        </w:rPr>
        <w:t>2）漏洞确认与风险评估</w:t>
      </w:r>
    </w:p>
    <w:p>
      <w:pPr>
        <w:spacing w:line="360" w:lineRule="auto"/>
        <w:ind w:firstLine="480" w:firstLineChars="200"/>
        <w:rPr>
          <w:sz w:val="24"/>
        </w:rPr>
      </w:pPr>
      <w:r>
        <w:rPr>
          <w:rFonts w:hint="eastAsia"/>
          <w:sz w:val="24"/>
        </w:rPr>
        <w:t>对扫描发现的漏洞进行确认，排除误报和无效漏洞。对确认的漏洞进行风险评估，确定其潜在的安全威胁和影响范围。</w:t>
      </w:r>
    </w:p>
    <w:p>
      <w:pPr>
        <w:spacing w:line="360" w:lineRule="auto"/>
        <w:ind w:firstLine="480" w:firstLineChars="200"/>
        <w:rPr>
          <w:sz w:val="24"/>
        </w:rPr>
      </w:pPr>
      <w:r>
        <w:rPr>
          <w:rFonts w:hint="eastAsia"/>
          <w:sz w:val="24"/>
        </w:rPr>
        <w:t>3）整改建议与协助</w:t>
      </w:r>
    </w:p>
    <w:p>
      <w:pPr>
        <w:spacing w:line="360" w:lineRule="auto"/>
        <w:ind w:firstLine="480" w:firstLineChars="200"/>
        <w:rPr>
          <w:sz w:val="24"/>
        </w:rPr>
      </w:pPr>
      <w:r>
        <w:rPr>
          <w:rFonts w:hint="eastAsia"/>
          <w:sz w:val="24"/>
        </w:rPr>
        <w:t>根据漏洞的风险评估结果，提出具体的整改建议和改进措施。协助开发人员理解漏洞原理和影响，提供技术支持和整改指导。最后跟踪整改过程，确保漏洞得到及时修复和加固。</w:t>
      </w:r>
    </w:p>
    <w:p>
      <w:pPr>
        <w:spacing w:line="360" w:lineRule="auto"/>
        <w:ind w:firstLine="480" w:firstLineChars="200"/>
        <w:rPr>
          <w:sz w:val="24"/>
        </w:rPr>
      </w:pPr>
      <w:r>
        <w:rPr>
          <w:rFonts w:hint="eastAsia"/>
          <w:sz w:val="24"/>
        </w:rPr>
        <w:t>4、漏洞闭环</w:t>
      </w:r>
    </w:p>
    <w:p>
      <w:pPr>
        <w:spacing w:line="360" w:lineRule="auto"/>
        <w:ind w:firstLine="480" w:firstLineChars="200"/>
        <w:rPr>
          <w:sz w:val="24"/>
        </w:rPr>
      </w:pPr>
      <w:r>
        <w:rPr>
          <w:rFonts w:hint="eastAsia"/>
          <w:sz w:val="24"/>
        </w:rPr>
        <w:t>在协助漏洞修复后，我司会进行一次漏洞复测，验证修复措施是否有效，以及是否还有任何残留的安全风险。通过复测，确保漏洞已经被完全解决，从而保障系统的安全性，最后达到漏洞闭环效果。若复测出漏洞没有被修复完成，继续协助开发人员提供技术支持和整改指导，直至漏洞修复完成。</w:t>
      </w:r>
    </w:p>
    <w:p>
      <w:pPr>
        <w:pStyle w:val="7"/>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3）漏洞挖掘服务</w:t>
      </w:r>
    </w:p>
    <w:p>
      <w:pPr>
        <w:spacing w:line="360" w:lineRule="auto"/>
        <w:ind w:firstLine="480" w:firstLineChars="200"/>
        <w:rPr>
          <w:sz w:val="24"/>
        </w:rPr>
      </w:pPr>
      <w:r>
        <w:rPr>
          <w:rFonts w:hint="eastAsia"/>
          <w:sz w:val="24"/>
        </w:rPr>
        <w:t>提供漏洞挖掘的高级安全服务，深入分析和研究系统的安全性，发现可能被传统自动扫描工具所忽略的复杂或隐蔽的安全漏洞，此漏洞可被利用且出具详细的验证过程。</w:t>
      </w:r>
    </w:p>
    <w:p>
      <w:pPr>
        <w:spacing w:line="360" w:lineRule="auto"/>
        <w:ind w:firstLine="480" w:firstLineChars="200"/>
        <w:rPr>
          <w:sz w:val="24"/>
        </w:rPr>
      </w:pPr>
      <w:r>
        <w:rPr>
          <w:rFonts w:hint="eastAsia"/>
          <w:sz w:val="24"/>
        </w:rPr>
        <w:t>1）可以发现常规测试及市面安全设备及监测设备无法发现和拦截的应用系统逻辑漏洞（大多数据泄露来源）</w:t>
      </w:r>
    </w:p>
    <w:p>
      <w:pPr>
        <w:spacing w:line="360" w:lineRule="auto"/>
        <w:ind w:firstLine="480" w:firstLineChars="200"/>
        <w:rPr>
          <w:sz w:val="24"/>
        </w:rPr>
      </w:pPr>
      <w:r>
        <w:rPr>
          <w:rFonts w:hint="eastAsia"/>
          <w:sz w:val="24"/>
        </w:rPr>
        <w:t>2）发现高可利用的安全漏洞，通过攻防演练视角评估漏洞带来的真实影响</w:t>
      </w:r>
    </w:p>
    <w:p>
      <w:pPr>
        <w:spacing w:line="360" w:lineRule="auto"/>
        <w:ind w:firstLine="480" w:firstLineChars="200"/>
        <w:rPr>
          <w:sz w:val="24"/>
        </w:rPr>
      </w:pPr>
      <w:r>
        <w:rPr>
          <w:rFonts w:hint="eastAsia"/>
          <w:sz w:val="24"/>
        </w:rPr>
        <w:t>3）漏洞等级要求仅限高危具备真实性可复测</w:t>
      </w:r>
    </w:p>
    <w:p>
      <w:pPr>
        <w:spacing w:line="360" w:lineRule="auto"/>
        <w:ind w:firstLine="480" w:firstLineChars="200"/>
        <w:rPr>
          <w:sz w:val="24"/>
        </w:rPr>
      </w:pPr>
      <w:r>
        <w:rPr>
          <w:rFonts w:hint="eastAsia"/>
          <w:sz w:val="24"/>
        </w:rPr>
        <w:t>提供《漏洞挖掘服务报告》</w:t>
      </w:r>
    </w:p>
    <w:p>
      <w:pPr>
        <w:pStyle w:val="7"/>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4）渗透测试服务</w:t>
      </w:r>
    </w:p>
    <w:p>
      <w:pPr>
        <w:spacing w:line="360" w:lineRule="auto"/>
        <w:ind w:firstLine="480" w:firstLineChars="200"/>
        <w:rPr>
          <w:sz w:val="24"/>
        </w:rPr>
      </w:pPr>
      <w:r>
        <w:rPr>
          <w:rFonts w:hint="eastAsia"/>
          <w:sz w:val="24"/>
        </w:rPr>
        <w:t>4次/年。为了确保主机操作系统、数据库及应用系统的安全稳定运行，及时发现并修复潜在的安全漏洞，通过模拟黑客可能使用的攻击技术和漏洞发现技术，对目标系统进行深入的渗透测试。通过黑盒测试方法，我们将全面探测目标系统的安全状况，发现其最脆弱的环节，并帮助用户全面了解自身网络所面临的问题。</w:t>
      </w:r>
    </w:p>
    <w:p>
      <w:pPr>
        <w:spacing w:line="360" w:lineRule="auto"/>
        <w:ind w:firstLine="480" w:firstLineChars="200"/>
        <w:rPr>
          <w:sz w:val="24"/>
        </w:rPr>
      </w:pPr>
      <w:r>
        <w:rPr>
          <w:rFonts w:hint="eastAsia"/>
          <w:sz w:val="24"/>
        </w:rPr>
        <w:t>1）信息收集与分析</w:t>
      </w:r>
    </w:p>
    <w:p>
      <w:pPr>
        <w:spacing w:line="360" w:lineRule="auto"/>
        <w:ind w:firstLine="480" w:firstLineChars="200"/>
        <w:rPr>
          <w:sz w:val="24"/>
        </w:rPr>
      </w:pPr>
      <w:r>
        <w:rPr>
          <w:rFonts w:hint="eastAsia"/>
          <w:sz w:val="24"/>
        </w:rPr>
        <w:t>对目标系统的网络架构、主机操作系统、数据库及应用系统进行全面的信息收集。分析目标系统的安全配置、漏洞情况、权限设置等，为后续渗透测试提供基础数据。</w:t>
      </w:r>
    </w:p>
    <w:p>
      <w:pPr>
        <w:spacing w:line="360" w:lineRule="auto"/>
        <w:ind w:firstLine="480" w:firstLineChars="200"/>
        <w:rPr>
          <w:sz w:val="24"/>
        </w:rPr>
      </w:pPr>
      <w:r>
        <w:rPr>
          <w:rFonts w:hint="eastAsia"/>
          <w:sz w:val="24"/>
        </w:rPr>
        <w:t>2）渗透测试执行</w:t>
      </w:r>
    </w:p>
    <w:p>
      <w:pPr>
        <w:spacing w:line="360" w:lineRule="auto"/>
        <w:ind w:firstLine="480" w:firstLineChars="200"/>
        <w:rPr>
          <w:sz w:val="24"/>
        </w:rPr>
      </w:pPr>
      <w:r>
        <w:rPr>
          <w:rFonts w:hint="eastAsia"/>
          <w:sz w:val="24"/>
        </w:rPr>
        <w:t>利用模拟黑客攻击的技术手段，对目标系统进行黑盒测试。尝试利用已知漏洞和攻击手段，对目标系统进行深入探测和攻击尝试。</w:t>
      </w:r>
    </w:p>
    <w:p>
      <w:pPr>
        <w:spacing w:line="360" w:lineRule="auto"/>
        <w:ind w:firstLine="480" w:firstLineChars="200"/>
        <w:rPr>
          <w:sz w:val="24"/>
        </w:rPr>
      </w:pPr>
      <w:r>
        <w:rPr>
          <w:rFonts w:hint="eastAsia"/>
          <w:sz w:val="24"/>
        </w:rPr>
        <w:t>1、主机操作系统渗透：包括WINDOWS、SOLARIS、AIX、LINUX、SCO、SGI等。</w:t>
      </w:r>
    </w:p>
    <w:p>
      <w:pPr>
        <w:spacing w:line="360" w:lineRule="auto"/>
        <w:ind w:firstLine="480" w:firstLineChars="200"/>
        <w:rPr>
          <w:sz w:val="24"/>
        </w:rPr>
      </w:pPr>
      <w:r>
        <w:rPr>
          <w:rFonts w:hint="eastAsia"/>
          <w:sz w:val="24"/>
        </w:rPr>
        <w:t>2、数据库系统渗透：包括MS-SQL、ORACLE、MYSQL、INFORMIX、SYBASE、DB2等。</w:t>
      </w:r>
    </w:p>
    <w:p>
      <w:pPr>
        <w:spacing w:line="360" w:lineRule="auto"/>
        <w:ind w:firstLine="480" w:firstLineChars="200"/>
        <w:rPr>
          <w:sz w:val="24"/>
        </w:rPr>
      </w:pPr>
      <w:r>
        <w:rPr>
          <w:rFonts w:hint="eastAsia"/>
          <w:sz w:val="24"/>
        </w:rPr>
        <w:t>3、应用系统渗透：对各种应用系统进行渗透测试，如WWW、E-mail、DNS、FTP等。</w:t>
      </w:r>
    </w:p>
    <w:p>
      <w:pPr>
        <w:spacing w:line="360" w:lineRule="auto"/>
        <w:ind w:firstLine="480" w:firstLineChars="200"/>
        <w:rPr>
          <w:sz w:val="24"/>
        </w:rPr>
      </w:pPr>
      <w:r>
        <w:rPr>
          <w:rFonts w:hint="eastAsia"/>
          <w:sz w:val="24"/>
        </w:rPr>
        <w:t>3）漏洞发现与验证</w:t>
      </w:r>
    </w:p>
    <w:p>
      <w:pPr>
        <w:spacing w:line="360" w:lineRule="auto"/>
        <w:ind w:firstLine="480" w:firstLineChars="200"/>
        <w:rPr>
          <w:sz w:val="24"/>
        </w:rPr>
      </w:pPr>
      <w:r>
        <w:rPr>
          <w:rFonts w:hint="eastAsia"/>
          <w:sz w:val="24"/>
        </w:rPr>
        <w:t>在渗透测试过程中，发现并记录目标系统的安全漏洞。对发现的漏洞进行验证，确认其真实性和可利用性。</w:t>
      </w:r>
    </w:p>
    <w:p>
      <w:pPr>
        <w:spacing w:line="360" w:lineRule="auto"/>
        <w:ind w:firstLine="480" w:firstLineChars="200"/>
        <w:rPr>
          <w:sz w:val="24"/>
        </w:rPr>
      </w:pPr>
      <w:r>
        <w:rPr>
          <w:rFonts w:hint="eastAsia"/>
          <w:sz w:val="24"/>
        </w:rPr>
        <w:t>4）安全风险评估</w:t>
      </w:r>
    </w:p>
    <w:p>
      <w:pPr>
        <w:spacing w:line="360" w:lineRule="auto"/>
        <w:ind w:firstLine="480" w:firstLineChars="200"/>
        <w:rPr>
          <w:sz w:val="24"/>
        </w:rPr>
      </w:pPr>
      <w:r>
        <w:rPr>
          <w:rFonts w:hint="eastAsia"/>
          <w:sz w:val="24"/>
        </w:rPr>
        <w:t>对发现的漏洞进行风险评估，确定其潜在的安全威胁和影响范围。分析漏洞的成因和攻击者的可能利用方式，为用户提供详细的安全风险报告。。</w:t>
      </w:r>
    </w:p>
    <w:bookmarkEnd w:id="65"/>
    <w:p>
      <w:pPr>
        <w:pStyle w:val="5"/>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9、</w:t>
      </w:r>
      <w:r>
        <w:rPr>
          <w:rFonts w:ascii="Times New Roman" w:hAnsi="Times New Roman" w:eastAsia="宋体" w:cs="Times New Roman"/>
          <w:sz w:val="24"/>
          <w:szCs w:val="24"/>
        </w:rPr>
        <w:t>等保测评</w:t>
      </w:r>
      <w:r>
        <w:rPr>
          <w:rFonts w:hint="eastAsia" w:ascii="Times New Roman" w:hAnsi="Times New Roman" w:eastAsia="宋体" w:cs="Times New Roman"/>
          <w:sz w:val="24"/>
          <w:szCs w:val="24"/>
        </w:rPr>
        <w:t>及密评</w:t>
      </w:r>
    </w:p>
    <w:tbl>
      <w:tblPr>
        <w:tblStyle w:val="6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4132"/>
        <w:gridCol w:w="2169"/>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vAlign w:val="center"/>
          </w:tcPr>
          <w:p>
            <w:pPr>
              <w:spacing w:line="360" w:lineRule="auto"/>
              <w:jc w:val="center"/>
              <w:rPr>
                <w:b/>
                <w:bCs/>
                <w:sz w:val="24"/>
              </w:rPr>
            </w:pPr>
            <w:bookmarkStart w:id="68" w:name="_Hlk180681643"/>
            <w:r>
              <w:rPr>
                <w:b/>
                <w:bCs/>
                <w:sz w:val="24"/>
              </w:rPr>
              <w:t>序号</w:t>
            </w:r>
          </w:p>
        </w:tc>
        <w:tc>
          <w:tcPr>
            <w:tcW w:w="2225" w:type="pct"/>
            <w:vAlign w:val="center"/>
          </w:tcPr>
          <w:p>
            <w:pPr>
              <w:spacing w:line="360" w:lineRule="auto"/>
              <w:jc w:val="center"/>
              <w:rPr>
                <w:b/>
                <w:bCs/>
                <w:sz w:val="24"/>
              </w:rPr>
            </w:pPr>
            <w:r>
              <w:rPr>
                <w:b/>
                <w:bCs/>
                <w:sz w:val="24"/>
              </w:rPr>
              <w:t>测评对象</w:t>
            </w:r>
          </w:p>
        </w:tc>
        <w:tc>
          <w:tcPr>
            <w:tcW w:w="1168" w:type="pct"/>
            <w:vAlign w:val="center"/>
          </w:tcPr>
          <w:p>
            <w:pPr>
              <w:spacing w:line="360" w:lineRule="auto"/>
              <w:jc w:val="center"/>
              <w:rPr>
                <w:b/>
                <w:bCs/>
                <w:sz w:val="24"/>
              </w:rPr>
            </w:pPr>
            <w:r>
              <w:rPr>
                <w:b/>
                <w:bCs/>
                <w:sz w:val="24"/>
              </w:rPr>
              <w:t>测评等级</w:t>
            </w:r>
          </w:p>
        </w:tc>
        <w:tc>
          <w:tcPr>
            <w:tcW w:w="844" w:type="pct"/>
            <w:vAlign w:val="center"/>
          </w:tcPr>
          <w:p>
            <w:pPr>
              <w:spacing w:line="360" w:lineRule="auto"/>
              <w:jc w:val="center"/>
              <w:rPr>
                <w:b/>
                <w:bCs/>
                <w:sz w:val="24"/>
              </w:rPr>
            </w:pPr>
            <w:r>
              <w:rPr>
                <w:b/>
                <w:bCs/>
                <w:sz w:val="24"/>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vAlign w:val="center"/>
          </w:tcPr>
          <w:p>
            <w:pPr>
              <w:spacing w:line="360" w:lineRule="auto"/>
              <w:jc w:val="center"/>
              <w:rPr>
                <w:sz w:val="24"/>
              </w:rPr>
            </w:pPr>
            <w:r>
              <w:rPr>
                <w:sz w:val="24"/>
              </w:rPr>
              <w:t>1</w:t>
            </w:r>
          </w:p>
        </w:tc>
        <w:tc>
          <w:tcPr>
            <w:tcW w:w="2225" w:type="pct"/>
            <w:vAlign w:val="center"/>
          </w:tcPr>
          <w:p>
            <w:pPr>
              <w:spacing w:line="360" w:lineRule="auto"/>
              <w:jc w:val="center"/>
              <w:rPr>
                <w:sz w:val="24"/>
              </w:rPr>
            </w:pPr>
            <w:r>
              <w:rPr>
                <w:sz w:val="24"/>
              </w:rPr>
              <w:t>面向患者服务系统</w:t>
            </w:r>
          </w:p>
        </w:tc>
        <w:tc>
          <w:tcPr>
            <w:tcW w:w="1168" w:type="pct"/>
            <w:vAlign w:val="center"/>
          </w:tcPr>
          <w:p>
            <w:pPr>
              <w:spacing w:line="360" w:lineRule="auto"/>
              <w:jc w:val="center"/>
              <w:rPr>
                <w:sz w:val="24"/>
              </w:rPr>
            </w:pPr>
            <w:r>
              <w:rPr>
                <w:sz w:val="24"/>
              </w:rPr>
              <w:t>三级等保</w:t>
            </w:r>
          </w:p>
        </w:tc>
        <w:tc>
          <w:tcPr>
            <w:tcW w:w="844" w:type="pct"/>
            <w:vAlign w:val="center"/>
          </w:tcPr>
          <w:p>
            <w:pPr>
              <w:spacing w:line="360" w:lineRule="auto"/>
              <w:jc w:val="center"/>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vAlign w:val="center"/>
          </w:tcPr>
          <w:p>
            <w:pPr>
              <w:spacing w:line="360" w:lineRule="auto"/>
              <w:jc w:val="center"/>
              <w:rPr>
                <w:sz w:val="24"/>
              </w:rPr>
            </w:pPr>
            <w:r>
              <w:rPr>
                <w:sz w:val="24"/>
              </w:rPr>
              <w:t>2</w:t>
            </w:r>
          </w:p>
        </w:tc>
        <w:tc>
          <w:tcPr>
            <w:tcW w:w="2225" w:type="pct"/>
            <w:vAlign w:val="center"/>
          </w:tcPr>
          <w:p>
            <w:pPr>
              <w:spacing w:line="360" w:lineRule="auto"/>
              <w:jc w:val="center"/>
              <w:rPr>
                <w:sz w:val="24"/>
              </w:rPr>
            </w:pPr>
            <w:r>
              <w:rPr>
                <w:sz w:val="24"/>
              </w:rPr>
              <w:t>基础支撑系统</w:t>
            </w:r>
          </w:p>
        </w:tc>
        <w:tc>
          <w:tcPr>
            <w:tcW w:w="1168" w:type="pct"/>
            <w:vAlign w:val="center"/>
          </w:tcPr>
          <w:p>
            <w:pPr>
              <w:spacing w:line="360" w:lineRule="auto"/>
              <w:jc w:val="center"/>
              <w:rPr>
                <w:sz w:val="24"/>
              </w:rPr>
            </w:pPr>
            <w:r>
              <w:rPr>
                <w:sz w:val="24"/>
              </w:rPr>
              <w:t>三级等保</w:t>
            </w:r>
          </w:p>
        </w:tc>
        <w:tc>
          <w:tcPr>
            <w:tcW w:w="844" w:type="pct"/>
            <w:vAlign w:val="center"/>
          </w:tcPr>
          <w:p>
            <w:pPr>
              <w:spacing w:line="360" w:lineRule="auto"/>
              <w:jc w:val="center"/>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vAlign w:val="center"/>
          </w:tcPr>
          <w:p>
            <w:pPr>
              <w:spacing w:line="360" w:lineRule="auto"/>
              <w:jc w:val="center"/>
              <w:rPr>
                <w:sz w:val="24"/>
              </w:rPr>
            </w:pPr>
            <w:r>
              <w:rPr>
                <w:sz w:val="24"/>
              </w:rPr>
              <w:t>3</w:t>
            </w:r>
          </w:p>
        </w:tc>
        <w:tc>
          <w:tcPr>
            <w:tcW w:w="2225" w:type="pct"/>
            <w:vAlign w:val="center"/>
          </w:tcPr>
          <w:p>
            <w:pPr>
              <w:spacing w:line="360" w:lineRule="auto"/>
              <w:jc w:val="center"/>
              <w:rPr>
                <w:sz w:val="24"/>
              </w:rPr>
            </w:pPr>
            <w:r>
              <w:rPr>
                <w:sz w:val="24"/>
              </w:rPr>
              <w:t>门户网站</w:t>
            </w:r>
          </w:p>
        </w:tc>
        <w:tc>
          <w:tcPr>
            <w:tcW w:w="1168" w:type="pct"/>
            <w:vAlign w:val="center"/>
          </w:tcPr>
          <w:p>
            <w:pPr>
              <w:spacing w:line="360" w:lineRule="auto"/>
              <w:jc w:val="center"/>
              <w:rPr>
                <w:sz w:val="24"/>
              </w:rPr>
            </w:pPr>
            <w:r>
              <w:rPr>
                <w:sz w:val="24"/>
              </w:rPr>
              <w:t>二级等保</w:t>
            </w:r>
          </w:p>
        </w:tc>
        <w:tc>
          <w:tcPr>
            <w:tcW w:w="844" w:type="pct"/>
            <w:vAlign w:val="center"/>
          </w:tcPr>
          <w:p>
            <w:pPr>
              <w:spacing w:line="360" w:lineRule="auto"/>
              <w:jc w:val="center"/>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vAlign w:val="center"/>
          </w:tcPr>
          <w:p>
            <w:pPr>
              <w:spacing w:line="360" w:lineRule="auto"/>
              <w:jc w:val="center"/>
              <w:rPr>
                <w:sz w:val="24"/>
              </w:rPr>
            </w:pPr>
            <w:r>
              <w:rPr>
                <w:sz w:val="24"/>
              </w:rPr>
              <w:t>4</w:t>
            </w:r>
          </w:p>
        </w:tc>
        <w:tc>
          <w:tcPr>
            <w:tcW w:w="2225" w:type="pct"/>
            <w:vAlign w:val="center"/>
          </w:tcPr>
          <w:p>
            <w:pPr>
              <w:spacing w:line="360" w:lineRule="auto"/>
              <w:jc w:val="center"/>
              <w:rPr>
                <w:sz w:val="24"/>
              </w:rPr>
            </w:pPr>
            <w:r>
              <w:rPr>
                <w:sz w:val="24"/>
              </w:rPr>
              <w:t>OA办公系统</w:t>
            </w:r>
          </w:p>
        </w:tc>
        <w:tc>
          <w:tcPr>
            <w:tcW w:w="1168" w:type="pct"/>
            <w:vAlign w:val="center"/>
          </w:tcPr>
          <w:p>
            <w:pPr>
              <w:spacing w:line="360" w:lineRule="auto"/>
              <w:jc w:val="center"/>
              <w:rPr>
                <w:sz w:val="24"/>
              </w:rPr>
            </w:pPr>
            <w:r>
              <w:rPr>
                <w:sz w:val="24"/>
              </w:rPr>
              <w:t>二级等保</w:t>
            </w:r>
          </w:p>
        </w:tc>
        <w:tc>
          <w:tcPr>
            <w:tcW w:w="844" w:type="pct"/>
            <w:vAlign w:val="center"/>
          </w:tcPr>
          <w:p>
            <w:pPr>
              <w:spacing w:line="360" w:lineRule="auto"/>
              <w:jc w:val="center"/>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vAlign w:val="center"/>
          </w:tcPr>
          <w:p>
            <w:pPr>
              <w:spacing w:line="360" w:lineRule="auto"/>
              <w:jc w:val="center"/>
              <w:rPr>
                <w:sz w:val="24"/>
              </w:rPr>
            </w:pPr>
            <w:r>
              <w:rPr>
                <w:rFonts w:hint="eastAsia"/>
                <w:sz w:val="24"/>
              </w:rPr>
              <w:t>5</w:t>
            </w:r>
          </w:p>
        </w:tc>
        <w:tc>
          <w:tcPr>
            <w:tcW w:w="2225" w:type="pct"/>
            <w:vAlign w:val="center"/>
          </w:tcPr>
          <w:p>
            <w:pPr>
              <w:spacing w:line="360" w:lineRule="auto"/>
              <w:jc w:val="center"/>
              <w:rPr>
                <w:sz w:val="24"/>
              </w:rPr>
            </w:pPr>
            <w:r>
              <w:rPr>
                <w:rFonts w:hint="eastAsia"/>
                <w:sz w:val="24"/>
              </w:rPr>
              <w:t>机房环境</w:t>
            </w:r>
          </w:p>
        </w:tc>
        <w:tc>
          <w:tcPr>
            <w:tcW w:w="1168" w:type="pct"/>
            <w:vAlign w:val="center"/>
          </w:tcPr>
          <w:p>
            <w:pPr>
              <w:spacing w:line="360" w:lineRule="auto"/>
              <w:jc w:val="center"/>
              <w:rPr>
                <w:sz w:val="24"/>
              </w:rPr>
            </w:pPr>
            <w:r>
              <w:rPr>
                <w:rFonts w:hint="eastAsia"/>
                <w:sz w:val="24"/>
              </w:rPr>
              <w:t>密评</w:t>
            </w:r>
          </w:p>
        </w:tc>
        <w:tc>
          <w:tcPr>
            <w:tcW w:w="844" w:type="pct"/>
            <w:vAlign w:val="center"/>
          </w:tcPr>
          <w:p>
            <w:pPr>
              <w:spacing w:line="360" w:lineRule="auto"/>
              <w:jc w:val="center"/>
              <w:rPr>
                <w:sz w:val="24"/>
              </w:rPr>
            </w:pPr>
            <w:r>
              <w:rPr>
                <w:rFonts w:hint="eastAsia"/>
                <w:sz w:val="24"/>
              </w:rPr>
              <w:t>1</w:t>
            </w:r>
          </w:p>
        </w:tc>
      </w:tr>
      <w:bookmarkEnd w:id="68"/>
    </w:tbl>
    <w:p>
      <w:pPr>
        <w:spacing w:line="360" w:lineRule="auto"/>
        <w:ind w:firstLine="482" w:firstLineChars="200"/>
        <w:rPr>
          <w:b/>
          <w:bCs/>
          <w:sz w:val="24"/>
        </w:rPr>
      </w:pPr>
      <w:r>
        <w:rPr>
          <w:rFonts w:hint="eastAsia"/>
          <w:b/>
          <w:bCs/>
          <w:sz w:val="24"/>
        </w:rPr>
        <w:t>收到采购人通知2个月内完成等保测评，出具测评报告、整改建议书并配合完成备案工作，针对采购人机房环境同步开展密评。</w:t>
      </w:r>
    </w:p>
    <w:p>
      <w:pPr>
        <w:pStyle w:val="5"/>
        <w:spacing w:before="0" w:after="0" w:line="360" w:lineRule="auto"/>
        <w:ind w:left="0" w:firstLine="482"/>
        <w:jc w:val="both"/>
        <w:rPr>
          <w:rFonts w:ascii="Times New Roman" w:hAnsi="Times New Roman" w:eastAsia="宋体" w:cs="Times New Roman"/>
          <w:sz w:val="24"/>
          <w:szCs w:val="24"/>
        </w:rPr>
      </w:pPr>
      <w:bookmarkStart w:id="69" w:name="_Hlk180681670"/>
      <w:r>
        <w:rPr>
          <w:rFonts w:hint="eastAsia" w:ascii="Times New Roman" w:hAnsi="Times New Roman" w:eastAsia="宋体" w:cs="Times New Roman"/>
          <w:sz w:val="24"/>
          <w:szCs w:val="24"/>
        </w:rPr>
        <w:t>10、</w:t>
      </w:r>
      <w:r>
        <w:rPr>
          <w:rFonts w:ascii="Times New Roman" w:hAnsi="Times New Roman" w:eastAsia="宋体" w:cs="Times New Roman"/>
          <w:sz w:val="24"/>
          <w:szCs w:val="24"/>
        </w:rPr>
        <w:t>楼层汇聚交换机</w:t>
      </w:r>
      <w:bookmarkEnd w:id="69"/>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417"/>
        <w:gridCol w:w="789"/>
        <w:gridCol w:w="1415"/>
        <w:gridCol w:w="4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spacing w:line="360" w:lineRule="auto"/>
              <w:rPr>
                <w:b/>
                <w:bCs/>
                <w:sz w:val="24"/>
              </w:rPr>
            </w:pPr>
            <w:bookmarkStart w:id="70" w:name="_Hlk180681678"/>
            <w:r>
              <w:rPr>
                <w:b/>
                <w:bCs/>
                <w:sz w:val="24"/>
              </w:rPr>
              <w:t>序号</w:t>
            </w:r>
          </w:p>
        </w:tc>
        <w:tc>
          <w:tcPr>
            <w:tcW w:w="763" w:type="pct"/>
            <w:vAlign w:val="center"/>
          </w:tcPr>
          <w:p>
            <w:pPr>
              <w:spacing w:line="360" w:lineRule="auto"/>
              <w:rPr>
                <w:b/>
                <w:bCs/>
                <w:sz w:val="24"/>
              </w:rPr>
            </w:pPr>
            <w:r>
              <w:rPr>
                <w:b/>
                <w:bCs/>
                <w:sz w:val="24"/>
              </w:rPr>
              <w:t>设备名称</w:t>
            </w:r>
          </w:p>
        </w:tc>
        <w:tc>
          <w:tcPr>
            <w:tcW w:w="425" w:type="pct"/>
            <w:vAlign w:val="center"/>
          </w:tcPr>
          <w:p>
            <w:pPr>
              <w:spacing w:line="360" w:lineRule="auto"/>
              <w:rPr>
                <w:b/>
                <w:bCs/>
                <w:sz w:val="24"/>
              </w:rPr>
            </w:pPr>
            <w:r>
              <w:rPr>
                <w:b/>
                <w:bCs/>
                <w:sz w:val="24"/>
              </w:rPr>
              <w:t>数量</w:t>
            </w:r>
          </w:p>
        </w:tc>
        <w:tc>
          <w:tcPr>
            <w:tcW w:w="762" w:type="pct"/>
            <w:vAlign w:val="center"/>
          </w:tcPr>
          <w:p>
            <w:pPr>
              <w:spacing w:line="360" w:lineRule="auto"/>
              <w:rPr>
                <w:b/>
                <w:bCs/>
                <w:sz w:val="24"/>
              </w:rPr>
            </w:pPr>
            <w:r>
              <w:rPr>
                <w:b/>
                <w:bCs/>
                <w:sz w:val="24"/>
              </w:rPr>
              <w:t>指标项</w:t>
            </w:r>
          </w:p>
        </w:tc>
        <w:tc>
          <w:tcPr>
            <w:tcW w:w="2629" w:type="pct"/>
          </w:tcPr>
          <w:p>
            <w:pPr>
              <w:spacing w:line="360" w:lineRule="auto"/>
              <w:rPr>
                <w:b/>
                <w:bCs/>
                <w:sz w:val="24"/>
              </w:rPr>
            </w:pPr>
            <w:r>
              <w:rPr>
                <w:b/>
                <w:bCs/>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Merge w:val="restart"/>
            <w:vAlign w:val="center"/>
          </w:tcPr>
          <w:p>
            <w:pPr>
              <w:spacing w:line="360" w:lineRule="auto"/>
              <w:rPr>
                <w:sz w:val="24"/>
              </w:rPr>
            </w:pPr>
            <w:r>
              <w:rPr>
                <w:sz w:val="24"/>
              </w:rPr>
              <w:t>1</w:t>
            </w:r>
          </w:p>
        </w:tc>
        <w:tc>
          <w:tcPr>
            <w:tcW w:w="763" w:type="pct"/>
            <w:vMerge w:val="restart"/>
            <w:vAlign w:val="center"/>
          </w:tcPr>
          <w:p>
            <w:pPr>
              <w:spacing w:line="360" w:lineRule="auto"/>
              <w:rPr>
                <w:sz w:val="24"/>
              </w:rPr>
            </w:pPr>
            <w:r>
              <w:rPr>
                <w:sz w:val="24"/>
              </w:rPr>
              <w:t>楼层汇聚交换机</w:t>
            </w:r>
          </w:p>
        </w:tc>
        <w:tc>
          <w:tcPr>
            <w:tcW w:w="425" w:type="pct"/>
            <w:vMerge w:val="restart"/>
            <w:vAlign w:val="center"/>
          </w:tcPr>
          <w:p>
            <w:pPr>
              <w:spacing w:line="360" w:lineRule="auto"/>
              <w:rPr>
                <w:sz w:val="24"/>
              </w:rPr>
            </w:pPr>
            <w:r>
              <w:rPr>
                <w:sz w:val="24"/>
              </w:rPr>
              <w:t>10台</w:t>
            </w:r>
          </w:p>
        </w:tc>
        <w:tc>
          <w:tcPr>
            <w:tcW w:w="762" w:type="pct"/>
            <w:vAlign w:val="center"/>
          </w:tcPr>
          <w:p>
            <w:pPr>
              <w:spacing w:line="360" w:lineRule="auto"/>
              <w:rPr>
                <w:sz w:val="24"/>
              </w:rPr>
            </w:pPr>
            <w:r>
              <w:rPr>
                <w:sz w:val="24"/>
              </w:rPr>
              <w:t>基本要求</w:t>
            </w:r>
          </w:p>
        </w:tc>
        <w:tc>
          <w:tcPr>
            <w:tcW w:w="2629" w:type="pct"/>
          </w:tcPr>
          <w:p>
            <w:pPr>
              <w:spacing w:line="360" w:lineRule="auto"/>
              <w:rPr>
                <w:sz w:val="24"/>
              </w:rPr>
            </w:pPr>
            <w:r>
              <w:rPr>
                <w:sz w:val="24"/>
              </w:rPr>
              <w:t>交换容量≥2Tbps，包转发率≥700Mpps，以官网最小值为准；</w:t>
            </w:r>
          </w:p>
          <w:p>
            <w:pPr>
              <w:spacing w:line="360" w:lineRule="auto"/>
              <w:rPr>
                <w:sz w:val="24"/>
              </w:rPr>
            </w:pPr>
            <w:r>
              <w:rPr>
                <w:sz w:val="24"/>
              </w:rPr>
              <w:t>万兆光口≥24个，40G光口≥2个，万兆单模光模块≥2个，</w:t>
            </w:r>
          </w:p>
          <w:p>
            <w:pPr>
              <w:spacing w:line="360" w:lineRule="auto"/>
              <w:rPr>
                <w:sz w:val="24"/>
              </w:rPr>
            </w:pPr>
            <w:r>
              <w:rPr>
                <w:sz w:val="24"/>
              </w:rPr>
              <w:t>双电源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Merge w:val="continue"/>
            <w:vAlign w:val="center"/>
          </w:tcPr>
          <w:p>
            <w:pPr>
              <w:spacing w:line="360" w:lineRule="auto"/>
              <w:rPr>
                <w:sz w:val="24"/>
              </w:rPr>
            </w:pPr>
          </w:p>
        </w:tc>
        <w:tc>
          <w:tcPr>
            <w:tcW w:w="763" w:type="pct"/>
            <w:vMerge w:val="continue"/>
            <w:vAlign w:val="center"/>
          </w:tcPr>
          <w:p>
            <w:pPr>
              <w:spacing w:line="360" w:lineRule="auto"/>
              <w:rPr>
                <w:sz w:val="24"/>
              </w:rPr>
            </w:pPr>
          </w:p>
        </w:tc>
        <w:tc>
          <w:tcPr>
            <w:tcW w:w="425" w:type="pct"/>
            <w:vMerge w:val="continue"/>
            <w:vAlign w:val="center"/>
          </w:tcPr>
          <w:p>
            <w:pPr>
              <w:spacing w:line="360" w:lineRule="auto"/>
              <w:rPr>
                <w:sz w:val="24"/>
              </w:rPr>
            </w:pPr>
          </w:p>
        </w:tc>
        <w:tc>
          <w:tcPr>
            <w:tcW w:w="762" w:type="pct"/>
            <w:vAlign w:val="center"/>
          </w:tcPr>
          <w:p>
            <w:pPr>
              <w:spacing w:line="360" w:lineRule="auto"/>
              <w:rPr>
                <w:sz w:val="24"/>
              </w:rPr>
            </w:pPr>
            <w:r>
              <w:rPr>
                <w:sz w:val="24"/>
              </w:rPr>
              <w:t>路由</w:t>
            </w:r>
          </w:p>
        </w:tc>
        <w:tc>
          <w:tcPr>
            <w:tcW w:w="2629" w:type="pct"/>
          </w:tcPr>
          <w:p>
            <w:pPr>
              <w:spacing w:line="360" w:lineRule="auto"/>
              <w:rPr>
                <w:sz w:val="24"/>
              </w:rPr>
            </w:pPr>
            <w:r>
              <w:rPr>
                <w:sz w:val="24"/>
              </w:rPr>
              <w:t>支持静态路由、RIP V1/2、OSPF、IS-IS、BGP、RIPng、OSPFv3、BGP4+、ISISv6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Merge w:val="continue"/>
            <w:vAlign w:val="center"/>
          </w:tcPr>
          <w:p>
            <w:pPr>
              <w:spacing w:line="360" w:lineRule="auto"/>
              <w:rPr>
                <w:sz w:val="24"/>
              </w:rPr>
            </w:pPr>
          </w:p>
        </w:tc>
        <w:tc>
          <w:tcPr>
            <w:tcW w:w="763" w:type="pct"/>
            <w:vMerge w:val="continue"/>
            <w:vAlign w:val="center"/>
          </w:tcPr>
          <w:p>
            <w:pPr>
              <w:spacing w:line="360" w:lineRule="auto"/>
              <w:rPr>
                <w:sz w:val="24"/>
              </w:rPr>
            </w:pPr>
          </w:p>
        </w:tc>
        <w:tc>
          <w:tcPr>
            <w:tcW w:w="425" w:type="pct"/>
            <w:vMerge w:val="continue"/>
            <w:vAlign w:val="center"/>
          </w:tcPr>
          <w:p>
            <w:pPr>
              <w:spacing w:line="360" w:lineRule="auto"/>
              <w:rPr>
                <w:sz w:val="24"/>
              </w:rPr>
            </w:pPr>
          </w:p>
        </w:tc>
        <w:tc>
          <w:tcPr>
            <w:tcW w:w="762" w:type="pct"/>
            <w:vAlign w:val="center"/>
          </w:tcPr>
          <w:p>
            <w:pPr>
              <w:spacing w:line="360" w:lineRule="auto"/>
              <w:rPr>
                <w:sz w:val="24"/>
              </w:rPr>
            </w:pPr>
            <w:r>
              <w:rPr>
                <w:sz w:val="24"/>
              </w:rPr>
              <w:t>质保服务</w:t>
            </w:r>
          </w:p>
        </w:tc>
        <w:tc>
          <w:tcPr>
            <w:tcW w:w="2629" w:type="pct"/>
          </w:tcPr>
          <w:p>
            <w:pPr>
              <w:spacing w:line="360" w:lineRule="auto"/>
              <w:rPr>
                <w:sz w:val="24"/>
              </w:rPr>
            </w:pPr>
            <w:bookmarkStart w:id="71" w:name="_Hlk180682723"/>
            <w:r>
              <w:rPr>
                <w:sz w:val="24"/>
              </w:rPr>
              <w:t>提供不少于3年质保服务。</w:t>
            </w:r>
            <w:bookmarkEnd w:id="71"/>
          </w:p>
        </w:tc>
      </w:tr>
      <w:bookmarkEnd w:id="70"/>
    </w:tbl>
    <w:p>
      <w:pPr>
        <w:pStyle w:val="5"/>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11、</w:t>
      </w:r>
      <w:r>
        <w:rPr>
          <w:rFonts w:ascii="Times New Roman" w:hAnsi="Times New Roman" w:eastAsia="宋体" w:cs="Times New Roman"/>
          <w:sz w:val="24"/>
          <w:szCs w:val="24"/>
        </w:rPr>
        <w:t>国家加密机</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417"/>
        <w:gridCol w:w="810"/>
        <w:gridCol w:w="1426"/>
        <w:gridCol w:w="4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Align w:val="center"/>
          </w:tcPr>
          <w:p>
            <w:pPr>
              <w:spacing w:line="360" w:lineRule="auto"/>
              <w:rPr>
                <w:b/>
                <w:bCs/>
                <w:sz w:val="24"/>
              </w:rPr>
            </w:pPr>
            <w:bookmarkStart w:id="72" w:name="OLE_LINK10"/>
            <w:r>
              <w:rPr>
                <w:b/>
                <w:bCs/>
                <w:sz w:val="24"/>
              </w:rPr>
              <w:t>序号</w:t>
            </w:r>
          </w:p>
        </w:tc>
        <w:tc>
          <w:tcPr>
            <w:tcW w:w="763" w:type="pct"/>
            <w:vAlign w:val="center"/>
          </w:tcPr>
          <w:p>
            <w:pPr>
              <w:spacing w:line="360" w:lineRule="auto"/>
              <w:rPr>
                <w:b/>
                <w:bCs/>
                <w:sz w:val="24"/>
              </w:rPr>
            </w:pPr>
            <w:r>
              <w:rPr>
                <w:b/>
                <w:bCs/>
                <w:sz w:val="24"/>
              </w:rPr>
              <w:t>设备名称</w:t>
            </w:r>
          </w:p>
        </w:tc>
        <w:tc>
          <w:tcPr>
            <w:tcW w:w="436" w:type="pct"/>
            <w:vAlign w:val="center"/>
          </w:tcPr>
          <w:p>
            <w:pPr>
              <w:spacing w:line="360" w:lineRule="auto"/>
              <w:rPr>
                <w:b/>
                <w:bCs/>
                <w:sz w:val="24"/>
              </w:rPr>
            </w:pPr>
            <w:r>
              <w:rPr>
                <w:b/>
                <w:bCs/>
                <w:sz w:val="24"/>
              </w:rPr>
              <w:t>数量</w:t>
            </w:r>
          </w:p>
        </w:tc>
        <w:tc>
          <w:tcPr>
            <w:tcW w:w="768" w:type="pct"/>
            <w:vAlign w:val="center"/>
          </w:tcPr>
          <w:p>
            <w:pPr>
              <w:spacing w:line="360" w:lineRule="auto"/>
              <w:rPr>
                <w:b/>
                <w:bCs/>
                <w:sz w:val="24"/>
              </w:rPr>
            </w:pPr>
            <w:r>
              <w:rPr>
                <w:b/>
                <w:bCs/>
                <w:sz w:val="24"/>
              </w:rPr>
              <w:t>指标项</w:t>
            </w:r>
          </w:p>
        </w:tc>
        <w:tc>
          <w:tcPr>
            <w:tcW w:w="2611" w:type="pct"/>
          </w:tcPr>
          <w:p>
            <w:pPr>
              <w:spacing w:line="360" w:lineRule="auto"/>
              <w:rPr>
                <w:b/>
                <w:bCs/>
                <w:sz w:val="24"/>
              </w:rPr>
            </w:pPr>
            <w:r>
              <w:rPr>
                <w:b/>
                <w:bCs/>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Merge w:val="restart"/>
            <w:vAlign w:val="center"/>
          </w:tcPr>
          <w:p>
            <w:pPr>
              <w:spacing w:line="360" w:lineRule="auto"/>
              <w:rPr>
                <w:sz w:val="24"/>
              </w:rPr>
            </w:pPr>
            <w:r>
              <w:rPr>
                <w:sz w:val="24"/>
              </w:rPr>
              <w:t>1</w:t>
            </w:r>
          </w:p>
        </w:tc>
        <w:tc>
          <w:tcPr>
            <w:tcW w:w="763" w:type="pct"/>
            <w:vMerge w:val="restart"/>
            <w:vAlign w:val="center"/>
          </w:tcPr>
          <w:p>
            <w:pPr>
              <w:spacing w:line="360" w:lineRule="auto"/>
              <w:jc w:val="center"/>
              <w:rPr>
                <w:sz w:val="24"/>
              </w:rPr>
            </w:pPr>
            <w:r>
              <w:rPr>
                <w:sz w:val="24"/>
              </w:rPr>
              <w:t>国家</w:t>
            </w:r>
          </w:p>
          <w:p>
            <w:pPr>
              <w:spacing w:line="360" w:lineRule="auto"/>
              <w:jc w:val="center"/>
              <w:rPr>
                <w:sz w:val="24"/>
              </w:rPr>
            </w:pPr>
            <w:r>
              <w:rPr>
                <w:sz w:val="24"/>
              </w:rPr>
              <w:t>加密机</w:t>
            </w:r>
          </w:p>
        </w:tc>
        <w:tc>
          <w:tcPr>
            <w:tcW w:w="436" w:type="pct"/>
            <w:vMerge w:val="restart"/>
            <w:vAlign w:val="center"/>
          </w:tcPr>
          <w:p>
            <w:pPr>
              <w:spacing w:line="360" w:lineRule="auto"/>
              <w:rPr>
                <w:sz w:val="24"/>
              </w:rPr>
            </w:pPr>
            <w:r>
              <w:rPr>
                <w:sz w:val="24"/>
              </w:rPr>
              <w:t>1台</w:t>
            </w:r>
          </w:p>
        </w:tc>
        <w:tc>
          <w:tcPr>
            <w:tcW w:w="768" w:type="pct"/>
            <w:vAlign w:val="center"/>
          </w:tcPr>
          <w:p>
            <w:pPr>
              <w:spacing w:line="360" w:lineRule="auto"/>
              <w:rPr>
                <w:sz w:val="24"/>
              </w:rPr>
            </w:pPr>
            <w:r>
              <w:rPr>
                <w:sz w:val="24"/>
              </w:rPr>
              <w:t>基本要求</w:t>
            </w:r>
          </w:p>
        </w:tc>
        <w:tc>
          <w:tcPr>
            <w:tcW w:w="2611" w:type="pct"/>
          </w:tcPr>
          <w:p>
            <w:pPr>
              <w:spacing w:line="360" w:lineRule="auto"/>
              <w:rPr>
                <w:sz w:val="24"/>
              </w:rPr>
            </w:pPr>
            <w:r>
              <w:rPr>
                <w:sz w:val="24"/>
              </w:rPr>
              <w:t>机箱：≥1U标准机架式；</w:t>
            </w:r>
          </w:p>
          <w:p>
            <w:pPr>
              <w:spacing w:line="360" w:lineRule="auto"/>
              <w:rPr>
                <w:sz w:val="24"/>
              </w:rPr>
            </w:pPr>
            <w:r>
              <w:rPr>
                <w:sz w:val="24"/>
              </w:rPr>
              <w:t>CPU：≥4核4线程；</w:t>
            </w:r>
          </w:p>
          <w:p>
            <w:pPr>
              <w:spacing w:line="360" w:lineRule="auto"/>
              <w:rPr>
                <w:sz w:val="24"/>
              </w:rPr>
            </w:pPr>
            <w:r>
              <w:rPr>
                <w:sz w:val="24"/>
              </w:rPr>
              <w:t>内存：≥8G DDR4；</w:t>
            </w:r>
          </w:p>
          <w:p>
            <w:pPr>
              <w:spacing w:line="360" w:lineRule="auto"/>
              <w:rPr>
                <w:sz w:val="24"/>
              </w:rPr>
            </w:pPr>
            <w:r>
              <w:rPr>
                <w:sz w:val="24"/>
              </w:rPr>
              <w:t>硬盘：≥1T；</w:t>
            </w:r>
          </w:p>
          <w:p>
            <w:pPr>
              <w:spacing w:line="360" w:lineRule="auto"/>
              <w:rPr>
                <w:sz w:val="24"/>
              </w:rPr>
            </w:pPr>
            <w:r>
              <w:rPr>
                <w:sz w:val="24"/>
              </w:rPr>
              <w:t>网口：千兆网口≥6个、USB接口≥2个；</w:t>
            </w:r>
          </w:p>
          <w:p>
            <w:pPr>
              <w:spacing w:line="360" w:lineRule="auto"/>
              <w:rPr>
                <w:sz w:val="24"/>
              </w:rPr>
            </w:pPr>
            <w:r>
              <w:rPr>
                <w:sz w:val="24"/>
              </w:rPr>
              <w:t>密码卡：PCI-E板卡；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Merge w:val="continue"/>
            <w:vAlign w:val="center"/>
          </w:tcPr>
          <w:p>
            <w:pPr>
              <w:spacing w:line="360" w:lineRule="auto"/>
              <w:rPr>
                <w:sz w:val="24"/>
              </w:rPr>
            </w:pPr>
          </w:p>
        </w:tc>
        <w:tc>
          <w:tcPr>
            <w:tcW w:w="763" w:type="pct"/>
            <w:vMerge w:val="continue"/>
            <w:vAlign w:val="center"/>
          </w:tcPr>
          <w:p>
            <w:pPr>
              <w:spacing w:line="360" w:lineRule="auto"/>
              <w:rPr>
                <w:sz w:val="24"/>
              </w:rPr>
            </w:pPr>
          </w:p>
        </w:tc>
        <w:tc>
          <w:tcPr>
            <w:tcW w:w="436" w:type="pct"/>
            <w:vMerge w:val="continue"/>
            <w:vAlign w:val="center"/>
          </w:tcPr>
          <w:p>
            <w:pPr>
              <w:spacing w:line="360" w:lineRule="auto"/>
              <w:rPr>
                <w:sz w:val="24"/>
              </w:rPr>
            </w:pPr>
          </w:p>
        </w:tc>
        <w:tc>
          <w:tcPr>
            <w:tcW w:w="768" w:type="pct"/>
            <w:vAlign w:val="center"/>
          </w:tcPr>
          <w:p>
            <w:pPr>
              <w:spacing w:line="360" w:lineRule="auto"/>
              <w:rPr>
                <w:sz w:val="24"/>
              </w:rPr>
            </w:pPr>
            <w:r>
              <w:rPr>
                <w:sz w:val="24"/>
              </w:rPr>
              <w:t>硬件要求</w:t>
            </w:r>
          </w:p>
        </w:tc>
        <w:tc>
          <w:tcPr>
            <w:tcW w:w="2611" w:type="pct"/>
          </w:tcPr>
          <w:p>
            <w:pPr>
              <w:spacing w:line="360" w:lineRule="auto"/>
              <w:rPr>
                <w:sz w:val="24"/>
              </w:rPr>
            </w:pPr>
            <w:r>
              <w:rPr>
                <w:sz w:val="24"/>
              </w:rPr>
              <w:t>箱锁：支持物理销毁密钥锁，手动清空密钥；支持机箱锁，防止机箱被打开；</w:t>
            </w:r>
          </w:p>
          <w:p>
            <w:pPr>
              <w:spacing w:line="360" w:lineRule="auto"/>
              <w:rPr>
                <w:sz w:val="24"/>
              </w:rPr>
            </w:pPr>
            <w:r>
              <w:rPr>
                <w:sz w:val="24"/>
              </w:rPr>
              <w:t>液晶显示屏：前面板自带液晶显示屏并支持按键调参，展示设备型号等产品信息。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Merge w:val="continue"/>
            <w:vAlign w:val="center"/>
          </w:tcPr>
          <w:p>
            <w:pPr>
              <w:spacing w:line="360" w:lineRule="auto"/>
              <w:rPr>
                <w:sz w:val="24"/>
              </w:rPr>
            </w:pPr>
          </w:p>
        </w:tc>
        <w:tc>
          <w:tcPr>
            <w:tcW w:w="763" w:type="pct"/>
            <w:vMerge w:val="continue"/>
            <w:vAlign w:val="center"/>
          </w:tcPr>
          <w:p>
            <w:pPr>
              <w:spacing w:line="360" w:lineRule="auto"/>
              <w:rPr>
                <w:sz w:val="24"/>
              </w:rPr>
            </w:pPr>
          </w:p>
        </w:tc>
        <w:tc>
          <w:tcPr>
            <w:tcW w:w="436" w:type="pct"/>
            <w:vMerge w:val="continue"/>
            <w:vAlign w:val="center"/>
          </w:tcPr>
          <w:p>
            <w:pPr>
              <w:spacing w:line="360" w:lineRule="auto"/>
              <w:rPr>
                <w:sz w:val="24"/>
              </w:rPr>
            </w:pPr>
          </w:p>
        </w:tc>
        <w:tc>
          <w:tcPr>
            <w:tcW w:w="768" w:type="pct"/>
            <w:vAlign w:val="center"/>
          </w:tcPr>
          <w:p>
            <w:pPr>
              <w:spacing w:line="360" w:lineRule="auto"/>
              <w:rPr>
                <w:sz w:val="24"/>
              </w:rPr>
            </w:pPr>
            <w:r>
              <w:rPr>
                <w:sz w:val="24"/>
              </w:rPr>
              <w:t>商用密码算法性能要求</w:t>
            </w:r>
          </w:p>
        </w:tc>
        <w:tc>
          <w:tcPr>
            <w:tcW w:w="2611" w:type="pct"/>
          </w:tcPr>
          <w:p>
            <w:pPr>
              <w:spacing w:line="360" w:lineRule="auto"/>
              <w:rPr>
                <w:sz w:val="24"/>
              </w:rPr>
            </w:pPr>
            <w:r>
              <w:rPr>
                <w:sz w:val="24"/>
              </w:rPr>
              <w:t>SM1加解密速率≥1.5Gbps</w:t>
            </w:r>
          </w:p>
          <w:p>
            <w:pPr>
              <w:spacing w:line="360" w:lineRule="auto"/>
              <w:rPr>
                <w:sz w:val="24"/>
              </w:rPr>
            </w:pPr>
            <w:r>
              <w:rPr>
                <w:sz w:val="24"/>
              </w:rPr>
              <w:t>SM4加解密速率≥1.5Gbps</w:t>
            </w:r>
          </w:p>
          <w:p>
            <w:pPr>
              <w:spacing w:line="360" w:lineRule="auto"/>
              <w:rPr>
                <w:sz w:val="24"/>
              </w:rPr>
            </w:pPr>
            <w:r>
              <w:rPr>
                <w:sz w:val="24"/>
              </w:rPr>
              <w:t>SM2密钥对生成≥3400次/秒</w:t>
            </w:r>
          </w:p>
          <w:p>
            <w:pPr>
              <w:spacing w:line="360" w:lineRule="auto"/>
              <w:rPr>
                <w:sz w:val="24"/>
              </w:rPr>
            </w:pPr>
            <w:r>
              <w:rPr>
                <w:sz w:val="24"/>
              </w:rPr>
              <w:t>SM2（256）签名≥3000次/秒</w:t>
            </w:r>
          </w:p>
          <w:p>
            <w:pPr>
              <w:spacing w:line="360" w:lineRule="auto"/>
              <w:rPr>
                <w:sz w:val="24"/>
              </w:rPr>
            </w:pPr>
            <w:r>
              <w:rPr>
                <w:sz w:val="24"/>
              </w:rPr>
              <w:t>SM2（256）验签≥1700次/秒</w:t>
            </w:r>
          </w:p>
          <w:p>
            <w:pPr>
              <w:spacing w:line="360" w:lineRule="auto"/>
              <w:rPr>
                <w:sz w:val="24"/>
              </w:rPr>
            </w:pPr>
            <w:r>
              <w:rPr>
                <w:sz w:val="24"/>
              </w:rPr>
              <w:t>SM3杂凑速率≥1.5Gbps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Merge w:val="continue"/>
            <w:vAlign w:val="center"/>
          </w:tcPr>
          <w:p>
            <w:pPr>
              <w:spacing w:line="360" w:lineRule="auto"/>
              <w:rPr>
                <w:sz w:val="24"/>
              </w:rPr>
            </w:pPr>
          </w:p>
        </w:tc>
        <w:tc>
          <w:tcPr>
            <w:tcW w:w="763" w:type="pct"/>
            <w:vMerge w:val="continue"/>
            <w:vAlign w:val="center"/>
          </w:tcPr>
          <w:p>
            <w:pPr>
              <w:spacing w:line="360" w:lineRule="auto"/>
              <w:rPr>
                <w:sz w:val="24"/>
              </w:rPr>
            </w:pPr>
          </w:p>
        </w:tc>
        <w:tc>
          <w:tcPr>
            <w:tcW w:w="436" w:type="pct"/>
            <w:vMerge w:val="continue"/>
            <w:vAlign w:val="center"/>
          </w:tcPr>
          <w:p>
            <w:pPr>
              <w:spacing w:line="360" w:lineRule="auto"/>
              <w:rPr>
                <w:sz w:val="24"/>
              </w:rPr>
            </w:pPr>
          </w:p>
        </w:tc>
        <w:tc>
          <w:tcPr>
            <w:tcW w:w="768" w:type="pct"/>
            <w:vAlign w:val="center"/>
          </w:tcPr>
          <w:p>
            <w:pPr>
              <w:spacing w:line="360" w:lineRule="auto"/>
              <w:rPr>
                <w:sz w:val="24"/>
              </w:rPr>
            </w:pPr>
            <w:r>
              <w:rPr>
                <w:sz w:val="24"/>
              </w:rPr>
              <w:t>国际算法性能要求</w:t>
            </w:r>
          </w:p>
        </w:tc>
        <w:tc>
          <w:tcPr>
            <w:tcW w:w="2611" w:type="pct"/>
          </w:tcPr>
          <w:p>
            <w:pPr>
              <w:spacing w:line="360" w:lineRule="auto"/>
              <w:rPr>
                <w:sz w:val="24"/>
              </w:rPr>
            </w:pPr>
            <w:r>
              <w:rPr>
                <w:sz w:val="24"/>
              </w:rPr>
              <w:t>RSA2048签名速率≥1300次/秒</w:t>
            </w:r>
          </w:p>
          <w:p>
            <w:pPr>
              <w:spacing w:line="360" w:lineRule="auto"/>
              <w:rPr>
                <w:sz w:val="24"/>
              </w:rPr>
            </w:pPr>
            <w:r>
              <w:rPr>
                <w:sz w:val="24"/>
              </w:rPr>
              <w:t>RSA2048验签速率≥38000次/秒</w:t>
            </w:r>
          </w:p>
          <w:p>
            <w:pPr>
              <w:spacing w:line="360" w:lineRule="auto"/>
              <w:rPr>
                <w:sz w:val="24"/>
              </w:rPr>
            </w:pPr>
            <w:r>
              <w:rPr>
                <w:sz w:val="24"/>
              </w:rPr>
              <w:t>SHA512速率≥1.5Gbps</w:t>
            </w:r>
          </w:p>
          <w:p>
            <w:pPr>
              <w:spacing w:line="360" w:lineRule="auto"/>
              <w:rPr>
                <w:sz w:val="24"/>
              </w:rPr>
            </w:pPr>
            <w:r>
              <w:rPr>
                <w:sz w:val="24"/>
              </w:rPr>
              <w:t>AES128速率≥1.5Gbps</w:t>
            </w:r>
          </w:p>
          <w:p>
            <w:pPr>
              <w:spacing w:line="360" w:lineRule="auto"/>
              <w:rPr>
                <w:sz w:val="24"/>
              </w:rPr>
            </w:pPr>
            <w:r>
              <w:rPr>
                <w:sz w:val="24"/>
              </w:rPr>
              <w:t>DES速率≥1Gbps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Merge w:val="continue"/>
            <w:vAlign w:val="center"/>
          </w:tcPr>
          <w:p>
            <w:pPr>
              <w:spacing w:line="360" w:lineRule="auto"/>
              <w:rPr>
                <w:sz w:val="24"/>
              </w:rPr>
            </w:pPr>
          </w:p>
        </w:tc>
        <w:tc>
          <w:tcPr>
            <w:tcW w:w="763" w:type="pct"/>
            <w:vMerge w:val="continue"/>
            <w:vAlign w:val="center"/>
          </w:tcPr>
          <w:p>
            <w:pPr>
              <w:spacing w:line="360" w:lineRule="auto"/>
              <w:rPr>
                <w:sz w:val="24"/>
              </w:rPr>
            </w:pPr>
          </w:p>
        </w:tc>
        <w:tc>
          <w:tcPr>
            <w:tcW w:w="436" w:type="pct"/>
            <w:vMerge w:val="continue"/>
            <w:vAlign w:val="center"/>
          </w:tcPr>
          <w:p>
            <w:pPr>
              <w:spacing w:line="360" w:lineRule="auto"/>
              <w:rPr>
                <w:sz w:val="24"/>
              </w:rPr>
            </w:pPr>
          </w:p>
        </w:tc>
        <w:tc>
          <w:tcPr>
            <w:tcW w:w="768" w:type="pct"/>
            <w:vAlign w:val="center"/>
          </w:tcPr>
          <w:p>
            <w:pPr>
              <w:spacing w:line="360" w:lineRule="auto"/>
              <w:rPr>
                <w:sz w:val="24"/>
              </w:rPr>
            </w:pPr>
            <w:r>
              <w:rPr>
                <w:sz w:val="24"/>
              </w:rPr>
              <w:sym w:font="Wingdings" w:char="F0AB"/>
            </w:r>
            <w:r>
              <w:rPr>
                <w:sz w:val="24"/>
              </w:rPr>
              <w:t>算法</w:t>
            </w:r>
          </w:p>
        </w:tc>
        <w:tc>
          <w:tcPr>
            <w:tcW w:w="2611" w:type="pct"/>
          </w:tcPr>
          <w:p>
            <w:pPr>
              <w:spacing w:line="360" w:lineRule="auto"/>
              <w:rPr>
                <w:sz w:val="24"/>
              </w:rPr>
            </w:pPr>
            <w:r>
              <w:rPr>
                <w:sz w:val="24"/>
              </w:rPr>
              <w:t>支持国产SM1（ECB、CBC、OFB、CFB）、SM2、SM3、SM4（ECB、CBC、OFB、CFB）、SM9算法，支持国际ECC、RSA2048、SHA1、SHA256、SHA512、AES128、AES256、DES、3DES算法（</w:t>
            </w:r>
            <w:r>
              <w:rPr>
                <w:b/>
                <w:bCs/>
                <w:sz w:val="24"/>
              </w:rPr>
              <w:t>投标文件中提供证明材料</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Merge w:val="continue"/>
            <w:vAlign w:val="center"/>
          </w:tcPr>
          <w:p>
            <w:pPr>
              <w:spacing w:line="360" w:lineRule="auto"/>
              <w:rPr>
                <w:sz w:val="24"/>
              </w:rPr>
            </w:pPr>
          </w:p>
        </w:tc>
        <w:tc>
          <w:tcPr>
            <w:tcW w:w="763" w:type="pct"/>
            <w:vMerge w:val="continue"/>
            <w:vAlign w:val="center"/>
          </w:tcPr>
          <w:p>
            <w:pPr>
              <w:spacing w:line="360" w:lineRule="auto"/>
              <w:rPr>
                <w:sz w:val="24"/>
              </w:rPr>
            </w:pPr>
          </w:p>
        </w:tc>
        <w:tc>
          <w:tcPr>
            <w:tcW w:w="436" w:type="pct"/>
            <w:vMerge w:val="continue"/>
            <w:vAlign w:val="center"/>
          </w:tcPr>
          <w:p>
            <w:pPr>
              <w:spacing w:line="360" w:lineRule="auto"/>
              <w:rPr>
                <w:sz w:val="24"/>
              </w:rPr>
            </w:pPr>
          </w:p>
        </w:tc>
        <w:tc>
          <w:tcPr>
            <w:tcW w:w="768" w:type="pct"/>
            <w:vAlign w:val="center"/>
          </w:tcPr>
          <w:p>
            <w:pPr>
              <w:spacing w:line="360" w:lineRule="auto"/>
              <w:rPr>
                <w:sz w:val="24"/>
              </w:rPr>
            </w:pPr>
            <w:r>
              <w:rPr>
                <w:sz w:val="24"/>
              </w:rPr>
              <w:t>可视化管理</w:t>
            </w:r>
          </w:p>
        </w:tc>
        <w:tc>
          <w:tcPr>
            <w:tcW w:w="2611" w:type="pct"/>
          </w:tcPr>
          <w:p>
            <w:pPr>
              <w:spacing w:line="360" w:lineRule="auto"/>
              <w:rPr>
                <w:sz w:val="24"/>
              </w:rPr>
            </w:pPr>
            <w:r>
              <w:rPr>
                <w:sz w:val="24"/>
              </w:rPr>
              <w:t>支持通过WEB页面可视化展示常规的设备和业务信息，包括：系统状态、开机时间、工作时间、设备维保状态、内存使用量、磁盘使用量、密码服务并发数、license状态等信息。</w:t>
            </w:r>
          </w:p>
          <w:p>
            <w:pPr>
              <w:spacing w:line="360" w:lineRule="auto"/>
              <w:rPr>
                <w:sz w:val="24"/>
              </w:rPr>
            </w:pPr>
            <w:r>
              <w:rPr>
                <w:sz w:val="24"/>
              </w:rPr>
              <w:t>支持通过WEB页面可视化查看加解密、完整性校验的业务流量变化，并按照时间纬度筛选数据。</w:t>
            </w:r>
          </w:p>
          <w:p>
            <w:pPr>
              <w:spacing w:line="360" w:lineRule="auto"/>
              <w:rPr>
                <w:sz w:val="24"/>
              </w:rPr>
            </w:pPr>
            <w:r>
              <w:rPr>
                <w:sz w:val="24"/>
              </w:rPr>
              <w:t>支持通过WEB页面查看服务器密码机服务接口的调用排行，查看服务接口名称、调用次数。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Merge w:val="continue"/>
            <w:vAlign w:val="center"/>
          </w:tcPr>
          <w:p>
            <w:pPr>
              <w:spacing w:line="360" w:lineRule="auto"/>
              <w:rPr>
                <w:sz w:val="24"/>
              </w:rPr>
            </w:pPr>
          </w:p>
        </w:tc>
        <w:tc>
          <w:tcPr>
            <w:tcW w:w="763" w:type="pct"/>
            <w:vMerge w:val="continue"/>
            <w:vAlign w:val="center"/>
          </w:tcPr>
          <w:p>
            <w:pPr>
              <w:spacing w:line="360" w:lineRule="auto"/>
              <w:rPr>
                <w:sz w:val="24"/>
              </w:rPr>
            </w:pPr>
          </w:p>
        </w:tc>
        <w:tc>
          <w:tcPr>
            <w:tcW w:w="436" w:type="pct"/>
            <w:vMerge w:val="continue"/>
            <w:vAlign w:val="center"/>
          </w:tcPr>
          <w:p>
            <w:pPr>
              <w:spacing w:line="360" w:lineRule="auto"/>
              <w:rPr>
                <w:sz w:val="24"/>
              </w:rPr>
            </w:pPr>
          </w:p>
        </w:tc>
        <w:tc>
          <w:tcPr>
            <w:tcW w:w="768" w:type="pct"/>
            <w:vAlign w:val="center"/>
          </w:tcPr>
          <w:p>
            <w:pPr>
              <w:spacing w:line="360" w:lineRule="auto"/>
              <w:rPr>
                <w:sz w:val="24"/>
              </w:rPr>
            </w:pPr>
            <w:r>
              <w:rPr>
                <w:sz w:val="24"/>
              </w:rPr>
              <w:sym w:font="Wingdings" w:char="F0AB"/>
            </w:r>
            <w:r>
              <w:rPr>
                <w:sz w:val="24"/>
              </w:rPr>
              <w:t>用户管理</w:t>
            </w:r>
          </w:p>
        </w:tc>
        <w:tc>
          <w:tcPr>
            <w:tcW w:w="2611" w:type="pct"/>
          </w:tcPr>
          <w:p>
            <w:pPr>
              <w:spacing w:line="360" w:lineRule="auto"/>
              <w:rPr>
                <w:sz w:val="24"/>
              </w:rPr>
            </w:pPr>
            <w:r>
              <w:rPr>
                <w:sz w:val="24"/>
              </w:rPr>
              <w:t>支持“3+N”用户管理体系，满足管理员、审计员、安全员的三种用户身份设定，多个操作员配合管理的用户体系。</w:t>
            </w:r>
          </w:p>
          <w:p>
            <w:pPr>
              <w:spacing w:line="360" w:lineRule="auto"/>
              <w:rPr>
                <w:sz w:val="24"/>
              </w:rPr>
            </w:pPr>
            <w:r>
              <w:rPr>
                <w:sz w:val="24"/>
              </w:rPr>
              <w:t>为保护系统安全，支持对系统所有操作员的管理菜单功能权限配置。审核用户的激活和锁定状态，激活状态下该用户的权限正常使用。</w:t>
            </w:r>
          </w:p>
          <w:p>
            <w:pPr>
              <w:spacing w:line="360" w:lineRule="auto"/>
              <w:rPr>
                <w:sz w:val="24"/>
              </w:rPr>
            </w:pPr>
            <w:r>
              <w:rPr>
                <w:sz w:val="24"/>
              </w:rPr>
              <w:t>（</w:t>
            </w:r>
            <w:r>
              <w:rPr>
                <w:b/>
                <w:bCs/>
                <w:sz w:val="24"/>
              </w:rPr>
              <w:t>提供功能截图和具有CMA</w:t>
            </w:r>
            <w:r>
              <w:rPr>
                <w:rFonts w:hint="eastAsia"/>
                <w:b/>
                <w:bCs/>
                <w:sz w:val="24"/>
              </w:rPr>
              <w:t>标识的</w:t>
            </w:r>
            <w:r>
              <w:rPr>
                <w:b/>
                <w:bCs/>
                <w:sz w:val="24"/>
              </w:rPr>
              <w:t>检测报告证明材料</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Merge w:val="continue"/>
            <w:vAlign w:val="center"/>
          </w:tcPr>
          <w:p>
            <w:pPr>
              <w:spacing w:line="360" w:lineRule="auto"/>
              <w:rPr>
                <w:sz w:val="24"/>
              </w:rPr>
            </w:pPr>
          </w:p>
        </w:tc>
        <w:tc>
          <w:tcPr>
            <w:tcW w:w="763" w:type="pct"/>
            <w:vMerge w:val="continue"/>
            <w:vAlign w:val="center"/>
          </w:tcPr>
          <w:p>
            <w:pPr>
              <w:spacing w:line="360" w:lineRule="auto"/>
              <w:rPr>
                <w:sz w:val="24"/>
              </w:rPr>
            </w:pPr>
          </w:p>
        </w:tc>
        <w:tc>
          <w:tcPr>
            <w:tcW w:w="436" w:type="pct"/>
            <w:vMerge w:val="continue"/>
            <w:vAlign w:val="center"/>
          </w:tcPr>
          <w:p>
            <w:pPr>
              <w:spacing w:line="360" w:lineRule="auto"/>
              <w:rPr>
                <w:sz w:val="24"/>
              </w:rPr>
            </w:pPr>
          </w:p>
        </w:tc>
        <w:tc>
          <w:tcPr>
            <w:tcW w:w="768" w:type="pct"/>
            <w:vAlign w:val="center"/>
          </w:tcPr>
          <w:p>
            <w:pPr>
              <w:spacing w:line="360" w:lineRule="auto"/>
              <w:rPr>
                <w:sz w:val="24"/>
              </w:rPr>
            </w:pPr>
            <w:r>
              <w:rPr>
                <w:sz w:val="24"/>
              </w:rPr>
              <w:t>系统管理与维护</w:t>
            </w:r>
          </w:p>
        </w:tc>
        <w:tc>
          <w:tcPr>
            <w:tcW w:w="2611" w:type="pct"/>
          </w:tcPr>
          <w:p>
            <w:pPr>
              <w:spacing w:line="360" w:lineRule="auto"/>
              <w:rPr>
                <w:sz w:val="24"/>
              </w:rPr>
            </w:pPr>
            <w:r>
              <w:rPr>
                <w:sz w:val="24"/>
              </w:rPr>
              <w:t>支持管理员可对服务器密码机的配置文件进行策略配置：备份策略支持按天进行自动备份；支持针对备份文件的操作：创建、编辑、删除、批量删除、下载等。</w:t>
            </w:r>
          </w:p>
          <w:p>
            <w:pPr>
              <w:spacing w:line="360" w:lineRule="auto"/>
              <w:rPr>
                <w:sz w:val="24"/>
              </w:rPr>
            </w:pPr>
            <w:r>
              <w:rPr>
                <w:sz w:val="24"/>
              </w:rPr>
              <w:t>支持针对系统资源进行告警，告警策略支持设置CPU使用率阈值、CPU温度、内存使用率阈值、磁盘阈值、网口流量阈值；支持设置告警发送间隔。</w:t>
            </w:r>
          </w:p>
          <w:p>
            <w:pPr>
              <w:spacing w:line="360" w:lineRule="auto"/>
              <w:rPr>
                <w:sz w:val="24"/>
              </w:rPr>
            </w:pPr>
            <w:r>
              <w:rPr>
                <w:sz w:val="24"/>
              </w:rPr>
              <w:t>支持设置系统的口令策略，包括必须元素、超时时间、Ukey校验开关。</w:t>
            </w:r>
          </w:p>
          <w:p>
            <w:pPr>
              <w:spacing w:line="360" w:lineRule="auto"/>
              <w:rPr>
                <w:sz w:val="24"/>
              </w:rPr>
            </w:pPr>
            <w:r>
              <w:rPr>
                <w:sz w:val="24"/>
              </w:rPr>
              <w:t>支持对服务器密码机进行恢复出厂设置，校验管理员Ukey确认恢复。</w:t>
            </w:r>
          </w:p>
          <w:p>
            <w:pPr>
              <w:spacing w:line="360" w:lineRule="auto"/>
              <w:rPr>
                <w:sz w:val="24"/>
              </w:rPr>
            </w:pPr>
            <w:r>
              <w:rPr>
                <w:sz w:val="24"/>
              </w:rPr>
              <w:t>支持产品自定义功能，包括产品LOGO、产品名称、产品型号、设备厂商等信息。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Merge w:val="continue"/>
            <w:vAlign w:val="center"/>
          </w:tcPr>
          <w:p>
            <w:pPr>
              <w:spacing w:line="360" w:lineRule="auto"/>
              <w:rPr>
                <w:sz w:val="24"/>
              </w:rPr>
            </w:pPr>
          </w:p>
        </w:tc>
        <w:tc>
          <w:tcPr>
            <w:tcW w:w="763" w:type="pct"/>
            <w:vMerge w:val="continue"/>
            <w:vAlign w:val="center"/>
          </w:tcPr>
          <w:p>
            <w:pPr>
              <w:spacing w:line="360" w:lineRule="auto"/>
              <w:rPr>
                <w:sz w:val="24"/>
              </w:rPr>
            </w:pPr>
          </w:p>
        </w:tc>
        <w:tc>
          <w:tcPr>
            <w:tcW w:w="436" w:type="pct"/>
            <w:vMerge w:val="continue"/>
            <w:vAlign w:val="center"/>
          </w:tcPr>
          <w:p>
            <w:pPr>
              <w:spacing w:line="360" w:lineRule="auto"/>
              <w:rPr>
                <w:sz w:val="24"/>
              </w:rPr>
            </w:pPr>
          </w:p>
        </w:tc>
        <w:tc>
          <w:tcPr>
            <w:tcW w:w="768" w:type="pct"/>
            <w:vAlign w:val="center"/>
          </w:tcPr>
          <w:p>
            <w:pPr>
              <w:spacing w:line="360" w:lineRule="auto"/>
              <w:rPr>
                <w:sz w:val="24"/>
              </w:rPr>
            </w:pPr>
            <w:r>
              <w:rPr>
                <w:sz w:val="24"/>
              </w:rPr>
              <w:t>设备管理</w:t>
            </w:r>
          </w:p>
        </w:tc>
        <w:tc>
          <w:tcPr>
            <w:tcW w:w="2611" w:type="pct"/>
          </w:tcPr>
          <w:p>
            <w:pPr>
              <w:spacing w:line="360" w:lineRule="auto"/>
              <w:rPr>
                <w:sz w:val="24"/>
              </w:rPr>
            </w:pPr>
            <w:r>
              <w:rPr>
                <w:sz w:val="24"/>
              </w:rPr>
              <w:t>支持通过WEB管理工具对服务器密码机进行关机和重启。</w:t>
            </w:r>
          </w:p>
          <w:p>
            <w:pPr>
              <w:spacing w:line="360" w:lineRule="auto"/>
              <w:rPr>
                <w:sz w:val="24"/>
              </w:rPr>
            </w:pPr>
            <w:r>
              <w:rPr>
                <w:sz w:val="24"/>
              </w:rPr>
              <w:t>支持对服务器密码机的自检策略进行配置，包括开机自检策略与按小时的周期自检策略；支持手动检查；自检内容包括：密码卡、随机数、完整性、算法自检，支持输出自检报告。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Merge w:val="continue"/>
            <w:vAlign w:val="center"/>
          </w:tcPr>
          <w:p>
            <w:pPr>
              <w:spacing w:line="360" w:lineRule="auto"/>
              <w:rPr>
                <w:sz w:val="24"/>
              </w:rPr>
            </w:pPr>
          </w:p>
        </w:tc>
        <w:tc>
          <w:tcPr>
            <w:tcW w:w="763" w:type="pct"/>
            <w:vMerge w:val="continue"/>
            <w:vAlign w:val="center"/>
          </w:tcPr>
          <w:p>
            <w:pPr>
              <w:spacing w:line="360" w:lineRule="auto"/>
              <w:rPr>
                <w:sz w:val="24"/>
              </w:rPr>
            </w:pPr>
          </w:p>
        </w:tc>
        <w:tc>
          <w:tcPr>
            <w:tcW w:w="436" w:type="pct"/>
            <w:vMerge w:val="continue"/>
            <w:vAlign w:val="center"/>
          </w:tcPr>
          <w:p>
            <w:pPr>
              <w:spacing w:line="360" w:lineRule="auto"/>
              <w:rPr>
                <w:sz w:val="24"/>
              </w:rPr>
            </w:pPr>
          </w:p>
        </w:tc>
        <w:tc>
          <w:tcPr>
            <w:tcW w:w="768" w:type="pct"/>
            <w:vAlign w:val="center"/>
          </w:tcPr>
          <w:p>
            <w:pPr>
              <w:spacing w:line="360" w:lineRule="auto"/>
              <w:rPr>
                <w:sz w:val="24"/>
              </w:rPr>
            </w:pPr>
            <w:r>
              <w:rPr>
                <w:sz w:val="24"/>
              </w:rPr>
              <w:t>第三方服务设置</w:t>
            </w:r>
          </w:p>
        </w:tc>
        <w:tc>
          <w:tcPr>
            <w:tcW w:w="2611" w:type="pct"/>
          </w:tcPr>
          <w:p>
            <w:pPr>
              <w:spacing w:line="360" w:lineRule="auto"/>
              <w:rPr>
                <w:sz w:val="24"/>
              </w:rPr>
            </w:pPr>
            <w:r>
              <w:rPr>
                <w:sz w:val="24"/>
              </w:rPr>
              <w:t>支持密码机对接第三方服务，包括NTP服务器、日志服务器、邮件服务器；配置邮件服务器后支持发送测试邮件。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Merge w:val="continue"/>
            <w:vAlign w:val="center"/>
          </w:tcPr>
          <w:p>
            <w:pPr>
              <w:spacing w:line="360" w:lineRule="auto"/>
              <w:rPr>
                <w:sz w:val="24"/>
              </w:rPr>
            </w:pPr>
          </w:p>
        </w:tc>
        <w:tc>
          <w:tcPr>
            <w:tcW w:w="763" w:type="pct"/>
            <w:vMerge w:val="continue"/>
            <w:vAlign w:val="center"/>
          </w:tcPr>
          <w:p>
            <w:pPr>
              <w:spacing w:line="360" w:lineRule="auto"/>
              <w:rPr>
                <w:sz w:val="24"/>
              </w:rPr>
            </w:pPr>
          </w:p>
        </w:tc>
        <w:tc>
          <w:tcPr>
            <w:tcW w:w="436" w:type="pct"/>
            <w:vMerge w:val="continue"/>
            <w:vAlign w:val="center"/>
          </w:tcPr>
          <w:p>
            <w:pPr>
              <w:spacing w:line="360" w:lineRule="auto"/>
              <w:rPr>
                <w:sz w:val="24"/>
              </w:rPr>
            </w:pPr>
          </w:p>
        </w:tc>
        <w:tc>
          <w:tcPr>
            <w:tcW w:w="768" w:type="pct"/>
            <w:vAlign w:val="center"/>
          </w:tcPr>
          <w:p>
            <w:pPr>
              <w:spacing w:line="360" w:lineRule="auto"/>
              <w:rPr>
                <w:sz w:val="24"/>
              </w:rPr>
            </w:pPr>
            <w:r>
              <w:rPr>
                <w:sz w:val="24"/>
              </w:rPr>
              <w:t>密钥管理</w:t>
            </w:r>
          </w:p>
        </w:tc>
        <w:tc>
          <w:tcPr>
            <w:tcW w:w="2611" w:type="pct"/>
          </w:tcPr>
          <w:p>
            <w:pPr>
              <w:spacing w:line="360" w:lineRule="auto"/>
              <w:rPr>
                <w:sz w:val="24"/>
              </w:rPr>
            </w:pPr>
            <w:r>
              <w:rPr>
                <w:sz w:val="24"/>
              </w:rPr>
              <w:t>支持密钥的产生、存储、导入、导出、使用、备份、恢复、删除等管理，保证关键密钥在各个阶段的安全性。</w:t>
            </w:r>
          </w:p>
          <w:p>
            <w:pPr>
              <w:spacing w:line="360" w:lineRule="auto"/>
              <w:rPr>
                <w:sz w:val="24"/>
              </w:rPr>
            </w:pPr>
            <w:r>
              <w:rPr>
                <w:sz w:val="24"/>
              </w:rPr>
              <w:t>支持对对称密钥中的业务密钥与密码卡密钥进行分类管理，包括生成密钥、删除、批量删除密钥，查看密钥标识、算法、密钥长度等信息。</w:t>
            </w:r>
          </w:p>
          <w:p>
            <w:pPr>
              <w:spacing w:line="360" w:lineRule="auto"/>
              <w:rPr>
                <w:sz w:val="24"/>
              </w:rPr>
            </w:pPr>
            <w:r>
              <w:rPr>
                <w:sz w:val="24"/>
              </w:rPr>
              <w:t>支持对非对称密钥进行管理，包括设备密钥、SM2、RSA、SM9、ECC等。</w:t>
            </w:r>
          </w:p>
          <w:p>
            <w:pPr>
              <w:spacing w:line="360" w:lineRule="auto"/>
              <w:rPr>
                <w:sz w:val="24"/>
              </w:rPr>
            </w:pPr>
            <w:r>
              <w:rPr>
                <w:sz w:val="24"/>
              </w:rPr>
              <w:t>采用基于门限算法的备份密钥秘密共享机制，当具备半数以上密钥分量时才能恢复出完整密钥。通过产品功能演示视频的方式证明密钥备份和恢复的安全。</w:t>
            </w:r>
          </w:p>
          <w:p>
            <w:pPr>
              <w:spacing w:line="360" w:lineRule="auto"/>
              <w:rPr>
                <w:sz w:val="24"/>
              </w:rPr>
            </w:pPr>
            <w:r>
              <w:rPr>
                <w:sz w:val="24"/>
              </w:rPr>
              <w:t>支持通过前面板钥匙物理方式销毁密钥。</w:t>
            </w:r>
          </w:p>
          <w:p>
            <w:pPr>
              <w:spacing w:line="360" w:lineRule="auto"/>
              <w:rPr>
                <w:sz w:val="24"/>
              </w:rPr>
            </w:pPr>
            <w:r>
              <w:rPr>
                <w:sz w:val="24"/>
              </w:rPr>
              <w:t>支持密钥备份和恢复，包括单分量和三分量备份方式和恢复方式。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Merge w:val="continue"/>
            <w:vAlign w:val="center"/>
          </w:tcPr>
          <w:p>
            <w:pPr>
              <w:spacing w:line="360" w:lineRule="auto"/>
              <w:rPr>
                <w:sz w:val="24"/>
              </w:rPr>
            </w:pPr>
          </w:p>
        </w:tc>
        <w:tc>
          <w:tcPr>
            <w:tcW w:w="763" w:type="pct"/>
            <w:vMerge w:val="continue"/>
            <w:vAlign w:val="center"/>
          </w:tcPr>
          <w:p>
            <w:pPr>
              <w:spacing w:line="360" w:lineRule="auto"/>
              <w:rPr>
                <w:sz w:val="24"/>
              </w:rPr>
            </w:pPr>
          </w:p>
        </w:tc>
        <w:tc>
          <w:tcPr>
            <w:tcW w:w="436" w:type="pct"/>
            <w:vMerge w:val="continue"/>
            <w:vAlign w:val="center"/>
          </w:tcPr>
          <w:p>
            <w:pPr>
              <w:spacing w:line="360" w:lineRule="auto"/>
              <w:rPr>
                <w:sz w:val="24"/>
              </w:rPr>
            </w:pPr>
          </w:p>
        </w:tc>
        <w:tc>
          <w:tcPr>
            <w:tcW w:w="768" w:type="pct"/>
            <w:vAlign w:val="center"/>
          </w:tcPr>
          <w:p>
            <w:pPr>
              <w:spacing w:line="360" w:lineRule="auto"/>
              <w:rPr>
                <w:sz w:val="24"/>
              </w:rPr>
            </w:pPr>
            <w:r>
              <w:rPr>
                <w:sz w:val="24"/>
              </w:rPr>
              <w:sym w:font="Wingdings" w:char="F0AB"/>
            </w:r>
            <w:r>
              <w:rPr>
                <w:sz w:val="24"/>
              </w:rPr>
              <w:t>证书管理</w:t>
            </w:r>
          </w:p>
        </w:tc>
        <w:tc>
          <w:tcPr>
            <w:tcW w:w="2611" w:type="pct"/>
          </w:tcPr>
          <w:p>
            <w:pPr>
              <w:spacing w:line="360" w:lineRule="auto"/>
              <w:rPr>
                <w:sz w:val="24"/>
              </w:rPr>
            </w:pPr>
            <w:r>
              <w:rPr>
                <w:sz w:val="24"/>
              </w:rPr>
              <w:t>支持对服务器密码机的设备证书和站点证书进行管理。支持导出设备证书申请，向第三方CA申请证书，将CA颁发的设备证书导入密码机。支持更新和导出站点证书。（</w:t>
            </w:r>
            <w:r>
              <w:rPr>
                <w:b/>
                <w:bCs/>
                <w:sz w:val="24"/>
              </w:rPr>
              <w:t>提供产品功能截图证明材料</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Merge w:val="continue"/>
            <w:vAlign w:val="center"/>
          </w:tcPr>
          <w:p>
            <w:pPr>
              <w:spacing w:line="360" w:lineRule="auto"/>
              <w:rPr>
                <w:sz w:val="24"/>
              </w:rPr>
            </w:pPr>
          </w:p>
        </w:tc>
        <w:tc>
          <w:tcPr>
            <w:tcW w:w="763" w:type="pct"/>
            <w:vMerge w:val="continue"/>
            <w:vAlign w:val="center"/>
          </w:tcPr>
          <w:p>
            <w:pPr>
              <w:spacing w:line="360" w:lineRule="auto"/>
              <w:rPr>
                <w:sz w:val="24"/>
              </w:rPr>
            </w:pPr>
          </w:p>
        </w:tc>
        <w:tc>
          <w:tcPr>
            <w:tcW w:w="436" w:type="pct"/>
            <w:vMerge w:val="continue"/>
            <w:vAlign w:val="center"/>
          </w:tcPr>
          <w:p>
            <w:pPr>
              <w:spacing w:line="360" w:lineRule="auto"/>
              <w:rPr>
                <w:sz w:val="24"/>
              </w:rPr>
            </w:pPr>
          </w:p>
        </w:tc>
        <w:tc>
          <w:tcPr>
            <w:tcW w:w="768" w:type="pct"/>
            <w:vAlign w:val="center"/>
          </w:tcPr>
          <w:p>
            <w:pPr>
              <w:spacing w:line="360" w:lineRule="auto"/>
              <w:rPr>
                <w:sz w:val="24"/>
              </w:rPr>
            </w:pPr>
            <w:r>
              <w:rPr>
                <w:sz w:val="24"/>
              </w:rPr>
              <w:t>网络管理</w:t>
            </w:r>
          </w:p>
        </w:tc>
        <w:tc>
          <w:tcPr>
            <w:tcW w:w="2611" w:type="pct"/>
          </w:tcPr>
          <w:p>
            <w:pPr>
              <w:spacing w:line="360" w:lineRule="auto"/>
              <w:rPr>
                <w:sz w:val="24"/>
              </w:rPr>
            </w:pPr>
            <w:r>
              <w:rPr>
                <w:sz w:val="24"/>
              </w:rPr>
              <w:t>支持开启IPv6协议栈和IPv4协议栈进行通信，支持网卡信息列表展示：网卡名称、类型、IP、网关、状态。</w:t>
            </w:r>
          </w:p>
          <w:p>
            <w:pPr>
              <w:spacing w:line="360" w:lineRule="auto"/>
              <w:rPr>
                <w:sz w:val="24"/>
              </w:rPr>
            </w:pPr>
            <w:r>
              <w:rPr>
                <w:sz w:val="24"/>
              </w:rPr>
              <w:t>通过WEB管理的方式实现多个网口（至少2个网口）绑定的创建、编辑、修改，支持网口绑定设置Ipv4、Ipv6地址，支持7种bond模式选择，配置VLAN ID、DNS地址。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Merge w:val="continue"/>
            <w:vAlign w:val="center"/>
          </w:tcPr>
          <w:p>
            <w:pPr>
              <w:spacing w:line="360" w:lineRule="auto"/>
              <w:rPr>
                <w:sz w:val="24"/>
              </w:rPr>
            </w:pPr>
          </w:p>
        </w:tc>
        <w:tc>
          <w:tcPr>
            <w:tcW w:w="763" w:type="pct"/>
            <w:vMerge w:val="continue"/>
            <w:vAlign w:val="center"/>
          </w:tcPr>
          <w:p>
            <w:pPr>
              <w:spacing w:line="360" w:lineRule="auto"/>
              <w:rPr>
                <w:sz w:val="24"/>
              </w:rPr>
            </w:pPr>
          </w:p>
        </w:tc>
        <w:tc>
          <w:tcPr>
            <w:tcW w:w="436" w:type="pct"/>
            <w:vMerge w:val="continue"/>
            <w:vAlign w:val="center"/>
          </w:tcPr>
          <w:p>
            <w:pPr>
              <w:spacing w:line="360" w:lineRule="auto"/>
              <w:rPr>
                <w:sz w:val="24"/>
              </w:rPr>
            </w:pPr>
          </w:p>
        </w:tc>
        <w:tc>
          <w:tcPr>
            <w:tcW w:w="768" w:type="pct"/>
            <w:vAlign w:val="center"/>
          </w:tcPr>
          <w:p>
            <w:pPr>
              <w:spacing w:line="360" w:lineRule="auto"/>
              <w:rPr>
                <w:sz w:val="24"/>
              </w:rPr>
            </w:pPr>
            <w:r>
              <w:rPr>
                <w:sz w:val="24"/>
              </w:rPr>
              <w:t>日志管理</w:t>
            </w:r>
          </w:p>
        </w:tc>
        <w:tc>
          <w:tcPr>
            <w:tcW w:w="2611" w:type="pct"/>
          </w:tcPr>
          <w:p>
            <w:pPr>
              <w:spacing w:line="360" w:lineRule="auto"/>
              <w:rPr>
                <w:sz w:val="24"/>
              </w:rPr>
            </w:pPr>
            <w:r>
              <w:rPr>
                <w:sz w:val="24"/>
              </w:rPr>
              <w:t>支持对日志级别修改（info、error、debug、warn）、支持修改日志存储容量和存储时间。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Merge w:val="continue"/>
            <w:vAlign w:val="center"/>
          </w:tcPr>
          <w:p>
            <w:pPr>
              <w:spacing w:line="360" w:lineRule="auto"/>
              <w:rPr>
                <w:sz w:val="24"/>
              </w:rPr>
            </w:pPr>
          </w:p>
        </w:tc>
        <w:tc>
          <w:tcPr>
            <w:tcW w:w="763" w:type="pct"/>
            <w:vMerge w:val="continue"/>
            <w:vAlign w:val="center"/>
          </w:tcPr>
          <w:p>
            <w:pPr>
              <w:spacing w:line="360" w:lineRule="auto"/>
              <w:rPr>
                <w:sz w:val="24"/>
              </w:rPr>
            </w:pPr>
          </w:p>
        </w:tc>
        <w:tc>
          <w:tcPr>
            <w:tcW w:w="436" w:type="pct"/>
            <w:vMerge w:val="continue"/>
            <w:vAlign w:val="center"/>
          </w:tcPr>
          <w:p>
            <w:pPr>
              <w:spacing w:line="360" w:lineRule="auto"/>
              <w:rPr>
                <w:sz w:val="24"/>
              </w:rPr>
            </w:pPr>
          </w:p>
        </w:tc>
        <w:tc>
          <w:tcPr>
            <w:tcW w:w="768" w:type="pct"/>
            <w:vAlign w:val="center"/>
          </w:tcPr>
          <w:p>
            <w:pPr>
              <w:spacing w:line="360" w:lineRule="auto"/>
              <w:rPr>
                <w:sz w:val="24"/>
              </w:rPr>
            </w:pPr>
            <w:r>
              <w:rPr>
                <w:bCs/>
                <w:sz w:val="24"/>
              </w:rPr>
              <w:t>管理和运维工具</w:t>
            </w:r>
          </w:p>
        </w:tc>
        <w:tc>
          <w:tcPr>
            <w:tcW w:w="2611" w:type="pct"/>
          </w:tcPr>
          <w:p>
            <w:pPr>
              <w:spacing w:line="360" w:lineRule="auto"/>
              <w:rPr>
                <w:sz w:val="24"/>
              </w:rPr>
            </w:pPr>
            <w:r>
              <w:rPr>
                <w:sz w:val="24"/>
              </w:rPr>
              <w:t>支持B/S和C/S图形化的设备管理软件，具备设备管理、用户管理、密钥管理等功能。</w:t>
            </w:r>
          </w:p>
          <w:p>
            <w:pPr>
              <w:spacing w:line="360" w:lineRule="auto"/>
              <w:rPr>
                <w:sz w:val="24"/>
              </w:rPr>
            </w:pPr>
            <w:r>
              <w:rPr>
                <w:sz w:val="24"/>
              </w:rPr>
              <w:t>支持WEB系统运维工具，测试IP连通性、端口连通性和查看调试日志</w:t>
            </w:r>
          </w:p>
          <w:p>
            <w:pPr>
              <w:spacing w:line="360" w:lineRule="auto"/>
              <w:rPr>
                <w:sz w:val="24"/>
              </w:rPr>
            </w:pPr>
            <w:r>
              <w:rPr>
                <w:sz w:val="24"/>
              </w:rPr>
              <w:t>支持密码算法接口WEB在线测试工具，检测对称加解密、非对称加解密、签名验签、杂凑运算。选择不同算法、算法模式、IV值，输入明文之后加密输出密文。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Merge w:val="continue"/>
            <w:vAlign w:val="center"/>
          </w:tcPr>
          <w:p>
            <w:pPr>
              <w:spacing w:line="360" w:lineRule="auto"/>
              <w:rPr>
                <w:sz w:val="24"/>
              </w:rPr>
            </w:pPr>
          </w:p>
        </w:tc>
        <w:tc>
          <w:tcPr>
            <w:tcW w:w="763" w:type="pct"/>
            <w:vMerge w:val="continue"/>
            <w:vAlign w:val="center"/>
          </w:tcPr>
          <w:p>
            <w:pPr>
              <w:spacing w:line="360" w:lineRule="auto"/>
              <w:rPr>
                <w:sz w:val="24"/>
              </w:rPr>
            </w:pPr>
          </w:p>
        </w:tc>
        <w:tc>
          <w:tcPr>
            <w:tcW w:w="436" w:type="pct"/>
            <w:vMerge w:val="continue"/>
            <w:vAlign w:val="center"/>
          </w:tcPr>
          <w:p>
            <w:pPr>
              <w:spacing w:line="360" w:lineRule="auto"/>
              <w:rPr>
                <w:sz w:val="24"/>
              </w:rPr>
            </w:pPr>
          </w:p>
        </w:tc>
        <w:tc>
          <w:tcPr>
            <w:tcW w:w="768" w:type="pct"/>
            <w:vAlign w:val="center"/>
          </w:tcPr>
          <w:p>
            <w:pPr>
              <w:spacing w:line="360" w:lineRule="auto"/>
              <w:rPr>
                <w:sz w:val="24"/>
              </w:rPr>
            </w:pPr>
            <w:r>
              <w:rPr>
                <w:sz w:val="24"/>
              </w:rPr>
              <w:t>兼容性</w:t>
            </w:r>
          </w:p>
        </w:tc>
        <w:tc>
          <w:tcPr>
            <w:tcW w:w="2611" w:type="pct"/>
          </w:tcPr>
          <w:p>
            <w:pPr>
              <w:spacing w:line="360" w:lineRule="auto"/>
              <w:rPr>
                <w:sz w:val="24"/>
              </w:rPr>
            </w:pPr>
            <w:r>
              <w:rPr>
                <w:sz w:val="24"/>
              </w:rPr>
              <w:t>API接口应符合GB/T 36322-2018《信息安全技术密码设备应用接口规范》标准接口，应支持国际标准的PKCS#1、PKCS#7、PKCS#10、PKCS#12、JCE等通用接口调用。支持 JAVA、C、C++、HTTPS/HTTP程序语言等。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Merge w:val="continue"/>
            <w:vAlign w:val="center"/>
          </w:tcPr>
          <w:p>
            <w:pPr>
              <w:spacing w:line="360" w:lineRule="auto"/>
              <w:rPr>
                <w:sz w:val="24"/>
              </w:rPr>
            </w:pPr>
          </w:p>
        </w:tc>
        <w:tc>
          <w:tcPr>
            <w:tcW w:w="763" w:type="pct"/>
            <w:vMerge w:val="continue"/>
            <w:vAlign w:val="center"/>
          </w:tcPr>
          <w:p>
            <w:pPr>
              <w:spacing w:line="360" w:lineRule="auto"/>
              <w:rPr>
                <w:sz w:val="24"/>
              </w:rPr>
            </w:pPr>
          </w:p>
        </w:tc>
        <w:tc>
          <w:tcPr>
            <w:tcW w:w="436" w:type="pct"/>
            <w:vMerge w:val="continue"/>
            <w:vAlign w:val="center"/>
          </w:tcPr>
          <w:p>
            <w:pPr>
              <w:spacing w:line="360" w:lineRule="auto"/>
              <w:rPr>
                <w:sz w:val="24"/>
              </w:rPr>
            </w:pPr>
          </w:p>
        </w:tc>
        <w:tc>
          <w:tcPr>
            <w:tcW w:w="768" w:type="pct"/>
            <w:vAlign w:val="center"/>
          </w:tcPr>
          <w:p>
            <w:pPr>
              <w:spacing w:line="360" w:lineRule="auto"/>
              <w:rPr>
                <w:sz w:val="24"/>
              </w:rPr>
            </w:pPr>
            <w:r>
              <w:rPr>
                <w:sz w:val="24"/>
              </w:rPr>
              <w:t>质保服务</w:t>
            </w:r>
          </w:p>
        </w:tc>
        <w:tc>
          <w:tcPr>
            <w:tcW w:w="2611" w:type="pct"/>
          </w:tcPr>
          <w:p>
            <w:pPr>
              <w:spacing w:line="360" w:lineRule="auto"/>
              <w:rPr>
                <w:sz w:val="24"/>
              </w:rPr>
            </w:pPr>
            <w:r>
              <w:rPr>
                <w:sz w:val="24"/>
              </w:rPr>
              <w:t>提供不少于3年质保服务。</w:t>
            </w:r>
          </w:p>
        </w:tc>
      </w:tr>
      <w:bookmarkEnd w:id="72"/>
    </w:tbl>
    <w:p>
      <w:pPr>
        <w:pStyle w:val="5"/>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12、</w:t>
      </w:r>
      <w:r>
        <w:rPr>
          <w:rFonts w:ascii="Times New Roman" w:hAnsi="Times New Roman" w:eastAsia="宋体" w:cs="Times New Roman"/>
          <w:sz w:val="24"/>
          <w:szCs w:val="24"/>
        </w:rPr>
        <w:t>等保整改负载均衡</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417"/>
        <w:gridCol w:w="789"/>
        <w:gridCol w:w="1415"/>
        <w:gridCol w:w="4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spacing w:line="360" w:lineRule="auto"/>
              <w:rPr>
                <w:b/>
                <w:bCs/>
                <w:sz w:val="24"/>
              </w:rPr>
            </w:pPr>
            <w:bookmarkStart w:id="73" w:name="_Hlk180681716"/>
            <w:r>
              <w:rPr>
                <w:b/>
                <w:bCs/>
                <w:sz w:val="24"/>
              </w:rPr>
              <w:t>序号</w:t>
            </w:r>
          </w:p>
        </w:tc>
        <w:tc>
          <w:tcPr>
            <w:tcW w:w="763" w:type="pct"/>
            <w:vAlign w:val="center"/>
          </w:tcPr>
          <w:p>
            <w:pPr>
              <w:spacing w:line="360" w:lineRule="auto"/>
              <w:rPr>
                <w:b/>
                <w:bCs/>
                <w:sz w:val="24"/>
              </w:rPr>
            </w:pPr>
            <w:r>
              <w:rPr>
                <w:b/>
                <w:bCs/>
                <w:sz w:val="24"/>
              </w:rPr>
              <w:t>设备名称</w:t>
            </w:r>
          </w:p>
        </w:tc>
        <w:tc>
          <w:tcPr>
            <w:tcW w:w="425" w:type="pct"/>
            <w:vAlign w:val="center"/>
          </w:tcPr>
          <w:p>
            <w:pPr>
              <w:spacing w:line="360" w:lineRule="auto"/>
              <w:rPr>
                <w:b/>
                <w:bCs/>
                <w:sz w:val="24"/>
              </w:rPr>
            </w:pPr>
            <w:r>
              <w:rPr>
                <w:b/>
                <w:bCs/>
                <w:sz w:val="24"/>
              </w:rPr>
              <w:t>数量</w:t>
            </w:r>
          </w:p>
        </w:tc>
        <w:tc>
          <w:tcPr>
            <w:tcW w:w="762" w:type="pct"/>
            <w:vAlign w:val="center"/>
          </w:tcPr>
          <w:p>
            <w:pPr>
              <w:spacing w:line="360" w:lineRule="auto"/>
              <w:rPr>
                <w:b/>
                <w:bCs/>
                <w:sz w:val="24"/>
              </w:rPr>
            </w:pPr>
            <w:r>
              <w:rPr>
                <w:b/>
                <w:bCs/>
                <w:sz w:val="24"/>
              </w:rPr>
              <w:t>指标项</w:t>
            </w:r>
          </w:p>
        </w:tc>
        <w:tc>
          <w:tcPr>
            <w:tcW w:w="2629" w:type="pct"/>
          </w:tcPr>
          <w:p>
            <w:pPr>
              <w:spacing w:line="360" w:lineRule="auto"/>
              <w:rPr>
                <w:b/>
                <w:bCs/>
                <w:sz w:val="24"/>
              </w:rPr>
            </w:pPr>
            <w:r>
              <w:rPr>
                <w:b/>
                <w:bCs/>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Merge w:val="restart"/>
            <w:vAlign w:val="center"/>
          </w:tcPr>
          <w:p>
            <w:pPr>
              <w:spacing w:line="360" w:lineRule="auto"/>
              <w:rPr>
                <w:sz w:val="24"/>
              </w:rPr>
            </w:pPr>
            <w:r>
              <w:rPr>
                <w:sz w:val="24"/>
              </w:rPr>
              <w:t>1</w:t>
            </w:r>
          </w:p>
        </w:tc>
        <w:tc>
          <w:tcPr>
            <w:tcW w:w="763" w:type="pct"/>
            <w:vMerge w:val="restart"/>
            <w:vAlign w:val="center"/>
          </w:tcPr>
          <w:p>
            <w:pPr>
              <w:spacing w:line="360" w:lineRule="auto"/>
              <w:rPr>
                <w:sz w:val="24"/>
              </w:rPr>
            </w:pPr>
            <w:r>
              <w:rPr>
                <w:sz w:val="24"/>
              </w:rPr>
              <w:t>等保整改负载均衡</w:t>
            </w:r>
          </w:p>
        </w:tc>
        <w:tc>
          <w:tcPr>
            <w:tcW w:w="425" w:type="pct"/>
            <w:vMerge w:val="restart"/>
            <w:vAlign w:val="center"/>
          </w:tcPr>
          <w:p>
            <w:pPr>
              <w:spacing w:line="360" w:lineRule="auto"/>
              <w:rPr>
                <w:sz w:val="24"/>
              </w:rPr>
            </w:pPr>
            <w:r>
              <w:rPr>
                <w:sz w:val="24"/>
              </w:rPr>
              <w:t>2台</w:t>
            </w:r>
          </w:p>
        </w:tc>
        <w:tc>
          <w:tcPr>
            <w:tcW w:w="762" w:type="pct"/>
            <w:vAlign w:val="center"/>
          </w:tcPr>
          <w:p>
            <w:pPr>
              <w:spacing w:line="360" w:lineRule="auto"/>
              <w:rPr>
                <w:sz w:val="24"/>
              </w:rPr>
            </w:pPr>
            <w:r>
              <w:rPr>
                <w:sz w:val="24"/>
              </w:rPr>
              <w:t>基本要求</w:t>
            </w:r>
          </w:p>
        </w:tc>
        <w:tc>
          <w:tcPr>
            <w:tcW w:w="2629" w:type="pct"/>
          </w:tcPr>
          <w:p>
            <w:pPr>
              <w:spacing w:line="360" w:lineRule="auto"/>
              <w:rPr>
                <w:sz w:val="24"/>
              </w:rPr>
            </w:pPr>
            <w:r>
              <w:rPr>
                <w:sz w:val="24"/>
              </w:rPr>
              <w:t>4层吞吐量≥20Gbps，四层并发连接数≥16000000，4层新建连接数 CPS≥500000，7层新建请求数 RPS≥500000。</w:t>
            </w:r>
          </w:p>
          <w:p>
            <w:pPr>
              <w:spacing w:line="360" w:lineRule="auto"/>
              <w:rPr>
                <w:sz w:val="24"/>
              </w:rPr>
            </w:pPr>
            <w:r>
              <w:rPr>
                <w:sz w:val="24"/>
              </w:rPr>
              <w:t>硬件参数: 规格:≥2U，内存大小≥16G，硬盘容量≥240G SSD，冗余电源，千兆电口≥6个，万兆光口（含对应光模块）≥4个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Merge w:val="continue"/>
            <w:vAlign w:val="center"/>
          </w:tcPr>
          <w:p>
            <w:pPr>
              <w:spacing w:line="360" w:lineRule="auto"/>
              <w:rPr>
                <w:sz w:val="24"/>
              </w:rPr>
            </w:pPr>
          </w:p>
        </w:tc>
        <w:tc>
          <w:tcPr>
            <w:tcW w:w="763" w:type="pct"/>
            <w:vMerge w:val="continue"/>
            <w:vAlign w:val="center"/>
          </w:tcPr>
          <w:p>
            <w:pPr>
              <w:spacing w:line="360" w:lineRule="auto"/>
              <w:rPr>
                <w:sz w:val="24"/>
              </w:rPr>
            </w:pPr>
          </w:p>
        </w:tc>
        <w:tc>
          <w:tcPr>
            <w:tcW w:w="425" w:type="pct"/>
            <w:vMerge w:val="continue"/>
            <w:vAlign w:val="center"/>
          </w:tcPr>
          <w:p>
            <w:pPr>
              <w:spacing w:line="360" w:lineRule="auto"/>
              <w:rPr>
                <w:sz w:val="24"/>
              </w:rPr>
            </w:pPr>
          </w:p>
        </w:tc>
        <w:tc>
          <w:tcPr>
            <w:tcW w:w="762" w:type="pct"/>
            <w:vAlign w:val="center"/>
          </w:tcPr>
          <w:p>
            <w:pPr>
              <w:spacing w:line="360" w:lineRule="auto"/>
              <w:rPr>
                <w:sz w:val="24"/>
              </w:rPr>
            </w:pPr>
            <w:r>
              <w:rPr>
                <w:sz w:val="24"/>
              </w:rPr>
              <w:t>设备部署</w:t>
            </w:r>
          </w:p>
        </w:tc>
        <w:tc>
          <w:tcPr>
            <w:tcW w:w="2629" w:type="pct"/>
          </w:tcPr>
          <w:p>
            <w:pPr>
              <w:spacing w:line="360" w:lineRule="auto"/>
              <w:rPr>
                <w:sz w:val="24"/>
              </w:rPr>
            </w:pPr>
            <w:r>
              <w:rPr>
                <w:sz w:val="24"/>
              </w:rPr>
              <w:t>支持串接部署方式和旁路部署方式，支持三角传输模式</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Merge w:val="continue"/>
            <w:vAlign w:val="center"/>
          </w:tcPr>
          <w:p>
            <w:pPr>
              <w:spacing w:line="360" w:lineRule="auto"/>
              <w:rPr>
                <w:sz w:val="24"/>
              </w:rPr>
            </w:pPr>
          </w:p>
        </w:tc>
        <w:tc>
          <w:tcPr>
            <w:tcW w:w="763" w:type="pct"/>
            <w:vMerge w:val="continue"/>
            <w:vAlign w:val="center"/>
          </w:tcPr>
          <w:p>
            <w:pPr>
              <w:spacing w:line="360" w:lineRule="auto"/>
              <w:rPr>
                <w:sz w:val="24"/>
              </w:rPr>
            </w:pPr>
          </w:p>
        </w:tc>
        <w:tc>
          <w:tcPr>
            <w:tcW w:w="425" w:type="pct"/>
            <w:vMerge w:val="continue"/>
            <w:vAlign w:val="center"/>
          </w:tcPr>
          <w:p>
            <w:pPr>
              <w:spacing w:line="360" w:lineRule="auto"/>
              <w:rPr>
                <w:sz w:val="24"/>
              </w:rPr>
            </w:pPr>
          </w:p>
        </w:tc>
        <w:tc>
          <w:tcPr>
            <w:tcW w:w="762" w:type="pct"/>
            <w:vAlign w:val="center"/>
          </w:tcPr>
          <w:p>
            <w:pPr>
              <w:spacing w:line="360" w:lineRule="auto"/>
              <w:rPr>
                <w:sz w:val="24"/>
              </w:rPr>
            </w:pPr>
            <w:r>
              <w:rPr>
                <w:sz w:val="24"/>
              </w:rPr>
              <w:t>多合一功能集成</w:t>
            </w:r>
          </w:p>
        </w:tc>
        <w:tc>
          <w:tcPr>
            <w:tcW w:w="2629" w:type="pct"/>
          </w:tcPr>
          <w:p>
            <w:pPr>
              <w:spacing w:line="360" w:lineRule="auto"/>
              <w:rPr>
                <w:sz w:val="24"/>
              </w:rPr>
            </w:pPr>
            <w:r>
              <w:rPr>
                <w:sz w:val="24"/>
              </w:rPr>
              <w:t>提供针对多条出口线路的链路负载均衡功能，实现inbound和outbound流量的均衡调度，以及链路之间的冗余互备。</w:t>
            </w:r>
          </w:p>
          <w:p>
            <w:pPr>
              <w:spacing w:line="360" w:lineRule="auto"/>
              <w:rPr>
                <w:sz w:val="24"/>
              </w:rPr>
            </w:pPr>
            <w:r>
              <w:rPr>
                <w:sz w:val="24"/>
              </w:rPr>
              <w:t>提供针对L4/L7内容交换的服务器负载均衡功能，可在单一设备上支持多个应用和服务器集群，可以根据多种算法和要求分配用户的请求。</w:t>
            </w:r>
          </w:p>
          <w:p>
            <w:pPr>
              <w:spacing w:line="360" w:lineRule="auto"/>
              <w:rPr>
                <w:sz w:val="24"/>
              </w:rPr>
            </w:pPr>
            <w:r>
              <w:rPr>
                <w:sz w:val="24"/>
              </w:rPr>
              <w:t>提供针对多站点业务发布的全局负载均衡功能，通过智能DNS等机制实现内外网用户对多个数据中心的最优接入路径选择</w:t>
            </w:r>
          </w:p>
          <w:p>
            <w:pPr>
              <w:spacing w:line="360" w:lineRule="auto"/>
              <w:rPr>
                <w:sz w:val="24"/>
              </w:rPr>
            </w:pPr>
            <w:r>
              <w:rPr>
                <w:sz w:val="24"/>
              </w:rPr>
              <w:t>单一设备可同时支持包括链路负载均衡、全局负载均衡和服务器负载均衡的功能。三种功能同时处于激活可使用状态，无需额外购买相应授权。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Merge w:val="continue"/>
            <w:vAlign w:val="center"/>
          </w:tcPr>
          <w:p>
            <w:pPr>
              <w:spacing w:line="360" w:lineRule="auto"/>
              <w:rPr>
                <w:sz w:val="24"/>
              </w:rPr>
            </w:pPr>
          </w:p>
        </w:tc>
        <w:tc>
          <w:tcPr>
            <w:tcW w:w="763" w:type="pct"/>
            <w:vMerge w:val="continue"/>
            <w:vAlign w:val="center"/>
          </w:tcPr>
          <w:p>
            <w:pPr>
              <w:spacing w:line="360" w:lineRule="auto"/>
              <w:rPr>
                <w:sz w:val="24"/>
              </w:rPr>
            </w:pPr>
          </w:p>
        </w:tc>
        <w:tc>
          <w:tcPr>
            <w:tcW w:w="425" w:type="pct"/>
            <w:vMerge w:val="continue"/>
            <w:vAlign w:val="center"/>
          </w:tcPr>
          <w:p>
            <w:pPr>
              <w:spacing w:line="360" w:lineRule="auto"/>
              <w:rPr>
                <w:sz w:val="24"/>
              </w:rPr>
            </w:pPr>
          </w:p>
        </w:tc>
        <w:tc>
          <w:tcPr>
            <w:tcW w:w="762" w:type="pct"/>
            <w:vAlign w:val="center"/>
          </w:tcPr>
          <w:p>
            <w:pPr>
              <w:spacing w:line="360" w:lineRule="auto"/>
              <w:rPr>
                <w:sz w:val="24"/>
              </w:rPr>
            </w:pPr>
            <w:r>
              <w:rPr>
                <w:sz w:val="24"/>
              </w:rPr>
              <w:t>负载均衡算法</w:t>
            </w:r>
          </w:p>
        </w:tc>
        <w:tc>
          <w:tcPr>
            <w:tcW w:w="2629" w:type="pct"/>
          </w:tcPr>
          <w:p>
            <w:pPr>
              <w:spacing w:line="360" w:lineRule="auto"/>
              <w:rPr>
                <w:sz w:val="24"/>
              </w:rPr>
            </w:pPr>
            <w:r>
              <w:rPr>
                <w:sz w:val="24"/>
              </w:rPr>
              <w:t>产品需支持轮询、加权轮询、按主机加权轮询、加权最小连接、按主机加权最小连接、动态反馈、最快响应、加权最小流量、按主机加权最小流量、加权源IP哈希、带宽比例、哈希、首个可用、优先级等算法。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Merge w:val="continue"/>
            <w:vAlign w:val="center"/>
          </w:tcPr>
          <w:p>
            <w:pPr>
              <w:spacing w:line="360" w:lineRule="auto"/>
              <w:rPr>
                <w:sz w:val="24"/>
              </w:rPr>
            </w:pPr>
          </w:p>
        </w:tc>
        <w:tc>
          <w:tcPr>
            <w:tcW w:w="763" w:type="pct"/>
            <w:vMerge w:val="continue"/>
            <w:vAlign w:val="center"/>
          </w:tcPr>
          <w:p>
            <w:pPr>
              <w:spacing w:line="360" w:lineRule="auto"/>
              <w:rPr>
                <w:sz w:val="24"/>
              </w:rPr>
            </w:pPr>
          </w:p>
        </w:tc>
        <w:tc>
          <w:tcPr>
            <w:tcW w:w="425" w:type="pct"/>
            <w:vMerge w:val="continue"/>
            <w:vAlign w:val="center"/>
          </w:tcPr>
          <w:p>
            <w:pPr>
              <w:spacing w:line="360" w:lineRule="auto"/>
              <w:rPr>
                <w:sz w:val="24"/>
              </w:rPr>
            </w:pPr>
          </w:p>
        </w:tc>
        <w:tc>
          <w:tcPr>
            <w:tcW w:w="762" w:type="pct"/>
            <w:vAlign w:val="center"/>
          </w:tcPr>
          <w:p>
            <w:pPr>
              <w:spacing w:line="360" w:lineRule="auto"/>
              <w:rPr>
                <w:sz w:val="24"/>
              </w:rPr>
            </w:pPr>
            <w:r>
              <w:rPr>
                <w:sz w:val="24"/>
              </w:rPr>
              <w:sym w:font="Wingdings" w:char="F0AB"/>
            </w:r>
            <w:r>
              <w:rPr>
                <w:sz w:val="24"/>
              </w:rPr>
              <w:t>可编程流量控制</w:t>
            </w:r>
          </w:p>
        </w:tc>
        <w:tc>
          <w:tcPr>
            <w:tcW w:w="2629" w:type="pct"/>
          </w:tcPr>
          <w:p>
            <w:pPr>
              <w:spacing w:line="360" w:lineRule="auto"/>
              <w:rPr>
                <w:sz w:val="24"/>
              </w:rPr>
            </w:pPr>
            <w:r>
              <w:rPr>
                <w:sz w:val="24"/>
              </w:rPr>
              <w:t>支持通过某种编程语言（如lua）实现自定义的流量编排，对IP、TCP、UDP、SSL、HTTP和HTTPS等类型的流量进行分发、修改和统计等操作。（</w:t>
            </w:r>
            <w:r>
              <w:rPr>
                <w:b/>
                <w:bCs/>
                <w:sz w:val="24"/>
              </w:rPr>
              <w:t>提供产品功能截图证明材料</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Merge w:val="continue"/>
            <w:vAlign w:val="center"/>
          </w:tcPr>
          <w:p>
            <w:pPr>
              <w:spacing w:line="360" w:lineRule="auto"/>
              <w:rPr>
                <w:sz w:val="24"/>
              </w:rPr>
            </w:pPr>
          </w:p>
        </w:tc>
        <w:tc>
          <w:tcPr>
            <w:tcW w:w="763" w:type="pct"/>
            <w:vMerge w:val="continue"/>
            <w:vAlign w:val="center"/>
          </w:tcPr>
          <w:p>
            <w:pPr>
              <w:spacing w:line="360" w:lineRule="auto"/>
              <w:rPr>
                <w:sz w:val="24"/>
              </w:rPr>
            </w:pPr>
          </w:p>
        </w:tc>
        <w:tc>
          <w:tcPr>
            <w:tcW w:w="425" w:type="pct"/>
            <w:vMerge w:val="continue"/>
            <w:vAlign w:val="center"/>
          </w:tcPr>
          <w:p>
            <w:pPr>
              <w:spacing w:line="360" w:lineRule="auto"/>
              <w:rPr>
                <w:sz w:val="24"/>
              </w:rPr>
            </w:pPr>
          </w:p>
        </w:tc>
        <w:tc>
          <w:tcPr>
            <w:tcW w:w="762" w:type="pct"/>
            <w:vAlign w:val="center"/>
          </w:tcPr>
          <w:p>
            <w:pPr>
              <w:spacing w:line="360" w:lineRule="auto"/>
              <w:rPr>
                <w:sz w:val="24"/>
              </w:rPr>
            </w:pPr>
            <w:r>
              <w:rPr>
                <w:sz w:val="24"/>
              </w:rPr>
              <w:t>链路负载均衡</w:t>
            </w:r>
          </w:p>
        </w:tc>
        <w:tc>
          <w:tcPr>
            <w:tcW w:w="2629" w:type="pct"/>
          </w:tcPr>
          <w:p>
            <w:pPr>
              <w:spacing w:line="360" w:lineRule="auto"/>
              <w:rPr>
                <w:sz w:val="24"/>
              </w:rPr>
            </w:pPr>
            <w:r>
              <w:rPr>
                <w:sz w:val="24"/>
              </w:rPr>
              <w:t>支持静态IP和PPPOE两种线路接入方式。</w:t>
            </w:r>
          </w:p>
          <w:p>
            <w:pPr>
              <w:spacing w:line="360" w:lineRule="auto"/>
              <w:rPr>
                <w:sz w:val="24"/>
              </w:rPr>
            </w:pPr>
            <w:r>
              <w:rPr>
                <w:sz w:val="24"/>
              </w:rPr>
              <w:t>支持基于五元组条件（源IP地址，源端口，目的IP地址，目的端口，传输层协议号）来进行出站访问的流量调度分发。</w:t>
            </w:r>
          </w:p>
          <w:p>
            <w:pPr>
              <w:spacing w:line="360" w:lineRule="auto"/>
              <w:rPr>
                <w:sz w:val="24"/>
              </w:rPr>
            </w:pPr>
            <w:r>
              <w:rPr>
                <w:sz w:val="24"/>
              </w:rPr>
              <w:t>内置完备的IP地址库，无需手动导入并支持自动全网更新，可查看并编辑各国家、国内各省份的IP地址段和国内各大运营商IP地址段，并可灵活匹配IP地址库进行流量调度分发，实现链路负载功能。</w:t>
            </w:r>
          </w:p>
          <w:p>
            <w:pPr>
              <w:spacing w:line="360" w:lineRule="auto"/>
              <w:rPr>
                <w:sz w:val="24"/>
              </w:rPr>
            </w:pPr>
            <w:r>
              <w:rPr>
                <w:sz w:val="24"/>
              </w:rPr>
              <w:t>需支持基于URL的链路调度功能，内置不少于10万条的国外URL网址库，无需手动导入并支持自动更新，管理员可查看并进行编辑。实际部署时可根据URL将访问国外网站的请求调度到指定线路。</w:t>
            </w:r>
          </w:p>
          <w:p>
            <w:pPr>
              <w:spacing w:line="360" w:lineRule="auto"/>
              <w:rPr>
                <w:sz w:val="24"/>
              </w:rPr>
            </w:pPr>
            <w:r>
              <w:rPr>
                <w:sz w:val="24"/>
              </w:rPr>
              <w:t>支持基于应用协议的智能选路，能对网银、游戏、视频等流量进行调度</w:t>
            </w:r>
          </w:p>
          <w:p>
            <w:pPr>
              <w:spacing w:line="360" w:lineRule="auto"/>
              <w:rPr>
                <w:sz w:val="24"/>
              </w:rPr>
            </w:pPr>
            <w:r>
              <w:rPr>
                <w:sz w:val="24"/>
              </w:rPr>
              <w:t>支持基于域名的流量调度，针对特定网站选择指定的链路转发。</w:t>
            </w:r>
          </w:p>
          <w:p>
            <w:pPr>
              <w:spacing w:line="360" w:lineRule="auto"/>
              <w:rPr>
                <w:sz w:val="24"/>
              </w:rPr>
            </w:pPr>
            <w:r>
              <w:rPr>
                <w:sz w:val="24"/>
              </w:rPr>
              <w:t>支持DNS透明代理功能，可基于负载均衡算法代理内网用户进行DNS请求转发，避免单运营商DNS解析出现单一链路流量过载，平衡多条运营商线路的带宽利用率</w:t>
            </w:r>
          </w:p>
          <w:p>
            <w:pPr>
              <w:spacing w:line="360" w:lineRule="auto"/>
              <w:rPr>
                <w:sz w:val="24"/>
              </w:rPr>
            </w:pPr>
            <w:r>
              <w:rPr>
                <w:sz w:val="24"/>
              </w:rPr>
              <w:t>支持DNS内网记录，包含A、AAAA、CNAME、MX和TXT等类型，可识别内网用户并对其DNS请求直接返回相应结果；</w:t>
            </w:r>
          </w:p>
          <w:p>
            <w:pPr>
              <w:spacing w:line="360" w:lineRule="auto"/>
              <w:rPr>
                <w:sz w:val="24"/>
              </w:rPr>
            </w:pPr>
            <w:r>
              <w:rPr>
                <w:sz w:val="24"/>
              </w:rPr>
              <w:t>支持智能DNS解析功能，实现外网用户访问内网业务系统的最优路径选择。</w:t>
            </w:r>
          </w:p>
          <w:p>
            <w:pPr>
              <w:spacing w:line="360" w:lineRule="auto"/>
              <w:rPr>
                <w:sz w:val="24"/>
              </w:rPr>
            </w:pPr>
            <w:r>
              <w:rPr>
                <w:sz w:val="24"/>
              </w:rPr>
              <w:t>链路健康检查与服务器健康检查联动，入站负载跟服务器负载结合的时候，如果后端服务器全挂，则入站负载时也认为该虚拟IP（此时要求入站负载的虚拟IP与虚拟服务发布的IP组相同）也离线，从而达到联动效果。</w:t>
            </w:r>
          </w:p>
          <w:p>
            <w:pPr>
              <w:spacing w:line="360" w:lineRule="auto"/>
              <w:rPr>
                <w:sz w:val="24"/>
              </w:rPr>
            </w:pPr>
            <w:r>
              <w:rPr>
                <w:sz w:val="24"/>
              </w:rPr>
              <w:t>支持跨数据中心集群和跨数据中心会话保持</w:t>
            </w:r>
          </w:p>
          <w:p>
            <w:pPr>
              <w:spacing w:line="360" w:lineRule="auto"/>
              <w:rPr>
                <w:sz w:val="24"/>
              </w:rPr>
            </w:pPr>
            <w:r>
              <w:rPr>
                <w:sz w:val="24"/>
              </w:rPr>
              <w:t>支持多种链路检测方法，能够通过PING、TCP、HTTP等方式监控链路的连通性，当某一条链路故障时，可将访问流量切换到其它链路，保障用户业务的持久通畅。</w:t>
            </w:r>
          </w:p>
          <w:p>
            <w:pPr>
              <w:spacing w:line="360" w:lineRule="auto"/>
              <w:rPr>
                <w:sz w:val="24"/>
              </w:rPr>
            </w:pPr>
            <w:r>
              <w:rPr>
                <w:sz w:val="24"/>
              </w:rPr>
              <w:t>为保障管理人员对出口链路的有效运维，产品需支持链路负载投屏展示，能够分别基于链路监测、应用选路和ISP流量进行投屏展示分析。链路监测展示链路的健康状态、上下行带宽、总带宽、新建连接数、并发连接数和吞吐量；应用选路展示基于应用分类选择相应链路的示意图；ISP展示基于运营商分类选择链路的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Merge w:val="continue"/>
            <w:vAlign w:val="center"/>
          </w:tcPr>
          <w:p>
            <w:pPr>
              <w:spacing w:line="360" w:lineRule="auto"/>
              <w:rPr>
                <w:sz w:val="24"/>
              </w:rPr>
            </w:pPr>
          </w:p>
        </w:tc>
        <w:tc>
          <w:tcPr>
            <w:tcW w:w="763" w:type="pct"/>
            <w:vMerge w:val="continue"/>
            <w:vAlign w:val="center"/>
          </w:tcPr>
          <w:p>
            <w:pPr>
              <w:spacing w:line="360" w:lineRule="auto"/>
              <w:rPr>
                <w:sz w:val="24"/>
              </w:rPr>
            </w:pPr>
          </w:p>
        </w:tc>
        <w:tc>
          <w:tcPr>
            <w:tcW w:w="425" w:type="pct"/>
            <w:vMerge w:val="continue"/>
            <w:vAlign w:val="center"/>
          </w:tcPr>
          <w:p>
            <w:pPr>
              <w:spacing w:line="360" w:lineRule="auto"/>
              <w:rPr>
                <w:sz w:val="24"/>
              </w:rPr>
            </w:pPr>
          </w:p>
        </w:tc>
        <w:tc>
          <w:tcPr>
            <w:tcW w:w="762" w:type="pct"/>
            <w:vAlign w:val="center"/>
          </w:tcPr>
          <w:p>
            <w:pPr>
              <w:spacing w:line="360" w:lineRule="auto"/>
              <w:rPr>
                <w:sz w:val="24"/>
              </w:rPr>
            </w:pPr>
            <w:r>
              <w:rPr>
                <w:sz w:val="24"/>
              </w:rPr>
              <w:t>服务器负载均衡</w:t>
            </w:r>
          </w:p>
        </w:tc>
        <w:tc>
          <w:tcPr>
            <w:tcW w:w="2629" w:type="pct"/>
          </w:tcPr>
          <w:p>
            <w:pPr>
              <w:spacing w:line="360" w:lineRule="auto"/>
              <w:rPr>
                <w:sz w:val="24"/>
              </w:rPr>
            </w:pPr>
            <w:r>
              <w:rPr>
                <w:sz w:val="24"/>
              </w:rPr>
              <w:t>支持轮询、加权轮询、按主机加权轮询、加权最小连接、按主机加权最小连接、动态反馈、最快响应时间、加权最小流量、最小流量、最少连接、主机-最小流量、主机-最少连接调度、按主机加权最小流量、源IP源端口哈希、源IP哈希、URI哈希和HOST哈希等。</w:t>
            </w:r>
          </w:p>
          <w:p>
            <w:pPr>
              <w:spacing w:line="360" w:lineRule="auto"/>
              <w:rPr>
                <w:sz w:val="24"/>
              </w:rPr>
            </w:pPr>
            <w:r>
              <w:rPr>
                <w:sz w:val="24"/>
              </w:rPr>
              <w:t>支持被动式健康检查，可根据对业务流量的观测采样，辅助判断应用服务器健康状况；对常规HTTP应用可配置基于反映URL失效的HTTP响应状态码的观测判断机制，对于复杂应用可配置基于RST关闭连接和零窗口等异常TCP传输行为的观测判断机制。</w:t>
            </w:r>
          </w:p>
          <w:p>
            <w:pPr>
              <w:spacing w:line="360" w:lineRule="auto"/>
              <w:rPr>
                <w:sz w:val="24"/>
              </w:rPr>
            </w:pPr>
            <w:r>
              <w:rPr>
                <w:sz w:val="24"/>
              </w:rPr>
              <w:t>产品需支持面向服务器健康度的弹性调控机制，可通过监控业务流中的TCP传输异常来衡量服务器节点的有效性，尝试对性能不足的服务器临时开启过载保护，动态调节服务器的负载。</w:t>
            </w:r>
          </w:p>
          <w:p>
            <w:pPr>
              <w:spacing w:line="360" w:lineRule="auto"/>
              <w:rPr>
                <w:sz w:val="24"/>
              </w:rPr>
            </w:pPr>
            <w:r>
              <w:rPr>
                <w:sz w:val="24"/>
              </w:rPr>
              <w:t>支持主动探测方式与被动观测方式结合使用的服务器健康检查手段，以便适应各种复杂应用交互流程，保障业务系统的高可用性。</w:t>
            </w:r>
          </w:p>
          <w:p>
            <w:pPr>
              <w:spacing w:line="360" w:lineRule="auto"/>
              <w:rPr>
                <w:sz w:val="24"/>
              </w:rPr>
            </w:pPr>
            <w:r>
              <w:rPr>
                <w:sz w:val="24"/>
              </w:rPr>
              <w:t>支持Loose Initiation和Loose Close功能选项（支持非SYN建立会话的选择和任意FIN释放会话选择）</w:t>
            </w:r>
          </w:p>
          <w:p>
            <w:pPr>
              <w:spacing w:line="360" w:lineRule="auto"/>
              <w:rPr>
                <w:sz w:val="24"/>
              </w:rPr>
            </w:pPr>
            <w:r>
              <w:rPr>
                <w:sz w:val="24"/>
              </w:rPr>
              <w:t>支持服务器负载状态投屏展示，能够显示设备的电源状态、风扇转速、磁盘温度、CPU温度、CPU和内存占用率、新建连接数、并发连接数、吞吐情况、SSL新建和SSL吞吐数据、压缩优化和缓存优化数据；业务的健康状态、新建连接数、并发连接数、上下行流量、每秒请求数；节点池的调度算法、健康状态、新建连接数、并发连接数、上下行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Merge w:val="continue"/>
            <w:vAlign w:val="center"/>
          </w:tcPr>
          <w:p>
            <w:pPr>
              <w:spacing w:line="360" w:lineRule="auto"/>
              <w:rPr>
                <w:sz w:val="24"/>
              </w:rPr>
            </w:pPr>
          </w:p>
        </w:tc>
        <w:tc>
          <w:tcPr>
            <w:tcW w:w="763" w:type="pct"/>
            <w:vMerge w:val="continue"/>
            <w:vAlign w:val="center"/>
          </w:tcPr>
          <w:p>
            <w:pPr>
              <w:spacing w:line="360" w:lineRule="auto"/>
              <w:rPr>
                <w:sz w:val="24"/>
              </w:rPr>
            </w:pPr>
          </w:p>
        </w:tc>
        <w:tc>
          <w:tcPr>
            <w:tcW w:w="425" w:type="pct"/>
            <w:vMerge w:val="continue"/>
            <w:vAlign w:val="center"/>
          </w:tcPr>
          <w:p>
            <w:pPr>
              <w:spacing w:line="360" w:lineRule="auto"/>
              <w:rPr>
                <w:sz w:val="24"/>
              </w:rPr>
            </w:pPr>
          </w:p>
        </w:tc>
        <w:tc>
          <w:tcPr>
            <w:tcW w:w="762" w:type="pct"/>
            <w:vAlign w:val="center"/>
          </w:tcPr>
          <w:p>
            <w:pPr>
              <w:spacing w:line="360" w:lineRule="auto"/>
              <w:rPr>
                <w:sz w:val="24"/>
              </w:rPr>
            </w:pPr>
            <w:r>
              <w:rPr>
                <w:sz w:val="24"/>
              </w:rPr>
              <w:sym w:font="Wingdings" w:char="F0AB"/>
            </w:r>
            <w:r>
              <w:rPr>
                <w:sz w:val="24"/>
              </w:rPr>
              <w:t>全局负载</w:t>
            </w:r>
          </w:p>
        </w:tc>
        <w:tc>
          <w:tcPr>
            <w:tcW w:w="2629" w:type="pct"/>
          </w:tcPr>
          <w:p>
            <w:pPr>
              <w:spacing w:line="360" w:lineRule="auto"/>
              <w:rPr>
                <w:sz w:val="24"/>
              </w:rPr>
            </w:pPr>
            <w:r>
              <w:rPr>
                <w:sz w:val="24"/>
              </w:rPr>
              <w:t xml:space="preserve">支持标准的DNS服务，支持正向解析和反向解析功能，支持常用的记录类型，包括A、AAAA、CNAME、DNAME、MX、NS、TXT、PTR、SRV、DS、CAA、HINFO和NAPTR等； </w:t>
            </w:r>
          </w:p>
          <w:p>
            <w:pPr>
              <w:spacing w:line="360" w:lineRule="auto"/>
              <w:rPr>
                <w:sz w:val="24"/>
              </w:rPr>
            </w:pPr>
            <w:r>
              <w:rPr>
                <w:sz w:val="24"/>
              </w:rPr>
              <w:t>支持TCP和UDP DNS解析能力，支持设置EDNS缓冲区大小；</w:t>
            </w:r>
          </w:p>
          <w:p>
            <w:pPr>
              <w:spacing w:line="360" w:lineRule="auto"/>
              <w:rPr>
                <w:sz w:val="24"/>
              </w:rPr>
            </w:pPr>
            <w:r>
              <w:rPr>
                <w:sz w:val="24"/>
              </w:rPr>
              <w:t>需要内置互联网公开的根服务器(包括Ipv4和ipv6)，并且可自定义根服务器，支持一键恢复默认值；</w:t>
            </w:r>
          </w:p>
          <w:p>
            <w:pPr>
              <w:spacing w:line="360" w:lineRule="auto"/>
              <w:rPr>
                <w:sz w:val="24"/>
              </w:rPr>
            </w:pPr>
            <w:r>
              <w:rPr>
                <w:sz w:val="24"/>
              </w:rPr>
              <w:t>支持DNS缓存，可配置全局缓存最小时间和最大时间，并可设置MSG缓存大小、RR缓存大小、密钥缓存大小、否定记录缓存大小和否定记录最大缓存时间（</w:t>
            </w:r>
            <w:r>
              <w:rPr>
                <w:b/>
                <w:bCs/>
                <w:sz w:val="24"/>
              </w:rPr>
              <w:t>提供产品功能截图证明材料</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Merge w:val="continue"/>
            <w:vAlign w:val="center"/>
          </w:tcPr>
          <w:p>
            <w:pPr>
              <w:spacing w:line="360" w:lineRule="auto"/>
              <w:rPr>
                <w:sz w:val="24"/>
              </w:rPr>
            </w:pPr>
          </w:p>
        </w:tc>
        <w:tc>
          <w:tcPr>
            <w:tcW w:w="763" w:type="pct"/>
            <w:vMerge w:val="continue"/>
            <w:vAlign w:val="center"/>
          </w:tcPr>
          <w:p>
            <w:pPr>
              <w:spacing w:line="360" w:lineRule="auto"/>
              <w:rPr>
                <w:sz w:val="24"/>
              </w:rPr>
            </w:pPr>
          </w:p>
        </w:tc>
        <w:tc>
          <w:tcPr>
            <w:tcW w:w="425" w:type="pct"/>
            <w:vMerge w:val="continue"/>
            <w:vAlign w:val="center"/>
          </w:tcPr>
          <w:p>
            <w:pPr>
              <w:spacing w:line="360" w:lineRule="auto"/>
              <w:rPr>
                <w:sz w:val="24"/>
              </w:rPr>
            </w:pPr>
          </w:p>
        </w:tc>
        <w:tc>
          <w:tcPr>
            <w:tcW w:w="762" w:type="pct"/>
            <w:vAlign w:val="center"/>
          </w:tcPr>
          <w:p>
            <w:pPr>
              <w:spacing w:line="360" w:lineRule="auto"/>
              <w:rPr>
                <w:sz w:val="24"/>
              </w:rPr>
            </w:pPr>
            <w:r>
              <w:rPr>
                <w:sz w:val="24"/>
              </w:rPr>
              <w:t>运维管理</w:t>
            </w:r>
          </w:p>
        </w:tc>
        <w:tc>
          <w:tcPr>
            <w:tcW w:w="2629" w:type="pct"/>
          </w:tcPr>
          <w:p>
            <w:pPr>
              <w:spacing w:line="360" w:lineRule="auto"/>
              <w:rPr>
                <w:sz w:val="24"/>
              </w:rPr>
            </w:pPr>
            <w:r>
              <w:rPr>
                <w:sz w:val="24"/>
              </w:rPr>
              <w:t>支持全中文管理界面和HTTPS方式登录、用户角色管理、多级授权管理</w:t>
            </w:r>
          </w:p>
          <w:p>
            <w:pPr>
              <w:spacing w:line="360" w:lineRule="auto"/>
              <w:rPr>
                <w:sz w:val="24"/>
              </w:rPr>
            </w:pPr>
            <w:r>
              <w:rPr>
                <w:sz w:val="24"/>
              </w:rPr>
              <w:t xml:space="preserve">支持命令行配置，支持Tab键补全操作，支持界面全部模块通过命令行的模式配置，支持命令批量操作，支持配置导入导出命令行操作； </w:t>
            </w:r>
          </w:p>
          <w:p>
            <w:pPr>
              <w:spacing w:line="360" w:lineRule="auto"/>
              <w:rPr>
                <w:sz w:val="24"/>
              </w:rPr>
            </w:pPr>
            <w:r>
              <w:rPr>
                <w:sz w:val="24"/>
              </w:rPr>
              <w:t>支持SNMP v1/v2c/v3，提供标准的MIB库下载，可接受第三方网管平台的管理；</w:t>
            </w:r>
          </w:p>
          <w:p>
            <w:pPr>
              <w:spacing w:line="360" w:lineRule="auto"/>
              <w:rPr>
                <w:sz w:val="24"/>
              </w:rPr>
            </w:pPr>
            <w:r>
              <w:rPr>
                <w:sz w:val="24"/>
              </w:rPr>
              <w:t>内置智能告警系统, 支持E-mail、SNMP Trap两种告警方式，管理员可基于业务安全所关注方面来选择告警触发事件与对应的告警方式，当业务网络环境中发生问题时（如服务器宕机、网络攻击、链路中断等故障场景），即会自动向管理员发送告警信息。</w:t>
            </w:r>
          </w:p>
          <w:p>
            <w:pPr>
              <w:spacing w:line="360" w:lineRule="auto"/>
              <w:rPr>
                <w:sz w:val="24"/>
              </w:rPr>
            </w:pPr>
            <w:r>
              <w:rPr>
                <w:sz w:val="24"/>
              </w:rPr>
              <w:t>设备内置数据中心，支持自动订阅和手动生成两种方式输出PDF格式的报表。报表可对链路和服务器的稳定性进行统计，可查询服务器的异常状态信息，并提供对故障原因的分析</w:t>
            </w:r>
          </w:p>
          <w:p>
            <w:pPr>
              <w:spacing w:line="360" w:lineRule="auto"/>
              <w:rPr>
                <w:sz w:val="24"/>
              </w:rPr>
            </w:pPr>
            <w:r>
              <w:rPr>
                <w:sz w:val="24"/>
              </w:rPr>
              <w:t>支持标准的RESTful形式的API接口，可实现与第三方应用平台的集成与二次开发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Merge w:val="continue"/>
            <w:vAlign w:val="center"/>
          </w:tcPr>
          <w:p>
            <w:pPr>
              <w:spacing w:line="360" w:lineRule="auto"/>
              <w:rPr>
                <w:sz w:val="24"/>
              </w:rPr>
            </w:pPr>
          </w:p>
        </w:tc>
        <w:tc>
          <w:tcPr>
            <w:tcW w:w="763" w:type="pct"/>
            <w:vMerge w:val="continue"/>
            <w:vAlign w:val="center"/>
          </w:tcPr>
          <w:p>
            <w:pPr>
              <w:spacing w:line="360" w:lineRule="auto"/>
              <w:rPr>
                <w:sz w:val="24"/>
              </w:rPr>
            </w:pPr>
          </w:p>
        </w:tc>
        <w:tc>
          <w:tcPr>
            <w:tcW w:w="425" w:type="pct"/>
            <w:vMerge w:val="continue"/>
            <w:vAlign w:val="center"/>
          </w:tcPr>
          <w:p>
            <w:pPr>
              <w:spacing w:line="360" w:lineRule="auto"/>
              <w:rPr>
                <w:sz w:val="24"/>
              </w:rPr>
            </w:pPr>
          </w:p>
        </w:tc>
        <w:tc>
          <w:tcPr>
            <w:tcW w:w="762" w:type="pct"/>
            <w:vAlign w:val="center"/>
          </w:tcPr>
          <w:p>
            <w:pPr>
              <w:spacing w:line="360" w:lineRule="auto"/>
              <w:rPr>
                <w:sz w:val="24"/>
              </w:rPr>
            </w:pPr>
            <w:r>
              <w:rPr>
                <w:sz w:val="24"/>
              </w:rPr>
              <w:t>其他</w:t>
            </w:r>
          </w:p>
        </w:tc>
        <w:tc>
          <w:tcPr>
            <w:tcW w:w="2629" w:type="pct"/>
          </w:tcPr>
          <w:p>
            <w:pPr>
              <w:spacing w:line="360" w:lineRule="auto"/>
              <w:rPr>
                <w:sz w:val="24"/>
              </w:rPr>
            </w:pPr>
            <w:r>
              <w:rPr>
                <w:sz w:val="24"/>
              </w:rPr>
              <w:t>中标后七个工作日内需提供软件对上述功能进行逐一测试，测试中若发现有虚假应标行为，采购人保留追究法律责任的权力。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Merge w:val="continue"/>
            <w:vAlign w:val="center"/>
          </w:tcPr>
          <w:p>
            <w:pPr>
              <w:spacing w:line="360" w:lineRule="auto"/>
              <w:rPr>
                <w:sz w:val="24"/>
              </w:rPr>
            </w:pPr>
          </w:p>
        </w:tc>
        <w:tc>
          <w:tcPr>
            <w:tcW w:w="763" w:type="pct"/>
            <w:vMerge w:val="continue"/>
            <w:vAlign w:val="center"/>
          </w:tcPr>
          <w:p>
            <w:pPr>
              <w:spacing w:line="360" w:lineRule="auto"/>
              <w:rPr>
                <w:sz w:val="24"/>
              </w:rPr>
            </w:pPr>
          </w:p>
        </w:tc>
        <w:tc>
          <w:tcPr>
            <w:tcW w:w="425" w:type="pct"/>
            <w:vMerge w:val="continue"/>
            <w:vAlign w:val="center"/>
          </w:tcPr>
          <w:p>
            <w:pPr>
              <w:spacing w:line="360" w:lineRule="auto"/>
              <w:rPr>
                <w:sz w:val="24"/>
              </w:rPr>
            </w:pPr>
          </w:p>
        </w:tc>
        <w:tc>
          <w:tcPr>
            <w:tcW w:w="762" w:type="pct"/>
            <w:vAlign w:val="center"/>
          </w:tcPr>
          <w:p>
            <w:pPr>
              <w:spacing w:line="360" w:lineRule="auto"/>
              <w:rPr>
                <w:sz w:val="24"/>
              </w:rPr>
            </w:pPr>
            <w:r>
              <w:rPr>
                <w:sz w:val="24"/>
              </w:rPr>
              <w:t>质保服务</w:t>
            </w:r>
          </w:p>
        </w:tc>
        <w:tc>
          <w:tcPr>
            <w:tcW w:w="2629" w:type="pct"/>
          </w:tcPr>
          <w:p>
            <w:pPr>
              <w:spacing w:line="360" w:lineRule="auto"/>
              <w:rPr>
                <w:sz w:val="24"/>
              </w:rPr>
            </w:pPr>
            <w:r>
              <w:rPr>
                <w:sz w:val="24"/>
              </w:rPr>
              <w:t>提供不少于3年质保服务。</w:t>
            </w:r>
          </w:p>
        </w:tc>
      </w:tr>
      <w:bookmarkEnd w:id="73"/>
    </w:tbl>
    <w:p>
      <w:pPr>
        <w:pStyle w:val="5"/>
        <w:spacing w:before="0" w:after="0" w:line="360" w:lineRule="auto"/>
        <w:ind w:left="0" w:firstLine="482"/>
        <w:jc w:val="both"/>
        <w:rPr>
          <w:rFonts w:ascii="Times New Roman" w:hAnsi="Times New Roman" w:eastAsia="宋体" w:cs="Times New Roman"/>
          <w:sz w:val="24"/>
          <w:szCs w:val="24"/>
        </w:rPr>
      </w:pPr>
      <w:bookmarkStart w:id="74" w:name="_Hlk180681731"/>
      <w:r>
        <w:rPr>
          <w:rFonts w:hint="eastAsia" w:ascii="Times New Roman" w:hAnsi="Times New Roman" w:eastAsia="宋体" w:cs="Times New Roman"/>
          <w:sz w:val="24"/>
          <w:szCs w:val="24"/>
        </w:rPr>
        <w:t>13、</w:t>
      </w:r>
      <w:r>
        <w:rPr>
          <w:rFonts w:ascii="Times New Roman" w:hAnsi="Times New Roman" w:eastAsia="宋体" w:cs="Times New Roman"/>
          <w:sz w:val="24"/>
          <w:szCs w:val="24"/>
        </w:rPr>
        <w:t>自助机（带报告打印）</w:t>
      </w:r>
      <w:bookmarkEnd w:id="74"/>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5"/>
        <w:gridCol w:w="7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44" w:type="pct"/>
            <w:vAlign w:val="center"/>
          </w:tcPr>
          <w:p>
            <w:pPr>
              <w:widowControl/>
              <w:spacing w:line="360" w:lineRule="auto"/>
              <w:jc w:val="center"/>
              <w:outlineLvl w:val="2"/>
              <w:rPr>
                <w:b/>
                <w:bCs/>
                <w:sz w:val="24"/>
              </w:rPr>
            </w:pPr>
            <w:bookmarkStart w:id="75" w:name="_Hlk180681742"/>
            <w:r>
              <w:rPr>
                <w:b/>
                <w:bCs/>
                <w:sz w:val="24"/>
              </w:rPr>
              <w:t>配置</w:t>
            </w:r>
          </w:p>
        </w:tc>
        <w:tc>
          <w:tcPr>
            <w:tcW w:w="3855" w:type="pct"/>
            <w:vAlign w:val="center"/>
          </w:tcPr>
          <w:p>
            <w:pPr>
              <w:widowControl/>
              <w:spacing w:line="360" w:lineRule="auto"/>
              <w:jc w:val="center"/>
              <w:outlineLvl w:val="2"/>
              <w:rPr>
                <w:b/>
                <w:bCs/>
                <w:sz w:val="24"/>
              </w:rPr>
            </w:pPr>
            <w:r>
              <w:rPr>
                <w:b/>
                <w:bCs/>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vAlign w:val="center"/>
          </w:tcPr>
          <w:p>
            <w:pPr>
              <w:widowControl/>
              <w:spacing w:line="360" w:lineRule="auto"/>
              <w:jc w:val="center"/>
              <w:outlineLvl w:val="2"/>
              <w:rPr>
                <w:sz w:val="24"/>
              </w:rPr>
            </w:pPr>
            <w:r>
              <w:rPr>
                <w:sz w:val="24"/>
              </w:rPr>
              <w:t>机柜</w:t>
            </w:r>
          </w:p>
        </w:tc>
        <w:tc>
          <w:tcPr>
            <w:tcW w:w="3855" w:type="pct"/>
          </w:tcPr>
          <w:p>
            <w:pPr>
              <w:widowControl/>
              <w:spacing w:line="360" w:lineRule="auto"/>
              <w:outlineLvl w:val="2"/>
              <w:rPr>
                <w:sz w:val="24"/>
              </w:rPr>
            </w:pPr>
            <w:r>
              <w:rPr>
                <w:kern w:val="0"/>
                <w:sz w:val="24"/>
              </w:rPr>
              <w:t>钢制柜体，钢板厚度≧1.5mm，机柜前后门</w:t>
            </w:r>
            <w:r>
              <w:rPr>
                <w:rFonts w:hint="eastAsia"/>
                <w:kern w:val="0"/>
                <w:sz w:val="24"/>
              </w:rPr>
              <w:t>应</w:t>
            </w:r>
            <w:r>
              <w:rPr>
                <w:kern w:val="0"/>
                <w:sz w:val="24"/>
              </w:rPr>
              <w:t>均可维护，机柜高度</w:t>
            </w:r>
            <w:r>
              <w:rPr>
                <w:rFonts w:hint="eastAsia"/>
                <w:kern w:val="0"/>
                <w:sz w:val="24"/>
              </w:rPr>
              <w:t>≥</w:t>
            </w:r>
            <w:r>
              <w:rPr>
                <w:kern w:val="0"/>
                <w:sz w:val="24"/>
              </w:rPr>
              <w:t>1.9M，宽</w:t>
            </w:r>
            <w:r>
              <w:rPr>
                <w:rFonts w:hint="eastAsia"/>
                <w:kern w:val="0"/>
                <w:sz w:val="24"/>
              </w:rPr>
              <w:t>≤</w:t>
            </w:r>
            <w:r>
              <w:rPr>
                <w:kern w:val="0"/>
                <w:sz w:val="24"/>
              </w:rPr>
              <w:t>700MM，厚</w:t>
            </w:r>
            <w:r>
              <w:rPr>
                <w:rFonts w:hint="eastAsia"/>
                <w:kern w:val="0"/>
                <w:sz w:val="24"/>
              </w:rPr>
              <w:t>≤</w:t>
            </w:r>
            <w:r>
              <w:rPr>
                <w:kern w:val="0"/>
                <w:sz w:val="24"/>
              </w:rPr>
              <w:t>620MM。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vAlign w:val="center"/>
          </w:tcPr>
          <w:p>
            <w:pPr>
              <w:widowControl/>
              <w:spacing w:line="360" w:lineRule="auto"/>
              <w:jc w:val="center"/>
              <w:outlineLvl w:val="2"/>
              <w:rPr>
                <w:sz w:val="24"/>
              </w:rPr>
            </w:pPr>
            <w:r>
              <w:rPr>
                <w:sz w:val="24"/>
              </w:rPr>
              <w:t>43寸触摸显示屏</w:t>
            </w:r>
          </w:p>
        </w:tc>
        <w:tc>
          <w:tcPr>
            <w:tcW w:w="3855" w:type="pct"/>
          </w:tcPr>
          <w:p>
            <w:pPr>
              <w:widowControl/>
              <w:spacing w:line="360" w:lineRule="auto"/>
              <w:outlineLvl w:val="2"/>
              <w:rPr>
                <w:sz w:val="24"/>
              </w:rPr>
            </w:pPr>
            <w:r>
              <w:rPr>
                <w:sz w:val="24"/>
              </w:rPr>
              <w:t>液晶屏技术参数：显示器尺寸</w:t>
            </w:r>
            <w:r>
              <w:rPr>
                <w:rFonts w:hint="eastAsia"/>
                <w:sz w:val="24"/>
              </w:rPr>
              <w:t>≥</w:t>
            </w:r>
            <w:r>
              <w:rPr>
                <w:sz w:val="24"/>
              </w:rPr>
              <w:t>43 英寸</w:t>
            </w:r>
          </w:p>
          <w:p>
            <w:pPr>
              <w:widowControl/>
              <w:spacing w:line="360" w:lineRule="auto"/>
              <w:outlineLvl w:val="2"/>
              <w:rPr>
                <w:sz w:val="24"/>
              </w:rPr>
            </w:pPr>
            <w:r>
              <w:rPr>
                <w:sz w:val="24"/>
              </w:rPr>
              <w:t>显示比例</w:t>
            </w:r>
            <w:r>
              <w:rPr>
                <w:rFonts w:hint="eastAsia"/>
                <w:sz w:val="24"/>
              </w:rPr>
              <w:t>：</w:t>
            </w:r>
            <w:r>
              <w:rPr>
                <w:sz w:val="24"/>
              </w:rPr>
              <w:t>16：9</w:t>
            </w:r>
          </w:p>
          <w:p>
            <w:pPr>
              <w:widowControl/>
              <w:spacing w:line="360" w:lineRule="auto"/>
              <w:outlineLvl w:val="2"/>
              <w:rPr>
                <w:sz w:val="24"/>
              </w:rPr>
            </w:pPr>
            <w:r>
              <w:rPr>
                <w:sz w:val="24"/>
              </w:rPr>
              <w:t>背光类型</w:t>
            </w:r>
            <w:r>
              <w:rPr>
                <w:rFonts w:hint="eastAsia"/>
                <w:sz w:val="24"/>
              </w:rPr>
              <w:t>：</w:t>
            </w:r>
            <w:r>
              <w:rPr>
                <w:sz w:val="24"/>
              </w:rPr>
              <w:t>LED</w:t>
            </w:r>
          </w:p>
          <w:p>
            <w:pPr>
              <w:widowControl/>
              <w:spacing w:line="360" w:lineRule="auto"/>
              <w:outlineLvl w:val="2"/>
              <w:rPr>
                <w:sz w:val="24"/>
              </w:rPr>
            </w:pPr>
            <w:r>
              <w:rPr>
                <w:sz w:val="24"/>
              </w:rPr>
              <w:t>分辨率</w:t>
            </w:r>
            <w:r>
              <w:rPr>
                <w:rFonts w:hint="eastAsia"/>
                <w:sz w:val="24"/>
              </w:rPr>
              <w:t>：不低于</w:t>
            </w:r>
            <w:r>
              <w:rPr>
                <w:sz w:val="24"/>
              </w:rPr>
              <w:t>1920 × 1080 @ 60 Hz</w:t>
            </w:r>
          </w:p>
          <w:p>
            <w:pPr>
              <w:widowControl/>
              <w:spacing w:line="360" w:lineRule="auto"/>
              <w:outlineLvl w:val="2"/>
              <w:rPr>
                <w:sz w:val="24"/>
              </w:rPr>
            </w:pPr>
            <w:r>
              <w:rPr>
                <w:sz w:val="24"/>
              </w:rPr>
              <w:t>响应时间</w:t>
            </w:r>
            <w:r>
              <w:rPr>
                <w:rFonts w:hint="eastAsia"/>
                <w:sz w:val="24"/>
              </w:rPr>
              <w:t>：≤</w:t>
            </w:r>
            <w:r>
              <w:rPr>
                <w:sz w:val="24"/>
              </w:rPr>
              <w:t>8ms</w:t>
            </w:r>
          </w:p>
          <w:p>
            <w:pPr>
              <w:widowControl/>
              <w:spacing w:line="360" w:lineRule="auto"/>
              <w:outlineLvl w:val="2"/>
              <w:rPr>
                <w:sz w:val="24"/>
              </w:rPr>
            </w:pPr>
            <w:r>
              <w:rPr>
                <w:sz w:val="24"/>
              </w:rPr>
              <w:t>亮度</w:t>
            </w:r>
            <w:r>
              <w:rPr>
                <w:rFonts w:hint="eastAsia"/>
                <w:sz w:val="24"/>
              </w:rPr>
              <w:t>：≥</w:t>
            </w:r>
            <w:r>
              <w:rPr>
                <w:sz w:val="24"/>
              </w:rPr>
              <w:t>330cd/m 2</w:t>
            </w:r>
          </w:p>
          <w:p>
            <w:pPr>
              <w:widowControl/>
              <w:spacing w:line="360" w:lineRule="auto"/>
              <w:outlineLvl w:val="2"/>
              <w:rPr>
                <w:sz w:val="24"/>
              </w:rPr>
            </w:pPr>
            <w:r>
              <w:rPr>
                <w:sz w:val="24"/>
              </w:rPr>
              <w:t>对比度(标准值)</w:t>
            </w:r>
            <w:r>
              <w:rPr>
                <w:rFonts w:hint="eastAsia"/>
                <w:sz w:val="24"/>
              </w:rPr>
              <w:t>：≥</w:t>
            </w:r>
            <w:r>
              <w:rPr>
                <w:sz w:val="24"/>
              </w:rPr>
              <w:t>1200:1</w:t>
            </w:r>
          </w:p>
          <w:p>
            <w:pPr>
              <w:widowControl/>
              <w:spacing w:line="360" w:lineRule="auto"/>
              <w:outlineLvl w:val="2"/>
              <w:rPr>
                <w:sz w:val="24"/>
              </w:rPr>
            </w:pPr>
            <w:r>
              <w:rPr>
                <w:sz w:val="24"/>
              </w:rPr>
              <w:t>视频输入格式</w:t>
            </w:r>
            <w:r>
              <w:rPr>
                <w:rFonts w:hint="eastAsia"/>
                <w:sz w:val="24"/>
              </w:rPr>
              <w:t>：支持</w:t>
            </w:r>
            <w:r>
              <w:rPr>
                <w:sz w:val="24"/>
              </w:rPr>
              <w:t>RGB 模拟信号/数字信号</w:t>
            </w:r>
          </w:p>
          <w:p>
            <w:pPr>
              <w:widowControl/>
              <w:spacing w:line="360" w:lineRule="auto"/>
              <w:outlineLvl w:val="2"/>
              <w:rPr>
                <w:sz w:val="24"/>
              </w:rPr>
            </w:pPr>
            <w:r>
              <w:rPr>
                <w:sz w:val="24"/>
              </w:rPr>
              <w:t>视频输入接口</w:t>
            </w:r>
            <w:r>
              <w:rPr>
                <w:rFonts w:hint="eastAsia"/>
                <w:sz w:val="24"/>
              </w:rPr>
              <w:t>：支持</w:t>
            </w:r>
            <w:r>
              <w:rPr>
                <w:sz w:val="24"/>
              </w:rPr>
              <w:t>VGA / HDMI</w:t>
            </w:r>
          </w:p>
          <w:p>
            <w:pPr>
              <w:widowControl/>
              <w:spacing w:line="360" w:lineRule="auto"/>
              <w:outlineLvl w:val="2"/>
              <w:rPr>
                <w:sz w:val="24"/>
              </w:rPr>
            </w:pPr>
            <w:r>
              <w:rPr>
                <w:sz w:val="24"/>
              </w:rPr>
              <w:t>输入频率</w:t>
            </w:r>
            <w:r>
              <w:rPr>
                <w:rFonts w:hint="eastAsia"/>
                <w:sz w:val="24"/>
              </w:rPr>
              <w:t>：</w:t>
            </w:r>
            <w:r>
              <w:rPr>
                <w:sz w:val="24"/>
              </w:rPr>
              <w:t>行频: 30~82 Hz 场频: 50~75 Hz</w:t>
            </w:r>
          </w:p>
          <w:p>
            <w:pPr>
              <w:widowControl/>
              <w:spacing w:line="360" w:lineRule="auto"/>
              <w:outlineLvl w:val="2"/>
              <w:rPr>
                <w:sz w:val="24"/>
              </w:rPr>
            </w:pPr>
            <w:r>
              <w:rPr>
                <w:sz w:val="24"/>
              </w:rPr>
              <w:t>场频</w:t>
            </w:r>
            <w:r>
              <w:rPr>
                <w:rFonts w:hint="eastAsia"/>
                <w:sz w:val="24"/>
              </w:rPr>
              <w:t>：</w:t>
            </w:r>
            <w:r>
              <w:rPr>
                <w:sz w:val="24"/>
              </w:rPr>
              <w:t xml:space="preserve"> 50～75 Hz</w:t>
            </w:r>
          </w:p>
          <w:p>
            <w:pPr>
              <w:widowControl/>
              <w:spacing w:line="360" w:lineRule="auto"/>
              <w:outlineLvl w:val="2"/>
              <w:rPr>
                <w:sz w:val="24"/>
              </w:rPr>
            </w:pPr>
            <w:r>
              <w:rPr>
                <w:sz w:val="24"/>
              </w:rPr>
              <w:t>功耗</w:t>
            </w:r>
            <w:r>
              <w:rPr>
                <w:rFonts w:hint="eastAsia"/>
                <w:sz w:val="24"/>
              </w:rPr>
              <w:t>：</w:t>
            </w:r>
            <w:r>
              <w:rPr>
                <w:sz w:val="24"/>
              </w:rPr>
              <w:t>≤50W</w:t>
            </w:r>
          </w:p>
          <w:p>
            <w:pPr>
              <w:widowControl/>
              <w:spacing w:line="360" w:lineRule="auto"/>
              <w:outlineLvl w:val="2"/>
              <w:rPr>
                <w:sz w:val="24"/>
              </w:rPr>
            </w:pPr>
            <w:r>
              <w:rPr>
                <w:sz w:val="24"/>
              </w:rPr>
              <w:t>触摸屏技术参数：</w:t>
            </w:r>
          </w:p>
          <w:p>
            <w:pPr>
              <w:widowControl/>
              <w:spacing w:line="360" w:lineRule="auto"/>
              <w:outlineLvl w:val="2"/>
              <w:rPr>
                <w:sz w:val="24"/>
              </w:rPr>
            </w:pPr>
            <w:r>
              <w:rPr>
                <w:sz w:val="24"/>
              </w:rPr>
              <w:t>触摸屏类型</w:t>
            </w:r>
            <w:r>
              <w:rPr>
                <w:rFonts w:hint="eastAsia"/>
                <w:sz w:val="24"/>
              </w:rPr>
              <w:t>：</w:t>
            </w:r>
            <w:r>
              <w:rPr>
                <w:sz w:val="24"/>
              </w:rPr>
              <w:t>电容触摸屏</w:t>
            </w:r>
          </w:p>
          <w:p>
            <w:pPr>
              <w:widowControl/>
              <w:spacing w:line="360" w:lineRule="auto"/>
              <w:outlineLvl w:val="2"/>
              <w:rPr>
                <w:sz w:val="24"/>
              </w:rPr>
            </w:pPr>
            <w:r>
              <w:rPr>
                <w:sz w:val="24"/>
              </w:rPr>
              <w:t>触摸屏透光率</w:t>
            </w:r>
            <w:r>
              <w:rPr>
                <w:rFonts w:hint="eastAsia"/>
                <w:sz w:val="24"/>
              </w:rPr>
              <w:t>：≥</w:t>
            </w:r>
            <w:r>
              <w:rPr>
                <w:sz w:val="24"/>
              </w:rPr>
              <w:t>87%</w:t>
            </w:r>
          </w:p>
          <w:p>
            <w:pPr>
              <w:widowControl/>
              <w:spacing w:line="360" w:lineRule="auto"/>
              <w:outlineLvl w:val="2"/>
              <w:rPr>
                <w:sz w:val="24"/>
              </w:rPr>
            </w:pPr>
            <w:r>
              <w:rPr>
                <w:sz w:val="24"/>
              </w:rPr>
              <w:t>表面硬度</w:t>
            </w:r>
            <w:r>
              <w:rPr>
                <w:rFonts w:hint="eastAsia"/>
                <w:sz w:val="24"/>
              </w:rPr>
              <w:t>：≥</w:t>
            </w:r>
            <w:r>
              <w:rPr>
                <w:sz w:val="24"/>
              </w:rPr>
              <w:t>7H</w:t>
            </w:r>
          </w:p>
          <w:p>
            <w:pPr>
              <w:widowControl/>
              <w:spacing w:line="360" w:lineRule="auto"/>
              <w:outlineLvl w:val="2"/>
              <w:rPr>
                <w:sz w:val="24"/>
              </w:rPr>
            </w:pPr>
            <w:r>
              <w:rPr>
                <w:sz w:val="24"/>
              </w:rPr>
              <w:t>触摸接口</w:t>
            </w:r>
            <w:r>
              <w:rPr>
                <w:rFonts w:hint="eastAsia"/>
                <w:sz w:val="24"/>
              </w:rPr>
              <w:t>：至少支持</w:t>
            </w:r>
            <w:r>
              <w:rPr>
                <w:sz w:val="24"/>
              </w:rPr>
              <w:t>USB2.0</w:t>
            </w:r>
          </w:p>
          <w:p>
            <w:pPr>
              <w:widowControl/>
              <w:spacing w:line="360" w:lineRule="auto"/>
              <w:outlineLvl w:val="2"/>
              <w:rPr>
                <w:sz w:val="24"/>
              </w:rPr>
            </w:pPr>
            <w:r>
              <w:rPr>
                <w:sz w:val="24"/>
              </w:rPr>
              <w:t>触摸点数</w:t>
            </w:r>
            <w:r>
              <w:rPr>
                <w:rFonts w:hint="eastAsia"/>
                <w:sz w:val="24"/>
              </w:rPr>
              <w:t>：≥</w:t>
            </w:r>
            <w:r>
              <w:rPr>
                <w:sz w:val="24"/>
              </w:rPr>
              <w:t>10</w:t>
            </w:r>
          </w:p>
          <w:p>
            <w:pPr>
              <w:widowControl/>
              <w:spacing w:line="360" w:lineRule="auto"/>
              <w:outlineLvl w:val="2"/>
              <w:rPr>
                <w:sz w:val="24"/>
              </w:rPr>
            </w:pPr>
            <w:r>
              <w:rPr>
                <w:sz w:val="24"/>
              </w:rPr>
              <w:t>触摸反应时间</w:t>
            </w:r>
            <w:r>
              <w:rPr>
                <w:rFonts w:hint="eastAsia"/>
                <w:sz w:val="24"/>
              </w:rPr>
              <w:t>：</w:t>
            </w:r>
            <w:r>
              <w:rPr>
                <w:sz w:val="24"/>
              </w:rPr>
              <w:t>≤10 ms</w:t>
            </w:r>
          </w:p>
          <w:p>
            <w:pPr>
              <w:widowControl/>
              <w:spacing w:line="360" w:lineRule="auto"/>
              <w:outlineLvl w:val="2"/>
              <w:rPr>
                <w:sz w:val="24"/>
              </w:rPr>
            </w:pPr>
            <w:r>
              <w:rPr>
                <w:sz w:val="24"/>
              </w:rPr>
              <w:t>触摸方法</w:t>
            </w:r>
            <w:r>
              <w:rPr>
                <w:rFonts w:hint="eastAsia"/>
                <w:sz w:val="24"/>
              </w:rPr>
              <w:t>：支持</w:t>
            </w:r>
            <w:r>
              <w:rPr>
                <w:sz w:val="24"/>
              </w:rPr>
              <w:t>手指 / 电容笔</w:t>
            </w:r>
          </w:p>
          <w:p>
            <w:pPr>
              <w:widowControl/>
              <w:spacing w:line="360" w:lineRule="auto"/>
              <w:outlineLvl w:val="2"/>
              <w:rPr>
                <w:sz w:val="24"/>
              </w:rPr>
            </w:pPr>
            <w:r>
              <w:rPr>
                <w:sz w:val="24"/>
              </w:rPr>
              <w:t>单点触摸寿命</w:t>
            </w:r>
            <w:r>
              <w:rPr>
                <w:rFonts w:hint="eastAsia"/>
                <w:sz w:val="24"/>
              </w:rPr>
              <w:t>：≥</w:t>
            </w:r>
            <w:r>
              <w:rPr>
                <w:sz w:val="24"/>
              </w:rPr>
              <w:t>≥5000 万次</w:t>
            </w:r>
          </w:p>
          <w:p>
            <w:pPr>
              <w:widowControl/>
              <w:spacing w:line="360" w:lineRule="auto"/>
              <w:outlineLvl w:val="2"/>
              <w:rPr>
                <w:sz w:val="24"/>
              </w:rPr>
            </w:pPr>
            <w:r>
              <w:rPr>
                <w:sz w:val="24"/>
              </w:rPr>
              <w:t>触摸线性度</w:t>
            </w:r>
            <w:r>
              <w:rPr>
                <w:rFonts w:hint="eastAsia"/>
                <w:sz w:val="24"/>
              </w:rPr>
              <w:t>：≥</w:t>
            </w:r>
            <w:r>
              <w:rPr>
                <w:sz w:val="24"/>
              </w:rPr>
              <w:t>＜2%</w:t>
            </w:r>
          </w:p>
          <w:p>
            <w:pPr>
              <w:widowControl/>
              <w:spacing w:line="360" w:lineRule="auto"/>
              <w:outlineLvl w:val="2"/>
              <w:rPr>
                <w:sz w:val="24"/>
              </w:rPr>
            </w:pPr>
            <w:r>
              <w:rPr>
                <w:sz w:val="24"/>
              </w:rPr>
              <w:t>单点操作系统</w:t>
            </w:r>
            <w:r>
              <w:rPr>
                <w:rFonts w:hint="eastAsia"/>
                <w:sz w:val="24"/>
              </w:rPr>
              <w:t>：支持</w:t>
            </w:r>
            <w:r>
              <w:rPr>
                <w:sz w:val="24"/>
              </w:rPr>
              <w:t>Windows XP，Linux</w:t>
            </w:r>
          </w:p>
          <w:p>
            <w:pPr>
              <w:widowControl/>
              <w:spacing w:line="360" w:lineRule="auto"/>
              <w:outlineLvl w:val="2"/>
              <w:rPr>
                <w:sz w:val="24"/>
              </w:rPr>
            </w:pPr>
            <w:r>
              <w:rPr>
                <w:sz w:val="24"/>
              </w:rPr>
              <w:t>多点操作系统</w:t>
            </w:r>
            <w:r>
              <w:rPr>
                <w:rFonts w:hint="eastAsia"/>
                <w:sz w:val="24"/>
              </w:rPr>
              <w:t>：支持</w:t>
            </w:r>
            <w:r>
              <w:rPr>
                <w:sz w:val="24"/>
              </w:rPr>
              <w:t>Windows7/8，Android</w:t>
            </w:r>
          </w:p>
          <w:p>
            <w:pPr>
              <w:widowControl/>
              <w:spacing w:line="360" w:lineRule="auto"/>
              <w:outlineLvl w:val="2"/>
              <w:rPr>
                <w:sz w:val="24"/>
              </w:rPr>
            </w:pPr>
            <w:r>
              <w:rPr>
                <w:sz w:val="24"/>
              </w:rPr>
              <w:t>功率</w:t>
            </w:r>
            <w:r>
              <w:rPr>
                <w:rFonts w:hint="eastAsia"/>
                <w:sz w:val="24"/>
              </w:rPr>
              <w:t>：</w:t>
            </w:r>
            <w:r>
              <w:rPr>
                <w:sz w:val="24"/>
              </w:rPr>
              <w:t>最大功耗65w</w:t>
            </w:r>
            <w:r>
              <w:rPr>
                <w:rFonts w:hint="eastAsia"/>
                <w:sz w:val="24"/>
              </w:rPr>
              <w:t>，</w:t>
            </w:r>
            <w:r>
              <w:rPr>
                <w:sz w:val="24"/>
              </w:rPr>
              <w:t>待机功耗</w:t>
            </w:r>
            <w:r>
              <w:rPr>
                <w:rFonts w:hint="eastAsia"/>
                <w:sz w:val="24"/>
              </w:rPr>
              <w:t>≤</w:t>
            </w:r>
            <w:r>
              <w:rPr>
                <w:sz w:val="24"/>
              </w:rPr>
              <w:t>3w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vAlign w:val="center"/>
          </w:tcPr>
          <w:p>
            <w:pPr>
              <w:widowControl/>
              <w:spacing w:line="360" w:lineRule="auto"/>
              <w:jc w:val="center"/>
              <w:outlineLvl w:val="2"/>
              <w:rPr>
                <w:sz w:val="24"/>
              </w:rPr>
            </w:pPr>
            <w:r>
              <w:rPr>
                <w:sz w:val="24"/>
              </w:rPr>
              <w:t>主控模块</w:t>
            </w:r>
          </w:p>
        </w:tc>
        <w:tc>
          <w:tcPr>
            <w:tcW w:w="3855" w:type="pct"/>
          </w:tcPr>
          <w:p>
            <w:pPr>
              <w:widowControl/>
              <w:spacing w:line="360" w:lineRule="auto"/>
              <w:outlineLvl w:val="2"/>
              <w:rPr>
                <w:sz w:val="24"/>
              </w:rPr>
            </w:pPr>
            <w:r>
              <w:rPr>
                <w:sz w:val="24"/>
              </w:rPr>
              <w:t>CPU</w:t>
            </w:r>
            <w:r>
              <w:rPr>
                <w:rFonts w:hint="eastAsia"/>
                <w:sz w:val="24"/>
              </w:rPr>
              <w:t>：</w:t>
            </w:r>
            <w:r>
              <w:rPr>
                <w:sz w:val="24"/>
              </w:rPr>
              <w:t>Intel酷睿I5</w:t>
            </w:r>
            <w:r>
              <w:rPr>
                <w:rFonts w:hint="eastAsia"/>
                <w:sz w:val="24"/>
              </w:rPr>
              <w:t>，或不低于该规格</w:t>
            </w:r>
            <w:r>
              <w:rPr>
                <w:sz w:val="24"/>
              </w:rPr>
              <w:t>；</w:t>
            </w:r>
          </w:p>
          <w:p>
            <w:pPr>
              <w:widowControl/>
              <w:spacing w:line="360" w:lineRule="auto"/>
              <w:outlineLvl w:val="2"/>
              <w:rPr>
                <w:sz w:val="24"/>
              </w:rPr>
            </w:pPr>
            <w:r>
              <w:rPr>
                <w:sz w:val="24"/>
              </w:rPr>
              <w:t>芯片</w:t>
            </w:r>
            <w:r>
              <w:rPr>
                <w:rFonts w:hint="eastAsia"/>
                <w:sz w:val="24"/>
              </w:rPr>
              <w:t>：</w:t>
            </w:r>
            <w:r>
              <w:rPr>
                <w:sz w:val="24"/>
              </w:rPr>
              <w:t>Intel®H81芯片</w:t>
            </w:r>
            <w:r>
              <w:rPr>
                <w:rFonts w:hint="eastAsia"/>
                <w:sz w:val="24"/>
              </w:rPr>
              <w:t>，或不低于该规格</w:t>
            </w:r>
            <w:r>
              <w:rPr>
                <w:sz w:val="24"/>
              </w:rPr>
              <w:t>；</w:t>
            </w:r>
          </w:p>
          <w:p>
            <w:pPr>
              <w:widowControl/>
              <w:spacing w:line="360" w:lineRule="auto"/>
              <w:outlineLvl w:val="2"/>
              <w:rPr>
                <w:sz w:val="24"/>
              </w:rPr>
            </w:pPr>
            <w:r>
              <w:rPr>
                <w:sz w:val="24"/>
              </w:rPr>
              <w:t>内存</w:t>
            </w:r>
            <w:r>
              <w:rPr>
                <w:rFonts w:hint="eastAsia"/>
                <w:sz w:val="24"/>
              </w:rPr>
              <w:t>：</w:t>
            </w:r>
            <w:r>
              <w:rPr>
                <w:sz w:val="24"/>
              </w:rPr>
              <w:t>不小于4G；</w:t>
            </w:r>
          </w:p>
          <w:p>
            <w:pPr>
              <w:widowControl/>
              <w:spacing w:line="360" w:lineRule="auto"/>
              <w:outlineLvl w:val="2"/>
              <w:rPr>
                <w:sz w:val="24"/>
              </w:rPr>
            </w:pPr>
            <w:r>
              <w:rPr>
                <w:sz w:val="24"/>
              </w:rPr>
              <w:t>SSD 128G及以上，2U工业机箱</w:t>
            </w:r>
          </w:p>
          <w:p>
            <w:pPr>
              <w:widowControl/>
              <w:spacing w:line="360" w:lineRule="auto"/>
              <w:outlineLvl w:val="2"/>
              <w:rPr>
                <w:sz w:val="24"/>
              </w:rPr>
            </w:pPr>
            <w:r>
              <w:rPr>
                <w:sz w:val="24"/>
              </w:rPr>
              <w:t>支持网络唤醒</w:t>
            </w:r>
            <w:r>
              <w:rPr>
                <w:rFonts w:hint="eastAsia"/>
                <w:sz w:val="24"/>
              </w:rPr>
              <w:t>、</w:t>
            </w:r>
            <w:r>
              <w:rPr>
                <w:sz w:val="24"/>
              </w:rPr>
              <w:t>上电开机</w:t>
            </w:r>
            <w:r>
              <w:rPr>
                <w:rFonts w:hint="eastAsia"/>
                <w:sz w:val="24"/>
              </w:rPr>
              <w:t>、</w:t>
            </w:r>
            <w:r>
              <w:rPr>
                <w:sz w:val="24"/>
              </w:rPr>
              <w:t>定时开机</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vAlign w:val="center"/>
          </w:tcPr>
          <w:p>
            <w:pPr>
              <w:widowControl/>
              <w:spacing w:line="360" w:lineRule="auto"/>
              <w:jc w:val="center"/>
              <w:outlineLvl w:val="2"/>
              <w:rPr>
                <w:sz w:val="24"/>
              </w:rPr>
            </w:pPr>
            <w:r>
              <w:rPr>
                <w:sz w:val="24"/>
              </w:rPr>
              <w:t>凭条打印模块</w:t>
            </w:r>
          </w:p>
        </w:tc>
        <w:tc>
          <w:tcPr>
            <w:tcW w:w="3855" w:type="pct"/>
          </w:tcPr>
          <w:p>
            <w:pPr>
              <w:widowControl/>
              <w:spacing w:line="360" w:lineRule="auto"/>
              <w:outlineLvl w:val="2"/>
              <w:rPr>
                <w:sz w:val="24"/>
              </w:rPr>
            </w:pPr>
            <w:r>
              <w:rPr>
                <w:sz w:val="24"/>
              </w:rPr>
              <w:t>打印方式 ：热敏行点式打印 ；</w:t>
            </w:r>
          </w:p>
          <w:p>
            <w:pPr>
              <w:widowControl/>
              <w:spacing w:line="360" w:lineRule="auto"/>
              <w:outlineLvl w:val="2"/>
              <w:rPr>
                <w:sz w:val="24"/>
              </w:rPr>
            </w:pPr>
            <w:r>
              <w:rPr>
                <w:sz w:val="24"/>
              </w:rPr>
              <w:t>打印速度 ：</w:t>
            </w:r>
            <w:r>
              <w:rPr>
                <w:rFonts w:hint="eastAsia"/>
                <w:sz w:val="24"/>
              </w:rPr>
              <w:t>≥</w:t>
            </w:r>
            <w:r>
              <w:rPr>
                <w:sz w:val="24"/>
              </w:rPr>
              <w:t>Max:150mm/s ；</w:t>
            </w:r>
          </w:p>
          <w:p>
            <w:pPr>
              <w:widowControl/>
              <w:spacing w:line="360" w:lineRule="auto"/>
              <w:outlineLvl w:val="2"/>
              <w:rPr>
                <w:sz w:val="24"/>
              </w:rPr>
            </w:pPr>
            <w:r>
              <w:rPr>
                <w:sz w:val="24"/>
              </w:rPr>
              <w:t>分辨率：</w:t>
            </w:r>
            <w:r>
              <w:rPr>
                <w:rFonts w:hint="eastAsia"/>
                <w:sz w:val="24"/>
              </w:rPr>
              <w:t>≥</w:t>
            </w:r>
            <w:r>
              <w:rPr>
                <w:sz w:val="24"/>
              </w:rPr>
              <w:t>20</w:t>
            </w:r>
            <w:r>
              <w:rPr>
                <w:rFonts w:hint="eastAsia"/>
                <w:sz w:val="24"/>
              </w:rPr>
              <w:t>0</w:t>
            </w:r>
            <w:r>
              <w:rPr>
                <w:sz w:val="24"/>
              </w:rPr>
              <w:t>dpi(8dots/mm) ；</w:t>
            </w:r>
          </w:p>
          <w:p>
            <w:pPr>
              <w:widowControl/>
              <w:spacing w:line="360" w:lineRule="auto"/>
              <w:outlineLvl w:val="2"/>
              <w:rPr>
                <w:sz w:val="24"/>
              </w:rPr>
            </w:pPr>
            <w:r>
              <w:rPr>
                <w:sz w:val="24"/>
              </w:rPr>
              <w:t>打印寿命 ：≥100Km ；</w:t>
            </w:r>
          </w:p>
          <w:p>
            <w:pPr>
              <w:widowControl/>
              <w:spacing w:line="360" w:lineRule="auto"/>
              <w:outlineLvl w:val="2"/>
              <w:rPr>
                <w:sz w:val="24"/>
              </w:rPr>
            </w:pPr>
            <w:r>
              <w:rPr>
                <w:sz w:val="24"/>
              </w:rPr>
              <w:t>切刀寿命： ≥100万次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vAlign w:val="center"/>
          </w:tcPr>
          <w:p>
            <w:pPr>
              <w:widowControl/>
              <w:spacing w:line="360" w:lineRule="auto"/>
              <w:jc w:val="center"/>
              <w:outlineLvl w:val="2"/>
              <w:rPr>
                <w:sz w:val="24"/>
              </w:rPr>
            </w:pPr>
            <w:r>
              <w:rPr>
                <w:sz w:val="24"/>
              </w:rPr>
              <w:t>扫描模块</w:t>
            </w:r>
          </w:p>
        </w:tc>
        <w:tc>
          <w:tcPr>
            <w:tcW w:w="3855" w:type="pct"/>
          </w:tcPr>
          <w:p>
            <w:pPr>
              <w:widowControl/>
              <w:spacing w:line="360" w:lineRule="auto"/>
              <w:outlineLvl w:val="2"/>
              <w:rPr>
                <w:sz w:val="24"/>
              </w:rPr>
            </w:pPr>
            <w:r>
              <w:rPr>
                <w:sz w:val="24"/>
              </w:rPr>
              <w:t>图像传感器：CMOS</w:t>
            </w:r>
          </w:p>
          <w:p>
            <w:pPr>
              <w:widowControl/>
              <w:spacing w:line="360" w:lineRule="auto"/>
              <w:outlineLvl w:val="2"/>
              <w:rPr>
                <w:sz w:val="24"/>
              </w:rPr>
            </w:pPr>
            <w:r>
              <w:rPr>
                <w:sz w:val="24"/>
              </w:rPr>
              <w:t>分辨率：≥640*480</w:t>
            </w:r>
          </w:p>
          <w:p>
            <w:pPr>
              <w:widowControl/>
              <w:spacing w:line="360" w:lineRule="auto"/>
              <w:outlineLvl w:val="2"/>
              <w:rPr>
                <w:sz w:val="24"/>
              </w:rPr>
            </w:pPr>
            <w:r>
              <w:rPr>
                <w:sz w:val="24"/>
              </w:rPr>
              <w:t>识别精度：≥4mil</w:t>
            </w:r>
          </w:p>
          <w:p>
            <w:pPr>
              <w:widowControl/>
              <w:spacing w:line="360" w:lineRule="auto"/>
              <w:outlineLvl w:val="2"/>
              <w:rPr>
                <w:sz w:val="24"/>
              </w:rPr>
            </w:pPr>
            <w:r>
              <w:rPr>
                <w:sz w:val="24"/>
              </w:rPr>
              <w:t>视场角度：水平≥45° 垂直≥34°</w:t>
            </w:r>
          </w:p>
          <w:p>
            <w:pPr>
              <w:widowControl/>
              <w:spacing w:line="360" w:lineRule="auto"/>
              <w:outlineLvl w:val="2"/>
              <w:rPr>
                <w:sz w:val="24"/>
              </w:rPr>
            </w:pPr>
            <w:r>
              <w:rPr>
                <w:sz w:val="24"/>
              </w:rPr>
              <w:t>打印对比度：≥ 25%</w:t>
            </w:r>
          </w:p>
          <w:p>
            <w:pPr>
              <w:widowControl/>
              <w:spacing w:line="360" w:lineRule="auto"/>
              <w:outlineLvl w:val="2"/>
              <w:rPr>
                <w:sz w:val="24"/>
              </w:rPr>
            </w:pPr>
            <w:r>
              <w:rPr>
                <w:sz w:val="24"/>
              </w:rPr>
              <w:t>打印速度：≤50ms</w:t>
            </w:r>
          </w:p>
          <w:p>
            <w:pPr>
              <w:widowControl/>
              <w:spacing w:line="360" w:lineRule="auto"/>
              <w:outlineLvl w:val="2"/>
              <w:rPr>
                <w:sz w:val="24"/>
              </w:rPr>
            </w:pPr>
            <w:r>
              <w:rPr>
                <w:sz w:val="24"/>
              </w:rPr>
              <w:t>通讯接口：RS232,USB</w:t>
            </w:r>
          </w:p>
          <w:p>
            <w:pPr>
              <w:widowControl/>
              <w:spacing w:line="360" w:lineRule="auto"/>
              <w:outlineLvl w:val="2"/>
              <w:rPr>
                <w:sz w:val="24"/>
              </w:rPr>
            </w:pPr>
            <w:r>
              <w:rPr>
                <w:sz w:val="24"/>
              </w:rPr>
              <w:t>防护等级：</w:t>
            </w:r>
            <w:r>
              <w:rPr>
                <w:rFonts w:hint="eastAsia"/>
                <w:sz w:val="24"/>
              </w:rPr>
              <w:t>≥</w:t>
            </w:r>
            <w:r>
              <w:rPr>
                <w:sz w:val="24"/>
              </w:rPr>
              <w:t>IP67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vAlign w:val="center"/>
          </w:tcPr>
          <w:p>
            <w:pPr>
              <w:widowControl/>
              <w:spacing w:line="360" w:lineRule="auto"/>
              <w:jc w:val="center"/>
              <w:outlineLvl w:val="2"/>
              <w:rPr>
                <w:sz w:val="24"/>
              </w:rPr>
            </w:pPr>
            <w:r>
              <w:rPr>
                <w:sz w:val="24"/>
              </w:rPr>
              <w:t>银联卡/就诊卡读卡模块</w:t>
            </w:r>
          </w:p>
        </w:tc>
        <w:tc>
          <w:tcPr>
            <w:tcW w:w="3855" w:type="pct"/>
          </w:tcPr>
          <w:p>
            <w:pPr>
              <w:widowControl/>
              <w:spacing w:line="360" w:lineRule="auto"/>
              <w:outlineLvl w:val="2"/>
              <w:rPr>
                <w:sz w:val="24"/>
              </w:rPr>
            </w:pPr>
            <w:r>
              <w:rPr>
                <w:sz w:val="24"/>
              </w:rPr>
              <w:t>电动吸卡吐卡，三卡合一（磁卡、IC卡、RF卡）电动式进卡，带安全闸门，防止异物插入。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vAlign w:val="center"/>
          </w:tcPr>
          <w:p>
            <w:pPr>
              <w:widowControl/>
              <w:spacing w:line="360" w:lineRule="auto"/>
              <w:jc w:val="center"/>
              <w:outlineLvl w:val="2"/>
              <w:rPr>
                <w:sz w:val="24"/>
              </w:rPr>
            </w:pPr>
            <w:r>
              <w:rPr>
                <w:sz w:val="24"/>
              </w:rPr>
              <w:t>密码键盘模块</w:t>
            </w:r>
          </w:p>
        </w:tc>
        <w:tc>
          <w:tcPr>
            <w:tcW w:w="3855" w:type="pct"/>
          </w:tcPr>
          <w:p>
            <w:pPr>
              <w:widowControl/>
              <w:spacing w:line="360" w:lineRule="auto"/>
              <w:outlineLvl w:val="2"/>
              <w:rPr>
                <w:sz w:val="24"/>
              </w:rPr>
            </w:pPr>
            <w:r>
              <w:rPr>
                <w:sz w:val="24"/>
              </w:rPr>
              <w:t>输入键盘：10个数字键，6个功能键</w:t>
            </w:r>
          </w:p>
          <w:p>
            <w:pPr>
              <w:widowControl/>
              <w:spacing w:line="360" w:lineRule="auto"/>
              <w:outlineLvl w:val="2"/>
              <w:rPr>
                <w:sz w:val="24"/>
              </w:rPr>
            </w:pPr>
            <w:r>
              <w:rPr>
                <w:sz w:val="24"/>
              </w:rPr>
              <w:t>键扩充性：外接2片4键功能键</w:t>
            </w:r>
          </w:p>
          <w:p>
            <w:pPr>
              <w:widowControl/>
              <w:spacing w:line="360" w:lineRule="auto"/>
              <w:outlineLvl w:val="2"/>
              <w:rPr>
                <w:sz w:val="24"/>
              </w:rPr>
            </w:pPr>
            <w:r>
              <w:rPr>
                <w:sz w:val="24"/>
              </w:rPr>
              <w:t>安全特性：防水、防尘、防暴、防拆。</w:t>
            </w:r>
          </w:p>
          <w:p>
            <w:pPr>
              <w:widowControl/>
              <w:spacing w:line="360" w:lineRule="auto"/>
              <w:outlineLvl w:val="2"/>
              <w:rPr>
                <w:sz w:val="24"/>
              </w:rPr>
            </w:pPr>
            <w:r>
              <w:rPr>
                <w:sz w:val="24"/>
              </w:rPr>
              <w:t>安全性能：密钥、程序及敏感数据拆封自毁。</w:t>
            </w:r>
          </w:p>
          <w:p>
            <w:pPr>
              <w:widowControl/>
              <w:spacing w:line="360" w:lineRule="auto"/>
              <w:outlineLvl w:val="2"/>
              <w:rPr>
                <w:sz w:val="24"/>
              </w:rPr>
            </w:pPr>
            <w:r>
              <w:rPr>
                <w:sz w:val="24"/>
              </w:rPr>
              <w:t xml:space="preserve">工作功耗：&lt;1W </w:t>
            </w:r>
          </w:p>
          <w:p>
            <w:pPr>
              <w:widowControl/>
              <w:spacing w:line="360" w:lineRule="auto"/>
              <w:outlineLvl w:val="2"/>
              <w:rPr>
                <w:sz w:val="24"/>
              </w:rPr>
            </w:pPr>
            <w:r>
              <w:rPr>
                <w:sz w:val="24"/>
              </w:rPr>
              <w:t>按键寿命：超过2,000,000次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vAlign w:val="center"/>
          </w:tcPr>
          <w:p>
            <w:pPr>
              <w:widowControl/>
              <w:spacing w:line="360" w:lineRule="auto"/>
              <w:jc w:val="center"/>
              <w:outlineLvl w:val="2"/>
              <w:rPr>
                <w:sz w:val="24"/>
              </w:rPr>
            </w:pPr>
            <w:r>
              <w:rPr>
                <w:sz w:val="24"/>
              </w:rPr>
              <w:t>二代证阅读模块</w:t>
            </w:r>
          </w:p>
        </w:tc>
        <w:tc>
          <w:tcPr>
            <w:tcW w:w="3855" w:type="pct"/>
            <w:vAlign w:val="center"/>
          </w:tcPr>
          <w:p>
            <w:pPr>
              <w:widowControl/>
              <w:spacing w:line="360" w:lineRule="auto"/>
              <w:outlineLvl w:val="2"/>
              <w:rPr>
                <w:sz w:val="24"/>
              </w:rPr>
            </w:pPr>
            <w:r>
              <w:rPr>
                <w:sz w:val="24"/>
              </w:rPr>
              <w:t>读卡时间：≤3秒</w:t>
            </w:r>
          </w:p>
          <w:p>
            <w:pPr>
              <w:widowControl/>
              <w:spacing w:line="360" w:lineRule="auto"/>
              <w:outlineLvl w:val="2"/>
              <w:rPr>
                <w:sz w:val="24"/>
              </w:rPr>
            </w:pPr>
            <w:r>
              <w:rPr>
                <w:sz w:val="24"/>
              </w:rPr>
              <w:t>读卡距离：0~50mm ,读卡角度：0~70度</w:t>
            </w:r>
          </w:p>
          <w:p>
            <w:pPr>
              <w:widowControl/>
              <w:spacing w:line="360" w:lineRule="auto"/>
              <w:outlineLvl w:val="2"/>
              <w:rPr>
                <w:sz w:val="24"/>
              </w:rPr>
            </w:pPr>
            <w:r>
              <w:rPr>
                <w:sz w:val="24"/>
              </w:rPr>
              <w:t>通信接口：RS232或USB  自动识别</w:t>
            </w:r>
          </w:p>
          <w:p>
            <w:pPr>
              <w:widowControl/>
              <w:spacing w:line="360" w:lineRule="auto"/>
              <w:outlineLvl w:val="2"/>
              <w:rPr>
                <w:sz w:val="24"/>
              </w:rPr>
            </w:pPr>
            <w:r>
              <w:rPr>
                <w:sz w:val="24"/>
              </w:rPr>
              <w:t>断电保护：具备掉电、过流、过压、短路、极性反接等保护措施。当电压恢复正常时，能自动恢复正常工作状态</w:t>
            </w:r>
          </w:p>
          <w:p>
            <w:pPr>
              <w:widowControl/>
              <w:spacing w:line="360" w:lineRule="auto"/>
              <w:outlineLvl w:val="2"/>
              <w:rPr>
                <w:sz w:val="24"/>
              </w:rPr>
            </w:pPr>
            <w:r>
              <w:rPr>
                <w:sz w:val="24"/>
              </w:rPr>
              <w:t>可靠性：MTBF ≥ 30000小时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vAlign w:val="center"/>
          </w:tcPr>
          <w:p>
            <w:pPr>
              <w:widowControl/>
              <w:spacing w:line="360" w:lineRule="auto"/>
              <w:jc w:val="center"/>
              <w:outlineLvl w:val="2"/>
              <w:rPr>
                <w:sz w:val="24"/>
              </w:rPr>
            </w:pPr>
            <w:r>
              <w:rPr>
                <w:sz w:val="24"/>
              </w:rPr>
              <w:t>医保卡读卡模块</w:t>
            </w:r>
          </w:p>
        </w:tc>
        <w:tc>
          <w:tcPr>
            <w:tcW w:w="3855" w:type="pct"/>
            <w:vAlign w:val="center"/>
          </w:tcPr>
          <w:p>
            <w:pPr>
              <w:widowControl/>
              <w:spacing w:line="360" w:lineRule="auto"/>
              <w:outlineLvl w:val="2"/>
              <w:rPr>
                <w:sz w:val="24"/>
              </w:rPr>
            </w:pPr>
            <w:r>
              <w:rPr>
                <w:sz w:val="24"/>
              </w:rPr>
              <w:t>医保社保卡读卡器，符合当地市民卡读卡要求。（桥接）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vAlign w:val="center"/>
          </w:tcPr>
          <w:p>
            <w:pPr>
              <w:widowControl/>
              <w:spacing w:line="360" w:lineRule="auto"/>
              <w:jc w:val="center"/>
              <w:outlineLvl w:val="2"/>
              <w:rPr>
                <w:sz w:val="24"/>
              </w:rPr>
            </w:pPr>
            <w:r>
              <w:rPr>
                <w:sz w:val="24"/>
              </w:rPr>
              <w:t>微信刷脸摄像头</w:t>
            </w:r>
          </w:p>
        </w:tc>
        <w:tc>
          <w:tcPr>
            <w:tcW w:w="3855" w:type="pct"/>
          </w:tcPr>
          <w:p>
            <w:pPr>
              <w:widowControl/>
              <w:spacing w:line="360" w:lineRule="auto"/>
              <w:outlineLvl w:val="2"/>
              <w:rPr>
                <w:sz w:val="24"/>
              </w:rPr>
            </w:pPr>
            <w:r>
              <w:rPr>
                <w:sz w:val="24"/>
              </w:rPr>
              <w:t>功耗：2.6~3W</w:t>
            </w:r>
          </w:p>
          <w:p>
            <w:pPr>
              <w:widowControl/>
              <w:spacing w:line="360" w:lineRule="auto"/>
              <w:outlineLvl w:val="2"/>
              <w:rPr>
                <w:sz w:val="24"/>
              </w:rPr>
            </w:pPr>
            <w:r>
              <w:rPr>
                <w:sz w:val="24"/>
              </w:rPr>
              <w:t>工作距离：0.28~1m</w:t>
            </w:r>
          </w:p>
          <w:p>
            <w:pPr>
              <w:widowControl/>
              <w:spacing w:line="360" w:lineRule="auto"/>
              <w:outlineLvl w:val="2"/>
              <w:rPr>
                <w:sz w:val="24"/>
              </w:rPr>
            </w:pPr>
            <w:r>
              <w:rPr>
                <w:sz w:val="24"/>
              </w:rPr>
              <w:t>输出数据：深度数据类型  Raw Data 16bit，彩色数据格式  MJPEG/RGB</w:t>
            </w:r>
          </w:p>
          <w:p>
            <w:pPr>
              <w:widowControl/>
              <w:spacing w:line="360" w:lineRule="auto"/>
              <w:outlineLvl w:val="2"/>
              <w:rPr>
                <w:sz w:val="24"/>
              </w:rPr>
            </w:pPr>
            <w:r>
              <w:rPr>
                <w:sz w:val="24"/>
              </w:rPr>
              <w:t>功能特性</w:t>
            </w:r>
            <w:r>
              <w:rPr>
                <w:rFonts w:hint="eastAsia"/>
                <w:sz w:val="24"/>
              </w:rPr>
              <w:t>：</w:t>
            </w:r>
            <w:r>
              <w:rPr>
                <w:sz w:val="24"/>
              </w:rPr>
              <w:t>HDR、低光照、高清</w:t>
            </w:r>
          </w:p>
          <w:p>
            <w:pPr>
              <w:widowControl/>
              <w:spacing w:line="360" w:lineRule="auto"/>
              <w:outlineLvl w:val="2"/>
              <w:rPr>
                <w:sz w:val="24"/>
              </w:rPr>
            </w:pPr>
            <w:r>
              <w:rPr>
                <w:sz w:val="24"/>
              </w:rPr>
              <w:t>开发平台</w:t>
            </w:r>
            <w:r>
              <w:rPr>
                <w:rFonts w:hint="eastAsia"/>
                <w:sz w:val="24"/>
              </w:rPr>
              <w:t>：</w:t>
            </w:r>
            <w:r>
              <w:rPr>
                <w:sz w:val="24"/>
              </w:rPr>
              <w:t>Windows/Linux/Android  均支持</w:t>
            </w:r>
          </w:p>
          <w:p>
            <w:pPr>
              <w:widowControl/>
              <w:spacing w:line="360" w:lineRule="auto"/>
              <w:outlineLvl w:val="2"/>
              <w:rPr>
                <w:sz w:val="24"/>
              </w:rPr>
            </w:pPr>
            <w:r>
              <w:rPr>
                <w:sz w:val="24"/>
              </w:rPr>
              <w:t>使用环境</w:t>
            </w:r>
            <w:r>
              <w:rPr>
                <w:rFonts w:hint="eastAsia"/>
                <w:sz w:val="24"/>
              </w:rPr>
              <w:t>：</w:t>
            </w:r>
            <w:r>
              <w:rPr>
                <w:sz w:val="24"/>
              </w:rPr>
              <w:t>室内，半室外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vAlign w:val="center"/>
          </w:tcPr>
          <w:p>
            <w:pPr>
              <w:widowControl/>
              <w:spacing w:line="360" w:lineRule="auto"/>
              <w:jc w:val="center"/>
              <w:outlineLvl w:val="2"/>
              <w:rPr>
                <w:sz w:val="24"/>
              </w:rPr>
            </w:pPr>
            <w:r>
              <w:rPr>
                <w:sz w:val="24"/>
              </w:rPr>
              <w:t>支付宝专用刷脸摄像头P2</w:t>
            </w:r>
          </w:p>
        </w:tc>
        <w:tc>
          <w:tcPr>
            <w:tcW w:w="3855" w:type="pct"/>
          </w:tcPr>
          <w:p>
            <w:pPr>
              <w:widowControl/>
              <w:spacing w:line="360" w:lineRule="auto"/>
              <w:outlineLvl w:val="2"/>
              <w:rPr>
                <w:sz w:val="24"/>
              </w:rPr>
            </w:pPr>
            <w:r>
              <w:rPr>
                <w:sz w:val="24"/>
              </w:rPr>
              <w:t>算法芯片：专用3D计算芯片</w:t>
            </w:r>
          </w:p>
          <w:p>
            <w:pPr>
              <w:widowControl/>
              <w:spacing w:line="360" w:lineRule="auto"/>
              <w:outlineLvl w:val="2"/>
              <w:rPr>
                <w:sz w:val="24"/>
              </w:rPr>
            </w:pPr>
            <w:r>
              <w:rPr>
                <w:sz w:val="24"/>
              </w:rPr>
              <w:t>isp 彩色图像处理：支持UVC</w:t>
            </w:r>
          </w:p>
          <w:p>
            <w:pPr>
              <w:widowControl/>
              <w:spacing w:line="360" w:lineRule="auto"/>
              <w:outlineLvl w:val="2"/>
              <w:rPr>
                <w:sz w:val="24"/>
              </w:rPr>
            </w:pPr>
            <w:r>
              <w:rPr>
                <w:sz w:val="24"/>
              </w:rPr>
              <w:t>彩色图像独立输出：</w:t>
            </w:r>
            <w:r>
              <w:rPr>
                <w:rFonts w:hint="eastAsia"/>
                <w:sz w:val="24"/>
              </w:rPr>
              <w:t>≥</w:t>
            </w:r>
            <w:r>
              <w:rPr>
                <w:sz w:val="24"/>
              </w:rPr>
              <w:t>8M</w:t>
            </w:r>
          </w:p>
          <w:p>
            <w:pPr>
              <w:widowControl/>
              <w:spacing w:line="360" w:lineRule="auto"/>
              <w:outlineLvl w:val="2"/>
              <w:rPr>
                <w:sz w:val="24"/>
              </w:rPr>
            </w:pPr>
            <w:r>
              <w:rPr>
                <w:sz w:val="24"/>
              </w:rPr>
              <w:t>支持深度图与彩色图硬件对齐</w:t>
            </w:r>
          </w:p>
          <w:p>
            <w:pPr>
              <w:widowControl/>
              <w:spacing w:line="360" w:lineRule="auto"/>
              <w:outlineLvl w:val="2"/>
              <w:rPr>
                <w:sz w:val="24"/>
              </w:rPr>
            </w:pPr>
            <w:r>
              <w:rPr>
                <w:sz w:val="24"/>
              </w:rPr>
              <w:t>深度范围：30cm~100cm</w:t>
            </w:r>
          </w:p>
          <w:p>
            <w:pPr>
              <w:widowControl/>
              <w:spacing w:line="360" w:lineRule="auto"/>
              <w:outlineLvl w:val="2"/>
              <w:rPr>
                <w:sz w:val="24"/>
              </w:rPr>
            </w:pPr>
            <w:r>
              <w:rPr>
                <w:sz w:val="24"/>
              </w:rPr>
              <w:t>平均功耗</w:t>
            </w:r>
            <w:r>
              <w:rPr>
                <w:rFonts w:hint="eastAsia"/>
                <w:sz w:val="24"/>
              </w:rPr>
              <w:t>：</w:t>
            </w:r>
            <w:r>
              <w:rPr>
                <w:sz w:val="24"/>
              </w:rPr>
              <w:t>&lt; 1.2W/ SV</w:t>
            </w:r>
          </w:p>
          <w:p>
            <w:pPr>
              <w:widowControl/>
              <w:spacing w:line="360" w:lineRule="auto"/>
              <w:outlineLvl w:val="2"/>
              <w:rPr>
                <w:sz w:val="24"/>
              </w:rPr>
            </w:pPr>
            <w:r>
              <w:rPr>
                <w:sz w:val="24"/>
              </w:rPr>
              <w:t>深度图分辨率：</w:t>
            </w:r>
            <w:r>
              <w:rPr>
                <w:rFonts w:hint="eastAsia"/>
                <w:sz w:val="24"/>
              </w:rPr>
              <w:t>≥</w:t>
            </w:r>
            <w:r>
              <w:rPr>
                <w:sz w:val="24"/>
              </w:rPr>
              <w:t>480x640@30fps</w:t>
            </w:r>
          </w:p>
          <w:p>
            <w:pPr>
              <w:widowControl/>
              <w:spacing w:line="360" w:lineRule="auto"/>
              <w:outlineLvl w:val="2"/>
              <w:rPr>
                <w:sz w:val="24"/>
              </w:rPr>
            </w:pPr>
            <w:r>
              <w:rPr>
                <w:sz w:val="24"/>
              </w:rPr>
              <w:t>彩色图分辨率：</w:t>
            </w:r>
            <w:r>
              <w:rPr>
                <w:rFonts w:hint="eastAsia"/>
                <w:sz w:val="24"/>
              </w:rPr>
              <w:t>≥</w:t>
            </w:r>
            <w:r>
              <w:rPr>
                <w:sz w:val="24"/>
              </w:rPr>
              <w:t>960* 1280@30fps 480x640@30fps</w:t>
            </w:r>
          </w:p>
          <w:p>
            <w:pPr>
              <w:widowControl/>
              <w:spacing w:line="360" w:lineRule="auto"/>
              <w:outlineLvl w:val="2"/>
              <w:rPr>
                <w:sz w:val="24"/>
              </w:rPr>
            </w:pPr>
            <w:r>
              <w:rPr>
                <w:sz w:val="24"/>
              </w:rPr>
              <w:t>D2C分辨率：</w:t>
            </w:r>
            <w:r>
              <w:rPr>
                <w:rFonts w:hint="eastAsia"/>
                <w:sz w:val="24"/>
              </w:rPr>
              <w:t>≥</w:t>
            </w:r>
            <w:r>
              <w:rPr>
                <w:sz w:val="24"/>
              </w:rPr>
              <w:t>480*640@30fps</w:t>
            </w:r>
          </w:p>
          <w:p>
            <w:pPr>
              <w:widowControl/>
              <w:spacing w:line="360" w:lineRule="auto"/>
              <w:outlineLvl w:val="2"/>
              <w:rPr>
                <w:sz w:val="24"/>
              </w:rPr>
            </w:pPr>
            <w:r>
              <w:rPr>
                <w:sz w:val="24"/>
              </w:rPr>
              <w:t>支持操作系统：Windows 7/10 /Android4.4~9.0</w:t>
            </w:r>
          </w:p>
          <w:p>
            <w:pPr>
              <w:widowControl/>
              <w:spacing w:line="360" w:lineRule="auto"/>
              <w:outlineLvl w:val="2"/>
              <w:rPr>
                <w:sz w:val="24"/>
              </w:rPr>
            </w:pPr>
            <w:r>
              <w:rPr>
                <w:sz w:val="24"/>
              </w:rPr>
              <w:t>使用场景：室内、半室外@7~8W Lux @60cm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vAlign w:val="center"/>
          </w:tcPr>
          <w:p>
            <w:pPr>
              <w:widowControl/>
              <w:spacing w:line="360" w:lineRule="auto"/>
              <w:jc w:val="center"/>
              <w:outlineLvl w:val="2"/>
              <w:rPr>
                <w:sz w:val="24"/>
              </w:rPr>
            </w:pPr>
            <w:r>
              <w:rPr>
                <w:sz w:val="24"/>
              </w:rPr>
              <w:t>打印模块（激光）</w:t>
            </w:r>
          </w:p>
        </w:tc>
        <w:tc>
          <w:tcPr>
            <w:tcW w:w="3855" w:type="pct"/>
          </w:tcPr>
          <w:p>
            <w:pPr>
              <w:widowControl/>
              <w:spacing w:line="360" w:lineRule="auto"/>
              <w:outlineLvl w:val="2"/>
              <w:rPr>
                <w:sz w:val="24"/>
              </w:rPr>
            </w:pPr>
            <w:r>
              <w:rPr>
                <w:sz w:val="24"/>
              </w:rPr>
              <w:t>黑白激光打印机</w:t>
            </w:r>
          </w:p>
          <w:p>
            <w:pPr>
              <w:widowControl/>
              <w:spacing w:line="360" w:lineRule="auto"/>
              <w:outlineLvl w:val="2"/>
              <w:rPr>
                <w:sz w:val="24"/>
              </w:rPr>
            </w:pPr>
            <w:r>
              <w:rPr>
                <w:sz w:val="24"/>
              </w:rPr>
              <w:t>打印速度：</w:t>
            </w:r>
            <w:r>
              <w:rPr>
                <w:rFonts w:hint="eastAsia"/>
                <w:sz w:val="24"/>
              </w:rPr>
              <w:t>≥</w:t>
            </w:r>
            <w:r>
              <w:rPr>
                <w:sz w:val="24"/>
              </w:rPr>
              <w:t>30ppm(A4)</w:t>
            </w:r>
          </w:p>
          <w:p>
            <w:pPr>
              <w:widowControl/>
              <w:spacing w:line="360" w:lineRule="auto"/>
              <w:outlineLvl w:val="2"/>
              <w:rPr>
                <w:sz w:val="24"/>
              </w:rPr>
            </w:pPr>
            <w:r>
              <w:rPr>
                <w:sz w:val="24"/>
              </w:rPr>
              <w:t>首页打印时间：</w:t>
            </w:r>
            <w:r>
              <w:rPr>
                <w:rFonts w:hint="eastAsia"/>
                <w:sz w:val="24"/>
              </w:rPr>
              <w:t>≤</w:t>
            </w:r>
            <w:r>
              <w:rPr>
                <w:sz w:val="24"/>
              </w:rPr>
              <w:t>10秒</w:t>
            </w:r>
          </w:p>
          <w:p>
            <w:pPr>
              <w:widowControl/>
              <w:spacing w:line="360" w:lineRule="auto"/>
              <w:outlineLvl w:val="2"/>
              <w:rPr>
                <w:sz w:val="24"/>
              </w:rPr>
            </w:pPr>
            <w:r>
              <w:rPr>
                <w:sz w:val="24"/>
              </w:rPr>
              <w:t>分辨率(dpi)：最大1200x600 dpi</w:t>
            </w:r>
          </w:p>
          <w:p>
            <w:pPr>
              <w:widowControl/>
              <w:spacing w:line="360" w:lineRule="auto"/>
              <w:outlineLvl w:val="2"/>
              <w:rPr>
                <w:sz w:val="24"/>
              </w:rPr>
            </w:pPr>
            <w:r>
              <w:rPr>
                <w:sz w:val="24"/>
              </w:rPr>
              <w:t>打印语言：</w:t>
            </w:r>
            <w:r>
              <w:rPr>
                <w:rFonts w:hint="eastAsia"/>
                <w:sz w:val="24"/>
              </w:rPr>
              <w:t>支持</w:t>
            </w:r>
            <w:r>
              <w:rPr>
                <w:sz w:val="24"/>
              </w:rPr>
              <w:t>GDI</w:t>
            </w:r>
          </w:p>
          <w:p>
            <w:pPr>
              <w:widowControl/>
              <w:spacing w:line="360" w:lineRule="auto"/>
              <w:outlineLvl w:val="2"/>
              <w:rPr>
                <w:sz w:val="24"/>
              </w:rPr>
            </w:pPr>
            <w:r>
              <w:rPr>
                <w:sz w:val="24"/>
              </w:rPr>
              <w:t>纸张输入容量：标配纸盒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vAlign w:val="center"/>
          </w:tcPr>
          <w:p>
            <w:pPr>
              <w:widowControl/>
              <w:spacing w:line="360" w:lineRule="auto"/>
              <w:outlineLvl w:val="2"/>
              <w:rPr>
                <w:kern w:val="0"/>
                <w:sz w:val="24"/>
              </w:rPr>
            </w:pPr>
            <w:r>
              <w:rPr>
                <w:kern w:val="0"/>
                <w:sz w:val="24"/>
              </w:rPr>
              <w:t>自助机</w:t>
            </w:r>
            <w:r>
              <w:rPr>
                <w:sz w:val="24"/>
              </w:rPr>
              <w:t>软件功能需与总院现有门诊自助服务系统无缝对接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vAlign w:val="center"/>
          </w:tcPr>
          <w:p>
            <w:pPr>
              <w:widowControl/>
              <w:spacing w:line="360" w:lineRule="auto"/>
              <w:outlineLvl w:val="2"/>
              <w:rPr>
                <w:kern w:val="0"/>
                <w:sz w:val="24"/>
              </w:rPr>
            </w:pPr>
            <w:r>
              <w:rPr>
                <w:kern w:val="0"/>
                <w:sz w:val="24"/>
              </w:rPr>
              <w:t>提供不少于3年质保服务。</w:t>
            </w:r>
          </w:p>
        </w:tc>
      </w:tr>
      <w:bookmarkEnd w:id="75"/>
    </w:tbl>
    <w:p>
      <w:pPr>
        <w:pStyle w:val="5"/>
        <w:spacing w:before="0" w:after="0" w:line="360" w:lineRule="auto"/>
        <w:ind w:left="0" w:firstLine="482"/>
        <w:jc w:val="both"/>
        <w:rPr>
          <w:rFonts w:ascii="Times New Roman" w:hAnsi="Times New Roman" w:eastAsia="宋体" w:cs="Times New Roman"/>
          <w:sz w:val="24"/>
          <w:szCs w:val="24"/>
        </w:rPr>
      </w:pPr>
      <w:bookmarkStart w:id="76" w:name="_Hlk180681861"/>
      <w:r>
        <w:rPr>
          <w:rFonts w:hint="eastAsia" w:ascii="Times New Roman" w:hAnsi="Times New Roman" w:eastAsia="宋体" w:cs="Times New Roman"/>
          <w:sz w:val="24"/>
          <w:szCs w:val="24"/>
        </w:rPr>
        <w:t>14、</w:t>
      </w:r>
      <w:r>
        <w:rPr>
          <w:rFonts w:ascii="Times New Roman" w:hAnsi="Times New Roman" w:eastAsia="宋体" w:cs="Times New Roman"/>
          <w:sz w:val="24"/>
          <w:szCs w:val="24"/>
        </w:rPr>
        <w:t>互联网线路</w:t>
      </w:r>
      <w:bookmarkEnd w:id="76"/>
    </w:p>
    <w:tbl>
      <w:tblPr>
        <w:tblStyle w:val="6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1902"/>
        <w:gridCol w:w="5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pct"/>
            <w:vAlign w:val="center"/>
          </w:tcPr>
          <w:p>
            <w:pPr>
              <w:spacing w:line="360" w:lineRule="auto"/>
              <w:rPr>
                <w:sz w:val="24"/>
              </w:rPr>
            </w:pPr>
            <w:bookmarkStart w:id="77" w:name="_Hlk180681870"/>
            <w:r>
              <w:rPr>
                <w:sz w:val="24"/>
              </w:rPr>
              <w:t>序号</w:t>
            </w:r>
          </w:p>
        </w:tc>
        <w:tc>
          <w:tcPr>
            <w:tcW w:w="1024" w:type="pct"/>
            <w:vAlign w:val="center"/>
          </w:tcPr>
          <w:p>
            <w:pPr>
              <w:spacing w:line="360" w:lineRule="auto"/>
              <w:rPr>
                <w:sz w:val="24"/>
              </w:rPr>
            </w:pPr>
            <w:r>
              <w:rPr>
                <w:sz w:val="24"/>
              </w:rPr>
              <w:t>指标项</w:t>
            </w:r>
          </w:p>
        </w:tc>
        <w:tc>
          <w:tcPr>
            <w:tcW w:w="3123" w:type="pct"/>
            <w:vAlign w:val="center"/>
          </w:tcPr>
          <w:p>
            <w:pPr>
              <w:spacing w:line="360" w:lineRule="auto"/>
              <w:rPr>
                <w:sz w:val="24"/>
              </w:rPr>
            </w:pPr>
            <w:r>
              <w:rPr>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pct"/>
            <w:vAlign w:val="center"/>
          </w:tcPr>
          <w:p>
            <w:pPr>
              <w:spacing w:line="360" w:lineRule="auto"/>
              <w:rPr>
                <w:sz w:val="24"/>
              </w:rPr>
            </w:pPr>
            <w:r>
              <w:rPr>
                <w:sz w:val="24"/>
              </w:rPr>
              <w:t>1</w:t>
            </w:r>
          </w:p>
        </w:tc>
        <w:tc>
          <w:tcPr>
            <w:tcW w:w="1024" w:type="pct"/>
            <w:vAlign w:val="center"/>
          </w:tcPr>
          <w:p>
            <w:pPr>
              <w:spacing w:line="360" w:lineRule="auto"/>
              <w:rPr>
                <w:sz w:val="24"/>
              </w:rPr>
            </w:pPr>
            <w:r>
              <w:rPr>
                <w:sz w:val="24"/>
              </w:rPr>
              <w:t>基础要求</w:t>
            </w:r>
          </w:p>
        </w:tc>
        <w:tc>
          <w:tcPr>
            <w:tcW w:w="3123" w:type="pct"/>
            <w:vAlign w:val="center"/>
          </w:tcPr>
          <w:p>
            <w:pPr>
              <w:spacing w:line="360" w:lineRule="auto"/>
              <w:rPr>
                <w:sz w:val="24"/>
              </w:rPr>
            </w:pPr>
            <w:r>
              <w:rPr>
                <w:sz w:val="24"/>
              </w:rPr>
              <w:t>1G互联网专线1条，上下行速率对称，含16个V4IP地址，2个V6IP地址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pct"/>
            <w:vAlign w:val="center"/>
          </w:tcPr>
          <w:p>
            <w:pPr>
              <w:spacing w:line="360" w:lineRule="auto"/>
              <w:rPr>
                <w:sz w:val="24"/>
              </w:rPr>
            </w:pPr>
            <w:r>
              <w:rPr>
                <w:sz w:val="24"/>
              </w:rPr>
              <w:t>2</w:t>
            </w:r>
          </w:p>
        </w:tc>
        <w:tc>
          <w:tcPr>
            <w:tcW w:w="1024" w:type="pct"/>
            <w:vAlign w:val="center"/>
          </w:tcPr>
          <w:p>
            <w:pPr>
              <w:spacing w:line="360" w:lineRule="auto"/>
              <w:rPr>
                <w:sz w:val="24"/>
              </w:rPr>
            </w:pPr>
            <w:r>
              <w:rPr>
                <w:sz w:val="24"/>
              </w:rPr>
              <w:t>租赁期</w:t>
            </w:r>
          </w:p>
        </w:tc>
        <w:tc>
          <w:tcPr>
            <w:tcW w:w="3123" w:type="pct"/>
            <w:vAlign w:val="center"/>
          </w:tcPr>
          <w:p>
            <w:pPr>
              <w:spacing w:line="360" w:lineRule="auto"/>
              <w:rPr>
                <w:sz w:val="24"/>
              </w:rPr>
            </w:pPr>
            <w:r>
              <w:rPr>
                <w:rFonts w:hint="eastAsia"/>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pct"/>
            <w:vAlign w:val="center"/>
          </w:tcPr>
          <w:p>
            <w:pPr>
              <w:spacing w:line="360" w:lineRule="auto"/>
              <w:rPr>
                <w:sz w:val="24"/>
              </w:rPr>
            </w:pPr>
            <w:r>
              <w:rPr>
                <w:sz w:val="24"/>
              </w:rPr>
              <w:t>3</w:t>
            </w:r>
          </w:p>
        </w:tc>
        <w:tc>
          <w:tcPr>
            <w:tcW w:w="1024" w:type="pct"/>
            <w:vAlign w:val="center"/>
          </w:tcPr>
          <w:p>
            <w:pPr>
              <w:spacing w:line="360" w:lineRule="auto"/>
              <w:rPr>
                <w:sz w:val="24"/>
              </w:rPr>
            </w:pPr>
            <w:r>
              <w:rPr>
                <w:sz w:val="24"/>
              </w:rPr>
              <w:t>可靠性</w:t>
            </w:r>
          </w:p>
        </w:tc>
        <w:tc>
          <w:tcPr>
            <w:tcW w:w="3123" w:type="pct"/>
            <w:vAlign w:val="center"/>
          </w:tcPr>
          <w:p>
            <w:pPr>
              <w:spacing w:line="360" w:lineRule="auto"/>
              <w:rPr>
                <w:sz w:val="24"/>
              </w:rPr>
            </w:pPr>
            <w:r>
              <w:rPr>
                <w:sz w:val="24"/>
              </w:rPr>
              <w:t>提供高可靠性的网络服务，要求业务可用性高于99.5%。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pct"/>
            <w:vAlign w:val="center"/>
          </w:tcPr>
          <w:p>
            <w:pPr>
              <w:spacing w:line="360" w:lineRule="auto"/>
              <w:rPr>
                <w:sz w:val="24"/>
              </w:rPr>
            </w:pPr>
            <w:r>
              <w:rPr>
                <w:rFonts w:hint="eastAsia"/>
                <w:sz w:val="24"/>
              </w:rPr>
              <w:t>4</w:t>
            </w:r>
          </w:p>
        </w:tc>
        <w:tc>
          <w:tcPr>
            <w:tcW w:w="1024" w:type="pct"/>
            <w:vAlign w:val="center"/>
          </w:tcPr>
          <w:p>
            <w:pPr>
              <w:spacing w:line="360" w:lineRule="auto"/>
              <w:rPr>
                <w:sz w:val="24"/>
              </w:rPr>
            </w:pPr>
            <w:r>
              <w:rPr>
                <w:rFonts w:hint="eastAsia"/>
                <w:sz w:val="24"/>
              </w:rPr>
              <w:sym w:font="Wingdings" w:char="F0AB"/>
            </w:r>
            <w:r>
              <w:rPr>
                <w:rFonts w:hint="eastAsia"/>
                <w:sz w:val="24"/>
              </w:rPr>
              <w:t>安全防护</w:t>
            </w:r>
          </w:p>
        </w:tc>
        <w:tc>
          <w:tcPr>
            <w:tcW w:w="3123" w:type="pct"/>
            <w:vAlign w:val="center"/>
          </w:tcPr>
          <w:p>
            <w:pPr>
              <w:spacing w:line="360" w:lineRule="auto"/>
              <w:rPr>
                <w:sz w:val="24"/>
              </w:rPr>
            </w:pPr>
            <w:r>
              <w:rPr>
                <w:rFonts w:hint="eastAsia"/>
                <w:sz w:val="24"/>
              </w:rPr>
              <w:t>投标人应具备所提供专线的网络安全防护技术和能力，能够提供与核心网、IP城域网等国内网络DDOS防护相关的发明专利</w:t>
            </w:r>
            <w:r>
              <w:rPr>
                <w:rFonts w:hint="eastAsia"/>
                <w:b/>
                <w:bCs/>
                <w:sz w:val="24"/>
              </w:rPr>
              <w:t>（提供相关专利证明）</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pct"/>
            <w:vAlign w:val="center"/>
          </w:tcPr>
          <w:p>
            <w:pPr>
              <w:spacing w:line="360" w:lineRule="auto"/>
              <w:rPr>
                <w:sz w:val="24"/>
              </w:rPr>
            </w:pPr>
            <w:r>
              <w:rPr>
                <w:rFonts w:hint="eastAsia"/>
                <w:sz w:val="24"/>
              </w:rPr>
              <w:t>5</w:t>
            </w:r>
          </w:p>
        </w:tc>
        <w:tc>
          <w:tcPr>
            <w:tcW w:w="1024" w:type="pct"/>
            <w:vAlign w:val="center"/>
          </w:tcPr>
          <w:p>
            <w:pPr>
              <w:spacing w:line="360" w:lineRule="auto"/>
              <w:rPr>
                <w:sz w:val="24"/>
              </w:rPr>
            </w:pPr>
            <w:r>
              <w:rPr>
                <w:rFonts w:hint="eastAsia"/>
                <w:sz w:val="24"/>
              </w:rPr>
              <w:t>响应服务</w:t>
            </w:r>
          </w:p>
        </w:tc>
        <w:tc>
          <w:tcPr>
            <w:tcW w:w="3123" w:type="pct"/>
            <w:vAlign w:val="center"/>
          </w:tcPr>
          <w:p>
            <w:pPr>
              <w:spacing w:line="360" w:lineRule="auto"/>
              <w:rPr>
                <w:sz w:val="24"/>
              </w:rPr>
            </w:pPr>
            <w:r>
              <w:rPr>
                <w:rFonts w:hint="eastAsia"/>
                <w:sz w:val="24"/>
              </w:rPr>
              <w:t>提供7*24小时服务响应，对于常规线路自身故障，接到采购人通知后，4小时内完成修复；由于自然灾害、市政施工等客观外力原因导致的线路故障，接到采购人通知后，12小时内完成修复</w:t>
            </w:r>
          </w:p>
          <w:p>
            <w:pPr>
              <w:spacing w:line="360" w:lineRule="auto"/>
              <w:rPr>
                <w:sz w:val="24"/>
              </w:rPr>
            </w:pPr>
            <w:r>
              <w:rPr>
                <w:rFonts w:hint="eastAsia"/>
                <w:sz w:val="24"/>
              </w:rPr>
              <w:t>由投标人自身原因发生可能影响采购人使用的线路中断，应提前24小时通告采购人，并提供备用线路，保障采购人正常工作的开展。</w:t>
            </w:r>
          </w:p>
        </w:tc>
      </w:tr>
      <w:bookmarkEnd w:id="77"/>
    </w:tbl>
    <w:p>
      <w:pPr>
        <w:pStyle w:val="5"/>
        <w:spacing w:before="0" w:after="0" w:line="360" w:lineRule="auto"/>
        <w:ind w:left="0" w:firstLine="482"/>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15、</w:t>
      </w:r>
      <w:r>
        <w:rPr>
          <w:rFonts w:ascii="Times New Roman" w:hAnsi="Times New Roman" w:eastAsia="宋体" w:cs="Times New Roman"/>
          <w:sz w:val="24"/>
          <w:szCs w:val="24"/>
        </w:rPr>
        <w:t>(电路)专线</w:t>
      </w:r>
      <w:r>
        <w:rPr>
          <w:rFonts w:hint="default" w:ascii="Times New Roman" w:hAnsi="Times New Roman" w:eastAsia="宋体" w:cs="Times New Roman"/>
          <w:sz w:val="24"/>
          <w:szCs w:val="24"/>
          <w:lang w:eastAsia="zh-CN"/>
        </w:rPr>
        <w:t>——</w:t>
      </w:r>
      <w:r>
        <w:rPr>
          <w:rFonts w:ascii="Times New Roman" w:hAnsi="Times New Roman" w:eastAsia="宋体" w:cs="Times New Roman"/>
          <w:sz w:val="24"/>
          <w:szCs w:val="24"/>
        </w:rPr>
        <w:t>医保专线</w:t>
      </w:r>
    </w:p>
    <w:tbl>
      <w:tblPr>
        <w:tblStyle w:val="6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1903"/>
        <w:gridCol w:w="5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pct"/>
            <w:vAlign w:val="center"/>
          </w:tcPr>
          <w:p>
            <w:pPr>
              <w:spacing w:line="360" w:lineRule="auto"/>
              <w:rPr>
                <w:sz w:val="24"/>
              </w:rPr>
            </w:pPr>
            <w:bookmarkStart w:id="78" w:name="_Hlk180681899"/>
            <w:r>
              <w:rPr>
                <w:sz w:val="24"/>
              </w:rPr>
              <w:t>序号</w:t>
            </w:r>
          </w:p>
        </w:tc>
        <w:tc>
          <w:tcPr>
            <w:tcW w:w="1025" w:type="pct"/>
            <w:vAlign w:val="center"/>
          </w:tcPr>
          <w:p>
            <w:pPr>
              <w:spacing w:line="360" w:lineRule="auto"/>
              <w:rPr>
                <w:sz w:val="24"/>
              </w:rPr>
            </w:pPr>
            <w:r>
              <w:rPr>
                <w:sz w:val="24"/>
              </w:rPr>
              <w:t>指标项</w:t>
            </w:r>
          </w:p>
        </w:tc>
        <w:tc>
          <w:tcPr>
            <w:tcW w:w="3124" w:type="pct"/>
            <w:vAlign w:val="center"/>
          </w:tcPr>
          <w:p>
            <w:pPr>
              <w:spacing w:line="360" w:lineRule="auto"/>
              <w:rPr>
                <w:sz w:val="24"/>
              </w:rPr>
            </w:pPr>
            <w:r>
              <w:rPr>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pct"/>
            <w:vAlign w:val="center"/>
          </w:tcPr>
          <w:p>
            <w:pPr>
              <w:spacing w:line="360" w:lineRule="auto"/>
              <w:rPr>
                <w:sz w:val="24"/>
              </w:rPr>
            </w:pPr>
            <w:r>
              <w:rPr>
                <w:sz w:val="24"/>
              </w:rPr>
              <w:t>1</w:t>
            </w:r>
          </w:p>
        </w:tc>
        <w:tc>
          <w:tcPr>
            <w:tcW w:w="1025" w:type="pct"/>
            <w:vAlign w:val="center"/>
          </w:tcPr>
          <w:p>
            <w:pPr>
              <w:spacing w:line="360" w:lineRule="auto"/>
              <w:rPr>
                <w:sz w:val="24"/>
              </w:rPr>
            </w:pPr>
            <w:r>
              <w:rPr>
                <w:sz w:val="24"/>
              </w:rPr>
              <w:t>基础要求</w:t>
            </w:r>
          </w:p>
        </w:tc>
        <w:tc>
          <w:tcPr>
            <w:tcW w:w="3124" w:type="pct"/>
            <w:vAlign w:val="center"/>
          </w:tcPr>
          <w:p>
            <w:pPr>
              <w:spacing w:line="360" w:lineRule="auto"/>
              <w:rPr>
                <w:sz w:val="24"/>
              </w:rPr>
            </w:pPr>
            <w:r>
              <w:rPr>
                <w:rFonts w:hint="eastAsia"/>
                <w:sz w:val="24"/>
              </w:rPr>
              <w:t>1</w:t>
            </w:r>
            <w:r>
              <w:rPr>
                <w:sz w:val="24"/>
              </w:rPr>
              <w:t>00M医保专线，带宽</w:t>
            </w:r>
            <w:r>
              <w:rPr>
                <w:rFonts w:hint="eastAsia"/>
                <w:sz w:val="24"/>
              </w:rPr>
              <w:t>1</w:t>
            </w:r>
            <w:r>
              <w:rPr>
                <w:sz w:val="24"/>
              </w:rPr>
              <w:t>00M，1主1备，桐庐-市</w:t>
            </w:r>
            <w:r>
              <w:rPr>
                <w:rFonts w:hint="eastAsia"/>
                <w:sz w:val="24"/>
              </w:rPr>
              <w:t>医保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pct"/>
            <w:vAlign w:val="center"/>
          </w:tcPr>
          <w:p>
            <w:pPr>
              <w:spacing w:line="360" w:lineRule="auto"/>
              <w:rPr>
                <w:sz w:val="24"/>
              </w:rPr>
            </w:pPr>
            <w:r>
              <w:rPr>
                <w:sz w:val="24"/>
              </w:rPr>
              <w:t>2</w:t>
            </w:r>
          </w:p>
        </w:tc>
        <w:tc>
          <w:tcPr>
            <w:tcW w:w="1025" w:type="pct"/>
            <w:vAlign w:val="center"/>
          </w:tcPr>
          <w:p>
            <w:pPr>
              <w:spacing w:line="360" w:lineRule="auto"/>
              <w:rPr>
                <w:sz w:val="24"/>
              </w:rPr>
            </w:pPr>
            <w:r>
              <w:rPr>
                <w:sz w:val="24"/>
              </w:rPr>
              <w:t>租赁期</w:t>
            </w:r>
          </w:p>
        </w:tc>
        <w:tc>
          <w:tcPr>
            <w:tcW w:w="3124" w:type="pct"/>
            <w:vAlign w:val="center"/>
          </w:tcPr>
          <w:p>
            <w:pPr>
              <w:spacing w:line="360" w:lineRule="auto"/>
              <w:rPr>
                <w:sz w:val="24"/>
              </w:rPr>
            </w:pPr>
            <w:r>
              <w:rPr>
                <w:rFonts w:hint="eastAsia"/>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pct"/>
            <w:vAlign w:val="center"/>
          </w:tcPr>
          <w:p>
            <w:pPr>
              <w:spacing w:line="360" w:lineRule="auto"/>
              <w:rPr>
                <w:sz w:val="24"/>
              </w:rPr>
            </w:pPr>
            <w:r>
              <w:rPr>
                <w:sz w:val="24"/>
              </w:rPr>
              <w:t>3</w:t>
            </w:r>
          </w:p>
        </w:tc>
        <w:tc>
          <w:tcPr>
            <w:tcW w:w="1025" w:type="pct"/>
            <w:vAlign w:val="center"/>
          </w:tcPr>
          <w:p>
            <w:pPr>
              <w:spacing w:line="360" w:lineRule="auto"/>
              <w:rPr>
                <w:sz w:val="24"/>
              </w:rPr>
            </w:pPr>
            <w:r>
              <w:rPr>
                <w:sz w:val="24"/>
              </w:rPr>
              <w:t>接入方式</w:t>
            </w:r>
          </w:p>
        </w:tc>
        <w:tc>
          <w:tcPr>
            <w:tcW w:w="3124" w:type="pct"/>
            <w:vAlign w:val="center"/>
          </w:tcPr>
          <w:p>
            <w:pPr>
              <w:spacing w:line="360" w:lineRule="auto"/>
              <w:rPr>
                <w:sz w:val="24"/>
              </w:rPr>
            </w:pPr>
            <w:r>
              <w:rPr>
                <w:sz w:val="24"/>
              </w:rPr>
              <w:t>MSTP+(IPRAN)或OTN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pct"/>
            <w:vAlign w:val="center"/>
          </w:tcPr>
          <w:p>
            <w:pPr>
              <w:spacing w:line="360" w:lineRule="auto"/>
              <w:rPr>
                <w:sz w:val="24"/>
              </w:rPr>
            </w:pPr>
            <w:r>
              <w:rPr>
                <w:sz w:val="24"/>
              </w:rPr>
              <w:t>4</w:t>
            </w:r>
          </w:p>
        </w:tc>
        <w:tc>
          <w:tcPr>
            <w:tcW w:w="1025" w:type="pct"/>
            <w:vAlign w:val="center"/>
          </w:tcPr>
          <w:p>
            <w:pPr>
              <w:spacing w:line="360" w:lineRule="auto"/>
              <w:rPr>
                <w:sz w:val="24"/>
              </w:rPr>
            </w:pPr>
            <w:r>
              <w:rPr>
                <w:sz w:val="24"/>
              </w:rPr>
              <w:t>可靠性</w:t>
            </w:r>
          </w:p>
        </w:tc>
        <w:tc>
          <w:tcPr>
            <w:tcW w:w="3124" w:type="pct"/>
            <w:vAlign w:val="center"/>
          </w:tcPr>
          <w:p>
            <w:pPr>
              <w:spacing w:line="360" w:lineRule="auto"/>
              <w:rPr>
                <w:sz w:val="24"/>
              </w:rPr>
            </w:pPr>
            <w:r>
              <w:rPr>
                <w:sz w:val="24"/>
              </w:rPr>
              <w:t>提供高可靠性的网络服务，要求业务可用性高于99.5%。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pct"/>
            <w:vAlign w:val="center"/>
          </w:tcPr>
          <w:p>
            <w:pPr>
              <w:spacing w:line="360" w:lineRule="auto"/>
              <w:rPr>
                <w:sz w:val="24"/>
              </w:rPr>
            </w:pPr>
            <w:r>
              <w:rPr>
                <w:rFonts w:hint="eastAsia"/>
                <w:sz w:val="24"/>
              </w:rPr>
              <w:t>5</w:t>
            </w:r>
          </w:p>
        </w:tc>
        <w:tc>
          <w:tcPr>
            <w:tcW w:w="1025" w:type="pct"/>
            <w:vAlign w:val="center"/>
          </w:tcPr>
          <w:p>
            <w:pPr>
              <w:spacing w:line="360" w:lineRule="auto"/>
              <w:rPr>
                <w:sz w:val="24"/>
              </w:rPr>
            </w:pPr>
            <w:r>
              <w:rPr>
                <w:rFonts w:hint="eastAsia"/>
                <w:sz w:val="24"/>
              </w:rPr>
              <w:t>机房接入</w:t>
            </w:r>
          </w:p>
        </w:tc>
        <w:tc>
          <w:tcPr>
            <w:tcW w:w="3124" w:type="pct"/>
            <w:vAlign w:val="center"/>
          </w:tcPr>
          <w:p>
            <w:pPr>
              <w:spacing w:line="360" w:lineRule="auto"/>
              <w:rPr>
                <w:sz w:val="24"/>
              </w:rPr>
            </w:pPr>
            <w:r>
              <w:rPr>
                <w:rFonts w:hint="eastAsia"/>
                <w:sz w:val="24"/>
              </w:rPr>
              <w:t>医保线路需能够接入医保主机房——杭州市西湖区三墩镇西园二路7号2-4机房，或医保备用机房——杭州市萧山区北干街道兴议村15组51号兴议31号机房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pct"/>
            <w:vAlign w:val="center"/>
          </w:tcPr>
          <w:p>
            <w:pPr>
              <w:spacing w:line="360" w:lineRule="auto"/>
              <w:rPr>
                <w:sz w:val="24"/>
              </w:rPr>
            </w:pPr>
            <w:r>
              <w:rPr>
                <w:rFonts w:hint="eastAsia"/>
                <w:sz w:val="24"/>
              </w:rPr>
              <w:t>6</w:t>
            </w:r>
          </w:p>
        </w:tc>
        <w:tc>
          <w:tcPr>
            <w:tcW w:w="1025" w:type="pct"/>
            <w:vAlign w:val="center"/>
          </w:tcPr>
          <w:p>
            <w:pPr>
              <w:spacing w:line="360" w:lineRule="auto"/>
              <w:rPr>
                <w:sz w:val="24"/>
              </w:rPr>
            </w:pPr>
            <w:r>
              <w:rPr>
                <w:rFonts w:hint="eastAsia"/>
                <w:sz w:val="24"/>
              </w:rPr>
              <w:t>响应服务</w:t>
            </w:r>
          </w:p>
        </w:tc>
        <w:tc>
          <w:tcPr>
            <w:tcW w:w="3124" w:type="pct"/>
            <w:vAlign w:val="center"/>
          </w:tcPr>
          <w:p>
            <w:pPr>
              <w:spacing w:line="360" w:lineRule="auto"/>
              <w:rPr>
                <w:sz w:val="24"/>
              </w:rPr>
            </w:pPr>
            <w:r>
              <w:rPr>
                <w:rFonts w:hint="eastAsia"/>
                <w:sz w:val="24"/>
              </w:rPr>
              <w:t>提供7*24小时服务响应，对于常规线路自身故障，接到采购人通知后，4小时内完成修复；由于自然灾害、市政施工等客观外力原因导致的线路故障，接到采购人通知后，12小时内完成修复。</w:t>
            </w:r>
          </w:p>
          <w:p>
            <w:pPr>
              <w:spacing w:line="360" w:lineRule="auto"/>
              <w:rPr>
                <w:sz w:val="24"/>
              </w:rPr>
            </w:pPr>
            <w:r>
              <w:rPr>
                <w:rFonts w:hint="eastAsia"/>
                <w:sz w:val="24"/>
              </w:rPr>
              <w:t>由投标人自身原因发生可能影响采购人使用的线路中断，应提前24小时通告采购人，并提供备用线路，保障采购人正常工作的开展。</w:t>
            </w:r>
          </w:p>
        </w:tc>
      </w:tr>
      <w:bookmarkEnd w:id="78"/>
    </w:tbl>
    <w:p>
      <w:pPr>
        <w:pStyle w:val="5"/>
        <w:spacing w:before="0" w:after="0" w:line="360" w:lineRule="auto"/>
        <w:ind w:left="0" w:firstLine="482"/>
        <w:jc w:val="both"/>
        <w:rPr>
          <w:rFonts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r>
        <w:rPr>
          <w:rFonts w:ascii="Times New Roman" w:hAnsi="Times New Roman" w:eastAsia="宋体" w:cs="Times New Roman"/>
          <w:sz w:val="24"/>
          <w:szCs w:val="24"/>
        </w:rPr>
        <w:t>(电路)专线</w:t>
      </w:r>
      <w:r>
        <w:rPr>
          <w:rFonts w:hint="default" w:ascii="Times New Roman" w:hAnsi="Times New Roman" w:eastAsia="宋体" w:cs="Times New Roman"/>
          <w:sz w:val="24"/>
          <w:szCs w:val="24"/>
          <w:lang w:eastAsia="zh-CN"/>
        </w:rPr>
        <w:t>——</w:t>
      </w:r>
      <w:r>
        <w:rPr>
          <w:rFonts w:hint="eastAsia" w:ascii="Times New Roman" w:hAnsi="Times New Roman" w:eastAsia="宋体" w:cs="Times New Roman"/>
          <w:sz w:val="24"/>
          <w:szCs w:val="24"/>
        </w:rPr>
        <w:t>医院</w:t>
      </w:r>
      <w:r>
        <w:rPr>
          <w:rFonts w:ascii="Times New Roman" w:hAnsi="Times New Roman" w:eastAsia="宋体" w:cs="Times New Roman"/>
          <w:sz w:val="24"/>
          <w:szCs w:val="24"/>
        </w:rPr>
        <w:t>专线</w:t>
      </w:r>
    </w:p>
    <w:tbl>
      <w:tblPr>
        <w:tblStyle w:val="6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1903"/>
        <w:gridCol w:w="5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pct"/>
            <w:vAlign w:val="center"/>
          </w:tcPr>
          <w:p>
            <w:pPr>
              <w:spacing w:line="360" w:lineRule="auto"/>
              <w:rPr>
                <w:sz w:val="24"/>
              </w:rPr>
            </w:pPr>
            <w:r>
              <w:rPr>
                <w:sz w:val="24"/>
              </w:rPr>
              <w:t>序号</w:t>
            </w:r>
          </w:p>
        </w:tc>
        <w:tc>
          <w:tcPr>
            <w:tcW w:w="1025" w:type="pct"/>
            <w:vAlign w:val="center"/>
          </w:tcPr>
          <w:p>
            <w:pPr>
              <w:spacing w:line="360" w:lineRule="auto"/>
              <w:rPr>
                <w:sz w:val="24"/>
              </w:rPr>
            </w:pPr>
            <w:r>
              <w:rPr>
                <w:sz w:val="24"/>
              </w:rPr>
              <w:t>指标项</w:t>
            </w:r>
          </w:p>
        </w:tc>
        <w:tc>
          <w:tcPr>
            <w:tcW w:w="3124" w:type="pct"/>
            <w:vAlign w:val="center"/>
          </w:tcPr>
          <w:p>
            <w:pPr>
              <w:spacing w:line="360" w:lineRule="auto"/>
              <w:rPr>
                <w:sz w:val="24"/>
              </w:rPr>
            </w:pPr>
            <w:r>
              <w:rPr>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pct"/>
            <w:vAlign w:val="center"/>
          </w:tcPr>
          <w:p>
            <w:pPr>
              <w:spacing w:line="360" w:lineRule="auto"/>
              <w:rPr>
                <w:sz w:val="24"/>
              </w:rPr>
            </w:pPr>
            <w:r>
              <w:rPr>
                <w:sz w:val="24"/>
              </w:rPr>
              <w:t>1</w:t>
            </w:r>
          </w:p>
        </w:tc>
        <w:tc>
          <w:tcPr>
            <w:tcW w:w="1025" w:type="pct"/>
            <w:vAlign w:val="center"/>
          </w:tcPr>
          <w:p>
            <w:pPr>
              <w:spacing w:line="360" w:lineRule="auto"/>
              <w:rPr>
                <w:sz w:val="24"/>
              </w:rPr>
            </w:pPr>
            <w:r>
              <w:rPr>
                <w:sz w:val="24"/>
              </w:rPr>
              <w:t>基础要求</w:t>
            </w:r>
          </w:p>
        </w:tc>
        <w:tc>
          <w:tcPr>
            <w:tcW w:w="3124" w:type="pct"/>
            <w:vAlign w:val="center"/>
          </w:tcPr>
          <w:p>
            <w:pPr>
              <w:spacing w:line="360" w:lineRule="auto"/>
              <w:rPr>
                <w:sz w:val="24"/>
              </w:rPr>
            </w:pPr>
            <w:r>
              <w:rPr>
                <w:rFonts w:hint="eastAsia"/>
                <w:sz w:val="24"/>
              </w:rPr>
              <w:t>1G医院</w:t>
            </w:r>
            <w:r>
              <w:rPr>
                <w:sz w:val="24"/>
              </w:rPr>
              <w:t>专线，带宽</w:t>
            </w:r>
            <w:r>
              <w:rPr>
                <w:rFonts w:hint="eastAsia"/>
                <w:sz w:val="24"/>
              </w:rPr>
              <w:t>1G</w:t>
            </w:r>
            <w:r>
              <w:rPr>
                <w:sz w:val="24"/>
              </w:rPr>
              <w:t>，1主1备，桐庐-湖滨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pct"/>
            <w:vAlign w:val="center"/>
          </w:tcPr>
          <w:p>
            <w:pPr>
              <w:spacing w:line="360" w:lineRule="auto"/>
              <w:rPr>
                <w:sz w:val="24"/>
              </w:rPr>
            </w:pPr>
            <w:r>
              <w:rPr>
                <w:sz w:val="24"/>
              </w:rPr>
              <w:t>2</w:t>
            </w:r>
          </w:p>
        </w:tc>
        <w:tc>
          <w:tcPr>
            <w:tcW w:w="1025" w:type="pct"/>
            <w:vAlign w:val="center"/>
          </w:tcPr>
          <w:p>
            <w:pPr>
              <w:spacing w:line="360" w:lineRule="auto"/>
              <w:rPr>
                <w:sz w:val="24"/>
              </w:rPr>
            </w:pPr>
            <w:r>
              <w:rPr>
                <w:sz w:val="24"/>
              </w:rPr>
              <w:t>租赁期</w:t>
            </w:r>
          </w:p>
        </w:tc>
        <w:tc>
          <w:tcPr>
            <w:tcW w:w="3124" w:type="pct"/>
            <w:vAlign w:val="center"/>
          </w:tcPr>
          <w:p>
            <w:pPr>
              <w:spacing w:line="360" w:lineRule="auto"/>
              <w:rPr>
                <w:sz w:val="24"/>
              </w:rPr>
            </w:pPr>
            <w:r>
              <w:rPr>
                <w:rFonts w:hint="eastAsia"/>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pct"/>
            <w:vAlign w:val="center"/>
          </w:tcPr>
          <w:p>
            <w:pPr>
              <w:spacing w:line="360" w:lineRule="auto"/>
              <w:rPr>
                <w:sz w:val="24"/>
              </w:rPr>
            </w:pPr>
            <w:r>
              <w:rPr>
                <w:sz w:val="24"/>
              </w:rPr>
              <w:t>3</w:t>
            </w:r>
          </w:p>
        </w:tc>
        <w:tc>
          <w:tcPr>
            <w:tcW w:w="1025" w:type="pct"/>
            <w:vAlign w:val="center"/>
          </w:tcPr>
          <w:p>
            <w:pPr>
              <w:spacing w:line="360" w:lineRule="auto"/>
              <w:rPr>
                <w:sz w:val="24"/>
              </w:rPr>
            </w:pPr>
            <w:r>
              <w:rPr>
                <w:sz w:val="24"/>
              </w:rPr>
              <w:t>接入方式</w:t>
            </w:r>
          </w:p>
        </w:tc>
        <w:tc>
          <w:tcPr>
            <w:tcW w:w="3124" w:type="pct"/>
            <w:vAlign w:val="center"/>
          </w:tcPr>
          <w:p>
            <w:pPr>
              <w:spacing w:line="360" w:lineRule="auto"/>
              <w:rPr>
                <w:sz w:val="24"/>
              </w:rPr>
            </w:pPr>
            <w:r>
              <w:rPr>
                <w:sz w:val="24"/>
              </w:rPr>
              <w:t>MSTP+(IPRAN)或OTN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pct"/>
            <w:vAlign w:val="center"/>
          </w:tcPr>
          <w:p>
            <w:pPr>
              <w:spacing w:line="360" w:lineRule="auto"/>
              <w:rPr>
                <w:sz w:val="24"/>
              </w:rPr>
            </w:pPr>
            <w:r>
              <w:rPr>
                <w:sz w:val="24"/>
              </w:rPr>
              <w:t>4</w:t>
            </w:r>
          </w:p>
        </w:tc>
        <w:tc>
          <w:tcPr>
            <w:tcW w:w="1025" w:type="pct"/>
            <w:vAlign w:val="center"/>
          </w:tcPr>
          <w:p>
            <w:pPr>
              <w:spacing w:line="360" w:lineRule="auto"/>
              <w:rPr>
                <w:sz w:val="24"/>
              </w:rPr>
            </w:pPr>
            <w:r>
              <w:rPr>
                <w:sz w:val="24"/>
              </w:rPr>
              <w:t>可靠性</w:t>
            </w:r>
          </w:p>
        </w:tc>
        <w:tc>
          <w:tcPr>
            <w:tcW w:w="3124" w:type="pct"/>
            <w:vAlign w:val="center"/>
          </w:tcPr>
          <w:p>
            <w:pPr>
              <w:spacing w:line="360" w:lineRule="auto"/>
              <w:rPr>
                <w:sz w:val="24"/>
              </w:rPr>
            </w:pPr>
            <w:r>
              <w:rPr>
                <w:sz w:val="24"/>
              </w:rPr>
              <w:t>提供高可靠性的网络服务，要求业务可用性高于99.5%。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pct"/>
            <w:vAlign w:val="center"/>
          </w:tcPr>
          <w:p>
            <w:pPr>
              <w:spacing w:line="360" w:lineRule="auto"/>
              <w:rPr>
                <w:sz w:val="24"/>
              </w:rPr>
            </w:pPr>
            <w:r>
              <w:rPr>
                <w:rFonts w:hint="eastAsia"/>
                <w:sz w:val="24"/>
              </w:rPr>
              <w:t>5</w:t>
            </w:r>
          </w:p>
        </w:tc>
        <w:tc>
          <w:tcPr>
            <w:tcW w:w="1025" w:type="pct"/>
            <w:vAlign w:val="center"/>
          </w:tcPr>
          <w:p>
            <w:pPr>
              <w:spacing w:line="360" w:lineRule="auto"/>
              <w:rPr>
                <w:sz w:val="24"/>
              </w:rPr>
            </w:pPr>
            <w:r>
              <w:rPr>
                <w:rFonts w:hint="eastAsia"/>
                <w:sz w:val="24"/>
              </w:rPr>
              <w:t>响应服务</w:t>
            </w:r>
          </w:p>
        </w:tc>
        <w:tc>
          <w:tcPr>
            <w:tcW w:w="3124" w:type="pct"/>
            <w:vAlign w:val="center"/>
          </w:tcPr>
          <w:p>
            <w:pPr>
              <w:spacing w:line="360" w:lineRule="auto"/>
              <w:rPr>
                <w:sz w:val="24"/>
              </w:rPr>
            </w:pPr>
            <w:r>
              <w:rPr>
                <w:rFonts w:hint="eastAsia"/>
                <w:sz w:val="24"/>
              </w:rPr>
              <w:t>提供7*24小时服务响应，对于常规线路自身故障，接到采购人通知后，4小时内完成修复；由于自然灾害、市政施工等客观外力原因导致的线路故障，接到采购人通知后，12小时内完成修复。</w:t>
            </w:r>
          </w:p>
          <w:p>
            <w:pPr>
              <w:spacing w:line="360" w:lineRule="auto"/>
              <w:rPr>
                <w:sz w:val="24"/>
              </w:rPr>
            </w:pPr>
            <w:r>
              <w:rPr>
                <w:rFonts w:hint="eastAsia"/>
                <w:sz w:val="24"/>
              </w:rPr>
              <w:t>由投标人自身原因发生可能影响采购人使用的线路中断，应提前24小时通告采购人，并提供备用线路，保障采购人正常工作的开展。</w:t>
            </w:r>
          </w:p>
        </w:tc>
      </w:tr>
    </w:tbl>
    <w:p>
      <w:pPr>
        <w:spacing w:line="360" w:lineRule="auto"/>
        <w:ind w:firstLine="480" w:firstLineChars="200"/>
        <w:rPr>
          <w:sz w:val="24"/>
        </w:rPr>
      </w:pPr>
    </w:p>
    <w:p>
      <w:pPr>
        <w:widowControl/>
        <w:spacing w:line="360" w:lineRule="auto"/>
        <w:ind w:firstLine="480" w:firstLineChars="200"/>
        <w:rPr>
          <w:bCs/>
          <w:sz w:val="24"/>
        </w:rPr>
      </w:pPr>
      <w:r>
        <w:rPr>
          <w:rFonts w:hint="eastAsia"/>
          <w:bCs/>
          <w:sz w:val="24"/>
        </w:rPr>
        <w:t>三、其他要求</w:t>
      </w:r>
    </w:p>
    <w:tbl>
      <w:tblPr>
        <w:tblStyle w:val="63"/>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75"/>
        <w:gridCol w:w="80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687" w:type="pct"/>
            <w:tcBorders>
              <w:top w:val="single" w:color="auto" w:sz="4" w:space="0"/>
              <w:left w:val="single" w:color="auto" w:sz="4" w:space="0"/>
              <w:bottom w:val="single" w:color="auto" w:sz="4" w:space="0"/>
              <w:right w:val="single" w:color="auto" w:sz="4" w:space="0"/>
            </w:tcBorders>
            <w:vAlign w:val="center"/>
          </w:tcPr>
          <w:p>
            <w:pPr>
              <w:pStyle w:val="16"/>
              <w:widowControl w:val="0"/>
              <w:adjustRightInd/>
              <w:snapToGrid/>
              <w:spacing w:line="360" w:lineRule="auto"/>
              <w:ind w:firstLine="0"/>
              <w:jc w:val="center"/>
              <w:rPr>
                <w:rFonts w:hAnsi="宋体" w:cs="宋体"/>
                <w:b/>
                <w:bCs/>
                <w:color w:val="auto"/>
                <w:kern w:val="2"/>
                <w:sz w:val="24"/>
                <w:szCs w:val="24"/>
              </w:rPr>
            </w:pPr>
            <w:r>
              <w:rPr>
                <w:rFonts w:hint="eastAsia" w:hAnsi="宋体" w:cs="宋体"/>
                <w:b/>
                <w:bCs/>
                <w:color w:val="auto"/>
                <w:kern w:val="2"/>
                <w:sz w:val="24"/>
                <w:szCs w:val="24"/>
              </w:rPr>
              <w:t>服务地点</w:t>
            </w:r>
          </w:p>
        </w:tc>
        <w:tc>
          <w:tcPr>
            <w:tcW w:w="4312" w:type="pct"/>
            <w:tcBorders>
              <w:top w:val="single" w:color="auto" w:sz="4" w:space="0"/>
              <w:left w:val="single" w:color="auto" w:sz="4" w:space="0"/>
              <w:bottom w:val="single" w:color="auto" w:sz="4" w:space="0"/>
              <w:right w:val="single" w:color="auto" w:sz="4" w:space="0"/>
            </w:tcBorders>
            <w:vAlign w:val="center"/>
          </w:tcPr>
          <w:p>
            <w:pPr>
              <w:pStyle w:val="16"/>
              <w:widowControl w:val="0"/>
              <w:adjustRightInd/>
              <w:snapToGrid/>
              <w:spacing w:line="360" w:lineRule="auto"/>
              <w:ind w:firstLine="0"/>
              <w:jc w:val="left"/>
              <w:rPr>
                <w:rFonts w:hAnsi="宋体" w:cs="宋体"/>
                <w:color w:val="auto"/>
                <w:kern w:val="2"/>
                <w:sz w:val="24"/>
                <w:szCs w:val="24"/>
              </w:rPr>
            </w:pPr>
            <w:r>
              <w:rPr>
                <w:rFonts w:hint="eastAsia" w:hAnsi="宋体" w:cs="宋体"/>
                <w:color w:val="auto"/>
                <w:kern w:val="2"/>
                <w:sz w:val="24"/>
                <w:szCs w:val="24"/>
              </w:rPr>
              <w:t>由采购人指定。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5" w:hRule="atLeast"/>
          <w:jc w:val="center"/>
        </w:trPr>
        <w:tc>
          <w:tcPr>
            <w:tcW w:w="687" w:type="pct"/>
            <w:tcBorders>
              <w:top w:val="single" w:color="auto" w:sz="4" w:space="0"/>
              <w:left w:val="single" w:color="auto" w:sz="4" w:space="0"/>
              <w:bottom w:val="single" w:color="auto" w:sz="4" w:space="0"/>
              <w:right w:val="single" w:color="auto" w:sz="4" w:space="0"/>
            </w:tcBorders>
            <w:vAlign w:val="center"/>
          </w:tcPr>
          <w:p>
            <w:pPr>
              <w:pStyle w:val="16"/>
              <w:widowControl w:val="0"/>
              <w:adjustRightInd/>
              <w:snapToGrid/>
              <w:spacing w:line="360" w:lineRule="auto"/>
              <w:ind w:firstLine="0"/>
              <w:jc w:val="center"/>
              <w:rPr>
                <w:rFonts w:hAnsi="宋体" w:cs="宋体"/>
                <w:b/>
                <w:bCs/>
                <w:color w:val="auto"/>
                <w:kern w:val="2"/>
                <w:sz w:val="24"/>
                <w:szCs w:val="24"/>
              </w:rPr>
            </w:pPr>
            <w:r>
              <w:rPr>
                <w:rFonts w:hint="eastAsia" w:hAnsi="宋体" w:cs="宋体"/>
                <w:b/>
                <w:bCs/>
                <w:color w:val="auto"/>
                <w:kern w:val="2"/>
                <w:sz w:val="24"/>
                <w:szCs w:val="24"/>
              </w:rPr>
              <w:t>技术资料</w:t>
            </w:r>
          </w:p>
        </w:tc>
        <w:tc>
          <w:tcPr>
            <w:tcW w:w="4312" w:type="pct"/>
            <w:tcBorders>
              <w:top w:val="single" w:color="auto" w:sz="4" w:space="0"/>
              <w:left w:val="single" w:color="auto" w:sz="4" w:space="0"/>
              <w:bottom w:val="single" w:color="auto" w:sz="4" w:space="0"/>
              <w:right w:val="single" w:color="auto" w:sz="4" w:space="0"/>
            </w:tcBorders>
            <w:vAlign w:val="center"/>
          </w:tcPr>
          <w:p>
            <w:pPr>
              <w:pStyle w:val="16"/>
              <w:widowControl w:val="0"/>
              <w:adjustRightInd/>
              <w:snapToGrid/>
              <w:spacing w:line="360" w:lineRule="auto"/>
              <w:ind w:firstLine="0"/>
              <w:jc w:val="left"/>
              <w:rPr>
                <w:rFonts w:hAnsi="宋体" w:cs="宋体"/>
                <w:color w:val="auto"/>
                <w:kern w:val="2"/>
                <w:sz w:val="24"/>
                <w:szCs w:val="24"/>
              </w:rPr>
            </w:pPr>
            <w:r>
              <w:rPr>
                <w:rFonts w:hint="eastAsia" w:hAnsi="宋体" w:cs="宋体"/>
                <w:color w:val="auto"/>
                <w:kern w:val="2"/>
                <w:sz w:val="24"/>
                <w:szCs w:val="24"/>
              </w:rPr>
              <w:t>1.中标人应按采购文件规定的时间向采购人提供服务有关技术资料。</w:t>
            </w:r>
          </w:p>
          <w:p>
            <w:pPr>
              <w:pStyle w:val="16"/>
              <w:widowControl w:val="0"/>
              <w:adjustRightInd/>
              <w:snapToGrid/>
              <w:spacing w:line="360" w:lineRule="auto"/>
              <w:ind w:firstLine="0"/>
              <w:jc w:val="left"/>
              <w:rPr>
                <w:rFonts w:hAnsi="宋体" w:cs="宋体"/>
                <w:color w:val="auto"/>
                <w:kern w:val="2"/>
                <w:sz w:val="24"/>
                <w:szCs w:val="24"/>
              </w:rPr>
            </w:pPr>
            <w:r>
              <w:rPr>
                <w:rFonts w:hint="eastAsia" w:hAnsi="宋体" w:cs="宋体"/>
                <w:color w:val="auto"/>
                <w:kern w:val="2"/>
                <w:sz w:val="24"/>
                <w:szCs w:val="24"/>
              </w:rPr>
              <w:t>2.没有甲方事先书面同意，中标人不得将由采购人提供的有关合同或任何合同条文、计划或资料提供给与履行本合同无关的任何其他人。即使向履行本合同有关的人员提供，也应注意保密并限于履行合同的必需范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5" w:hRule="atLeast"/>
          <w:jc w:val="center"/>
        </w:trPr>
        <w:tc>
          <w:tcPr>
            <w:tcW w:w="687" w:type="pct"/>
            <w:tcBorders>
              <w:top w:val="single" w:color="auto" w:sz="4" w:space="0"/>
              <w:left w:val="single" w:color="auto" w:sz="4" w:space="0"/>
              <w:bottom w:val="single" w:color="auto" w:sz="4" w:space="0"/>
              <w:right w:val="single" w:color="auto" w:sz="4" w:space="0"/>
            </w:tcBorders>
            <w:vAlign w:val="center"/>
          </w:tcPr>
          <w:p>
            <w:pPr>
              <w:pStyle w:val="16"/>
              <w:widowControl w:val="0"/>
              <w:adjustRightInd/>
              <w:snapToGrid/>
              <w:spacing w:line="360" w:lineRule="auto"/>
              <w:ind w:firstLine="0"/>
              <w:jc w:val="center"/>
              <w:rPr>
                <w:rFonts w:hAnsi="宋体" w:cs="宋体"/>
                <w:b/>
                <w:bCs/>
                <w:color w:val="auto"/>
                <w:kern w:val="2"/>
                <w:sz w:val="24"/>
                <w:szCs w:val="24"/>
              </w:rPr>
            </w:pPr>
            <w:r>
              <w:rPr>
                <w:rFonts w:hint="eastAsia" w:hAnsi="宋体" w:cs="宋体"/>
                <w:b/>
                <w:bCs/>
                <w:color w:val="auto"/>
                <w:kern w:val="2"/>
                <w:sz w:val="24"/>
                <w:szCs w:val="24"/>
              </w:rPr>
              <w:t>驻场服务</w:t>
            </w:r>
          </w:p>
        </w:tc>
        <w:tc>
          <w:tcPr>
            <w:tcW w:w="4312" w:type="pct"/>
            <w:tcBorders>
              <w:top w:val="single" w:color="auto" w:sz="4" w:space="0"/>
              <w:left w:val="single" w:color="auto" w:sz="4" w:space="0"/>
              <w:bottom w:val="single" w:color="auto" w:sz="4" w:space="0"/>
              <w:right w:val="single" w:color="auto" w:sz="4" w:space="0"/>
            </w:tcBorders>
            <w:vAlign w:val="center"/>
          </w:tcPr>
          <w:p>
            <w:pPr>
              <w:pStyle w:val="16"/>
              <w:widowControl w:val="0"/>
              <w:adjustRightInd/>
              <w:snapToGrid/>
              <w:spacing w:line="360" w:lineRule="auto"/>
              <w:ind w:firstLine="0"/>
              <w:jc w:val="left"/>
              <w:rPr>
                <w:rFonts w:hAnsi="宋体" w:cs="宋体"/>
                <w:color w:val="auto"/>
                <w:kern w:val="2"/>
                <w:sz w:val="24"/>
                <w:szCs w:val="24"/>
              </w:rPr>
            </w:pPr>
            <w:r>
              <w:rPr>
                <w:rFonts w:hint="eastAsia" w:hAnsi="宋体" w:cs="宋体"/>
                <w:color w:val="auto"/>
                <w:kern w:val="2"/>
                <w:sz w:val="24"/>
                <w:szCs w:val="24"/>
              </w:rPr>
              <w:t>1、中标人承担其驻场服务人员的薪资待遇、社保、食宿等相关费用。</w:t>
            </w:r>
          </w:p>
          <w:p>
            <w:pPr>
              <w:pStyle w:val="16"/>
              <w:widowControl w:val="0"/>
              <w:adjustRightInd/>
              <w:snapToGrid/>
              <w:spacing w:line="360" w:lineRule="auto"/>
              <w:ind w:firstLine="0"/>
              <w:jc w:val="left"/>
              <w:rPr>
                <w:rFonts w:hAnsi="宋体" w:cs="宋体"/>
                <w:color w:val="auto"/>
                <w:kern w:val="2"/>
                <w:sz w:val="24"/>
                <w:szCs w:val="24"/>
              </w:rPr>
            </w:pPr>
            <w:r>
              <w:rPr>
                <w:rFonts w:hint="eastAsia" w:hAnsi="宋体" w:cs="宋体"/>
                <w:color w:val="auto"/>
                <w:kern w:val="2"/>
                <w:sz w:val="24"/>
                <w:szCs w:val="24"/>
              </w:rPr>
              <w:t>2、中标人员工应遵守服务现场各项管控措施，严禁以买方单位名义从事与工作无关的任何活动，严禁查询、访问与工作职责无关的信息和数据，严禁下载、转发、留存、使用买方单位以及公安内部数据和工作信息。</w:t>
            </w:r>
          </w:p>
          <w:p>
            <w:pPr>
              <w:pStyle w:val="16"/>
              <w:widowControl w:val="0"/>
              <w:adjustRightInd/>
              <w:snapToGrid/>
              <w:spacing w:line="360" w:lineRule="auto"/>
              <w:ind w:firstLine="0"/>
              <w:jc w:val="left"/>
              <w:rPr>
                <w:rFonts w:hAnsi="宋体" w:cs="宋体"/>
                <w:color w:val="auto"/>
                <w:kern w:val="2"/>
                <w:sz w:val="24"/>
                <w:szCs w:val="24"/>
              </w:rPr>
            </w:pPr>
            <w:r>
              <w:rPr>
                <w:rFonts w:hint="eastAsia" w:hAnsi="宋体" w:cs="宋体"/>
                <w:color w:val="auto"/>
                <w:kern w:val="2"/>
                <w:sz w:val="24"/>
                <w:szCs w:val="24"/>
              </w:rPr>
              <w:t>3、工作时间，中标人员工不得从事与工作安排无关的活动。</w:t>
            </w:r>
          </w:p>
          <w:p>
            <w:pPr>
              <w:pStyle w:val="16"/>
              <w:widowControl w:val="0"/>
              <w:adjustRightInd/>
              <w:snapToGrid/>
              <w:spacing w:line="360" w:lineRule="auto"/>
              <w:ind w:firstLine="0"/>
              <w:jc w:val="left"/>
              <w:rPr>
                <w:rFonts w:hAnsi="宋体" w:cs="宋体"/>
                <w:color w:val="auto"/>
                <w:kern w:val="2"/>
                <w:sz w:val="24"/>
                <w:szCs w:val="24"/>
              </w:rPr>
            </w:pPr>
            <w:r>
              <w:rPr>
                <w:rFonts w:hint="eastAsia" w:hAnsi="宋体" w:cs="宋体"/>
                <w:color w:val="auto"/>
                <w:kern w:val="2"/>
                <w:sz w:val="24"/>
                <w:szCs w:val="24"/>
              </w:rPr>
              <w:t>4、中标人员工所发生的一切治安、劳动、民事、刑事等事件纠纷，由中标人员工承担，与采购人无关。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4" w:hRule="atLeast"/>
          <w:jc w:val="center"/>
        </w:trPr>
        <w:tc>
          <w:tcPr>
            <w:tcW w:w="687" w:type="pct"/>
            <w:tcBorders>
              <w:top w:val="single" w:color="auto" w:sz="4" w:space="0"/>
              <w:left w:val="single" w:color="auto" w:sz="4" w:space="0"/>
              <w:bottom w:val="single" w:color="auto" w:sz="4" w:space="0"/>
              <w:right w:val="single" w:color="auto" w:sz="4" w:space="0"/>
            </w:tcBorders>
            <w:vAlign w:val="center"/>
          </w:tcPr>
          <w:p>
            <w:pPr>
              <w:pStyle w:val="16"/>
              <w:widowControl w:val="0"/>
              <w:adjustRightInd/>
              <w:snapToGrid/>
              <w:spacing w:line="360" w:lineRule="auto"/>
              <w:ind w:firstLine="0"/>
              <w:jc w:val="center"/>
              <w:rPr>
                <w:rFonts w:hAnsi="宋体" w:cs="宋体"/>
                <w:b/>
                <w:bCs/>
                <w:color w:val="auto"/>
                <w:kern w:val="2"/>
                <w:sz w:val="24"/>
                <w:szCs w:val="24"/>
              </w:rPr>
            </w:pPr>
            <w:r>
              <w:rPr>
                <w:rFonts w:hint="eastAsia" w:hAnsi="宋体" w:cs="宋体"/>
                <w:b/>
                <w:bCs/>
                <w:color w:val="auto"/>
                <w:kern w:val="2"/>
                <w:sz w:val="24"/>
                <w:szCs w:val="24"/>
              </w:rPr>
              <w:t>质量保证及售后服务</w:t>
            </w:r>
          </w:p>
        </w:tc>
        <w:tc>
          <w:tcPr>
            <w:tcW w:w="4312" w:type="pct"/>
            <w:tcBorders>
              <w:top w:val="single" w:color="auto" w:sz="4" w:space="0"/>
              <w:left w:val="single" w:color="auto" w:sz="4" w:space="0"/>
              <w:bottom w:val="single" w:color="auto" w:sz="4" w:space="0"/>
              <w:right w:val="single" w:color="auto" w:sz="4" w:space="0"/>
            </w:tcBorders>
            <w:vAlign w:val="center"/>
          </w:tcPr>
          <w:p>
            <w:pPr>
              <w:pStyle w:val="16"/>
              <w:widowControl w:val="0"/>
              <w:adjustRightInd/>
              <w:snapToGrid/>
              <w:spacing w:line="360" w:lineRule="auto"/>
              <w:ind w:firstLine="0"/>
              <w:jc w:val="left"/>
              <w:rPr>
                <w:rFonts w:hAnsi="宋体" w:cs="宋体"/>
                <w:color w:val="auto"/>
                <w:kern w:val="2"/>
                <w:sz w:val="24"/>
                <w:szCs w:val="24"/>
              </w:rPr>
            </w:pPr>
            <w:r>
              <w:rPr>
                <w:rFonts w:hint="eastAsia" w:hAnsi="宋体" w:cs="宋体"/>
                <w:color w:val="auto"/>
                <w:kern w:val="2"/>
                <w:sz w:val="24"/>
                <w:szCs w:val="24"/>
              </w:rPr>
              <w:t>硬件设备质保期不少于3年，软件质保期不少于1年</w:t>
            </w:r>
          </w:p>
          <w:p>
            <w:pPr>
              <w:pStyle w:val="16"/>
              <w:widowControl w:val="0"/>
              <w:adjustRightInd/>
              <w:snapToGrid/>
              <w:spacing w:line="360" w:lineRule="auto"/>
              <w:ind w:firstLine="0"/>
              <w:jc w:val="left"/>
              <w:rPr>
                <w:rFonts w:hAnsi="宋体" w:cs="宋体"/>
                <w:color w:val="auto"/>
                <w:kern w:val="2"/>
                <w:sz w:val="24"/>
                <w:szCs w:val="24"/>
              </w:rPr>
            </w:pPr>
            <w:r>
              <w:rPr>
                <w:rFonts w:hint="eastAsia" w:hAnsi="宋体" w:cs="宋体"/>
                <w:color w:val="auto"/>
                <w:kern w:val="2"/>
                <w:sz w:val="24"/>
                <w:szCs w:val="24"/>
              </w:rPr>
              <w:t>质保期内因软硬件系统设备本身缺陷或安装质量问题造成的各种故障或系统升级等，均由投标人免费提供技术服务、维修及设备更换。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jc w:val="center"/>
        </w:trPr>
        <w:tc>
          <w:tcPr>
            <w:tcW w:w="687" w:type="pct"/>
            <w:tcBorders>
              <w:top w:val="single" w:color="auto" w:sz="4" w:space="0"/>
              <w:left w:val="single" w:color="auto" w:sz="4" w:space="0"/>
              <w:bottom w:val="single" w:color="auto" w:sz="4" w:space="0"/>
              <w:right w:val="single" w:color="auto" w:sz="4" w:space="0"/>
            </w:tcBorders>
            <w:vAlign w:val="center"/>
          </w:tcPr>
          <w:p>
            <w:pPr>
              <w:pStyle w:val="16"/>
              <w:spacing w:line="360" w:lineRule="auto"/>
              <w:ind w:firstLine="0"/>
              <w:jc w:val="center"/>
              <w:rPr>
                <w:rFonts w:hAnsi="宋体" w:cs="宋体"/>
                <w:b/>
                <w:bCs/>
                <w:color w:val="auto"/>
                <w:kern w:val="2"/>
                <w:sz w:val="24"/>
                <w:szCs w:val="24"/>
              </w:rPr>
            </w:pPr>
            <w:r>
              <w:rPr>
                <w:rFonts w:hint="eastAsia" w:hAnsi="宋体" w:cs="宋体"/>
                <w:b/>
                <w:bCs/>
                <w:color w:val="auto"/>
                <w:sz w:val="24"/>
                <w:szCs w:val="24"/>
              </w:rPr>
              <w:t>保密</w:t>
            </w:r>
          </w:p>
        </w:tc>
        <w:tc>
          <w:tcPr>
            <w:tcW w:w="4312" w:type="pct"/>
            <w:tcBorders>
              <w:top w:val="single" w:color="auto" w:sz="4" w:space="0"/>
              <w:left w:val="single" w:color="auto" w:sz="4" w:space="0"/>
              <w:bottom w:val="single" w:color="auto" w:sz="4" w:space="0"/>
              <w:right w:val="single" w:color="auto" w:sz="4" w:space="0"/>
            </w:tcBorders>
            <w:vAlign w:val="center"/>
          </w:tcPr>
          <w:p>
            <w:pPr>
              <w:pStyle w:val="16"/>
              <w:spacing w:line="360" w:lineRule="auto"/>
              <w:ind w:firstLine="0"/>
              <w:jc w:val="left"/>
              <w:rPr>
                <w:rFonts w:hAnsi="宋体" w:cs="宋体"/>
                <w:color w:val="auto"/>
                <w:kern w:val="2"/>
                <w:sz w:val="24"/>
                <w:szCs w:val="24"/>
              </w:rPr>
            </w:pPr>
            <w:r>
              <w:rPr>
                <w:rFonts w:hint="eastAsia" w:hAnsi="宋体" w:cs="宋体"/>
                <w:color w:val="auto"/>
                <w:sz w:val="24"/>
              </w:rPr>
              <w:t>除非依照法律规定或者对方当事人的书面同意，任何一方均应保证不向任何第三方提供或披露有关合同的或者履行合同过程中知悉的对方当事人任何未公开的信息和资料，包括但不限于采购人的的工作、基本信息、以及教学、科研等相关内容，并采取一切合理和必要措施和方式防止任何第三方接触到对方当事人的上述保密信息和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jc w:val="center"/>
        </w:trPr>
        <w:tc>
          <w:tcPr>
            <w:tcW w:w="687" w:type="pct"/>
            <w:tcBorders>
              <w:top w:val="single" w:color="auto" w:sz="4" w:space="0"/>
              <w:left w:val="single" w:color="auto" w:sz="4" w:space="0"/>
              <w:bottom w:val="single" w:color="auto" w:sz="4" w:space="0"/>
              <w:right w:val="single" w:color="auto" w:sz="4" w:space="0"/>
            </w:tcBorders>
            <w:vAlign w:val="center"/>
          </w:tcPr>
          <w:p>
            <w:pPr>
              <w:pStyle w:val="16"/>
              <w:widowControl w:val="0"/>
              <w:adjustRightInd/>
              <w:snapToGrid/>
              <w:spacing w:line="360" w:lineRule="auto"/>
              <w:ind w:firstLine="0"/>
              <w:jc w:val="center"/>
              <w:rPr>
                <w:rFonts w:hAnsi="宋体" w:cs="宋体"/>
                <w:b/>
                <w:bCs/>
                <w:color w:val="auto"/>
                <w:kern w:val="2"/>
                <w:sz w:val="24"/>
                <w:szCs w:val="24"/>
              </w:rPr>
            </w:pPr>
            <w:r>
              <w:rPr>
                <w:rFonts w:hint="eastAsia" w:hAnsi="宋体" w:cs="宋体"/>
                <w:b/>
                <w:bCs/>
                <w:color w:val="auto"/>
                <w:kern w:val="2"/>
                <w:sz w:val="24"/>
                <w:szCs w:val="24"/>
              </w:rPr>
              <w:t>验收</w:t>
            </w:r>
          </w:p>
        </w:tc>
        <w:tc>
          <w:tcPr>
            <w:tcW w:w="4312" w:type="pct"/>
            <w:tcBorders>
              <w:top w:val="single" w:color="auto" w:sz="4" w:space="0"/>
              <w:left w:val="single" w:color="auto" w:sz="4" w:space="0"/>
              <w:bottom w:val="single" w:color="auto" w:sz="4" w:space="0"/>
              <w:right w:val="single" w:color="auto" w:sz="4" w:space="0"/>
            </w:tcBorders>
            <w:vAlign w:val="center"/>
          </w:tcPr>
          <w:p>
            <w:pPr>
              <w:pStyle w:val="16"/>
              <w:widowControl w:val="0"/>
              <w:adjustRightInd/>
              <w:snapToGrid/>
              <w:spacing w:line="360" w:lineRule="auto"/>
              <w:ind w:firstLine="0"/>
              <w:jc w:val="left"/>
              <w:rPr>
                <w:rFonts w:hAnsi="宋体" w:cs="宋体"/>
                <w:color w:val="auto"/>
                <w:kern w:val="2"/>
                <w:sz w:val="24"/>
                <w:szCs w:val="24"/>
              </w:rPr>
            </w:pPr>
            <w:r>
              <w:rPr>
                <w:rFonts w:hint="eastAsia" w:hAnsi="宋体" w:cs="宋体"/>
                <w:color w:val="auto"/>
                <w:kern w:val="2"/>
                <w:sz w:val="24"/>
                <w:szCs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687" w:type="pct"/>
            <w:tcBorders>
              <w:top w:val="single" w:color="auto" w:sz="4" w:space="0"/>
              <w:left w:val="single" w:color="auto" w:sz="4" w:space="0"/>
              <w:bottom w:val="single" w:color="auto" w:sz="4" w:space="0"/>
              <w:right w:val="single" w:color="auto" w:sz="4" w:space="0"/>
            </w:tcBorders>
            <w:vAlign w:val="center"/>
          </w:tcPr>
          <w:p>
            <w:pPr>
              <w:pStyle w:val="16"/>
              <w:widowControl w:val="0"/>
              <w:adjustRightInd/>
              <w:snapToGrid/>
              <w:spacing w:line="360" w:lineRule="auto"/>
              <w:ind w:firstLine="0"/>
              <w:jc w:val="center"/>
              <w:rPr>
                <w:rFonts w:hAnsi="宋体" w:cs="宋体"/>
                <w:b/>
                <w:bCs/>
                <w:color w:val="auto"/>
                <w:kern w:val="2"/>
                <w:sz w:val="24"/>
                <w:szCs w:val="24"/>
              </w:rPr>
            </w:pPr>
            <w:r>
              <w:rPr>
                <w:rFonts w:hint="eastAsia" w:hAnsi="宋体" w:cs="宋体"/>
                <w:b/>
                <w:bCs/>
                <w:color w:val="auto"/>
                <w:kern w:val="2"/>
                <w:sz w:val="24"/>
                <w:szCs w:val="24"/>
              </w:rPr>
              <w:t>付款方式</w:t>
            </w:r>
          </w:p>
        </w:tc>
        <w:tc>
          <w:tcPr>
            <w:tcW w:w="4312" w:type="pct"/>
            <w:tcBorders>
              <w:top w:val="single" w:color="auto" w:sz="4" w:space="0"/>
              <w:left w:val="single" w:color="auto" w:sz="4" w:space="0"/>
              <w:bottom w:val="single" w:color="auto" w:sz="4" w:space="0"/>
              <w:right w:val="single" w:color="auto" w:sz="4" w:space="0"/>
            </w:tcBorders>
            <w:vAlign w:val="center"/>
          </w:tcPr>
          <w:p>
            <w:pPr>
              <w:pStyle w:val="16"/>
              <w:widowControl w:val="0"/>
              <w:adjustRightInd/>
              <w:snapToGrid/>
              <w:spacing w:line="360" w:lineRule="auto"/>
              <w:ind w:firstLine="0"/>
              <w:jc w:val="left"/>
              <w:rPr>
                <w:rFonts w:hAnsi="宋体" w:cs="宋体"/>
                <w:color w:val="auto"/>
                <w:sz w:val="24"/>
                <w:szCs w:val="24"/>
              </w:rPr>
            </w:pPr>
            <w:r>
              <w:rPr>
                <w:rFonts w:hint="eastAsia" w:hAnsi="宋体" w:cs="宋体"/>
                <w:color w:val="auto"/>
                <w:sz w:val="24"/>
                <w:szCs w:val="24"/>
              </w:rPr>
              <w:t>合同</w:t>
            </w:r>
            <w:r>
              <w:rPr>
                <w:rFonts w:hAnsi="宋体" w:cs="宋体"/>
                <w:color w:val="auto"/>
                <w:sz w:val="24"/>
                <w:szCs w:val="24"/>
              </w:rPr>
              <w:t>生效以及具备实施条件</w:t>
            </w:r>
            <w:r>
              <w:rPr>
                <w:rFonts w:hint="eastAsia" w:hAnsi="宋体" w:cs="宋体"/>
                <w:color w:val="auto"/>
                <w:sz w:val="24"/>
                <w:szCs w:val="24"/>
              </w:rPr>
              <w:t>后</w:t>
            </w:r>
            <w:r>
              <w:rPr>
                <w:rFonts w:hAnsi="宋体" w:cs="宋体"/>
                <w:color w:val="auto"/>
                <w:sz w:val="24"/>
                <w:szCs w:val="24"/>
              </w:rPr>
              <w:t>7个工作日内支付合同金额</w:t>
            </w:r>
            <w:r>
              <w:rPr>
                <w:rFonts w:hint="eastAsia" w:hAnsi="宋体" w:cs="宋体"/>
                <w:color w:val="auto"/>
                <w:sz w:val="24"/>
                <w:szCs w:val="24"/>
              </w:rPr>
              <w:t>50</w:t>
            </w:r>
            <w:r>
              <w:rPr>
                <w:rFonts w:hAnsi="宋体" w:cs="宋体"/>
                <w:color w:val="auto"/>
                <w:sz w:val="24"/>
                <w:szCs w:val="24"/>
              </w:rPr>
              <w:t>%的款项</w:t>
            </w:r>
            <w:r>
              <w:rPr>
                <w:rFonts w:hint="eastAsia" w:hAnsi="宋体" w:cs="宋体"/>
                <w:color w:val="auto"/>
                <w:sz w:val="24"/>
                <w:szCs w:val="24"/>
              </w:rPr>
              <w:t>；</w:t>
            </w:r>
          </w:p>
          <w:p>
            <w:pPr>
              <w:pStyle w:val="16"/>
              <w:widowControl w:val="0"/>
              <w:adjustRightInd/>
              <w:snapToGrid/>
              <w:spacing w:line="360" w:lineRule="auto"/>
              <w:ind w:firstLine="0"/>
              <w:jc w:val="left"/>
              <w:rPr>
                <w:rFonts w:hAnsi="宋体" w:cs="宋体"/>
                <w:color w:val="auto"/>
                <w:sz w:val="24"/>
                <w:szCs w:val="24"/>
              </w:rPr>
            </w:pPr>
            <w:r>
              <w:rPr>
                <w:rFonts w:hint="eastAsia" w:hAnsi="宋体" w:cs="宋体"/>
                <w:color w:val="auto"/>
                <w:sz w:val="24"/>
                <w:szCs w:val="24"/>
              </w:rPr>
              <w:t>硬件设备交付、云资源开通、线路开通、相关授权完成（含操作系统授权、办公设备授权及信创终端授权、钉钉专业版机年认证），并阶段性验收合格后</w:t>
            </w:r>
            <w:r>
              <w:rPr>
                <w:rFonts w:hAnsi="宋体" w:cs="宋体"/>
                <w:color w:val="auto"/>
                <w:sz w:val="24"/>
                <w:szCs w:val="24"/>
              </w:rPr>
              <w:t>7个工作日内支付合同金额</w:t>
            </w:r>
            <w:r>
              <w:rPr>
                <w:rFonts w:hint="eastAsia" w:hAnsi="宋体" w:cs="宋体"/>
                <w:color w:val="auto"/>
                <w:sz w:val="24"/>
                <w:szCs w:val="24"/>
              </w:rPr>
              <w:t>40</w:t>
            </w:r>
            <w:r>
              <w:rPr>
                <w:rFonts w:hAnsi="宋体" w:cs="宋体"/>
                <w:color w:val="auto"/>
                <w:sz w:val="24"/>
                <w:szCs w:val="24"/>
              </w:rPr>
              <w:t>%的款项</w:t>
            </w:r>
            <w:r>
              <w:rPr>
                <w:rFonts w:hint="eastAsia" w:hAnsi="宋体" w:cs="宋体"/>
                <w:color w:val="auto"/>
                <w:sz w:val="24"/>
                <w:szCs w:val="24"/>
              </w:rPr>
              <w:t>；</w:t>
            </w:r>
          </w:p>
          <w:p>
            <w:pPr>
              <w:pStyle w:val="16"/>
              <w:widowControl w:val="0"/>
              <w:adjustRightInd/>
              <w:snapToGrid/>
              <w:spacing w:line="360" w:lineRule="auto"/>
              <w:ind w:firstLine="0"/>
              <w:jc w:val="left"/>
              <w:rPr>
                <w:rFonts w:hAnsi="宋体" w:cs="宋体"/>
                <w:color w:val="auto"/>
                <w:kern w:val="2"/>
                <w:sz w:val="24"/>
                <w:szCs w:val="24"/>
              </w:rPr>
            </w:pPr>
            <w:r>
              <w:rPr>
                <w:rFonts w:hint="eastAsia" w:hAnsi="宋体" w:cs="宋体"/>
                <w:color w:val="auto"/>
                <w:sz w:val="24"/>
                <w:szCs w:val="24"/>
              </w:rPr>
              <w:t>服务期满</w:t>
            </w:r>
            <w:r>
              <w:rPr>
                <w:rFonts w:hAnsi="宋体" w:cs="宋体"/>
                <w:color w:val="auto"/>
                <w:sz w:val="24"/>
                <w:szCs w:val="24"/>
              </w:rPr>
              <w:t>验收</w:t>
            </w:r>
            <w:r>
              <w:rPr>
                <w:rFonts w:hint="eastAsia" w:hAnsi="宋体" w:cs="宋体"/>
                <w:color w:val="auto"/>
                <w:sz w:val="24"/>
                <w:szCs w:val="24"/>
              </w:rPr>
              <w:t>合格</w:t>
            </w:r>
            <w:r>
              <w:rPr>
                <w:rFonts w:hAnsi="宋体" w:cs="宋体"/>
                <w:color w:val="auto"/>
                <w:sz w:val="24"/>
                <w:szCs w:val="24"/>
              </w:rPr>
              <w:t>后，自收到发票后7个工作日内支付合同金额</w:t>
            </w:r>
            <w:r>
              <w:rPr>
                <w:rFonts w:hint="eastAsia" w:hAnsi="宋体" w:cs="宋体"/>
                <w:color w:val="auto"/>
                <w:sz w:val="24"/>
                <w:szCs w:val="24"/>
              </w:rPr>
              <w:t>10</w:t>
            </w:r>
            <w:r>
              <w:rPr>
                <w:rFonts w:hAnsi="宋体" w:cs="宋体"/>
                <w:color w:val="auto"/>
                <w:sz w:val="24"/>
                <w:szCs w:val="24"/>
              </w:rPr>
              <w:t>%的款项。</w:t>
            </w:r>
          </w:p>
        </w:tc>
      </w:tr>
    </w:tbl>
    <w:p>
      <w:pPr>
        <w:spacing w:line="360" w:lineRule="auto"/>
        <w:ind w:firstLine="480" w:firstLineChars="200"/>
        <w:rPr>
          <w:snapToGrid w:val="0"/>
          <w:kern w:val="0"/>
          <w:sz w:val="24"/>
        </w:rPr>
      </w:pPr>
    </w:p>
    <w:p>
      <w:pPr>
        <w:spacing w:line="360" w:lineRule="auto"/>
        <w:ind w:firstLine="482" w:firstLineChars="200"/>
        <w:jc w:val="center"/>
        <w:outlineLvl w:val="0"/>
        <w:rPr>
          <w:rFonts w:ascii="宋体" w:hAnsi="宋体" w:cs="宋体"/>
          <w:b/>
          <w:sz w:val="36"/>
          <w:szCs w:val="36"/>
        </w:rPr>
      </w:pPr>
      <w:r>
        <w:rPr>
          <w:b/>
          <w:sz w:val="24"/>
        </w:rPr>
        <w:br w:type="page"/>
      </w:r>
      <w:r>
        <w:rPr>
          <w:rFonts w:hint="eastAsia" w:ascii="宋体" w:hAnsi="宋体" w:cs="宋体"/>
          <w:b/>
          <w:sz w:val="36"/>
          <w:szCs w:val="36"/>
        </w:rPr>
        <w:t xml:space="preserve">第四部分   </w:t>
      </w:r>
      <w:bookmarkStart w:id="79" w:name="_Toc184313238"/>
      <w:bookmarkEnd w:id="79"/>
      <w:bookmarkStart w:id="80" w:name="_Toc184312123"/>
      <w:bookmarkEnd w:id="80"/>
      <w:bookmarkStart w:id="81" w:name="_Toc184312101"/>
      <w:bookmarkEnd w:id="81"/>
      <w:bookmarkStart w:id="82" w:name="_Toc184312069"/>
      <w:bookmarkEnd w:id="82"/>
      <w:bookmarkStart w:id="83" w:name="_Toc184313264"/>
      <w:bookmarkEnd w:id="83"/>
      <w:bookmarkStart w:id="84" w:name="_Toc184308092"/>
      <w:bookmarkEnd w:id="84"/>
      <w:bookmarkStart w:id="85" w:name="_Toc184314478"/>
      <w:bookmarkEnd w:id="85"/>
      <w:bookmarkStart w:id="86" w:name="_Toc184312108"/>
      <w:bookmarkEnd w:id="86"/>
      <w:bookmarkStart w:id="87" w:name="_Toc184314469"/>
      <w:bookmarkEnd w:id="87"/>
      <w:bookmarkStart w:id="88" w:name="_Toc184314422"/>
      <w:bookmarkEnd w:id="88"/>
      <w:bookmarkStart w:id="89" w:name="_Toc184313241"/>
      <w:bookmarkEnd w:id="89"/>
      <w:bookmarkStart w:id="90" w:name="_Toc184312086"/>
      <w:bookmarkEnd w:id="90"/>
      <w:bookmarkStart w:id="91" w:name="_Toc184312096"/>
      <w:bookmarkEnd w:id="91"/>
      <w:bookmarkStart w:id="92" w:name="_Toc184312118"/>
      <w:bookmarkEnd w:id="92"/>
      <w:bookmarkStart w:id="93" w:name="_Toc184308050"/>
      <w:bookmarkEnd w:id="93"/>
      <w:bookmarkStart w:id="94" w:name="_Toc184314434"/>
      <w:bookmarkEnd w:id="94"/>
      <w:bookmarkStart w:id="95" w:name="_Toc184314433"/>
      <w:bookmarkEnd w:id="95"/>
      <w:bookmarkStart w:id="96" w:name="_Toc184312106"/>
      <w:bookmarkEnd w:id="96"/>
      <w:bookmarkStart w:id="97" w:name="_Toc184312136"/>
      <w:bookmarkEnd w:id="97"/>
      <w:bookmarkStart w:id="98" w:name="_Toc184308091"/>
      <w:bookmarkEnd w:id="98"/>
      <w:bookmarkStart w:id="99" w:name="_Toc184313247"/>
      <w:bookmarkEnd w:id="99"/>
      <w:bookmarkStart w:id="100" w:name="_Toc184313245"/>
      <w:bookmarkEnd w:id="100"/>
      <w:bookmarkStart w:id="101" w:name="_Toc184308069"/>
      <w:bookmarkEnd w:id="101"/>
      <w:bookmarkStart w:id="102" w:name="_Toc184313279"/>
      <w:bookmarkEnd w:id="102"/>
      <w:bookmarkStart w:id="103" w:name="_Toc184313251"/>
      <w:bookmarkEnd w:id="103"/>
      <w:bookmarkStart w:id="104" w:name="_Toc184314428"/>
      <w:bookmarkEnd w:id="104"/>
      <w:bookmarkStart w:id="105" w:name="_Toc184310297"/>
      <w:bookmarkEnd w:id="105"/>
      <w:bookmarkStart w:id="106" w:name="_Toc184310308"/>
      <w:bookmarkEnd w:id="106"/>
      <w:bookmarkStart w:id="107" w:name="_Toc184310338"/>
      <w:bookmarkEnd w:id="107"/>
      <w:bookmarkStart w:id="108" w:name="_Toc184314410"/>
      <w:bookmarkEnd w:id="108"/>
      <w:bookmarkStart w:id="109" w:name="_Toc184308096"/>
      <w:bookmarkEnd w:id="109"/>
      <w:bookmarkStart w:id="110" w:name="_Toc184313309"/>
      <w:bookmarkEnd w:id="110"/>
      <w:bookmarkStart w:id="111" w:name="_Toc184312089"/>
      <w:bookmarkEnd w:id="111"/>
      <w:bookmarkStart w:id="112" w:name="_Toc184313304"/>
      <w:bookmarkEnd w:id="112"/>
      <w:bookmarkStart w:id="113" w:name="_Toc184312092"/>
      <w:bookmarkEnd w:id="113"/>
      <w:bookmarkStart w:id="114" w:name="_Toc184313284"/>
      <w:bookmarkEnd w:id="114"/>
      <w:bookmarkStart w:id="115" w:name="_Toc184314429"/>
      <w:bookmarkEnd w:id="115"/>
      <w:bookmarkStart w:id="116" w:name="_Toc184313299"/>
      <w:bookmarkEnd w:id="116"/>
      <w:bookmarkStart w:id="117" w:name="_Toc184310296"/>
      <w:bookmarkEnd w:id="117"/>
      <w:bookmarkStart w:id="118" w:name="_Toc184308107"/>
      <w:bookmarkEnd w:id="118"/>
      <w:bookmarkStart w:id="119" w:name="_Toc184314454"/>
      <w:bookmarkEnd w:id="119"/>
      <w:bookmarkStart w:id="120" w:name="_Toc184314442"/>
      <w:bookmarkEnd w:id="120"/>
      <w:bookmarkStart w:id="121" w:name="_Toc184310344"/>
      <w:bookmarkEnd w:id="121"/>
      <w:bookmarkStart w:id="122" w:name="_Toc184308102"/>
      <w:bookmarkEnd w:id="122"/>
      <w:bookmarkStart w:id="123" w:name="_Toc184310273"/>
      <w:bookmarkEnd w:id="123"/>
      <w:bookmarkStart w:id="124" w:name="_Toc184308074"/>
      <w:bookmarkEnd w:id="124"/>
      <w:bookmarkStart w:id="125" w:name="_Toc184312078"/>
      <w:bookmarkEnd w:id="125"/>
      <w:bookmarkStart w:id="126" w:name="_Toc184313290"/>
      <w:bookmarkEnd w:id="126"/>
      <w:bookmarkStart w:id="127" w:name="_Toc184314476"/>
      <w:bookmarkEnd w:id="127"/>
      <w:bookmarkStart w:id="128" w:name="_Toc184312095"/>
      <w:bookmarkEnd w:id="128"/>
      <w:bookmarkStart w:id="129" w:name="_Toc184308046"/>
      <w:bookmarkEnd w:id="129"/>
      <w:bookmarkStart w:id="130" w:name="_Toc184310294"/>
      <w:bookmarkEnd w:id="130"/>
      <w:bookmarkStart w:id="131" w:name="_Toc184314415"/>
      <w:bookmarkEnd w:id="131"/>
      <w:bookmarkStart w:id="132" w:name="_Toc184313283"/>
      <w:bookmarkEnd w:id="132"/>
      <w:bookmarkStart w:id="133" w:name="_Toc184313254"/>
      <w:bookmarkEnd w:id="133"/>
      <w:bookmarkStart w:id="134" w:name="_Toc184313262"/>
      <w:bookmarkEnd w:id="134"/>
      <w:bookmarkStart w:id="135" w:name="_Toc184313273"/>
      <w:bookmarkEnd w:id="135"/>
      <w:bookmarkStart w:id="136" w:name="_Toc184312114"/>
      <w:bookmarkEnd w:id="136"/>
      <w:bookmarkStart w:id="137" w:name="_Toc184308106"/>
      <w:bookmarkEnd w:id="137"/>
      <w:bookmarkStart w:id="138" w:name="_Toc184314438"/>
      <w:bookmarkEnd w:id="138"/>
      <w:bookmarkStart w:id="139" w:name="_Toc184314411"/>
      <w:bookmarkEnd w:id="139"/>
      <w:bookmarkStart w:id="140" w:name="_Toc184313240"/>
      <w:bookmarkEnd w:id="140"/>
      <w:bookmarkStart w:id="141" w:name="_Toc184308103"/>
      <w:bookmarkEnd w:id="141"/>
      <w:bookmarkStart w:id="142" w:name="_Toc184314427"/>
      <w:bookmarkEnd w:id="142"/>
      <w:bookmarkStart w:id="143" w:name="_Toc184313263"/>
      <w:bookmarkEnd w:id="143"/>
      <w:bookmarkStart w:id="144" w:name="_Toc184310287"/>
      <w:bookmarkEnd w:id="144"/>
      <w:bookmarkStart w:id="145" w:name="_Toc184314445"/>
      <w:bookmarkEnd w:id="145"/>
      <w:bookmarkStart w:id="146" w:name="_Toc184312130"/>
      <w:bookmarkEnd w:id="146"/>
      <w:bookmarkStart w:id="147" w:name="_Toc184310322"/>
      <w:bookmarkEnd w:id="147"/>
      <w:bookmarkStart w:id="148" w:name="_Toc184310319"/>
      <w:bookmarkEnd w:id="148"/>
      <w:bookmarkStart w:id="149" w:name="_Toc184308036"/>
      <w:bookmarkEnd w:id="149"/>
      <w:bookmarkStart w:id="150" w:name="_Toc184310314"/>
      <w:bookmarkEnd w:id="150"/>
      <w:bookmarkStart w:id="151" w:name="_Toc184314473"/>
      <w:bookmarkEnd w:id="151"/>
      <w:bookmarkStart w:id="152" w:name="_Toc184308085"/>
      <w:bookmarkEnd w:id="152"/>
      <w:bookmarkStart w:id="153" w:name="_Toc184314441"/>
      <w:bookmarkEnd w:id="153"/>
      <w:bookmarkStart w:id="154" w:name="_Toc184314471"/>
      <w:bookmarkEnd w:id="154"/>
      <w:bookmarkStart w:id="155" w:name="_Toc184310307"/>
      <w:bookmarkEnd w:id="155"/>
      <w:bookmarkStart w:id="156" w:name="_Toc184314424"/>
      <w:bookmarkEnd w:id="156"/>
      <w:bookmarkStart w:id="157" w:name="_Toc184308043"/>
      <w:bookmarkEnd w:id="157"/>
      <w:bookmarkStart w:id="158" w:name="_Toc184314436"/>
      <w:bookmarkEnd w:id="158"/>
      <w:bookmarkStart w:id="159" w:name="_Toc184308068"/>
      <w:bookmarkEnd w:id="159"/>
      <w:bookmarkStart w:id="160" w:name="_Toc184308079"/>
      <w:bookmarkEnd w:id="160"/>
      <w:bookmarkStart w:id="161" w:name="_Toc184312080"/>
      <w:bookmarkEnd w:id="161"/>
      <w:bookmarkStart w:id="162" w:name="_Toc184308083"/>
      <w:bookmarkEnd w:id="162"/>
      <w:bookmarkStart w:id="163" w:name="_Toc184314460"/>
      <w:bookmarkEnd w:id="163"/>
      <w:bookmarkStart w:id="164" w:name="_Toc184310309"/>
      <w:bookmarkEnd w:id="164"/>
      <w:bookmarkStart w:id="165" w:name="_Toc184312125"/>
      <w:bookmarkEnd w:id="165"/>
      <w:bookmarkStart w:id="166" w:name="_Toc184313282"/>
      <w:bookmarkEnd w:id="166"/>
      <w:bookmarkStart w:id="167" w:name="_Toc184313243"/>
      <w:bookmarkEnd w:id="167"/>
      <w:bookmarkStart w:id="168" w:name="_Toc184310275"/>
      <w:bookmarkEnd w:id="168"/>
      <w:bookmarkStart w:id="169" w:name="_Toc184308047"/>
      <w:bookmarkEnd w:id="169"/>
      <w:bookmarkStart w:id="170" w:name="_Toc184314418"/>
      <w:bookmarkEnd w:id="170"/>
      <w:bookmarkStart w:id="171" w:name="_Toc184308099"/>
      <w:bookmarkEnd w:id="171"/>
      <w:bookmarkStart w:id="172" w:name="_Toc184314412"/>
      <w:bookmarkEnd w:id="172"/>
      <w:bookmarkStart w:id="173" w:name="_Toc184312079"/>
      <w:bookmarkEnd w:id="173"/>
      <w:bookmarkStart w:id="174" w:name="_Toc184313293"/>
      <w:bookmarkEnd w:id="174"/>
      <w:bookmarkStart w:id="175" w:name="_Toc184310310"/>
      <w:bookmarkEnd w:id="175"/>
      <w:bookmarkStart w:id="176" w:name="_Toc184312111"/>
      <w:bookmarkEnd w:id="176"/>
      <w:bookmarkStart w:id="177" w:name="_Toc184314440"/>
      <w:bookmarkEnd w:id="177"/>
      <w:bookmarkStart w:id="178" w:name="_Toc184310284"/>
      <w:bookmarkEnd w:id="178"/>
      <w:bookmarkStart w:id="179" w:name="_Toc184313271"/>
      <w:bookmarkEnd w:id="179"/>
      <w:bookmarkStart w:id="180" w:name="_Toc184312126"/>
      <w:bookmarkEnd w:id="180"/>
      <w:bookmarkStart w:id="181" w:name="_Toc184314452"/>
      <w:bookmarkEnd w:id="181"/>
      <w:bookmarkStart w:id="182" w:name="_Toc184308090"/>
      <w:bookmarkEnd w:id="182"/>
      <w:bookmarkStart w:id="183" w:name="_Toc184313257"/>
      <w:bookmarkEnd w:id="183"/>
      <w:bookmarkStart w:id="184" w:name="_Toc184310303"/>
      <w:bookmarkEnd w:id="184"/>
      <w:bookmarkStart w:id="185" w:name="_Toc184308073"/>
      <w:bookmarkEnd w:id="185"/>
      <w:bookmarkStart w:id="186" w:name="_Toc184313292"/>
      <w:bookmarkEnd w:id="186"/>
      <w:bookmarkStart w:id="187" w:name="_Toc184314481"/>
      <w:bookmarkEnd w:id="187"/>
      <w:bookmarkStart w:id="188" w:name="_Toc184308056"/>
      <w:bookmarkEnd w:id="188"/>
      <w:bookmarkStart w:id="189" w:name="_Toc184310312"/>
      <w:bookmarkEnd w:id="189"/>
      <w:bookmarkStart w:id="190" w:name="_Toc184308053"/>
      <w:bookmarkEnd w:id="190"/>
      <w:bookmarkStart w:id="191" w:name="_Toc184313246"/>
      <w:bookmarkEnd w:id="191"/>
      <w:bookmarkStart w:id="192" w:name="_Toc184313307"/>
      <w:bookmarkEnd w:id="192"/>
      <w:bookmarkStart w:id="193" w:name="_Toc184308076"/>
      <w:bookmarkEnd w:id="193"/>
      <w:bookmarkStart w:id="194" w:name="_Toc184310324"/>
      <w:bookmarkEnd w:id="194"/>
      <w:bookmarkStart w:id="195" w:name="_Toc184314451"/>
      <w:bookmarkEnd w:id="195"/>
      <w:bookmarkStart w:id="196" w:name="_Toc184310292"/>
      <w:bookmarkEnd w:id="196"/>
      <w:bookmarkStart w:id="197" w:name="_Toc184308063"/>
      <w:bookmarkEnd w:id="197"/>
      <w:bookmarkStart w:id="198" w:name="_Toc184308038"/>
      <w:bookmarkEnd w:id="198"/>
      <w:bookmarkStart w:id="199" w:name="_Toc184314414"/>
      <w:bookmarkEnd w:id="199"/>
      <w:bookmarkStart w:id="200" w:name="_Toc184310305"/>
      <w:bookmarkEnd w:id="200"/>
      <w:bookmarkStart w:id="201" w:name="_Toc184310332"/>
      <w:bookmarkEnd w:id="201"/>
      <w:bookmarkStart w:id="202" w:name="_Toc184314464"/>
      <w:bookmarkEnd w:id="202"/>
      <w:bookmarkStart w:id="203" w:name="_Toc184310321"/>
      <w:bookmarkEnd w:id="203"/>
      <w:bookmarkStart w:id="204" w:name="_Toc184310280"/>
      <w:bookmarkEnd w:id="204"/>
      <w:bookmarkStart w:id="205" w:name="_Toc184314421"/>
      <w:bookmarkEnd w:id="205"/>
      <w:bookmarkStart w:id="206" w:name="_Toc184308037"/>
      <w:bookmarkEnd w:id="206"/>
      <w:bookmarkStart w:id="207" w:name="_Toc184314443"/>
      <w:bookmarkEnd w:id="207"/>
      <w:bookmarkStart w:id="208" w:name="_Toc184314466"/>
      <w:bookmarkEnd w:id="208"/>
      <w:bookmarkStart w:id="209" w:name="_Toc184308058"/>
      <w:bookmarkEnd w:id="209"/>
      <w:bookmarkStart w:id="210" w:name="_Toc184310330"/>
      <w:bookmarkEnd w:id="210"/>
      <w:bookmarkStart w:id="211" w:name="_Toc184310281"/>
      <w:bookmarkEnd w:id="211"/>
      <w:bookmarkStart w:id="212" w:name="_Toc184312107"/>
      <w:bookmarkEnd w:id="212"/>
      <w:bookmarkStart w:id="213" w:name="_Toc184312068"/>
      <w:bookmarkEnd w:id="213"/>
      <w:bookmarkStart w:id="214" w:name="_Toc184310327"/>
      <w:bookmarkEnd w:id="214"/>
      <w:bookmarkStart w:id="215" w:name="_Toc184314455"/>
      <w:bookmarkEnd w:id="215"/>
      <w:bookmarkStart w:id="216" w:name="_Toc184310339"/>
      <w:bookmarkEnd w:id="216"/>
      <w:bookmarkStart w:id="217" w:name="_Toc184312081"/>
      <w:bookmarkEnd w:id="217"/>
      <w:bookmarkStart w:id="218" w:name="_Toc184310298"/>
      <w:bookmarkEnd w:id="218"/>
      <w:bookmarkStart w:id="219" w:name="_Toc184312094"/>
      <w:bookmarkEnd w:id="219"/>
      <w:bookmarkStart w:id="220" w:name="_Toc184312139"/>
      <w:bookmarkEnd w:id="220"/>
      <w:bookmarkStart w:id="221" w:name="_Toc184310279"/>
      <w:bookmarkEnd w:id="221"/>
      <w:bookmarkStart w:id="222" w:name="_Toc184312132"/>
      <w:bookmarkEnd w:id="222"/>
      <w:bookmarkStart w:id="223" w:name="_Toc184308080"/>
      <w:bookmarkEnd w:id="223"/>
      <w:bookmarkStart w:id="224" w:name="_Toc184308049"/>
      <w:bookmarkEnd w:id="224"/>
      <w:bookmarkStart w:id="225" w:name="_Toc184314446"/>
      <w:bookmarkEnd w:id="225"/>
      <w:bookmarkStart w:id="226" w:name="_Toc184313277"/>
      <w:bookmarkEnd w:id="226"/>
      <w:bookmarkStart w:id="227" w:name="_Toc184313305"/>
      <w:bookmarkEnd w:id="227"/>
      <w:bookmarkStart w:id="228" w:name="_Toc184312093"/>
      <w:bookmarkEnd w:id="228"/>
      <w:bookmarkStart w:id="229" w:name="_Toc184310340"/>
      <w:bookmarkEnd w:id="229"/>
      <w:bookmarkStart w:id="230" w:name="_Toc184310306"/>
      <w:bookmarkEnd w:id="230"/>
      <w:bookmarkStart w:id="231" w:name="_Toc184310290"/>
      <w:bookmarkEnd w:id="231"/>
      <w:bookmarkStart w:id="232" w:name="_Toc184314426"/>
      <w:bookmarkEnd w:id="232"/>
      <w:bookmarkStart w:id="233" w:name="_Toc184312121"/>
      <w:bookmarkEnd w:id="233"/>
      <w:bookmarkStart w:id="234" w:name="_Toc184313295"/>
      <w:bookmarkEnd w:id="234"/>
      <w:bookmarkStart w:id="235" w:name="_Toc184314416"/>
      <w:bookmarkEnd w:id="235"/>
      <w:bookmarkStart w:id="236" w:name="_Toc184310329"/>
      <w:bookmarkEnd w:id="236"/>
      <w:bookmarkStart w:id="237" w:name="_Toc184308039"/>
      <w:bookmarkEnd w:id="237"/>
      <w:bookmarkStart w:id="238" w:name="_Toc184314423"/>
      <w:bookmarkEnd w:id="238"/>
      <w:bookmarkStart w:id="239" w:name="_Toc184312137"/>
      <w:bookmarkEnd w:id="239"/>
      <w:bookmarkStart w:id="240" w:name="_Toc184308052"/>
      <w:bookmarkEnd w:id="240"/>
      <w:bookmarkStart w:id="241" w:name="_Toc184310295"/>
      <w:bookmarkEnd w:id="241"/>
      <w:bookmarkStart w:id="242" w:name="_Toc184314425"/>
      <w:bookmarkEnd w:id="242"/>
      <w:bookmarkStart w:id="243" w:name="_Toc184310304"/>
      <w:bookmarkEnd w:id="243"/>
      <w:bookmarkStart w:id="244" w:name="_Toc184310301"/>
      <w:bookmarkEnd w:id="244"/>
      <w:bookmarkStart w:id="245" w:name="_Toc184314474"/>
      <w:bookmarkEnd w:id="245"/>
      <w:bookmarkStart w:id="246" w:name="_Toc184314465"/>
      <w:bookmarkEnd w:id="246"/>
      <w:bookmarkStart w:id="247" w:name="_Toc184314470"/>
      <w:bookmarkEnd w:id="247"/>
      <w:bookmarkStart w:id="248" w:name="_Toc184312103"/>
      <w:bookmarkEnd w:id="248"/>
      <w:bookmarkStart w:id="249" w:name="_Toc184314467"/>
      <w:bookmarkEnd w:id="249"/>
      <w:bookmarkStart w:id="250" w:name="_Toc184312129"/>
      <w:bookmarkEnd w:id="250"/>
      <w:bookmarkStart w:id="251" w:name="_Toc184314437"/>
      <w:bookmarkEnd w:id="251"/>
      <w:bookmarkStart w:id="252" w:name="_Toc184312097"/>
      <w:bookmarkEnd w:id="252"/>
      <w:bookmarkStart w:id="253" w:name="_Toc184310286"/>
      <w:bookmarkEnd w:id="253"/>
      <w:bookmarkStart w:id="254" w:name="_Toc184313275"/>
      <w:bookmarkEnd w:id="254"/>
      <w:bookmarkStart w:id="255" w:name="_Toc184313258"/>
      <w:bookmarkEnd w:id="255"/>
      <w:bookmarkStart w:id="256" w:name="_Toc184308048"/>
      <w:bookmarkEnd w:id="256"/>
      <w:bookmarkStart w:id="257" w:name="_Toc184312138"/>
      <w:bookmarkEnd w:id="257"/>
      <w:bookmarkStart w:id="258" w:name="_Toc184314413"/>
      <w:bookmarkEnd w:id="258"/>
      <w:bookmarkStart w:id="259" w:name="_Toc184312074"/>
      <w:bookmarkEnd w:id="259"/>
      <w:bookmarkStart w:id="260" w:name="_Toc184312134"/>
      <w:bookmarkEnd w:id="260"/>
      <w:bookmarkStart w:id="261" w:name="_Toc184313291"/>
      <w:bookmarkEnd w:id="261"/>
      <w:bookmarkStart w:id="262" w:name="_Toc184310276"/>
      <w:bookmarkEnd w:id="262"/>
      <w:bookmarkStart w:id="263" w:name="_Toc184308057"/>
      <w:bookmarkEnd w:id="263"/>
      <w:bookmarkStart w:id="264" w:name="_Toc184312112"/>
      <w:bookmarkEnd w:id="264"/>
      <w:bookmarkStart w:id="265" w:name="_Toc184310300"/>
      <w:bookmarkEnd w:id="265"/>
      <w:bookmarkStart w:id="266" w:name="_Toc184308094"/>
      <w:bookmarkEnd w:id="266"/>
      <w:bookmarkStart w:id="267" w:name="_Toc184313287"/>
      <w:bookmarkEnd w:id="267"/>
      <w:bookmarkStart w:id="268" w:name="_Toc184310291"/>
      <w:bookmarkEnd w:id="268"/>
      <w:bookmarkStart w:id="269" w:name="_Toc184312105"/>
      <w:bookmarkEnd w:id="269"/>
      <w:bookmarkStart w:id="270" w:name="_Toc184313255"/>
      <w:bookmarkEnd w:id="270"/>
      <w:bookmarkStart w:id="271" w:name="_Toc184308060"/>
      <w:bookmarkEnd w:id="271"/>
      <w:bookmarkStart w:id="272" w:name="_Toc184312072"/>
      <w:bookmarkEnd w:id="272"/>
      <w:bookmarkStart w:id="273" w:name="_Toc184310335"/>
      <w:bookmarkEnd w:id="273"/>
      <w:bookmarkStart w:id="274" w:name="_Toc184312070"/>
      <w:bookmarkEnd w:id="274"/>
      <w:bookmarkStart w:id="275" w:name="_Toc184313300"/>
      <w:bookmarkEnd w:id="275"/>
      <w:bookmarkStart w:id="276" w:name="_Toc184308097"/>
      <w:bookmarkEnd w:id="276"/>
      <w:bookmarkStart w:id="277" w:name="_Toc184308066"/>
      <w:bookmarkEnd w:id="277"/>
      <w:bookmarkStart w:id="278" w:name="_Toc184314468"/>
      <w:bookmarkEnd w:id="278"/>
      <w:bookmarkStart w:id="279" w:name="_Toc184314432"/>
      <w:bookmarkEnd w:id="279"/>
      <w:bookmarkStart w:id="280" w:name="_Toc184314435"/>
      <w:bookmarkEnd w:id="280"/>
      <w:bookmarkStart w:id="281" w:name="_Toc184313286"/>
      <w:bookmarkEnd w:id="281"/>
      <w:bookmarkStart w:id="282" w:name="_Toc184313260"/>
      <w:bookmarkEnd w:id="282"/>
      <w:bookmarkStart w:id="283" w:name="_Toc184308101"/>
      <w:bookmarkEnd w:id="283"/>
      <w:bookmarkStart w:id="284" w:name="_Toc184310320"/>
      <w:bookmarkEnd w:id="284"/>
      <w:bookmarkStart w:id="285" w:name="_Toc184313297"/>
      <w:bookmarkEnd w:id="285"/>
      <w:bookmarkStart w:id="286" w:name="_Toc184310302"/>
      <w:bookmarkEnd w:id="286"/>
      <w:bookmarkStart w:id="287" w:name="_Toc184312082"/>
      <w:bookmarkEnd w:id="287"/>
      <w:bookmarkStart w:id="288" w:name="_Toc184312088"/>
      <w:bookmarkEnd w:id="288"/>
      <w:bookmarkStart w:id="289" w:name="_Toc184313310"/>
      <w:bookmarkEnd w:id="289"/>
      <w:bookmarkStart w:id="290" w:name="_Toc184312076"/>
      <w:bookmarkEnd w:id="290"/>
      <w:bookmarkStart w:id="291" w:name="_Toc184314463"/>
      <w:bookmarkEnd w:id="291"/>
      <w:bookmarkStart w:id="292" w:name="_Toc184314461"/>
      <w:bookmarkEnd w:id="292"/>
      <w:bookmarkStart w:id="293" w:name="_Toc184312104"/>
      <w:bookmarkEnd w:id="293"/>
      <w:bookmarkStart w:id="294" w:name="_Toc184310341"/>
      <w:bookmarkEnd w:id="294"/>
      <w:bookmarkStart w:id="295" w:name="_Toc184314439"/>
      <w:bookmarkEnd w:id="295"/>
      <w:bookmarkStart w:id="296" w:name="_Toc184313259"/>
      <w:bookmarkEnd w:id="296"/>
      <w:bookmarkStart w:id="297" w:name="_Toc184313266"/>
      <w:bookmarkEnd w:id="297"/>
      <w:bookmarkStart w:id="298" w:name="_Toc184313252"/>
      <w:bookmarkEnd w:id="298"/>
      <w:bookmarkStart w:id="299" w:name="_Toc184310293"/>
      <w:bookmarkEnd w:id="299"/>
      <w:bookmarkStart w:id="300" w:name="_Toc184308059"/>
      <w:bookmarkEnd w:id="300"/>
      <w:bookmarkStart w:id="301" w:name="_Toc184310282"/>
      <w:bookmarkEnd w:id="301"/>
      <w:bookmarkStart w:id="302" w:name="_Toc184313296"/>
      <w:bookmarkEnd w:id="302"/>
      <w:bookmarkStart w:id="303" w:name="_Toc184314477"/>
      <w:bookmarkEnd w:id="303"/>
      <w:bookmarkStart w:id="304" w:name="_Toc184308105"/>
      <w:bookmarkEnd w:id="304"/>
      <w:bookmarkStart w:id="305" w:name="_Toc184308042"/>
      <w:bookmarkEnd w:id="305"/>
      <w:bookmarkStart w:id="306" w:name="_Toc184312110"/>
      <w:bookmarkEnd w:id="306"/>
      <w:bookmarkStart w:id="307" w:name="_Toc184308040"/>
      <w:bookmarkEnd w:id="307"/>
      <w:bookmarkStart w:id="308" w:name="_Toc184314444"/>
      <w:bookmarkEnd w:id="308"/>
      <w:bookmarkStart w:id="309" w:name="_Toc184310274"/>
      <w:bookmarkEnd w:id="309"/>
      <w:bookmarkStart w:id="310" w:name="_Toc184308071"/>
      <w:bookmarkEnd w:id="310"/>
      <w:bookmarkStart w:id="311" w:name="_Toc184312128"/>
      <w:bookmarkEnd w:id="311"/>
      <w:bookmarkStart w:id="312" w:name="_Toc184312083"/>
      <w:bookmarkEnd w:id="312"/>
      <w:bookmarkStart w:id="313" w:name="_Toc184310299"/>
      <w:bookmarkEnd w:id="313"/>
      <w:bookmarkStart w:id="314" w:name="_Toc184310331"/>
      <w:bookmarkEnd w:id="314"/>
      <w:bookmarkStart w:id="315" w:name="_Toc184313285"/>
      <w:bookmarkEnd w:id="315"/>
      <w:bookmarkStart w:id="316" w:name="_Toc184308086"/>
      <w:bookmarkEnd w:id="316"/>
      <w:bookmarkStart w:id="317" w:name="_Toc184312091"/>
      <w:bookmarkEnd w:id="317"/>
      <w:bookmarkStart w:id="318" w:name="_Toc184313289"/>
      <w:bookmarkEnd w:id="318"/>
      <w:bookmarkStart w:id="319" w:name="_Toc184308082"/>
      <w:bookmarkEnd w:id="319"/>
      <w:bookmarkStart w:id="320" w:name="_Toc184313288"/>
      <w:bookmarkEnd w:id="320"/>
      <w:bookmarkStart w:id="321" w:name="_Toc184310288"/>
      <w:bookmarkEnd w:id="321"/>
      <w:bookmarkStart w:id="322" w:name="_Toc184313244"/>
      <w:bookmarkEnd w:id="322"/>
      <w:bookmarkStart w:id="323" w:name="_Toc184313239"/>
      <w:bookmarkEnd w:id="323"/>
      <w:bookmarkStart w:id="324" w:name="_Toc184313301"/>
      <w:bookmarkEnd w:id="324"/>
      <w:bookmarkStart w:id="325" w:name="_Toc184314448"/>
      <w:bookmarkEnd w:id="325"/>
      <w:bookmarkStart w:id="326" w:name="_Toc184310323"/>
      <w:bookmarkEnd w:id="326"/>
      <w:bookmarkStart w:id="327" w:name="_Toc184308062"/>
      <w:bookmarkEnd w:id="327"/>
      <w:bookmarkStart w:id="328" w:name="_Toc184308077"/>
      <w:bookmarkEnd w:id="328"/>
      <w:bookmarkStart w:id="329" w:name="_Toc184308045"/>
      <w:bookmarkEnd w:id="329"/>
      <w:bookmarkStart w:id="330" w:name="_Toc184312087"/>
      <w:bookmarkEnd w:id="330"/>
      <w:bookmarkStart w:id="331" w:name="_Toc184312120"/>
      <w:bookmarkEnd w:id="331"/>
      <w:bookmarkStart w:id="332" w:name="_Toc184314458"/>
      <w:bookmarkEnd w:id="332"/>
      <w:bookmarkStart w:id="333" w:name="_Toc184308084"/>
      <w:bookmarkEnd w:id="333"/>
      <w:bookmarkStart w:id="334" w:name="_Toc184314459"/>
      <w:bookmarkEnd w:id="334"/>
      <w:bookmarkStart w:id="335" w:name="_Toc184308098"/>
      <w:bookmarkEnd w:id="335"/>
      <w:bookmarkStart w:id="336" w:name="_Toc184313267"/>
      <w:bookmarkEnd w:id="336"/>
      <w:bookmarkStart w:id="337" w:name="_Toc184312109"/>
      <w:bookmarkEnd w:id="337"/>
      <w:bookmarkStart w:id="338" w:name="_Toc184308054"/>
      <w:bookmarkEnd w:id="338"/>
      <w:bookmarkStart w:id="339" w:name="_Toc184313274"/>
      <w:bookmarkEnd w:id="339"/>
      <w:bookmarkStart w:id="340" w:name="_Toc184308072"/>
      <w:bookmarkEnd w:id="340"/>
      <w:bookmarkStart w:id="341" w:name="_Toc184313303"/>
      <w:bookmarkEnd w:id="341"/>
      <w:bookmarkStart w:id="342" w:name="_Toc184310315"/>
      <w:bookmarkEnd w:id="342"/>
      <w:bookmarkStart w:id="343" w:name="_Toc184308093"/>
      <w:bookmarkEnd w:id="343"/>
      <w:bookmarkStart w:id="344" w:name="_Toc184312085"/>
      <w:bookmarkEnd w:id="344"/>
      <w:bookmarkStart w:id="345" w:name="_Toc184310316"/>
      <w:bookmarkEnd w:id="345"/>
      <w:bookmarkStart w:id="346" w:name="_Toc184312116"/>
      <w:bookmarkEnd w:id="346"/>
      <w:bookmarkStart w:id="347" w:name="_Toc184313269"/>
      <w:bookmarkEnd w:id="347"/>
      <w:bookmarkStart w:id="348" w:name="_Toc184313276"/>
      <w:bookmarkEnd w:id="348"/>
      <w:bookmarkStart w:id="349" w:name="_Toc184310272"/>
      <w:bookmarkEnd w:id="349"/>
      <w:bookmarkStart w:id="350" w:name="_Toc184313248"/>
      <w:bookmarkEnd w:id="350"/>
      <w:bookmarkStart w:id="351" w:name="_Toc184313249"/>
      <w:bookmarkEnd w:id="351"/>
      <w:bookmarkStart w:id="352" w:name="_Toc184313253"/>
      <w:bookmarkEnd w:id="352"/>
      <w:bookmarkStart w:id="353" w:name="_Toc184312127"/>
      <w:bookmarkEnd w:id="353"/>
      <w:bookmarkStart w:id="354" w:name="_Toc184308070"/>
      <w:bookmarkEnd w:id="354"/>
      <w:bookmarkStart w:id="355" w:name="_Toc184308051"/>
      <w:bookmarkEnd w:id="355"/>
      <w:bookmarkStart w:id="356" w:name="_Toc184310328"/>
      <w:bookmarkEnd w:id="356"/>
      <w:bookmarkStart w:id="357" w:name="_Toc184308075"/>
      <w:bookmarkEnd w:id="357"/>
      <w:bookmarkStart w:id="358" w:name="_Toc184308065"/>
      <w:bookmarkEnd w:id="358"/>
      <w:bookmarkStart w:id="359" w:name="_Toc184312135"/>
      <w:bookmarkEnd w:id="359"/>
      <w:bookmarkStart w:id="360" w:name="_Toc184312071"/>
      <w:bookmarkEnd w:id="360"/>
      <w:bookmarkStart w:id="361" w:name="_Toc184314480"/>
      <w:bookmarkEnd w:id="361"/>
      <w:bookmarkStart w:id="362" w:name="_Toc184312115"/>
      <w:bookmarkEnd w:id="362"/>
      <w:bookmarkStart w:id="363" w:name="_Toc184310289"/>
      <w:bookmarkEnd w:id="363"/>
      <w:bookmarkStart w:id="364" w:name="_Toc184314479"/>
      <w:bookmarkEnd w:id="364"/>
      <w:bookmarkStart w:id="365" w:name="_Toc184312100"/>
      <w:bookmarkEnd w:id="365"/>
      <w:bookmarkStart w:id="366" w:name="_Toc184312098"/>
      <w:bookmarkEnd w:id="366"/>
      <w:bookmarkStart w:id="367" w:name="_Toc184313308"/>
      <w:bookmarkEnd w:id="367"/>
      <w:bookmarkStart w:id="368" w:name="_Toc184312099"/>
      <w:bookmarkEnd w:id="368"/>
      <w:bookmarkStart w:id="369" w:name="_Toc184312124"/>
      <w:bookmarkEnd w:id="369"/>
      <w:bookmarkStart w:id="370" w:name="_Toc184310278"/>
      <w:bookmarkEnd w:id="370"/>
      <w:bookmarkStart w:id="371" w:name="_Toc184313261"/>
      <w:bookmarkEnd w:id="371"/>
      <w:bookmarkStart w:id="372" w:name="_Toc184310334"/>
      <w:bookmarkEnd w:id="372"/>
      <w:bookmarkStart w:id="373" w:name="_Toc184308041"/>
      <w:bookmarkEnd w:id="373"/>
      <w:bookmarkStart w:id="374" w:name="_Toc184313280"/>
      <w:bookmarkEnd w:id="374"/>
      <w:bookmarkStart w:id="375" w:name="_Toc184312075"/>
      <w:bookmarkEnd w:id="375"/>
      <w:bookmarkStart w:id="376" w:name="_Toc184313256"/>
      <w:bookmarkEnd w:id="376"/>
      <w:bookmarkStart w:id="377" w:name="_Toc184308095"/>
      <w:bookmarkEnd w:id="377"/>
      <w:bookmarkStart w:id="378" w:name="_Toc184313242"/>
      <w:bookmarkEnd w:id="378"/>
      <w:bookmarkStart w:id="379" w:name="_Toc184310337"/>
      <w:bookmarkEnd w:id="379"/>
      <w:bookmarkStart w:id="380" w:name="_Toc184314475"/>
      <w:bookmarkEnd w:id="380"/>
      <w:bookmarkStart w:id="381" w:name="_Toc184310325"/>
      <w:bookmarkEnd w:id="381"/>
      <w:bookmarkStart w:id="382" w:name="_Toc184308064"/>
      <w:bookmarkEnd w:id="382"/>
      <w:bookmarkStart w:id="383" w:name="_Toc184310333"/>
      <w:bookmarkEnd w:id="383"/>
      <w:bookmarkStart w:id="384" w:name="_Toc184313278"/>
      <w:bookmarkEnd w:id="384"/>
      <w:bookmarkStart w:id="385" w:name="_Toc184314417"/>
      <w:bookmarkEnd w:id="385"/>
      <w:bookmarkStart w:id="386" w:name="_Toc184310343"/>
      <w:bookmarkEnd w:id="386"/>
      <w:bookmarkStart w:id="387" w:name="_Toc184314453"/>
      <w:bookmarkEnd w:id="387"/>
      <w:bookmarkStart w:id="388" w:name="_Toc184308087"/>
      <w:bookmarkEnd w:id="388"/>
      <w:bookmarkStart w:id="389" w:name="_Toc184313281"/>
      <w:bookmarkEnd w:id="389"/>
      <w:bookmarkStart w:id="390" w:name="_Toc184312102"/>
      <w:bookmarkEnd w:id="390"/>
      <w:bookmarkStart w:id="391" w:name="_Toc184308089"/>
      <w:bookmarkEnd w:id="391"/>
      <w:bookmarkStart w:id="392" w:name="_Toc184312117"/>
      <w:bookmarkEnd w:id="392"/>
      <w:bookmarkStart w:id="393" w:name="_Toc184310336"/>
      <w:bookmarkEnd w:id="393"/>
      <w:bookmarkStart w:id="394" w:name="_Toc184308081"/>
      <w:bookmarkEnd w:id="394"/>
      <w:bookmarkStart w:id="395" w:name="_Toc184308044"/>
      <w:bookmarkEnd w:id="395"/>
      <w:bookmarkStart w:id="396" w:name="_Toc184313306"/>
      <w:bookmarkEnd w:id="396"/>
      <w:bookmarkStart w:id="397" w:name="_Toc184314472"/>
      <w:bookmarkEnd w:id="397"/>
      <w:bookmarkStart w:id="398" w:name="_Toc184313298"/>
      <w:bookmarkEnd w:id="398"/>
      <w:bookmarkStart w:id="399" w:name="_Toc184308078"/>
      <w:bookmarkEnd w:id="399"/>
      <w:bookmarkStart w:id="400" w:name="_Toc184313265"/>
      <w:bookmarkEnd w:id="400"/>
      <w:bookmarkStart w:id="401" w:name="_Toc184312077"/>
      <w:bookmarkEnd w:id="401"/>
      <w:bookmarkStart w:id="402" w:name="_Toc184312073"/>
      <w:bookmarkEnd w:id="402"/>
      <w:bookmarkStart w:id="403" w:name="_Toc184308067"/>
      <w:bookmarkEnd w:id="403"/>
      <w:bookmarkStart w:id="404" w:name="_Toc184312131"/>
      <w:bookmarkEnd w:id="404"/>
      <w:bookmarkStart w:id="405" w:name="_Toc184310285"/>
      <w:bookmarkEnd w:id="405"/>
      <w:bookmarkStart w:id="406" w:name="_Toc184314456"/>
      <w:bookmarkEnd w:id="406"/>
      <w:bookmarkStart w:id="407" w:name="_Toc184312133"/>
      <w:bookmarkEnd w:id="407"/>
      <w:bookmarkStart w:id="408" w:name="_Toc184310311"/>
      <w:bookmarkEnd w:id="408"/>
      <w:bookmarkStart w:id="409" w:name="_Toc184314450"/>
      <w:bookmarkEnd w:id="409"/>
      <w:bookmarkStart w:id="410" w:name="_Toc184310342"/>
      <w:bookmarkEnd w:id="410"/>
      <w:bookmarkStart w:id="411" w:name="_Toc184308100"/>
      <w:bookmarkEnd w:id="411"/>
      <w:bookmarkStart w:id="412" w:name="_Toc184312113"/>
      <w:bookmarkEnd w:id="412"/>
      <w:bookmarkStart w:id="413" w:name="_Toc184313250"/>
      <w:bookmarkEnd w:id="413"/>
      <w:bookmarkStart w:id="414" w:name="_Toc184313302"/>
      <w:bookmarkEnd w:id="414"/>
      <w:bookmarkStart w:id="415" w:name="_Toc184314420"/>
      <w:bookmarkEnd w:id="415"/>
      <w:bookmarkStart w:id="416" w:name="_Toc184314449"/>
      <w:bookmarkEnd w:id="416"/>
      <w:bookmarkStart w:id="417" w:name="_Toc184310317"/>
      <w:bookmarkEnd w:id="417"/>
      <w:bookmarkStart w:id="418" w:name="_Toc184313268"/>
      <w:bookmarkEnd w:id="418"/>
      <w:bookmarkStart w:id="419" w:name="_Toc184314482"/>
      <w:bookmarkEnd w:id="419"/>
      <w:bookmarkStart w:id="420" w:name="_Toc184314447"/>
      <w:bookmarkEnd w:id="420"/>
      <w:bookmarkStart w:id="421" w:name="_Toc184308088"/>
      <w:bookmarkEnd w:id="421"/>
      <w:bookmarkStart w:id="422" w:name="_Toc184308108"/>
      <w:bookmarkEnd w:id="422"/>
      <w:bookmarkStart w:id="423" w:name="_Toc184313270"/>
      <w:bookmarkEnd w:id="423"/>
      <w:bookmarkStart w:id="424" w:name="_Toc184310277"/>
      <w:bookmarkEnd w:id="424"/>
      <w:bookmarkStart w:id="425" w:name="_Toc184312090"/>
      <w:bookmarkEnd w:id="425"/>
      <w:bookmarkStart w:id="426" w:name="_Toc184314457"/>
      <w:bookmarkEnd w:id="426"/>
      <w:bookmarkStart w:id="427" w:name="_Toc184308104"/>
      <w:bookmarkEnd w:id="427"/>
      <w:bookmarkStart w:id="428" w:name="_Toc184314419"/>
      <w:bookmarkEnd w:id="428"/>
      <w:bookmarkStart w:id="429" w:name="_Toc184312119"/>
      <w:bookmarkEnd w:id="429"/>
      <w:bookmarkStart w:id="430" w:name="_Toc184308055"/>
      <w:bookmarkEnd w:id="430"/>
      <w:bookmarkStart w:id="431" w:name="_Toc184310326"/>
      <w:bookmarkEnd w:id="431"/>
      <w:bookmarkStart w:id="432" w:name="_Toc184314431"/>
      <w:bookmarkEnd w:id="432"/>
      <w:bookmarkStart w:id="433" w:name="_Toc184314430"/>
      <w:bookmarkEnd w:id="433"/>
      <w:bookmarkStart w:id="434" w:name="_Toc184310318"/>
      <w:bookmarkEnd w:id="434"/>
      <w:bookmarkStart w:id="435" w:name="_Toc184312067"/>
      <w:bookmarkEnd w:id="435"/>
      <w:bookmarkStart w:id="436" w:name="_Toc184310283"/>
      <w:bookmarkEnd w:id="436"/>
      <w:bookmarkStart w:id="437" w:name="_Toc184308061"/>
      <w:bookmarkEnd w:id="437"/>
      <w:bookmarkStart w:id="438" w:name="_Toc184312122"/>
      <w:bookmarkEnd w:id="438"/>
      <w:bookmarkStart w:id="439" w:name="_Toc184312084"/>
      <w:bookmarkEnd w:id="439"/>
      <w:bookmarkStart w:id="440" w:name="_Toc184314462"/>
      <w:bookmarkEnd w:id="440"/>
      <w:bookmarkStart w:id="441" w:name="_Toc184310313"/>
      <w:bookmarkEnd w:id="441"/>
      <w:bookmarkStart w:id="442" w:name="_Toc184313294"/>
      <w:bookmarkEnd w:id="442"/>
      <w:bookmarkStart w:id="443" w:name="_Toc184313272"/>
      <w:bookmarkEnd w:id="443"/>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1012"/>
        <w:gridCol w:w="5549"/>
        <w:gridCol w:w="667"/>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261" w:type="pct"/>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3532" w:type="pct"/>
            <w:gridSpan w:val="2"/>
            <w:vAlign w:val="center"/>
          </w:tcPr>
          <w:p>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评标标准</w:t>
            </w:r>
          </w:p>
        </w:tc>
        <w:tc>
          <w:tcPr>
            <w:tcW w:w="359" w:type="pct"/>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权重</w:t>
            </w:r>
          </w:p>
        </w:tc>
        <w:tc>
          <w:tcPr>
            <w:tcW w:w="845" w:type="pct"/>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trPr>
        <w:tc>
          <w:tcPr>
            <w:tcW w:w="261" w:type="pct"/>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545" w:type="pct"/>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业绩</w:t>
            </w:r>
          </w:p>
        </w:tc>
        <w:tc>
          <w:tcPr>
            <w:tcW w:w="2987" w:type="pct"/>
            <w:vAlign w:val="center"/>
          </w:tcPr>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【客观分】投标人自2021年1月1日至投标截止时间（以合同签订时间为准），具有类似设备维保或供货项目业绩的每个得1分，最高得2分。</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注：合同扫描件加盖公章，时间以合同签订时间为准。</w:t>
            </w:r>
          </w:p>
        </w:tc>
        <w:tc>
          <w:tcPr>
            <w:tcW w:w="359" w:type="pct"/>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845" w:type="pct"/>
            <w:vAlign w:val="center"/>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545" w:type="pct"/>
            <w:vAlign w:val="center"/>
          </w:tcPr>
          <w:p>
            <w:pPr>
              <w:snapToGrid w:val="0"/>
              <w:spacing w:line="360" w:lineRule="auto"/>
              <w:jc w:val="center"/>
              <w:rPr>
                <w:rFonts w:cs="仿宋_GB2312" w:asciiTheme="minorEastAsia" w:hAnsiTheme="minorEastAsia" w:eastAsiaTheme="minorEastAsia"/>
                <w:sz w:val="24"/>
              </w:rPr>
            </w:pPr>
            <w:r>
              <w:rPr>
                <w:rFonts w:hAnsi="宋体" w:cs="宋体"/>
                <w:spacing w:val="-6"/>
                <w:sz w:val="24"/>
              </w:rPr>
              <w:t>体系</w:t>
            </w:r>
            <w:r>
              <w:rPr>
                <w:rFonts w:hAnsi="宋体" w:cs="宋体"/>
                <w:spacing w:val="-6"/>
                <w:sz w:val="24"/>
              </w:rPr>
              <w:br w:type="textWrapping"/>
            </w:r>
            <w:r>
              <w:rPr>
                <w:rFonts w:hAnsi="宋体" w:cs="宋体"/>
                <w:spacing w:val="-6"/>
                <w:sz w:val="24"/>
              </w:rPr>
              <w:t>认证</w:t>
            </w:r>
          </w:p>
        </w:tc>
        <w:tc>
          <w:tcPr>
            <w:tcW w:w="2987" w:type="pct"/>
            <w:vAlign w:val="center"/>
          </w:tcPr>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【客观分】投标人具有有效的</w:t>
            </w:r>
            <w:r>
              <w:rPr>
                <w:rFonts w:hint="eastAsia" w:ascii="宋体" w:hAnsi="宋体" w:cs="宋体"/>
                <w:spacing w:val="-6"/>
                <w:sz w:val="24"/>
              </w:rPr>
              <w:t>ISO22301业务连续性管理体系认证证书、</w:t>
            </w:r>
            <w:r>
              <w:rPr>
                <w:rFonts w:ascii="宋体" w:hAnsi="宋体" w:cs="宋体"/>
                <w:spacing w:val="-6"/>
                <w:sz w:val="24"/>
              </w:rPr>
              <w:t>ISO20000</w:t>
            </w:r>
            <w:r>
              <w:rPr>
                <w:rFonts w:hint="eastAsia" w:ascii="宋体" w:hAnsi="宋体" w:cs="宋体"/>
                <w:spacing w:val="-6"/>
                <w:sz w:val="24"/>
              </w:rPr>
              <w:t>信息技术服务管理体系认证证书</w:t>
            </w:r>
            <w:r>
              <w:rPr>
                <w:rFonts w:hint="eastAsia" w:cs="仿宋_GB2312" w:asciiTheme="minorEastAsia" w:hAnsiTheme="minorEastAsia" w:eastAsiaTheme="minorEastAsia"/>
                <w:sz w:val="24"/>
              </w:rPr>
              <w:t>每个得1分，最高得2分。</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注：注：需提供以上证书扫描件以及全国认证认可信息公共服务平台（https://www.cnca.gov.cn）网页截图，否则视该证书无效</w:t>
            </w:r>
          </w:p>
        </w:tc>
        <w:tc>
          <w:tcPr>
            <w:tcW w:w="359" w:type="pct"/>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845" w:type="pct"/>
            <w:vAlign w:val="center"/>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545" w:type="pct"/>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响应程度</w:t>
            </w:r>
          </w:p>
        </w:tc>
        <w:tc>
          <w:tcPr>
            <w:tcW w:w="2987" w:type="pct"/>
            <w:vAlign w:val="center"/>
          </w:tcPr>
          <w:p>
            <w:pPr>
              <w:snapToGrid w:val="0"/>
              <w:spacing w:line="360" w:lineRule="auto"/>
              <w:jc w:val="left"/>
              <w:rPr>
                <w:rFonts w:cs="仿宋_GB2312" w:asciiTheme="minorEastAsia" w:hAnsiTheme="minorEastAsia" w:eastAsiaTheme="minorEastAsia"/>
                <w:sz w:val="24"/>
              </w:rPr>
            </w:pPr>
            <w:r>
              <w:rPr>
                <w:rFonts w:hint="eastAsia"/>
                <w:kern w:val="0"/>
                <w:sz w:val="24"/>
              </w:rPr>
              <w:t>【客观分】</w:t>
            </w:r>
            <w:r>
              <w:rPr>
                <w:kern w:val="0"/>
                <w:sz w:val="24"/>
              </w:rPr>
              <w:t>针对招标文件第三部分</w:t>
            </w:r>
            <w:r>
              <w:rPr>
                <w:rFonts w:hint="eastAsia"/>
                <w:kern w:val="0"/>
                <w:sz w:val="24"/>
              </w:rPr>
              <w:t xml:space="preserve"> 采购需求</w:t>
            </w:r>
            <w:r>
              <w:rPr>
                <w:kern w:val="0"/>
                <w:sz w:val="24"/>
              </w:rPr>
              <w:t>“二、详细要求”的响应情况，完全响应招标文件要求的，得</w:t>
            </w:r>
            <w:r>
              <w:rPr>
                <w:rFonts w:hint="eastAsia"/>
                <w:kern w:val="0"/>
                <w:sz w:val="24"/>
              </w:rPr>
              <w:t>30</w:t>
            </w:r>
            <w:r>
              <w:rPr>
                <w:kern w:val="0"/>
                <w:sz w:val="24"/>
              </w:rPr>
              <w:t>分；标注“</w:t>
            </w:r>
            <w:r>
              <w:rPr>
                <w:rFonts w:ascii="Segoe UI Symbol" w:hAnsi="Segoe UI Symbol" w:cs="Segoe UI Symbol"/>
                <w:kern w:val="0"/>
                <w:sz w:val="24"/>
              </w:rPr>
              <w:t>★</w:t>
            </w:r>
            <w:r>
              <w:rPr>
                <w:kern w:val="0"/>
                <w:sz w:val="24"/>
              </w:rPr>
              <w:t>”的技术参数存在负偏离或未响应的，每项扣3分；其他技术参数存在负偏离的，每项扣1分；扣完为止。</w:t>
            </w:r>
          </w:p>
        </w:tc>
        <w:tc>
          <w:tcPr>
            <w:tcW w:w="359" w:type="pct"/>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30</w:t>
            </w:r>
          </w:p>
        </w:tc>
        <w:tc>
          <w:tcPr>
            <w:tcW w:w="845" w:type="pct"/>
            <w:vAlign w:val="center"/>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545" w:type="pct"/>
            <w:vAlign w:val="center"/>
          </w:tcPr>
          <w:p>
            <w:pPr>
              <w:snapToGrid w:val="0"/>
              <w:spacing w:line="360" w:lineRule="auto"/>
              <w:jc w:val="center"/>
              <w:rPr>
                <w:rFonts w:cs="仿宋_GB2312" w:asciiTheme="minorEastAsia" w:hAnsiTheme="minorEastAsia" w:eastAsiaTheme="minorEastAsia"/>
                <w:sz w:val="24"/>
              </w:rPr>
            </w:pPr>
            <w:r>
              <w:rPr>
                <w:kern w:val="0"/>
                <w:sz w:val="24"/>
              </w:rPr>
              <w:t>组织实施</w:t>
            </w:r>
          </w:p>
        </w:tc>
        <w:tc>
          <w:tcPr>
            <w:tcW w:w="2987" w:type="pct"/>
            <w:vAlign w:val="center"/>
          </w:tcPr>
          <w:p>
            <w:pPr>
              <w:snapToGrid w:val="0"/>
              <w:spacing w:line="360" w:lineRule="auto"/>
              <w:jc w:val="left"/>
              <w:rPr>
                <w:kern w:val="0"/>
                <w:sz w:val="24"/>
              </w:rPr>
            </w:pPr>
            <w:r>
              <w:rPr>
                <w:rFonts w:hint="eastAsia"/>
                <w:kern w:val="0"/>
                <w:sz w:val="24"/>
              </w:rPr>
              <w:t>【主观分】投标人需提供项目组织实施方案，包括①项目管理②施工准备③进度安排④质量保障等内容。</w:t>
            </w:r>
            <w:r>
              <w:rPr>
                <w:rFonts w:hAnsi="宋体"/>
                <w:spacing w:val="-6"/>
                <w:sz w:val="24"/>
              </w:rPr>
              <w:t xml:space="preserve"> (评审分值为1分或2分或3分或4分),未提供不得分。</w:t>
            </w:r>
          </w:p>
        </w:tc>
        <w:tc>
          <w:tcPr>
            <w:tcW w:w="359" w:type="pct"/>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845" w:type="pct"/>
            <w:vAlign w:val="center"/>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Merge w:val="restart"/>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545" w:type="pct"/>
            <w:vMerge w:val="restart"/>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服务方案</w:t>
            </w:r>
          </w:p>
        </w:tc>
        <w:tc>
          <w:tcPr>
            <w:tcW w:w="2987" w:type="pct"/>
            <w:vAlign w:val="center"/>
          </w:tcPr>
          <w:p>
            <w:pPr>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【主观分】投标人需提供针对OA及官网的信创改造服务方案，根据①需求理解②改造目标③实现思路④改造内容等进行评分。</w:t>
            </w:r>
            <w:r>
              <w:rPr>
                <w:rFonts w:hAnsi="宋体"/>
                <w:spacing w:val="-6"/>
                <w:sz w:val="24"/>
              </w:rPr>
              <w:t xml:space="preserve"> (评审分值为1分或2分或3分或4分),未提供不得分。</w:t>
            </w:r>
          </w:p>
        </w:tc>
        <w:tc>
          <w:tcPr>
            <w:tcW w:w="359" w:type="pct"/>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845" w:type="pct"/>
            <w:vAlign w:val="center"/>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Merge w:val="continue"/>
            <w:vAlign w:val="center"/>
          </w:tcPr>
          <w:p>
            <w:pPr>
              <w:snapToGrid w:val="0"/>
              <w:spacing w:line="360" w:lineRule="auto"/>
              <w:jc w:val="center"/>
              <w:rPr>
                <w:rFonts w:cs="仿宋_GB2312" w:asciiTheme="minorEastAsia" w:hAnsiTheme="minorEastAsia" w:eastAsiaTheme="minorEastAsia"/>
                <w:sz w:val="24"/>
              </w:rPr>
            </w:pPr>
          </w:p>
        </w:tc>
        <w:tc>
          <w:tcPr>
            <w:tcW w:w="545" w:type="pct"/>
            <w:vMerge w:val="continue"/>
            <w:vAlign w:val="center"/>
          </w:tcPr>
          <w:p>
            <w:pPr>
              <w:snapToGrid w:val="0"/>
              <w:spacing w:line="360" w:lineRule="auto"/>
              <w:jc w:val="center"/>
              <w:rPr>
                <w:rFonts w:cs="仿宋_GB2312" w:asciiTheme="minorEastAsia" w:hAnsiTheme="minorEastAsia" w:eastAsiaTheme="minorEastAsia"/>
                <w:sz w:val="24"/>
              </w:rPr>
            </w:pPr>
          </w:p>
        </w:tc>
        <w:tc>
          <w:tcPr>
            <w:tcW w:w="2987" w:type="pct"/>
            <w:vAlign w:val="center"/>
          </w:tcPr>
          <w:p>
            <w:pPr>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【主观分】投标人需提供针对数据库运维服务的方案，根据①需求理解②服务内容③服务优势④重难点及保障措施等进行评分。</w:t>
            </w:r>
            <w:r>
              <w:rPr>
                <w:rFonts w:hAnsi="宋体"/>
                <w:spacing w:val="-6"/>
                <w:sz w:val="24"/>
              </w:rPr>
              <w:t>(评审分值为1分或2分或3分或4分),未提供不得分。</w:t>
            </w:r>
          </w:p>
        </w:tc>
        <w:tc>
          <w:tcPr>
            <w:tcW w:w="359" w:type="pct"/>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845" w:type="pct"/>
            <w:vAlign w:val="center"/>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Merge w:val="continue"/>
            <w:vAlign w:val="center"/>
          </w:tcPr>
          <w:p>
            <w:pPr>
              <w:snapToGrid w:val="0"/>
              <w:spacing w:line="360" w:lineRule="auto"/>
              <w:jc w:val="center"/>
              <w:rPr>
                <w:rFonts w:cs="仿宋_GB2312" w:asciiTheme="minorEastAsia" w:hAnsiTheme="minorEastAsia" w:eastAsiaTheme="minorEastAsia"/>
                <w:sz w:val="24"/>
              </w:rPr>
            </w:pPr>
          </w:p>
        </w:tc>
        <w:tc>
          <w:tcPr>
            <w:tcW w:w="545" w:type="pct"/>
            <w:vMerge w:val="continue"/>
            <w:vAlign w:val="center"/>
          </w:tcPr>
          <w:p>
            <w:pPr>
              <w:snapToGrid w:val="0"/>
              <w:spacing w:line="360" w:lineRule="auto"/>
              <w:jc w:val="center"/>
              <w:rPr>
                <w:rFonts w:cs="仿宋_GB2312" w:asciiTheme="minorEastAsia" w:hAnsiTheme="minorEastAsia" w:eastAsiaTheme="minorEastAsia"/>
                <w:sz w:val="24"/>
              </w:rPr>
            </w:pPr>
          </w:p>
        </w:tc>
        <w:tc>
          <w:tcPr>
            <w:tcW w:w="2987" w:type="pct"/>
            <w:vAlign w:val="center"/>
          </w:tcPr>
          <w:p>
            <w:pPr>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【主观分】投标人需提供针对硬件维保及安全服务的服务方案，根据①需求理解②服务内容③服务优势④重难点及保障措施等进行评分。</w:t>
            </w:r>
            <w:r>
              <w:rPr>
                <w:rFonts w:hAnsi="宋体"/>
                <w:spacing w:val="-6"/>
                <w:sz w:val="24"/>
              </w:rPr>
              <w:t>(评审分值为1分或2分或3分或4分),未提供不得分。</w:t>
            </w:r>
          </w:p>
        </w:tc>
        <w:tc>
          <w:tcPr>
            <w:tcW w:w="359" w:type="pct"/>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845" w:type="pct"/>
            <w:vAlign w:val="center"/>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Merge w:val="continue"/>
            <w:vAlign w:val="center"/>
          </w:tcPr>
          <w:p>
            <w:pPr>
              <w:snapToGrid w:val="0"/>
              <w:spacing w:line="360" w:lineRule="auto"/>
              <w:jc w:val="center"/>
              <w:rPr>
                <w:rFonts w:cs="仿宋_GB2312" w:asciiTheme="minorEastAsia" w:hAnsiTheme="minorEastAsia" w:eastAsiaTheme="minorEastAsia"/>
                <w:sz w:val="24"/>
              </w:rPr>
            </w:pPr>
          </w:p>
        </w:tc>
        <w:tc>
          <w:tcPr>
            <w:tcW w:w="545" w:type="pct"/>
            <w:vMerge w:val="continue"/>
            <w:vAlign w:val="center"/>
          </w:tcPr>
          <w:p>
            <w:pPr>
              <w:snapToGrid w:val="0"/>
              <w:spacing w:line="360" w:lineRule="auto"/>
              <w:jc w:val="center"/>
              <w:rPr>
                <w:rFonts w:cs="仿宋_GB2312" w:asciiTheme="minorEastAsia" w:hAnsiTheme="minorEastAsia" w:eastAsiaTheme="minorEastAsia"/>
                <w:sz w:val="24"/>
              </w:rPr>
            </w:pPr>
          </w:p>
        </w:tc>
        <w:tc>
          <w:tcPr>
            <w:tcW w:w="2987" w:type="pct"/>
            <w:vAlign w:val="center"/>
          </w:tcPr>
          <w:p>
            <w:pPr>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【主观分】投标人需提供针对楼层汇聚交换机、国家加密机、等保整改负载均衡及自助机（带报告打印）的服务方案，根据①供货②安装③调试④试运行等内容进行评分。</w:t>
            </w:r>
            <w:r>
              <w:rPr>
                <w:rFonts w:hAnsi="宋体"/>
                <w:spacing w:val="-6"/>
                <w:sz w:val="24"/>
              </w:rPr>
              <w:t>(评审分值为1分或2分或3分或4分),未提供不得分。</w:t>
            </w:r>
          </w:p>
        </w:tc>
        <w:tc>
          <w:tcPr>
            <w:tcW w:w="359" w:type="pct"/>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845" w:type="pct"/>
            <w:vAlign w:val="center"/>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Merge w:val="continue"/>
            <w:vAlign w:val="center"/>
          </w:tcPr>
          <w:p>
            <w:pPr>
              <w:snapToGrid w:val="0"/>
              <w:spacing w:line="360" w:lineRule="auto"/>
              <w:jc w:val="center"/>
              <w:rPr>
                <w:rFonts w:cs="仿宋_GB2312" w:asciiTheme="minorEastAsia" w:hAnsiTheme="minorEastAsia" w:eastAsiaTheme="minorEastAsia"/>
                <w:sz w:val="24"/>
              </w:rPr>
            </w:pPr>
          </w:p>
        </w:tc>
        <w:tc>
          <w:tcPr>
            <w:tcW w:w="545" w:type="pct"/>
            <w:vMerge w:val="continue"/>
            <w:vAlign w:val="center"/>
          </w:tcPr>
          <w:p>
            <w:pPr>
              <w:snapToGrid w:val="0"/>
              <w:spacing w:line="360" w:lineRule="auto"/>
              <w:jc w:val="center"/>
              <w:rPr>
                <w:rFonts w:cs="仿宋_GB2312" w:asciiTheme="minorEastAsia" w:hAnsiTheme="minorEastAsia" w:eastAsiaTheme="minorEastAsia"/>
                <w:sz w:val="24"/>
              </w:rPr>
            </w:pPr>
          </w:p>
        </w:tc>
        <w:tc>
          <w:tcPr>
            <w:tcW w:w="2987" w:type="pct"/>
            <w:vAlign w:val="center"/>
          </w:tcPr>
          <w:p>
            <w:pPr>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r>
              <w:rPr>
                <w:kern w:val="0"/>
                <w:sz w:val="24"/>
              </w:rPr>
              <w:t>投标人需提供针对互联网线路、医保线路的租赁服务方案，根据</w:t>
            </w:r>
            <w:r>
              <w:rPr>
                <w:rFonts w:hint="eastAsia" w:cs="仿宋_GB2312" w:asciiTheme="minorEastAsia" w:hAnsiTheme="minorEastAsia" w:eastAsiaTheme="minorEastAsia"/>
                <w:sz w:val="24"/>
              </w:rPr>
              <w:t>①需求理解</w:t>
            </w:r>
            <w:r>
              <w:rPr>
                <w:rFonts w:hint="eastAsia"/>
                <w:kern w:val="0"/>
                <w:sz w:val="24"/>
              </w:rPr>
              <w:t>②服务优势</w:t>
            </w:r>
            <w:bookmarkStart w:id="444" w:name="OLE_LINK12"/>
            <w:r>
              <w:rPr>
                <w:rFonts w:hint="eastAsia" w:cs="仿宋_GB2312" w:asciiTheme="minorEastAsia" w:hAnsiTheme="minorEastAsia" w:eastAsiaTheme="minorEastAsia"/>
                <w:sz w:val="24"/>
              </w:rPr>
              <w:t>③</w:t>
            </w:r>
            <w:bookmarkEnd w:id="444"/>
            <w:r>
              <w:rPr>
                <w:rFonts w:hint="eastAsia"/>
                <w:kern w:val="0"/>
                <w:sz w:val="24"/>
              </w:rPr>
              <w:t>线路巡检</w:t>
            </w:r>
            <w:r>
              <w:rPr>
                <w:rFonts w:hint="eastAsia" w:cs="仿宋_GB2312" w:asciiTheme="minorEastAsia" w:hAnsiTheme="minorEastAsia" w:eastAsiaTheme="minorEastAsia"/>
                <w:sz w:val="24"/>
              </w:rPr>
              <w:t>④</w:t>
            </w:r>
            <w:r>
              <w:rPr>
                <w:rFonts w:hint="eastAsia"/>
                <w:kern w:val="0"/>
                <w:sz w:val="24"/>
              </w:rPr>
              <w:t>应急响应方案</w:t>
            </w:r>
            <w:r>
              <w:rPr>
                <w:kern w:val="0"/>
                <w:sz w:val="24"/>
              </w:rPr>
              <w:t>等内容进行评分。</w:t>
            </w:r>
            <w:r>
              <w:rPr>
                <w:rFonts w:hAnsi="宋体"/>
                <w:spacing w:val="-6"/>
                <w:sz w:val="24"/>
              </w:rPr>
              <w:t>(评审分值为1分或2分或3分或4分</w:t>
            </w:r>
            <w:bookmarkStart w:id="463" w:name="_GoBack"/>
            <w:bookmarkEnd w:id="463"/>
            <w:r>
              <w:rPr>
                <w:rFonts w:hAnsi="宋体"/>
                <w:spacing w:val="-6"/>
                <w:sz w:val="24"/>
              </w:rPr>
              <w:t>),未提供不得分。</w:t>
            </w:r>
          </w:p>
        </w:tc>
        <w:tc>
          <w:tcPr>
            <w:tcW w:w="359" w:type="pct"/>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845" w:type="pct"/>
            <w:vAlign w:val="center"/>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Merge w:val="restart"/>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545" w:type="pct"/>
            <w:vMerge w:val="restart"/>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项目团队</w:t>
            </w:r>
          </w:p>
        </w:tc>
        <w:tc>
          <w:tcPr>
            <w:tcW w:w="2987" w:type="pct"/>
            <w:vAlign w:val="center"/>
          </w:tcPr>
          <w:p>
            <w:pPr>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【客观分】项目负责人具有信息系统项目管理师证书、高级工程师（信息技术专业）证书、工程师(互联网技术)中级及以上证书。每提供1个证书得1分，最高得3分。</w:t>
            </w:r>
          </w:p>
          <w:p>
            <w:pPr>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注：提供证书复印件。</w:t>
            </w:r>
          </w:p>
        </w:tc>
        <w:tc>
          <w:tcPr>
            <w:tcW w:w="359" w:type="pct"/>
            <w:vAlign w:val="center"/>
          </w:tcPr>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845" w:type="pct"/>
            <w:vAlign w:val="center"/>
          </w:tcPr>
          <w:p>
            <w:pPr>
              <w:snapToGrid w:val="0"/>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Merge w:val="continue"/>
            <w:vAlign w:val="center"/>
          </w:tcPr>
          <w:p>
            <w:pPr>
              <w:snapToGrid w:val="0"/>
              <w:spacing w:line="360" w:lineRule="auto"/>
              <w:jc w:val="center"/>
              <w:rPr>
                <w:rFonts w:cs="仿宋_GB2312" w:asciiTheme="minorEastAsia" w:hAnsiTheme="minorEastAsia" w:eastAsiaTheme="minorEastAsia"/>
                <w:sz w:val="24"/>
              </w:rPr>
            </w:pPr>
          </w:p>
        </w:tc>
        <w:tc>
          <w:tcPr>
            <w:tcW w:w="545" w:type="pct"/>
            <w:vMerge w:val="continue"/>
            <w:vAlign w:val="center"/>
          </w:tcPr>
          <w:p>
            <w:pPr>
              <w:snapToGrid w:val="0"/>
              <w:spacing w:line="360" w:lineRule="auto"/>
              <w:jc w:val="center"/>
              <w:rPr>
                <w:rFonts w:cs="仿宋_GB2312" w:asciiTheme="minorEastAsia" w:hAnsiTheme="minorEastAsia" w:eastAsiaTheme="minorEastAsia"/>
                <w:sz w:val="24"/>
              </w:rPr>
            </w:pPr>
          </w:p>
        </w:tc>
        <w:tc>
          <w:tcPr>
            <w:tcW w:w="2987" w:type="pct"/>
            <w:vAlign w:val="center"/>
          </w:tcPr>
          <w:p>
            <w:pPr>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【客观分】技术负责人具有数据库系统工程师证书、软件设计师证书、网络工程师证书。每提供1个证书得1分，最高得3分。</w:t>
            </w:r>
          </w:p>
          <w:p>
            <w:pPr>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注：提供证书复印件。</w:t>
            </w:r>
          </w:p>
        </w:tc>
        <w:tc>
          <w:tcPr>
            <w:tcW w:w="359" w:type="pct"/>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845" w:type="pct"/>
            <w:vAlign w:val="center"/>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Merge w:val="continue"/>
            <w:vAlign w:val="center"/>
          </w:tcPr>
          <w:p>
            <w:pPr>
              <w:snapToGrid w:val="0"/>
              <w:spacing w:line="360" w:lineRule="auto"/>
              <w:jc w:val="center"/>
              <w:rPr>
                <w:rFonts w:cs="仿宋_GB2312" w:asciiTheme="minorEastAsia" w:hAnsiTheme="minorEastAsia" w:eastAsiaTheme="minorEastAsia"/>
                <w:sz w:val="24"/>
              </w:rPr>
            </w:pPr>
          </w:p>
        </w:tc>
        <w:tc>
          <w:tcPr>
            <w:tcW w:w="545" w:type="pct"/>
            <w:vMerge w:val="continue"/>
            <w:vAlign w:val="center"/>
          </w:tcPr>
          <w:p>
            <w:pPr>
              <w:snapToGrid w:val="0"/>
              <w:spacing w:line="360" w:lineRule="auto"/>
              <w:jc w:val="center"/>
              <w:rPr>
                <w:rFonts w:cs="仿宋_GB2312" w:asciiTheme="minorEastAsia" w:hAnsiTheme="minorEastAsia" w:eastAsiaTheme="minorEastAsia"/>
                <w:sz w:val="24"/>
              </w:rPr>
            </w:pPr>
          </w:p>
        </w:tc>
        <w:tc>
          <w:tcPr>
            <w:tcW w:w="2987" w:type="pct"/>
            <w:vAlign w:val="center"/>
          </w:tcPr>
          <w:p>
            <w:pPr>
              <w:snapToGrid w:val="0"/>
              <w:spacing w:line="360" w:lineRule="auto"/>
              <w:jc w:val="left"/>
              <w:rPr>
                <w:rFonts w:cs="仿宋_GB2312" w:asciiTheme="minorEastAsia" w:hAnsiTheme="minorEastAsia" w:eastAsiaTheme="minorEastAsia"/>
                <w:sz w:val="24"/>
              </w:rPr>
            </w:pPr>
            <w:r>
              <w:rPr>
                <w:rFonts w:hint="eastAsia"/>
                <w:kern w:val="0"/>
                <w:sz w:val="24"/>
              </w:rPr>
              <w:t>【客观分】</w:t>
            </w:r>
            <w:r>
              <w:rPr>
                <w:kern w:val="0"/>
                <w:sz w:val="24"/>
              </w:rPr>
              <w:t>运维负责人</w:t>
            </w:r>
            <w:r>
              <w:rPr>
                <w:rFonts w:hint="eastAsia" w:cs="仿宋_GB2312" w:asciiTheme="minorEastAsia" w:hAnsiTheme="minorEastAsia" w:eastAsiaTheme="minorEastAsia"/>
                <w:sz w:val="24"/>
              </w:rPr>
              <w:t>具有信息系统项目管理师证书、系统分析师证书、软件设计师证书。每提供1个证书得1分，最高得3分。</w:t>
            </w:r>
          </w:p>
          <w:p>
            <w:pPr>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注：提供证书复印件及近3个月社保证明。</w:t>
            </w:r>
          </w:p>
        </w:tc>
        <w:tc>
          <w:tcPr>
            <w:tcW w:w="359" w:type="pct"/>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845" w:type="pct"/>
            <w:vAlign w:val="center"/>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Merge w:val="continue"/>
            <w:vAlign w:val="center"/>
          </w:tcPr>
          <w:p>
            <w:pPr>
              <w:snapToGrid w:val="0"/>
              <w:spacing w:line="360" w:lineRule="auto"/>
              <w:jc w:val="center"/>
              <w:rPr>
                <w:rFonts w:cs="仿宋_GB2312" w:asciiTheme="minorEastAsia" w:hAnsiTheme="minorEastAsia" w:eastAsiaTheme="minorEastAsia"/>
                <w:sz w:val="24"/>
              </w:rPr>
            </w:pPr>
          </w:p>
        </w:tc>
        <w:tc>
          <w:tcPr>
            <w:tcW w:w="545" w:type="pct"/>
            <w:vMerge w:val="continue"/>
            <w:vAlign w:val="center"/>
          </w:tcPr>
          <w:p>
            <w:pPr>
              <w:snapToGrid w:val="0"/>
              <w:spacing w:line="360" w:lineRule="auto"/>
              <w:jc w:val="center"/>
              <w:rPr>
                <w:rFonts w:cs="仿宋_GB2312" w:asciiTheme="minorEastAsia" w:hAnsiTheme="minorEastAsia" w:eastAsiaTheme="minorEastAsia"/>
                <w:sz w:val="24"/>
              </w:rPr>
            </w:pPr>
          </w:p>
        </w:tc>
        <w:tc>
          <w:tcPr>
            <w:tcW w:w="2987" w:type="pct"/>
            <w:vAlign w:val="center"/>
          </w:tcPr>
          <w:p>
            <w:pPr>
              <w:snapToGrid w:val="0"/>
              <w:spacing w:line="360" w:lineRule="auto"/>
              <w:jc w:val="left"/>
              <w:rPr>
                <w:kern w:val="0"/>
                <w:sz w:val="24"/>
              </w:rPr>
            </w:pPr>
            <w:r>
              <w:rPr>
                <w:rFonts w:hint="eastAsia"/>
                <w:kern w:val="0"/>
                <w:sz w:val="24"/>
              </w:rPr>
              <w:t>【客观分】</w:t>
            </w:r>
            <w:r>
              <w:rPr>
                <w:kern w:val="0"/>
                <w:sz w:val="24"/>
              </w:rPr>
              <w:t>其他团队成员（除项目负责人、技术负责人和运维负责人外）</w:t>
            </w:r>
            <w:r>
              <w:rPr>
                <w:rFonts w:hint="eastAsia"/>
                <w:kern w:val="0"/>
                <w:sz w:val="24"/>
              </w:rPr>
              <w:t>具有高级工程师（信息技术专业）证书、</w:t>
            </w:r>
            <w:r>
              <w:rPr>
                <w:rFonts w:hint="eastAsia" w:cs="仿宋_GB2312" w:asciiTheme="minorEastAsia" w:hAnsiTheme="minorEastAsia" w:eastAsiaTheme="minorEastAsia"/>
                <w:sz w:val="24"/>
              </w:rPr>
              <w:t>信息系统项目管理师证书、</w:t>
            </w:r>
            <w:r>
              <w:rPr>
                <w:rFonts w:hint="eastAsia"/>
                <w:kern w:val="0"/>
                <w:sz w:val="24"/>
              </w:rPr>
              <w:t>系统规划与管理师证书、数据库系统工程师（中级）证书、网络工程师、软件设计师。</w:t>
            </w:r>
            <w:r>
              <w:rPr>
                <w:kern w:val="0"/>
                <w:sz w:val="24"/>
              </w:rPr>
              <w:t>同一人具有多种证书的，只按一种计算</w:t>
            </w:r>
            <w:r>
              <w:rPr>
                <w:rFonts w:hint="eastAsia"/>
                <w:kern w:val="0"/>
                <w:sz w:val="24"/>
              </w:rPr>
              <w:t>。不同人员具有同种证书，只计一人。</w:t>
            </w:r>
            <w:r>
              <w:rPr>
                <w:rFonts w:hint="eastAsia" w:cs="仿宋_GB2312" w:asciiTheme="minorEastAsia" w:hAnsiTheme="minorEastAsia" w:eastAsiaTheme="minorEastAsia"/>
                <w:sz w:val="24"/>
              </w:rPr>
              <w:t>每提供1个证书得1分，最高得6分。</w:t>
            </w:r>
          </w:p>
          <w:p>
            <w:pPr>
              <w:snapToGrid w:val="0"/>
              <w:spacing w:line="360" w:lineRule="auto"/>
              <w:jc w:val="left"/>
              <w:rPr>
                <w:rFonts w:cs="仿宋_GB2312" w:asciiTheme="minorEastAsia" w:hAnsiTheme="minorEastAsia"/>
                <w:sz w:val="24"/>
              </w:rPr>
            </w:pPr>
            <w:r>
              <w:rPr>
                <w:rFonts w:hint="eastAsia" w:cs="仿宋_GB2312" w:asciiTheme="minorEastAsia" w:hAnsiTheme="minorEastAsia" w:eastAsiaTheme="minorEastAsia"/>
                <w:sz w:val="24"/>
              </w:rPr>
              <w:t>注：提供证书复印件及近3个月社保证明。</w:t>
            </w:r>
          </w:p>
        </w:tc>
        <w:tc>
          <w:tcPr>
            <w:tcW w:w="359" w:type="pct"/>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845" w:type="pct"/>
            <w:vAlign w:val="center"/>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545" w:type="pct"/>
            <w:vAlign w:val="center"/>
          </w:tcPr>
          <w:p>
            <w:pPr>
              <w:widowControl/>
              <w:shd w:val="clear" w:color="auto" w:fill="FFFFFF"/>
              <w:adjustRightInd/>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售后服务方案</w:t>
            </w:r>
          </w:p>
        </w:tc>
        <w:tc>
          <w:tcPr>
            <w:tcW w:w="2987" w:type="pct"/>
            <w:vAlign w:val="center"/>
          </w:tcPr>
          <w:p>
            <w:pPr>
              <w:widowControl/>
              <w:shd w:val="clear" w:color="auto" w:fill="FFFFFF"/>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【主观分】投标人需提供项目售后服务方案，包括①售后服务体系②售后服务能力③售后服务流程④重大活动及节假日紧急情况应急预案等。</w:t>
            </w:r>
            <w:r>
              <w:rPr>
                <w:rFonts w:hAnsi="宋体"/>
                <w:spacing w:val="-6"/>
                <w:sz w:val="24"/>
              </w:rPr>
              <w:t>(评审分值为1分或2分或3分或4分),未提供不得分。</w:t>
            </w:r>
          </w:p>
        </w:tc>
        <w:tc>
          <w:tcPr>
            <w:tcW w:w="359" w:type="pct"/>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845" w:type="pct"/>
            <w:vAlign w:val="center"/>
          </w:tcPr>
          <w:p>
            <w:pPr>
              <w:spacing w:line="360" w:lineRule="auto"/>
              <w:jc w:val="center"/>
              <w:outlineLvl w:val="0"/>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545" w:type="pct"/>
            <w:vAlign w:val="center"/>
          </w:tcPr>
          <w:p>
            <w:pPr>
              <w:widowControl/>
              <w:shd w:val="clear" w:color="auto" w:fill="FFFFFF"/>
              <w:adjustRightInd/>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培训方案</w:t>
            </w:r>
          </w:p>
        </w:tc>
        <w:tc>
          <w:tcPr>
            <w:tcW w:w="2987" w:type="pct"/>
            <w:vAlign w:val="center"/>
          </w:tcPr>
          <w:p>
            <w:pPr>
              <w:widowControl/>
              <w:shd w:val="clear" w:color="auto" w:fill="FFFFFF"/>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【主观分】投标人需提供项目培训方案，包括①培训目标及承诺②培训方式③师资力量等。</w:t>
            </w:r>
            <w:r>
              <w:rPr>
                <w:rFonts w:hAnsi="宋体"/>
                <w:spacing w:val="-6"/>
                <w:sz w:val="24"/>
              </w:rPr>
              <w:t>(评审分值为1分或2分或3分),未提供不得分。</w:t>
            </w:r>
          </w:p>
        </w:tc>
        <w:tc>
          <w:tcPr>
            <w:tcW w:w="359" w:type="pct"/>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845" w:type="pct"/>
            <w:vAlign w:val="center"/>
          </w:tcPr>
          <w:p>
            <w:pPr>
              <w:spacing w:line="360" w:lineRule="auto"/>
              <w:jc w:val="center"/>
              <w:outlineLvl w:val="0"/>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545" w:type="pct"/>
            <w:vAlign w:val="center"/>
          </w:tcPr>
          <w:p>
            <w:pPr>
              <w:widowControl/>
              <w:shd w:val="clear" w:color="auto" w:fill="FFFFFF"/>
              <w:adjustRightInd/>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价格分</w:t>
            </w:r>
          </w:p>
        </w:tc>
        <w:tc>
          <w:tcPr>
            <w:tcW w:w="2987" w:type="pct"/>
            <w:vAlign w:val="center"/>
          </w:tcPr>
          <w:p>
            <w:pPr>
              <w:widowControl/>
              <w:shd w:val="clear" w:color="auto" w:fill="FFFFFF"/>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【客观分】有效投标报价的最低价作为评标基准价，其最低报价为满分；按［投标报价得分=（评标基准价/投标报价）×20］的计算公式计算。</w:t>
            </w:r>
            <w:r>
              <w:rPr>
                <w:rFonts w:hint="eastAsia" w:cs="仿宋_GB2312" w:asciiTheme="minorEastAsia" w:hAnsiTheme="minorEastAsia" w:eastAsiaTheme="minorEastAsia"/>
                <w:sz w:val="24"/>
              </w:rPr>
              <w:br w:type="textWrapping"/>
            </w:r>
            <w:r>
              <w:rPr>
                <w:rFonts w:hint="eastAsia" w:cs="仿宋_GB2312" w:asciiTheme="minorEastAsia" w:hAnsiTheme="minorEastAsia" w:eastAsiaTheme="minorEastAsia"/>
                <w:sz w:val="24"/>
              </w:rPr>
              <w:t>评标过程中，不得去掉报价中的最高报价和最低报价。</w:t>
            </w:r>
          </w:p>
          <w:p>
            <w:pPr>
              <w:widowControl/>
              <w:shd w:val="clear" w:color="auto" w:fill="FFFFFF"/>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落实政府采购政策说明：根据《关于进一步加大政府采购支持中小企业力度的通知》（财库〔2022〕19号），参加本次采购活动的投标人提供的服务全部由符合政策要求的小微企业承接的（以联合体形式参加政府采购活动，联合体各方均为小微企业的），其报价给予10%的扣除，取扣除后的价格作为最终投标报价（此最终投标报价仅作为价格分计算）。如投标人明确联合体投标的，对于联合协议约定中小微企业的合同份额占到合同总金额 30%以上的，采购人、采购代理机构应当对大中型企业的报价给予4%的扣除，用扣除后的价格参加评审（投标人应提供联合协议，中小企业声明函中需如实填写联合体成员的信息），组成联合体小微企业与联合体内其他企业之间存在直接控股、管理关系的，不享受价格扣除优惠政策。</w:t>
            </w:r>
          </w:p>
          <w:p>
            <w:pPr>
              <w:widowControl/>
              <w:shd w:val="clear" w:color="auto" w:fill="FFFFFF"/>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注：未按要求提供材料的，均不给予价格扣除。</w:t>
            </w:r>
          </w:p>
        </w:tc>
        <w:tc>
          <w:tcPr>
            <w:tcW w:w="359" w:type="pct"/>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20</w:t>
            </w:r>
          </w:p>
        </w:tc>
        <w:tc>
          <w:tcPr>
            <w:tcW w:w="845" w:type="pct"/>
            <w:vAlign w:val="center"/>
          </w:tcPr>
          <w:p>
            <w:pPr>
              <w:spacing w:line="360" w:lineRule="auto"/>
              <w:jc w:val="center"/>
              <w:outlineLvl w:val="0"/>
              <w:rPr>
                <w:rFonts w:cs="仿宋_GB2312" w:asciiTheme="minorEastAsia" w:hAnsiTheme="minorEastAsia" w:eastAsiaTheme="minorEastAsia"/>
                <w:sz w:val="24"/>
              </w:rPr>
            </w:pPr>
            <w:r>
              <w:rPr>
                <w:rFonts w:cs="仿宋_GB2312" w:asciiTheme="minorEastAsia" w:hAnsiTheme="minorEastAsia" w:eastAsiaTheme="minorEastAsia"/>
                <w:sz w:val="24"/>
              </w:rPr>
              <w:t>/</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3"/>
        <w:ind w:left="0" w:firstLine="48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参与同一标段（包）的投标人（供应商）存在IP或MAC或硬件信息或供应商手机号相同，且无合理解释的情形的（注：IP、MAC、硬件信息是供应商投标客户端制作标书IP、MAC、硬件信息；手机号是上传投标文件时的手机号信息）。</w:t>
      </w:r>
    </w:p>
    <w:p>
      <w:pPr>
        <w:spacing w:line="360" w:lineRule="auto"/>
        <w:ind w:firstLine="480" w:firstLineChars="200"/>
        <w:rPr>
          <w:rFonts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pPr>
        <w:pStyle w:val="27"/>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7"/>
        <w:snapToGrid w:val="0"/>
        <w:spacing w:line="360" w:lineRule="auto"/>
        <w:rPr>
          <w:rFonts w:cs="宋体"/>
        </w:rPr>
      </w:pPr>
      <w:r>
        <w:rPr>
          <w:rFonts w:hint="eastAsia" w:cs="宋体"/>
        </w:rPr>
        <w:t>5.1符合专业条件的供应商或者对招标文件作实质响应的供应商不足3家的；</w:t>
      </w:r>
    </w:p>
    <w:p>
      <w:pPr>
        <w:pStyle w:val="27"/>
        <w:snapToGrid w:val="0"/>
        <w:spacing w:line="360" w:lineRule="auto"/>
        <w:rPr>
          <w:rFonts w:cs="宋体"/>
        </w:rPr>
      </w:pPr>
      <w:r>
        <w:rPr>
          <w:rFonts w:hint="eastAsia" w:cs="宋体"/>
        </w:rPr>
        <w:t>5.2出现影响采购公正的违法、违规行为的；</w:t>
      </w:r>
    </w:p>
    <w:p>
      <w:pPr>
        <w:pStyle w:val="27"/>
        <w:snapToGrid w:val="0"/>
        <w:spacing w:line="360" w:lineRule="auto"/>
        <w:rPr>
          <w:rFonts w:cs="宋体"/>
        </w:rPr>
      </w:pPr>
      <w:r>
        <w:rPr>
          <w:rFonts w:hint="eastAsia" w:cs="宋体"/>
        </w:rPr>
        <w:t>5.3投标人的报价均超过了采购预算，采购人不能支付的；</w:t>
      </w:r>
    </w:p>
    <w:p>
      <w:pPr>
        <w:pStyle w:val="27"/>
        <w:snapToGrid w:val="0"/>
        <w:spacing w:line="360" w:lineRule="auto"/>
        <w:rPr>
          <w:rFonts w:cs="宋体"/>
        </w:rPr>
      </w:pPr>
      <w:r>
        <w:rPr>
          <w:rFonts w:hint="eastAsia" w:cs="宋体"/>
        </w:rPr>
        <w:t>5.4因重大变故，采购任务取消的。</w:t>
      </w:r>
    </w:p>
    <w:p>
      <w:pPr>
        <w:pStyle w:val="27"/>
        <w:snapToGrid w:val="0"/>
        <w:spacing w:line="360" w:lineRule="auto"/>
        <w:rPr>
          <w:rFonts w:cs="宋体"/>
        </w:rPr>
      </w:pPr>
      <w:r>
        <w:rPr>
          <w:rFonts w:hint="eastAsia" w:cs="宋体"/>
        </w:rPr>
        <w:t>废标后，采购代理机构应当将废标理由通知所有投标人。</w:t>
      </w:r>
    </w:p>
    <w:p>
      <w:pPr>
        <w:pStyle w:val="27"/>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7"/>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7"/>
        <w:snapToGrid w:val="0"/>
        <w:spacing w:line="360" w:lineRule="auto"/>
        <w:rPr>
          <w:rFonts w:cs="宋体"/>
        </w:rPr>
      </w:pPr>
      <w:r>
        <w:rPr>
          <w:rFonts w:hint="eastAsia" w:cs="宋体"/>
        </w:rPr>
        <w:t>7.1未确定中标供应商的，终止本次政府采购活动，重新开展政府采购活动。</w:t>
      </w:r>
    </w:p>
    <w:p>
      <w:pPr>
        <w:pStyle w:val="27"/>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7"/>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7"/>
        <w:snapToGrid w:val="0"/>
        <w:spacing w:line="360" w:lineRule="auto"/>
        <w:rPr>
          <w:rFonts w:cs="宋体"/>
        </w:rPr>
      </w:pPr>
      <w:r>
        <w:rPr>
          <w:rFonts w:hint="eastAsia" w:cs="宋体"/>
        </w:rPr>
        <w:t>7.4政府采购合同已经履行，给采购人、供应商造成损失的，由责任人承担赔偿责任。</w:t>
      </w:r>
    </w:p>
    <w:p>
      <w:pPr>
        <w:pStyle w:val="27"/>
        <w:snapToGrid w:val="0"/>
        <w:rPr>
          <w:rFonts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445" w:name="_Toc86217003"/>
      <w:bookmarkStart w:id="446" w:name="第五部分"/>
    </w:p>
    <w:p>
      <w:pPr>
        <w:spacing w:line="360" w:lineRule="auto"/>
        <w:ind w:left="720" w:leftChars="343" w:firstLine="1807" w:firstLineChars="500"/>
        <w:outlineLvl w:val="0"/>
        <w:rPr>
          <w:rFonts w:ascii="宋体" w:hAnsi="宋体" w:cs="宋体"/>
          <w:b/>
          <w:sz w:val="36"/>
          <w:szCs w:val="36"/>
        </w:rPr>
      </w:pPr>
      <w:r>
        <w:rPr>
          <w:rFonts w:hint="eastAsia" w:ascii="宋体" w:hAnsi="宋体" w:cs="宋体"/>
          <w:b/>
          <w:sz w:val="36"/>
          <w:szCs w:val="36"/>
        </w:rPr>
        <w:t>第五部分 拟签订的合同文本</w:t>
      </w:r>
    </w:p>
    <w:p>
      <w:pPr>
        <w:pStyle w:val="35"/>
        <w:snapToGrid w:val="0"/>
        <w:spacing w:line="360" w:lineRule="auto"/>
        <w:ind w:left="420" w:leftChars="200"/>
        <w:jc w:val="center"/>
        <w:outlineLvl w:val="0"/>
        <w:rPr>
          <w:rStyle w:val="419"/>
          <w:sz w:val="36"/>
          <w:szCs w:val="36"/>
        </w:rPr>
      </w:pPr>
      <w:bookmarkStart w:id="447" w:name="_Toc27406"/>
      <w:bookmarkStart w:id="448" w:name="_Toc25425"/>
      <w:r>
        <w:rPr>
          <w:rStyle w:val="419"/>
          <w:sz w:val="36"/>
          <w:szCs w:val="36"/>
        </w:rPr>
        <w:t>第五章  合同主要条款</w:t>
      </w:r>
      <w:bookmarkEnd w:id="447"/>
      <w:bookmarkEnd w:id="448"/>
    </w:p>
    <w:p>
      <w:pPr>
        <w:pStyle w:val="35"/>
        <w:spacing w:before="120" w:after="120" w:line="360" w:lineRule="auto"/>
        <w:jc w:val="center"/>
        <w:outlineLvl w:val="0"/>
        <w:rPr>
          <w:rFonts w:hAnsi="宋体" w:cs="宋体"/>
          <w:b/>
        </w:rPr>
      </w:pPr>
      <w:bookmarkStart w:id="449" w:name="_Toc10116"/>
      <w:bookmarkStart w:id="450" w:name="_Toc20046"/>
      <w:bookmarkStart w:id="451" w:name="_Toc12968"/>
      <w:bookmarkStart w:id="452" w:name="_Toc1130"/>
      <w:r>
        <w:rPr>
          <w:rFonts w:hint="eastAsia" w:hAnsi="宋体" w:cs="宋体"/>
          <w:b/>
        </w:rPr>
        <w:t>杭州市第一人民医院硬件设施服务项目</w:t>
      </w:r>
      <w:r>
        <w:rPr>
          <w:rFonts w:hAnsi="宋体" w:cs="宋体"/>
          <w:b/>
        </w:rPr>
        <w:t>合同</w:t>
      </w:r>
      <w:bookmarkEnd w:id="449"/>
      <w:bookmarkEnd w:id="450"/>
      <w:bookmarkEnd w:id="451"/>
      <w:bookmarkEnd w:id="452"/>
    </w:p>
    <w:p>
      <w:pPr>
        <w:spacing w:line="288" w:lineRule="auto"/>
        <w:ind w:firstLine="396" w:firstLineChars="200"/>
        <w:jc w:val="center"/>
        <w:rPr>
          <w:rFonts w:ascii="宋体" w:hAnsi="宋体" w:cs="宋体"/>
          <w:spacing w:val="-6"/>
          <w:szCs w:val="21"/>
        </w:rPr>
      </w:pPr>
      <w:r>
        <w:rPr>
          <w:rFonts w:ascii="宋体" w:hAnsi="宋体" w:cs="宋体"/>
          <w:spacing w:val="-6"/>
          <w:szCs w:val="21"/>
        </w:rPr>
        <w:t>（本合同为合同样稿，最终稿由三方协商后确定，合同实质性内容不得更改；签订合同时删除此行）</w:t>
      </w:r>
    </w:p>
    <w:p>
      <w:pPr>
        <w:spacing w:line="360" w:lineRule="auto"/>
        <w:rPr>
          <w:rFonts w:ascii="宋体" w:hAnsi="宋体" w:cs="宋体"/>
          <w:szCs w:val="21"/>
        </w:rPr>
      </w:pPr>
    </w:p>
    <w:p>
      <w:pPr>
        <w:spacing w:line="360" w:lineRule="auto"/>
        <w:rPr>
          <w:rFonts w:ascii="宋体" w:hAnsi="宋体" w:cs="宋体"/>
          <w:szCs w:val="21"/>
        </w:rPr>
      </w:pPr>
      <w:r>
        <w:rPr>
          <w:rFonts w:ascii="宋体" w:hAnsi="宋体" w:cs="宋体"/>
          <w:szCs w:val="21"/>
        </w:rPr>
        <w:t>项目编号：</w:t>
      </w:r>
      <w:r>
        <w:rPr>
          <w:rFonts w:hint="eastAsia" w:ascii="宋体" w:hAnsi="宋体" w:cs="宋体"/>
          <w:szCs w:val="21"/>
        </w:rPr>
        <w:t>HSZB-2024-1114</w:t>
      </w:r>
    </w:p>
    <w:p>
      <w:pPr>
        <w:spacing w:line="360" w:lineRule="auto"/>
        <w:rPr>
          <w:rFonts w:ascii="宋体" w:hAnsi="宋体" w:cs="宋体"/>
          <w:szCs w:val="21"/>
        </w:rPr>
      </w:pPr>
      <w:r>
        <w:rPr>
          <w:rFonts w:ascii="宋体" w:hAnsi="宋体" w:cs="宋体"/>
          <w:szCs w:val="21"/>
        </w:rPr>
        <w:t>确认书号：</w:t>
      </w:r>
    </w:p>
    <w:p>
      <w:pPr>
        <w:spacing w:line="360" w:lineRule="auto"/>
        <w:rPr>
          <w:rFonts w:ascii="宋体" w:hAnsi="宋体" w:cs="宋体"/>
          <w:szCs w:val="21"/>
        </w:rPr>
      </w:pPr>
      <w:r>
        <w:rPr>
          <w:rFonts w:ascii="宋体" w:hAnsi="宋体" w:cs="宋体"/>
          <w:szCs w:val="21"/>
        </w:rPr>
        <w:t>甲方（需方）：</w:t>
      </w:r>
      <w:r>
        <w:rPr>
          <w:rFonts w:hint="eastAsia" w:ascii="宋体" w:hAnsi="宋体" w:cs="宋体"/>
          <w:szCs w:val="21"/>
        </w:rPr>
        <w:t>杭州市第一人民医院</w:t>
      </w:r>
    </w:p>
    <w:p>
      <w:pPr>
        <w:spacing w:line="360" w:lineRule="auto"/>
        <w:rPr>
          <w:rFonts w:ascii="宋体" w:hAnsi="宋体" w:cs="宋体"/>
          <w:spacing w:val="-6"/>
          <w:szCs w:val="21"/>
        </w:rPr>
      </w:pPr>
      <w:r>
        <w:rPr>
          <w:rFonts w:ascii="宋体" w:hAnsi="宋体" w:cs="宋体"/>
          <w:szCs w:val="21"/>
        </w:rPr>
        <w:t>乙方（供方）：</w:t>
      </w:r>
    </w:p>
    <w:p>
      <w:pPr>
        <w:spacing w:line="360" w:lineRule="auto"/>
        <w:rPr>
          <w:rFonts w:ascii="宋体" w:hAnsi="宋体" w:cs="宋体"/>
          <w:szCs w:val="21"/>
        </w:rPr>
      </w:pPr>
      <w:r>
        <w:rPr>
          <w:rFonts w:ascii="宋体" w:hAnsi="宋体" w:cs="宋体"/>
          <w:szCs w:val="21"/>
        </w:rPr>
        <w:t>采购代理机构：</w:t>
      </w:r>
    </w:p>
    <w:p>
      <w:pPr>
        <w:spacing w:line="360" w:lineRule="auto"/>
        <w:rPr>
          <w:rFonts w:ascii="宋体" w:hAnsi="宋体" w:cs="宋体"/>
          <w:szCs w:val="21"/>
        </w:rPr>
      </w:pPr>
      <w:r>
        <w:rPr>
          <w:rFonts w:ascii="宋体" w:hAnsi="宋体" w:cs="宋体"/>
          <w:szCs w:val="21"/>
        </w:rPr>
        <w:t>签约时间、地点：20</w:t>
      </w:r>
      <w:r>
        <w:rPr>
          <w:rFonts w:hint="eastAsia" w:ascii="宋体" w:hAnsi="宋体" w:cs="宋体"/>
          <w:szCs w:val="21"/>
        </w:rPr>
        <w:t>24</w:t>
      </w:r>
      <w:r>
        <w:rPr>
          <w:rFonts w:ascii="宋体" w:hAnsi="宋体" w:cs="宋体"/>
          <w:szCs w:val="21"/>
        </w:rPr>
        <w:t>年   月   日，</w:t>
      </w:r>
      <w:r>
        <w:rPr>
          <w:rFonts w:hint="eastAsia" w:ascii="宋体" w:hAnsi="宋体" w:cs="宋体"/>
          <w:szCs w:val="21"/>
        </w:rPr>
        <w:t>杭州市第一人民医院</w:t>
      </w:r>
    </w:p>
    <w:p>
      <w:pPr>
        <w:spacing w:line="360" w:lineRule="auto"/>
        <w:ind w:firstLine="420" w:firstLineChars="200"/>
        <w:rPr>
          <w:rFonts w:ascii="宋体" w:hAnsi="宋体" w:cs="宋体"/>
          <w:spacing w:val="-6"/>
          <w:szCs w:val="21"/>
        </w:rPr>
      </w:pPr>
      <w:r>
        <w:rPr>
          <w:rFonts w:ascii="宋体" w:hAnsi="宋体" w:cs="宋体"/>
          <w:szCs w:val="21"/>
        </w:rPr>
        <w:t>浙江豪圣建设项目管理有限公司受</w:t>
      </w:r>
      <w:r>
        <w:rPr>
          <w:rFonts w:hint="eastAsia" w:ascii="宋体" w:hAnsi="宋体" w:cs="宋体"/>
          <w:szCs w:val="21"/>
        </w:rPr>
        <w:t>杭州市第一人民医院</w:t>
      </w:r>
      <w:r>
        <w:rPr>
          <w:rFonts w:ascii="宋体" w:hAnsi="宋体" w:cs="宋体"/>
          <w:szCs w:val="21"/>
        </w:rPr>
        <w:t>委托公开招标</w:t>
      </w:r>
      <w:r>
        <w:rPr>
          <w:rFonts w:hint="eastAsia" w:ascii="宋体" w:hAnsi="宋体" w:cs="宋体"/>
          <w:szCs w:val="21"/>
        </w:rPr>
        <w:t>浙江省毒品防控技术研究重点实验室大型设备维保项目</w:t>
      </w:r>
      <w:r>
        <w:rPr>
          <w:rFonts w:ascii="宋体" w:hAnsi="宋体" w:cs="宋体"/>
          <w:szCs w:val="21"/>
        </w:rPr>
        <w:t>，经过招标，确定为中标人。经协商双方就本采购事项达成以下条款：</w:t>
      </w:r>
    </w:p>
    <w:p>
      <w:pPr>
        <w:pStyle w:val="35"/>
        <w:snapToGrid w:val="0"/>
        <w:spacing w:line="360" w:lineRule="auto"/>
        <w:ind w:firstLine="422" w:firstLineChars="200"/>
        <w:rPr>
          <w:rFonts w:hAnsi="宋体"/>
          <w:b/>
        </w:rPr>
      </w:pPr>
      <w:r>
        <w:rPr>
          <w:rFonts w:hAnsi="宋体"/>
          <w:b/>
        </w:rPr>
        <w:t>第一条：</w:t>
      </w:r>
      <w:r>
        <w:rPr>
          <w:rFonts w:hint="eastAsia" w:hAnsi="宋体"/>
          <w:b/>
        </w:rPr>
        <w:t>服务（租赁设备）内容</w:t>
      </w:r>
    </w:p>
    <w:p>
      <w:pPr>
        <w:pStyle w:val="35"/>
        <w:snapToGrid w:val="0"/>
        <w:spacing w:line="360" w:lineRule="auto"/>
        <w:ind w:firstLine="422" w:firstLineChars="200"/>
        <w:rPr>
          <w:rFonts w:hAnsi="宋体"/>
          <w:b/>
        </w:rPr>
      </w:pPr>
    </w:p>
    <w:p>
      <w:pPr>
        <w:pStyle w:val="35"/>
        <w:snapToGrid w:val="0"/>
        <w:spacing w:line="360" w:lineRule="auto"/>
        <w:ind w:firstLine="422" w:firstLineChars="200"/>
        <w:rPr>
          <w:rFonts w:hAnsi="宋体"/>
          <w:b/>
        </w:rPr>
      </w:pPr>
      <w:r>
        <w:rPr>
          <w:rFonts w:hAnsi="宋体"/>
          <w:b/>
        </w:rPr>
        <w:t>第二条：合同履行时间、履行地点和合同金额</w:t>
      </w:r>
    </w:p>
    <w:p>
      <w:pPr>
        <w:snapToGrid w:val="0"/>
        <w:spacing w:line="360" w:lineRule="auto"/>
        <w:ind w:firstLine="420" w:firstLineChars="200"/>
        <w:rPr>
          <w:rFonts w:ascii="宋体" w:hAnsi="宋体"/>
          <w:szCs w:val="21"/>
        </w:rPr>
      </w:pPr>
      <w:r>
        <w:rPr>
          <w:rFonts w:ascii="宋体" w:hAnsi="宋体"/>
          <w:szCs w:val="21"/>
        </w:rPr>
        <w:t>1.履行时间：</w:t>
      </w:r>
    </w:p>
    <w:p>
      <w:pPr>
        <w:snapToGrid w:val="0"/>
        <w:spacing w:line="360" w:lineRule="auto"/>
        <w:ind w:firstLine="420" w:firstLineChars="200"/>
        <w:rPr>
          <w:rFonts w:ascii="宋体" w:hAnsi="宋体"/>
          <w:szCs w:val="21"/>
        </w:rPr>
      </w:pPr>
      <w:r>
        <w:rPr>
          <w:rFonts w:ascii="宋体" w:hAnsi="宋体"/>
          <w:szCs w:val="21"/>
        </w:rPr>
        <w:t>2.履行地点：</w:t>
      </w:r>
      <w:r>
        <w:rPr>
          <w:rFonts w:hint="eastAsia" w:ascii="宋体" w:hAnsi="宋体"/>
          <w:szCs w:val="21"/>
          <w:u w:val="single"/>
        </w:rPr>
        <w:t>杭州市第一人民医院</w:t>
      </w:r>
      <w:r>
        <w:rPr>
          <w:rFonts w:ascii="宋体" w:hAnsi="宋体"/>
          <w:szCs w:val="21"/>
        </w:rPr>
        <w:t>；</w:t>
      </w:r>
    </w:p>
    <w:p>
      <w:pPr>
        <w:snapToGrid w:val="0"/>
        <w:spacing w:line="360" w:lineRule="auto"/>
        <w:ind w:firstLine="420" w:firstLineChars="200"/>
        <w:rPr>
          <w:rFonts w:ascii="宋体" w:hAnsi="宋体"/>
          <w:szCs w:val="21"/>
        </w:rPr>
      </w:pPr>
      <w:r>
        <w:rPr>
          <w:rFonts w:ascii="宋体" w:hAnsi="宋体"/>
          <w:szCs w:val="21"/>
        </w:rPr>
        <w:t>3.本合同金额为（大写）：元（￥元）人民币。本合同的价款为含税价。</w:t>
      </w:r>
    </w:p>
    <w:p>
      <w:pPr>
        <w:pStyle w:val="35"/>
        <w:snapToGrid w:val="0"/>
        <w:spacing w:line="360" w:lineRule="auto"/>
        <w:ind w:firstLine="422" w:firstLineChars="200"/>
        <w:rPr>
          <w:rFonts w:hAnsi="宋体"/>
          <w:b/>
        </w:rPr>
      </w:pPr>
      <w:r>
        <w:rPr>
          <w:rFonts w:hAnsi="宋体"/>
          <w:b/>
        </w:rPr>
        <w:t>第三条：技术资料</w:t>
      </w:r>
    </w:p>
    <w:p>
      <w:pPr>
        <w:pStyle w:val="35"/>
        <w:snapToGrid w:val="0"/>
        <w:spacing w:line="360" w:lineRule="auto"/>
        <w:ind w:firstLine="420" w:firstLineChars="200"/>
        <w:rPr>
          <w:rFonts w:hAnsi="宋体"/>
        </w:rPr>
      </w:pPr>
      <w:r>
        <w:rPr>
          <w:rFonts w:hAnsi="宋体"/>
        </w:rPr>
        <w:t>1.乙方应按招标文件规定的时间向甲方提供有关技术资料。</w:t>
      </w:r>
    </w:p>
    <w:p>
      <w:pPr>
        <w:pStyle w:val="35"/>
        <w:snapToGrid w:val="0"/>
        <w:spacing w:line="360" w:lineRule="auto"/>
        <w:ind w:firstLine="420" w:firstLineChars="200"/>
        <w:rPr>
          <w:rFonts w:hAnsi="宋体"/>
        </w:rPr>
      </w:pPr>
      <w:r>
        <w:rPr>
          <w:rFonts w:hAnsi="宋体"/>
        </w:rPr>
        <w:t>2.未经甲方事先书面同意，乙方不得将与本合同及有关的任何合同条文</w:t>
      </w:r>
      <w:r>
        <w:rPr>
          <w:rFonts w:hint="eastAsia" w:hAnsi="宋体"/>
        </w:rPr>
        <w:t>、</w:t>
      </w:r>
      <w:r>
        <w:rPr>
          <w:rFonts w:hAnsi="宋体"/>
        </w:rPr>
        <w:t>资料提供给任何第三方。即使向履行本合同有关的人员提供，也应注意保密并限于履行合同的必需范围。</w:t>
      </w:r>
    </w:p>
    <w:p>
      <w:pPr>
        <w:pStyle w:val="35"/>
        <w:snapToGrid w:val="0"/>
        <w:spacing w:line="360" w:lineRule="auto"/>
        <w:ind w:firstLine="420" w:firstLineChars="200"/>
        <w:rPr>
          <w:rFonts w:hAnsi="宋体"/>
          <w:bCs/>
        </w:rPr>
      </w:pPr>
      <w:r>
        <w:rPr>
          <w:rFonts w:hAnsi="宋体"/>
        </w:rPr>
        <w:t>3.乙方应保证提供服务过程中不会侵犯任何第三方的知识产权</w:t>
      </w:r>
      <w:r>
        <w:rPr>
          <w:rFonts w:hAnsi="宋体"/>
          <w:bCs/>
        </w:rPr>
        <w:t>，否则甲方有权解除本合同，拒绝支付合同价款，并要求乙方赔偿所有损失。</w:t>
      </w:r>
    </w:p>
    <w:p>
      <w:pPr>
        <w:pStyle w:val="35"/>
        <w:snapToGrid w:val="0"/>
        <w:spacing w:line="360" w:lineRule="auto"/>
        <w:ind w:firstLine="422" w:firstLineChars="200"/>
        <w:rPr>
          <w:rFonts w:hAnsi="宋体"/>
          <w:b/>
        </w:rPr>
      </w:pPr>
      <w:r>
        <w:rPr>
          <w:rFonts w:hAnsi="宋体"/>
          <w:b/>
        </w:rPr>
        <w:t>第四条：转包或分包</w:t>
      </w:r>
    </w:p>
    <w:p>
      <w:pPr>
        <w:pStyle w:val="35"/>
        <w:snapToGrid w:val="0"/>
        <w:spacing w:line="360" w:lineRule="auto"/>
        <w:ind w:firstLine="420" w:firstLineChars="200"/>
        <w:rPr>
          <w:rFonts w:hAnsi="宋体"/>
        </w:rPr>
      </w:pPr>
      <w:r>
        <w:rPr>
          <w:rFonts w:hAnsi="宋体"/>
        </w:rPr>
        <w:t>1.本合同范围的服务，应由乙方直接提供，不得转让他人提供；</w:t>
      </w:r>
    </w:p>
    <w:p>
      <w:pPr>
        <w:pStyle w:val="35"/>
        <w:snapToGrid w:val="0"/>
        <w:spacing w:line="360" w:lineRule="auto"/>
        <w:ind w:firstLine="420" w:firstLineChars="200"/>
        <w:rPr>
          <w:rFonts w:hAnsi="宋体"/>
        </w:rPr>
      </w:pPr>
      <w:r>
        <w:rPr>
          <w:rFonts w:hAnsi="宋体"/>
        </w:rPr>
        <w:t>2.除甲方明确可以分包的内容外其它一律不允许分包；</w:t>
      </w:r>
    </w:p>
    <w:p>
      <w:pPr>
        <w:pStyle w:val="35"/>
        <w:snapToGrid w:val="0"/>
        <w:spacing w:line="360" w:lineRule="auto"/>
        <w:ind w:firstLine="420" w:firstLineChars="200"/>
        <w:rPr>
          <w:rFonts w:hAnsi="宋体"/>
        </w:rPr>
      </w:pPr>
      <w:r>
        <w:rPr>
          <w:rFonts w:hAnsi="宋体"/>
        </w:rPr>
        <w:t>3.如有转让和违法分包行为，甲方有权解除合同，没收履约保证金并追究乙方的违约责任。</w:t>
      </w:r>
    </w:p>
    <w:p>
      <w:pPr>
        <w:pStyle w:val="35"/>
        <w:snapToGrid w:val="0"/>
        <w:spacing w:line="360" w:lineRule="auto"/>
        <w:ind w:firstLine="422" w:firstLineChars="200"/>
        <w:rPr>
          <w:rFonts w:hAnsi="宋体"/>
          <w:b/>
        </w:rPr>
      </w:pPr>
      <w:r>
        <w:rPr>
          <w:rFonts w:hAnsi="宋体"/>
          <w:b/>
        </w:rPr>
        <w:t>第</w:t>
      </w:r>
      <w:r>
        <w:rPr>
          <w:rFonts w:hint="eastAsia" w:hAnsi="宋体"/>
          <w:b/>
        </w:rPr>
        <w:t>五</w:t>
      </w:r>
      <w:r>
        <w:rPr>
          <w:rFonts w:hAnsi="宋体"/>
          <w:b/>
        </w:rPr>
        <w:t>条：款项支付</w:t>
      </w:r>
    </w:p>
    <w:p>
      <w:pPr>
        <w:pStyle w:val="35"/>
        <w:adjustRightInd/>
        <w:snapToGrid w:val="0"/>
        <w:spacing w:line="360" w:lineRule="auto"/>
        <w:ind w:firstLine="420" w:firstLineChars="200"/>
        <w:rPr>
          <w:rFonts w:hAnsi="宋体"/>
          <w:bCs/>
        </w:rPr>
      </w:pPr>
      <w:r>
        <w:rPr>
          <w:rFonts w:hint="eastAsia" w:hAnsi="宋体"/>
          <w:bCs/>
        </w:rPr>
        <w:t>合同生效以及具备实施条件后7个工作日内支付合同金额50%的款项；</w:t>
      </w:r>
    </w:p>
    <w:p>
      <w:pPr>
        <w:pStyle w:val="35"/>
        <w:adjustRightInd/>
        <w:snapToGrid w:val="0"/>
        <w:spacing w:line="360" w:lineRule="auto"/>
        <w:ind w:firstLine="420" w:firstLineChars="200"/>
        <w:rPr>
          <w:rFonts w:hAnsi="宋体"/>
          <w:bCs/>
        </w:rPr>
      </w:pPr>
      <w:r>
        <w:rPr>
          <w:rFonts w:hint="eastAsia" w:hAnsi="宋体"/>
          <w:bCs/>
        </w:rPr>
        <w:t>硬件设备交付、云资源开通、线路开通、相关授权完成（含操作系统授权、办公设备授权及信创终端授权、钉钉专业版机年认证），并阶段性验收合格后7个工作日内支付合同金额40%的款项；</w:t>
      </w:r>
    </w:p>
    <w:p>
      <w:pPr>
        <w:pStyle w:val="35"/>
        <w:adjustRightInd/>
        <w:snapToGrid w:val="0"/>
        <w:spacing w:line="360" w:lineRule="auto"/>
        <w:ind w:firstLine="420" w:firstLineChars="200"/>
        <w:rPr>
          <w:rFonts w:hAnsi="宋体"/>
          <w:bCs/>
        </w:rPr>
      </w:pPr>
      <w:r>
        <w:rPr>
          <w:rFonts w:hint="eastAsia" w:hAnsi="宋体"/>
          <w:bCs/>
        </w:rPr>
        <w:t>服务期满验收合格后，自收到发票后7个工作日内支付合同金额10%的款项。</w:t>
      </w:r>
    </w:p>
    <w:p>
      <w:pPr>
        <w:pStyle w:val="35"/>
        <w:adjustRightInd/>
        <w:snapToGrid w:val="0"/>
        <w:spacing w:line="360" w:lineRule="auto"/>
        <w:ind w:firstLine="422" w:firstLineChars="200"/>
        <w:rPr>
          <w:rFonts w:hAnsi="宋体"/>
          <w:b/>
        </w:rPr>
      </w:pPr>
      <w:r>
        <w:rPr>
          <w:rFonts w:hAnsi="宋体"/>
          <w:b/>
        </w:rPr>
        <w:t>第</w:t>
      </w:r>
      <w:r>
        <w:rPr>
          <w:rFonts w:hint="eastAsia" w:hAnsi="宋体"/>
          <w:b/>
        </w:rPr>
        <w:t>六</w:t>
      </w:r>
      <w:r>
        <w:rPr>
          <w:rFonts w:hAnsi="宋体"/>
          <w:b/>
        </w:rPr>
        <w:t>条：</w:t>
      </w:r>
      <w:r>
        <w:rPr>
          <w:rFonts w:hint="eastAsia" w:hAnsi="宋体"/>
          <w:b/>
        </w:rPr>
        <w:t>服务要求：</w:t>
      </w:r>
      <w:r>
        <w:rPr>
          <w:rFonts w:hint="eastAsia" w:hAnsi="宋体"/>
          <w:bCs/>
        </w:rPr>
        <w:t>详见第一条，服务（租赁设备）内容。</w:t>
      </w:r>
    </w:p>
    <w:p>
      <w:pPr>
        <w:pStyle w:val="35"/>
        <w:snapToGrid w:val="0"/>
        <w:spacing w:line="360" w:lineRule="auto"/>
        <w:ind w:firstLine="422" w:firstLineChars="200"/>
        <w:rPr>
          <w:rFonts w:hAnsi="宋体"/>
          <w:b/>
        </w:rPr>
      </w:pPr>
      <w:r>
        <w:rPr>
          <w:rFonts w:hAnsi="宋体"/>
          <w:b/>
        </w:rPr>
        <w:t>第</w:t>
      </w:r>
      <w:r>
        <w:rPr>
          <w:rFonts w:hint="eastAsia" w:hAnsi="宋体"/>
          <w:b/>
        </w:rPr>
        <w:t>七</w:t>
      </w:r>
      <w:r>
        <w:rPr>
          <w:rFonts w:hAnsi="宋体"/>
          <w:b/>
        </w:rPr>
        <w:t>条：违约责任</w:t>
      </w:r>
    </w:p>
    <w:p>
      <w:pPr>
        <w:pStyle w:val="35"/>
        <w:snapToGrid w:val="0"/>
        <w:spacing w:line="360" w:lineRule="auto"/>
        <w:ind w:firstLine="420" w:firstLineChars="200"/>
        <w:rPr>
          <w:rFonts w:hAnsi="宋体"/>
        </w:rPr>
      </w:pPr>
      <w:r>
        <w:rPr>
          <w:rFonts w:hAnsi="宋体"/>
        </w:rPr>
        <w:t>1.甲方无正当理由拒绝接受服务的，甲方应向乙方支付合同总价款百分之五的违约金。</w:t>
      </w:r>
    </w:p>
    <w:p>
      <w:pPr>
        <w:pStyle w:val="35"/>
        <w:snapToGrid w:val="0"/>
        <w:spacing w:line="360" w:lineRule="auto"/>
        <w:ind w:firstLine="420" w:firstLineChars="200"/>
        <w:rPr>
          <w:rFonts w:hAnsi="宋体"/>
        </w:rPr>
      </w:pPr>
      <w:r>
        <w:rPr>
          <w:rFonts w:hAnsi="宋体"/>
        </w:rPr>
        <w:t>2.甲方无故逾期付款的，应按逾期付款金额的万分之五每日支付违约金。</w:t>
      </w:r>
    </w:p>
    <w:p>
      <w:pPr>
        <w:pStyle w:val="35"/>
        <w:snapToGrid w:val="0"/>
        <w:spacing w:line="360" w:lineRule="auto"/>
        <w:ind w:firstLine="420" w:firstLineChars="200"/>
        <w:rPr>
          <w:rFonts w:hAnsi="宋体"/>
        </w:rPr>
      </w:pPr>
      <w:r>
        <w:rPr>
          <w:rFonts w:hAnsi="宋体"/>
        </w:rPr>
        <w:t xml:space="preserve">3.乙方逾期履行合同义务的，应按合同总价款的千分之六每日支付违约金。乙方逾期10个工作日及以上履行合同义务的，甲方有权解除本合同，并拒付（或要求乙方退还）合同价款，乙方应按合同总价款的6%向甲方支付违约金，造成甲方损失的，乙方应承担赔偿责任。 </w:t>
      </w:r>
    </w:p>
    <w:p>
      <w:pPr>
        <w:pStyle w:val="35"/>
        <w:snapToGrid w:val="0"/>
        <w:spacing w:line="360" w:lineRule="auto"/>
        <w:ind w:firstLine="420" w:firstLineChars="200"/>
        <w:rPr>
          <w:rFonts w:hAnsi="宋体" w:cs="宋体"/>
          <w:b/>
        </w:rPr>
      </w:pPr>
      <w:r>
        <w:rPr>
          <w:rFonts w:hAnsi="宋体"/>
        </w:rPr>
        <w:t>4.合同履行期内，任何一方因不可抗力事件不能履行合同的，合同履行期限可相应顺延。不可抗力事件发生后，应立即通知对方，并邮寄或送达有关权威机构出具的证明。</w:t>
      </w:r>
    </w:p>
    <w:p>
      <w:pPr>
        <w:spacing w:line="360" w:lineRule="auto"/>
        <w:ind w:firstLine="422" w:firstLineChars="200"/>
        <w:rPr>
          <w:rFonts w:ascii="宋体" w:hAnsi="宋体" w:cs="宋体"/>
          <w:b/>
          <w:szCs w:val="21"/>
        </w:rPr>
      </w:pPr>
      <w:r>
        <w:rPr>
          <w:rFonts w:ascii="宋体" w:hAnsi="宋体" w:cs="宋体"/>
          <w:b/>
          <w:szCs w:val="21"/>
        </w:rPr>
        <w:t>第</w:t>
      </w:r>
      <w:r>
        <w:rPr>
          <w:rFonts w:hint="eastAsia" w:ascii="宋体" w:hAnsi="宋体" w:cs="宋体"/>
          <w:b/>
          <w:szCs w:val="21"/>
        </w:rPr>
        <w:t>八</w:t>
      </w:r>
      <w:r>
        <w:rPr>
          <w:rFonts w:ascii="宋体" w:hAnsi="宋体" w:cs="宋体"/>
          <w:b/>
          <w:szCs w:val="21"/>
        </w:rPr>
        <w:t>条：不可抗力事件处理</w:t>
      </w:r>
    </w:p>
    <w:p>
      <w:pPr>
        <w:spacing w:line="360" w:lineRule="auto"/>
        <w:ind w:firstLine="396" w:firstLineChars="200"/>
        <w:rPr>
          <w:rFonts w:ascii="宋体" w:hAnsi="宋体" w:cs="宋体"/>
          <w:spacing w:val="-6"/>
          <w:szCs w:val="21"/>
        </w:rPr>
      </w:pPr>
      <w:r>
        <w:rPr>
          <w:rFonts w:ascii="宋体" w:hAnsi="宋体" w:cs="宋体"/>
          <w:spacing w:val="-6"/>
          <w:szCs w:val="21"/>
        </w:rPr>
        <w:t>1.在合同有效期内，任何一方因不可抗力事件导致不能履行合同，则合同履行期可延长，其延长期与不可抗力影响期相同。</w:t>
      </w:r>
    </w:p>
    <w:p>
      <w:pPr>
        <w:spacing w:line="360" w:lineRule="auto"/>
        <w:ind w:firstLine="396" w:firstLineChars="200"/>
        <w:rPr>
          <w:rFonts w:ascii="宋体" w:hAnsi="宋体" w:cs="宋体"/>
          <w:spacing w:val="-6"/>
          <w:szCs w:val="21"/>
        </w:rPr>
      </w:pPr>
      <w:r>
        <w:rPr>
          <w:rFonts w:ascii="宋体" w:hAnsi="宋体" w:cs="宋体"/>
          <w:spacing w:val="-6"/>
          <w:szCs w:val="21"/>
        </w:rPr>
        <w:t>2.不可抗力事件发生后，应立即通知对方，并寄送有关权威机构出具的证明。</w:t>
      </w:r>
    </w:p>
    <w:p>
      <w:pPr>
        <w:spacing w:line="360" w:lineRule="auto"/>
        <w:ind w:firstLine="396" w:firstLineChars="200"/>
        <w:rPr>
          <w:rFonts w:ascii="宋体" w:hAnsi="宋体" w:cs="宋体"/>
          <w:spacing w:val="-6"/>
          <w:szCs w:val="21"/>
        </w:rPr>
      </w:pPr>
      <w:r>
        <w:rPr>
          <w:rFonts w:ascii="宋体" w:hAnsi="宋体" w:cs="宋体"/>
          <w:spacing w:val="-6"/>
          <w:szCs w:val="21"/>
        </w:rPr>
        <w:t>3.不可抗力事件延续120天以上，双方应通过友好协商，确定是否继续履行合同。</w:t>
      </w:r>
    </w:p>
    <w:p>
      <w:pPr>
        <w:spacing w:line="360" w:lineRule="auto"/>
        <w:ind w:firstLine="422" w:firstLineChars="200"/>
        <w:rPr>
          <w:rFonts w:ascii="宋体" w:hAnsi="宋体" w:cs="宋体"/>
          <w:b/>
          <w:szCs w:val="21"/>
        </w:rPr>
      </w:pPr>
      <w:r>
        <w:rPr>
          <w:rFonts w:ascii="宋体" w:hAnsi="宋体" w:cs="宋体"/>
          <w:b/>
          <w:szCs w:val="21"/>
        </w:rPr>
        <w:t>第</w:t>
      </w:r>
      <w:r>
        <w:rPr>
          <w:rFonts w:hint="eastAsia" w:ascii="宋体" w:hAnsi="宋体" w:cs="宋体"/>
          <w:b/>
          <w:szCs w:val="21"/>
        </w:rPr>
        <w:t>九</w:t>
      </w:r>
      <w:r>
        <w:rPr>
          <w:rFonts w:ascii="宋体" w:hAnsi="宋体" w:cs="宋体"/>
          <w:b/>
          <w:szCs w:val="21"/>
        </w:rPr>
        <w:t>条：争议解决</w:t>
      </w:r>
    </w:p>
    <w:p>
      <w:pPr>
        <w:spacing w:line="360" w:lineRule="auto"/>
        <w:ind w:firstLine="396" w:firstLineChars="200"/>
        <w:rPr>
          <w:rFonts w:ascii="宋体" w:hAnsi="宋体" w:cs="宋体"/>
          <w:spacing w:val="-6"/>
          <w:szCs w:val="21"/>
        </w:rPr>
      </w:pPr>
      <w:r>
        <w:rPr>
          <w:rFonts w:ascii="宋体" w:hAnsi="宋体" w:cs="宋体"/>
          <w:spacing w:val="-6"/>
          <w:szCs w:val="21"/>
        </w:rPr>
        <w:t>本合同未尽事宜由双方协商解决，如协商不成，双方同意将本合同引起的争议提交甲方所在地法院起诉。</w:t>
      </w:r>
    </w:p>
    <w:p>
      <w:pPr>
        <w:spacing w:line="360" w:lineRule="auto"/>
        <w:ind w:firstLine="422" w:firstLineChars="200"/>
        <w:rPr>
          <w:rFonts w:ascii="宋体" w:hAnsi="宋体" w:cs="宋体"/>
          <w:b/>
          <w:szCs w:val="21"/>
        </w:rPr>
      </w:pPr>
      <w:r>
        <w:rPr>
          <w:rFonts w:ascii="宋体" w:hAnsi="宋体" w:cs="宋体"/>
          <w:b/>
          <w:szCs w:val="21"/>
        </w:rPr>
        <w:t>第十条：合同生效</w:t>
      </w:r>
    </w:p>
    <w:p>
      <w:pPr>
        <w:spacing w:line="360" w:lineRule="auto"/>
        <w:ind w:firstLine="396" w:firstLineChars="200"/>
        <w:rPr>
          <w:rFonts w:ascii="宋体" w:hAnsi="宋体" w:cs="宋体"/>
          <w:spacing w:val="-6"/>
          <w:szCs w:val="21"/>
        </w:rPr>
      </w:pPr>
      <w:r>
        <w:rPr>
          <w:rFonts w:ascii="宋体" w:hAnsi="宋体" w:cs="宋体"/>
          <w:spacing w:val="-6"/>
          <w:szCs w:val="21"/>
        </w:rPr>
        <w:t>1.合同经三方法定代表人或授权代表签字并加盖单位公章后生效。</w:t>
      </w:r>
    </w:p>
    <w:p>
      <w:pPr>
        <w:spacing w:line="360" w:lineRule="auto"/>
        <w:ind w:firstLine="396" w:firstLineChars="200"/>
        <w:rPr>
          <w:rFonts w:ascii="宋体" w:hAnsi="宋体" w:cs="宋体"/>
          <w:spacing w:val="-6"/>
          <w:szCs w:val="21"/>
        </w:rPr>
      </w:pPr>
      <w:r>
        <w:rPr>
          <w:rFonts w:ascii="宋体" w:hAnsi="宋体" w:cs="宋体"/>
          <w:spacing w:val="-6"/>
          <w:szCs w:val="21"/>
        </w:rPr>
        <w:t>2.合同执行中涉及采购资金和采购内容修改或补充的，须经甲方审批，并签书面补充协议报采购监督管理部门备案，方可作为主合同不可分割的一部分。</w:t>
      </w:r>
    </w:p>
    <w:p>
      <w:pPr>
        <w:spacing w:line="360" w:lineRule="auto"/>
        <w:ind w:firstLine="396" w:firstLineChars="200"/>
        <w:rPr>
          <w:rFonts w:ascii="宋体" w:hAnsi="宋体" w:cs="宋体"/>
          <w:spacing w:val="-6"/>
          <w:szCs w:val="21"/>
        </w:rPr>
      </w:pPr>
      <w:r>
        <w:rPr>
          <w:rFonts w:ascii="宋体" w:hAnsi="宋体" w:cs="宋体"/>
          <w:spacing w:val="-6"/>
          <w:szCs w:val="21"/>
        </w:rPr>
        <w:t>3.本合同未尽事宜，遵照《民法典》有关条文执行。</w:t>
      </w:r>
    </w:p>
    <w:p>
      <w:pPr>
        <w:spacing w:line="360" w:lineRule="auto"/>
        <w:ind w:firstLine="396" w:firstLineChars="200"/>
        <w:rPr>
          <w:rFonts w:ascii="宋体" w:hAnsi="宋体" w:cs="宋体"/>
          <w:spacing w:val="-6"/>
          <w:szCs w:val="21"/>
        </w:rPr>
      </w:pPr>
      <w:r>
        <w:rPr>
          <w:rFonts w:ascii="宋体" w:hAnsi="宋体" w:cs="宋体"/>
          <w:spacing w:val="-6"/>
          <w:szCs w:val="21"/>
        </w:rPr>
        <w:t>4.本合同一式七份，采购代理机构执壹份，甲乙双方各执叁份。</w:t>
      </w:r>
    </w:p>
    <w:p>
      <w:pPr>
        <w:spacing w:line="360" w:lineRule="auto"/>
        <w:ind w:firstLine="396" w:firstLineChars="200"/>
        <w:rPr>
          <w:rFonts w:ascii="宋体" w:hAnsi="宋体" w:cs="宋体"/>
          <w:spacing w:val="-6"/>
          <w:szCs w:val="21"/>
        </w:rPr>
      </w:pPr>
      <w:r>
        <w:rPr>
          <w:rFonts w:ascii="宋体" w:hAnsi="宋体" w:cs="宋体"/>
          <w:spacing w:val="-6"/>
          <w:szCs w:val="21"/>
        </w:rPr>
        <w:t>5.</w:t>
      </w:r>
      <w:r>
        <w:rPr>
          <w:rFonts w:hAnsi="宋体"/>
          <w:szCs w:val="21"/>
        </w:rPr>
        <w:t>本合同附件及甲方的招标文件、乙方的投标文件、书面澄清（承诺）等系本合同的组成部分</w:t>
      </w:r>
      <w:r>
        <w:rPr>
          <w:rFonts w:ascii="宋体" w:hAnsi="宋体" w:cs="宋体"/>
          <w:spacing w:val="-6"/>
          <w:szCs w:val="21"/>
        </w:rPr>
        <w:t>。</w:t>
      </w:r>
    </w:p>
    <w:p>
      <w:pPr>
        <w:rPr>
          <w:rFonts w:ascii="宋体" w:hAnsi="宋体" w:cs="宋体"/>
          <w:spacing w:val="-6"/>
          <w:szCs w:val="21"/>
        </w:rPr>
      </w:pPr>
      <w:r>
        <w:rPr>
          <w:rFonts w:ascii="宋体" w:hAnsi="宋体" w:cs="宋体"/>
          <w:spacing w:val="-6"/>
          <w:szCs w:val="21"/>
        </w:rPr>
        <w:br w:type="page"/>
      </w:r>
    </w:p>
    <w:p>
      <w:pPr>
        <w:rPr>
          <w:szCs w:val="21"/>
        </w:rPr>
      </w:pPr>
    </w:p>
    <w:tbl>
      <w:tblPr>
        <w:tblStyle w:val="63"/>
        <w:tblW w:w="9628" w:type="dxa"/>
        <w:tblInd w:w="0" w:type="dxa"/>
        <w:tblLayout w:type="fixed"/>
        <w:tblCellMar>
          <w:top w:w="0" w:type="dxa"/>
          <w:left w:w="108" w:type="dxa"/>
          <w:bottom w:w="0" w:type="dxa"/>
          <w:right w:w="108" w:type="dxa"/>
        </w:tblCellMar>
      </w:tblPr>
      <w:tblGrid>
        <w:gridCol w:w="4814"/>
        <w:gridCol w:w="4814"/>
      </w:tblGrid>
      <w:tr>
        <w:tblPrEx>
          <w:tblCellMar>
            <w:top w:w="0" w:type="dxa"/>
            <w:left w:w="108" w:type="dxa"/>
            <w:bottom w:w="0" w:type="dxa"/>
            <w:right w:w="108" w:type="dxa"/>
          </w:tblCellMar>
        </w:tblPrEx>
        <w:trPr>
          <w:trHeight w:val="340" w:hRule="atLeast"/>
        </w:trPr>
        <w:tc>
          <w:tcPr>
            <w:tcW w:w="4814" w:type="dxa"/>
            <w:vAlign w:val="center"/>
          </w:tcPr>
          <w:p>
            <w:pPr>
              <w:spacing w:line="360" w:lineRule="auto"/>
              <w:rPr>
                <w:rFonts w:ascii="宋体" w:hAnsi="宋体" w:cs="宋体"/>
                <w:b/>
                <w:bCs/>
                <w:szCs w:val="21"/>
              </w:rPr>
            </w:pPr>
            <w:r>
              <w:rPr>
                <w:rFonts w:ascii="宋体" w:hAnsi="宋体" w:cs="宋体"/>
                <w:b/>
                <w:bCs/>
                <w:szCs w:val="21"/>
              </w:rPr>
              <w:t>甲方（需方）：</w:t>
            </w:r>
            <w:r>
              <w:rPr>
                <w:rFonts w:hint="eastAsia" w:ascii="宋体" w:hAnsi="宋体" w:cs="宋体"/>
                <w:b/>
                <w:bCs/>
                <w:szCs w:val="21"/>
              </w:rPr>
              <w:t>杭州市第一人民医院</w:t>
            </w:r>
            <w:r>
              <w:rPr>
                <w:rFonts w:ascii="宋体" w:hAnsi="宋体" w:cs="宋体"/>
                <w:b/>
                <w:bCs/>
                <w:szCs w:val="21"/>
              </w:rPr>
              <w:t>（公章）</w:t>
            </w:r>
          </w:p>
        </w:tc>
        <w:tc>
          <w:tcPr>
            <w:tcW w:w="4814" w:type="dxa"/>
            <w:vAlign w:val="center"/>
          </w:tcPr>
          <w:p>
            <w:pPr>
              <w:spacing w:line="360" w:lineRule="auto"/>
              <w:rPr>
                <w:rFonts w:ascii="宋体" w:hAnsi="宋体" w:cs="宋体"/>
                <w:b/>
                <w:bCs/>
                <w:szCs w:val="21"/>
              </w:rPr>
            </w:pPr>
            <w:r>
              <w:rPr>
                <w:rFonts w:ascii="宋体" w:hAnsi="宋体" w:cs="宋体"/>
                <w:b/>
                <w:bCs/>
                <w:szCs w:val="21"/>
              </w:rPr>
              <w:t>乙方（供方）：（公章）</w:t>
            </w:r>
          </w:p>
        </w:tc>
      </w:tr>
      <w:tr>
        <w:tblPrEx>
          <w:tblCellMar>
            <w:top w:w="0" w:type="dxa"/>
            <w:left w:w="108" w:type="dxa"/>
            <w:bottom w:w="0" w:type="dxa"/>
            <w:right w:w="108" w:type="dxa"/>
          </w:tblCellMar>
        </w:tblPrEx>
        <w:trPr>
          <w:trHeight w:val="340" w:hRule="atLeast"/>
        </w:trPr>
        <w:tc>
          <w:tcPr>
            <w:tcW w:w="4814" w:type="dxa"/>
            <w:vAlign w:val="center"/>
          </w:tcPr>
          <w:p>
            <w:pPr>
              <w:spacing w:line="360" w:lineRule="auto"/>
              <w:rPr>
                <w:rFonts w:ascii="宋体" w:hAnsi="宋体" w:cs="宋体"/>
                <w:szCs w:val="21"/>
              </w:rPr>
            </w:pPr>
            <w:r>
              <w:rPr>
                <w:rFonts w:ascii="宋体" w:hAnsi="宋体" w:cs="宋体"/>
                <w:szCs w:val="21"/>
              </w:rPr>
              <w:t>甲方代表：</w:t>
            </w:r>
          </w:p>
          <w:p>
            <w:pPr>
              <w:spacing w:line="360" w:lineRule="auto"/>
              <w:rPr>
                <w:rFonts w:ascii="宋体" w:hAnsi="宋体" w:cs="宋体"/>
                <w:szCs w:val="21"/>
              </w:rPr>
            </w:pPr>
            <w:r>
              <w:rPr>
                <w:rFonts w:ascii="宋体" w:hAnsi="宋体" w:cs="宋体"/>
                <w:szCs w:val="21"/>
              </w:rPr>
              <w:t>(签字）</w:t>
            </w:r>
          </w:p>
        </w:tc>
        <w:tc>
          <w:tcPr>
            <w:tcW w:w="4814" w:type="dxa"/>
            <w:vAlign w:val="center"/>
          </w:tcPr>
          <w:p>
            <w:pPr>
              <w:spacing w:line="360" w:lineRule="auto"/>
              <w:rPr>
                <w:rFonts w:ascii="宋体" w:hAnsi="宋体" w:cs="宋体"/>
                <w:szCs w:val="21"/>
              </w:rPr>
            </w:pPr>
            <w:r>
              <w:rPr>
                <w:rFonts w:ascii="宋体" w:hAnsi="宋体" w:cs="宋体"/>
                <w:szCs w:val="21"/>
              </w:rPr>
              <w:t>乙方代表：</w:t>
            </w:r>
          </w:p>
          <w:p>
            <w:pPr>
              <w:spacing w:line="360" w:lineRule="auto"/>
              <w:rPr>
                <w:rFonts w:ascii="宋体" w:hAnsi="宋体" w:cs="宋体"/>
                <w:szCs w:val="21"/>
              </w:rPr>
            </w:pPr>
            <w:r>
              <w:rPr>
                <w:rFonts w:ascii="宋体" w:hAnsi="宋体" w:cs="宋体"/>
                <w:szCs w:val="21"/>
              </w:rPr>
              <w:t>（签字）</w:t>
            </w:r>
          </w:p>
        </w:tc>
      </w:tr>
      <w:tr>
        <w:tblPrEx>
          <w:tblCellMar>
            <w:top w:w="0" w:type="dxa"/>
            <w:left w:w="108" w:type="dxa"/>
            <w:bottom w:w="0" w:type="dxa"/>
            <w:right w:w="108" w:type="dxa"/>
          </w:tblCellMar>
        </w:tblPrEx>
        <w:trPr>
          <w:trHeight w:val="340" w:hRule="atLeast"/>
        </w:trPr>
        <w:tc>
          <w:tcPr>
            <w:tcW w:w="4814" w:type="dxa"/>
            <w:vAlign w:val="center"/>
          </w:tcPr>
          <w:p>
            <w:pPr>
              <w:spacing w:line="360" w:lineRule="auto"/>
              <w:rPr>
                <w:rFonts w:ascii="宋体" w:hAnsi="宋体" w:cs="宋体"/>
                <w:szCs w:val="21"/>
              </w:rPr>
            </w:pPr>
            <w:r>
              <w:rPr>
                <w:rFonts w:ascii="宋体" w:hAnsi="宋体" w:cs="宋体"/>
                <w:szCs w:val="21"/>
              </w:rPr>
              <w:t>地址：</w:t>
            </w:r>
          </w:p>
        </w:tc>
        <w:tc>
          <w:tcPr>
            <w:tcW w:w="4814" w:type="dxa"/>
            <w:vAlign w:val="center"/>
          </w:tcPr>
          <w:p>
            <w:pPr>
              <w:spacing w:line="360" w:lineRule="auto"/>
              <w:rPr>
                <w:rFonts w:ascii="宋体" w:hAnsi="宋体" w:cs="宋体"/>
                <w:szCs w:val="21"/>
              </w:rPr>
            </w:pPr>
            <w:r>
              <w:rPr>
                <w:rFonts w:ascii="宋体" w:hAnsi="宋体" w:cs="宋体"/>
                <w:szCs w:val="21"/>
              </w:rPr>
              <w:t>地址：</w:t>
            </w:r>
          </w:p>
        </w:tc>
      </w:tr>
      <w:tr>
        <w:tblPrEx>
          <w:tblCellMar>
            <w:top w:w="0" w:type="dxa"/>
            <w:left w:w="108" w:type="dxa"/>
            <w:bottom w:w="0" w:type="dxa"/>
            <w:right w:w="108" w:type="dxa"/>
          </w:tblCellMar>
        </w:tblPrEx>
        <w:trPr>
          <w:trHeight w:val="340" w:hRule="atLeast"/>
        </w:trPr>
        <w:tc>
          <w:tcPr>
            <w:tcW w:w="4814" w:type="dxa"/>
            <w:vAlign w:val="center"/>
          </w:tcPr>
          <w:p>
            <w:pPr>
              <w:spacing w:line="360" w:lineRule="auto"/>
              <w:rPr>
                <w:rFonts w:ascii="宋体" w:hAnsi="宋体" w:cs="宋体"/>
                <w:szCs w:val="21"/>
              </w:rPr>
            </w:pPr>
            <w:r>
              <w:rPr>
                <w:rFonts w:ascii="宋体" w:hAnsi="宋体" w:cs="宋体"/>
                <w:szCs w:val="21"/>
              </w:rPr>
              <w:t>邮编：</w:t>
            </w:r>
          </w:p>
        </w:tc>
        <w:tc>
          <w:tcPr>
            <w:tcW w:w="4814" w:type="dxa"/>
            <w:vAlign w:val="center"/>
          </w:tcPr>
          <w:p>
            <w:pPr>
              <w:spacing w:line="360" w:lineRule="auto"/>
              <w:rPr>
                <w:rFonts w:ascii="宋体" w:hAnsi="宋体" w:cs="宋体"/>
                <w:szCs w:val="21"/>
              </w:rPr>
            </w:pPr>
            <w:r>
              <w:rPr>
                <w:rFonts w:ascii="宋体" w:hAnsi="宋体" w:cs="宋体"/>
                <w:szCs w:val="21"/>
              </w:rPr>
              <w:t>邮编：</w:t>
            </w:r>
          </w:p>
        </w:tc>
      </w:tr>
      <w:tr>
        <w:tblPrEx>
          <w:tblCellMar>
            <w:top w:w="0" w:type="dxa"/>
            <w:left w:w="108" w:type="dxa"/>
            <w:bottom w:w="0" w:type="dxa"/>
            <w:right w:w="108" w:type="dxa"/>
          </w:tblCellMar>
        </w:tblPrEx>
        <w:trPr>
          <w:trHeight w:val="340" w:hRule="atLeast"/>
        </w:trPr>
        <w:tc>
          <w:tcPr>
            <w:tcW w:w="4814" w:type="dxa"/>
            <w:vAlign w:val="center"/>
          </w:tcPr>
          <w:p>
            <w:pPr>
              <w:spacing w:line="360" w:lineRule="auto"/>
              <w:rPr>
                <w:rFonts w:ascii="宋体" w:hAnsi="宋体" w:cs="宋体"/>
                <w:szCs w:val="21"/>
              </w:rPr>
            </w:pPr>
            <w:r>
              <w:rPr>
                <w:rFonts w:ascii="宋体" w:hAnsi="宋体" w:cs="宋体"/>
                <w:szCs w:val="21"/>
              </w:rPr>
              <w:t>电话：</w:t>
            </w:r>
          </w:p>
        </w:tc>
        <w:tc>
          <w:tcPr>
            <w:tcW w:w="4814" w:type="dxa"/>
            <w:vAlign w:val="center"/>
          </w:tcPr>
          <w:p>
            <w:pPr>
              <w:spacing w:line="360" w:lineRule="auto"/>
              <w:rPr>
                <w:rFonts w:ascii="宋体" w:hAnsi="宋体" w:cs="宋体"/>
                <w:szCs w:val="21"/>
              </w:rPr>
            </w:pPr>
            <w:r>
              <w:rPr>
                <w:rFonts w:ascii="宋体" w:hAnsi="宋体" w:cs="宋体"/>
                <w:szCs w:val="21"/>
              </w:rPr>
              <w:t>电话：</w:t>
            </w:r>
          </w:p>
        </w:tc>
      </w:tr>
      <w:tr>
        <w:tblPrEx>
          <w:tblCellMar>
            <w:top w:w="0" w:type="dxa"/>
            <w:left w:w="108" w:type="dxa"/>
            <w:bottom w:w="0" w:type="dxa"/>
            <w:right w:w="108" w:type="dxa"/>
          </w:tblCellMar>
        </w:tblPrEx>
        <w:trPr>
          <w:trHeight w:val="340" w:hRule="atLeast"/>
        </w:trPr>
        <w:tc>
          <w:tcPr>
            <w:tcW w:w="4814" w:type="dxa"/>
            <w:vAlign w:val="center"/>
          </w:tcPr>
          <w:p>
            <w:pPr>
              <w:spacing w:line="360" w:lineRule="auto"/>
              <w:rPr>
                <w:rFonts w:ascii="宋体" w:hAnsi="宋体" w:cs="宋体"/>
                <w:szCs w:val="21"/>
              </w:rPr>
            </w:pPr>
            <w:r>
              <w:rPr>
                <w:rFonts w:ascii="宋体" w:hAnsi="宋体" w:cs="宋体"/>
                <w:szCs w:val="21"/>
              </w:rPr>
              <w:t>传真：</w:t>
            </w:r>
          </w:p>
        </w:tc>
        <w:tc>
          <w:tcPr>
            <w:tcW w:w="4814" w:type="dxa"/>
            <w:vAlign w:val="center"/>
          </w:tcPr>
          <w:p>
            <w:pPr>
              <w:spacing w:line="360" w:lineRule="auto"/>
              <w:rPr>
                <w:rFonts w:ascii="宋体" w:hAnsi="宋体" w:cs="宋体"/>
                <w:szCs w:val="21"/>
              </w:rPr>
            </w:pPr>
            <w:r>
              <w:rPr>
                <w:rFonts w:ascii="宋体" w:hAnsi="宋体" w:cs="宋体"/>
                <w:szCs w:val="21"/>
              </w:rPr>
              <w:t>传真：</w:t>
            </w:r>
          </w:p>
        </w:tc>
      </w:tr>
      <w:tr>
        <w:tblPrEx>
          <w:tblCellMar>
            <w:top w:w="0" w:type="dxa"/>
            <w:left w:w="108" w:type="dxa"/>
            <w:bottom w:w="0" w:type="dxa"/>
            <w:right w:w="108" w:type="dxa"/>
          </w:tblCellMar>
        </w:tblPrEx>
        <w:trPr>
          <w:trHeight w:val="340" w:hRule="atLeast"/>
        </w:trPr>
        <w:tc>
          <w:tcPr>
            <w:tcW w:w="4814" w:type="dxa"/>
            <w:vAlign w:val="center"/>
          </w:tcPr>
          <w:p>
            <w:pPr>
              <w:spacing w:line="360" w:lineRule="auto"/>
              <w:rPr>
                <w:rFonts w:ascii="宋体" w:hAnsi="宋体" w:cs="宋体"/>
                <w:szCs w:val="21"/>
              </w:rPr>
            </w:pPr>
            <w:r>
              <w:rPr>
                <w:rFonts w:ascii="宋体" w:hAnsi="宋体" w:cs="宋体"/>
                <w:szCs w:val="21"/>
              </w:rPr>
              <w:t>开户银行：</w:t>
            </w:r>
          </w:p>
        </w:tc>
        <w:tc>
          <w:tcPr>
            <w:tcW w:w="4814" w:type="dxa"/>
            <w:vAlign w:val="center"/>
          </w:tcPr>
          <w:p>
            <w:pPr>
              <w:spacing w:line="360" w:lineRule="auto"/>
              <w:rPr>
                <w:rFonts w:ascii="宋体" w:hAnsi="宋体" w:cs="宋体"/>
                <w:szCs w:val="21"/>
              </w:rPr>
            </w:pPr>
            <w:r>
              <w:rPr>
                <w:rFonts w:ascii="宋体" w:hAnsi="宋体" w:cs="宋体"/>
                <w:szCs w:val="21"/>
              </w:rPr>
              <w:t>开户银行：</w:t>
            </w:r>
          </w:p>
        </w:tc>
      </w:tr>
      <w:tr>
        <w:tblPrEx>
          <w:tblCellMar>
            <w:top w:w="0" w:type="dxa"/>
            <w:left w:w="108" w:type="dxa"/>
            <w:bottom w:w="0" w:type="dxa"/>
            <w:right w:w="108" w:type="dxa"/>
          </w:tblCellMar>
        </w:tblPrEx>
        <w:trPr>
          <w:trHeight w:val="340" w:hRule="atLeast"/>
        </w:trPr>
        <w:tc>
          <w:tcPr>
            <w:tcW w:w="4814" w:type="dxa"/>
            <w:vAlign w:val="center"/>
          </w:tcPr>
          <w:p>
            <w:pPr>
              <w:spacing w:line="360" w:lineRule="auto"/>
              <w:rPr>
                <w:rFonts w:ascii="宋体" w:hAnsi="宋体" w:cs="宋体"/>
                <w:szCs w:val="21"/>
              </w:rPr>
            </w:pPr>
            <w:r>
              <w:rPr>
                <w:rFonts w:ascii="宋体" w:hAnsi="宋体" w:cs="宋体"/>
                <w:szCs w:val="21"/>
              </w:rPr>
              <w:t>帐号：</w:t>
            </w:r>
          </w:p>
        </w:tc>
        <w:tc>
          <w:tcPr>
            <w:tcW w:w="4814" w:type="dxa"/>
            <w:vAlign w:val="center"/>
          </w:tcPr>
          <w:p>
            <w:pPr>
              <w:spacing w:line="360" w:lineRule="auto"/>
              <w:rPr>
                <w:rFonts w:ascii="宋体" w:hAnsi="宋体" w:cs="宋体"/>
                <w:szCs w:val="21"/>
              </w:rPr>
            </w:pPr>
            <w:r>
              <w:rPr>
                <w:rFonts w:ascii="宋体" w:hAnsi="宋体" w:cs="宋体"/>
                <w:szCs w:val="21"/>
              </w:rPr>
              <w:t>帐号：</w:t>
            </w:r>
          </w:p>
        </w:tc>
      </w:tr>
      <w:tr>
        <w:tblPrEx>
          <w:tblCellMar>
            <w:top w:w="0" w:type="dxa"/>
            <w:left w:w="108" w:type="dxa"/>
            <w:bottom w:w="0" w:type="dxa"/>
            <w:right w:w="108" w:type="dxa"/>
          </w:tblCellMar>
        </w:tblPrEx>
        <w:trPr>
          <w:trHeight w:val="340" w:hRule="atLeast"/>
        </w:trPr>
        <w:tc>
          <w:tcPr>
            <w:tcW w:w="4814" w:type="dxa"/>
            <w:vAlign w:val="center"/>
          </w:tcPr>
          <w:p>
            <w:pPr>
              <w:spacing w:line="360" w:lineRule="auto"/>
              <w:rPr>
                <w:rFonts w:ascii="宋体" w:hAnsi="宋体" w:cs="宋体"/>
                <w:szCs w:val="21"/>
              </w:rPr>
            </w:pPr>
            <w:r>
              <w:rPr>
                <w:rFonts w:ascii="宋体" w:hAnsi="宋体" w:cs="宋体"/>
                <w:szCs w:val="21"/>
              </w:rPr>
              <w:t>签字日期：     年   月   日</w:t>
            </w:r>
          </w:p>
        </w:tc>
        <w:tc>
          <w:tcPr>
            <w:tcW w:w="4814" w:type="dxa"/>
            <w:vAlign w:val="center"/>
          </w:tcPr>
          <w:p>
            <w:pPr>
              <w:spacing w:line="360" w:lineRule="auto"/>
              <w:rPr>
                <w:rFonts w:ascii="宋体" w:hAnsi="宋体" w:cs="宋体"/>
                <w:szCs w:val="21"/>
              </w:rPr>
            </w:pPr>
            <w:r>
              <w:rPr>
                <w:rFonts w:ascii="宋体" w:hAnsi="宋体" w:cs="宋体"/>
                <w:szCs w:val="21"/>
              </w:rPr>
              <w:t>签字日期：     年   月   日</w:t>
            </w:r>
          </w:p>
        </w:tc>
      </w:tr>
    </w:tbl>
    <w:p>
      <w:pPr>
        <w:spacing w:line="360" w:lineRule="auto"/>
        <w:ind w:left="-420" w:leftChars="-200" w:right="-420" w:rightChars="-200" w:firstLine="480" w:firstLineChars="200"/>
        <w:jc w:val="center"/>
        <w:outlineLvl w:val="0"/>
        <w:rPr>
          <w:rFonts w:ascii="宋体" w:hAnsi="宋体" w:cs="宋体"/>
          <w:sz w:val="24"/>
        </w:rPr>
      </w:pPr>
    </w:p>
    <w:p>
      <w:pPr>
        <w:widowControl/>
        <w:adjustRightInd/>
        <w:jc w:val="left"/>
        <w:rPr>
          <w:rFonts w:ascii="宋体" w:hAnsi="宋体" w:cs="宋体"/>
          <w:b/>
          <w:sz w:val="36"/>
          <w:szCs w:val="20"/>
        </w:rPr>
      </w:pPr>
      <w:r>
        <w:rPr>
          <w:rFonts w:hint="eastAsia" w:ascii="宋体" w:hAnsi="宋体" w:cs="宋体"/>
          <w:b/>
          <w:sz w:val="36"/>
          <w:szCs w:val="20"/>
        </w:rPr>
        <w:br w:type="page"/>
      </w:r>
    </w:p>
    <w:p>
      <w:pPr>
        <w:widowControl/>
        <w:adjustRightInd/>
        <w:jc w:val="center"/>
        <w:rPr>
          <w:rFonts w:ascii="宋体" w:hAnsi="宋体" w:cs="宋体"/>
          <w:b/>
          <w:sz w:val="36"/>
          <w:szCs w:val="20"/>
        </w:rPr>
      </w:pPr>
      <w:r>
        <w:rPr>
          <w:rFonts w:hint="eastAsia" w:ascii="宋体" w:hAnsi="宋体" w:cs="宋体"/>
          <w:b/>
          <w:sz w:val="36"/>
          <w:szCs w:val="20"/>
        </w:rPr>
        <w:t>第六部分</w:t>
      </w:r>
      <w:bookmarkEnd w:id="445"/>
      <w:bookmarkEnd w:id="446"/>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杭州市第一人民医院、浙江豪圣建设项目管理有限公司：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我方参与杭州市第一人民医院硬件设施服务项目【招标编号：HSZB-2024-1114】政府采购活动，郑重承诺：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杭州市第一人民医院、浙江豪圣建设项目管理有限公司：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我方参加你方组织的杭州市第一人民医院硬件设施服务项目【招标编号：HSZB-2024-1114】招标的有关活动，并对此项目进行投标。为此：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53" w:name="_Hlk101257010"/>
      <w:r>
        <w:rPr>
          <w:rFonts w:hint="eastAsia" w:ascii="宋体" w:hAnsi="宋体" w:cs="宋体"/>
          <w:sz w:val="24"/>
        </w:rPr>
        <w:t>（如果有)</w:t>
      </w:r>
      <w:bookmarkEnd w:id="453"/>
      <w:r>
        <w:rPr>
          <w:rFonts w:hint="eastAsia" w:ascii="宋体" w:hAnsi="宋体" w:cs="宋体"/>
          <w:snapToGrid w:val="0"/>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2.1.3本项目的特定资格要求（如果有)。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pacing w:line="360" w:lineRule="auto"/>
        <w:ind w:left="420" w:leftChars="200" w:firstLine="480" w:firstLineChars="200"/>
        <w:rPr>
          <w:rFonts w:eastAsia="仿宋_GB2312"/>
        </w:rPr>
      </w:pPr>
      <w:r>
        <w:rPr>
          <w:rFonts w:hint="eastAsia" w:ascii="宋体" w:hAnsi="宋体" w:cs="宋体"/>
          <w:sz w:val="24"/>
        </w:rPr>
        <w:t>2.3.2 报价情况说明（如果有）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pStyle w:val="80"/>
        <w:spacing w:line="360" w:lineRule="auto"/>
        <w:ind w:firstLine="960" w:firstLineChars="400"/>
        <w:rPr>
          <w:rFonts w:ascii="宋体" w:hAnsi="宋体" w:eastAsia="宋体" w:cs="宋体"/>
          <w:sz w:val="24"/>
        </w:rPr>
      </w:pPr>
      <w:r>
        <w:rPr>
          <w:rFonts w:hint="eastAsia" w:ascii="宋体" w:hAnsi="宋体" w:eastAsia="宋体" w:cs="宋体"/>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3"/>
        <w:ind w:firstLine="643"/>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rPr>
          <w:rFonts w:ascii="宋体" w:hAnsi="宋体" w:cs="宋体"/>
          <w:kern w:val="0"/>
          <w:sz w:val="24"/>
        </w:rPr>
      </w:pPr>
      <w:r>
        <w:rPr>
          <w:rFonts w:hint="eastAsia" w:ascii="宋体" w:hAnsi="宋体" w:cs="宋体"/>
          <w:sz w:val="24"/>
        </w:rPr>
        <w:t>杭州市第一人民医院、浙江豪圣建设项目管理有限公司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w:t>
      </w:r>
      <w:r>
        <w:rPr>
          <w:rFonts w:hint="eastAsia" w:ascii="宋体" w:hAnsi="宋体" w:cs="宋体"/>
          <w:kern w:val="0"/>
          <w:sz w:val="24"/>
        </w:rPr>
        <w:t>，所在单位：</w:t>
      </w:r>
      <w:r>
        <w:rPr>
          <w:rFonts w:hint="eastAsia" w:ascii="宋体" w:hAnsi="宋体" w:cs="宋体"/>
          <w:kern w:val="0"/>
          <w:sz w:val="24"/>
          <w:lang w:val="zh-CN"/>
        </w:rPr>
        <w:t>），以我方名义处理</w:t>
      </w:r>
      <w:r>
        <w:rPr>
          <w:rFonts w:hint="eastAsia" w:ascii="宋体" w:hAnsi="宋体" w:cs="宋体"/>
          <w:sz w:val="24"/>
        </w:rPr>
        <w:t>杭州市第一人民医院硬件设施服务项目【招标编号：HSZB-2024-1114】</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杭州市第一人民医院、浙江豪圣建设项目管理有限公司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w:t>
      </w:r>
      <w:r>
        <w:rPr>
          <w:rFonts w:hint="eastAsia" w:ascii="宋体" w:hAnsi="宋体" w:cs="宋体"/>
          <w:kern w:val="0"/>
          <w:sz w:val="24"/>
        </w:rPr>
        <w:t>，所在单位：</w:t>
      </w:r>
      <w:r>
        <w:rPr>
          <w:rFonts w:hint="eastAsia" w:ascii="宋体" w:hAnsi="宋体" w:cs="宋体"/>
          <w:kern w:val="0"/>
          <w:sz w:val="24"/>
          <w:lang w:val="zh-CN"/>
        </w:rPr>
        <w:t>），以我方名义处理</w:t>
      </w:r>
      <w:r>
        <w:rPr>
          <w:rFonts w:hint="eastAsia" w:ascii="宋体" w:hAnsi="宋体" w:cs="宋体"/>
          <w:sz w:val="24"/>
        </w:rPr>
        <w:t>杭州市第一人民医院硬件设施服务项目【招标编号：HSZB-2024-1114】</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9"/>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sz w:val="24"/>
              </w:rPr>
            </w:pPr>
            <w:r>
              <w:rPr>
                <w:rFonts w:hint="eastAsia" w:hAnsi="宋体" w:cs="宋体"/>
                <w:bCs/>
                <w:sz w:val="24"/>
              </w:rPr>
              <w:t>正面：                                 反面：</w:t>
            </w:r>
          </w:p>
          <w:p>
            <w:pPr>
              <w:pStyle w:val="149"/>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杭州市第一人民医院、浙江豪圣建设项目管理有限公司</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numPr>
          <w:ilvl w:val="0"/>
          <w:numId w:val="2"/>
        </w:numPr>
        <w:snapToGrid w:val="0"/>
        <w:spacing w:line="360" w:lineRule="auto"/>
        <w:rPr>
          <w:rFonts w:ascii="宋体" w:hAnsi="宋体" w:cs="宋体"/>
          <w:sz w:val="24"/>
        </w:rPr>
      </w:pPr>
      <w:r>
        <w:rPr>
          <w:rFonts w:hint="eastAsia" w:ascii="宋体" w:hAnsi="宋体" w:cs="宋体"/>
          <w:sz w:val="24"/>
        </w:rPr>
        <w:t>开标一览表（报价表）………………………………………………………（页码）</w:t>
      </w:r>
    </w:p>
    <w:p>
      <w:pPr>
        <w:spacing w:line="360" w:lineRule="auto"/>
        <w:rPr>
          <w:sz w:val="24"/>
        </w:rPr>
      </w:pPr>
      <w:r>
        <w:rPr>
          <w:rFonts w:hint="eastAsia" w:ascii="宋体" w:hAnsi="宋体" w:cs="宋体"/>
          <w:sz w:val="24"/>
        </w:rPr>
        <w:t>（2）</w:t>
      </w:r>
      <w:r>
        <w:rPr>
          <w:rFonts w:hint="eastAsia" w:hAnsi="仿宋_GB2312" w:cs="仿宋_GB2312"/>
          <w:bCs/>
          <w:snapToGrid w:val="0"/>
          <w:sz w:val="24"/>
        </w:rPr>
        <w:t>报价情况说明</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（3）中小企业声明函………………………………………………………………（页码）</w:t>
      </w:r>
    </w:p>
    <w:p>
      <w:pPr>
        <w:pStyle w:val="80"/>
      </w:pPr>
    </w:p>
    <w:p>
      <w:pPr>
        <w:pStyle w:val="80"/>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杭州市第一人民医院、浙江豪圣建设项目管理有限公司</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杭州市第一人民医院硬件设施服务项目</w:t>
      </w:r>
      <w:r>
        <w:rPr>
          <w:rFonts w:hint="eastAsia" w:ascii="宋体" w:hAnsi="宋体" w:cs="宋体"/>
          <w:kern w:val="0"/>
          <w:sz w:val="24"/>
          <w:lang w:val="zh-CN"/>
        </w:rPr>
        <w:t>【招标编号：</w:t>
      </w:r>
      <w:r>
        <w:rPr>
          <w:rFonts w:hint="eastAsia" w:ascii="宋体" w:hAnsi="宋体" w:cs="宋体"/>
          <w:sz w:val="24"/>
        </w:rPr>
        <w:t>HSZB-2024-1114】的实施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w:t>
            </w: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2"/>
        <w:keepNext w:val="0"/>
        <w:numPr>
          <w:ilvl w:val="0"/>
          <w:numId w:val="3"/>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报价情况说明（如果有）</w:t>
      </w:r>
    </w:p>
    <w:p>
      <w:pPr>
        <w:pStyle w:val="3"/>
        <w:keepNext w:val="0"/>
        <w:numPr>
          <w:ilvl w:val="255"/>
          <w:numId w:val="0"/>
        </w:numPr>
        <w:snapToGrid w:val="0"/>
        <w:spacing w:before="120" w:after="120"/>
        <w:rPr>
          <w:rFonts w:ascii="宋体" w:hAnsi="宋体" w:eastAsia="宋体" w:cs="宋体"/>
          <w:lang w:val="en-US"/>
        </w:rPr>
      </w:pPr>
      <w:r>
        <w:rPr>
          <w:rFonts w:hint="eastAsia" w:ascii="宋体" w:hAnsi="宋体" w:eastAsia="宋体" w:cs="宋体"/>
          <w:b w:val="0"/>
          <w:bCs w:val="0"/>
          <w:sz w:val="24"/>
          <w:szCs w:val="24"/>
          <w:lang w:val="en-US"/>
        </w:rPr>
        <w:t>（如供应商报价低于项目预算50%的，应当提交本文档，详细阐述不影响产品质量或者诚信履约的具体原因。）</w:t>
      </w: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中小企业声明函（如果有）</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pStyle w:val="80"/>
        <w:ind w:firstLine="482"/>
        <w:rPr>
          <w:rFonts w:ascii="宋体" w:hAnsi="宋体" w:cs="宋体"/>
          <w:b/>
          <w:sz w:val="24"/>
        </w:rPr>
      </w:pPr>
    </w:p>
    <w:p>
      <w:pPr>
        <w:pStyle w:val="80"/>
        <w:ind w:firstLine="482"/>
        <w:rPr>
          <w:rFonts w:ascii="宋体" w:hAnsi="宋体" w:cs="宋体"/>
          <w:b/>
          <w:sz w:val="24"/>
        </w:rPr>
      </w:pPr>
    </w:p>
    <w:p>
      <w:pPr>
        <w:pStyle w:val="692"/>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54" w:name="OLE_LINK14"/>
      <w:bookmarkStart w:id="455" w:name="OLE_LINK13"/>
      <w:r>
        <w:rPr>
          <w:rFonts w:hint="eastAsia" w:ascii="宋体" w:hAnsi="宋体" w:cs="宋体"/>
          <w:b/>
          <w:spacing w:val="6"/>
          <w:sz w:val="32"/>
          <w:szCs w:val="32"/>
        </w:rPr>
        <w:t>残疾人福利性单位声明函</w:t>
      </w:r>
    </w:p>
    <w:bookmarkEnd w:id="454"/>
    <w:bookmarkEnd w:id="455"/>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杭州市第一人民医院硬件设施服务项目</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p>
    <w:p>
      <w:pPr>
        <w:snapToGrid w:val="0"/>
        <w:spacing w:line="360" w:lineRule="auto"/>
        <w:rPr>
          <w:rFonts w:ascii="宋体" w:hAnsi="宋体" w:cs="宋体"/>
          <w:sz w:val="24"/>
        </w:rPr>
      </w:pPr>
      <w:r>
        <w:rPr>
          <w:rFonts w:hint="eastAsia" w:ascii="宋体" w:hAnsi="宋体" w:cs="宋体"/>
          <w:sz w:val="24"/>
        </w:rPr>
        <w:t>地址：邮编：</w:t>
      </w:r>
    </w:p>
    <w:p>
      <w:pPr>
        <w:snapToGrid w:val="0"/>
        <w:spacing w:line="360" w:lineRule="auto"/>
        <w:rPr>
          <w:rFonts w:ascii="宋体" w:hAnsi="宋体" w:cs="宋体"/>
          <w:sz w:val="24"/>
        </w:rPr>
      </w:pPr>
      <w:r>
        <w:rPr>
          <w:rFonts w:hint="eastAsia" w:ascii="宋体" w:hAnsi="宋体" w:cs="宋体"/>
          <w:sz w:val="24"/>
        </w:rPr>
        <w:t>联系人：联系电话：</w:t>
      </w:r>
    </w:p>
    <w:p>
      <w:pPr>
        <w:snapToGrid w:val="0"/>
        <w:spacing w:line="360" w:lineRule="auto"/>
        <w:rPr>
          <w:rFonts w:ascii="宋体" w:hAnsi="宋体" w:cs="宋体"/>
          <w:sz w:val="24"/>
          <w:u w:val="dotted"/>
        </w:rPr>
      </w:pPr>
      <w:r>
        <w:rPr>
          <w:rFonts w:hint="eastAsia" w:ascii="宋体" w:hAnsi="宋体" w:cs="宋体"/>
          <w:sz w:val="24"/>
        </w:rPr>
        <w:t>授权代表：</w:t>
      </w:r>
    </w:p>
    <w:p>
      <w:pPr>
        <w:snapToGrid w:val="0"/>
        <w:spacing w:line="360" w:lineRule="auto"/>
        <w:rPr>
          <w:rFonts w:ascii="宋体" w:hAnsi="宋体" w:cs="宋体"/>
          <w:sz w:val="24"/>
        </w:rPr>
      </w:pPr>
      <w:r>
        <w:rPr>
          <w:rFonts w:hint="eastAsia" w:ascii="宋体" w:hAnsi="宋体" w:cs="宋体"/>
          <w:sz w:val="24"/>
        </w:rPr>
        <w:t>联系电话：</w:t>
      </w:r>
    </w:p>
    <w:p>
      <w:pPr>
        <w:snapToGrid w:val="0"/>
        <w:spacing w:line="360" w:lineRule="auto"/>
        <w:rPr>
          <w:rFonts w:ascii="宋体" w:hAnsi="宋体" w:cs="宋体"/>
          <w:sz w:val="24"/>
        </w:rPr>
      </w:pPr>
      <w:r>
        <w:rPr>
          <w:rFonts w:hint="eastAsia" w:ascii="宋体" w:hAnsi="宋体" w:cs="宋体"/>
          <w:sz w:val="24"/>
        </w:rPr>
        <w:t>地址： 邮编：</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p>
    <w:p>
      <w:pPr>
        <w:snapToGrid w:val="0"/>
        <w:spacing w:line="360" w:lineRule="auto"/>
        <w:rPr>
          <w:rFonts w:ascii="宋体" w:hAnsi="宋体" w:cs="宋体"/>
          <w:sz w:val="24"/>
        </w:rPr>
      </w:pPr>
      <w:r>
        <w:rPr>
          <w:rFonts w:hint="eastAsia" w:ascii="宋体" w:hAnsi="宋体" w:cs="宋体"/>
          <w:sz w:val="24"/>
        </w:rPr>
        <w:t>质疑项目的编号：包号：</w:t>
      </w:r>
    </w:p>
    <w:p>
      <w:pPr>
        <w:snapToGrid w:val="0"/>
        <w:spacing w:line="360" w:lineRule="auto"/>
        <w:rPr>
          <w:rFonts w:ascii="宋体" w:hAnsi="宋体" w:cs="宋体"/>
          <w:sz w:val="24"/>
          <w:u w:val="dotted"/>
        </w:rPr>
      </w:pPr>
      <w:r>
        <w:rPr>
          <w:rFonts w:hint="eastAsia" w:ascii="宋体" w:hAnsi="宋体" w:cs="宋体"/>
          <w:sz w:val="24"/>
        </w:rPr>
        <w:t>采购人名称：</w:t>
      </w:r>
    </w:p>
    <w:p>
      <w:pPr>
        <w:snapToGrid w:val="0"/>
        <w:spacing w:line="360" w:lineRule="auto"/>
        <w:rPr>
          <w:rFonts w:ascii="宋体" w:hAnsi="宋体" w:cs="宋体"/>
          <w:sz w:val="24"/>
        </w:rPr>
      </w:pPr>
      <w:r>
        <w:rPr>
          <w:rFonts w:hint="eastAsia" w:ascii="宋体" w:hAnsi="宋体" w:cs="宋体"/>
          <w:sz w:val="24"/>
        </w:rPr>
        <w:t>采购文件获取日期：</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p>
    <w:p>
      <w:pPr>
        <w:snapToGrid w:val="0"/>
        <w:spacing w:line="360" w:lineRule="auto"/>
        <w:rPr>
          <w:rFonts w:ascii="宋体" w:hAnsi="宋体" w:cs="宋体"/>
          <w:sz w:val="24"/>
          <w:u w:val="dotted"/>
        </w:rPr>
      </w:pPr>
      <w:r>
        <w:rPr>
          <w:rFonts w:hint="eastAsia" w:ascii="宋体" w:hAnsi="宋体" w:cs="宋体"/>
          <w:sz w:val="24"/>
        </w:rPr>
        <w:t>事实依据：</w:t>
      </w:r>
    </w:p>
    <w:p>
      <w:pPr>
        <w:snapToGrid w:val="0"/>
        <w:spacing w:line="360" w:lineRule="auto"/>
        <w:rPr>
          <w:rFonts w:ascii="宋体" w:hAnsi="宋体" w:cs="宋体"/>
          <w:sz w:val="24"/>
        </w:rPr>
      </w:pPr>
    </w:p>
    <w:p>
      <w:pPr>
        <w:snapToGrid w:val="0"/>
        <w:spacing w:line="360" w:lineRule="auto"/>
        <w:rPr>
          <w:rFonts w:ascii="宋体" w:hAnsi="宋体" w:cs="宋体"/>
          <w:sz w:val="24"/>
          <w:u w:val="dotted"/>
        </w:rPr>
      </w:pPr>
      <w:r>
        <w:rPr>
          <w:rFonts w:hint="eastAsia" w:ascii="宋体" w:hAnsi="宋体" w:cs="宋体"/>
          <w:sz w:val="24"/>
        </w:rPr>
        <w:t>法律依据：</w:t>
      </w:r>
    </w:p>
    <w:p>
      <w:pPr>
        <w:snapToGrid w:val="0"/>
        <w:spacing w:line="360" w:lineRule="auto"/>
        <w:rPr>
          <w:rFonts w:ascii="宋体" w:hAnsi="宋体" w:cs="宋体"/>
          <w:sz w:val="24"/>
          <w:u w:val="dotted"/>
        </w:rPr>
      </w:pP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p>
    <w:p>
      <w:pPr>
        <w:spacing w:line="360" w:lineRule="auto"/>
        <w:rPr>
          <w:rFonts w:ascii="宋体" w:hAnsi="宋体" w:cs="宋体"/>
          <w:sz w:val="24"/>
          <w:u w:val="single"/>
        </w:rPr>
      </w:pPr>
      <w:r>
        <w:rPr>
          <w:rFonts w:hint="eastAsia" w:ascii="宋体" w:hAnsi="宋体" w:cs="宋体"/>
          <w:sz w:val="24"/>
        </w:rPr>
        <w:t>地     址：邮编：</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pPr>
        <w:tabs>
          <w:tab w:val="left" w:pos="6510"/>
        </w:tabs>
        <w:spacing w:line="360" w:lineRule="auto"/>
        <w:rPr>
          <w:rFonts w:ascii="宋体" w:hAnsi="宋体" w:cs="宋体"/>
          <w:sz w:val="24"/>
          <w:u w:val="dotted"/>
        </w:rPr>
      </w:pPr>
      <w:r>
        <w:rPr>
          <w:rFonts w:hint="eastAsia" w:ascii="宋体" w:hAnsi="宋体" w:cs="宋体"/>
          <w:sz w:val="24"/>
        </w:rPr>
        <w:t>联系电话：</w:t>
      </w:r>
    </w:p>
    <w:p>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被投诉人1：</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p>
    <w:p>
      <w:pPr>
        <w:spacing w:line="360" w:lineRule="auto"/>
        <w:rPr>
          <w:rFonts w:ascii="宋体" w:hAnsi="宋体" w:cs="宋体"/>
          <w:sz w:val="24"/>
          <w:u w:val="single"/>
        </w:rPr>
      </w:pPr>
      <w:r>
        <w:rPr>
          <w:rFonts w:hint="eastAsia" w:ascii="宋体" w:hAnsi="宋体" w:cs="宋体"/>
          <w:sz w:val="24"/>
        </w:rPr>
        <w:t>采购项目编号：包号：</w:t>
      </w:r>
    </w:p>
    <w:p>
      <w:pPr>
        <w:spacing w:line="360" w:lineRule="auto"/>
        <w:rPr>
          <w:rFonts w:ascii="宋体" w:hAnsi="宋体" w:cs="宋体"/>
          <w:sz w:val="24"/>
        </w:rPr>
      </w:pPr>
      <w:r>
        <w:rPr>
          <w:rFonts w:hint="eastAsia" w:ascii="宋体" w:hAnsi="宋体" w:cs="宋体"/>
          <w:sz w:val="24"/>
        </w:rPr>
        <w:t>采购人名称：</w:t>
      </w:r>
    </w:p>
    <w:p>
      <w:pPr>
        <w:spacing w:line="360" w:lineRule="auto"/>
        <w:rPr>
          <w:rFonts w:ascii="宋体" w:hAnsi="宋体" w:cs="宋体"/>
          <w:sz w:val="24"/>
          <w:u w:val="single"/>
        </w:rPr>
      </w:pPr>
      <w:r>
        <w:rPr>
          <w:rFonts w:hint="eastAsia" w:ascii="宋体" w:hAnsi="宋体" w:cs="宋体"/>
          <w:sz w:val="24"/>
        </w:rPr>
        <w:t>代理机构名称：</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pPr>
        <w:spacing w:line="360" w:lineRule="auto"/>
        <w:rPr>
          <w:rFonts w:ascii="宋体" w:hAnsi="宋体" w:cs="宋体"/>
          <w:sz w:val="24"/>
          <w:u w:val="dotted"/>
        </w:rPr>
      </w:pP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p>
    <w:p>
      <w:pPr>
        <w:spacing w:line="360" w:lineRule="auto"/>
        <w:rPr>
          <w:rFonts w:ascii="宋体" w:hAnsi="宋体" w:cs="宋体"/>
          <w:sz w:val="24"/>
        </w:rPr>
      </w:pPr>
      <w:r>
        <w:rPr>
          <w:rFonts w:hint="eastAsia" w:ascii="宋体" w:hAnsi="宋体" w:cs="宋体"/>
          <w:sz w:val="24"/>
        </w:rPr>
        <w:t>事实依据：</w:t>
      </w:r>
    </w:p>
    <w:p>
      <w:pPr>
        <w:spacing w:line="360" w:lineRule="auto"/>
        <w:rPr>
          <w:rFonts w:ascii="宋体" w:hAnsi="宋体" w:cs="宋体"/>
          <w:sz w:val="24"/>
          <w:u w:val="dotted"/>
        </w:rPr>
      </w:pPr>
    </w:p>
    <w:p>
      <w:pPr>
        <w:spacing w:line="360" w:lineRule="auto"/>
        <w:rPr>
          <w:rFonts w:ascii="宋体" w:hAnsi="宋体" w:cs="宋体"/>
          <w:sz w:val="24"/>
          <w:u w:val="single"/>
        </w:rPr>
      </w:pPr>
      <w:r>
        <w:rPr>
          <w:rFonts w:hint="eastAsia" w:ascii="宋体" w:hAnsi="宋体" w:cs="宋体"/>
          <w:sz w:val="24"/>
        </w:rPr>
        <w:t>法律依据：</w:t>
      </w:r>
    </w:p>
    <w:p>
      <w:pPr>
        <w:spacing w:line="360" w:lineRule="auto"/>
        <w:rPr>
          <w:rFonts w:ascii="宋体" w:hAnsi="宋体" w:cs="宋体"/>
          <w:sz w:val="24"/>
          <w:u w:val="dotted"/>
        </w:rPr>
      </w:pP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杭州市第一人民医院、浙江豪圣建设项目管理有限公司：</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你方组织的杭州市第一人民医院硬件设施服务项目【招标编号：HSZB-2024-1114】</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杭州市第一人民医院硬件设施服务项目【招标编号：HSZB-2024-1114】</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56"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56"/>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提供的服务由小微企业承接，其合同份额占到合同总金额%以上</w:t>
      </w:r>
      <w:r>
        <w:rPr>
          <w:rFonts w:hint="eastAsia" w:ascii="宋体" w:hAnsi="宋体" w:cs="宋体"/>
          <w:kern w:val="0"/>
          <w:sz w:val="24"/>
          <w:lang w:val="zh-CN"/>
        </w:rPr>
        <w:t>。</w:t>
      </w:r>
      <w:r>
        <w:rPr>
          <w:rFonts w:hint="eastAsia" w:ascii="宋体" w:hAnsi="宋体" w:cs="宋体"/>
          <w:b/>
          <w:kern w:val="0"/>
          <w:sz w:val="24"/>
          <w:lang w:val="zh-CN"/>
        </w:rPr>
        <w:t>（</w:t>
      </w:r>
      <w:bookmarkStart w:id="457"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57"/>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58" w:name="_Hlk101133173"/>
      <w:r>
        <w:rPr>
          <w:rFonts w:hint="eastAsia" w:ascii="宋体" w:hAnsi="宋体" w:cs="宋体"/>
          <w:sz w:val="24"/>
        </w:rPr>
        <w:t>中小企业合同金额达到%，小微企业合同金额达到%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58"/>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杭州市第一人民医院硬件设施服务项目【招标编号：HSZB-2024-1114】</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中小企业合同金额达到%，小微企业合同金额达到%</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杭州市第一人民医院 </w:t>
      </w:r>
      <w:r>
        <w:rPr>
          <w:rFonts w:hint="eastAsia" w:ascii="宋体" w:hAnsi="宋体" w:cs="宋体"/>
          <w:sz w:val="24"/>
        </w:rPr>
        <w:t>的</w:t>
      </w:r>
      <w:r>
        <w:rPr>
          <w:rFonts w:hint="eastAsia" w:ascii="宋体" w:hAnsi="宋体" w:cs="宋体"/>
          <w:sz w:val="24"/>
          <w:u w:val="single"/>
        </w:rPr>
        <w:t xml:space="preserve"> 杭州市第一人民医院硬件设施服务项目 </w:t>
      </w:r>
      <w:r>
        <w:rPr>
          <w:rFonts w:hint="eastAsia" w:ascii="宋体" w:hAnsi="宋体" w:cs="宋体"/>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ind w:firstLine="643"/>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0" w:usb3="00000000" w:csb0="0002009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128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128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128</w:t>
    </w:r>
    <w:r>
      <w:rPr>
        <w:rFonts w:hint="eastAsia" w:ascii="仿宋_GB2312" w:eastAsia="仿宋_GB2312"/>
        <w:kern w:val="0"/>
        <w:szCs w:val="21"/>
      </w:rPr>
      <w:fldChar w:fldCharType="end"/>
    </w:r>
    <w:bookmarkStart w:id="459" w:name="_Toc164085800"/>
    <w:bookmarkStart w:id="460" w:name="_Toc91899912"/>
    <w:bookmarkStart w:id="461" w:name="_Toc36110187"/>
    <w:bookmarkStart w:id="462" w:name="_Toc131845147"/>
    <w:r>
      <w:rPr>
        <w:rFonts w:hint="eastAsia" w:ascii="仿宋_GB2312" w:eastAsia="仿宋_GB2312"/>
        <w:kern w:val="0"/>
        <w:szCs w:val="21"/>
      </w:rPr>
      <w:t xml:space="preserve"> 页</w:t>
    </w:r>
    <w:bookmarkEnd w:id="459"/>
    <w:bookmarkEnd w:id="460"/>
    <w:bookmarkEnd w:id="461"/>
    <w:bookmarkEnd w:id="46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EC11F3"/>
    <w:multiLevelType w:val="multilevel"/>
    <w:tmpl w:val="0FEC11F3"/>
    <w:lvl w:ilvl="0" w:tentative="0">
      <w:start w:val="1"/>
      <w:numFmt w:val="decimal"/>
      <w:lvlText w:val="%1."/>
      <w:lvlJc w:val="left"/>
      <w:pPr>
        <w:ind w:left="425" w:hanging="425"/>
      </w:pPr>
      <w:rPr>
        <w:rFonts w:hint="eastAsia"/>
      </w:rPr>
    </w:lvl>
    <w:lvl w:ilvl="1" w:tentative="0">
      <w:start w:val="1"/>
      <w:numFmt w:val="chineseCountingThousand"/>
      <w:suff w:val="nothing"/>
      <w:lvlText w:val="%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MzZjMWYzNzM1NDg3OTFhNGJlM2RjYzFjMzcyMj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14B2"/>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B62"/>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2CB5"/>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787"/>
    <w:rsid w:val="00147032"/>
    <w:rsid w:val="00147EA7"/>
    <w:rsid w:val="00151820"/>
    <w:rsid w:val="00151B2F"/>
    <w:rsid w:val="0015212C"/>
    <w:rsid w:val="001524DC"/>
    <w:rsid w:val="001525E5"/>
    <w:rsid w:val="00153859"/>
    <w:rsid w:val="00153915"/>
    <w:rsid w:val="001539F0"/>
    <w:rsid w:val="00154BBA"/>
    <w:rsid w:val="00155B95"/>
    <w:rsid w:val="00155C3A"/>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7D9"/>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FCD"/>
    <w:rsid w:val="001D4AB6"/>
    <w:rsid w:val="001D4AD3"/>
    <w:rsid w:val="001D5281"/>
    <w:rsid w:val="001D6DA9"/>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07CE4"/>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110"/>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4C9"/>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622"/>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5D5"/>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922"/>
    <w:rsid w:val="00383AB0"/>
    <w:rsid w:val="003847BB"/>
    <w:rsid w:val="00384814"/>
    <w:rsid w:val="00384C0A"/>
    <w:rsid w:val="00385983"/>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D6C"/>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33FE"/>
    <w:rsid w:val="00414909"/>
    <w:rsid w:val="00415034"/>
    <w:rsid w:val="00415B1A"/>
    <w:rsid w:val="00415DFD"/>
    <w:rsid w:val="00416208"/>
    <w:rsid w:val="0041690F"/>
    <w:rsid w:val="004169D3"/>
    <w:rsid w:val="00416C2B"/>
    <w:rsid w:val="00416D41"/>
    <w:rsid w:val="00416E70"/>
    <w:rsid w:val="00417264"/>
    <w:rsid w:val="004172B3"/>
    <w:rsid w:val="00417570"/>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153"/>
    <w:rsid w:val="004978C1"/>
    <w:rsid w:val="00497AAD"/>
    <w:rsid w:val="00497BD7"/>
    <w:rsid w:val="00497D1A"/>
    <w:rsid w:val="004A00C9"/>
    <w:rsid w:val="004A03D0"/>
    <w:rsid w:val="004A1049"/>
    <w:rsid w:val="004A1AFA"/>
    <w:rsid w:val="004A1EA7"/>
    <w:rsid w:val="004A2403"/>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A5C"/>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6ECA"/>
    <w:rsid w:val="004F7922"/>
    <w:rsid w:val="004F7A1F"/>
    <w:rsid w:val="004F7B47"/>
    <w:rsid w:val="0050079C"/>
    <w:rsid w:val="0050106A"/>
    <w:rsid w:val="005010BC"/>
    <w:rsid w:val="00501848"/>
    <w:rsid w:val="00502B31"/>
    <w:rsid w:val="0050434C"/>
    <w:rsid w:val="00504B63"/>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18"/>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71F"/>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2DDB"/>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88A"/>
    <w:rsid w:val="005E6A54"/>
    <w:rsid w:val="005E6BFD"/>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812"/>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214"/>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624"/>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3F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32C"/>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3AC2"/>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A10"/>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97E01"/>
    <w:rsid w:val="008A0044"/>
    <w:rsid w:val="008A0BFE"/>
    <w:rsid w:val="008A1932"/>
    <w:rsid w:val="008A21D9"/>
    <w:rsid w:val="008A232D"/>
    <w:rsid w:val="008A3182"/>
    <w:rsid w:val="008A340D"/>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226"/>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6773C"/>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D62"/>
    <w:rsid w:val="00AA408E"/>
    <w:rsid w:val="00AA4DA9"/>
    <w:rsid w:val="00AA4F6D"/>
    <w:rsid w:val="00AA50CE"/>
    <w:rsid w:val="00AA536B"/>
    <w:rsid w:val="00AA57C9"/>
    <w:rsid w:val="00AA58A0"/>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0B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1D3B"/>
    <w:rsid w:val="00C4297A"/>
    <w:rsid w:val="00C4360C"/>
    <w:rsid w:val="00C4392F"/>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77FF9"/>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CC0"/>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A2"/>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8A1"/>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862"/>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0E0C"/>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0DA"/>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4C9E"/>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A38"/>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422E"/>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6FCD"/>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5C79"/>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46E61"/>
    <w:rsid w:val="03DD35E4"/>
    <w:rsid w:val="04076900"/>
    <w:rsid w:val="041A5A3B"/>
    <w:rsid w:val="042311BA"/>
    <w:rsid w:val="042B157A"/>
    <w:rsid w:val="048F763B"/>
    <w:rsid w:val="049727D9"/>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A2D0C"/>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CF7645"/>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07EB0"/>
    <w:rsid w:val="14A7619D"/>
    <w:rsid w:val="150536C3"/>
    <w:rsid w:val="150C1963"/>
    <w:rsid w:val="151447A0"/>
    <w:rsid w:val="154A6454"/>
    <w:rsid w:val="155E69FB"/>
    <w:rsid w:val="15762120"/>
    <w:rsid w:val="16A8729C"/>
    <w:rsid w:val="16B33777"/>
    <w:rsid w:val="16BC70A7"/>
    <w:rsid w:val="16C6339E"/>
    <w:rsid w:val="172F2D79"/>
    <w:rsid w:val="17557BEF"/>
    <w:rsid w:val="17D349C1"/>
    <w:rsid w:val="1830729E"/>
    <w:rsid w:val="1870062C"/>
    <w:rsid w:val="187212F2"/>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3817B8"/>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5B769D"/>
    <w:rsid w:val="226D06CE"/>
    <w:rsid w:val="22BE6801"/>
    <w:rsid w:val="233500BF"/>
    <w:rsid w:val="23377FF7"/>
    <w:rsid w:val="23543F51"/>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26314A"/>
    <w:rsid w:val="29345E77"/>
    <w:rsid w:val="294C65AD"/>
    <w:rsid w:val="29806583"/>
    <w:rsid w:val="298B3C4C"/>
    <w:rsid w:val="29B7714B"/>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2618D9"/>
    <w:rsid w:val="2CE82D6F"/>
    <w:rsid w:val="2D042875"/>
    <w:rsid w:val="2D343236"/>
    <w:rsid w:val="2DD15014"/>
    <w:rsid w:val="2DF72DE4"/>
    <w:rsid w:val="2E0220AF"/>
    <w:rsid w:val="2E4B082A"/>
    <w:rsid w:val="2E5D4E86"/>
    <w:rsid w:val="2E5D790B"/>
    <w:rsid w:val="2E9A3C18"/>
    <w:rsid w:val="2EBB0FEE"/>
    <w:rsid w:val="2EC63002"/>
    <w:rsid w:val="2F0A6B38"/>
    <w:rsid w:val="2F320AC2"/>
    <w:rsid w:val="2F5D7C7B"/>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C4025C"/>
    <w:rsid w:val="33EB55CD"/>
    <w:rsid w:val="33EC4C02"/>
    <w:rsid w:val="340D2360"/>
    <w:rsid w:val="3410665D"/>
    <w:rsid w:val="34211214"/>
    <w:rsid w:val="342E63AB"/>
    <w:rsid w:val="345B227A"/>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83467"/>
    <w:rsid w:val="38296C89"/>
    <w:rsid w:val="383002EB"/>
    <w:rsid w:val="38586797"/>
    <w:rsid w:val="38BC0149"/>
    <w:rsid w:val="38D87D1C"/>
    <w:rsid w:val="391E6CA0"/>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B275B0"/>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5D0158"/>
    <w:rsid w:val="449101DD"/>
    <w:rsid w:val="44DE1391"/>
    <w:rsid w:val="451B225C"/>
    <w:rsid w:val="452410C9"/>
    <w:rsid w:val="45317DFB"/>
    <w:rsid w:val="456D3CE4"/>
    <w:rsid w:val="4579042C"/>
    <w:rsid w:val="457F0571"/>
    <w:rsid w:val="45851176"/>
    <w:rsid w:val="458F65D9"/>
    <w:rsid w:val="45BE0C6C"/>
    <w:rsid w:val="45C63B94"/>
    <w:rsid w:val="460E7DA5"/>
    <w:rsid w:val="46422483"/>
    <w:rsid w:val="4659254A"/>
    <w:rsid w:val="465B0637"/>
    <w:rsid w:val="465E3F0D"/>
    <w:rsid w:val="466A16E6"/>
    <w:rsid w:val="46893F2B"/>
    <w:rsid w:val="46A71700"/>
    <w:rsid w:val="46B81B60"/>
    <w:rsid w:val="46C4686E"/>
    <w:rsid w:val="477B778F"/>
    <w:rsid w:val="478203EC"/>
    <w:rsid w:val="47B025FA"/>
    <w:rsid w:val="47B73BC5"/>
    <w:rsid w:val="4809698F"/>
    <w:rsid w:val="4811697D"/>
    <w:rsid w:val="48335AC8"/>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23691"/>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624E0A"/>
    <w:rsid w:val="5397158E"/>
    <w:rsid w:val="54013861"/>
    <w:rsid w:val="54487265"/>
    <w:rsid w:val="544D6070"/>
    <w:rsid w:val="54605E1E"/>
    <w:rsid w:val="5483138F"/>
    <w:rsid w:val="549332C4"/>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24385B"/>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24FD4"/>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E52DE2"/>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0A25E7"/>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C97C2B"/>
    <w:rsid w:val="6FD75BF8"/>
    <w:rsid w:val="704B4683"/>
    <w:rsid w:val="705A56A8"/>
    <w:rsid w:val="707723D0"/>
    <w:rsid w:val="70A049F5"/>
    <w:rsid w:val="70F5661B"/>
    <w:rsid w:val="71360107"/>
    <w:rsid w:val="713B688E"/>
    <w:rsid w:val="71D43752"/>
    <w:rsid w:val="71F1796A"/>
    <w:rsid w:val="72154626"/>
    <w:rsid w:val="72262B5D"/>
    <w:rsid w:val="72283FF7"/>
    <w:rsid w:val="722E7212"/>
    <w:rsid w:val="723A0474"/>
    <w:rsid w:val="724F1F27"/>
    <w:rsid w:val="725923E4"/>
    <w:rsid w:val="72864BF7"/>
    <w:rsid w:val="729023FC"/>
    <w:rsid w:val="73C0646E"/>
    <w:rsid w:val="73C92595"/>
    <w:rsid w:val="742222F5"/>
    <w:rsid w:val="74476126"/>
    <w:rsid w:val="74706664"/>
    <w:rsid w:val="747F3682"/>
    <w:rsid w:val="749C4185"/>
    <w:rsid w:val="75067759"/>
    <w:rsid w:val="752E6DCD"/>
    <w:rsid w:val="7551380D"/>
    <w:rsid w:val="75600BE5"/>
    <w:rsid w:val="7564475C"/>
    <w:rsid w:val="7583797F"/>
    <w:rsid w:val="759063C7"/>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690189"/>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0A2979"/>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317FB"/>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4"/>
    <w:next w:val="1"/>
    <w:qFormat/>
    <w:uiPriority w:val="0"/>
    <w:pPr>
      <w:keepNext/>
      <w:keepLines/>
      <w:tabs>
        <w:tab w:val="left" w:pos="432"/>
      </w:tabs>
      <w:adjustRightInd/>
      <w:ind w:left="432" w:hanging="432"/>
      <w:jc w:val="left"/>
      <w:outlineLvl w:val="1"/>
    </w:pPr>
    <w:rPr>
      <w:rFonts w:ascii="仿宋_GB2312" w:hAnsi="仿宋" w:eastAsia="仿宋_GB2312"/>
      <w:b/>
      <w:bCs/>
      <w:sz w:val="32"/>
      <w:szCs w:val="32"/>
      <w:lang w:val="zh-CN"/>
    </w:rPr>
  </w:style>
  <w:style w:type="paragraph" w:styleId="5">
    <w:name w:val="heading 3"/>
    <w:basedOn w:val="3"/>
    <w:next w:val="1"/>
    <w:qFormat/>
    <w:uiPriority w:val="0"/>
    <w:pPr>
      <w:tabs>
        <w:tab w:val="left" w:pos="900"/>
        <w:tab w:val="clear" w:pos="432"/>
      </w:tabs>
      <w:spacing w:before="260" w:after="260" w:line="416" w:lineRule="auto"/>
      <w:ind w:left="900" w:hanging="720"/>
      <w:outlineLvl w:val="2"/>
    </w:pPr>
  </w:style>
  <w:style w:type="paragraph" w:styleId="6">
    <w:name w:val="heading 4"/>
    <w:basedOn w:val="5"/>
    <w:next w:val="1"/>
    <w:link w:val="326"/>
    <w:qFormat/>
    <w:uiPriority w:val="0"/>
    <w:pPr>
      <w:tabs>
        <w:tab w:val="left" w:pos="864"/>
        <w:tab w:val="clear" w:pos="900"/>
      </w:tabs>
      <w:spacing w:before="280" w:after="290" w:line="376" w:lineRule="auto"/>
      <w:ind w:left="864" w:hanging="864"/>
      <w:outlineLvl w:val="3"/>
    </w:pPr>
    <w:rPr>
      <w:rFonts w:ascii="Arial" w:hAnsi="Arial" w:eastAsia="黑体"/>
      <w:sz w:val="28"/>
      <w:szCs w:val="28"/>
    </w:rPr>
  </w:style>
  <w:style w:type="paragraph" w:styleId="7">
    <w:name w:val="heading 5"/>
    <w:basedOn w:val="6"/>
    <w:next w:val="1"/>
    <w:link w:val="292"/>
    <w:qFormat/>
    <w:uiPriority w:val="0"/>
    <w:pPr>
      <w:tabs>
        <w:tab w:val="left" w:pos="1008"/>
        <w:tab w:val="clear" w:pos="864"/>
      </w:tabs>
      <w:ind w:left="1008" w:hanging="1008"/>
      <w:outlineLvl w:val="4"/>
    </w:pPr>
  </w:style>
  <w:style w:type="paragraph" w:styleId="8">
    <w:name w:val="heading 6"/>
    <w:basedOn w:val="7"/>
    <w:next w:val="1"/>
    <w:link w:val="147"/>
    <w:qFormat/>
    <w:uiPriority w:val="0"/>
    <w:pPr>
      <w:tabs>
        <w:tab w:val="left" w:pos="1152"/>
        <w:tab w:val="clear" w:pos="1008"/>
      </w:tabs>
      <w:spacing w:before="240" w:after="64" w:line="320" w:lineRule="auto"/>
      <w:ind w:left="1152" w:hanging="1152"/>
      <w:outlineLvl w:val="5"/>
    </w:pPr>
    <w:rPr>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spacing w:line="360" w:lineRule="auto"/>
      <w:ind w:firstLine="200" w:firstLineChars="200"/>
    </w:pPr>
    <w:rPr>
      <w:rFonts w:eastAsia="楷体_GB2312" w:cs="Lucida Sans"/>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0"/>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1"/>
    <w:link w:val="264"/>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2"/>
    <w:qFormat/>
    <w:uiPriority w:val="99"/>
    <w:pPr>
      <w:tabs>
        <w:tab w:val="center" w:pos="4153"/>
        <w:tab w:val="right" w:pos="8306"/>
      </w:tabs>
      <w:snapToGrid w:val="0"/>
      <w:jc w:val="left"/>
    </w:pPr>
    <w:rPr>
      <w:sz w:val="18"/>
      <w:szCs w:val="18"/>
    </w:rPr>
  </w:style>
  <w:style w:type="paragraph" w:styleId="43">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309"/>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6"/>
    <w:qFormat/>
    <w:uiPriority w:val="0"/>
    <w:rPr>
      <w:b/>
      <w:bCs/>
    </w:rPr>
  </w:style>
  <w:style w:type="paragraph" w:styleId="62">
    <w:name w:val="Body Text First Indent 2"/>
    <w:basedOn w:val="27"/>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9"/>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8"/>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spacing w:before="240" w:after="240" w:line="360" w:lineRule="auto"/>
      <w:ind w:left="851" w:right="407" w:rightChars="194" w:hanging="851"/>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4"/>
    <w:link w:val="256"/>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7"/>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8"/>
    <w:qFormat/>
    <w:uiPriority w:val="0"/>
    <w:rPr>
      <w:rFonts w:ascii="黑体" w:hAnsi="Courier New" w:eastAsia="黑体"/>
    </w:rPr>
  </w:style>
  <w:style w:type="character" w:customStyle="1" w:styleId="301">
    <w:name w:val="正文文本 2 Char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spacing w:line="360" w:lineRule="auto"/>
      <w:ind w:left="1984" w:leftChars="75" w:hanging="708"/>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9"/>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2"/>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basedOn w:val="70"/>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5"/>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qFormat/>
    <w:uiPriority w:val="99"/>
    <w:rPr>
      <w:kern w:val="2"/>
      <w:sz w:val="21"/>
      <w:szCs w:val="24"/>
    </w:rPr>
  </w:style>
  <w:style w:type="character" w:customStyle="1" w:styleId="344">
    <w:name w:val="签名 Char"/>
    <w:link w:val="44"/>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2"/>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3"/>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Char1"/>
    <w:link w:val="2"/>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5"/>
    <w:qFormat/>
    <w:uiPriority w:val="0"/>
    <w:pPr>
      <w:spacing w:before="200" w:after="200" w:line="560" w:lineRule="exac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4"/>
    <w:qFormat/>
    <w:uiPriority w:val="0"/>
    <w:pPr>
      <w:tabs>
        <w:tab w:val="clear" w:pos="900"/>
      </w:tabs>
      <w:spacing w:after="0" w:line="360" w:lineRule="auto"/>
    </w:pPr>
    <w:rPr>
      <w:rFonts w:asci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4"/>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pPr>
    <w:rPr>
      <w:rFonts w:ascii="Arial Narrow" w:hAnsi="Arial Narrow"/>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0"/>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4"/>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basedOn w:val="70"/>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65">
    <w:name w:val="表格正文"/>
    <w:next w:val="1"/>
    <w:qFormat/>
    <w:uiPriority w:val="0"/>
    <w:pPr>
      <w:spacing w:line="360" w:lineRule="auto"/>
      <w:contextualSpacing/>
      <w:jc w:val="both"/>
    </w:pPr>
    <w:rPr>
      <w:rFonts w:ascii="Times New Roman" w:hAnsi="Times New Roman" w:eastAsia="宋体" w:cs="Times New Roman"/>
      <w:kern w:val="2"/>
      <w:sz w:val="24"/>
      <w:szCs w:val="24"/>
      <w:lang w:val="en-US" w:eastAsia="zh-CN" w:bidi="ar-SA"/>
    </w:rPr>
  </w:style>
  <w:style w:type="paragraph" w:customStyle="1" w:styleId="966">
    <w:name w:val="修订6"/>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127</Pages>
  <Words>5868</Words>
  <Characters>6340</Characters>
  <Lines>536</Lines>
  <Paragraphs>150</Paragraphs>
  <TotalTime>58</TotalTime>
  <ScaleCrop>false</ScaleCrop>
  <LinksUpToDate>false</LinksUpToDate>
  <CharactersWithSpaces>6594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2024-10-31T08:27:00Z</dcterms:created>
  <dc:creator>玥</dc:creator>
  <cp:lastModifiedBy>小桃儿</cp:lastModifiedBy>
  <cp:lastPrinted>2021-12-27T11:06:00Z</cp:lastPrinted>
  <dcterms:modified xsi:type="dcterms:W3CDTF">2024-11-01T10:53:07Z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0F2BD70FBEC0496F9F4EF95F9DF2E415_13</vt:lpwstr>
  </property>
</Properties>
</file>