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2D67D">
      <w:pPr>
        <w:autoSpaceDE w:val="0"/>
        <w:autoSpaceDN w:val="0"/>
        <w:adjustRightInd w:val="0"/>
        <w:snapToGrid w:val="0"/>
        <w:spacing w:line="300" w:lineRule="auto"/>
        <w:jc w:val="center"/>
        <w:textAlignment w:val="bottom"/>
        <w:rPr>
          <w:rFonts w:ascii="宋体" w:hAnsi="宋体" w:cs="宋体"/>
          <w:b/>
          <w:color w:val="auto"/>
          <w:spacing w:val="-20"/>
          <w:sz w:val="52"/>
          <w:szCs w:val="52"/>
          <w:highlight w:val="none"/>
        </w:rPr>
      </w:pPr>
    </w:p>
    <w:p w14:paraId="287E55BD">
      <w:pPr>
        <w:tabs>
          <w:tab w:val="left" w:pos="0"/>
        </w:tabs>
        <w:adjustRightInd w:val="0"/>
        <w:snapToGrid w:val="0"/>
        <w:spacing w:line="300" w:lineRule="auto"/>
        <w:ind w:firstLine="96" w:firstLineChars="20"/>
        <w:jc w:val="center"/>
        <w:rPr>
          <w:rFonts w:ascii="宋体" w:hAnsi="宋体" w:cs="宋体"/>
          <w:b/>
          <w:color w:val="auto"/>
          <w:spacing w:val="-20"/>
          <w:sz w:val="52"/>
          <w:szCs w:val="52"/>
          <w:highlight w:val="none"/>
        </w:rPr>
      </w:pPr>
      <w:r>
        <w:rPr>
          <w:rFonts w:hint="eastAsia" w:ascii="宋体" w:hAnsi="宋体" w:cs="宋体"/>
          <w:b/>
          <w:color w:val="auto"/>
          <w:spacing w:val="-20"/>
          <w:sz w:val="52"/>
          <w:szCs w:val="52"/>
          <w:highlight w:val="none"/>
          <w:lang w:eastAsia="zh-CN"/>
        </w:rPr>
        <w:t>2025-2026年年度小额施工单位（建筑安装施工）招标项目</w:t>
      </w:r>
    </w:p>
    <w:p w14:paraId="36BAD7F4">
      <w:pPr>
        <w:tabs>
          <w:tab w:val="left" w:pos="0"/>
        </w:tabs>
        <w:adjustRightInd w:val="0"/>
        <w:snapToGrid w:val="0"/>
        <w:spacing w:line="300" w:lineRule="auto"/>
        <w:ind w:firstLine="201" w:firstLineChars="20"/>
        <w:jc w:val="center"/>
        <w:rPr>
          <w:rFonts w:ascii="宋体" w:hAnsi="宋体" w:cs="宋体"/>
          <w:b/>
          <w:color w:val="auto"/>
          <w:sz w:val="100"/>
          <w:szCs w:val="100"/>
          <w:highlight w:val="none"/>
        </w:rPr>
      </w:pPr>
      <w:r>
        <w:rPr>
          <w:rFonts w:hint="eastAsia" w:ascii="宋体" w:hAnsi="宋体" w:cs="宋体"/>
          <w:b/>
          <w:color w:val="auto"/>
          <w:sz w:val="100"/>
          <w:szCs w:val="100"/>
          <w:highlight w:val="none"/>
        </w:rPr>
        <w:t>竞争性磋商文件</w:t>
      </w:r>
    </w:p>
    <w:p w14:paraId="25578CF1">
      <w:pPr>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4EA3285F">
      <w:pPr>
        <w:adjustRightInd w:val="0"/>
        <w:snapToGrid w:val="0"/>
        <w:spacing w:line="300" w:lineRule="auto"/>
        <w:jc w:val="center"/>
        <w:rPr>
          <w:rFonts w:ascii="宋体" w:hAnsi="宋体" w:cs="宋体"/>
          <w:b/>
          <w:color w:val="auto"/>
          <w:sz w:val="30"/>
          <w:szCs w:val="30"/>
          <w:highlight w:val="none"/>
        </w:rPr>
      </w:pPr>
    </w:p>
    <w:p w14:paraId="5EDDF026">
      <w:pPr>
        <w:adjustRightInd w:val="0"/>
        <w:snapToGrid w:val="0"/>
        <w:spacing w:line="300" w:lineRule="auto"/>
        <w:ind w:left="424" w:leftChars="202" w:firstLine="425" w:firstLineChars="141"/>
        <w:rPr>
          <w:rFonts w:ascii="宋体" w:hAnsi="宋体" w:cs="宋体"/>
          <w:b/>
          <w:bCs/>
          <w:color w:val="auto"/>
          <w:sz w:val="30"/>
          <w:szCs w:val="30"/>
          <w:highlight w:val="none"/>
        </w:rPr>
      </w:pPr>
    </w:p>
    <w:p w14:paraId="65693680">
      <w:pPr>
        <w:adjustRightInd w:val="0"/>
        <w:snapToGrid w:val="0"/>
        <w:spacing w:line="300" w:lineRule="auto"/>
        <w:ind w:left="424" w:leftChars="202" w:firstLine="425" w:firstLineChars="141"/>
        <w:rPr>
          <w:rFonts w:ascii="宋体" w:hAnsi="宋体" w:cs="宋体"/>
          <w:b/>
          <w:bCs/>
          <w:color w:val="auto"/>
          <w:sz w:val="30"/>
          <w:szCs w:val="30"/>
          <w:highlight w:val="none"/>
        </w:rPr>
      </w:pPr>
    </w:p>
    <w:p w14:paraId="17B78345">
      <w:pPr>
        <w:adjustRightInd w:val="0"/>
        <w:snapToGrid w:val="0"/>
        <w:spacing w:line="300" w:lineRule="auto"/>
        <w:ind w:left="424" w:leftChars="202" w:firstLine="425" w:firstLineChars="141"/>
        <w:rPr>
          <w:rFonts w:ascii="宋体" w:hAnsi="宋体" w:cs="宋体"/>
          <w:b/>
          <w:bCs/>
          <w:color w:val="auto"/>
          <w:sz w:val="30"/>
          <w:szCs w:val="30"/>
          <w:highlight w:val="none"/>
        </w:rPr>
      </w:pPr>
    </w:p>
    <w:p w14:paraId="6E50E5F8">
      <w:pPr>
        <w:adjustRightInd w:val="0"/>
        <w:snapToGrid w:val="0"/>
        <w:spacing w:line="300" w:lineRule="auto"/>
        <w:ind w:left="424" w:leftChars="202" w:firstLine="425" w:firstLineChars="141"/>
        <w:rPr>
          <w:rFonts w:ascii="宋体" w:hAnsi="宋体" w:cs="宋体"/>
          <w:b/>
          <w:bCs/>
          <w:color w:val="auto"/>
          <w:sz w:val="30"/>
          <w:szCs w:val="30"/>
          <w:highlight w:val="none"/>
        </w:rPr>
      </w:pPr>
    </w:p>
    <w:p w14:paraId="7338F790">
      <w:pPr>
        <w:pStyle w:val="59"/>
        <w:rPr>
          <w:color w:val="auto"/>
          <w:highlight w:val="none"/>
        </w:rPr>
      </w:pPr>
    </w:p>
    <w:p w14:paraId="55150BEA">
      <w:pPr>
        <w:pStyle w:val="33"/>
        <w:tabs>
          <w:tab w:val="right" w:leader="dot" w:pos="9403"/>
        </w:tabs>
        <w:rPr>
          <w:rFonts w:ascii="宋体" w:hAnsi="宋体" w:cs="宋体"/>
          <w:b w:val="0"/>
          <w:bCs w:val="0"/>
          <w:color w:val="auto"/>
          <w:sz w:val="30"/>
          <w:szCs w:val="30"/>
          <w:highlight w:val="none"/>
        </w:rPr>
      </w:pPr>
    </w:p>
    <w:p w14:paraId="432A9638">
      <w:pPr>
        <w:rPr>
          <w:rFonts w:ascii="宋体" w:hAnsi="宋体" w:cs="宋体"/>
          <w:b/>
          <w:bCs/>
          <w:color w:val="auto"/>
          <w:sz w:val="30"/>
          <w:szCs w:val="30"/>
          <w:highlight w:val="none"/>
        </w:rPr>
      </w:pPr>
    </w:p>
    <w:p w14:paraId="07C6476C">
      <w:pPr>
        <w:pStyle w:val="33"/>
        <w:tabs>
          <w:tab w:val="right" w:leader="dot" w:pos="9403"/>
        </w:tabs>
        <w:rPr>
          <w:color w:val="auto"/>
          <w:highlight w:val="none"/>
        </w:rPr>
      </w:pPr>
    </w:p>
    <w:p w14:paraId="792EA033">
      <w:pPr>
        <w:adjustRightInd w:val="0"/>
        <w:snapToGrid w:val="0"/>
        <w:spacing w:line="300" w:lineRule="auto"/>
        <w:rPr>
          <w:rFonts w:ascii="宋体" w:hAnsi="宋体" w:cs="宋体"/>
          <w:b/>
          <w:bCs/>
          <w:color w:val="auto"/>
          <w:sz w:val="30"/>
          <w:szCs w:val="30"/>
          <w:highlight w:val="none"/>
        </w:rPr>
      </w:pPr>
    </w:p>
    <w:p w14:paraId="69B00126">
      <w:pPr>
        <w:adjustRightInd w:val="0"/>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lang w:eastAsia="zh-CN"/>
        </w:rPr>
        <w:t>HSZB-2025-064</w:t>
      </w:r>
    </w:p>
    <w:p w14:paraId="7125EBD7">
      <w:pPr>
        <w:adjustRightInd w:val="0"/>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浙江农林大学</w:t>
      </w:r>
    </w:p>
    <w:p w14:paraId="0B294B1A">
      <w:pPr>
        <w:adjustRightInd w:val="0"/>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采购代理机构：浙江豪圣建设项目管理有限公司</w:t>
      </w:r>
    </w:p>
    <w:p w14:paraId="72AD76F6">
      <w:pPr>
        <w:adjustRightInd w:val="0"/>
        <w:snapToGrid w:val="0"/>
        <w:spacing w:line="480" w:lineRule="auto"/>
        <w:ind w:left="424" w:leftChars="202" w:firstLine="425" w:firstLineChars="141"/>
        <w:jc w:val="left"/>
        <w:rPr>
          <w:rFonts w:ascii="宋体" w:hAnsi="宋体" w:cs="宋体"/>
          <w:b/>
          <w:color w:val="auto"/>
          <w:sz w:val="30"/>
          <w:szCs w:val="30"/>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30"/>
          <w:szCs w:val="30"/>
          <w:highlight w:val="none"/>
        </w:rPr>
        <w:t>日    期：二〇二五年</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月</w:t>
      </w:r>
    </w:p>
    <w:p w14:paraId="431DC83D">
      <w:pPr>
        <w:pStyle w:val="21"/>
        <w:snapToGrid w:val="0"/>
        <w:spacing w:after="0" w:line="360" w:lineRule="auto"/>
        <w:ind w:firstLine="199"/>
        <w:jc w:val="center"/>
        <w:outlineLvl w:val="0"/>
        <w:rPr>
          <w:rFonts w:hint="eastAsia" w:ascii="黑体" w:hAnsi="黑体" w:eastAsia="黑体"/>
          <w:b/>
          <w:color w:val="auto"/>
          <w:sz w:val="32"/>
          <w:szCs w:val="32"/>
          <w:highlight w:val="none"/>
        </w:rPr>
      </w:pPr>
      <w:bookmarkStart w:id="0" w:name="_Toc88231060"/>
      <w:r>
        <w:rPr>
          <w:rFonts w:hint="eastAsia" w:ascii="黑体" w:hAnsi="黑体" w:eastAsia="黑体"/>
          <w:b/>
          <w:color w:val="auto"/>
          <w:sz w:val="32"/>
          <w:szCs w:val="32"/>
          <w:highlight w:val="none"/>
        </w:rPr>
        <w:t>电子交易须知</w:t>
      </w:r>
      <w:bookmarkEnd w:id="0"/>
    </w:p>
    <w:p w14:paraId="3999D12F">
      <w:pPr>
        <w:pStyle w:val="26"/>
        <w:snapToGrid w:val="0"/>
        <w:spacing w:before="0" w:beforeLines="0" w:after="0" w:afterLines="0" w:line="360" w:lineRule="auto"/>
        <w:ind w:firstLine="420" w:firstLineChars="200"/>
        <w:jc w:val="left"/>
        <w:rPr>
          <w:rFonts w:hint="eastAsia" w:ascii="黑体" w:hAnsi="黑体" w:eastAsia="黑体"/>
          <w:color w:val="auto"/>
          <w:highlight w:val="none"/>
        </w:rPr>
      </w:pPr>
      <w:r>
        <w:rPr>
          <w:rFonts w:hint="eastAsia" w:ascii="黑体" w:hAnsi="黑体" w:eastAsia="黑体"/>
          <w:color w:val="auto"/>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283FC179">
      <w:pPr>
        <w:pStyle w:val="26"/>
        <w:snapToGrid w:val="0"/>
        <w:spacing w:before="0" w:beforeLines="0" w:after="0" w:afterLines="0" w:line="360" w:lineRule="auto"/>
        <w:ind w:firstLine="420" w:firstLineChars="200"/>
        <w:jc w:val="left"/>
        <w:rPr>
          <w:rFonts w:hint="eastAsia" w:ascii="黑体" w:hAnsi="黑体" w:eastAsia="黑体"/>
          <w:color w:val="auto"/>
          <w:highlight w:val="none"/>
        </w:rPr>
      </w:pPr>
      <w:r>
        <w:rPr>
          <w:rFonts w:hint="eastAsia" w:ascii="黑体" w:hAnsi="黑体" w:eastAsia="黑体"/>
          <w:color w:val="auto"/>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19C530EB">
      <w:pPr>
        <w:pStyle w:val="26"/>
        <w:snapToGrid w:val="0"/>
        <w:spacing w:before="0" w:beforeLines="0" w:after="0" w:afterLines="0" w:line="360" w:lineRule="auto"/>
        <w:ind w:firstLine="420" w:firstLineChars="200"/>
        <w:jc w:val="left"/>
        <w:rPr>
          <w:rFonts w:hint="eastAsia" w:ascii="黑体" w:hAnsi="黑体" w:eastAsia="黑体"/>
          <w:color w:val="auto"/>
          <w:highlight w:val="none"/>
        </w:rPr>
      </w:pPr>
      <w:r>
        <w:rPr>
          <w:rFonts w:hint="eastAsia" w:ascii="黑体" w:hAnsi="黑体" w:eastAsia="黑体"/>
          <w:color w:val="auto"/>
          <w:highlight w:val="none"/>
        </w:rPr>
        <w:t>3、供应商应当在递交响应文件截止时间前，将“电子交易客户端”生成的“电子加密响应文件”上传电子交易平台。</w:t>
      </w:r>
    </w:p>
    <w:p w14:paraId="52498634">
      <w:pPr>
        <w:pStyle w:val="26"/>
        <w:snapToGrid w:val="0"/>
        <w:spacing w:before="0" w:beforeLines="0" w:after="0" w:afterLines="0" w:line="360" w:lineRule="auto"/>
        <w:ind w:firstLine="420" w:firstLineChars="200"/>
        <w:jc w:val="left"/>
        <w:rPr>
          <w:rFonts w:hint="eastAsia" w:ascii="黑体" w:hAnsi="黑体" w:eastAsia="黑体"/>
          <w:color w:val="auto"/>
          <w:highlight w:val="none"/>
        </w:rPr>
      </w:pPr>
      <w:r>
        <w:rPr>
          <w:rFonts w:hint="eastAsia" w:ascii="黑体" w:hAnsi="黑体" w:eastAsia="黑体"/>
          <w:color w:val="auto"/>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3E0AC373">
      <w:pPr>
        <w:pStyle w:val="26"/>
        <w:snapToGrid w:val="0"/>
        <w:spacing w:before="0" w:beforeLines="0" w:after="0" w:afterLines="0" w:line="360" w:lineRule="auto"/>
        <w:ind w:firstLine="420" w:firstLineChars="200"/>
        <w:jc w:val="left"/>
        <w:rPr>
          <w:rFonts w:hint="eastAsia" w:ascii="黑体" w:hAnsi="黑体" w:eastAsia="黑体"/>
          <w:color w:val="auto"/>
          <w:highlight w:val="none"/>
        </w:rPr>
      </w:pPr>
      <w:r>
        <w:rPr>
          <w:rFonts w:hint="eastAsia" w:ascii="黑体" w:hAnsi="黑体" w:eastAsia="黑体"/>
          <w:color w:val="auto"/>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093476D1">
      <w:pPr>
        <w:pStyle w:val="26"/>
        <w:snapToGrid w:val="0"/>
        <w:spacing w:before="0" w:beforeLines="0" w:after="0" w:afterLines="0" w:line="360" w:lineRule="auto"/>
        <w:jc w:val="left"/>
        <w:rPr>
          <w:rFonts w:hint="eastAsia" w:ascii="黑体" w:hAnsi="黑体" w:eastAsia="黑体" w:cs="宋体"/>
          <w:color w:val="auto"/>
          <w:highlight w:val="none"/>
        </w:rPr>
      </w:pPr>
      <w:r>
        <w:rPr>
          <w:rFonts w:hint="eastAsia" w:ascii="黑体" w:hAnsi="黑体" w:eastAsia="黑体"/>
          <w:color w:val="auto"/>
          <w:highlight w:val="none"/>
        </w:rPr>
        <w:t xml:space="preserve">   6、供应商在参加电子交易过程中,可登录电子交易平台“帮助文档”版面获取《电子交易管理操作指南》，或致电平台400-881-7190获取相关服务支持。</w:t>
      </w:r>
    </w:p>
    <w:p w14:paraId="0C8B31D9">
      <w:pPr>
        <w:pageBreakBefore/>
        <w:shd w:val="clear" w:color="auto" w:fill="FFFFFF"/>
        <w:adjustRightInd w:val="0"/>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D95709D">
      <w:pPr>
        <w:pStyle w:val="33"/>
        <w:tabs>
          <w:tab w:val="right" w:leader="dot" w:pos="9026"/>
        </w:tabs>
        <w:rPr>
          <w:color w:val="auto"/>
          <w:highlight w:val="none"/>
        </w:rPr>
      </w:pPr>
      <w:r>
        <w:rPr>
          <w:rFonts w:hint="eastAsia" w:ascii="宋体" w:hAnsi="宋体" w:cs="宋体"/>
          <w:b w:val="0"/>
          <w:color w:val="auto"/>
          <w:sz w:val="21"/>
          <w:szCs w:val="21"/>
          <w:highlight w:val="none"/>
        </w:rPr>
        <w:fldChar w:fldCharType="begin"/>
      </w:r>
      <w:r>
        <w:rPr>
          <w:rStyle w:val="52"/>
          <w:rFonts w:hint="eastAsia" w:ascii="宋体" w:hAnsi="宋体" w:cs="宋体"/>
          <w:b w:val="0"/>
          <w:color w:val="auto"/>
          <w:sz w:val="21"/>
          <w:szCs w:val="21"/>
          <w:highlight w:val="none"/>
        </w:rPr>
        <w:instrText xml:space="preserve"> TOC \o "1-2" \h \z \u </w:instrText>
      </w:r>
      <w:r>
        <w:rPr>
          <w:rFonts w:hint="eastAsia" w:ascii="宋体" w:hAnsi="宋体" w:cs="宋体"/>
          <w:b w:val="0"/>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_Toc10400 </w:instrText>
      </w:r>
      <w:r>
        <w:rPr>
          <w:rFonts w:hint="eastAsia" w:ascii="宋体" w:hAnsi="宋体" w:cs="宋体"/>
          <w:color w:val="auto"/>
          <w:szCs w:val="21"/>
          <w:highlight w:val="none"/>
        </w:rPr>
        <w:fldChar w:fldCharType="separate"/>
      </w:r>
      <w:r>
        <w:rPr>
          <w:rFonts w:hint="eastAsia" w:ascii="宋体" w:hAnsi="宋体" w:cs="宋体"/>
          <w:bCs/>
          <w:color w:val="auto"/>
          <w:szCs w:val="36"/>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_Toc10400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ED414F0">
      <w:pPr>
        <w:pStyle w:val="33"/>
        <w:tabs>
          <w:tab w:val="right" w:leader="dot" w:pos="902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_Toc4025 </w:instrText>
      </w:r>
      <w:r>
        <w:rPr>
          <w:rFonts w:hint="eastAsia" w:ascii="宋体" w:hAnsi="宋体" w:cs="宋体"/>
          <w:color w:val="auto"/>
          <w:szCs w:val="21"/>
          <w:highlight w:val="none"/>
        </w:rPr>
        <w:fldChar w:fldCharType="separate"/>
      </w:r>
      <w:r>
        <w:rPr>
          <w:rFonts w:hint="eastAsia" w:ascii="宋体" w:hAnsi="宋体" w:cs="宋体"/>
          <w:bCs/>
          <w:color w:val="auto"/>
          <w:szCs w:val="36"/>
          <w:highlight w:val="none"/>
        </w:rPr>
        <w:t>第二部分  编制和提交磋商响应文件须知</w:t>
      </w:r>
      <w:r>
        <w:rPr>
          <w:color w:val="auto"/>
          <w:highlight w:val="none"/>
        </w:rPr>
        <w:tab/>
      </w:r>
      <w:r>
        <w:rPr>
          <w:color w:val="auto"/>
          <w:highlight w:val="none"/>
        </w:rPr>
        <w:fldChar w:fldCharType="begin"/>
      </w:r>
      <w:r>
        <w:rPr>
          <w:color w:val="auto"/>
          <w:highlight w:val="none"/>
        </w:rPr>
        <w:instrText xml:space="preserve"> PAGEREF _Toc4025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1"/>
          <w:highlight w:val="none"/>
        </w:rPr>
        <w:fldChar w:fldCharType="end"/>
      </w:r>
    </w:p>
    <w:p w14:paraId="010324BE">
      <w:pPr>
        <w:pStyle w:val="33"/>
        <w:tabs>
          <w:tab w:val="right" w:leader="dot" w:pos="902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_Toc9797 </w:instrText>
      </w:r>
      <w:r>
        <w:rPr>
          <w:rFonts w:hint="eastAsia" w:ascii="宋体" w:hAnsi="宋体" w:cs="宋体"/>
          <w:color w:val="auto"/>
          <w:szCs w:val="21"/>
          <w:highlight w:val="none"/>
        </w:rPr>
        <w:fldChar w:fldCharType="separate"/>
      </w:r>
      <w:r>
        <w:rPr>
          <w:rFonts w:hint="eastAsia" w:ascii="宋体" w:hAnsi="宋体" w:cs="宋体"/>
          <w:bCs/>
          <w:color w:val="auto"/>
          <w:szCs w:val="36"/>
          <w:highlight w:val="none"/>
        </w:rPr>
        <w:t>第三部分 项目技术规范和招标需求</w:t>
      </w:r>
      <w:r>
        <w:rPr>
          <w:color w:val="auto"/>
          <w:highlight w:val="none"/>
        </w:rPr>
        <w:tab/>
      </w:r>
      <w:r>
        <w:rPr>
          <w:color w:val="auto"/>
          <w:highlight w:val="none"/>
        </w:rPr>
        <w:fldChar w:fldCharType="begin"/>
      </w:r>
      <w:r>
        <w:rPr>
          <w:color w:val="auto"/>
          <w:highlight w:val="none"/>
        </w:rPr>
        <w:instrText xml:space="preserve"> PAGEREF _Toc9797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1"/>
          <w:highlight w:val="none"/>
        </w:rPr>
        <w:fldChar w:fldCharType="end"/>
      </w:r>
    </w:p>
    <w:p w14:paraId="2F2660A5">
      <w:pPr>
        <w:pStyle w:val="33"/>
        <w:tabs>
          <w:tab w:val="right" w:leader="dot" w:pos="902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_Toc14658 </w:instrText>
      </w:r>
      <w:r>
        <w:rPr>
          <w:rFonts w:hint="eastAsia" w:ascii="宋体" w:hAnsi="宋体" w:cs="宋体"/>
          <w:color w:val="auto"/>
          <w:szCs w:val="21"/>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部分 评标办法</w:t>
      </w:r>
      <w:r>
        <w:rPr>
          <w:color w:val="auto"/>
          <w:highlight w:val="none"/>
        </w:rPr>
        <w:tab/>
      </w:r>
      <w:r>
        <w:rPr>
          <w:color w:val="auto"/>
          <w:highlight w:val="none"/>
        </w:rPr>
        <w:fldChar w:fldCharType="begin"/>
      </w:r>
      <w:r>
        <w:rPr>
          <w:color w:val="auto"/>
          <w:highlight w:val="none"/>
        </w:rPr>
        <w:instrText xml:space="preserve"> PAGEREF _Toc14658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02A85335">
      <w:pPr>
        <w:pStyle w:val="33"/>
        <w:tabs>
          <w:tab w:val="right" w:leader="dot" w:pos="902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_Toc28042 </w:instrText>
      </w:r>
      <w:r>
        <w:rPr>
          <w:rFonts w:hint="eastAsia" w:ascii="宋体" w:hAnsi="宋体" w:cs="宋体"/>
          <w:color w:val="auto"/>
          <w:szCs w:val="21"/>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部分 合同条款</w:t>
      </w:r>
      <w:r>
        <w:rPr>
          <w:color w:val="auto"/>
          <w:highlight w:val="none"/>
        </w:rPr>
        <w:tab/>
      </w:r>
      <w:r>
        <w:rPr>
          <w:color w:val="auto"/>
          <w:highlight w:val="none"/>
        </w:rPr>
        <w:fldChar w:fldCharType="begin"/>
      </w:r>
      <w:r>
        <w:rPr>
          <w:color w:val="auto"/>
          <w:highlight w:val="none"/>
        </w:rPr>
        <w:instrText xml:space="preserve"> PAGEREF _Toc28042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21"/>
          <w:highlight w:val="none"/>
        </w:rPr>
        <w:fldChar w:fldCharType="end"/>
      </w:r>
    </w:p>
    <w:p w14:paraId="68872F9C">
      <w:pPr>
        <w:pStyle w:val="33"/>
        <w:tabs>
          <w:tab w:val="right" w:leader="dot" w:pos="902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_Toc25138 </w:instrText>
      </w:r>
      <w:r>
        <w:rPr>
          <w:rFonts w:hint="eastAsia" w:ascii="宋体" w:hAnsi="宋体" w:cs="宋体"/>
          <w:color w:val="auto"/>
          <w:szCs w:val="21"/>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部分 应提交的有关格式范例</w:t>
      </w:r>
      <w:r>
        <w:rPr>
          <w:color w:val="auto"/>
          <w:highlight w:val="none"/>
        </w:rPr>
        <w:tab/>
      </w:r>
      <w:r>
        <w:rPr>
          <w:color w:val="auto"/>
          <w:highlight w:val="none"/>
        </w:rPr>
        <w:fldChar w:fldCharType="begin"/>
      </w:r>
      <w:r>
        <w:rPr>
          <w:color w:val="auto"/>
          <w:highlight w:val="none"/>
        </w:rPr>
        <w:instrText xml:space="preserve"> PAGEREF _Toc25138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1"/>
          <w:highlight w:val="none"/>
        </w:rPr>
        <w:fldChar w:fldCharType="end"/>
      </w:r>
    </w:p>
    <w:p w14:paraId="561D4ADC">
      <w:pPr>
        <w:pStyle w:val="33"/>
        <w:tabs>
          <w:tab w:val="right" w:leader="dot" w:pos="8647"/>
        </w:tabs>
        <w:spacing w:line="360" w:lineRule="auto"/>
        <w:ind w:firstLine="237" w:firstLineChars="118"/>
        <w:rPr>
          <w:rFonts w:ascii="宋体" w:hAnsi="宋体" w:cs="宋体"/>
          <w:b w:val="0"/>
          <w:color w:val="auto"/>
          <w:sz w:val="24"/>
          <w:szCs w:val="24"/>
          <w:highlight w:val="none"/>
        </w:rPr>
      </w:pPr>
      <w:r>
        <w:rPr>
          <w:rFonts w:hint="eastAsia" w:ascii="宋体" w:hAnsi="宋体" w:cs="宋体"/>
          <w:color w:val="auto"/>
          <w:szCs w:val="21"/>
          <w:highlight w:val="none"/>
        </w:rPr>
        <w:fldChar w:fldCharType="end"/>
      </w:r>
    </w:p>
    <w:p w14:paraId="1087FEC8">
      <w:pPr>
        <w:pageBreakBefore/>
        <w:shd w:val="clear" w:color="auto" w:fill="FFFFFF"/>
        <w:adjustRightInd w:val="0"/>
        <w:snapToGrid w:val="0"/>
        <w:spacing w:line="360" w:lineRule="auto"/>
        <w:jc w:val="center"/>
        <w:outlineLvl w:val="0"/>
        <w:rPr>
          <w:rFonts w:hint="eastAsia" w:ascii="宋体" w:hAnsi="宋体" w:cs="宋体"/>
          <w:b/>
          <w:bCs/>
          <w:color w:val="auto"/>
          <w:sz w:val="36"/>
          <w:szCs w:val="36"/>
          <w:highlight w:val="none"/>
        </w:rPr>
        <w:sectPr>
          <w:headerReference r:id="rId4" w:type="default"/>
          <w:footerReference r:id="rId5" w:type="default"/>
          <w:pgSz w:w="11906" w:h="16838"/>
          <w:pgMar w:top="1440" w:right="1440" w:bottom="1440" w:left="1440" w:header="850" w:footer="992" w:gutter="0"/>
          <w:cols w:space="720" w:num="1"/>
          <w:docGrid w:type="lines" w:linePitch="312" w:charSpace="0"/>
        </w:sectPr>
      </w:pPr>
      <w:bookmarkStart w:id="1" w:name="_Toc354996693"/>
      <w:bookmarkStart w:id="2" w:name="_Toc361217421"/>
      <w:bookmarkStart w:id="3" w:name="_Toc10400"/>
    </w:p>
    <w:p w14:paraId="20468467">
      <w:pPr>
        <w:pageBreakBefore/>
        <w:shd w:val="clear" w:color="auto" w:fill="FFFFFF"/>
        <w:adjustRightInd w:val="0"/>
        <w:snapToGrid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第一部分  </w:t>
      </w:r>
      <w:bookmarkEnd w:id="1"/>
      <w:bookmarkEnd w:id="2"/>
      <w:r>
        <w:rPr>
          <w:rFonts w:hint="eastAsia" w:ascii="宋体" w:hAnsi="宋体" w:cs="宋体"/>
          <w:b/>
          <w:bCs/>
          <w:color w:val="auto"/>
          <w:sz w:val="36"/>
          <w:szCs w:val="36"/>
          <w:highlight w:val="none"/>
        </w:rPr>
        <w:t>竞争性磋商公告</w:t>
      </w:r>
      <w:bookmarkEnd w:id="3"/>
    </w:p>
    <w:p w14:paraId="33CD8556">
      <w:pPr>
        <w:adjustRightInd w:val="0"/>
        <w:snapToGrid w:val="0"/>
        <w:spacing w:line="360" w:lineRule="auto"/>
        <w:jc w:val="left"/>
        <w:rPr>
          <w:rFonts w:ascii="宋体" w:hAnsi="宋体" w:cs="宋体"/>
          <w:color w:val="auto"/>
          <w:kern w:val="0"/>
          <w:szCs w:val="21"/>
          <w:highlight w:val="none"/>
        </w:rPr>
      </w:pPr>
      <w:bookmarkStart w:id="4" w:name="_Toc28359013"/>
      <w:bookmarkStart w:id="5" w:name="_Toc35393799"/>
      <w:bookmarkStart w:id="6" w:name="_Toc28359090"/>
      <w:bookmarkStart w:id="7" w:name="_Toc35393630"/>
      <w:r>
        <w:rPr>
          <w:rFonts w:hint="eastAsia" w:ascii="宋体" w:hAnsi="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236220</wp:posOffset>
                </wp:positionV>
                <wp:extent cx="6076950" cy="770255"/>
                <wp:effectExtent l="4445" t="4445" r="14605" b="6350"/>
                <wp:wrapNone/>
                <wp:docPr id="1" name="矩形 6"/>
                <wp:cNvGraphicFramePr/>
                <a:graphic xmlns:a="http://schemas.openxmlformats.org/drawingml/2006/main">
                  <a:graphicData uri="http://schemas.microsoft.com/office/word/2010/wordprocessingShape">
                    <wps:wsp>
                      <wps:cNvSpPr/>
                      <wps:spPr>
                        <a:xfrm>
                          <a:off x="0" y="0"/>
                          <a:ext cx="6076950" cy="7702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7424E8"/>
                        </w:txbxContent>
                      </wps:txbx>
                      <wps:bodyPr vert="horz" wrap="square" anchor="t" anchorCtr="0" upright="1"/>
                    </wps:wsp>
                  </a:graphicData>
                </a:graphic>
              </wp:anchor>
            </w:drawing>
          </mc:Choice>
          <mc:Fallback>
            <w:pict>
              <v:rect id="矩形 6" o:spid="_x0000_s1026" o:spt="1" style="position:absolute;left:0pt;margin-left:-4.05pt;margin-top:18.6pt;height:60.65pt;width:478.5pt;z-index:-251656192;mso-width-relative:page;mso-height-relative:page;" fillcolor="#FFFFFF" filled="t" stroked="t" coordsize="21600,21600" o:gfxdata="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9c&#10;M4/YAAAACQEAAA8AAAAAAAAAAQAgAAAAIgAAAGRycy9kb3ducmV2LnhtbFBLAQIUABQAAAAIAIdO&#10;4kCRHio9IwIAAGoEAAAOAAAAAAAAAAEAIAAAACcBAABkcnMvZTJvRG9jLnhtbFBLBQYAAAAABgAG&#10;AFkBAAC8BQAAAAA=&#10;">
                <v:fill on="t" focussize="0,0"/>
                <v:stroke color="#000000" joinstyle="miter"/>
                <v:imagedata o:title=""/>
                <o:lock v:ext="edit" aspectratio="f"/>
                <v:textbox>
                  <w:txbxContent>
                    <w:p w14:paraId="647424E8"/>
                  </w:txbxContent>
                </v:textbox>
              </v:rect>
            </w:pict>
          </mc:Fallback>
        </mc:AlternateContent>
      </w:r>
      <w:r>
        <w:rPr>
          <w:rFonts w:hint="eastAsia" w:ascii="宋体" w:hAnsi="宋体" w:cs="宋体"/>
          <w:color w:val="auto"/>
          <w:kern w:val="0"/>
          <w:szCs w:val="21"/>
          <w:highlight w:val="none"/>
        </w:rPr>
        <w:t>项目概况</w:t>
      </w:r>
    </w:p>
    <w:p w14:paraId="2BD26D95">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2025-2026年年度小额施工单位（建筑安装施工）招标项目</w:t>
      </w:r>
      <w:r>
        <w:rPr>
          <w:rFonts w:hint="eastAsia" w:ascii="宋体" w:hAnsi="宋体" w:cs="宋体"/>
          <w:color w:val="auto"/>
          <w:kern w:val="0"/>
          <w:szCs w:val="21"/>
          <w:highlight w:val="none"/>
        </w:rPr>
        <w:t>的潜在供应商应在浙江政府采购网（http://zfcg.czt.zj.gov.cn/）获取（下载）采购文件，并于</w:t>
      </w:r>
      <w:r>
        <w:rPr>
          <w:rFonts w:hint="eastAsia" w:ascii="宋体" w:hAnsi="宋体" w:cs="宋体"/>
          <w:color w:val="auto"/>
          <w:kern w:val="0"/>
          <w:szCs w:val="21"/>
          <w:highlight w:val="none"/>
          <w:lang w:eastAsia="zh-CN"/>
        </w:rPr>
        <w:t>2025年02月18日14：00</w:t>
      </w:r>
      <w:r>
        <w:rPr>
          <w:rFonts w:hint="eastAsia" w:ascii="宋体" w:hAnsi="宋体" w:cs="宋体"/>
          <w:color w:val="auto"/>
          <w:kern w:val="0"/>
          <w:szCs w:val="21"/>
          <w:highlight w:val="none"/>
        </w:rPr>
        <w:t>（北京时间）前提交（上传）响应文件。</w:t>
      </w:r>
    </w:p>
    <w:p w14:paraId="32601967">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一、项目基本情况</w:t>
      </w:r>
    </w:p>
    <w:p w14:paraId="044B35E9">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HSZB-2025-064</w:t>
      </w:r>
    </w:p>
    <w:p w14:paraId="165C8A2A">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2025-2026年年度小额施工单位（建筑安装施工）招标项目</w:t>
      </w:r>
    </w:p>
    <w:p w14:paraId="2331E273">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项目采购方式：竞争性磋商</w:t>
      </w:r>
    </w:p>
    <w:p w14:paraId="1AA1103E">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eastAsia="zh-CN"/>
        </w:rPr>
        <w:t>6000000</w:t>
      </w:r>
    </w:p>
    <w:p w14:paraId="7246B7F6">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最高限价（元）：</w:t>
      </w:r>
      <w:r>
        <w:rPr>
          <w:rFonts w:hint="eastAsia" w:ascii="宋体" w:hAnsi="宋体" w:cs="宋体"/>
          <w:color w:val="auto"/>
          <w:kern w:val="0"/>
          <w:szCs w:val="21"/>
          <w:highlight w:val="none"/>
          <w:lang w:eastAsia="zh-CN"/>
        </w:rPr>
        <w:t>1500000，1500000，1500000，1500000</w:t>
      </w:r>
    </w:p>
    <w:p w14:paraId="36D74D14">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14:paraId="2ABB1793">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标项一</w:t>
      </w:r>
    </w:p>
    <w:p w14:paraId="3989DBCF">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标项名称: 衣锦校区、潘母岗和平山基地</w:t>
      </w:r>
    </w:p>
    <w:p w14:paraId="31C5166E">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数量: 1  </w:t>
      </w:r>
    </w:p>
    <w:p w14:paraId="5F74DAA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预算金额（元）: </w:t>
      </w:r>
      <w:r>
        <w:rPr>
          <w:rFonts w:hint="eastAsia" w:ascii="宋体" w:hAnsi="宋体" w:cs="宋体"/>
          <w:color w:val="auto"/>
          <w:kern w:val="0"/>
          <w:szCs w:val="21"/>
          <w:highlight w:val="none"/>
          <w:lang w:eastAsia="zh-CN"/>
        </w:rPr>
        <w:t>1500000</w:t>
      </w:r>
    </w:p>
    <w:p w14:paraId="5874CDDA">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简要规格描述或项目基本概况介绍、用途：主要承接小额修建、改造项目，主要包括：墙体分隔、水电安装、补漏、装修、弱电、安防、涂料修补、门窗维修、市政修缮等。具体以招标文件第三部分采购需求为准。 </w:t>
      </w:r>
    </w:p>
    <w:p w14:paraId="57505E15">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备注： 本项目采用兼投不兼中原则</w:t>
      </w:r>
      <w:r>
        <w:rPr>
          <w:rFonts w:hint="eastAsia" w:ascii="宋体" w:hAnsi="宋体" w:cs="宋体"/>
          <w:color w:val="auto"/>
          <w:kern w:val="0"/>
          <w:szCs w:val="21"/>
          <w:highlight w:val="none"/>
          <w:lang w:eastAsia="zh-CN"/>
        </w:rPr>
        <w:t>。</w:t>
      </w:r>
    </w:p>
    <w:p w14:paraId="0F4BBA7D">
      <w:pPr>
        <w:adjustRightInd w:val="0"/>
        <w:snapToGrid w:val="0"/>
        <w:spacing w:line="360" w:lineRule="auto"/>
        <w:ind w:firstLine="420" w:firstLineChars="200"/>
        <w:jc w:val="left"/>
        <w:rPr>
          <w:rFonts w:hint="eastAsia" w:ascii="宋体" w:hAnsi="宋体" w:cs="宋体"/>
          <w:color w:val="auto"/>
          <w:kern w:val="0"/>
          <w:szCs w:val="21"/>
          <w:highlight w:val="none"/>
        </w:rPr>
      </w:pPr>
    </w:p>
    <w:p w14:paraId="579754F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标项二</w:t>
      </w:r>
    </w:p>
    <w:p w14:paraId="5EF1E911">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标项名称: 东湖校区</w:t>
      </w:r>
      <w:r>
        <w:rPr>
          <w:rFonts w:hint="eastAsia" w:ascii="宋体" w:hAnsi="宋体" w:cs="宋体"/>
          <w:color w:val="auto"/>
          <w:kern w:val="0"/>
          <w:szCs w:val="21"/>
          <w:highlight w:val="none"/>
          <w:lang w:val="en-US" w:eastAsia="zh-CN"/>
        </w:rPr>
        <w:t>1</w:t>
      </w:r>
    </w:p>
    <w:p w14:paraId="45FDBF4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数量: 1  </w:t>
      </w:r>
    </w:p>
    <w:p w14:paraId="76977A52">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预算金额（元）: </w:t>
      </w:r>
      <w:r>
        <w:rPr>
          <w:rFonts w:hint="eastAsia" w:ascii="宋体" w:hAnsi="宋体" w:cs="宋体"/>
          <w:color w:val="auto"/>
          <w:kern w:val="0"/>
          <w:szCs w:val="21"/>
          <w:highlight w:val="none"/>
          <w:lang w:eastAsia="zh-CN"/>
        </w:rPr>
        <w:t>1500000</w:t>
      </w:r>
    </w:p>
    <w:p w14:paraId="294B3BEB">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简要规格描述或项目基本概况介绍、用途：主要承接小额修建、改造项目，主要包括：墙体分隔、水电安装、补漏、装修、弱电、安防、涂料修补、门窗维修、市政修缮等。具体以招标文件第三部分采购需求为准。 </w:t>
      </w:r>
    </w:p>
    <w:p w14:paraId="7131F159">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备注：本项目采用兼投不兼中原则</w:t>
      </w:r>
      <w:r>
        <w:rPr>
          <w:rFonts w:hint="eastAsia" w:ascii="宋体" w:hAnsi="宋体" w:cs="宋体"/>
          <w:color w:val="auto"/>
          <w:kern w:val="0"/>
          <w:szCs w:val="21"/>
          <w:highlight w:val="none"/>
          <w:lang w:eastAsia="zh-CN"/>
        </w:rPr>
        <w:t>。</w:t>
      </w:r>
    </w:p>
    <w:p w14:paraId="67D79AA1">
      <w:pPr>
        <w:pStyle w:val="21"/>
        <w:rPr>
          <w:rFonts w:hint="eastAsia"/>
          <w:color w:val="auto"/>
          <w:highlight w:val="none"/>
        </w:rPr>
      </w:pPr>
    </w:p>
    <w:p w14:paraId="0E3F739D">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标项</w:t>
      </w:r>
      <w:r>
        <w:rPr>
          <w:rFonts w:hint="eastAsia" w:ascii="宋体" w:hAnsi="宋体" w:cs="宋体"/>
          <w:color w:val="auto"/>
          <w:kern w:val="0"/>
          <w:szCs w:val="21"/>
          <w:highlight w:val="none"/>
          <w:lang w:val="en-US" w:eastAsia="zh-CN"/>
        </w:rPr>
        <w:t>三</w:t>
      </w:r>
    </w:p>
    <w:p w14:paraId="07A15958">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标项名称: 东湖校区</w:t>
      </w:r>
      <w:r>
        <w:rPr>
          <w:rFonts w:hint="eastAsia" w:ascii="宋体" w:hAnsi="宋体" w:cs="宋体"/>
          <w:color w:val="auto"/>
          <w:kern w:val="0"/>
          <w:szCs w:val="21"/>
          <w:highlight w:val="none"/>
          <w:lang w:val="en-US" w:eastAsia="zh-CN"/>
        </w:rPr>
        <w:t>2</w:t>
      </w:r>
    </w:p>
    <w:p w14:paraId="384516CC">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数量: 1  </w:t>
      </w:r>
    </w:p>
    <w:p w14:paraId="2C9AA841">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预算金额（元）: </w:t>
      </w:r>
      <w:r>
        <w:rPr>
          <w:rFonts w:hint="eastAsia" w:ascii="宋体" w:hAnsi="宋体" w:cs="宋体"/>
          <w:color w:val="auto"/>
          <w:kern w:val="0"/>
          <w:szCs w:val="21"/>
          <w:highlight w:val="none"/>
          <w:lang w:eastAsia="zh-CN"/>
        </w:rPr>
        <w:t>1500000</w:t>
      </w:r>
    </w:p>
    <w:p w14:paraId="69291A93">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简要规格描述或项目基本概况介绍、用途：主要承接小额修建、改造项目，主要包括：墙体分隔、水电安装、补漏、装修、弱电、安防、涂料修补、门窗维修、市政修缮等。具体以招标文件第三部分采购需求为准。 </w:t>
      </w:r>
    </w:p>
    <w:p w14:paraId="23E0E692">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备注：本项目采用兼投不兼中原则</w:t>
      </w:r>
      <w:r>
        <w:rPr>
          <w:rFonts w:hint="eastAsia" w:ascii="宋体" w:hAnsi="宋体" w:cs="宋体"/>
          <w:color w:val="auto"/>
          <w:kern w:val="0"/>
          <w:szCs w:val="21"/>
          <w:highlight w:val="none"/>
          <w:lang w:eastAsia="zh-CN"/>
        </w:rPr>
        <w:t>。</w:t>
      </w:r>
    </w:p>
    <w:p w14:paraId="46981EF2">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1D6594AB">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标项</w:t>
      </w:r>
      <w:r>
        <w:rPr>
          <w:rFonts w:hint="eastAsia" w:ascii="宋体" w:hAnsi="宋体" w:cs="宋体"/>
          <w:color w:val="auto"/>
          <w:kern w:val="0"/>
          <w:szCs w:val="21"/>
          <w:highlight w:val="none"/>
          <w:lang w:val="en-US" w:eastAsia="zh-CN"/>
        </w:rPr>
        <w:t>四</w:t>
      </w:r>
    </w:p>
    <w:p w14:paraId="3DCF6C10">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标项名称: 东湖校区</w:t>
      </w:r>
      <w:r>
        <w:rPr>
          <w:rFonts w:hint="eastAsia" w:ascii="宋体" w:hAnsi="宋体" w:cs="宋体"/>
          <w:color w:val="auto"/>
          <w:kern w:val="0"/>
          <w:szCs w:val="21"/>
          <w:highlight w:val="none"/>
          <w:lang w:val="en-US" w:eastAsia="zh-CN"/>
        </w:rPr>
        <w:t>3</w:t>
      </w:r>
    </w:p>
    <w:p w14:paraId="37189A3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数量: 1  </w:t>
      </w:r>
    </w:p>
    <w:p w14:paraId="3F020319">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预算金额（元）: </w:t>
      </w:r>
      <w:r>
        <w:rPr>
          <w:rFonts w:hint="eastAsia" w:ascii="宋体" w:hAnsi="宋体" w:cs="宋体"/>
          <w:color w:val="auto"/>
          <w:kern w:val="0"/>
          <w:szCs w:val="21"/>
          <w:highlight w:val="none"/>
          <w:lang w:eastAsia="zh-CN"/>
        </w:rPr>
        <w:t>1500000</w:t>
      </w:r>
    </w:p>
    <w:p w14:paraId="64441F9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简要规格描述或项目基本概况介绍、用途：主要承接小额修建、改造项目，主要包括：墙体分隔、水电安装、补漏、装修、弱电、安防、涂料修补、门窗维修、市政修缮等。具体以招标文件第三部分采购需求为准。 </w:t>
      </w:r>
    </w:p>
    <w:p w14:paraId="1253C0CE">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备注：本项目采用兼投不兼中原则</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w:t>
      </w:r>
    </w:p>
    <w:p w14:paraId="6895D05C">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合同履约期限：标项 1、2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bookmarkStart w:id="156" w:name="_GoBack"/>
      <w:bookmarkEnd w:id="156"/>
      <w:r>
        <w:rPr>
          <w:rFonts w:hint="eastAsia" w:ascii="宋体" w:hAnsi="宋体" w:cs="宋体"/>
          <w:color w:val="auto"/>
          <w:kern w:val="0"/>
          <w:szCs w:val="21"/>
          <w:highlight w:val="none"/>
        </w:rPr>
        <w:t>年。</w:t>
      </w:r>
    </w:p>
    <w:p w14:paraId="58912ED8">
      <w:pPr>
        <w:adjustRightInd w:val="0"/>
        <w:snapToGrid w:val="0"/>
        <w:spacing w:line="360" w:lineRule="auto"/>
        <w:ind w:firstLine="420" w:firstLineChars="200"/>
        <w:jc w:val="left"/>
        <w:rPr>
          <w:rFonts w:hint="eastAsia" w:ascii="宋体" w:hAnsi="宋体" w:cs="宋体"/>
          <w:color w:val="auto"/>
          <w:kern w:val="0"/>
          <w:szCs w:val="21"/>
          <w:highlight w:val="none"/>
        </w:rPr>
      </w:pPr>
    </w:p>
    <w:p w14:paraId="12BB3DEA">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本项目（是）接受联合体投标。</w:t>
      </w:r>
    </w:p>
    <w:p w14:paraId="5CC1ED8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End w:id="4"/>
      <w:bookmarkEnd w:id="5"/>
      <w:bookmarkEnd w:id="6"/>
      <w:bookmarkEnd w:id="7"/>
      <w:r>
        <w:rPr>
          <w:rStyle w:val="48"/>
          <w:rFonts w:hint="eastAsia" w:ascii="宋体" w:hAnsi="宋体" w:cs="宋体"/>
          <w:color w:val="auto"/>
          <w:sz w:val="24"/>
          <w:szCs w:val="22"/>
          <w:highlight w:val="none"/>
        </w:rPr>
        <w:t>申请人的资格要求：</w:t>
      </w:r>
    </w:p>
    <w:p w14:paraId="313ABA66">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F992FF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2.落实政府采购政策需满足的资格要求：标项 1、2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3、4：</w:t>
      </w:r>
      <w:r>
        <w:rPr>
          <w:rFonts w:hint="eastAsia" w:ascii="宋体" w:hAnsi="宋体" w:cs="宋体"/>
          <w:b/>
          <w:bCs/>
          <w:color w:val="auto"/>
          <w:kern w:val="0"/>
          <w:szCs w:val="21"/>
          <w:highlight w:val="none"/>
        </w:rPr>
        <w:t>本项目为专门面向中小企业采购的项目,本次采购的工程要求全部由中小企业承建。</w:t>
      </w:r>
    </w:p>
    <w:p w14:paraId="3F8C0BF7">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3.本项目的特定资格要求：</w:t>
      </w:r>
      <w:r>
        <w:rPr>
          <w:rFonts w:hint="eastAsia" w:ascii="宋体" w:hAnsi="宋体" w:cs="宋体"/>
          <w:b/>
          <w:bCs/>
          <w:color w:val="auto"/>
          <w:kern w:val="0"/>
          <w:szCs w:val="21"/>
          <w:highlight w:val="none"/>
        </w:rPr>
        <w:t>同时具有①</w:t>
      </w:r>
      <w:r>
        <w:rPr>
          <w:rFonts w:hint="eastAsia" w:ascii="宋体" w:hAnsi="宋体" w:cs="宋体"/>
          <w:b/>
          <w:bCs/>
          <w:color w:val="auto"/>
          <w:kern w:val="0"/>
          <w:szCs w:val="21"/>
          <w:highlight w:val="none"/>
          <w:lang w:val="en-US" w:eastAsia="zh-CN"/>
        </w:rPr>
        <w:t>建筑工程施工总承包资质</w:t>
      </w:r>
      <w:r>
        <w:rPr>
          <w:rFonts w:hint="eastAsia" w:ascii="宋体" w:hAnsi="宋体" w:cs="宋体"/>
          <w:b/>
          <w:bCs/>
          <w:color w:val="auto"/>
          <w:kern w:val="0"/>
          <w:szCs w:val="21"/>
          <w:highlight w:val="none"/>
        </w:rPr>
        <w:t>三级及以上资质；②市政公用工程施工总承包三级及以上资质。</w:t>
      </w:r>
    </w:p>
    <w:p w14:paraId="7207F02F">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三、获取（下载）采购文件</w:t>
      </w:r>
    </w:p>
    <w:p w14:paraId="01254AB4">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时间：/至2025年</w:t>
      </w:r>
      <w:r>
        <w:rPr>
          <w:rFonts w:hint="eastAsia" w:ascii="宋体" w:hAnsi="宋体" w:cs="宋体"/>
          <w:color w:val="auto"/>
          <w:kern w:val="0"/>
          <w:szCs w:val="21"/>
          <w:highlight w:val="none"/>
          <w:lang w:eastAsia="zh-CN"/>
        </w:rPr>
        <w:t>02月18日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14:paraId="0AA39E1A">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地点（网址）：浙江政府采购网（http://zfcg.czt.zj.gov.cn/）</w:t>
      </w:r>
    </w:p>
    <w:p w14:paraId="1FF7C8CC">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BEE6992">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售价（元）：0</w:t>
      </w:r>
    </w:p>
    <w:p w14:paraId="0BF9DD26">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四、响应文件提交（上传）</w:t>
      </w:r>
    </w:p>
    <w:p w14:paraId="11473F1D">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截止时间：</w:t>
      </w:r>
      <w:r>
        <w:rPr>
          <w:rFonts w:hint="eastAsia" w:ascii="宋体" w:hAnsi="宋体" w:cs="宋体"/>
          <w:color w:val="auto"/>
          <w:kern w:val="0"/>
          <w:szCs w:val="21"/>
          <w:highlight w:val="none"/>
          <w:lang w:eastAsia="zh-CN"/>
        </w:rPr>
        <w:t>2025年02月18日14：00</w:t>
      </w:r>
      <w:r>
        <w:rPr>
          <w:rFonts w:hint="eastAsia" w:ascii="宋体" w:hAnsi="宋体" w:cs="宋体"/>
          <w:color w:val="auto"/>
          <w:kern w:val="0"/>
          <w:szCs w:val="21"/>
          <w:highlight w:val="none"/>
        </w:rPr>
        <w:t>（北京时间）</w:t>
      </w:r>
    </w:p>
    <w:p w14:paraId="7CE6626D">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地点（网址）：本项目响应文件通过“政府采购云平台（www.zcygov.cn）”传输递交</w:t>
      </w:r>
    </w:p>
    <w:p w14:paraId="6DCA14DD">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五、响应文件开启</w:t>
      </w:r>
    </w:p>
    <w:p w14:paraId="16AFC29B">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开启时间</w:t>
      </w:r>
      <w:r>
        <w:rPr>
          <w:rFonts w:hint="eastAsia" w:ascii="宋体" w:hAnsi="宋体" w:cs="宋体"/>
          <w:color w:val="auto"/>
          <w:kern w:val="0"/>
          <w:szCs w:val="21"/>
          <w:highlight w:val="none"/>
          <w:lang w:eastAsia="zh-CN"/>
        </w:rPr>
        <w:t>2025年02月18日14：00</w:t>
      </w:r>
      <w:r>
        <w:rPr>
          <w:rFonts w:hint="eastAsia" w:ascii="宋体" w:hAnsi="宋体" w:cs="宋体"/>
          <w:color w:val="auto"/>
          <w:kern w:val="0"/>
          <w:szCs w:val="21"/>
          <w:highlight w:val="none"/>
        </w:rPr>
        <w:t>（北京时间）</w:t>
      </w:r>
    </w:p>
    <w:p w14:paraId="2BDF02E6">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地点（网址）：政府采购云平台（www.zcygov.cn）</w:t>
      </w:r>
    </w:p>
    <w:p w14:paraId="4323E72D">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六、公告期限</w:t>
      </w:r>
    </w:p>
    <w:p w14:paraId="3CFD4504">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2D00D3E0">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七、其他补充事宜</w:t>
      </w:r>
    </w:p>
    <w:p w14:paraId="3736022B">
      <w:pPr>
        <w:pStyle w:val="2"/>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和2022年2月1日和2022年7月1日开始实施，此前有关规定与上述文件内容不一致的，按上述文件要求执行。</w:t>
      </w:r>
    </w:p>
    <w:p w14:paraId="28A8B494">
      <w:pPr>
        <w:pStyle w:val="2"/>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F6B105">
      <w:pPr>
        <w:pStyle w:val="2"/>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1A51A0">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4.其他事项：</w:t>
      </w:r>
      <w:r>
        <w:rPr>
          <w:color w:val="auto"/>
          <w:kern w:val="0"/>
          <w:sz w:val="21"/>
          <w:szCs w:val="21"/>
          <w:highlight w:val="none"/>
        </w:rPr>
        <w:t>（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w:t>
      </w:r>
      <w:r>
        <w:rPr>
          <w:rFonts w:hint="eastAsia"/>
          <w:color w:val="auto"/>
          <w:kern w:val="0"/>
          <w:sz w:val="21"/>
          <w:szCs w:val="21"/>
          <w:highlight w:val="none"/>
          <w:lang w:eastAsia="zh-CN"/>
        </w:rPr>
        <w:t>工程设计</w:t>
      </w:r>
      <w:r>
        <w:rPr>
          <w:color w:val="auto"/>
          <w:kern w:val="0"/>
          <w:sz w:val="21"/>
          <w:szCs w:val="21"/>
          <w:highlight w:val="none"/>
        </w:rPr>
        <w:t>、检测等服务的供应商，不得再参加该采购项目的其他采购活动。（4）公益一类事业单位、使用事业编制且由财政拨款保障的群团组织</w:t>
      </w:r>
      <w:r>
        <w:rPr>
          <w:rFonts w:hint="eastAsia"/>
          <w:color w:val="auto"/>
          <w:kern w:val="0"/>
          <w:sz w:val="21"/>
          <w:szCs w:val="21"/>
          <w:highlight w:val="none"/>
          <w:lang w:eastAsia="zh-CN"/>
        </w:rPr>
        <w:t>，</w:t>
      </w:r>
      <w:r>
        <w:rPr>
          <w:color w:val="auto"/>
          <w:kern w:val="0"/>
          <w:sz w:val="21"/>
          <w:szCs w:val="21"/>
          <w:highlight w:val="none"/>
        </w:rPr>
        <w:t>不得参加该采购项目。（5）本项目不收取投标保证金。（6）招标文件公告期限与招标公告的公告期限一致</w:t>
      </w:r>
      <w:r>
        <w:rPr>
          <w:rFonts w:hint="eastAsia" w:ascii="宋体" w:hAnsi="宋体" w:cs="宋体"/>
          <w:color w:val="auto"/>
          <w:kern w:val="0"/>
          <w:sz w:val="21"/>
          <w:szCs w:val="21"/>
          <w:highlight w:val="none"/>
        </w:rPr>
        <w:t>。</w:t>
      </w:r>
    </w:p>
    <w:p w14:paraId="406F0BEF">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八、凡对本次招标提出询问、质疑、投诉，请按以下方式联系</w:t>
      </w:r>
    </w:p>
    <w:p w14:paraId="7AF97655">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1.采购人信息</w:t>
      </w:r>
    </w:p>
    <w:p w14:paraId="59996ABB">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名称：浙江农林大学</w:t>
      </w:r>
    </w:p>
    <w:p w14:paraId="5EBEECD3">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地址：杭州市临安区武肃街666号</w:t>
      </w:r>
    </w:p>
    <w:p w14:paraId="1C4E0488">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传  真：/</w:t>
      </w:r>
    </w:p>
    <w:p w14:paraId="1DC54A41">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项目联系人（询问）：</w:t>
      </w:r>
      <w:r>
        <w:rPr>
          <w:rFonts w:hint="eastAsia" w:ascii="宋体" w:hAnsi="宋体" w:eastAsia="宋体"/>
          <w:color w:val="auto"/>
          <w:kern w:val="0"/>
          <w:sz w:val="21"/>
          <w:szCs w:val="21"/>
          <w:highlight w:val="none"/>
          <w:lang w:val="en-US" w:eastAsia="zh-CN"/>
        </w:rPr>
        <w:t>郑老师</w:t>
      </w:r>
    </w:p>
    <w:p w14:paraId="731E8047">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项目联系方式（询问）：0571-63732951</w:t>
      </w:r>
    </w:p>
    <w:p w14:paraId="525CBA39">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质疑联系人：</w:t>
      </w:r>
      <w:r>
        <w:rPr>
          <w:rFonts w:hint="eastAsia" w:ascii="宋体" w:hAnsi="宋体" w:eastAsia="宋体"/>
          <w:color w:val="auto"/>
          <w:kern w:val="0"/>
          <w:sz w:val="21"/>
          <w:szCs w:val="21"/>
          <w:highlight w:val="none"/>
          <w:lang w:val="en-US" w:eastAsia="zh-CN"/>
        </w:rPr>
        <w:t>朱</w:t>
      </w:r>
      <w:r>
        <w:rPr>
          <w:rFonts w:hint="eastAsia" w:ascii="宋体" w:hAnsi="宋体" w:eastAsia="宋体"/>
          <w:color w:val="auto"/>
          <w:kern w:val="0"/>
          <w:sz w:val="21"/>
          <w:szCs w:val="21"/>
          <w:highlight w:val="none"/>
        </w:rPr>
        <w:t>老师</w:t>
      </w:r>
    </w:p>
    <w:p w14:paraId="2775A038">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质疑联系方式：0571-63746802</w:t>
      </w:r>
    </w:p>
    <w:p w14:paraId="781367C7">
      <w:pPr>
        <w:pStyle w:val="2"/>
        <w:spacing w:line="360" w:lineRule="auto"/>
        <w:ind w:firstLine="420" w:firstLineChars="200"/>
        <w:rPr>
          <w:rFonts w:hint="eastAsia" w:ascii="宋体" w:hAnsi="宋体" w:eastAsia="宋体"/>
          <w:color w:val="auto"/>
          <w:kern w:val="0"/>
          <w:sz w:val="21"/>
          <w:szCs w:val="21"/>
          <w:highlight w:val="none"/>
        </w:rPr>
      </w:pPr>
    </w:p>
    <w:p w14:paraId="502C9FC6">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2.采购代理机构信息</w:t>
      </w:r>
    </w:p>
    <w:p w14:paraId="52902A39">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名  称：浙江豪圣建设项目管理有限公司</w:t>
      </w:r>
    </w:p>
    <w:p w14:paraId="44C0849B">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地  址：杭州市拱墅区大关路179号远洋国际中心A座17楼1706室</w:t>
      </w:r>
    </w:p>
    <w:p w14:paraId="01E6FDE0">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传  真：/</w:t>
      </w:r>
    </w:p>
    <w:p w14:paraId="04279BDE">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项目联系人（询问）：章柔婧、曹剑斌、陈敏娇</w:t>
      </w:r>
    </w:p>
    <w:p w14:paraId="34270FB6">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项目联系方式（询问）：0571-87981527</w:t>
      </w:r>
    </w:p>
    <w:p w14:paraId="4EFDADE4">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质疑联系人：桑国坚</w:t>
      </w:r>
    </w:p>
    <w:p w14:paraId="57E0B1A0">
      <w:pPr>
        <w:pStyle w:val="2"/>
        <w:spacing w:line="360" w:lineRule="auto"/>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质疑联系方式：0571-56386096</w:t>
      </w:r>
    </w:p>
    <w:p w14:paraId="27AFF05C">
      <w:pPr>
        <w:rPr>
          <w:rFonts w:hint="eastAsia"/>
          <w:color w:val="auto"/>
          <w:highlight w:val="none"/>
        </w:rPr>
      </w:pPr>
    </w:p>
    <w:p w14:paraId="4F927C88">
      <w:pPr>
        <w:pStyle w:val="2"/>
        <w:spacing w:line="360" w:lineRule="auto"/>
        <w:ind w:firstLine="420" w:firstLineChars="20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3.同级政府采购监督管理部门</w:t>
      </w:r>
    </w:p>
    <w:p w14:paraId="33B5887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称：浙江省政府采购行政裁决服务中心（杭州市上城区清泰街549号城建综合大楼11楼）</w:t>
      </w:r>
    </w:p>
    <w:p w14:paraId="269FE8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址：杭州市上城区清泰街549号城建综合大楼11楼</w:t>
      </w:r>
    </w:p>
    <w:p w14:paraId="334D4AE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  真：/</w:t>
      </w:r>
    </w:p>
    <w:p w14:paraId="5ACF94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联系人：朱老师、王老师、匡老师</w:t>
      </w:r>
    </w:p>
    <w:p w14:paraId="73F578F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监督投诉电话：0571-87800218，0571-87227671</w:t>
      </w:r>
    </w:p>
    <w:p w14:paraId="3F364FD3">
      <w:pPr>
        <w:pStyle w:val="2"/>
        <w:spacing w:line="360" w:lineRule="auto"/>
        <w:ind w:left="479" w:leftChars="228" w:firstLine="0"/>
        <w:rPr>
          <w:rFonts w:hint="eastAsia" w:ascii="宋体" w:hAnsi="宋体" w:eastAsia="宋体"/>
          <w:color w:val="auto"/>
          <w:kern w:val="0"/>
          <w:sz w:val="21"/>
          <w:szCs w:val="21"/>
          <w:highlight w:val="none"/>
        </w:rPr>
      </w:pPr>
    </w:p>
    <w:p w14:paraId="0213D08A">
      <w:pPr>
        <w:pStyle w:val="2"/>
        <w:spacing w:line="360" w:lineRule="auto"/>
        <w:ind w:left="479" w:leftChars="228" w:firstLine="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政策咨询：何一平、冯华，0571-87058424、87055741</w:t>
      </w:r>
    </w:p>
    <w:p w14:paraId="5BBB971F">
      <w:pPr>
        <w:pStyle w:val="2"/>
        <w:spacing w:line="360" w:lineRule="auto"/>
        <w:ind w:firstLine="420" w:firstLineChars="20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0E6FC07A">
      <w:pPr>
        <w:pStyle w:val="2"/>
        <w:spacing w:line="360" w:lineRule="auto"/>
        <w:ind w:firstLine="420" w:firstLineChars="200"/>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CA问题联系电话（人工）：汇信CA 400-888-4636；天谷CA 400-087-8198。</w:t>
      </w:r>
    </w:p>
    <w:p w14:paraId="22F34AC5">
      <w:pPr>
        <w:adjustRightInd w:val="0"/>
        <w:snapToGrid w:val="0"/>
        <w:spacing w:line="360" w:lineRule="auto"/>
        <w:ind w:firstLine="723" w:firstLineChars="300"/>
        <w:jc w:val="left"/>
        <w:rPr>
          <w:rFonts w:ascii="宋体" w:hAnsi="宋体" w:cs="宋体"/>
          <w:b/>
          <w:bCs/>
          <w:color w:val="auto"/>
          <w:sz w:val="24"/>
          <w:highlight w:val="none"/>
        </w:rPr>
      </w:pPr>
    </w:p>
    <w:p w14:paraId="4074B3A0">
      <w:pPr>
        <w:adjustRightInd w:val="0"/>
        <w:snapToGrid w:val="0"/>
        <w:spacing w:line="360" w:lineRule="auto"/>
        <w:ind w:firstLine="480" w:firstLineChars="200"/>
        <w:jc w:val="left"/>
        <w:rPr>
          <w:rFonts w:ascii="宋体" w:hAnsi="宋体" w:cs="宋体"/>
          <w:color w:val="auto"/>
          <w:kern w:val="0"/>
          <w:sz w:val="24"/>
          <w:highlight w:val="none"/>
        </w:rPr>
      </w:pPr>
    </w:p>
    <w:p w14:paraId="587C2147">
      <w:pPr>
        <w:adjustRightInd w:val="0"/>
        <w:snapToGrid w:val="0"/>
        <w:spacing w:line="360" w:lineRule="auto"/>
        <w:ind w:firstLine="480" w:firstLineChars="200"/>
        <w:jc w:val="left"/>
        <w:rPr>
          <w:rFonts w:ascii="宋体" w:hAnsi="宋体" w:cs="宋体"/>
          <w:color w:val="auto"/>
          <w:kern w:val="0"/>
          <w:sz w:val="24"/>
          <w:highlight w:val="none"/>
        </w:rPr>
      </w:pPr>
    </w:p>
    <w:p w14:paraId="6E51EC7F">
      <w:pPr>
        <w:pageBreakBefore/>
        <w:shd w:val="clear" w:color="auto" w:fill="FFFFFF"/>
        <w:adjustRightInd w:val="0"/>
        <w:snapToGrid w:val="0"/>
        <w:spacing w:line="360" w:lineRule="auto"/>
        <w:jc w:val="center"/>
        <w:outlineLvl w:val="0"/>
        <w:rPr>
          <w:rFonts w:ascii="宋体" w:hAnsi="宋体" w:cs="宋体"/>
          <w:b/>
          <w:bCs/>
          <w:color w:val="auto"/>
          <w:sz w:val="36"/>
          <w:szCs w:val="36"/>
          <w:highlight w:val="none"/>
        </w:rPr>
      </w:pPr>
      <w:bookmarkStart w:id="8" w:name="_Hlt74707423"/>
      <w:bookmarkEnd w:id="8"/>
      <w:bookmarkStart w:id="9" w:name="_Hlt74728647"/>
      <w:bookmarkEnd w:id="9"/>
      <w:bookmarkStart w:id="10" w:name="_Hlt74649545"/>
      <w:bookmarkEnd w:id="10"/>
      <w:bookmarkStart w:id="11" w:name="_Hlt74729822"/>
      <w:bookmarkEnd w:id="11"/>
      <w:bookmarkStart w:id="12" w:name="_Toc4025"/>
      <w:bookmarkStart w:id="13" w:name="_Toc361217422"/>
      <w:bookmarkStart w:id="14" w:name="_Toc354996694"/>
      <w:bookmarkStart w:id="15" w:name="_Toc225840107"/>
      <w:r>
        <w:rPr>
          <w:rFonts w:hint="eastAsia" w:ascii="宋体" w:hAnsi="宋体" w:cs="宋体"/>
          <w:b/>
          <w:bCs/>
          <w:color w:val="auto"/>
          <w:sz w:val="36"/>
          <w:szCs w:val="36"/>
          <w:highlight w:val="none"/>
        </w:rPr>
        <w:t>第二部分  编制和提交磋商响应文件须知</w:t>
      </w:r>
      <w:bookmarkEnd w:id="12"/>
      <w:bookmarkEnd w:id="13"/>
      <w:bookmarkEnd w:id="14"/>
    </w:p>
    <w:p w14:paraId="4839A6E7">
      <w:pPr>
        <w:keepNext/>
        <w:keepLines/>
        <w:shd w:val="clear" w:color="auto" w:fill="FFFFFF"/>
        <w:tabs>
          <w:tab w:val="left" w:pos="706"/>
        </w:tabs>
        <w:spacing w:line="360" w:lineRule="auto"/>
        <w:jc w:val="center"/>
        <w:rPr>
          <w:rFonts w:ascii="宋体" w:hAnsi="宋体" w:cs="宋体"/>
          <w:b/>
          <w:bCs/>
          <w:color w:val="auto"/>
          <w:sz w:val="32"/>
          <w:szCs w:val="32"/>
          <w:highlight w:val="none"/>
        </w:rPr>
      </w:pPr>
      <w:bookmarkStart w:id="16" w:name="_Toc354996695"/>
      <w:bookmarkStart w:id="17" w:name="_Toc233618971"/>
      <w:r>
        <w:rPr>
          <w:rFonts w:hint="eastAsia" w:ascii="宋体" w:hAnsi="宋体" w:cs="宋体"/>
          <w:b/>
          <w:bCs/>
          <w:color w:val="auto"/>
          <w:sz w:val="32"/>
          <w:szCs w:val="32"/>
          <w:highlight w:val="none"/>
        </w:rPr>
        <w:t>前 附 表</w:t>
      </w:r>
      <w:bookmarkEnd w:id="16"/>
      <w:bookmarkEnd w:id="17"/>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2"/>
        <w:gridCol w:w="1440"/>
        <w:gridCol w:w="7090"/>
      </w:tblGrid>
      <w:tr w14:paraId="57088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0A566445">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7BA006AE">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1E6EA85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7931F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6D15894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468116D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31B8B624">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2025-2026年年度小额施工单位（</w:t>
            </w:r>
            <w:r>
              <w:rPr>
                <w:rFonts w:hint="eastAsia" w:ascii="宋体" w:hAnsi="宋体" w:cs="宋体"/>
                <w:color w:val="auto"/>
                <w:sz w:val="21"/>
                <w:szCs w:val="21"/>
                <w:highlight w:val="none"/>
                <w:lang w:eastAsia="zh-CN"/>
              </w:rPr>
              <w:t>建筑安装施工</w:t>
            </w:r>
            <w:r>
              <w:rPr>
                <w:rFonts w:hint="eastAsia" w:ascii="宋体" w:hAnsi="宋体" w:eastAsia="宋体" w:cs="宋体"/>
                <w:color w:val="auto"/>
                <w:sz w:val="21"/>
                <w:szCs w:val="21"/>
                <w:highlight w:val="none"/>
                <w:lang w:eastAsia="zh-CN"/>
              </w:rPr>
              <w:t>）招标项目</w:t>
            </w:r>
          </w:p>
        </w:tc>
      </w:tr>
      <w:tr w14:paraId="6C2A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1E1C776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4590DCF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w:t>
            </w:r>
          </w:p>
          <w:p w14:paraId="45ED9A5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容及数量</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20A885C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采购内容：</w:t>
            </w:r>
            <w:r>
              <w:rPr>
                <w:rFonts w:hint="eastAsia" w:ascii="宋体" w:hAnsi="宋体" w:eastAsia="宋体" w:cs="宋体"/>
                <w:color w:val="auto"/>
                <w:sz w:val="21"/>
                <w:szCs w:val="21"/>
                <w:highlight w:val="none"/>
                <w:lang w:eastAsia="zh-CN"/>
              </w:rPr>
              <w:t>2025-2026年年度小额施工单位（</w:t>
            </w:r>
            <w:r>
              <w:rPr>
                <w:rFonts w:hint="eastAsia" w:ascii="宋体" w:hAnsi="宋体" w:cs="宋体"/>
                <w:color w:val="auto"/>
                <w:sz w:val="21"/>
                <w:szCs w:val="21"/>
                <w:highlight w:val="none"/>
                <w:lang w:eastAsia="zh-CN"/>
              </w:rPr>
              <w:t>建筑安装施工</w:t>
            </w:r>
            <w:r>
              <w:rPr>
                <w:rFonts w:hint="eastAsia" w:ascii="宋体" w:hAnsi="宋体" w:eastAsia="宋体" w:cs="宋体"/>
                <w:color w:val="auto"/>
                <w:sz w:val="21"/>
                <w:szCs w:val="21"/>
                <w:highlight w:val="none"/>
                <w:lang w:eastAsia="zh-CN"/>
              </w:rPr>
              <w:t>）招标项目</w:t>
            </w:r>
          </w:p>
          <w:p w14:paraId="4588804C">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实施地点：浙江农林大学，采购人指定地点</w:t>
            </w:r>
          </w:p>
          <w:p w14:paraId="067BA1F0">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14:paraId="57928E4E">
            <w:pPr>
              <w:keepNext w:val="0"/>
              <w:keepLines w:val="0"/>
              <w:pageBreakBefore w:val="0"/>
              <w:kinsoku/>
              <w:wordWrap/>
              <w:overflowPunct/>
              <w:topLinePunct w:val="0"/>
              <w:bidi w:val="0"/>
              <w:snapToGrid w:val="0"/>
              <w:spacing w:line="360" w:lineRule="auto"/>
              <w:jc w:val="left"/>
              <w:rPr>
                <w:rFonts w:hint="eastAsia" w:eastAsia="宋体"/>
                <w:color w:val="auto"/>
                <w:sz w:val="21"/>
                <w:szCs w:val="21"/>
                <w:highlight w:val="none"/>
                <w:lang w:eastAsia="zh-CN"/>
              </w:rPr>
            </w:pPr>
            <w:r>
              <w:rPr>
                <w:rFonts w:ascii="宋体" w:hAnsi="宋体" w:eastAsia="宋体" w:cs="宋体"/>
                <w:color w:val="auto"/>
                <w:sz w:val="21"/>
                <w:szCs w:val="21"/>
                <w:highlight w:val="none"/>
              </w:rPr>
              <w:t>服务期</w:t>
            </w:r>
            <w:r>
              <w:rPr>
                <w:rFonts w:hint="eastAsia" w:ascii="宋体" w:hAnsi="宋体" w:cs="宋体"/>
                <w:color w:val="auto"/>
                <w:sz w:val="21"/>
                <w:szCs w:val="21"/>
                <w:highlight w:val="none"/>
                <w:lang w:eastAsia="zh-CN"/>
              </w:rPr>
              <w:t>：</w:t>
            </w:r>
            <w:r>
              <w:rPr>
                <w:rFonts w:ascii="宋体" w:hAnsi="宋体" w:eastAsia="宋体" w:cs="宋体"/>
                <w:color w:val="auto"/>
                <w:sz w:val="21"/>
                <w:szCs w:val="21"/>
                <w:highlight w:val="none"/>
              </w:rPr>
              <w:t>1年</w:t>
            </w:r>
            <w:r>
              <w:rPr>
                <w:rFonts w:hint="eastAsia" w:ascii="宋体" w:hAnsi="宋体" w:cs="宋体"/>
                <w:color w:val="auto"/>
                <w:sz w:val="21"/>
                <w:szCs w:val="21"/>
                <w:highlight w:val="none"/>
                <w:lang w:eastAsia="zh-CN"/>
              </w:rPr>
              <w:t>。</w:t>
            </w:r>
          </w:p>
        </w:tc>
      </w:tr>
      <w:tr w14:paraId="56E05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D30DF2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1B18B33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412F0923">
            <w:pPr>
              <w:keepNext w:val="0"/>
              <w:keepLines w:val="0"/>
              <w:pageBreakBefore w:val="0"/>
              <w:kinsoku/>
              <w:wordWrap/>
              <w:overflowPunct/>
              <w:topLinePunct w:val="0"/>
              <w:bidi w:val="0"/>
              <w:snapToGrid w:val="0"/>
              <w:spacing w:line="360" w:lineRule="auto"/>
              <w:jc w:val="left"/>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6000000</w:t>
            </w:r>
            <w:r>
              <w:rPr>
                <w:rFonts w:hint="eastAsia" w:ascii="宋体" w:hAnsi="宋体" w:eastAsia="宋体" w:cs="宋体"/>
                <w:color w:val="auto"/>
                <w:sz w:val="21"/>
                <w:szCs w:val="21"/>
                <w:highlight w:val="none"/>
              </w:rPr>
              <w:t>.00元</w:t>
            </w:r>
          </w:p>
        </w:tc>
      </w:tr>
      <w:tr w14:paraId="54A30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2A7A217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63E16C7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公告媒体</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51D41B4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tc>
      </w:tr>
      <w:tr w14:paraId="32907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66B3668F">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3B60F37F">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F7F29C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政府采购云平台（www.zcygov.cn）</w:t>
            </w:r>
          </w:p>
        </w:tc>
      </w:tr>
      <w:tr w14:paraId="6DADE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5EA4005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09E54E0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5B27570">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1、本磋商项目报价要求具体详见“第三部分 项目技术规范和招标需求”。</w:t>
            </w:r>
          </w:p>
          <w:p w14:paraId="6E1F1A4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3、报价包括为完成本项目所需的所有费用以及成交后向采购代理机构支付的代理服务费；</w:t>
            </w:r>
          </w:p>
          <w:p w14:paraId="4EAB8510">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4、不论采购结果如何，供应商均应自行承担所有与参与本次磋商有关的全部费用。</w:t>
            </w:r>
          </w:p>
          <w:p w14:paraId="3AFCA369">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注：单价合同，按实结算，结算至服务期满或累计工程款结算至预算金额限额止，以先到为准。</w:t>
            </w:r>
          </w:p>
        </w:tc>
      </w:tr>
      <w:tr w14:paraId="3B8F0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7783F1F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6BDE36D5">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现场考察/标前答疑会</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5F4F5015">
            <w:pPr>
              <w:keepNext w:val="0"/>
              <w:keepLines w:val="0"/>
              <w:pageBreakBefore w:val="0"/>
              <w:widowControl w:val="0"/>
              <w:kinsoku/>
              <w:wordWrap/>
              <w:overflowPunct/>
              <w:topLinePunct w:val="0"/>
              <w:bidi w:val="0"/>
              <w:adjustRightInd w:val="0"/>
              <w:snapToGrid w:val="0"/>
              <w:spacing w:line="360" w:lineRule="auto"/>
              <w:rPr>
                <w:rFonts w:ascii="宋体" w:hAnsi="宋体" w:cs="宋体"/>
                <w:color w:val="auto"/>
                <w:sz w:val="21"/>
                <w:szCs w:val="21"/>
                <w:highlight w:val="none"/>
              </w:rPr>
            </w:pPr>
            <w:r>
              <w:rPr>
                <w:rFonts w:ascii="宋体" w:hAnsi="宋体" w:cs="宋体"/>
                <w:color w:val="auto"/>
                <w:sz w:val="21"/>
                <w:szCs w:val="21"/>
                <w:highlight w:val="none"/>
              </w:rPr>
              <w:t>□ 组织（详细内容）</w:t>
            </w:r>
          </w:p>
          <w:p w14:paraId="209949E2">
            <w:pPr>
              <w:keepNext w:val="0"/>
              <w:keepLines w:val="0"/>
              <w:pageBreakBefore w:val="0"/>
              <w:widowControl w:val="0"/>
              <w:kinsoku/>
              <w:wordWrap/>
              <w:overflowPunct/>
              <w:topLinePunct w:val="0"/>
              <w:bidi w:val="0"/>
              <w:adjustRightInd w:val="0"/>
              <w:snapToGrid w:val="0"/>
              <w:spacing w:line="360" w:lineRule="auto"/>
              <w:rPr>
                <w:rFonts w:ascii="宋体" w:hAnsi="宋体" w:cs="宋体"/>
                <w:bCs/>
                <w:color w:val="auto"/>
                <w:sz w:val="21"/>
                <w:szCs w:val="21"/>
                <w:highlight w:val="none"/>
              </w:rPr>
            </w:pPr>
            <w:r>
              <w:rPr>
                <w:rFonts w:ascii="宋体" w:hAnsi="宋体" w:cs="宋体"/>
                <w:color w:val="auto"/>
                <w:sz w:val="21"/>
                <w:szCs w:val="21"/>
                <w:highlight w:val="none"/>
              </w:rPr>
              <w:sym w:font="Wingdings 2" w:char="0052"/>
            </w:r>
            <w:r>
              <w:rPr>
                <w:rFonts w:ascii="宋体" w:hAnsi="宋体" w:cs="宋体"/>
                <w:color w:val="auto"/>
                <w:sz w:val="21"/>
                <w:szCs w:val="21"/>
                <w:highlight w:val="none"/>
              </w:rPr>
              <w:t xml:space="preserve"> 不组织，</w:t>
            </w:r>
            <w:r>
              <w:rPr>
                <w:rFonts w:ascii="宋体" w:hAnsi="宋体" w:cs="宋体"/>
                <w:bCs/>
                <w:color w:val="auto"/>
                <w:sz w:val="21"/>
                <w:szCs w:val="21"/>
                <w:highlight w:val="none"/>
              </w:rPr>
              <w:t>投标人自行现场踏勘</w:t>
            </w:r>
          </w:p>
          <w:p w14:paraId="56581DE9">
            <w:pPr>
              <w:keepNext w:val="0"/>
              <w:keepLines w:val="0"/>
              <w:pageBreakBefore w:val="0"/>
              <w:widowControl w:val="0"/>
              <w:kinsoku/>
              <w:wordWrap/>
              <w:overflowPunct/>
              <w:topLinePunct w:val="0"/>
              <w:bidi w:val="0"/>
              <w:adjustRightInd w:val="0"/>
              <w:snapToGrid w:val="0"/>
              <w:spacing w:line="360" w:lineRule="auto"/>
              <w:rPr>
                <w:rFonts w:ascii="宋体" w:hAnsi="宋体" w:cs="宋体"/>
                <w:bCs/>
                <w:color w:val="auto"/>
                <w:sz w:val="21"/>
                <w:szCs w:val="21"/>
                <w:highlight w:val="none"/>
              </w:rPr>
            </w:pPr>
            <w:r>
              <w:rPr>
                <w:rFonts w:ascii="宋体" w:hAnsi="宋体" w:cs="宋体"/>
                <w:bCs/>
                <w:color w:val="auto"/>
                <w:sz w:val="21"/>
                <w:szCs w:val="21"/>
                <w:highlight w:val="none"/>
              </w:rPr>
              <w:t>时间：项目公告期间(双休日及法定节假日除外)</w:t>
            </w:r>
          </w:p>
          <w:p w14:paraId="0C2D0AEC">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Cs/>
                <w:color w:val="auto"/>
                <w:sz w:val="21"/>
                <w:szCs w:val="21"/>
                <w:highlight w:val="none"/>
                <w:lang w:eastAsia="zh-CN"/>
              </w:rPr>
            </w:pPr>
            <w:r>
              <w:rPr>
                <w:rFonts w:ascii="宋体" w:hAnsi="宋体" w:cs="宋体"/>
                <w:bCs/>
                <w:color w:val="auto"/>
                <w:sz w:val="21"/>
                <w:szCs w:val="21"/>
                <w:highlight w:val="none"/>
              </w:rPr>
              <w:t>地点：</w:t>
            </w:r>
            <w:r>
              <w:rPr>
                <w:rFonts w:hint="eastAsia" w:ascii="宋体" w:hAnsi="宋体" w:cs="宋体"/>
                <w:bCs/>
                <w:color w:val="auto"/>
                <w:sz w:val="21"/>
                <w:szCs w:val="21"/>
                <w:highlight w:val="none"/>
                <w:lang w:eastAsia="zh-CN"/>
              </w:rPr>
              <w:t>杭州市临安区武肃街666号</w:t>
            </w:r>
          </w:p>
          <w:p w14:paraId="5EF547DA">
            <w:pPr>
              <w:keepNext w:val="0"/>
              <w:keepLines w:val="0"/>
              <w:pageBreakBefore w:val="0"/>
              <w:widowControl w:val="0"/>
              <w:kinsoku/>
              <w:wordWrap/>
              <w:overflowPunct/>
              <w:topLinePunct w:val="0"/>
              <w:bidi w:val="0"/>
              <w:adjustRightInd w:val="0"/>
              <w:snapToGrid w:val="0"/>
              <w:spacing w:line="360" w:lineRule="auto"/>
              <w:rPr>
                <w:rFonts w:ascii="宋体" w:hAnsi="宋体" w:cs="宋体"/>
                <w:bCs/>
                <w:color w:val="auto"/>
                <w:sz w:val="21"/>
                <w:szCs w:val="21"/>
                <w:highlight w:val="none"/>
              </w:rPr>
            </w:pPr>
            <w:r>
              <w:rPr>
                <w:rFonts w:ascii="宋体" w:hAnsi="宋体" w:cs="宋体"/>
                <w:bCs/>
                <w:color w:val="auto"/>
                <w:sz w:val="21"/>
                <w:szCs w:val="21"/>
                <w:highlight w:val="none"/>
              </w:rPr>
              <w:t>联系人：</w:t>
            </w:r>
            <w:r>
              <w:rPr>
                <w:rFonts w:hint="eastAsia" w:ascii="Times New Roman" w:hAnsi="Times New Roman"/>
                <w:color w:val="auto"/>
                <w:sz w:val="21"/>
                <w:szCs w:val="21"/>
                <w:highlight w:val="none"/>
              </w:rPr>
              <w:t>郑</w:t>
            </w:r>
            <w:r>
              <w:rPr>
                <w:rFonts w:ascii="Times New Roman" w:hAnsi="Times New Roman"/>
                <w:color w:val="auto"/>
                <w:sz w:val="21"/>
                <w:szCs w:val="21"/>
                <w:highlight w:val="none"/>
              </w:rPr>
              <w:t>老师</w:t>
            </w:r>
            <w:r>
              <w:rPr>
                <w:rFonts w:ascii="宋体" w:hAnsi="宋体" w:cs="宋体"/>
                <w:bCs/>
                <w:color w:val="auto"/>
                <w:sz w:val="21"/>
                <w:szCs w:val="21"/>
                <w:highlight w:val="none"/>
              </w:rPr>
              <w:t>……联系电话：</w:t>
            </w:r>
            <w:r>
              <w:rPr>
                <w:rFonts w:hint="eastAsia" w:ascii="宋体" w:hAnsi="宋体" w:cs="宋体"/>
                <w:bCs/>
                <w:color w:val="auto"/>
                <w:sz w:val="21"/>
                <w:szCs w:val="21"/>
                <w:highlight w:val="none"/>
              </w:rPr>
              <w:t>0571-63732951</w:t>
            </w:r>
          </w:p>
          <w:p w14:paraId="5772E5F9">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r>
              <w:rPr>
                <w:rFonts w:ascii="宋体" w:hAnsi="宋体" w:cs="宋体"/>
                <w:bCs/>
                <w:color w:val="auto"/>
                <w:sz w:val="21"/>
                <w:szCs w:val="21"/>
                <w:highlight w:val="none"/>
              </w:rPr>
              <w:t>踏勘期间发生的费用或意外导致伤亡等一切责任和损失均由供应商自负。</w:t>
            </w:r>
          </w:p>
        </w:tc>
      </w:tr>
      <w:tr w14:paraId="30597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289319D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1249D02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45B4B996">
            <w:pPr>
              <w:keepNext w:val="0"/>
              <w:keepLines w:val="0"/>
              <w:pageBreakBefore w:val="0"/>
              <w:widowControl w:val="0"/>
              <w:kinsoku/>
              <w:wordWrap/>
              <w:overflowPunct/>
              <w:topLinePunct w:val="0"/>
              <w:bidi w:val="0"/>
              <w:adjustRightInd w:val="0"/>
              <w:snapToGrid w:val="0"/>
              <w:spacing w:line="360" w:lineRule="auto"/>
              <w:rPr>
                <w:rFonts w:ascii="宋体" w:hAnsi="宋体" w:cs="宋体"/>
                <w:color w:val="auto"/>
                <w:sz w:val="21"/>
                <w:szCs w:val="21"/>
                <w:highlight w:val="none"/>
              </w:rPr>
            </w:pPr>
            <w:r>
              <w:rPr>
                <w:rFonts w:ascii="宋体" w:hAnsi="宋体" w:cs="宋体"/>
                <w:color w:val="auto"/>
                <w:sz w:val="21"/>
                <w:szCs w:val="21"/>
                <w:highlight w:val="none"/>
              </w:rPr>
              <w:t>□ 提供（详细内容）</w:t>
            </w:r>
          </w:p>
          <w:p w14:paraId="114E8B29">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r>
              <w:rPr>
                <w:rFonts w:ascii="宋体" w:hAnsi="宋体" w:cs="宋体"/>
                <w:color w:val="auto"/>
                <w:sz w:val="21"/>
                <w:szCs w:val="21"/>
                <w:highlight w:val="none"/>
              </w:rPr>
              <w:sym w:font="Wingdings 2" w:char="0052"/>
            </w:r>
            <w:r>
              <w:rPr>
                <w:rFonts w:ascii="宋体" w:hAnsi="宋体" w:cs="宋体"/>
                <w:color w:val="auto"/>
                <w:sz w:val="21"/>
                <w:szCs w:val="21"/>
                <w:highlight w:val="none"/>
              </w:rPr>
              <w:t xml:space="preserve"> 不提供</w:t>
            </w:r>
          </w:p>
        </w:tc>
      </w:tr>
      <w:tr w14:paraId="584E8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10950C76">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43503B1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4C12E9A1">
            <w:pPr>
              <w:pStyle w:val="33"/>
              <w:keepNext w:val="0"/>
              <w:keepLines w:val="0"/>
              <w:pageBreakBefore w:val="0"/>
              <w:widowControl w:val="0"/>
              <w:kinsoku/>
              <w:wordWrap/>
              <w:overflowPunct/>
              <w:topLinePunct w:val="0"/>
              <w:bidi w:val="0"/>
              <w:adjustRightInd w:val="0"/>
              <w:snapToGrid w:val="0"/>
              <w:spacing w:before="0" w:after="0" w:line="360" w:lineRule="auto"/>
              <w:rPr>
                <w:rFonts w:hint="default" w:ascii="宋体" w:hAnsi="宋体" w:cs="宋体"/>
                <w:b w:val="0"/>
                <w:bCs w:val="0"/>
                <w:color w:val="auto"/>
                <w:sz w:val="21"/>
                <w:szCs w:val="21"/>
                <w:highlight w:val="none"/>
              </w:rPr>
            </w:pPr>
            <w:r>
              <w:rPr>
                <w:rFonts w:ascii="宋体" w:hAnsi="宋体" w:cs="宋体"/>
                <w:b w:val="0"/>
                <w:bCs w:val="0"/>
                <w:color w:val="auto"/>
                <w:sz w:val="21"/>
                <w:szCs w:val="21"/>
                <w:highlight w:val="none"/>
              </w:rPr>
              <w:sym w:font="Wingdings 2" w:char="00A3"/>
            </w:r>
            <w:r>
              <w:rPr>
                <w:rFonts w:ascii="宋体" w:hAnsi="宋体" w:cs="宋体"/>
                <w:b w:val="0"/>
                <w:bCs w:val="0"/>
                <w:color w:val="auto"/>
                <w:sz w:val="21"/>
                <w:szCs w:val="21"/>
                <w:highlight w:val="none"/>
              </w:rPr>
              <w:t xml:space="preserve"> 要求：具体详见第四章 采购内容及需求</w:t>
            </w:r>
          </w:p>
          <w:p w14:paraId="3661E163">
            <w:pPr>
              <w:pStyle w:val="21"/>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color w:val="auto"/>
                <w:sz w:val="21"/>
                <w:szCs w:val="21"/>
                <w:highlight w:val="none"/>
              </w:rPr>
            </w:pPr>
            <w:r>
              <w:rPr>
                <w:rFonts w:hAnsi="宋体" w:cs="宋体"/>
                <w:color w:val="auto"/>
                <w:sz w:val="21"/>
                <w:szCs w:val="21"/>
                <w:highlight w:val="none"/>
              </w:rPr>
              <w:sym w:font="Wingdings 2" w:char="0052"/>
            </w:r>
            <w:r>
              <w:rPr>
                <w:rFonts w:hAnsi="宋体" w:cs="宋体"/>
                <w:color w:val="auto"/>
                <w:sz w:val="21"/>
                <w:szCs w:val="21"/>
                <w:highlight w:val="none"/>
              </w:rPr>
              <w:t xml:space="preserve"> 不要求</w:t>
            </w:r>
          </w:p>
        </w:tc>
      </w:tr>
      <w:tr w14:paraId="6F0E7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6257DB4D">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0DB01D8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w:t>
            </w:r>
          </w:p>
          <w:p w14:paraId="520F092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件澄清</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072F3C6D">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供应商如认为采购文件表述不清晰、前后矛盾等内容的，应当在响应文件递交截止日5天前以书面形式要求采购单位作出书面澄清。</w:t>
            </w:r>
          </w:p>
        </w:tc>
      </w:tr>
      <w:tr w14:paraId="5B49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7CFCD912">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75A062A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w:t>
            </w:r>
          </w:p>
          <w:p w14:paraId="205C428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件组成</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AAC99F3">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响应文件由资格证明、商务技术、报价等内容组成。</w:t>
            </w:r>
          </w:p>
        </w:tc>
      </w:tr>
      <w:tr w14:paraId="0BABE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7846CF4A">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21A2830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p w14:paraId="3D2DB22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的编制</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ABC964B">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1、“电子加密响应文件”：</w:t>
            </w:r>
          </w:p>
          <w:p w14:paraId="20B8CC2A">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（1）“电子加密响应文件”是指通过“政采云电子交易客户端”完成响应文件编制后生成并加密的数据电文形式的响应文件。</w:t>
            </w:r>
          </w:p>
          <w:p w14:paraId="7998EDAB">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（2）供应商应先安装“政采云电子交易客户端”，并按照本采购文件和“政府采购云平台”的要求，通过“政采云电子交易客户端”编制并加密响应文件。</w:t>
            </w:r>
          </w:p>
          <w:p w14:paraId="1FE28B60">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2、“电子备份响应文件”：</w:t>
            </w:r>
          </w:p>
          <w:p w14:paraId="3FEDD8B4">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（1）“电子备份响应文件”是指与“电子加密响应文件”同时生成的数据电文形式的电子文件。</w:t>
            </w:r>
          </w:p>
          <w:p w14:paraId="7551D4BA">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（2）供应商可自主选择是否编制“电子备份响应文件”。</w:t>
            </w:r>
          </w:p>
          <w:p w14:paraId="5AC0B98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（3）其他方式编制的备份响应文件视为无效备份响应文件。</w:t>
            </w:r>
          </w:p>
        </w:tc>
      </w:tr>
      <w:tr w14:paraId="5A75F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158FFF47">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03DC60A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p w14:paraId="209BCCD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的签章：</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54B0ECE2">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采用电子签章。</w:t>
            </w:r>
          </w:p>
        </w:tc>
      </w:tr>
      <w:tr w14:paraId="26E52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5D5BE4F7">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6D97B11F">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p w14:paraId="13A86AB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的包装、密封和递交</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060BBC0A">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1、“电子加密响应文件”的递交：在线上传递交。</w:t>
            </w:r>
          </w:p>
          <w:p w14:paraId="1C1BDFEA">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（1）供应商应在递交响应文件截止时间前将“电子加密响应文件”成功上传递交至“政府采购云平台”，否则响应无效。</w:t>
            </w:r>
          </w:p>
          <w:p w14:paraId="43BF320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（2）“电子加密响应文件”成功上传递交后，供应商可自行打印响应文件接收回执。</w:t>
            </w:r>
          </w:p>
          <w:p w14:paraId="183A4FE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2、“电子备份响应文件”的密封、包装和递交：</w:t>
            </w:r>
          </w:p>
          <w:p w14:paraId="6A3BDA2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（1）供应商可自主选择是否递交“电子备份响应文件”。</w:t>
            </w:r>
          </w:p>
          <w:p w14:paraId="167A2029">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（2）“电子备份响应文件”存入U盘（一份）。</w:t>
            </w:r>
          </w:p>
          <w:p w14:paraId="6026CEF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（3）“电子备份响应文件” 应当在响应文件递交截止时间前以邮寄或送达方式递交：</w:t>
            </w:r>
          </w:p>
          <w:p w14:paraId="5B168389">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子备份响应文件”应当密封包装，并在包装上标注采购项目编号、项目名称、响应单位名称等并加盖公章（详见第六章响应文件格式）。没有密封包装或者逾期送达至响应文件递交地址的“电子备份响应文件”将不予接收。</w:t>
            </w:r>
          </w:p>
        </w:tc>
      </w:tr>
      <w:tr w14:paraId="7037D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5CC26EB5">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0D23199F">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p w14:paraId="7FE982B4">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w:t>
            </w:r>
          </w:p>
          <w:p w14:paraId="6F4AEB3E">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时间和地点</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76A72462">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eastAsia="zh-CN"/>
              </w:rPr>
              <w:t>02月18日14：00</w:t>
            </w:r>
            <w:r>
              <w:rPr>
                <w:rFonts w:hint="eastAsia" w:ascii="宋体" w:hAnsi="宋体" w:eastAsia="宋体" w:cs="宋体"/>
                <w:color w:val="auto"/>
                <w:sz w:val="21"/>
                <w:szCs w:val="21"/>
                <w:highlight w:val="none"/>
              </w:rPr>
              <w:t>（（北京时间）</w:t>
            </w:r>
          </w:p>
          <w:p w14:paraId="7EDC538B">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响应文件递交地点：政府采购云平台在线递交。</w:t>
            </w:r>
          </w:p>
          <w:p w14:paraId="75FAD84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（1）“电子加密响应文件”：政府采购云平台在线递交。</w:t>
            </w:r>
          </w:p>
          <w:p w14:paraId="5B6D6A6E">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（2）“电子备份响应文件”：杭州市拱墅区大关路179号远洋国际中心A座17楼1706室。收件人：</w:t>
            </w:r>
            <w:r>
              <w:rPr>
                <w:rFonts w:hint="eastAsia" w:ascii="宋体" w:hAnsi="宋体" w:eastAsia="宋体" w:cs="宋体"/>
                <w:color w:val="auto"/>
                <w:sz w:val="21"/>
                <w:szCs w:val="21"/>
                <w:highlight w:val="none"/>
                <w:lang w:val="en-US" w:eastAsia="zh-CN"/>
              </w:rPr>
              <w:t>章柔婧</w:t>
            </w:r>
            <w:r>
              <w:rPr>
                <w:rFonts w:hint="eastAsia" w:ascii="宋体" w:hAnsi="宋体" w:eastAsia="宋体" w:cs="宋体"/>
                <w:color w:val="auto"/>
                <w:sz w:val="21"/>
                <w:szCs w:val="21"/>
                <w:highlight w:val="none"/>
              </w:rPr>
              <w:t>；联系电话：0571-87981527</w:t>
            </w:r>
          </w:p>
        </w:tc>
      </w:tr>
      <w:tr w14:paraId="28742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0182EA48">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6D97018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w:t>
            </w:r>
          </w:p>
          <w:p w14:paraId="5FA14371">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p>
          <w:p w14:paraId="60F3A02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2367910F">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eastAsia="zh-CN"/>
              </w:rPr>
              <w:t>02月18日14：00</w:t>
            </w:r>
            <w:r>
              <w:rPr>
                <w:rFonts w:hint="eastAsia" w:ascii="宋体" w:hAnsi="宋体" w:eastAsia="宋体" w:cs="宋体"/>
                <w:color w:val="auto"/>
                <w:sz w:val="21"/>
                <w:szCs w:val="21"/>
                <w:highlight w:val="none"/>
              </w:rPr>
              <w:t>（北京时间）</w:t>
            </w:r>
          </w:p>
          <w:p w14:paraId="2A3095F5">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https://www.zcygov.cn</w:t>
            </w:r>
            <w:r>
              <w:rPr>
                <w:rFonts w:hint="eastAsia" w:ascii="宋体" w:hAnsi="宋体" w:eastAsia="宋体" w:cs="宋体"/>
                <w:color w:val="auto"/>
                <w:sz w:val="21"/>
                <w:szCs w:val="21"/>
                <w:highlight w:val="none"/>
              </w:rPr>
              <w:fldChar w:fldCharType="end"/>
            </w:r>
          </w:p>
          <w:p w14:paraId="42FF7EE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响应文件开启后，供应商在线参加磋商。</w:t>
            </w:r>
          </w:p>
        </w:tc>
      </w:tr>
      <w:tr w14:paraId="7ED8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F404D6E">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4CBAC6F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开启（解密）响应文件</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F4BD64D">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1、采购组织机构按照采购文件规定的时间通过电子交易平台组织磋商，所有供应商均应当准时在线参加磋商。</w:t>
            </w:r>
          </w:p>
          <w:p w14:paraId="7BFA5400">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2、响应文件递交截止时间后，采购组织机构将向各供应商发出“电子加密响应文件”的解密通知，各供应商代表应当在接到解密通知后30分钟内自行完成“电子加密响应文件”的在线解密。</w:t>
            </w:r>
          </w:p>
          <w:p w14:paraId="74A65AC2">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3、通过“政府采购云平台”上传递交的“电子加密响应文件”已按时解密的，“电子备份响应文件”自动失效。</w:t>
            </w:r>
          </w:p>
          <w:p w14:paraId="5719F7E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4、通过“政府采购云平台”上传递交的“电子加密响应文件”无法按时解密的，如供应商按规定递交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B4B8D66">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5、响应文件递交截止时间前，供应商仅递交了“电子备份响应文件”而未将“电子加密响应文件”上传至“政府采购云平台”的，响应无效。</w:t>
            </w:r>
          </w:p>
        </w:tc>
      </w:tr>
      <w:tr w14:paraId="7467C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98DEEE8">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361871F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695D2257">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3BAA3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47DA708">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5D2B12F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7913355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自响应截止日起90天。</w:t>
            </w:r>
          </w:p>
        </w:tc>
      </w:tr>
      <w:tr w14:paraId="3EE7F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70EEF8E3">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50A43D9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50516B72">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52EF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7750884F">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342CA61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节能产品</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3BFABAD1">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不适用</w:t>
            </w:r>
          </w:p>
        </w:tc>
      </w:tr>
      <w:tr w14:paraId="00D7D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1CAF25AD">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34A0210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环境标</w:t>
            </w:r>
          </w:p>
          <w:p w14:paraId="1496651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志产品</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17EF19BA">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不适用</w:t>
            </w:r>
          </w:p>
        </w:tc>
      </w:tr>
      <w:tr w14:paraId="1261C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C7A20E4">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4694068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促进中小</w:t>
            </w:r>
          </w:p>
          <w:p w14:paraId="0F9E99C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企业发展</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481AEF12">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1、本次采购为专门面向中小企业预留采购份额的采购项目。</w:t>
            </w:r>
          </w:p>
          <w:p w14:paraId="0866CB29">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04F2F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3、本次采购标的为工程，对应的中小企业划分标准所属行业是：</w:t>
            </w:r>
            <w:r>
              <w:rPr>
                <w:rFonts w:hint="eastAsia" w:ascii="宋体" w:hAnsi="宋体" w:eastAsia="宋体" w:cs="宋体"/>
                <w:b/>
                <w:bCs/>
                <w:color w:val="auto"/>
                <w:sz w:val="21"/>
                <w:szCs w:val="21"/>
                <w:highlight w:val="none"/>
              </w:rPr>
              <w:t xml:space="preserve">建筑业 </w:t>
            </w:r>
            <w:r>
              <w:rPr>
                <w:rFonts w:hint="eastAsia" w:ascii="宋体" w:hAnsi="宋体" w:eastAsia="宋体" w:cs="宋体"/>
                <w:color w:val="auto"/>
                <w:sz w:val="21"/>
                <w:szCs w:val="21"/>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FF1681">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4、符合小微企业划分标准的个体工商户，视同小微企业。</w:t>
            </w:r>
          </w:p>
          <w:p w14:paraId="73DBEAE4">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5、本次采购的工程要求全部由中小企业承建。</w:t>
            </w:r>
          </w:p>
          <w:p w14:paraId="0036BE7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7、承接的工程由中小企业承建的，供应商应当出具《中小企业声明函》。</w:t>
            </w:r>
          </w:p>
          <w:p w14:paraId="24A68198">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8、残疾人福利性单位视同小微企业。残疾人福利性单位参加政府采购活动时，应当提供《残疾人福利性单位声明函》。</w:t>
            </w:r>
          </w:p>
          <w:p w14:paraId="3A091593">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9、监狱企业视同小微企业。监狱企业参加政府采购活动时，应当出具省级以上监狱管理局、戒毒管理局（含新疆生产建设兵团）提供的属于监狱企业的证明文件。</w:t>
            </w:r>
          </w:p>
        </w:tc>
      </w:tr>
      <w:tr w14:paraId="1B1F1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01B8DE66">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2B64EBD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5D365B33">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tc>
      </w:tr>
      <w:tr w14:paraId="40588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31826309">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0D04264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1C275A18">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rPr>
            </w:pPr>
            <w:r>
              <w:rPr>
                <w:rFonts w:ascii="宋体" w:hAnsi="宋体" w:cs="宋体"/>
                <w:b/>
                <w:bCs/>
                <w:color w:val="auto"/>
                <w:sz w:val="21"/>
                <w:szCs w:val="21"/>
                <w:highlight w:val="none"/>
              </w:rPr>
              <w:t>本招标文件的解释权属于采购人和采购代理机构。</w:t>
            </w:r>
          </w:p>
        </w:tc>
      </w:tr>
      <w:tr w14:paraId="64A3B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14:paraId="6449839E">
            <w:pPr>
              <w:keepNext w:val="0"/>
              <w:keepLines w:val="0"/>
              <w:pageBreakBefore w:val="0"/>
              <w:kinsoku/>
              <w:wordWrap/>
              <w:overflowPunct/>
              <w:topLinePunct w:val="0"/>
              <w:bidi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779" w:type="pct"/>
            <w:tcBorders>
              <w:top w:val="single" w:color="auto" w:sz="4" w:space="0"/>
              <w:left w:val="single" w:color="auto" w:sz="4" w:space="0"/>
              <w:bottom w:val="single" w:color="auto" w:sz="4" w:space="0"/>
              <w:right w:val="single" w:color="auto" w:sz="4" w:space="0"/>
            </w:tcBorders>
            <w:noWrap w:val="0"/>
            <w:vAlign w:val="center"/>
          </w:tcPr>
          <w:p w14:paraId="621496B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835" w:type="pct"/>
            <w:tcBorders>
              <w:top w:val="single" w:color="auto" w:sz="4" w:space="0"/>
              <w:left w:val="single" w:color="auto" w:sz="4" w:space="0"/>
              <w:bottom w:val="single" w:color="auto" w:sz="4" w:space="0"/>
              <w:right w:val="single" w:color="auto" w:sz="4" w:space="0"/>
            </w:tcBorders>
            <w:noWrap w:val="0"/>
            <w:vAlign w:val="center"/>
          </w:tcPr>
          <w:p w14:paraId="3C323674">
            <w:pPr>
              <w:keepNext w:val="0"/>
              <w:keepLines w:val="0"/>
              <w:pageBreakBefore w:val="0"/>
              <w:kinsoku/>
              <w:wordWrap/>
              <w:overflowPunct/>
              <w:topLinePunct w:val="0"/>
              <w:bidi w:val="0"/>
              <w:snapToGrid w:val="0"/>
              <w:spacing w:line="360" w:lineRule="auto"/>
              <w:jc w:val="left"/>
              <w:rPr>
                <w:rFonts w:hint="default" w:ascii="宋体" w:hAnsi="宋体" w:cs="宋体"/>
                <w:b/>
                <w:bCs/>
                <w:color w:val="auto"/>
                <w:sz w:val="21"/>
                <w:szCs w:val="21"/>
                <w:highlight w:val="none"/>
              </w:rPr>
            </w:pPr>
            <w:r>
              <w:rPr>
                <w:rFonts w:hint="default" w:ascii="宋体" w:hAnsi="宋体" w:cs="宋体"/>
                <w:b/>
                <w:bCs/>
                <w:color w:val="auto"/>
                <w:sz w:val="21"/>
                <w:szCs w:val="21"/>
                <w:highlight w:val="none"/>
              </w:rPr>
              <w:t>参与同一标段</w:t>
            </w:r>
            <w:r>
              <w:rPr>
                <w:rFonts w:ascii="宋体" w:hAnsi="宋体" w:cs="宋体"/>
                <w:b/>
                <w:bCs/>
                <w:color w:val="auto"/>
                <w:sz w:val="21"/>
                <w:szCs w:val="21"/>
                <w:highlight w:val="none"/>
              </w:rPr>
              <w:t>（</w:t>
            </w:r>
            <w:r>
              <w:rPr>
                <w:rFonts w:hint="default" w:ascii="宋体" w:hAnsi="宋体" w:cs="宋体"/>
                <w:b/>
                <w:bCs/>
                <w:color w:val="auto"/>
                <w:sz w:val="21"/>
                <w:szCs w:val="21"/>
                <w:highlight w:val="none"/>
              </w:rPr>
              <w:t>包</w:t>
            </w:r>
            <w:r>
              <w:rPr>
                <w:rFonts w:ascii="宋体" w:hAnsi="宋体" w:cs="宋体"/>
                <w:b/>
                <w:bCs/>
                <w:color w:val="auto"/>
                <w:sz w:val="21"/>
                <w:szCs w:val="21"/>
                <w:highlight w:val="none"/>
              </w:rPr>
              <w:t>）</w:t>
            </w:r>
            <w:r>
              <w:rPr>
                <w:rFonts w:hint="default" w:ascii="宋体" w:hAnsi="宋体" w:cs="宋体"/>
                <w:b/>
                <w:bCs/>
                <w:color w:val="auto"/>
                <w:sz w:val="21"/>
                <w:szCs w:val="21"/>
                <w:highlight w:val="none"/>
              </w:rPr>
              <w:t>的投标人</w:t>
            </w:r>
            <w:r>
              <w:rPr>
                <w:rFonts w:ascii="宋体" w:hAnsi="宋体" w:cs="宋体"/>
                <w:b/>
                <w:bCs/>
                <w:color w:val="auto"/>
                <w:sz w:val="21"/>
                <w:szCs w:val="21"/>
                <w:highlight w:val="none"/>
              </w:rPr>
              <w:t>（</w:t>
            </w:r>
            <w:r>
              <w:rPr>
                <w:rFonts w:hint="default" w:ascii="宋体" w:hAnsi="宋体" w:cs="宋体"/>
                <w:b/>
                <w:bCs/>
                <w:color w:val="auto"/>
                <w:sz w:val="21"/>
                <w:szCs w:val="21"/>
                <w:highlight w:val="none"/>
              </w:rPr>
              <w:t>供应商</w:t>
            </w:r>
            <w:r>
              <w:rPr>
                <w:rFonts w:ascii="宋体" w:hAnsi="宋体" w:cs="宋体"/>
                <w:b/>
                <w:bCs/>
                <w:color w:val="auto"/>
                <w:sz w:val="21"/>
                <w:szCs w:val="21"/>
                <w:highlight w:val="none"/>
              </w:rPr>
              <w:t>）</w:t>
            </w:r>
            <w:r>
              <w:rPr>
                <w:rFonts w:hint="default" w:ascii="宋体" w:hAnsi="宋体" w:cs="宋体"/>
                <w:b/>
                <w:bCs/>
                <w:color w:val="auto"/>
                <w:sz w:val="21"/>
                <w:szCs w:val="21"/>
                <w:highlight w:val="none"/>
              </w:rPr>
              <w:t>存在IP或MAC或硬件信息或供应商手机号相同</w:t>
            </w:r>
            <w:r>
              <w:rPr>
                <w:rFonts w:ascii="宋体" w:hAnsi="宋体" w:cs="宋体"/>
                <w:b/>
                <w:bCs/>
                <w:color w:val="auto"/>
                <w:sz w:val="21"/>
                <w:szCs w:val="21"/>
                <w:highlight w:val="none"/>
              </w:rPr>
              <w:t>，</w:t>
            </w:r>
            <w:r>
              <w:rPr>
                <w:rFonts w:hint="default" w:ascii="宋体" w:hAnsi="宋体" w:cs="宋体"/>
                <w:b/>
                <w:bCs/>
                <w:color w:val="auto"/>
                <w:sz w:val="21"/>
                <w:szCs w:val="21"/>
                <w:highlight w:val="none"/>
              </w:rPr>
              <w:t>且无合理解释的情形的（注：IP、MAC、硬件信息是供应商投标客户端制作标书IP、MAC、硬件信息；手机号是上传投标文件时的手机号信息），其响应文件无效。</w:t>
            </w:r>
          </w:p>
          <w:p w14:paraId="433A4D9D">
            <w:pPr>
              <w:keepNext w:val="0"/>
              <w:keepLines w:val="0"/>
              <w:pageBreakBefore w:val="0"/>
              <w:kinsoku/>
              <w:wordWrap/>
              <w:overflowPunct/>
              <w:topLinePunct w:val="0"/>
              <w:bidi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如果竞争性磋商文件中有文字表述与本供应商须知前附表内容不一致时,以本供应商须知前附表为准。</w:t>
            </w:r>
          </w:p>
        </w:tc>
      </w:tr>
    </w:tbl>
    <w:p w14:paraId="378E0362">
      <w:pPr>
        <w:shd w:val="clear" w:color="auto" w:fill="FFFFFF"/>
        <w:spacing w:line="360" w:lineRule="auto"/>
        <w:ind w:firstLine="3360" w:firstLineChars="1400"/>
        <w:outlineLvl w:val="1"/>
        <w:rPr>
          <w:rFonts w:ascii="宋体" w:hAnsi="宋体" w:cs="宋体"/>
          <w:b/>
          <w:bCs/>
          <w:color w:val="auto"/>
          <w:sz w:val="24"/>
          <w:highlight w:val="none"/>
        </w:rPr>
      </w:pPr>
      <w:r>
        <w:rPr>
          <w:rFonts w:hint="eastAsia" w:ascii="宋体" w:hAnsi="宋体" w:cs="宋体"/>
          <w:color w:val="auto"/>
          <w:kern w:val="0"/>
          <w:sz w:val="24"/>
          <w:highlight w:val="none"/>
        </w:rPr>
        <w:br w:type="page"/>
      </w:r>
      <w:bookmarkEnd w:id="15"/>
      <w:bookmarkStart w:id="18" w:name="_Toc361217423"/>
      <w:bookmarkStart w:id="19" w:name="_Toc442428808"/>
      <w:bookmarkStart w:id="20" w:name="_Toc22923"/>
      <w:bookmarkStart w:id="21" w:name="_Toc14982"/>
      <w:bookmarkStart w:id="22" w:name="_Toc233618972"/>
      <w:bookmarkStart w:id="23" w:name="_Toc354996696"/>
      <w:bookmarkStart w:id="24" w:name="_Toc225840109"/>
      <w:bookmarkStart w:id="25" w:name="_Toc226106516"/>
      <w:bookmarkStart w:id="26" w:name="_Toc226521904"/>
      <w:bookmarkStart w:id="27" w:name="_Toc226106467"/>
      <w:r>
        <w:rPr>
          <w:rFonts w:hint="eastAsia" w:ascii="宋体" w:hAnsi="宋体" w:cs="宋体"/>
          <w:b/>
          <w:bCs/>
          <w:color w:val="auto"/>
          <w:sz w:val="24"/>
          <w:highlight w:val="none"/>
        </w:rPr>
        <w:t>一、总 则</w:t>
      </w:r>
      <w:bookmarkEnd w:id="18"/>
      <w:bookmarkEnd w:id="19"/>
      <w:bookmarkEnd w:id="20"/>
      <w:bookmarkEnd w:id="21"/>
      <w:bookmarkEnd w:id="22"/>
      <w:bookmarkEnd w:id="23"/>
    </w:p>
    <w:p w14:paraId="7B675C7E">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bookmarkStart w:id="28" w:name="_Hlt74730295"/>
      <w:bookmarkEnd w:id="28"/>
      <w:bookmarkStart w:id="29" w:name="_Hlt74714665"/>
      <w:bookmarkEnd w:id="29"/>
      <w:bookmarkStart w:id="30" w:name="_Toc91899872"/>
      <w:bookmarkStart w:id="31" w:name="_Hlt74730208"/>
      <w:bookmarkStart w:id="32" w:name="_Hlt74730112"/>
      <w:r>
        <w:rPr>
          <w:rFonts w:hint="eastAsia" w:ascii="宋体" w:hAnsi="宋体" w:cs="宋体"/>
          <w:b/>
          <w:bCs/>
          <w:color w:val="auto"/>
          <w:szCs w:val="21"/>
          <w:highlight w:val="none"/>
        </w:rPr>
        <w:t>1</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项目说明</w:t>
      </w:r>
      <w:bookmarkEnd w:id="30"/>
    </w:p>
    <w:p w14:paraId="0E1E2FF4">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 项目说明见投标须知前附表(以下称“前附表”)所述。</w:t>
      </w:r>
    </w:p>
    <w:p w14:paraId="7BE7EB4E">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 采购单位</w:t>
      </w: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为本项目的采购人(合同中的甲方)，浙江豪圣建设项目管理有限公司为采购代理机构，浙江省财政厅为监督管理部门。自愿参加本次项目采购的公司为供应商，经磋商产生并经批准供应商成交人(合同中的乙方)。</w:t>
      </w:r>
    </w:p>
    <w:p w14:paraId="04F50F98">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bookmarkStart w:id="33" w:name="_Toc91899873"/>
      <w:r>
        <w:rPr>
          <w:rFonts w:hint="eastAsia" w:ascii="宋体" w:hAnsi="宋体" w:cs="宋体"/>
          <w:b/>
          <w:bCs/>
          <w:color w:val="auto"/>
          <w:szCs w:val="21"/>
          <w:highlight w:val="none"/>
        </w:rPr>
        <w:t>2</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采购方式</w:t>
      </w:r>
      <w:bookmarkEnd w:id="33"/>
    </w:p>
    <w:p w14:paraId="15AD5A34">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竞争性磋商。</w:t>
      </w:r>
      <w:bookmarkEnd w:id="31"/>
      <w:bookmarkEnd w:id="32"/>
      <w:bookmarkStart w:id="34" w:name="_Hlt68516771"/>
      <w:bookmarkEnd w:id="34"/>
      <w:bookmarkStart w:id="35" w:name="_Hlt74388212"/>
      <w:bookmarkEnd w:id="35"/>
    </w:p>
    <w:p w14:paraId="503D30E3">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bookmarkStart w:id="36" w:name="_Toc91899876"/>
      <w:bookmarkStart w:id="37" w:name="_Hlt74730301"/>
      <w:r>
        <w:rPr>
          <w:rFonts w:hint="eastAsia" w:ascii="宋体" w:hAnsi="宋体" w:cs="宋体"/>
          <w:b/>
          <w:bCs/>
          <w:color w:val="auto"/>
          <w:szCs w:val="21"/>
          <w:highlight w:val="none"/>
        </w:rPr>
        <w:t>3</w:t>
      </w:r>
      <w:bookmarkEnd w:id="36"/>
      <w:bookmarkEnd w:id="37"/>
      <w:bookmarkStart w:id="38" w:name="_Toc91899877"/>
      <w:bookmarkStart w:id="39" w:name="_Hlt74730303"/>
      <w:r>
        <w:rPr>
          <w:rFonts w:hint="eastAsia" w:ascii="宋体" w:hAnsi="宋体" w:cs="宋体"/>
          <w:b/>
          <w:bCs/>
          <w:color w:val="auto"/>
          <w:kern w:val="0"/>
          <w:szCs w:val="21"/>
          <w:highlight w:val="none"/>
          <w:lang w:val="zh-CN"/>
        </w:rPr>
        <w:t>、定义</w:t>
      </w:r>
    </w:p>
    <w:p w14:paraId="744265A6">
      <w:pPr>
        <w:pageBreakBefore w:val="0"/>
        <w:shd w:val="clear" w:color="auto" w:fill="FFFFFF"/>
        <w:kinsoku/>
        <w:wordWrap/>
        <w:overflowPunct/>
        <w:topLinePunct w:val="0"/>
        <w:bidi w:val="0"/>
        <w:adjustRightInd w:val="0"/>
        <w:snapToGrid w:val="0"/>
        <w:spacing w:line="360" w:lineRule="auto"/>
        <w:ind w:firstLine="422" w:firstLineChars="200"/>
        <w:outlineLvl w:val="9"/>
        <w:rPr>
          <w:rFonts w:ascii="宋体" w:hAnsi="宋体" w:cs="宋体"/>
          <w:color w:val="auto"/>
          <w:kern w:val="0"/>
          <w:szCs w:val="21"/>
          <w:highlight w:val="none"/>
        </w:rPr>
      </w:pPr>
      <w:r>
        <w:rPr>
          <w:rFonts w:hint="eastAsia" w:ascii="宋体" w:hAnsi="宋体" w:cs="宋体"/>
          <w:b/>
          <w:bCs/>
          <w:color w:val="auto"/>
          <w:kern w:val="0"/>
          <w:szCs w:val="21"/>
          <w:highlight w:val="none"/>
          <w:lang w:val="zh-CN"/>
        </w:rPr>
        <w:t>3.1  合格的供应商应具备的资格要求，</w:t>
      </w:r>
      <w:r>
        <w:rPr>
          <w:rFonts w:hint="eastAsia" w:ascii="宋体" w:hAnsi="宋体" w:cs="宋体"/>
          <w:color w:val="auto"/>
          <w:kern w:val="0"/>
          <w:szCs w:val="21"/>
          <w:highlight w:val="none"/>
          <w:lang w:val="zh-CN"/>
        </w:rPr>
        <w:t>见磋商文件第一部分“竞争性磋商公告”。</w:t>
      </w:r>
    </w:p>
    <w:p w14:paraId="2FE95800">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3.</w:t>
      </w: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zh-CN"/>
        </w:rPr>
        <w:t xml:space="preserve">  </w:t>
      </w:r>
      <w:r>
        <w:rPr>
          <w:rFonts w:hint="eastAsia" w:ascii="宋体" w:hAnsi="宋体" w:cs="宋体"/>
          <w:b/>
          <w:bCs/>
          <w:color w:val="auto"/>
          <w:kern w:val="0"/>
          <w:szCs w:val="21"/>
          <w:highlight w:val="none"/>
        </w:rPr>
        <w:t>服务</w:t>
      </w:r>
    </w:p>
    <w:p w14:paraId="2793AC97">
      <w:pPr>
        <w:pageBreakBefore w:val="0"/>
        <w:kinsoku/>
        <w:wordWrap/>
        <w:overflowPunct/>
        <w:topLinePunct w:val="0"/>
        <w:bidi w:val="0"/>
        <w:adjustRightInd w:val="0"/>
        <w:snapToGrid w:val="0"/>
        <w:spacing w:line="360" w:lineRule="auto"/>
        <w:ind w:firstLine="481"/>
        <w:contextualSpacing/>
        <w:outlineLvl w:val="9"/>
        <w:rPr>
          <w:rFonts w:ascii="宋体" w:hAnsi="宋体" w:cs="宋体"/>
          <w:color w:val="auto"/>
          <w:kern w:val="0"/>
          <w:szCs w:val="21"/>
          <w:highlight w:val="none"/>
          <w:lang w:val="zh-CN"/>
        </w:rPr>
      </w:pPr>
      <w:r>
        <w:rPr>
          <w:rFonts w:hint="eastAsia" w:ascii="宋体" w:hAnsi="宋体" w:cs="宋体"/>
          <w:color w:val="auto"/>
          <w:szCs w:val="21"/>
          <w:highlight w:val="none"/>
          <w:lang w:val="zh-CN"/>
        </w:rPr>
        <w:t>2025-2026年年度小额施工单位（建筑安装施工）招标项目</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详见磋商文件第三部分“项目技术规范和</w:t>
      </w:r>
      <w:r>
        <w:rPr>
          <w:rFonts w:hint="eastAsia" w:ascii="宋体" w:hAnsi="宋体" w:cs="宋体"/>
          <w:color w:val="auto"/>
          <w:kern w:val="0"/>
          <w:szCs w:val="21"/>
          <w:highlight w:val="none"/>
        </w:rPr>
        <w:t>招标需求</w:t>
      </w:r>
      <w:r>
        <w:rPr>
          <w:rFonts w:hint="eastAsia" w:ascii="宋体" w:hAnsi="宋体" w:cs="宋体"/>
          <w:color w:val="auto"/>
          <w:kern w:val="0"/>
          <w:szCs w:val="21"/>
          <w:highlight w:val="none"/>
          <w:lang w:val="zh-CN"/>
        </w:rPr>
        <w:t>”。</w:t>
      </w:r>
    </w:p>
    <w:p w14:paraId="2E6CDB03">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bCs/>
          <w:color w:val="auto"/>
          <w:szCs w:val="21"/>
          <w:highlight w:val="none"/>
        </w:rPr>
        <w:t>4</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投标费用</w:t>
      </w:r>
    </w:p>
    <w:p w14:paraId="2F4C1B90">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rPr>
        <w:t>供应商需自行承担涉及投标的一切税、费用</w:t>
      </w:r>
      <w:r>
        <w:rPr>
          <w:rFonts w:hint="eastAsia" w:ascii="宋体" w:hAnsi="宋体" w:cs="宋体"/>
          <w:color w:val="auto"/>
          <w:kern w:val="0"/>
          <w:szCs w:val="21"/>
          <w:highlight w:val="none"/>
          <w:lang w:val="zh-CN"/>
        </w:rPr>
        <w:t>。</w:t>
      </w:r>
    </w:p>
    <w:p w14:paraId="78D80895">
      <w:pPr>
        <w:pStyle w:val="21"/>
        <w:pageBreakBefore w:val="0"/>
        <w:kinsoku/>
        <w:wordWrap/>
        <w:overflowPunct/>
        <w:topLinePunct w:val="0"/>
        <w:bidi w:val="0"/>
        <w:outlineLvl w:val="9"/>
        <w:rPr>
          <w:color w:val="auto"/>
          <w:highlight w:val="none"/>
        </w:rPr>
      </w:pPr>
    </w:p>
    <w:bookmarkEnd w:id="38"/>
    <w:bookmarkEnd w:id="39"/>
    <w:p w14:paraId="3D0EEB2E">
      <w:pPr>
        <w:pageBreakBefore w:val="0"/>
        <w:shd w:val="clear" w:color="auto" w:fill="FFFFFF"/>
        <w:tabs>
          <w:tab w:val="left" w:pos="365"/>
        </w:tabs>
        <w:kinsoku/>
        <w:wordWrap/>
        <w:overflowPunct/>
        <w:topLinePunct w:val="0"/>
        <w:bidi w:val="0"/>
        <w:adjustRightInd w:val="0"/>
        <w:snapToGrid w:val="0"/>
        <w:spacing w:line="360" w:lineRule="auto"/>
        <w:ind w:firstLine="525" w:firstLineChars="218"/>
        <w:jc w:val="center"/>
        <w:outlineLvl w:val="9"/>
        <w:rPr>
          <w:rFonts w:ascii="宋体" w:hAnsi="宋体" w:cs="宋体"/>
          <w:b/>
          <w:bCs/>
          <w:color w:val="auto"/>
          <w:sz w:val="24"/>
          <w:highlight w:val="none"/>
        </w:rPr>
      </w:pPr>
      <w:bookmarkStart w:id="40" w:name="_Hlt68057669"/>
      <w:bookmarkEnd w:id="40"/>
      <w:bookmarkStart w:id="41" w:name="_Hlt68072990"/>
      <w:bookmarkEnd w:id="41"/>
      <w:bookmarkStart w:id="42" w:name="_Hlt75236290"/>
      <w:bookmarkEnd w:id="42"/>
      <w:bookmarkStart w:id="43" w:name="_Hlt74707468"/>
      <w:bookmarkEnd w:id="43"/>
      <w:bookmarkStart w:id="44" w:name="_Hlt74729768"/>
      <w:bookmarkEnd w:id="44"/>
      <w:bookmarkStart w:id="45" w:name="_Toc233618973"/>
      <w:bookmarkStart w:id="46" w:name="_Toc361217424"/>
      <w:bookmarkStart w:id="47" w:name="_Toc354996697"/>
      <w:bookmarkStart w:id="48" w:name="_Toc442428809"/>
      <w:r>
        <w:rPr>
          <w:rFonts w:hint="eastAsia" w:ascii="宋体" w:hAnsi="宋体" w:cs="宋体"/>
          <w:b/>
          <w:bCs/>
          <w:color w:val="auto"/>
          <w:sz w:val="24"/>
          <w:highlight w:val="none"/>
        </w:rPr>
        <w:t>二、</w:t>
      </w:r>
      <w:bookmarkEnd w:id="45"/>
      <w:bookmarkEnd w:id="46"/>
      <w:bookmarkEnd w:id="47"/>
      <w:r>
        <w:rPr>
          <w:rFonts w:hint="eastAsia" w:ascii="宋体" w:hAnsi="宋体" w:cs="宋体"/>
          <w:b/>
          <w:bCs/>
          <w:color w:val="auto"/>
          <w:sz w:val="24"/>
          <w:highlight w:val="none"/>
        </w:rPr>
        <w:t>磋商文件</w:t>
      </w:r>
      <w:bookmarkEnd w:id="48"/>
    </w:p>
    <w:p w14:paraId="241FFFBD">
      <w:pPr>
        <w:pStyle w:val="26"/>
        <w:pageBreakBefore w:val="0"/>
        <w:kinsoku/>
        <w:wordWrap/>
        <w:overflowPunct/>
        <w:topLinePunct w:val="0"/>
        <w:bidi w:val="0"/>
        <w:adjustRightInd w:val="0"/>
        <w:snapToGrid w:val="0"/>
        <w:spacing w:line="360" w:lineRule="auto"/>
        <w:outlineLvl w:val="9"/>
        <w:rPr>
          <w:rFonts w:ascii="宋体" w:hAnsi="宋体" w:eastAsia="宋体"/>
          <w:b/>
          <w:color w:val="auto"/>
          <w:highlight w:val="none"/>
        </w:rPr>
      </w:pPr>
      <w:bookmarkStart w:id="49" w:name="_Hlt74730307"/>
      <w:bookmarkStart w:id="50" w:name="_Toc91899880"/>
      <w:r>
        <w:rPr>
          <w:rFonts w:hint="eastAsia" w:ascii="宋体" w:hAnsi="宋体" w:eastAsia="宋体"/>
          <w:b/>
          <w:color w:val="auto"/>
          <w:highlight w:val="none"/>
        </w:rPr>
        <w:t>5、磋商文件的组成</w:t>
      </w:r>
    </w:p>
    <w:p w14:paraId="37E7802E">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color w:val="auto"/>
          <w:highlight w:val="none"/>
        </w:rPr>
      </w:pPr>
      <w:r>
        <w:rPr>
          <w:rFonts w:hint="eastAsia" w:ascii="宋体" w:hAnsi="宋体" w:eastAsia="宋体"/>
          <w:color w:val="auto"/>
          <w:highlight w:val="none"/>
        </w:rPr>
        <w:t>5.1磋商文件包括下列文件及附件：</w:t>
      </w:r>
    </w:p>
    <w:p w14:paraId="53A5F316">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第一部分 竞争性磋商公告。</w:t>
      </w:r>
    </w:p>
    <w:p w14:paraId="0348886E">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第二部分 编制和提交磋商响应文件须知。</w:t>
      </w:r>
    </w:p>
    <w:p w14:paraId="282287F3">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 xml:space="preserve">第三部分 </w:t>
      </w:r>
      <w:r>
        <w:rPr>
          <w:rFonts w:hint="eastAsia" w:ascii="宋体" w:hAnsi="宋体" w:cs="宋体"/>
          <w:color w:val="auto"/>
          <w:kern w:val="0"/>
          <w:szCs w:val="21"/>
          <w:highlight w:val="none"/>
          <w:lang w:val="zh-CN"/>
        </w:rPr>
        <w:t>项目技术规范和</w:t>
      </w:r>
      <w:r>
        <w:rPr>
          <w:rFonts w:hint="eastAsia" w:ascii="宋体" w:hAnsi="宋体" w:cs="宋体"/>
          <w:color w:val="auto"/>
          <w:kern w:val="0"/>
          <w:szCs w:val="21"/>
          <w:highlight w:val="none"/>
        </w:rPr>
        <w:t>招标需求</w:t>
      </w:r>
      <w:r>
        <w:rPr>
          <w:rFonts w:hint="eastAsia" w:ascii="宋体" w:hAnsi="宋体" w:cs="宋体"/>
          <w:color w:val="auto"/>
          <w:szCs w:val="21"/>
          <w:highlight w:val="none"/>
        </w:rPr>
        <w:t>。</w:t>
      </w:r>
    </w:p>
    <w:p w14:paraId="335191C1">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第四部分 评标办法。</w:t>
      </w:r>
    </w:p>
    <w:p w14:paraId="234EC47E">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第五部分 采购合同的一般和特殊条款。</w:t>
      </w:r>
    </w:p>
    <w:p w14:paraId="441C2A01">
      <w:pPr>
        <w:pageBreakBefore w:val="0"/>
        <w:kinsoku/>
        <w:wordWrap/>
        <w:overflowPunct/>
        <w:topLinePunct w:val="0"/>
        <w:bidi w:val="0"/>
        <w:adjustRightInd w:val="0"/>
        <w:snapToGrid w:val="0"/>
        <w:spacing w:line="360" w:lineRule="auto"/>
        <w:ind w:firstLine="840" w:firstLineChars="400"/>
        <w:outlineLvl w:val="9"/>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部分 应提交的有关格式范例。</w:t>
      </w:r>
    </w:p>
    <w:p w14:paraId="0A9314D7">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5.2供应商应认真审阅磋商文件中所有的内容，包括编制和提交磋商响应文件须知、项目技术规范和招标需求、采购合同的主要条款、应提交的有关格式范例等。如果供应商编制的磋商响应文件没有从实质上响应磋商文件的要求，其磋商响应文件将被采购代理机构拒绝。</w:t>
      </w:r>
    </w:p>
    <w:p w14:paraId="2E2CB0B4">
      <w:pPr>
        <w:pStyle w:val="26"/>
        <w:pageBreakBefore w:val="0"/>
        <w:kinsoku/>
        <w:wordWrap/>
        <w:overflowPunct/>
        <w:topLinePunct w:val="0"/>
        <w:bidi w:val="0"/>
        <w:adjustRightInd w:val="0"/>
        <w:snapToGrid w:val="0"/>
        <w:spacing w:line="360" w:lineRule="auto"/>
        <w:outlineLvl w:val="9"/>
        <w:rPr>
          <w:rFonts w:ascii="宋体" w:hAnsi="宋体" w:eastAsia="宋体"/>
          <w:color w:val="auto"/>
          <w:highlight w:val="none"/>
        </w:rPr>
      </w:pPr>
      <w:r>
        <w:rPr>
          <w:rFonts w:hint="eastAsia" w:ascii="宋体" w:hAnsi="宋体" w:eastAsia="宋体"/>
          <w:b/>
          <w:color w:val="auto"/>
          <w:highlight w:val="none"/>
        </w:rPr>
        <w:t>6、磋商文件的澄清</w:t>
      </w:r>
    </w:p>
    <w:p w14:paraId="01097498">
      <w:pPr>
        <w:pStyle w:val="95"/>
        <w:pageBreakBefore w:val="0"/>
        <w:kinsoku/>
        <w:wordWrap/>
        <w:overflowPunct/>
        <w:topLinePunct w:val="0"/>
        <w:bidi w:val="0"/>
        <w:adjustRightInd w:val="0"/>
        <w:snapToGrid w:val="0"/>
        <w:spacing w:before="0"/>
        <w:ind w:left="120" w:leftChars="57"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得磋商文件的供应商。</w:t>
      </w:r>
    </w:p>
    <w:p w14:paraId="0D19BB7C">
      <w:pPr>
        <w:pageBreakBefore w:val="0"/>
        <w:tabs>
          <w:tab w:val="left" w:pos="3780"/>
        </w:tabs>
        <w:kinsoku/>
        <w:wordWrap/>
        <w:overflowPunct/>
        <w:topLinePunct w:val="0"/>
        <w:bidi w:val="0"/>
        <w:adjustRightInd w:val="0"/>
        <w:snapToGrid w:val="0"/>
        <w:spacing w:line="360" w:lineRule="auto"/>
        <w:ind w:firstLine="525" w:firstLineChars="250"/>
        <w:outlineLvl w:val="9"/>
        <w:rPr>
          <w:rFonts w:ascii="宋体" w:hAnsi="宋体" w:cs="宋体"/>
          <w:color w:val="auto"/>
          <w:szCs w:val="21"/>
          <w:highlight w:val="none"/>
        </w:rPr>
      </w:pPr>
      <w:r>
        <w:rPr>
          <w:rFonts w:hint="eastAsia" w:ascii="宋体" w:hAnsi="宋体" w:cs="宋体"/>
          <w:color w:val="auto"/>
          <w:szCs w:val="21"/>
          <w:highlight w:val="none"/>
        </w:rPr>
        <w:t>6.2 供应商一旦参与本次采购活动，即被视为接受了本采购文件的所有内容，如有任何异议，均已在答疑截止时间前提出。</w:t>
      </w:r>
    </w:p>
    <w:p w14:paraId="1D8DEA77">
      <w:pPr>
        <w:pStyle w:val="26"/>
        <w:pageBreakBefore w:val="0"/>
        <w:kinsoku/>
        <w:wordWrap/>
        <w:overflowPunct/>
        <w:topLinePunct w:val="0"/>
        <w:bidi w:val="0"/>
        <w:adjustRightInd w:val="0"/>
        <w:snapToGrid w:val="0"/>
        <w:spacing w:line="360" w:lineRule="auto"/>
        <w:outlineLvl w:val="9"/>
        <w:rPr>
          <w:rFonts w:ascii="宋体" w:hAnsi="宋体" w:eastAsia="宋体"/>
          <w:b/>
          <w:color w:val="auto"/>
          <w:highlight w:val="none"/>
        </w:rPr>
      </w:pPr>
      <w:r>
        <w:rPr>
          <w:rFonts w:hint="eastAsia" w:ascii="宋体" w:hAnsi="宋体" w:eastAsia="宋体"/>
          <w:b/>
          <w:color w:val="auto"/>
          <w:highlight w:val="none"/>
        </w:rPr>
        <w:t>7、磋商文件的修改</w:t>
      </w:r>
    </w:p>
    <w:p w14:paraId="7CC6F28C">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color w:val="auto"/>
          <w:highlight w:val="none"/>
        </w:rPr>
      </w:pPr>
      <w:r>
        <w:rPr>
          <w:rFonts w:hint="eastAsia" w:ascii="宋体" w:hAnsi="宋体" w:eastAsia="宋体"/>
          <w:color w:val="auto"/>
          <w:highlight w:val="none"/>
        </w:rPr>
        <w:t>7.1 磋商文件澄清、答复、修改、补充的内容为磋商文件的组成部分。当磋商文件与磋商文件的答复、澄清、修改、补充通知就同一内容的表述不一致时，以最后发出的书面文件为准。</w:t>
      </w:r>
    </w:p>
    <w:p w14:paraId="2422538A">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7.2 若有必要，采购代理机构将酌情延长递交磋商响应文件的截止日期。</w:t>
      </w:r>
    </w:p>
    <w:p w14:paraId="36AA4677">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bCs/>
          <w:color w:val="auto"/>
          <w:szCs w:val="21"/>
          <w:highlight w:val="none"/>
        </w:rPr>
        <w:t>8</w:t>
      </w:r>
      <w:r>
        <w:rPr>
          <w:rFonts w:hint="eastAsia" w:ascii="宋体" w:hAnsi="宋体" w:cs="宋体"/>
          <w:b/>
          <w:bCs/>
          <w:color w:val="auto"/>
          <w:kern w:val="0"/>
          <w:szCs w:val="21"/>
          <w:highlight w:val="none"/>
          <w:lang w:val="zh-CN"/>
        </w:rPr>
        <w:t>、</w:t>
      </w:r>
      <w:r>
        <w:rPr>
          <w:rFonts w:hint="eastAsia" w:ascii="宋体" w:hAnsi="宋体"/>
          <w:b/>
          <w:color w:val="auto"/>
          <w:szCs w:val="21"/>
          <w:highlight w:val="none"/>
        </w:rPr>
        <w:t>磋商响应</w:t>
      </w:r>
      <w:r>
        <w:rPr>
          <w:rFonts w:hint="eastAsia" w:ascii="宋体" w:hAnsi="宋体" w:cs="宋体"/>
          <w:b/>
          <w:bCs/>
          <w:color w:val="auto"/>
          <w:szCs w:val="21"/>
          <w:highlight w:val="none"/>
        </w:rPr>
        <w:t>报价</w:t>
      </w:r>
    </w:p>
    <w:p w14:paraId="55C6EB6B">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  报价</w:t>
      </w:r>
    </w:p>
    <w:p w14:paraId="4F167370">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关本项目所需的一切税、费用均计入报价。项目费用包括履行合同所需的全部费用，包括并不限于工时费、服务费、运输费、安装调试费、培训费、购买及制作标书费、税费及其他一切费用。投标供应商应根据《开标一览表》填写相关内容。《开标一览表》是报价的唯一载体。</w:t>
      </w:r>
    </w:p>
    <w:p w14:paraId="6A867B48">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  其它费用处理</w:t>
      </w:r>
    </w:p>
    <w:p w14:paraId="4C09453E">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采购文件未列明，而投标供应商认为必需的费用也需列入报价。投标供应商在磋商响应文件报价中应充分考虑所有可能发生的费用，否则采购人将视投标总价中已包括所有费用。</w:t>
      </w:r>
    </w:p>
    <w:p w14:paraId="55EAC7E7">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8.3  投标货币</w:t>
      </w:r>
    </w:p>
    <w:p w14:paraId="44C0093B">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磋商响应文件中价格全部采用人民币报价。报价应是唯一的，不接受有选择的报价。</w:t>
      </w:r>
    </w:p>
    <w:p w14:paraId="32ED4A04">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8.4  其他注意事项：</w:t>
      </w:r>
    </w:p>
    <w:p w14:paraId="63F61276">
      <w:pPr>
        <w:pageBreakBefore w:val="0"/>
        <w:tabs>
          <w:tab w:val="left" w:pos="3780"/>
        </w:tabs>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bookmarkStart w:id="51" w:name="_Toc394001375"/>
      <w:bookmarkStart w:id="52" w:name="_Toc442428810"/>
      <w:bookmarkStart w:id="53" w:name="_Toc351898258"/>
      <w:r>
        <w:rPr>
          <w:rFonts w:hint="eastAsia" w:ascii="宋体" w:hAnsi="宋体" w:cs="宋体"/>
          <w:color w:val="auto"/>
          <w:szCs w:val="21"/>
          <w:highlight w:val="none"/>
        </w:rPr>
        <w:t>磋商响应人在磋商响应活动中提供任何虚假材料，其磋商响应无效，并报浙江省财政厅查处。</w:t>
      </w:r>
    </w:p>
    <w:p w14:paraId="12A67AE8">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8.5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CE663E">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中小企业划分标准：《中小企业划分标准》（工信部联企业[2011]300号）。</w:t>
      </w:r>
    </w:p>
    <w:p w14:paraId="305754A8">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在政府采购活动中，供应商提供的货物、工程或者服务符合下列情形的，享受《政府采购促进中小企业发展管理办法》（财库〔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w:t>
      </w:r>
    </w:p>
    <w:p w14:paraId="7D4C37C3">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）在货物采购项目中，货物由中小企业制造，即货物由中小企业生产且使用该中小企业商号或者注册商标。</w:t>
      </w:r>
    </w:p>
    <w:p w14:paraId="5F26C639">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）在工程采购项目中，工程由中小企业承建，即工程施工单位为中小企业。</w:t>
      </w:r>
    </w:p>
    <w:p w14:paraId="4C0C4858">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62A18973">
      <w:pPr>
        <w:pageBreakBefore w:val="0"/>
        <w:shd w:val="clear" w:color="auto" w:fill="FFFFFF"/>
        <w:kinsoku/>
        <w:wordWrap/>
        <w:overflowPunct/>
        <w:topLinePunct w:val="0"/>
        <w:bidi w:val="0"/>
        <w:adjustRightInd w:val="0"/>
        <w:snapToGrid w:val="0"/>
        <w:spacing w:line="360" w:lineRule="auto"/>
        <w:ind w:firstLine="420" w:firstLineChars="200"/>
        <w:textAlignment w:val="bottom"/>
        <w:outlineLvl w:val="9"/>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A962235">
      <w:pPr>
        <w:pageBreakBefore w:val="0"/>
        <w:tabs>
          <w:tab w:val="left" w:pos="3780"/>
        </w:tabs>
        <w:kinsoku/>
        <w:wordWrap/>
        <w:overflowPunct/>
        <w:topLinePunct w:val="0"/>
        <w:bidi w:val="0"/>
        <w:adjustRightInd w:val="0"/>
        <w:snapToGrid w:val="0"/>
        <w:spacing w:line="360" w:lineRule="auto"/>
        <w:ind w:firstLine="466" w:firstLineChars="222"/>
        <w:outlineLvl w:val="9"/>
        <w:rPr>
          <w:rFonts w:ascii="宋体" w:hAns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31DB9E">
      <w:pPr>
        <w:pageBreakBefore w:val="0"/>
        <w:tabs>
          <w:tab w:val="left" w:pos="3780"/>
        </w:tabs>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残疾人福利性单位：符合《财政部民政部中国残疾人联合会关于促进残疾人就业政府采购政策的通知》（财库（2017）141号）的规定单位。</w:t>
      </w:r>
    </w:p>
    <w:p w14:paraId="005F3C58">
      <w:pPr>
        <w:pStyle w:val="21"/>
        <w:pageBreakBefore w:val="0"/>
        <w:kinsoku/>
        <w:wordWrap/>
        <w:overflowPunct/>
        <w:topLinePunct w:val="0"/>
        <w:bidi w:val="0"/>
        <w:outlineLvl w:val="9"/>
        <w:rPr>
          <w:color w:val="auto"/>
          <w:highlight w:val="none"/>
        </w:rPr>
      </w:pPr>
    </w:p>
    <w:p w14:paraId="7DB5E799">
      <w:pPr>
        <w:pageBreakBefore w:val="0"/>
        <w:kinsoku/>
        <w:wordWrap/>
        <w:overflowPunct/>
        <w:topLinePunct w:val="0"/>
        <w:bidi w:val="0"/>
        <w:spacing w:line="360" w:lineRule="auto"/>
        <w:jc w:val="center"/>
        <w:outlineLvl w:val="9"/>
        <w:rPr>
          <w:rFonts w:ascii="宋体" w:hAnsi="宋体" w:cs="宋体"/>
          <w:b/>
          <w:color w:val="auto"/>
          <w:sz w:val="24"/>
          <w:highlight w:val="none"/>
        </w:rPr>
      </w:pPr>
      <w:r>
        <w:rPr>
          <w:rFonts w:hint="eastAsia" w:ascii="宋体" w:hAnsi="宋体" w:cs="宋体"/>
          <w:b/>
          <w:color w:val="auto"/>
          <w:sz w:val="24"/>
          <w:highlight w:val="none"/>
        </w:rPr>
        <w:t>三、磋商响应文件的编制</w:t>
      </w:r>
      <w:bookmarkEnd w:id="51"/>
      <w:bookmarkEnd w:id="52"/>
      <w:bookmarkEnd w:id="53"/>
    </w:p>
    <w:p w14:paraId="3F4DF21A">
      <w:pPr>
        <w:pageBreakBefore w:val="0"/>
        <w:kinsoku/>
        <w:wordWrap/>
        <w:overflowPunct/>
        <w:topLinePunct w:val="0"/>
        <w:bidi w:val="0"/>
        <w:adjustRightInd w:val="0"/>
        <w:snapToGrid w:val="0"/>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9、磋商响应文件的语言</w:t>
      </w:r>
    </w:p>
    <w:p w14:paraId="21A0B5A9">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供应商提交的磋商响应文件，以及供应商与采购有关投标的所有来往电函应使用中文，供应商可以提交用其它语言印制的资料，但必须译成中文，如有差异和矛盾以中文为准。</w:t>
      </w:r>
    </w:p>
    <w:bookmarkEnd w:id="49"/>
    <w:bookmarkEnd w:id="50"/>
    <w:p w14:paraId="0D55C7A2">
      <w:pPr>
        <w:pageBreakBefore w:val="0"/>
        <w:shd w:val="clear" w:color="auto" w:fill="FFFFFF"/>
        <w:kinsoku/>
        <w:wordWrap/>
        <w:overflowPunct/>
        <w:topLinePunct w:val="0"/>
        <w:bidi w:val="0"/>
        <w:spacing w:line="360" w:lineRule="auto"/>
        <w:ind w:firstLine="422" w:firstLineChars="200"/>
        <w:jc w:val="left"/>
        <w:outlineLvl w:val="9"/>
        <w:rPr>
          <w:rFonts w:ascii="宋体" w:hAnsi="宋体" w:cs="宋体"/>
          <w:b/>
          <w:bCs/>
          <w:color w:val="auto"/>
          <w:szCs w:val="21"/>
          <w:highlight w:val="none"/>
        </w:rPr>
      </w:pPr>
      <w:r>
        <w:rPr>
          <w:rFonts w:hint="eastAsia" w:ascii="宋体" w:hAnsi="宋体" w:cs="宋体"/>
          <w:b/>
          <w:bCs/>
          <w:color w:val="auto"/>
          <w:szCs w:val="21"/>
          <w:highlight w:val="none"/>
        </w:rPr>
        <w:t>10</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磋商响应文件的组成</w:t>
      </w:r>
    </w:p>
    <w:p w14:paraId="66CAFDDA">
      <w:pPr>
        <w:pageBreakBefore w:val="0"/>
        <w:kinsoku/>
        <w:wordWrap/>
        <w:overflowPunct/>
        <w:topLinePunct w:val="0"/>
        <w:bidi w:val="0"/>
        <w:adjustRightInd w:val="0"/>
        <w:snapToGrid w:val="0"/>
        <w:spacing w:line="360" w:lineRule="auto"/>
        <w:ind w:firstLine="420" w:firstLineChars="200"/>
        <w:contextualSpacing/>
        <w:outlineLvl w:val="9"/>
        <w:rPr>
          <w:rFonts w:ascii="宋体" w:hAnsi="宋体" w:cs="宋体"/>
          <w:bCs/>
          <w:color w:val="auto"/>
          <w:szCs w:val="21"/>
          <w:highlight w:val="none"/>
          <w:lang w:val="zh-CN"/>
        </w:rPr>
      </w:pPr>
      <w:r>
        <w:rPr>
          <w:rFonts w:hint="eastAsia" w:ascii="宋体" w:hAnsi="宋体" w:cs="宋体"/>
          <w:bCs/>
          <w:color w:val="auto"/>
          <w:szCs w:val="21"/>
          <w:highlight w:val="none"/>
        </w:rPr>
        <w:t>磋商响应文件应当包括以下主要内容：</w:t>
      </w:r>
      <w:r>
        <w:rPr>
          <w:rFonts w:hint="eastAsia" w:ascii="宋体" w:hAnsi="宋体" w:cs="宋体"/>
          <w:bCs/>
          <w:color w:val="auto"/>
          <w:szCs w:val="21"/>
          <w:highlight w:val="none"/>
          <w:lang w:val="zh-CN"/>
        </w:rPr>
        <w:t>资格文件、报价文件、商务技术文件</w:t>
      </w:r>
      <w:r>
        <w:rPr>
          <w:rFonts w:hint="eastAsia" w:ascii="宋体" w:hAnsi="宋体" w:cs="宋体"/>
          <w:bCs/>
          <w:color w:val="auto"/>
          <w:szCs w:val="21"/>
          <w:highlight w:val="none"/>
        </w:rPr>
        <w:t>。</w:t>
      </w:r>
      <w:r>
        <w:rPr>
          <w:rFonts w:hint="eastAsia" w:ascii="宋体" w:hAnsi="宋体" w:cs="宋体"/>
          <w:b/>
          <w:bCs/>
          <w:color w:val="auto"/>
          <w:kern w:val="0"/>
          <w:szCs w:val="21"/>
          <w:highlight w:val="none"/>
          <w:lang w:val="zh-CN"/>
        </w:rPr>
        <w:t>（其中电子</w:t>
      </w:r>
      <w:r>
        <w:rPr>
          <w:rFonts w:hint="eastAsia" w:ascii="宋体" w:hAnsi="宋体" w:cs="宋体"/>
          <w:b/>
          <w:bCs/>
          <w:color w:val="auto"/>
          <w:kern w:val="0"/>
          <w:szCs w:val="21"/>
          <w:highlight w:val="none"/>
        </w:rPr>
        <w:t>磋商</w:t>
      </w:r>
      <w:r>
        <w:rPr>
          <w:rFonts w:hint="eastAsia" w:ascii="宋体" w:hAnsi="宋体" w:cs="宋体"/>
          <w:b/>
          <w:bCs/>
          <w:color w:val="auto"/>
          <w:kern w:val="0"/>
          <w:szCs w:val="21"/>
          <w:highlight w:val="none"/>
          <w:lang w:val="zh-CN"/>
        </w:rPr>
        <w:t>响应文件中所须加盖公章部分均采用CA签章）</w:t>
      </w:r>
    </w:p>
    <w:p w14:paraId="66ACF3D5">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 xml:space="preserve">10.1 </w:t>
      </w:r>
      <w:r>
        <w:rPr>
          <w:rFonts w:hint="eastAsia" w:ascii="宋体" w:hAnsi="宋体" w:eastAsia="宋体"/>
          <w:bCs/>
          <w:color w:val="auto"/>
          <w:highlight w:val="none"/>
          <w:lang w:val="zh-CN"/>
        </w:rPr>
        <w:t xml:space="preserve"> 资格文件</w:t>
      </w:r>
      <w:r>
        <w:rPr>
          <w:rFonts w:hint="eastAsia" w:ascii="宋体" w:hAnsi="宋体" w:eastAsia="宋体"/>
          <w:bCs/>
          <w:color w:val="auto"/>
          <w:highlight w:val="none"/>
        </w:rPr>
        <w:t>至少应包括以下内容：</w:t>
      </w:r>
    </w:p>
    <w:p w14:paraId="131A9986">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资格审查资料</w:t>
      </w:r>
    </w:p>
    <w:p w14:paraId="2C58DFF9">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 xml:space="preserve">10.2  </w:t>
      </w:r>
      <w:r>
        <w:rPr>
          <w:rFonts w:hint="eastAsia" w:ascii="宋体" w:hAnsi="宋体" w:eastAsia="宋体"/>
          <w:bCs/>
          <w:color w:val="auto"/>
          <w:highlight w:val="none"/>
        </w:rPr>
        <w:t>报价文件至少应包括以下内容：</w:t>
      </w:r>
    </w:p>
    <w:p w14:paraId="644A3C8D">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（1）投标响应函</w:t>
      </w:r>
    </w:p>
    <w:p w14:paraId="1CCFE43E">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（2）开标一览表</w:t>
      </w:r>
    </w:p>
    <w:p w14:paraId="35E052ED">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（3）磋商价格组成明细表</w:t>
      </w:r>
    </w:p>
    <w:p w14:paraId="14372009">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rPr>
        <w:t>（4）交纳采购代理服务费承诺书</w:t>
      </w:r>
    </w:p>
    <w:p w14:paraId="0E5ABD51">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 xml:space="preserve">10.3  </w:t>
      </w:r>
      <w:r>
        <w:rPr>
          <w:rFonts w:hint="eastAsia" w:ascii="宋体" w:hAnsi="宋体" w:eastAsia="宋体"/>
          <w:bCs/>
          <w:color w:val="auto"/>
          <w:highlight w:val="none"/>
        </w:rPr>
        <w:t>商务</w:t>
      </w:r>
      <w:r>
        <w:rPr>
          <w:rFonts w:hint="eastAsia" w:ascii="宋体" w:hAnsi="宋体" w:eastAsia="宋体"/>
          <w:bCs/>
          <w:color w:val="auto"/>
          <w:highlight w:val="none"/>
          <w:lang w:val="zh-CN"/>
        </w:rPr>
        <w:t>技术文件</w:t>
      </w:r>
      <w:r>
        <w:rPr>
          <w:rFonts w:hint="eastAsia" w:ascii="宋体" w:hAnsi="宋体" w:eastAsia="宋体"/>
          <w:bCs/>
          <w:color w:val="auto"/>
          <w:highlight w:val="none"/>
        </w:rPr>
        <w:t>至少应包括以下内容</w:t>
      </w:r>
      <w:r>
        <w:rPr>
          <w:rFonts w:hint="eastAsia" w:ascii="宋体" w:hAnsi="宋体" w:eastAsia="宋体"/>
          <w:bCs/>
          <w:color w:val="auto"/>
          <w:highlight w:val="none"/>
          <w:lang w:val="zh-CN"/>
        </w:rPr>
        <w:t>：</w:t>
      </w:r>
    </w:p>
    <w:p w14:paraId="7D2CAD6F">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（1）法定代表人授权委托书</w:t>
      </w:r>
    </w:p>
    <w:p w14:paraId="40F84FA5">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（2）法定代表人及授权代表人的身份证</w:t>
      </w:r>
    </w:p>
    <w:p w14:paraId="709E462F">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（3）公司介绍及提供同类项目经验。</w:t>
      </w:r>
      <w:r>
        <w:rPr>
          <w:rFonts w:hint="eastAsia" w:ascii="宋体" w:hAnsi="宋体" w:eastAsia="宋体"/>
          <w:b/>
          <w:color w:val="auto"/>
          <w:highlight w:val="none"/>
          <w:lang w:val="zh-CN"/>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14:paraId="5011E2A1">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（4）资质文件（如有）</w:t>
      </w:r>
    </w:p>
    <w:p w14:paraId="23C444AB">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（5）</w:t>
      </w:r>
      <w:r>
        <w:rPr>
          <w:rFonts w:hint="eastAsia" w:ascii="宋体" w:hAnsi="宋体" w:eastAsia="宋体"/>
          <w:bCs/>
          <w:color w:val="auto"/>
          <w:highlight w:val="none"/>
        </w:rPr>
        <w:t>商务、</w:t>
      </w:r>
      <w:r>
        <w:rPr>
          <w:rFonts w:hint="eastAsia" w:ascii="宋体" w:hAnsi="宋体" w:eastAsia="宋体"/>
          <w:bCs/>
          <w:color w:val="auto"/>
          <w:highlight w:val="none"/>
          <w:lang w:val="zh-CN"/>
        </w:rPr>
        <w:t>技术偏离表</w:t>
      </w:r>
    </w:p>
    <w:p w14:paraId="565D9AC6">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（6）评标标准相应的商务技术资料</w:t>
      </w:r>
    </w:p>
    <w:p w14:paraId="495BC4A0">
      <w:pPr>
        <w:pageBreakBefore w:val="0"/>
        <w:kinsoku/>
        <w:wordWrap/>
        <w:overflowPunct/>
        <w:topLinePunct w:val="0"/>
        <w:bidi w:val="0"/>
        <w:ind w:firstLine="420" w:firstLineChars="200"/>
        <w:outlineLvl w:val="9"/>
        <w:rPr>
          <w:color w:val="auto"/>
          <w:highlight w:val="none"/>
          <w:lang w:val="zh-CN"/>
        </w:rPr>
      </w:pPr>
      <w:r>
        <w:rPr>
          <w:rFonts w:hint="eastAsia"/>
          <w:color w:val="auto"/>
          <w:highlight w:val="none"/>
          <w:lang w:val="zh-CN"/>
        </w:rPr>
        <w:t>（</w:t>
      </w:r>
      <w:r>
        <w:rPr>
          <w:rFonts w:hint="eastAsia"/>
          <w:color w:val="auto"/>
          <w:highlight w:val="none"/>
        </w:rPr>
        <w:t>7</w:t>
      </w:r>
      <w:r>
        <w:rPr>
          <w:rFonts w:hint="eastAsia"/>
          <w:color w:val="auto"/>
          <w:highlight w:val="none"/>
          <w:lang w:val="zh-CN"/>
        </w:rPr>
        <w:t>）分包意向协议（需明确分包的金额比重、中小企业声明函中需体现分包商的信息）（如有）</w:t>
      </w:r>
    </w:p>
    <w:p w14:paraId="453D68A7">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rPr>
      </w:pPr>
      <w:r>
        <w:rPr>
          <w:rFonts w:hint="eastAsia" w:ascii="宋体" w:hAnsi="宋体" w:eastAsia="宋体"/>
          <w:bCs/>
          <w:color w:val="auto"/>
          <w:highlight w:val="none"/>
          <w:lang w:val="zh-CN"/>
        </w:rPr>
        <w:t>（</w:t>
      </w:r>
      <w:r>
        <w:rPr>
          <w:rFonts w:hint="eastAsia" w:ascii="宋体" w:hAnsi="宋体" w:eastAsia="宋体"/>
          <w:bCs/>
          <w:color w:val="auto"/>
          <w:highlight w:val="none"/>
        </w:rPr>
        <w:t>8</w:t>
      </w:r>
      <w:r>
        <w:rPr>
          <w:rFonts w:hint="eastAsia" w:ascii="宋体" w:hAnsi="宋体" w:eastAsia="宋体"/>
          <w:bCs/>
          <w:color w:val="auto"/>
          <w:highlight w:val="none"/>
          <w:lang w:val="zh-CN"/>
        </w:rPr>
        <w:t>）其他必要提供的资料</w:t>
      </w:r>
    </w:p>
    <w:p w14:paraId="4948B95B">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bCs/>
          <w:color w:val="auto"/>
          <w:highlight w:val="none"/>
          <w:lang w:val="zh-CN"/>
        </w:rPr>
      </w:pPr>
      <w:r>
        <w:rPr>
          <w:rFonts w:hint="eastAsia" w:ascii="宋体" w:hAnsi="宋体" w:eastAsia="宋体"/>
          <w:bCs/>
          <w:color w:val="auto"/>
          <w:highlight w:val="none"/>
          <w:lang w:val="zh-CN"/>
        </w:rPr>
        <w:t>注：上述组成投标文件的各项资料中本</w:t>
      </w:r>
      <w:r>
        <w:rPr>
          <w:rFonts w:hint="eastAsia" w:ascii="宋体" w:hAnsi="宋体" w:eastAsia="宋体"/>
          <w:bCs/>
          <w:color w:val="auto"/>
          <w:highlight w:val="none"/>
        </w:rPr>
        <w:t>磋商</w:t>
      </w:r>
      <w:r>
        <w:rPr>
          <w:rFonts w:hint="eastAsia" w:ascii="宋体" w:hAnsi="宋体" w:eastAsia="宋体"/>
          <w:bCs/>
          <w:color w:val="auto"/>
          <w:highlight w:val="none"/>
          <w:lang w:val="zh-CN"/>
        </w:rPr>
        <w:t>文件的有规定格式的，应统一按本</w:t>
      </w:r>
      <w:r>
        <w:rPr>
          <w:rFonts w:hint="eastAsia" w:ascii="宋体" w:hAnsi="宋体" w:eastAsia="宋体"/>
          <w:bCs/>
          <w:color w:val="auto"/>
          <w:highlight w:val="none"/>
        </w:rPr>
        <w:t>磋商</w:t>
      </w:r>
      <w:r>
        <w:rPr>
          <w:rFonts w:hint="eastAsia" w:ascii="宋体" w:hAnsi="宋体" w:eastAsia="宋体"/>
          <w:bCs/>
          <w:color w:val="auto"/>
          <w:highlight w:val="none"/>
          <w:lang w:val="zh-CN"/>
        </w:rPr>
        <w:t>文件的规定格式填写。未有规定格式的资料，供应商应自行编制，但至少要包含以上要求的内容。</w:t>
      </w:r>
    </w:p>
    <w:p w14:paraId="0AAEC98B">
      <w:pPr>
        <w:pageBreakBefore w:val="0"/>
        <w:kinsoku/>
        <w:wordWrap/>
        <w:overflowPunct/>
        <w:topLinePunct w:val="0"/>
        <w:bidi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lang w:val="zh-CN"/>
        </w:rPr>
        <w:t>供应商应当按照磋商文件的要求编制响应文件，并对其提交的响应文件的真实性、合法性承担法律责任</w:t>
      </w:r>
      <w:r>
        <w:rPr>
          <w:rFonts w:hint="eastAsia" w:ascii="宋体" w:hAnsi="宋体" w:cs="宋体"/>
          <w:b/>
          <w:bCs/>
          <w:color w:val="auto"/>
          <w:szCs w:val="21"/>
          <w:highlight w:val="none"/>
        </w:rPr>
        <w:t>。</w:t>
      </w:r>
    </w:p>
    <w:p w14:paraId="27BA7AF1">
      <w:pPr>
        <w:pageBreakBefore w:val="0"/>
        <w:kinsoku/>
        <w:wordWrap/>
        <w:overflowPunct/>
        <w:topLinePunct w:val="0"/>
        <w:bidi w:val="0"/>
        <w:spacing w:line="360" w:lineRule="auto"/>
        <w:ind w:firstLine="422" w:firstLineChars="200"/>
        <w:outlineLvl w:val="9"/>
        <w:rPr>
          <w:b/>
          <w:bCs/>
          <w:color w:val="auto"/>
          <w:highlight w:val="none"/>
        </w:rPr>
      </w:pPr>
      <w:r>
        <w:rPr>
          <w:b/>
          <w:bCs/>
          <w:color w:val="auto"/>
          <w:highlight w:val="none"/>
        </w:rPr>
        <w:t>注：1、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b/>
          <w:bCs/>
          <w:color w:val="auto"/>
          <w:highlight w:val="none"/>
        </w:rPr>
        <w:t>。</w:t>
      </w:r>
      <w:r>
        <w:rPr>
          <w:b/>
          <w:bCs/>
          <w:color w:val="auto"/>
          <w:highlight w:val="none"/>
        </w:rPr>
        <w:t>(▲如以联合体形式参加政府采购活动的，联合体协议不符合投标文件规定的联合体协议要求的，投标无效。）</w:t>
      </w:r>
    </w:p>
    <w:p w14:paraId="3D8EBC62">
      <w:pPr>
        <w:pageBreakBefore w:val="0"/>
        <w:shd w:val="clear" w:color="auto" w:fill="FFFFFF"/>
        <w:kinsoku/>
        <w:wordWrap/>
        <w:overflowPunct/>
        <w:topLinePunct w:val="0"/>
        <w:bidi w:val="0"/>
        <w:adjustRightInd w:val="0"/>
        <w:snapToGrid w:val="0"/>
        <w:spacing w:line="360" w:lineRule="auto"/>
        <w:ind w:firstLine="422" w:firstLineChars="200"/>
        <w:outlineLvl w:val="9"/>
        <w:rPr>
          <w:rFonts w:ascii="宋体" w:hAnsi="宋体" w:cs="宋体"/>
          <w:b/>
          <w:bCs/>
          <w:color w:val="auto"/>
          <w:szCs w:val="21"/>
          <w:highlight w:val="none"/>
        </w:rPr>
      </w:pPr>
      <w:r>
        <w:rPr>
          <w:b/>
          <w:bCs/>
          <w:color w:val="auto"/>
          <w:highlight w:val="none"/>
        </w:rPr>
        <w:t>2、联合体各方资信情况证明文件（营业执照、符合资格条件的声明函、业绩证明材料）由各方成员盖章签字，其他内容以联合体牵头单位为主签署投标文件。</w:t>
      </w:r>
    </w:p>
    <w:p w14:paraId="1F6FA882">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磋商保证金</w:t>
      </w:r>
    </w:p>
    <w:p w14:paraId="4FAC09AE">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无</w:t>
      </w:r>
    </w:p>
    <w:p w14:paraId="43597F3E">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bCs/>
          <w:color w:val="auto"/>
          <w:szCs w:val="21"/>
          <w:highlight w:val="none"/>
        </w:rPr>
        <w:t>12</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磋商响应文件的编制和签章</w:t>
      </w:r>
    </w:p>
    <w:p w14:paraId="0891FB9D">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12.1本项目通过“政府采购云平台（www.zcygov.cn）”实行在线投标响应（电子投标）。供应商应通过“政采云电子交易客户端”，并按照本采购文件和“政府采购云平台”的要求编制并加密磋商响应文件。</w:t>
      </w:r>
    </w:p>
    <w:p w14:paraId="7A47C05E">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12.2磋商响应供应商应当按照“10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磋商响应文件的组成”规定的内容及顺序在“政采云电子交易客户端”编制磋商响应文件。</w:t>
      </w:r>
      <w:r>
        <w:rPr>
          <w:rFonts w:hint="eastAsia" w:ascii="宋体" w:hAnsi="宋体" w:cs="宋体"/>
          <w:b/>
          <w:color w:val="auto"/>
          <w:kern w:val="0"/>
          <w:szCs w:val="21"/>
          <w:highlight w:val="none"/>
        </w:rPr>
        <w:t>其中《资格文件》和《商务技术文件》中不得出现本项目</w:t>
      </w:r>
      <w:r>
        <w:rPr>
          <w:rFonts w:hint="eastAsia" w:ascii="宋体" w:hAnsi="宋体" w:cs="宋体"/>
          <w:b/>
          <w:color w:val="auto"/>
          <w:szCs w:val="21"/>
          <w:highlight w:val="none"/>
        </w:rPr>
        <w:t>磋商响应文件</w:t>
      </w:r>
      <w:r>
        <w:rPr>
          <w:rFonts w:hint="eastAsia" w:ascii="宋体" w:hAnsi="宋体" w:cs="宋体"/>
          <w:b/>
          <w:color w:val="auto"/>
          <w:kern w:val="0"/>
          <w:szCs w:val="21"/>
          <w:highlight w:val="none"/>
        </w:rPr>
        <w:t>报价，如因磋商响应人原因提前泄露</w:t>
      </w:r>
      <w:r>
        <w:rPr>
          <w:rFonts w:hint="eastAsia" w:ascii="宋体" w:hAnsi="宋体" w:cs="宋体"/>
          <w:b/>
          <w:color w:val="auto"/>
          <w:szCs w:val="21"/>
          <w:highlight w:val="none"/>
        </w:rPr>
        <w:t>磋商响应文件</w:t>
      </w:r>
      <w:r>
        <w:rPr>
          <w:rFonts w:hint="eastAsia" w:ascii="宋体" w:hAnsi="宋体" w:cs="宋体"/>
          <w:b/>
          <w:color w:val="auto"/>
          <w:kern w:val="0"/>
          <w:szCs w:val="21"/>
          <w:highlight w:val="none"/>
        </w:rPr>
        <w:t>报价，后果自负。</w:t>
      </w:r>
    </w:p>
    <w:p w14:paraId="339C4D77">
      <w:pPr>
        <w:pageBreakBefore w:val="0"/>
        <w:kinsoku/>
        <w:wordWrap/>
        <w:overflowPunct/>
        <w:topLinePunct w:val="0"/>
        <w:bidi w:val="0"/>
        <w:adjustRightInd w:val="0"/>
        <w:snapToGrid w:val="0"/>
        <w:spacing w:line="360" w:lineRule="auto"/>
        <w:ind w:firstLine="371" w:firstLineChars="176"/>
        <w:outlineLvl w:val="9"/>
        <w:rPr>
          <w:rFonts w:ascii="宋体" w:hAnsi="宋体" w:cs="宋体"/>
          <w:b/>
          <w:bCs/>
          <w:color w:val="auto"/>
          <w:szCs w:val="21"/>
          <w:highlight w:val="none"/>
        </w:rPr>
      </w:pPr>
      <w:r>
        <w:rPr>
          <w:rFonts w:hint="eastAsia" w:ascii="宋体" w:hAnsi="宋体" w:cs="宋体"/>
          <w:b/>
          <w:bCs/>
          <w:color w:val="auto"/>
          <w:szCs w:val="21"/>
          <w:highlight w:val="none"/>
        </w:rPr>
        <w:t>12.3本文件《第五部分应提交的有关格式范例》中有提供格式的，磋商响应供应商须参照格式进行编制（格式中要求提供相关证明材料的还需后附相关证明材料），并按格式要求在指定位置根据要求进行关联定位并签章。本文件《第五部分  应提交的有关格式范例》未提供格式的，请各磋商响应单位自行拟定格式，并加盖单位公章。</w:t>
      </w:r>
      <w:r>
        <w:rPr>
          <w:rFonts w:hint="eastAsia" w:ascii="宋体" w:hAnsi="宋体" w:cs="宋体"/>
          <w:b/>
          <w:color w:val="auto"/>
          <w:kern w:val="0"/>
          <w:szCs w:val="21"/>
          <w:highlight w:val="none"/>
        </w:rPr>
        <w:t>电子签章操作指南详见采购公告附件</w:t>
      </w:r>
      <w:r>
        <w:rPr>
          <w:rFonts w:hint="eastAsia" w:ascii="宋体" w:hAnsi="宋体" w:cs="宋体"/>
          <w:b/>
          <w:color w:val="auto"/>
          <w:szCs w:val="21"/>
          <w:highlight w:val="none"/>
        </w:rPr>
        <w:t>《供应商项目采购-电子招投标操作指南》</w:t>
      </w:r>
      <w:r>
        <w:rPr>
          <w:rFonts w:hint="eastAsia" w:ascii="宋体" w:hAnsi="宋体" w:cs="宋体"/>
          <w:color w:val="auto"/>
          <w:szCs w:val="21"/>
          <w:highlight w:val="none"/>
        </w:rPr>
        <w:t>。</w:t>
      </w:r>
    </w:p>
    <w:p w14:paraId="6B98217B">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12.4本章节“10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磋商响应文件的组成”内容中约定可以提供复制件的相关证明材料加盖磋商响应供应商公章（例如：各类资格资质证书、业绩材料、荣誉证书等）。</w:t>
      </w:r>
    </w:p>
    <w:p w14:paraId="55FE722D">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12.5本章节“10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磋商响应文件的组成”内容中标注“▲”的内容为必须提供的内容，未提供的磋商响应无效。</w:t>
      </w:r>
    </w:p>
    <w:p w14:paraId="243CD1BF">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12.6《磋商响应文件》内容不完整、编排混乱导致《磋商响应文件》被误读、漏读或者查找不到相关内容的，是磋商响应供应商的责任。</w:t>
      </w:r>
    </w:p>
    <w:p w14:paraId="2FE1F9AA">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12.7《磋商响应文件》因字迹潦草或表达不清所引起的后果由磋商响应供应商负责。</w:t>
      </w:r>
    </w:p>
    <w:p w14:paraId="0326B9DA">
      <w:pPr>
        <w:pageBreakBefore w:val="0"/>
        <w:shd w:val="clear" w:color="auto" w:fill="FFFFFF"/>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12.8磋商响应供应商没有按照“10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磋商响应文件的组成”要求提供全部资料，或者没有仔细阅读采购文件，或者没有对采购文件在各方面的要求作出实质性响应是磋商响应供应商的风险，由此造成的一切后果由磋商响应供应商自行承担。</w:t>
      </w:r>
    </w:p>
    <w:p w14:paraId="5CC602A9">
      <w:pPr>
        <w:pageBreakBefore w:val="0"/>
        <w:shd w:val="clear" w:color="auto" w:fill="FFFFFF"/>
        <w:kinsoku/>
        <w:wordWrap/>
        <w:overflowPunct/>
        <w:topLinePunct w:val="0"/>
        <w:bidi w:val="0"/>
        <w:spacing w:line="360" w:lineRule="auto"/>
        <w:ind w:firstLine="422" w:firstLineChars="200"/>
        <w:jc w:val="left"/>
        <w:outlineLvl w:val="9"/>
        <w:rPr>
          <w:rFonts w:ascii="宋体" w:hAnsi="宋体" w:cs="宋体"/>
          <w:b/>
          <w:bCs/>
          <w:color w:val="auto"/>
          <w:szCs w:val="21"/>
          <w:highlight w:val="none"/>
        </w:rPr>
      </w:pPr>
      <w:r>
        <w:rPr>
          <w:b/>
          <w:bCs/>
          <w:color w:val="auto"/>
          <w:highlight w:val="none"/>
        </w:rPr>
        <w:t>单位为主签署投标文件。</w:t>
      </w:r>
    </w:p>
    <w:p w14:paraId="1CF63861">
      <w:pPr>
        <w:pageBreakBefore w:val="0"/>
        <w:shd w:val="clear" w:color="auto" w:fill="FFFFFF"/>
        <w:kinsoku/>
        <w:wordWrap/>
        <w:overflowPunct/>
        <w:topLinePunct w:val="0"/>
        <w:bidi w:val="0"/>
        <w:spacing w:line="360" w:lineRule="auto"/>
        <w:ind w:firstLine="422" w:firstLineChars="200"/>
        <w:jc w:val="left"/>
        <w:outlineLvl w:val="9"/>
        <w:rPr>
          <w:rFonts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磋商保证金</w:t>
      </w:r>
    </w:p>
    <w:p w14:paraId="68812FA5">
      <w:pPr>
        <w:pageBreakBefore w:val="0"/>
        <w:shd w:val="clear" w:color="auto" w:fill="FFFFFF"/>
        <w:kinsoku/>
        <w:wordWrap/>
        <w:overflowPunct/>
        <w:topLinePunct w:val="0"/>
        <w:bidi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无</w:t>
      </w:r>
    </w:p>
    <w:p w14:paraId="40920966">
      <w:pPr>
        <w:pageBreakBefore w:val="0"/>
        <w:shd w:val="clear" w:color="auto" w:fill="FFFFFF"/>
        <w:kinsoku/>
        <w:wordWrap/>
        <w:overflowPunct/>
        <w:topLinePunct w:val="0"/>
        <w:bidi w:val="0"/>
        <w:spacing w:line="360" w:lineRule="auto"/>
        <w:ind w:firstLine="422" w:firstLineChars="200"/>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磋商响应文件的编制和签章</w:t>
      </w:r>
    </w:p>
    <w:p w14:paraId="6EE57A1D">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12.1本项目通过“政府采购云平台（www.zcygov.cn）”实行在线投标响应（电子投标）。供应商应通过“政采云电子交易客户端”，并按照本采购文件和“政府采购云平台”的要求编制并加密磋商响应文件。</w:t>
      </w:r>
    </w:p>
    <w:p w14:paraId="6E4C82AC">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12.2磋商响应供应商应当按照“10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磋商响应文件的组成”规定的内容及顺序在“政采云电子交易客户端”编制磋商响应文件。</w:t>
      </w:r>
      <w:r>
        <w:rPr>
          <w:rFonts w:hint="eastAsia" w:ascii="宋体" w:hAnsi="宋体" w:cs="宋体"/>
          <w:b/>
          <w:color w:val="auto"/>
          <w:kern w:val="0"/>
          <w:szCs w:val="21"/>
          <w:highlight w:val="none"/>
        </w:rPr>
        <w:t>其中《资格文件》和《商务技术文件》中不得出现本项目</w:t>
      </w:r>
      <w:r>
        <w:rPr>
          <w:rFonts w:hint="eastAsia" w:ascii="宋体" w:hAnsi="宋体" w:cs="宋体"/>
          <w:b/>
          <w:color w:val="auto"/>
          <w:szCs w:val="21"/>
          <w:highlight w:val="none"/>
        </w:rPr>
        <w:t>磋商响应文件</w:t>
      </w:r>
      <w:r>
        <w:rPr>
          <w:rFonts w:hint="eastAsia" w:ascii="宋体" w:hAnsi="宋体" w:cs="宋体"/>
          <w:b/>
          <w:color w:val="auto"/>
          <w:kern w:val="0"/>
          <w:szCs w:val="21"/>
          <w:highlight w:val="none"/>
        </w:rPr>
        <w:t>报价，如因磋商响应人原因提前泄露</w:t>
      </w:r>
      <w:r>
        <w:rPr>
          <w:rFonts w:hint="eastAsia" w:ascii="宋体" w:hAnsi="宋体" w:cs="宋体"/>
          <w:b/>
          <w:color w:val="auto"/>
          <w:szCs w:val="21"/>
          <w:highlight w:val="none"/>
        </w:rPr>
        <w:t>磋商响应文件</w:t>
      </w:r>
      <w:r>
        <w:rPr>
          <w:rFonts w:hint="eastAsia" w:ascii="宋体" w:hAnsi="宋体" w:cs="宋体"/>
          <w:b/>
          <w:color w:val="auto"/>
          <w:kern w:val="0"/>
          <w:szCs w:val="21"/>
          <w:highlight w:val="none"/>
        </w:rPr>
        <w:t>报价，后果自负。</w:t>
      </w:r>
    </w:p>
    <w:p w14:paraId="0E67821F">
      <w:pPr>
        <w:pageBreakBefore w:val="0"/>
        <w:kinsoku/>
        <w:wordWrap/>
        <w:overflowPunct/>
        <w:topLinePunct w:val="0"/>
        <w:bidi w:val="0"/>
        <w:spacing w:line="360" w:lineRule="auto"/>
        <w:ind w:firstLine="422" w:firstLineChars="200"/>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12.3本文件《第五部分  应提交的有关格式范例》中有提供格式的，磋商响应供应商须参照格式进行编制（格式中要求提供相关证明材料的还需后附相关证明材料），并按格式要求在指定位置根据要求进行关联定位并签章；本文件《第五部分  应提交的有关格式范例》未提供格式的，请各磋商响应单位自行拟定格式，并加盖单位公章。</w:t>
      </w:r>
      <w:r>
        <w:rPr>
          <w:rFonts w:hint="eastAsia" w:ascii="宋体" w:hAnsi="宋体" w:cs="宋体"/>
          <w:b/>
          <w:color w:val="auto"/>
          <w:kern w:val="0"/>
          <w:szCs w:val="21"/>
          <w:highlight w:val="none"/>
        </w:rPr>
        <w:t>电子签章操作指南详见采购公告附件</w:t>
      </w:r>
      <w:r>
        <w:rPr>
          <w:rFonts w:hint="eastAsia" w:ascii="宋体" w:hAnsi="宋体" w:cs="宋体"/>
          <w:b/>
          <w:color w:val="auto"/>
          <w:szCs w:val="21"/>
          <w:highlight w:val="none"/>
        </w:rPr>
        <w:t>《供应商项目采购-电子招投标操作指南》</w:t>
      </w:r>
      <w:r>
        <w:rPr>
          <w:rFonts w:hint="eastAsia" w:ascii="宋体" w:hAnsi="宋体" w:cs="宋体"/>
          <w:color w:val="auto"/>
          <w:szCs w:val="21"/>
          <w:highlight w:val="none"/>
        </w:rPr>
        <w:t>。</w:t>
      </w:r>
    </w:p>
    <w:p w14:paraId="1A0BAC14">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12.4本章节“10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磋商响应文件的组成”内容中约定可以提供复制件的相关证明材料加盖磋商响应供应商公章（例如：各类资格资质证书、业绩材料、荣誉证书等）。</w:t>
      </w:r>
    </w:p>
    <w:p w14:paraId="5AA72C19">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12.5本章节“10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磋商响应文件的组成”内容中标注“▲”的内容为必须提供的内容，未提供的磋商响应无效。</w:t>
      </w:r>
    </w:p>
    <w:p w14:paraId="5A82E2B7">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12.6《磋商响应文件》内容不完整、编排混乱导致《磋商响应文件》被误读、漏读或者查找不到相关内容的，是磋商响应供应商的责任。</w:t>
      </w:r>
    </w:p>
    <w:p w14:paraId="4B15F694">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12.7《磋商响应文件》因字迹潦草或表达不清所引起的后果由磋商响应供应商负责。</w:t>
      </w:r>
    </w:p>
    <w:p w14:paraId="4ED80C69">
      <w:pPr>
        <w:pageBreakBefore w:val="0"/>
        <w:shd w:val="clear" w:color="auto" w:fill="FFFFFF"/>
        <w:kinsoku/>
        <w:wordWrap/>
        <w:overflowPunct/>
        <w:topLinePunct w:val="0"/>
        <w:bidi w:val="0"/>
        <w:spacing w:line="360" w:lineRule="auto"/>
        <w:ind w:firstLine="422" w:firstLineChars="200"/>
        <w:contextualSpacing/>
        <w:jc w:val="left"/>
        <w:outlineLvl w:val="9"/>
        <w:rPr>
          <w:rFonts w:ascii="宋体" w:hAnsi="宋体" w:cs="宋体"/>
          <w:b/>
          <w:bCs/>
          <w:color w:val="auto"/>
          <w:szCs w:val="21"/>
          <w:highlight w:val="none"/>
        </w:rPr>
      </w:pPr>
      <w:r>
        <w:rPr>
          <w:rFonts w:hint="eastAsia" w:ascii="宋体" w:hAnsi="宋体" w:cs="宋体"/>
          <w:b/>
          <w:bCs/>
          <w:color w:val="auto"/>
          <w:szCs w:val="21"/>
          <w:highlight w:val="none"/>
        </w:rPr>
        <w:t>12.8磋商响应供应商没有按照“10</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磋商响应文件的组成”要求提供全部资料，或者没有仔细阅读采购文件，或者没有对采购文件在各方面的要求作出实质性响应是磋商响应供应商的风险，由此造成的一切后果由磋商响应供应商自行承担。</w:t>
      </w:r>
    </w:p>
    <w:p w14:paraId="72CDAA5D">
      <w:pPr>
        <w:pageBreakBefore w:val="0"/>
        <w:kinsoku/>
        <w:wordWrap/>
        <w:overflowPunct/>
        <w:topLinePunct w:val="0"/>
        <w:bidi w:val="0"/>
        <w:outlineLvl w:val="9"/>
        <w:rPr>
          <w:color w:val="auto"/>
          <w:highlight w:val="none"/>
        </w:rPr>
      </w:pPr>
      <w:bookmarkStart w:id="54" w:name="_Toc361155992"/>
      <w:bookmarkStart w:id="55" w:name="_Toc442428811"/>
      <w:bookmarkStart w:id="56" w:name="_Toc86216991"/>
      <w:bookmarkStart w:id="57" w:name="_Toc233618975"/>
      <w:bookmarkStart w:id="58" w:name="_Toc361217426"/>
      <w:bookmarkStart w:id="59" w:name="_Toc91899892"/>
      <w:bookmarkStart w:id="60" w:name="_Toc354996699"/>
    </w:p>
    <w:p w14:paraId="06DC0DA8">
      <w:pPr>
        <w:pageBreakBefore w:val="0"/>
        <w:kinsoku/>
        <w:wordWrap/>
        <w:overflowPunct/>
        <w:topLinePunct w:val="0"/>
        <w:bidi w:val="0"/>
        <w:adjustRightInd w:val="0"/>
        <w:snapToGrid w:val="0"/>
        <w:spacing w:line="360" w:lineRule="auto"/>
        <w:jc w:val="center"/>
        <w:outlineLvl w:val="9"/>
        <w:rPr>
          <w:rFonts w:ascii="宋体" w:hAnsi="宋体" w:cs="宋体"/>
          <w:b/>
          <w:color w:val="auto"/>
          <w:sz w:val="24"/>
          <w:highlight w:val="none"/>
        </w:rPr>
      </w:pPr>
      <w:r>
        <w:rPr>
          <w:rFonts w:hint="eastAsia" w:ascii="宋体" w:hAnsi="宋体" w:cs="宋体"/>
          <w:b/>
          <w:color w:val="auto"/>
          <w:sz w:val="24"/>
          <w:highlight w:val="none"/>
        </w:rPr>
        <w:t>四、磋商响应文件的递交</w:t>
      </w:r>
      <w:bookmarkEnd w:id="54"/>
      <w:bookmarkEnd w:id="55"/>
    </w:p>
    <w:p w14:paraId="34A4B55D">
      <w:pPr>
        <w:pStyle w:val="95"/>
        <w:pageBreakBefore w:val="0"/>
        <w:kinsoku/>
        <w:wordWrap/>
        <w:overflowPunct/>
        <w:topLinePunct w:val="0"/>
        <w:bidi w:val="0"/>
        <w:adjustRightInd w:val="0"/>
        <w:snapToGrid w:val="0"/>
        <w:spacing w:before="0"/>
        <w:ind w:firstLine="0" w:firstLineChars="0"/>
        <w:contextualSpacing/>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13、磋商响应文件的上传和递交</w:t>
      </w:r>
    </w:p>
    <w:p w14:paraId="111667F2">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13.1本项目实行网上投标。</w:t>
      </w:r>
    </w:p>
    <w:p w14:paraId="7256C772">
      <w:pPr>
        <w:pageBreakBefore w:val="0"/>
        <w:kinsoku/>
        <w:wordWrap/>
        <w:overflowPunct/>
        <w:topLinePunct w:val="0"/>
        <w:bidi w:val="0"/>
        <w:adjustRightInd w:val="0"/>
        <w:snapToGrid w:val="0"/>
        <w:spacing w:line="360" w:lineRule="auto"/>
        <w:ind w:firstLine="420" w:firstLineChars="200"/>
        <w:contextualSpacing/>
        <w:outlineLvl w:val="9"/>
        <w:rPr>
          <w:rFonts w:ascii="宋体" w:hAnsi="宋体" w:cs="宋体"/>
          <w:b/>
          <w:bCs/>
          <w:color w:val="auto"/>
          <w:szCs w:val="21"/>
          <w:highlight w:val="none"/>
        </w:rPr>
      </w:pPr>
      <w:r>
        <w:rPr>
          <w:rFonts w:hint="eastAsia" w:ascii="宋体" w:hAnsi="宋体" w:cs="宋体"/>
          <w:color w:val="auto"/>
          <w:szCs w:val="21"/>
          <w:highlight w:val="none"/>
        </w:rPr>
        <w:t>供应商应准备电子响应文件、以介质存储的数据电文形式（U盘）的备份响应文件二类：</w:t>
      </w:r>
      <w:r>
        <w:rPr>
          <w:rFonts w:hint="eastAsia" w:ascii="宋体" w:hAnsi="宋体" w:cs="宋体"/>
          <w:color w:val="auto"/>
          <w:szCs w:val="21"/>
          <w:highlight w:val="none"/>
        </w:rPr>
        <w:cr/>
      </w:r>
      <w:r>
        <w:rPr>
          <w:rFonts w:hint="eastAsia" w:ascii="宋体" w:hAnsi="宋体" w:cs="宋体"/>
          <w:b/>
          <w:bCs/>
          <w:color w:val="auto"/>
          <w:szCs w:val="21"/>
          <w:highlight w:val="none"/>
        </w:rPr>
        <w:t xml:space="preserve">  （1）电子响应文件，按政采云平台项目采购-电子招投标操作指南及本采购文件要求递交。</w:t>
      </w:r>
      <w:r>
        <w:rPr>
          <w:rFonts w:hint="eastAsia" w:ascii="宋体" w:hAnsi="宋体" w:cs="宋体"/>
          <w:b/>
          <w:bCs/>
          <w:color w:val="auto"/>
          <w:szCs w:val="21"/>
          <w:highlight w:val="none"/>
        </w:rPr>
        <w:cr/>
      </w:r>
      <w:r>
        <w:rPr>
          <w:rFonts w:hint="eastAsia" w:ascii="宋体" w:hAnsi="宋体" w:cs="宋体"/>
          <w:b/>
          <w:bCs/>
          <w:color w:val="auto"/>
          <w:szCs w:val="21"/>
          <w:highlight w:val="none"/>
        </w:rPr>
        <w:t xml:space="preserve">  （2）以介质存储的数据电文形式（U盘）的备份响应文件，按政采云平台项目采购-电子招投标操作指南中上传的电子响应文件格式，以U盘形式提供。数量为1份。</w:t>
      </w:r>
    </w:p>
    <w:p w14:paraId="3B4381F3">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13.2磋商响应文件均由资格文件、商务技术文件、报价文件组成。</w:t>
      </w:r>
    </w:p>
    <w:p w14:paraId="7CC49AB1">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13.3仅提供备份响应文件，造成项目开评标活动无法进行下去的，磋商响应无效，相关风险由供应商自行承担。</w:t>
      </w:r>
    </w:p>
    <w:p w14:paraId="67995298">
      <w:pPr>
        <w:pStyle w:val="95"/>
        <w:pageBreakBefore w:val="0"/>
        <w:kinsoku/>
        <w:wordWrap/>
        <w:overflowPunct/>
        <w:topLinePunct w:val="0"/>
        <w:bidi w:val="0"/>
        <w:adjustRightInd w:val="0"/>
        <w:snapToGrid w:val="0"/>
        <w:spacing w:before="0"/>
        <w:ind w:firstLine="422"/>
        <w:contextualSpacing/>
        <w:outlineLvl w:val="9"/>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13.4 </w:t>
      </w:r>
      <w:r>
        <w:rPr>
          <w:rFonts w:hint="eastAsia" w:ascii="宋体" w:hAnsi="宋体" w:eastAsia="宋体" w:cs="宋体"/>
          <w:color w:val="auto"/>
          <w:sz w:val="21"/>
          <w:szCs w:val="21"/>
          <w:highlight w:val="none"/>
        </w:rPr>
        <w:t>“备份磋商响应文件”</w:t>
      </w:r>
      <w:r>
        <w:rPr>
          <w:rFonts w:hint="eastAsia" w:ascii="宋体" w:hAnsi="宋体" w:eastAsia="宋体" w:cs="宋体"/>
          <w:b/>
          <w:bCs/>
          <w:color w:val="auto"/>
          <w:sz w:val="21"/>
          <w:szCs w:val="21"/>
          <w:highlight w:val="none"/>
        </w:rPr>
        <w:t>递交至前附表所述的单位和地址。</w:t>
      </w:r>
    </w:p>
    <w:p w14:paraId="4296F425">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13.5“电子加密磋商响应文件”解密和异常情况处理。</w:t>
      </w:r>
    </w:p>
    <w:p w14:paraId="3F2C4657">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13.5.1“电子加密磋商响应文件”解密：见《前附表》。</w:t>
      </w:r>
    </w:p>
    <w:p w14:paraId="146FC75C">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13.6磋商响应文件的补充、修改或撤回</w:t>
      </w:r>
    </w:p>
    <w:p w14:paraId="6789F5F7">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color w:val="auto"/>
          <w:kern w:val="0"/>
          <w:szCs w:val="21"/>
          <w:highlight w:val="none"/>
        </w:rPr>
      </w:pPr>
      <w:r>
        <w:rPr>
          <w:rFonts w:hint="eastAsia" w:ascii="宋体" w:hAnsi="宋体" w:cs="宋体"/>
          <w:b/>
          <w:bCs/>
          <w:color w:val="auto"/>
          <w:szCs w:val="21"/>
          <w:highlight w:val="none"/>
        </w:rPr>
        <w:t>13.6.1供应商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r>
        <w:rPr>
          <w:rFonts w:hint="eastAsia" w:ascii="宋体" w:hAnsi="宋体" w:cs="宋体"/>
          <w:b/>
          <w:color w:val="auto"/>
          <w:kern w:val="0"/>
          <w:szCs w:val="21"/>
          <w:highlight w:val="none"/>
        </w:rPr>
        <w:t>。</w:t>
      </w:r>
    </w:p>
    <w:p w14:paraId="1C941F81">
      <w:pPr>
        <w:pStyle w:val="95"/>
        <w:pageBreakBefore w:val="0"/>
        <w:kinsoku/>
        <w:wordWrap/>
        <w:overflowPunct/>
        <w:topLinePunct w:val="0"/>
        <w:bidi w:val="0"/>
        <w:adjustRightInd w:val="0"/>
        <w:snapToGrid w:val="0"/>
        <w:spacing w:before="0"/>
        <w:ind w:firstLine="422"/>
        <w:contextualSpacing/>
        <w:outlineLvl w:val="9"/>
        <w:rPr>
          <w:rFonts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13.6.2</w:t>
      </w:r>
      <w:r>
        <w:rPr>
          <w:rFonts w:hint="eastAsia" w:ascii="宋体" w:hAnsi="宋体" w:eastAsia="宋体" w:cs="宋体"/>
          <w:color w:val="auto"/>
          <w:sz w:val="21"/>
          <w:szCs w:val="21"/>
          <w:highlight w:val="none"/>
        </w:rPr>
        <w:t xml:space="preserve"> 磋商响应人应按前附表规定的时间、地点完成磋商响应文件的上传、解密。</w:t>
      </w:r>
    </w:p>
    <w:p w14:paraId="4E300A35">
      <w:pPr>
        <w:pStyle w:val="95"/>
        <w:pageBreakBefore w:val="0"/>
        <w:kinsoku/>
        <w:wordWrap/>
        <w:overflowPunct/>
        <w:topLinePunct w:val="0"/>
        <w:bidi w:val="0"/>
        <w:adjustRightInd w:val="0"/>
        <w:snapToGrid w:val="0"/>
        <w:spacing w:before="0"/>
        <w:ind w:firstLine="422"/>
        <w:contextualSpacing/>
        <w:outlineLvl w:val="9"/>
        <w:rPr>
          <w:rFonts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13.6.3</w:t>
      </w:r>
      <w:r>
        <w:rPr>
          <w:rFonts w:hint="eastAsia" w:ascii="宋体" w:hAnsi="宋体" w:eastAsia="宋体" w:cs="宋体"/>
          <w:color w:val="auto"/>
          <w:sz w:val="21"/>
          <w:szCs w:val="21"/>
          <w:highlight w:val="none"/>
        </w:rPr>
        <w:t>磋商响应人应按前附表规定的时间、地点完成“备份磋商响应文件”的递交，招标代理机构将拒绝接受逾期送达的“备份磋商响应文件”。</w:t>
      </w:r>
    </w:p>
    <w:p w14:paraId="755E266D">
      <w:pPr>
        <w:pStyle w:val="95"/>
        <w:pageBreakBefore w:val="0"/>
        <w:kinsoku/>
        <w:wordWrap/>
        <w:overflowPunct/>
        <w:topLinePunct w:val="0"/>
        <w:bidi w:val="0"/>
        <w:adjustRightInd w:val="0"/>
        <w:snapToGrid w:val="0"/>
        <w:spacing w:before="0"/>
        <w:ind w:firstLine="422"/>
        <w:contextualSpacing/>
        <w:outlineLvl w:val="9"/>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13.6.4</w:t>
      </w:r>
      <w:r>
        <w:rPr>
          <w:rFonts w:hint="eastAsia" w:ascii="宋体" w:hAnsi="宋体" w:eastAsia="宋体" w:cs="宋体"/>
          <w:color w:val="auto"/>
          <w:sz w:val="21"/>
          <w:szCs w:val="21"/>
          <w:highlight w:val="none"/>
        </w:rPr>
        <w:t xml:space="preserve"> 招标代理机构可以按本须知规定以补充通知的方式，酌情延长递交磋商响应文件的截止日期。在上述情况下，招标代理机构与磋商响应人以前在磋商响应截止期方面的全部权利、责任和义务，将适用于延长至新的磋商响应截止期。</w:t>
      </w:r>
    </w:p>
    <w:p w14:paraId="4773742A">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13.6.5磋商上传截止时间后，磋商响应供应商不得撤回、修改《磋商响应文件》。</w:t>
      </w:r>
    </w:p>
    <w:p w14:paraId="3FCCD18A">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13.7磋商响应文件的备选方案</w:t>
      </w:r>
    </w:p>
    <w:p w14:paraId="6B81F08A">
      <w:pPr>
        <w:pageBreakBefore w:val="0"/>
        <w:kinsoku/>
        <w:wordWrap/>
        <w:overflowPunct/>
        <w:topLinePunct w:val="0"/>
        <w:bidi w:val="0"/>
        <w:adjustRightInd w:val="0"/>
        <w:snapToGrid w:val="0"/>
        <w:spacing w:line="360" w:lineRule="auto"/>
        <w:ind w:firstLine="422" w:firstLineChars="200"/>
        <w:contextualSpacing/>
        <w:outlineLvl w:val="9"/>
        <w:rPr>
          <w:rFonts w:ascii="宋体" w:hAnsi="宋体" w:cs="宋体"/>
          <w:b/>
          <w:bCs/>
          <w:color w:val="auto"/>
          <w:szCs w:val="21"/>
          <w:highlight w:val="none"/>
        </w:rPr>
      </w:pPr>
      <w:r>
        <w:rPr>
          <w:rFonts w:hint="eastAsia" w:ascii="宋体" w:hAnsi="宋体" w:cs="宋体"/>
          <w:b/>
          <w:bCs/>
          <w:color w:val="auto"/>
          <w:szCs w:val="21"/>
          <w:highlight w:val="none"/>
        </w:rPr>
        <w:t>13.7.1磋商响应供应商不得递交任何的磋商响应备选（替代）方案，否则其磋商响应文件将作无效标处理。与“电子加密磋商响应文件”同时生成的“备份磋商响应文件”不是磋商响应备选（替代）方案。</w:t>
      </w:r>
    </w:p>
    <w:p w14:paraId="57A2ADB2">
      <w:pPr>
        <w:pStyle w:val="21"/>
        <w:pageBreakBefore w:val="0"/>
        <w:kinsoku/>
        <w:wordWrap/>
        <w:overflowPunct/>
        <w:topLinePunct w:val="0"/>
        <w:bidi w:val="0"/>
        <w:outlineLvl w:val="9"/>
        <w:rPr>
          <w:color w:val="auto"/>
          <w:highlight w:val="none"/>
        </w:rPr>
      </w:pPr>
    </w:p>
    <w:p w14:paraId="68C2F0AA">
      <w:pPr>
        <w:pageBreakBefore w:val="0"/>
        <w:kinsoku/>
        <w:wordWrap/>
        <w:overflowPunct/>
        <w:topLinePunct w:val="0"/>
        <w:bidi w:val="0"/>
        <w:adjustRightInd w:val="0"/>
        <w:snapToGrid w:val="0"/>
        <w:spacing w:line="360" w:lineRule="auto"/>
        <w:jc w:val="center"/>
        <w:outlineLvl w:val="9"/>
        <w:rPr>
          <w:rFonts w:ascii="宋体" w:hAnsi="宋体" w:cs="宋体"/>
          <w:b/>
          <w:color w:val="auto"/>
          <w:sz w:val="24"/>
          <w:highlight w:val="none"/>
        </w:rPr>
      </w:pPr>
      <w:bookmarkStart w:id="61" w:name="_Toc442428812"/>
      <w:r>
        <w:rPr>
          <w:rFonts w:hint="eastAsia" w:ascii="宋体" w:hAnsi="宋体" w:cs="宋体"/>
          <w:b/>
          <w:color w:val="auto"/>
          <w:sz w:val="24"/>
          <w:highlight w:val="none"/>
        </w:rPr>
        <w:t>五、开 标</w:t>
      </w:r>
      <w:bookmarkEnd w:id="61"/>
    </w:p>
    <w:p w14:paraId="08C36A5C">
      <w:pPr>
        <w:pStyle w:val="95"/>
        <w:pageBreakBefore w:val="0"/>
        <w:kinsoku/>
        <w:wordWrap/>
        <w:overflowPunct/>
        <w:topLinePunct w:val="0"/>
        <w:bidi w:val="0"/>
        <w:adjustRightInd w:val="0"/>
        <w:snapToGrid w:val="0"/>
        <w:spacing w:before="0"/>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r>
        <w:rPr>
          <w:rFonts w:hint="eastAsia" w:ascii="宋体" w:hAnsi="宋体" w:eastAsia="宋体" w:cs="宋体"/>
          <w:b/>
          <w:color w:val="auto"/>
          <w:kern w:val="0"/>
          <w:sz w:val="21"/>
          <w:szCs w:val="21"/>
          <w:highlight w:val="none"/>
          <w:lang w:val="zh-CN"/>
        </w:rPr>
        <w:t>、开标形式</w:t>
      </w:r>
    </w:p>
    <w:p w14:paraId="57CC12CE">
      <w:pPr>
        <w:pageBreakBefore w:val="0"/>
        <w:kinsoku/>
        <w:wordWrap/>
        <w:overflowPunct/>
        <w:topLinePunct w:val="0"/>
        <w:bidi w:val="0"/>
        <w:adjustRightInd w:val="0"/>
        <w:snapToGrid w:val="0"/>
        <w:spacing w:line="360" w:lineRule="auto"/>
        <w:ind w:firstLine="371" w:firstLineChars="177"/>
        <w:outlineLvl w:val="9"/>
        <w:rPr>
          <w:rFonts w:ascii="宋体" w:hAnsi="宋体" w:cs="宋体"/>
          <w:b/>
          <w:color w:val="auto"/>
          <w:szCs w:val="21"/>
          <w:highlight w:val="none"/>
        </w:rPr>
      </w:pPr>
      <w:r>
        <w:rPr>
          <w:rFonts w:hint="eastAsia" w:ascii="宋体" w:hAnsi="宋体" w:cs="宋体"/>
          <w:color w:val="auto"/>
          <w:szCs w:val="21"/>
          <w:highlight w:val="none"/>
        </w:rPr>
        <w:t xml:space="preserve">14.1 </w:t>
      </w:r>
      <w:r>
        <w:rPr>
          <w:rFonts w:hint="eastAsia" w:ascii="宋体" w:hAnsi="宋体" w:cs="宋体"/>
          <w:b/>
          <w:color w:val="auto"/>
          <w:szCs w:val="21"/>
          <w:highlight w:val="none"/>
        </w:rPr>
        <w:t>采购组织机构将按照采购文件规定的时间通过“政府采购云平台”组织开标、开启磋商响应文件，所有供应商均应当准时在线参加。</w:t>
      </w:r>
    </w:p>
    <w:p w14:paraId="55DE2A20">
      <w:pPr>
        <w:pStyle w:val="95"/>
        <w:pageBreakBefore w:val="0"/>
        <w:kinsoku/>
        <w:wordWrap/>
        <w:overflowPunct/>
        <w:topLinePunct w:val="0"/>
        <w:bidi w:val="0"/>
        <w:adjustRightInd w:val="0"/>
        <w:snapToGrid w:val="0"/>
        <w:spacing w:before="0"/>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15、开标准备</w:t>
      </w:r>
    </w:p>
    <w:p w14:paraId="15E00B5D">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szCs w:val="21"/>
          <w:highlight w:val="none"/>
        </w:rPr>
        <w:t>15</w:t>
      </w:r>
      <w:r>
        <w:rPr>
          <w:rFonts w:hint="eastAsia" w:ascii="宋体" w:hAnsi="宋体" w:cs="宋体"/>
          <w:color w:val="auto"/>
          <w:kern w:val="0"/>
          <w:szCs w:val="21"/>
          <w:highlight w:val="none"/>
        </w:rPr>
        <w:t>.1开标的准备工作由采购组织机构负责落实。</w:t>
      </w:r>
    </w:p>
    <w:p w14:paraId="4ACD00AE">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szCs w:val="21"/>
          <w:highlight w:val="none"/>
        </w:rPr>
        <w:t>15</w:t>
      </w:r>
      <w:r>
        <w:rPr>
          <w:rFonts w:hint="eastAsia" w:ascii="宋体" w:hAnsi="宋体" w:cs="宋体"/>
          <w:color w:val="auto"/>
          <w:kern w:val="0"/>
          <w:szCs w:val="21"/>
          <w:highlight w:val="none"/>
        </w:rPr>
        <w:t>.2</w:t>
      </w:r>
      <w:r>
        <w:rPr>
          <w:rFonts w:hint="eastAsia" w:ascii="宋体" w:hAnsi="宋体" w:cs="宋体"/>
          <w:b/>
          <w:color w:val="auto"/>
          <w:szCs w:val="21"/>
          <w:highlight w:val="none"/>
        </w:rPr>
        <w:t>采购组织机构将按照采购文件规定的时间通过“政府采购云平台”组织开标、开启磋商响应文件，所有供应商均应当准时在线参加。磋商响应</w:t>
      </w:r>
      <w:r>
        <w:rPr>
          <w:rFonts w:hint="eastAsia" w:ascii="宋体" w:hAnsi="宋体" w:cs="宋体"/>
          <w:b/>
          <w:color w:val="auto"/>
          <w:kern w:val="0"/>
          <w:szCs w:val="21"/>
          <w:highlight w:val="none"/>
        </w:rPr>
        <w:t>供应商如不在线参加开标大会的，视同认可开标结果，事后不得对采购相关人员、开标过程和开标结果提出异议，同时磋商响应供应商因未在线参加开标而导致磋商响应文件无法按时解密等一切后果由供应商自己承担。</w:t>
      </w:r>
    </w:p>
    <w:p w14:paraId="7EB1B1B1">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15.3开标流程（两阶段）</w:t>
      </w:r>
    </w:p>
    <w:p w14:paraId="5602DB06">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b/>
          <w:color w:val="auto"/>
          <w:kern w:val="0"/>
          <w:szCs w:val="21"/>
          <w:highlight w:val="none"/>
        </w:rPr>
      </w:pPr>
      <w:r>
        <w:rPr>
          <w:rFonts w:hint="eastAsia" w:ascii="宋体" w:hAnsi="宋体" w:cs="宋体"/>
          <w:color w:val="auto"/>
          <w:szCs w:val="21"/>
          <w:highlight w:val="none"/>
        </w:rPr>
        <w:t>15.3</w:t>
      </w:r>
      <w:r>
        <w:rPr>
          <w:rFonts w:hint="eastAsia" w:ascii="宋体" w:hAnsi="宋体" w:cs="宋体"/>
          <w:b/>
          <w:color w:val="auto"/>
          <w:kern w:val="0"/>
          <w:szCs w:val="21"/>
          <w:highlight w:val="none"/>
        </w:rPr>
        <w:t>.1开标第一阶段</w:t>
      </w:r>
    </w:p>
    <w:p w14:paraId="0B8B0967">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（1）向各</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发出电子加密磋商响应文件【开始解密】通知，由供应商按采购文件规定的时间内自行进行电子加密磋商响应文件解密。投标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14:paraId="404EFA32">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（2）开启磋商响应文件，进入资格审查。</w:t>
      </w:r>
    </w:p>
    <w:p w14:paraId="2958E206">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（3）对资格审查通过的</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供应商的商务技术文件进入符合性审查、商务技术评审。</w:t>
      </w:r>
    </w:p>
    <w:p w14:paraId="53F68B92">
      <w:pPr>
        <w:pageBreakBefore w:val="0"/>
        <w:kinsoku/>
        <w:wordWrap/>
        <w:overflowPunct/>
        <w:topLinePunct w:val="0"/>
        <w:bidi w:val="0"/>
        <w:adjustRightInd w:val="0"/>
        <w:snapToGrid w:val="0"/>
        <w:spacing w:line="360" w:lineRule="auto"/>
        <w:ind w:firstLine="373" w:firstLineChars="177"/>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备注：开标大会的第一阶段结束后，磋商小组将对依法对磋商响应供应商的资格进行审查，资格审查结束后进入符合性审查和商务技术的评审工作，具体见本章节“磋商响应供应商资格审查”相关规定。</w:t>
      </w:r>
    </w:p>
    <w:p w14:paraId="3AD574C6">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color w:val="auto"/>
          <w:kern w:val="0"/>
          <w:szCs w:val="21"/>
          <w:highlight w:val="none"/>
        </w:rPr>
      </w:pPr>
      <w:r>
        <w:rPr>
          <w:rFonts w:hint="eastAsia" w:ascii="宋体" w:hAnsi="宋体" w:cs="宋体"/>
          <w:color w:val="auto"/>
          <w:szCs w:val="21"/>
          <w:highlight w:val="none"/>
        </w:rPr>
        <w:t>15.3</w:t>
      </w:r>
      <w:r>
        <w:rPr>
          <w:rFonts w:hint="eastAsia" w:ascii="宋体" w:hAnsi="宋体" w:cs="宋体"/>
          <w:color w:val="auto"/>
          <w:kern w:val="0"/>
          <w:szCs w:val="21"/>
          <w:highlight w:val="none"/>
        </w:rPr>
        <w:t>.2开标大会第二阶段</w:t>
      </w:r>
    </w:p>
    <w:p w14:paraId="53BF5D7E">
      <w:pPr>
        <w:pageBreakBefore w:val="0"/>
        <w:kinsoku/>
        <w:wordWrap/>
        <w:overflowPunct/>
        <w:topLinePunct w:val="0"/>
        <w:bidi w:val="0"/>
        <w:adjustRightInd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szCs w:val="21"/>
          <w:highlight w:val="none"/>
        </w:rPr>
        <w:t>15.3</w:t>
      </w:r>
      <w:r>
        <w:rPr>
          <w:rFonts w:hint="eastAsia" w:ascii="宋体" w:hAnsi="宋体" w:cs="宋体"/>
          <w:color w:val="auto"/>
          <w:kern w:val="0"/>
          <w:szCs w:val="21"/>
          <w:highlight w:val="none"/>
        </w:rPr>
        <w:t>.2.1符合性审查、商务技术评审结束后，举行开标大会第二阶段会议。首先公布符合性审查、商务技术评审无效供应商名称及理由。公布经商务技术评审后有效</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供应商的名单。</w:t>
      </w:r>
    </w:p>
    <w:p w14:paraId="7A56B9B3">
      <w:pPr>
        <w:pageBreakBefore w:val="0"/>
        <w:kinsoku/>
        <w:wordWrap/>
        <w:overflowPunct/>
        <w:topLinePunct w:val="0"/>
        <w:bidi w:val="0"/>
        <w:adjustRightInd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15.3.2.2</w:t>
      </w:r>
      <w:r>
        <w:rPr>
          <w:rFonts w:hint="eastAsia" w:ascii="宋体" w:hAnsi="宋体" w:cs="宋体"/>
          <w:color w:val="auto"/>
          <w:szCs w:val="21"/>
          <w:highlight w:val="none"/>
        </w:rPr>
        <w:t>磋商结束后，</w:t>
      </w:r>
      <w:r>
        <w:rPr>
          <w:rFonts w:hint="eastAsia" w:ascii="宋体" w:hAnsi="宋体" w:cs="宋体"/>
          <w:color w:val="auto"/>
          <w:kern w:val="0"/>
          <w:szCs w:val="21"/>
          <w:highlight w:val="none"/>
        </w:rPr>
        <w:t>开启符合性审查、商务技术评审有效</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供应商的初次报价文件，经磋商小组评审及磋商，</w:t>
      </w:r>
      <w:r>
        <w:rPr>
          <w:rFonts w:hint="eastAsia" w:ascii="宋体" w:hAnsi="宋体" w:cs="宋体"/>
          <w:color w:val="auto"/>
          <w:szCs w:val="21"/>
          <w:highlight w:val="none"/>
        </w:rPr>
        <w:t>要求所有实质性响应的供应商在规定时间内提交最后报价，采购代理机构</w:t>
      </w:r>
      <w:r>
        <w:rPr>
          <w:rFonts w:hint="eastAsia" w:ascii="宋体" w:hAnsi="宋体" w:cs="宋体"/>
          <w:color w:val="auto"/>
          <w:kern w:val="0"/>
          <w:szCs w:val="21"/>
          <w:highlight w:val="none"/>
        </w:rPr>
        <w:t>向各</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供应商发出最终报价文件通知，由供应商按采购文件规定的时间内自行填写最终报价加盖签章并上传。</w:t>
      </w:r>
    </w:p>
    <w:p w14:paraId="635B654D">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kern w:val="0"/>
          <w:szCs w:val="21"/>
          <w:highlight w:val="none"/>
        </w:rPr>
        <w:t>15.3.2.2.1</w:t>
      </w:r>
      <w:r>
        <w:rPr>
          <w:rFonts w:hint="eastAsia" w:ascii="宋体" w:hAnsi="宋体" w:cs="宋体"/>
          <w:color w:val="auto"/>
          <w:szCs w:val="21"/>
          <w:highlight w:val="none"/>
        </w:rPr>
        <w:t>最后报价是磋商响应文件的有效组成部分。</w:t>
      </w:r>
    </w:p>
    <w:p w14:paraId="3C5BFF76">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kern w:val="0"/>
          <w:szCs w:val="21"/>
          <w:highlight w:val="none"/>
        </w:rPr>
        <w:t>15.3.2.2.2</w:t>
      </w:r>
      <w:r>
        <w:rPr>
          <w:rFonts w:hint="eastAsia" w:ascii="宋体" w:hAnsi="宋体" w:cs="宋体"/>
          <w:color w:val="auto"/>
          <w:szCs w:val="21"/>
          <w:highlight w:val="none"/>
        </w:rPr>
        <w:t>已提交磋商响应文件的供应商，在提交最后报价之前，若因磋商文件实质性变动导致供应商无法满足采购需求的，允许供应商退出磋商。</w:t>
      </w:r>
    </w:p>
    <w:p w14:paraId="236B94FF">
      <w:pPr>
        <w:pageBreakBefore w:val="0"/>
        <w:kinsoku/>
        <w:wordWrap/>
        <w:overflowPunct/>
        <w:topLinePunct w:val="0"/>
        <w:bidi w:val="0"/>
        <w:adjustRightInd w:val="0"/>
        <w:snapToGrid w:val="0"/>
        <w:spacing w:line="360" w:lineRule="auto"/>
        <w:ind w:firstLine="420" w:firstLineChars="200"/>
        <w:jc w:val="left"/>
        <w:outlineLvl w:val="9"/>
        <w:rPr>
          <w:rFonts w:ascii="宋体" w:hAnsi="宋体" w:cs="宋体"/>
          <w:strike/>
          <w:color w:val="auto"/>
          <w:szCs w:val="21"/>
          <w:highlight w:val="none"/>
        </w:rPr>
      </w:pPr>
      <w:r>
        <w:rPr>
          <w:rFonts w:hint="eastAsia" w:ascii="宋体" w:hAnsi="宋体" w:cs="宋体"/>
          <w:color w:val="auto"/>
          <w:kern w:val="0"/>
          <w:szCs w:val="21"/>
          <w:highlight w:val="none"/>
        </w:rPr>
        <w:t>15.3.2.3公布其商务技术部分得分情况。公布开标一览表有关内容，制作开标记录表，供应商予以确认。（不予确认的应说明理由，否则视为无异议）。</w:t>
      </w:r>
    </w:p>
    <w:p w14:paraId="5C32E3C8">
      <w:pPr>
        <w:pageBreakBefore w:val="0"/>
        <w:kinsoku/>
        <w:wordWrap/>
        <w:overflowPunct/>
        <w:topLinePunct w:val="0"/>
        <w:bidi w:val="0"/>
        <w:adjustRightInd w:val="0"/>
        <w:snapToGrid w:val="0"/>
        <w:spacing w:line="360" w:lineRule="auto"/>
        <w:ind w:firstLine="371" w:firstLineChars="177"/>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15.3.2.4评审结束后，公布成交候选供应商名单，及采购人最终确定成交供应商名单的时间和公告方式等。</w:t>
      </w:r>
    </w:p>
    <w:p w14:paraId="2A8045D5">
      <w:pPr>
        <w:pageBreakBefore w:val="0"/>
        <w:kinsoku/>
        <w:wordWrap/>
        <w:overflowPunct/>
        <w:topLinePunct w:val="0"/>
        <w:bidi w:val="0"/>
        <w:adjustRightInd w:val="0"/>
        <w:snapToGrid w:val="0"/>
        <w:spacing w:line="360" w:lineRule="auto"/>
        <w:ind w:firstLine="373" w:firstLineChars="177"/>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特别说明：如遇“政府采购云平台”电子化开标或磋商程序调整的，按调整后程序执行。</w:t>
      </w:r>
    </w:p>
    <w:p w14:paraId="3D8D774C">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kern w:val="0"/>
          <w:szCs w:val="21"/>
          <w:highlight w:val="none"/>
        </w:rPr>
      </w:pPr>
      <w:bookmarkStart w:id="62" w:name="_Toc14504"/>
      <w:bookmarkStart w:id="63" w:name="_Toc33194393"/>
      <w:bookmarkStart w:id="64" w:name="_Toc24550037"/>
      <w:r>
        <w:rPr>
          <w:rFonts w:hint="eastAsia" w:ascii="宋体" w:hAnsi="宋体" w:cs="宋体"/>
          <w:color w:val="auto"/>
          <w:kern w:val="0"/>
          <w:szCs w:val="21"/>
          <w:highlight w:val="none"/>
        </w:rPr>
        <w:t>15.4磋商响应供应商资格审查</w:t>
      </w:r>
      <w:bookmarkEnd w:id="62"/>
      <w:bookmarkEnd w:id="63"/>
      <w:bookmarkEnd w:id="64"/>
    </w:p>
    <w:p w14:paraId="081B85FC">
      <w:pPr>
        <w:pageBreakBefore w:val="0"/>
        <w:kinsoku/>
        <w:wordWrap/>
        <w:overflowPunct/>
        <w:topLinePunct w:val="0"/>
        <w:bidi w:val="0"/>
        <w:adjustRightInd w:val="0"/>
        <w:snapToGrid w:val="0"/>
        <w:spacing w:line="360" w:lineRule="auto"/>
        <w:ind w:firstLine="420" w:firstLineChars="200"/>
        <w:outlineLvl w:val="9"/>
        <w:rPr>
          <w:rFonts w:ascii="宋体" w:hAnsi="宋体" w:cs="宋体"/>
          <w:bCs/>
          <w:color w:val="auto"/>
          <w:szCs w:val="21"/>
          <w:highlight w:val="none"/>
        </w:rPr>
      </w:pPr>
      <w:r>
        <w:rPr>
          <w:rFonts w:hint="eastAsia" w:ascii="宋体" w:hAnsi="宋体" w:cs="宋体"/>
          <w:color w:val="auto"/>
          <w:kern w:val="0"/>
          <w:szCs w:val="21"/>
          <w:highlight w:val="none"/>
        </w:rPr>
        <w:t>15.4.1开标大会第一阶段结束后，磋商小组首先依法对各磋商响应供应商的资格进行审查，审查各磋商响应供应商的资格是否满足采购文件的要求。磋商小组对磋商响应供应商所提交的资</w:t>
      </w:r>
      <w:r>
        <w:rPr>
          <w:rFonts w:hint="eastAsia" w:ascii="宋体" w:hAnsi="宋体" w:cs="宋体"/>
          <w:bCs/>
          <w:color w:val="auto"/>
          <w:szCs w:val="21"/>
          <w:highlight w:val="none"/>
        </w:rPr>
        <w:t>格证明材料仅负审核的责任。如发现</w:t>
      </w:r>
      <w:r>
        <w:rPr>
          <w:rFonts w:hint="eastAsia" w:ascii="宋体" w:hAnsi="宋体" w:cs="宋体"/>
          <w:color w:val="auto"/>
          <w:szCs w:val="21"/>
          <w:highlight w:val="none"/>
        </w:rPr>
        <w:t>磋商响应</w:t>
      </w:r>
      <w:r>
        <w:rPr>
          <w:rFonts w:hint="eastAsia" w:ascii="宋体" w:hAnsi="宋体" w:cs="宋体"/>
          <w:bCs/>
          <w:color w:val="auto"/>
          <w:szCs w:val="21"/>
          <w:highlight w:val="none"/>
        </w:rPr>
        <w:t>供应商所提交的资格证明材料不合法或与事实不符，采购人可取消其成交资格并追究</w:t>
      </w:r>
      <w:r>
        <w:rPr>
          <w:rFonts w:hint="eastAsia" w:ascii="宋体" w:hAnsi="宋体" w:cs="宋体"/>
          <w:color w:val="auto"/>
          <w:szCs w:val="21"/>
          <w:highlight w:val="none"/>
        </w:rPr>
        <w:t>磋商响应</w:t>
      </w:r>
      <w:r>
        <w:rPr>
          <w:rFonts w:hint="eastAsia" w:ascii="宋体" w:hAnsi="宋体" w:cs="宋体"/>
          <w:bCs/>
          <w:color w:val="auto"/>
          <w:szCs w:val="21"/>
          <w:highlight w:val="none"/>
        </w:rPr>
        <w:t>供应商的法律责任。</w:t>
      </w:r>
    </w:p>
    <w:p w14:paraId="0DEC40F0">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kern w:val="0"/>
          <w:szCs w:val="21"/>
          <w:highlight w:val="none"/>
        </w:rPr>
      </w:pPr>
      <w:r>
        <w:rPr>
          <w:rFonts w:hint="eastAsia" w:ascii="宋体" w:hAnsi="宋体" w:cs="宋体"/>
          <w:b/>
          <w:color w:val="auto"/>
          <w:szCs w:val="21"/>
          <w:highlight w:val="none"/>
        </w:rPr>
        <w:t>15.4.2磋商响应供应商提交的资格证明材料无法证明其符合采购文件规定的“磋商响应供应商资格要求”的，</w:t>
      </w:r>
      <w:r>
        <w:rPr>
          <w:rFonts w:hint="eastAsia" w:ascii="宋体" w:hAnsi="宋体" w:cs="宋体"/>
          <w:b/>
          <w:color w:val="auto"/>
          <w:kern w:val="0"/>
          <w:szCs w:val="21"/>
          <w:highlight w:val="none"/>
        </w:rPr>
        <w:t>磋商小组将对其作资格审查不通过处理（无效磋商响应），不再后续磋商。</w:t>
      </w:r>
    </w:p>
    <w:p w14:paraId="36B43C94">
      <w:pPr>
        <w:pageBreakBefore w:val="0"/>
        <w:kinsoku/>
        <w:wordWrap/>
        <w:overflowPunct/>
        <w:topLinePunct w:val="0"/>
        <w:bidi w:val="0"/>
        <w:adjustRightInd w:val="0"/>
        <w:snapToGrid w:val="0"/>
        <w:spacing w:line="360" w:lineRule="auto"/>
        <w:ind w:firstLine="373" w:firstLineChars="177"/>
        <w:outlineLvl w:val="9"/>
        <w:rPr>
          <w:rFonts w:ascii="宋体" w:hAnsi="宋体" w:cs="宋体"/>
          <w:color w:val="auto"/>
          <w:szCs w:val="21"/>
          <w:highlight w:val="none"/>
        </w:rPr>
      </w:pPr>
      <w:r>
        <w:rPr>
          <w:rFonts w:hint="eastAsia" w:ascii="宋体" w:hAnsi="宋体" w:cs="宋体"/>
          <w:b/>
          <w:color w:val="auto"/>
          <w:szCs w:val="21"/>
          <w:highlight w:val="none"/>
        </w:rPr>
        <w:t>15.4</w:t>
      </w:r>
      <w:r>
        <w:rPr>
          <w:rFonts w:hint="eastAsia" w:ascii="宋体" w:hAnsi="宋体" w:cs="宋体"/>
          <w:b/>
          <w:color w:val="auto"/>
          <w:kern w:val="0"/>
          <w:szCs w:val="21"/>
          <w:highlight w:val="none"/>
        </w:rPr>
        <w:t>.3单位负责人为同一人或者存在直接控股、管理关系的不同供应商参加同一合同项下的政府采购活动的，相关磋商响应供应商均作资格无效处理。</w:t>
      </w:r>
    </w:p>
    <w:p w14:paraId="4607A873">
      <w:pPr>
        <w:pageBreakBefore w:val="0"/>
        <w:kinsoku/>
        <w:wordWrap/>
        <w:overflowPunct/>
        <w:topLinePunct w:val="0"/>
        <w:bidi w:val="0"/>
        <w:outlineLvl w:val="9"/>
        <w:rPr>
          <w:color w:val="auto"/>
          <w:highlight w:val="none"/>
        </w:rPr>
      </w:pPr>
      <w:bookmarkStart w:id="65" w:name="_Toc442428813"/>
    </w:p>
    <w:p w14:paraId="01CCCA84">
      <w:pPr>
        <w:pageBreakBefore w:val="0"/>
        <w:kinsoku/>
        <w:wordWrap/>
        <w:overflowPunct/>
        <w:topLinePunct w:val="0"/>
        <w:bidi w:val="0"/>
        <w:adjustRightInd w:val="0"/>
        <w:snapToGrid w:val="0"/>
        <w:spacing w:line="360" w:lineRule="auto"/>
        <w:jc w:val="center"/>
        <w:outlineLvl w:val="9"/>
        <w:rPr>
          <w:rFonts w:ascii="宋体" w:hAnsi="宋体" w:cs="宋体"/>
          <w:b/>
          <w:color w:val="auto"/>
          <w:sz w:val="24"/>
          <w:highlight w:val="none"/>
        </w:rPr>
      </w:pPr>
      <w:r>
        <w:rPr>
          <w:rFonts w:hint="eastAsia" w:ascii="宋体" w:hAnsi="宋体" w:cs="宋体"/>
          <w:b/>
          <w:color w:val="auto"/>
          <w:sz w:val="24"/>
          <w:highlight w:val="none"/>
        </w:rPr>
        <w:t>六、磋 商</w:t>
      </w:r>
      <w:bookmarkEnd w:id="65"/>
    </w:p>
    <w:p w14:paraId="4D098DF7">
      <w:pPr>
        <w:pStyle w:val="26"/>
        <w:pageBreakBefore w:val="0"/>
        <w:kinsoku/>
        <w:wordWrap/>
        <w:overflowPunct/>
        <w:topLinePunct w:val="0"/>
        <w:bidi w:val="0"/>
        <w:adjustRightInd w:val="0"/>
        <w:snapToGrid w:val="0"/>
        <w:spacing w:line="360" w:lineRule="auto"/>
        <w:outlineLvl w:val="9"/>
        <w:rPr>
          <w:rFonts w:ascii="宋体" w:hAnsi="宋体" w:eastAsia="宋体"/>
          <w:b/>
          <w:color w:val="auto"/>
          <w:highlight w:val="none"/>
        </w:rPr>
      </w:pPr>
      <w:r>
        <w:rPr>
          <w:rFonts w:hint="eastAsia" w:ascii="宋体" w:hAnsi="宋体" w:eastAsia="宋体"/>
          <w:b/>
          <w:color w:val="auto"/>
          <w:highlight w:val="none"/>
        </w:rPr>
        <w:t>16</w:t>
      </w:r>
      <w:r>
        <w:rPr>
          <w:rFonts w:hint="eastAsia" w:ascii="宋体" w:hAnsi="宋体" w:eastAsia="宋体"/>
          <w:b/>
          <w:color w:val="auto"/>
          <w:kern w:val="0"/>
          <w:highlight w:val="none"/>
          <w:lang w:val="zh-CN"/>
        </w:rPr>
        <w:t>、</w:t>
      </w:r>
      <w:r>
        <w:rPr>
          <w:rFonts w:hint="eastAsia" w:ascii="宋体" w:hAnsi="宋体" w:eastAsia="宋体"/>
          <w:b/>
          <w:color w:val="auto"/>
          <w:highlight w:val="none"/>
        </w:rPr>
        <w:t>磋商小组</w:t>
      </w:r>
    </w:p>
    <w:p w14:paraId="5888CC75">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color w:val="auto"/>
          <w:highlight w:val="none"/>
          <w:lang w:val="zh-CN"/>
        </w:rPr>
      </w:pPr>
      <w:r>
        <w:rPr>
          <w:rFonts w:hint="eastAsia" w:ascii="宋体" w:hAnsi="宋体" w:eastAsia="宋体"/>
          <w:color w:val="auto"/>
          <w:highlight w:val="none"/>
        </w:rPr>
        <w:t>16.1采购代理机构依法组成由3人(含)以上奇数的人员组成的磋商小组，负责对磋商响应文件进行审查、质询、评审和比较等。磋商小组</w:t>
      </w:r>
      <w:r>
        <w:rPr>
          <w:rFonts w:hint="eastAsia" w:ascii="宋体" w:hAnsi="宋体" w:eastAsia="宋体"/>
          <w:color w:val="auto"/>
          <w:highlight w:val="none"/>
          <w:lang w:val="zh-CN"/>
        </w:rPr>
        <w:t>由采购人代表和政府采购咨询专家或经批准推荐的行业临时专家组成，其中政府采购咨询专家或经批准推荐的行业临时专家人数不少于成员总数的三分之二。</w:t>
      </w:r>
    </w:p>
    <w:p w14:paraId="2DF2903C">
      <w:pPr>
        <w:pageBreakBefore w:val="0"/>
        <w:numPr>
          <w:ilvl w:val="0"/>
          <w:numId w:val="0"/>
        </w:numPr>
        <w:tabs>
          <w:tab w:val="left" w:pos="720"/>
        </w:tabs>
        <w:kinsoku/>
        <w:wordWrap/>
        <w:overflowPunct/>
        <w:topLinePunct w:val="0"/>
        <w:bidi w:val="0"/>
        <w:adjustRightInd w:val="0"/>
        <w:snapToGrid w:val="0"/>
        <w:spacing w:before="0" w:after="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16.2磋商小组的职责</w:t>
      </w:r>
    </w:p>
    <w:p w14:paraId="6F21F03B">
      <w:pPr>
        <w:pageBreakBefore w:val="0"/>
        <w:numPr>
          <w:ilvl w:val="0"/>
          <w:numId w:val="0"/>
        </w:numPr>
        <w:tabs>
          <w:tab w:val="left" w:pos="720"/>
        </w:tabs>
        <w:kinsoku/>
        <w:wordWrap/>
        <w:overflowPunct/>
        <w:topLinePunct w:val="0"/>
        <w:bidi w:val="0"/>
        <w:adjustRightInd w:val="0"/>
        <w:snapToGrid w:val="0"/>
        <w:spacing w:before="0" w:after="0"/>
        <w:ind w:firstLine="420" w:firstLineChars="20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16.2.1磋商小组负责具体磋商事务，并独立履行下列职责：</w:t>
      </w:r>
    </w:p>
    <w:p w14:paraId="51959C89">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kern w:val="0"/>
          <w:szCs w:val="21"/>
          <w:highlight w:val="none"/>
        </w:rPr>
        <w:t>（1）审查、评价磋商响应文件是否符合采购文件的商务、技术等实质性要求。</w:t>
      </w:r>
    </w:p>
    <w:p w14:paraId="47A0FBF4">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kern w:val="0"/>
          <w:szCs w:val="21"/>
          <w:highlight w:val="none"/>
        </w:rPr>
        <w:t>（2）要求</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人对磋商响应文件有关事项作出澄清或者说明。</w:t>
      </w:r>
    </w:p>
    <w:p w14:paraId="0A2E7E77">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kern w:val="0"/>
          <w:szCs w:val="21"/>
          <w:highlight w:val="none"/>
        </w:rPr>
        <w:t>（3）对磋商响应文件进行比较和评价。</w:t>
      </w:r>
    </w:p>
    <w:p w14:paraId="7EDD700F">
      <w:pPr>
        <w:pageBreakBefore w:val="0"/>
        <w:kinsoku/>
        <w:wordWrap/>
        <w:overflowPunct/>
        <w:topLinePunct w:val="0"/>
        <w:bidi w:val="0"/>
        <w:adjustRightInd w:val="0"/>
        <w:snapToGrid w:val="0"/>
        <w:spacing w:line="360" w:lineRule="auto"/>
        <w:ind w:firstLine="369" w:firstLineChars="176"/>
        <w:outlineLvl w:val="9"/>
        <w:rPr>
          <w:rFonts w:ascii="宋体" w:hAnsi="宋体" w:cs="宋体"/>
          <w:color w:val="auto"/>
          <w:kern w:val="0"/>
          <w:szCs w:val="21"/>
          <w:highlight w:val="none"/>
        </w:rPr>
      </w:pPr>
      <w:r>
        <w:rPr>
          <w:rFonts w:hint="eastAsia" w:ascii="宋体" w:hAnsi="宋体" w:cs="宋体"/>
          <w:color w:val="auto"/>
          <w:kern w:val="0"/>
          <w:szCs w:val="21"/>
          <w:highlight w:val="none"/>
        </w:rPr>
        <w:t>（4）确定成交候选人名单，以及根据采购人委托直接确定成交人。</w:t>
      </w:r>
    </w:p>
    <w:p w14:paraId="51D763BF">
      <w:pPr>
        <w:pStyle w:val="26"/>
        <w:pageBreakBefore w:val="0"/>
        <w:kinsoku/>
        <w:wordWrap/>
        <w:overflowPunct/>
        <w:topLinePunct w:val="0"/>
        <w:bidi w:val="0"/>
        <w:adjustRightInd w:val="0"/>
        <w:snapToGrid w:val="0"/>
        <w:spacing w:line="360" w:lineRule="auto"/>
        <w:ind w:firstLine="420" w:firstLineChars="200"/>
        <w:outlineLvl w:val="9"/>
        <w:rPr>
          <w:rFonts w:ascii="宋体" w:hAnsi="宋体" w:eastAsia="宋体"/>
          <w:color w:val="auto"/>
          <w:highlight w:val="none"/>
          <w:lang w:val="zh-CN"/>
        </w:rPr>
      </w:pPr>
      <w:r>
        <w:rPr>
          <w:rFonts w:hint="eastAsia" w:ascii="宋体" w:hAnsi="宋体" w:eastAsia="宋体"/>
          <w:color w:val="auto"/>
          <w:kern w:val="0"/>
          <w:highlight w:val="none"/>
        </w:rPr>
        <w:t>（5）向采购人、采购代理机构或者有关部门报告磋商中发现的违法行为。</w:t>
      </w:r>
    </w:p>
    <w:p w14:paraId="5B00DDFC">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16.3磋商原则</w:t>
      </w:r>
    </w:p>
    <w:p w14:paraId="7D72DD50">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szCs w:val="21"/>
          <w:highlight w:val="none"/>
        </w:rPr>
      </w:pPr>
      <w:r>
        <w:rPr>
          <w:rFonts w:hint="eastAsia" w:ascii="宋体" w:hAnsi="宋体" w:cs="宋体"/>
          <w:color w:val="auto"/>
          <w:szCs w:val="21"/>
          <w:highlight w:val="none"/>
        </w:rPr>
        <w:t>16.3.1磋商原则：</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按照客观、公正、审慎、择优的原则，根据采购文件规定的磋商程序、磋商方法和磋商标准进行独立评审。</w:t>
      </w:r>
    </w:p>
    <w:p w14:paraId="76939829">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szCs w:val="21"/>
          <w:highlight w:val="none"/>
        </w:rPr>
      </w:pPr>
      <w:r>
        <w:rPr>
          <w:rFonts w:hint="eastAsia" w:ascii="宋体" w:hAnsi="宋体" w:cs="宋体"/>
          <w:color w:val="auto"/>
          <w:szCs w:val="21"/>
          <w:highlight w:val="none"/>
        </w:rPr>
        <w:t>16.3.2磋商工作将依据采购</w:t>
      </w:r>
      <w:r>
        <w:rPr>
          <w:rFonts w:hint="eastAsia" w:ascii="宋体" w:hAnsi="宋体" w:cs="宋体"/>
          <w:color w:val="auto"/>
          <w:kern w:val="0"/>
          <w:szCs w:val="21"/>
          <w:highlight w:val="none"/>
        </w:rPr>
        <w:t>文件、磋商响应文件及采购文件中事先已列明的内容进行（如现场方案讲解、演示等）。</w:t>
      </w:r>
    </w:p>
    <w:p w14:paraId="7F8519C3">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16.4磋商意见的争议处理</w:t>
      </w:r>
    </w:p>
    <w:p w14:paraId="372D2EFF">
      <w:pPr>
        <w:pageBreakBefore w:val="0"/>
        <w:kinsoku/>
        <w:wordWrap/>
        <w:overflowPunct/>
        <w:topLinePunct w:val="0"/>
        <w:bidi w:val="0"/>
        <w:adjustRightInd w:val="0"/>
        <w:snapToGrid w:val="0"/>
        <w:spacing w:line="360" w:lineRule="auto"/>
        <w:ind w:firstLine="371" w:firstLineChars="177"/>
        <w:outlineLvl w:val="9"/>
        <w:rPr>
          <w:rFonts w:ascii="宋体" w:hAnsi="宋体" w:cs="宋体"/>
          <w:bCs/>
          <w:color w:val="auto"/>
          <w:szCs w:val="21"/>
          <w:highlight w:val="none"/>
        </w:rPr>
      </w:pPr>
      <w:r>
        <w:rPr>
          <w:rFonts w:hint="eastAsia" w:ascii="宋体" w:hAnsi="宋体" w:cs="宋体"/>
          <w:color w:val="auto"/>
          <w:szCs w:val="21"/>
          <w:highlight w:val="none"/>
        </w:rPr>
        <w:t>16.4</w:t>
      </w:r>
      <w:r>
        <w:rPr>
          <w:rFonts w:hint="eastAsia" w:ascii="宋体" w:hAnsi="宋体" w:cs="宋体"/>
          <w:bCs/>
          <w:color w:val="auto"/>
          <w:szCs w:val="21"/>
          <w:highlight w:val="none"/>
        </w:rPr>
        <w:t>.1磋商小组成员对需要共同认定的事项存在争议的，按照少数服从多数的原则作出结论。持不同意见的磋商小组成员应当在评审报告上签署不同意见及理由，否则视为同意评审报告。</w:t>
      </w:r>
    </w:p>
    <w:p w14:paraId="17C17D9A">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bookmarkStart w:id="66" w:name="_Toc20694"/>
      <w:bookmarkStart w:id="67" w:name="_Toc18559"/>
      <w:bookmarkStart w:id="68" w:name="_Toc11216"/>
      <w:bookmarkStart w:id="69" w:name="_Toc33194395"/>
      <w:bookmarkStart w:id="70" w:name="_Toc24550044"/>
      <w:r>
        <w:rPr>
          <w:rFonts w:hint="eastAsia" w:ascii="宋体" w:hAnsi="宋体" w:eastAsia="宋体" w:cs="宋体"/>
          <w:color w:val="auto"/>
          <w:sz w:val="21"/>
          <w:szCs w:val="21"/>
          <w:highlight w:val="none"/>
        </w:rPr>
        <w:t>16.5磋商小组纪律</w:t>
      </w:r>
    </w:p>
    <w:p w14:paraId="62AA300F">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kern w:val="0"/>
          <w:szCs w:val="21"/>
          <w:highlight w:val="none"/>
        </w:rPr>
      </w:pPr>
      <w:r>
        <w:rPr>
          <w:rFonts w:hint="eastAsia" w:ascii="宋体" w:hAnsi="宋体" w:cs="宋体"/>
          <w:color w:val="auto"/>
          <w:szCs w:val="21"/>
          <w:highlight w:val="none"/>
        </w:rPr>
        <w:t>16.5.1磋商小组成员必须严格遵守保密规定，不得泄露磋商的有关情况</w:t>
      </w:r>
      <w:r>
        <w:rPr>
          <w:rFonts w:hint="eastAsia" w:ascii="宋体" w:hAnsi="宋体" w:cs="宋体"/>
          <w:color w:val="auto"/>
          <w:kern w:val="0"/>
          <w:szCs w:val="21"/>
          <w:highlight w:val="none"/>
        </w:rPr>
        <w:t>，任何单位和个人不得干扰、影响评标的正常进行，磋商小组成员不得私下与</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供应商接触，不得出现浙江省政府采购活动现场组织管理办法中规定的其他禁止行为。</w:t>
      </w:r>
    </w:p>
    <w:p w14:paraId="2B695E6A">
      <w:pPr>
        <w:pageBreakBefore w:val="0"/>
        <w:numPr>
          <w:ilvl w:val="0"/>
          <w:numId w:val="0"/>
        </w:numPr>
        <w:tabs>
          <w:tab w:val="left" w:pos="706"/>
        </w:tabs>
        <w:kinsoku/>
        <w:wordWrap/>
        <w:overflowPunct/>
        <w:topLinePunct w:val="0"/>
        <w:bidi w:val="0"/>
        <w:adjustRightInd w:val="0"/>
        <w:snapToGrid w:val="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16.6磋商流程及内容</w:t>
      </w:r>
      <w:bookmarkEnd w:id="66"/>
      <w:bookmarkEnd w:id="67"/>
      <w:bookmarkEnd w:id="68"/>
      <w:bookmarkEnd w:id="69"/>
      <w:bookmarkEnd w:id="70"/>
    </w:p>
    <w:p w14:paraId="714771D4">
      <w:pPr>
        <w:pageBreakBefore w:val="0"/>
        <w:kinsoku/>
        <w:wordWrap/>
        <w:overflowPunct/>
        <w:topLinePunct w:val="0"/>
        <w:bidi w:val="0"/>
        <w:adjustRightInd w:val="0"/>
        <w:snapToGrid w:val="0"/>
        <w:spacing w:line="360" w:lineRule="auto"/>
        <w:ind w:firstLine="371" w:firstLineChars="176"/>
        <w:outlineLvl w:val="9"/>
        <w:rPr>
          <w:rFonts w:ascii="宋体" w:hAnsi="宋体" w:cs="宋体"/>
          <w:color w:val="auto"/>
          <w:szCs w:val="21"/>
          <w:highlight w:val="none"/>
        </w:rPr>
      </w:pPr>
      <w:r>
        <w:rPr>
          <w:rFonts w:hint="eastAsia" w:ascii="宋体" w:hAnsi="宋体" w:cs="宋体"/>
          <w:b/>
          <w:color w:val="auto"/>
          <w:kern w:val="0"/>
          <w:szCs w:val="21"/>
          <w:highlight w:val="none"/>
        </w:rPr>
        <w:t>本项目具体的磋商事务由磋商小组负责，磋商流程及内容如下：</w:t>
      </w:r>
    </w:p>
    <w:p w14:paraId="378CF7E8">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16.6.1 磋商前准备</w:t>
      </w:r>
    </w:p>
    <w:p w14:paraId="266EF4B5">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szCs w:val="21"/>
          <w:highlight w:val="none"/>
        </w:rPr>
        <w:t>16.6</w:t>
      </w:r>
      <w:r>
        <w:rPr>
          <w:rFonts w:hint="eastAsia" w:ascii="宋体" w:hAnsi="宋体" w:cs="宋体"/>
          <w:color w:val="auto"/>
          <w:kern w:val="0"/>
          <w:szCs w:val="21"/>
          <w:highlight w:val="none"/>
        </w:rPr>
        <w:t>.1.1由磋商小组成员推选磋商小组组长，采购人代表不得担任磋商小组组长。</w:t>
      </w:r>
    </w:p>
    <w:p w14:paraId="3B390801">
      <w:pPr>
        <w:pageBreakBefore w:val="0"/>
        <w:kinsoku/>
        <w:wordWrap/>
        <w:overflowPunct/>
        <w:topLinePunct w:val="0"/>
        <w:bidi w:val="0"/>
        <w:adjustRightInd w:val="0"/>
        <w:snapToGrid w:val="0"/>
        <w:spacing w:line="360" w:lineRule="auto"/>
        <w:ind w:firstLine="371" w:firstLineChars="177"/>
        <w:outlineLvl w:val="9"/>
        <w:rPr>
          <w:rFonts w:ascii="宋体" w:hAnsi="宋体" w:cs="宋体"/>
          <w:b/>
          <w:color w:val="auto"/>
          <w:kern w:val="0"/>
          <w:szCs w:val="21"/>
          <w:highlight w:val="none"/>
        </w:rPr>
      </w:pPr>
      <w:r>
        <w:rPr>
          <w:rFonts w:hint="eastAsia" w:ascii="宋体" w:hAnsi="宋体" w:cs="宋体"/>
          <w:color w:val="auto"/>
          <w:szCs w:val="21"/>
          <w:highlight w:val="none"/>
        </w:rPr>
        <w:t>16.6</w:t>
      </w:r>
      <w:r>
        <w:rPr>
          <w:rFonts w:hint="eastAsia" w:ascii="宋体" w:hAnsi="宋体" w:cs="宋体"/>
          <w:color w:val="auto"/>
          <w:kern w:val="0"/>
          <w:szCs w:val="21"/>
          <w:highlight w:val="none"/>
        </w:rPr>
        <w:t>.1.2由磋商小组组长召集所有磋商小组成员阅读采购文件及相关补充、质疑、答复文件、项目书面说明等材料，熟悉采购项目基本情况、采购需求、合同主要条款、</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文件无效情形、磋商办法、磋商标准，以及其他与磋商有关的内容。</w:t>
      </w:r>
    </w:p>
    <w:p w14:paraId="5B5B1887">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16.6.2响应文件的符合性审查</w:t>
      </w:r>
    </w:p>
    <w:p w14:paraId="18214587">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对所有通过资格审查的磋商响应供应商的响应文件进行审查、评价响应文件是否符合采购文件的商务、技术、服务等实质性要求。</w:t>
      </w:r>
    </w:p>
    <w:p w14:paraId="3EB44B38">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szCs w:val="21"/>
          <w:highlight w:val="none"/>
        </w:rPr>
      </w:pPr>
      <w:r>
        <w:rPr>
          <w:rFonts w:hint="eastAsia" w:ascii="宋体" w:hAnsi="宋体" w:cs="宋体"/>
          <w:color w:val="auto"/>
          <w:szCs w:val="21"/>
          <w:highlight w:val="none"/>
        </w:rPr>
        <w:t>16.6.2.1磋商小组首先对所有通过资格审查的响应文件进行符合性审查，审查每份响应文件是否实质上响应了采购文件的要求（实质性响应的文件是指响应文件符合采购文件规定的实质性内容、条件和规定）。</w:t>
      </w:r>
    </w:p>
    <w:p w14:paraId="67C87561">
      <w:pPr>
        <w:pageBreakBefore w:val="0"/>
        <w:numPr>
          <w:ilvl w:val="0"/>
          <w:numId w:val="0"/>
        </w:numPr>
        <w:tabs>
          <w:tab w:val="left" w:pos="720"/>
        </w:tabs>
        <w:kinsoku/>
        <w:wordWrap/>
        <w:overflowPunct/>
        <w:topLinePunct w:val="0"/>
        <w:bidi w:val="0"/>
        <w:adjustRightInd w:val="0"/>
        <w:snapToGrid w:val="0"/>
        <w:spacing w:before="0" w:after="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16.6.3 响应文件的澄清、说明或补正</w:t>
      </w:r>
    </w:p>
    <w:p w14:paraId="3BDC5DAB">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kern w:val="0"/>
          <w:szCs w:val="21"/>
          <w:highlight w:val="none"/>
        </w:rPr>
      </w:pPr>
      <w:r>
        <w:rPr>
          <w:rFonts w:hint="eastAsia" w:ascii="宋体" w:hAnsi="宋体" w:cs="宋体"/>
          <w:color w:val="auto"/>
          <w:szCs w:val="21"/>
          <w:highlight w:val="none"/>
        </w:rPr>
        <w:t>16.6</w:t>
      </w:r>
      <w:r>
        <w:rPr>
          <w:rFonts w:hint="eastAsia" w:ascii="宋体" w:hAnsi="宋体" w:cs="宋体"/>
          <w:color w:val="auto"/>
          <w:kern w:val="0"/>
          <w:szCs w:val="21"/>
          <w:highlight w:val="none"/>
        </w:rPr>
        <w:t>.3.1对于响应文件中含义不明确、同类问题表述不一致或者有明显文字和计算错误的内容，将以书面形式（或通过“政府采购云平台”在线询标）的形式要求</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供应商在规定的时间内作出必要的澄清、说明或者补正，</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供应商澄清、说明或补正时间为30分钟。</w:t>
      </w:r>
    </w:p>
    <w:p w14:paraId="021A24AA">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kern w:val="0"/>
          <w:szCs w:val="21"/>
          <w:highlight w:val="none"/>
        </w:rPr>
      </w:pPr>
      <w:r>
        <w:rPr>
          <w:rFonts w:hint="eastAsia" w:ascii="宋体" w:hAnsi="宋体" w:cs="宋体"/>
          <w:color w:val="auto"/>
          <w:szCs w:val="21"/>
          <w:highlight w:val="none"/>
        </w:rPr>
        <w:t>16.6</w:t>
      </w:r>
      <w:r>
        <w:rPr>
          <w:rFonts w:hint="eastAsia" w:ascii="宋体" w:hAnsi="宋体" w:cs="宋体"/>
          <w:color w:val="auto"/>
          <w:kern w:val="0"/>
          <w:szCs w:val="21"/>
          <w:highlight w:val="none"/>
        </w:rPr>
        <w:t>.3.2</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供应商的澄清、说明或者补正应当采用书面（或通过“政府采购云平台”在线答复）形式提交，并加盖公章。</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供应商的澄清、说明或者补正不得超出</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文件的范围或者改变</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文件的实质性内容。</w:t>
      </w:r>
    </w:p>
    <w:p w14:paraId="027B80A8">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16.6.4 磋商响应文件的错误修正</w:t>
      </w:r>
    </w:p>
    <w:p w14:paraId="4655C67F">
      <w:pPr>
        <w:pageBreakBefore w:val="0"/>
        <w:kinsoku/>
        <w:wordWrap/>
        <w:overflowPunct/>
        <w:topLinePunct w:val="0"/>
        <w:bidi w:val="0"/>
        <w:adjustRightInd w:val="0"/>
        <w:snapToGrid w:val="0"/>
        <w:spacing w:line="360" w:lineRule="auto"/>
        <w:ind w:firstLine="369" w:firstLineChars="175"/>
        <w:outlineLvl w:val="9"/>
        <w:rPr>
          <w:rFonts w:ascii="宋体" w:hAnsi="宋体" w:cs="宋体"/>
          <w:b/>
          <w:bCs/>
          <w:color w:val="auto"/>
          <w:kern w:val="0"/>
          <w:szCs w:val="21"/>
          <w:highlight w:val="none"/>
        </w:rPr>
      </w:pPr>
      <w:r>
        <w:rPr>
          <w:rFonts w:hint="eastAsia" w:ascii="宋体" w:hAnsi="宋体" w:cs="宋体"/>
          <w:b/>
          <w:bCs/>
          <w:color w:val="auto"/>
          <w:szCs w:val="21"/>
          <w:highlight w:val="none"/>
        </w:rPr>
        <w:t>16.6</w:t>
      </w:r>
      <w:r>
        <w:rPr>
          <w:rFonts w:hint="eastAsia" w:ascii="宋体" w:hAnsi="宋体" w:cs="宋体"/>
          <w:b/>
          <w:bCs/>
          <w:color w:val="auto"/>
          <w:kern w:val="0"/>
          <w:szCs w:val="21"/>
          <w:highlight w:val="none"/>
        </w:rPr>
        <w:t>.4.1《磋商响应文件》如果出现计算或表达上的错误，修正错误的原则如下：</w:t>
      </w:r>
    </w:p>
    <w:p w14:paraId="6DE1BB23">
      <w:pPr>
        <w:pageBreakBefore w:val="0"/>
        <w:kinsoku/>
        <w:wordWrap/>
        <w:overflowPunct/>
        <w:topLinePunct w:val="0"/>
        <w:bidi w:val="0"/>
        <w:adjustRightInd w:val="0"/>
        <w:snapToGrid w:val="0"/>
        <w:spacing w:line="360" w:lineRule="auto"/>
        <w:ind w:firstLine="367" w:firstLineChars="175"/>
        <w:outlineLvl w:val="9"/>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磋商响应文件</w:t>
      </w:r>
      <w:r>
        <w:rPr>
          <w:rFonts w:hint="eastAsia" w:ascii="宋体" w:hAnsi="宋体" w:cs="宋体"/>
          <w:color w:val="auto"/>
          <w:kern w:val="0"/>
          <w:szCs w:val="21"/>
          <w:highlight w:val="none"/>
        </w:rPr>
        <w:t>中开标一览表（报价表）内容与</w:t>
      </w:r>
      <w:r>
        <w:rPr>
          <w:rFonts w:hint="eastAsia" w:ascii="宋体" w:hAnsi="宋体" w:cs="宋体"/>
          <w:color w:val="auto"/>
          <w:szCs w:val="21"/>
          <w:highlight w:val="none"/>
        </w:rPr>
        <w:t>磋商响应文件</w:t>
      </w:r>
      <w:r>
        <w:rPr>
          <w:rFonts w:hint="eastAsia" w:ascii="宋体" w:hAnsi="宋体" w:cs="宋体"/>
          <w:color w:val="auto"/>
          <w:kern w:val="0"/>
          <w:szCs w:val="21"/>
          <w:highlight w:val="none"/>
        </w:rPr>
        <w:t>中相应内容不一致的，以开标一览表（报价表）为准。</w:t>
      </w:r>
    </w:p>
    <w:p w14:paraId="3FA11EF8">
      <w:pPr>
        <w:pageBreakBefore w:val="0"/>
        <w:kinsoku/>
        <w:wordWrap/>
        <w:overflowPunct/>
        <w:topLinePunct w:val="0"/>
        <w:bidi w:val="0"/>
        <w:adjustRightInd w:val="0"/>
        <w:snapToGrid w:val="0"/>
        <w:spacing w:line="360" w:lineRule="auto"/>
        <w:ind w:firstLine="367" w:firstLineChars="175"/>
        <w:outlineLvl w:val="9"/>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59EF7D5E">
      <w:pPr>
        <w:pageBreakBefore w:val="0"/>
        <w:kinsoku/>
        <w:wordWrap/>
        <w:overflowPunct/>
        <w:topLinePunct w:val="0"/>
        <w:bidi w:val="0"/>
        <w:adjustRightInd w:val="0"/>
        <w:snapToGrid w:val="0"/>
        <w:spacing w:line="360" w:lineRule="auto"/>
        <w:ind w:firstLine="367" w:firstLineChars="175"/>
        <w:outlineLvl w:val="9"/>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（3）单价金额小数点或者百分比有明显错位的，应以开标一览表的总价为准，并修改单价。</w:t>
      </w:r>
    </w:p>
    <w:p w14:paraId="5AF7B232">
      <w:pPr>
        <w:pageBreakBefore w:val="0"/>
        <w:kinsoku/>
        <w:wordWrap/>
        <w:overflowPunct/>
        <w:topLinePunct w:val="0"/>
        <w:bidi w:val="0"/>
        <w:adjustRightInd w:val="0"/>
        <w:snapToGrid w:val="0"/>
        <w:spacing w:line="360" w:lineRule="auto"/>
        <w:ind w:firstLine="367" w:firstLineChars="175"/>
        <w:outlineLvl w:val="9"/>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216EF262">
      <w:pPr>
        <w:pageBreakBefore w:val="0"/>
        <w:kinsoku/>
        <w:wordWrap/>
        <w:overflowPunct/>
        <w:topLinePunct w:val="0"/>
        <w:bidi w:val="0"/>
        <w:adjustRightInd w:val="0"/>
        <w:snapToGrid w:val="0"/>
        <w:spacing w:line="360" w:lineRule="auto"/>
        <w:ind w:firstLine="367" w:firstLineChars="175"/>
        <w:outlineLvl w:val="9"/>
        <w:rPr>
          <w:rFonts w:ascii="宋体" w:hAnsi="宋体" w:cs="宋体"/>
          <w:color w:val="auto"/>
          <w:kern w:val="0"/>
          <w:szCs w:val="21"/>
          <w:highlight w:val="none"/>
        </w:rPr>
      </w:pPr>
      <w:r>
        <w:rPr>
          <w:rFonts w:hint="eastAsia" w:ascii="宋体" w:hAnsi="宋体" w:cs="宋体"/>
          <w:color w:val="auto"/>
          <w:szCs w:val="21"/>
          <w:highlight w:val="none"/>
        </w:rPr>
        <w:t>16.6</w:t>
      </w:r>
      <w:r>
        <w:rPr>
          <w:rFonts w:hint="eastAsia" w:ascii="宋体" w:hAnsi="宋体" w:cs="宋体"/>
          <w:color w:val="auto"/>
          <w:kern w:val="0"/>
          <w:szCs w:val="21"/>
          <w:highlight w:val="none"/>
        </w:rPr>
        <w:t>.4.2对不同文字文本《</w:t>
      </w:r>
      <w:r>
        <w:rPr>
          <w:rFonts w:hint="eastAsia" w:ascii="宋体" w:hAnsi="宋体" w:cs="宋体"/>
          <w:color w:val="auto"/>
          <w:szCs w:val="21"/>
          <w:highlight w:val="none"/>
        </w:rPr>
        <w:t>磋商响应文件</w:t>
      </w:r>
      <w:r>
        <w:rPr>
          <w:rFonts w:hint="eastAsia" w:ascii="宋体" w:hAnsi="宋体" w:cs="宋体"/>
          <w:color w:val="auto"/>
          <w:kern w:val="0"/>
          <w:szCs w:val="21"/>
          <w:highlight w:val="none"/>
        </w:rPr>
        <w:t>》的解释发生异议的，以中文文本为准。</w:t>
      </w:r>
    </w:p>
    <w:p w14:paraId="266C90D5">
      <w:pPr>
        <w:pStyle w:val="118"/>
        <w:pageBreakBefore w:val="0"/>
        <w:kinsoku/>
        <w:wordWrap/>
        <w:overflowPunct/>
        <w:topLinePunct w:val="0"/>
        <w:autoSpaceDE/>
        <w:bidi w:val="0"/>
        <w:snapToGrid w:val="0"/>
        <w:spacing w:before="0" w:line="360" w:lineRule="auto"/>
        <w:ind w:left="0" w:firstLine="0"/>
        <w:outlineLvl w:val="9"/>
        <w:rPr>
          <w:rFonts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16.7 磋商响应文件</w:t>
      </w:r>
      <w:r>
        <w:rPr>
          <w:rFonts w:hint="eastAsia" w:ascii="宋体" w:hAnsi="宋体" w:eastAsia="宋体" w:cs="宋体"/>
          <w:b/>
          <w:bCs/>
          <w:color w:val="auto"/>
          <w:kern w:val="2"/>
          <w:sz w:val="21"/>
          <w:szCs w:val="21"/>
          <w:highlight w:val="none"/>
        </w:rPr>
        <w:t>有下列情况之一者将视为无效：</w:t>
      </w:r>
    </w:p>
    <w:p w14:paraId="15102D58">
      <w:pPr>
        <w:pageBreakBefore w:val="0"/>
        <w:kinsoku/>
        <w:wordWrap/>
        <w:overflowPunct/>
        <w:topLinePunct w:val="0"/>
        <w:bidi w:val="0"/>
        <w:adjustRightInd w:val="0"/>
        <w:snapToGrid w:val="0"/>
        <w:spacing w:line="360" w:lineRule="auto"/>
        <w:ind w:firstLine="371" w:firstLineChars="176"/>
        <w:outlineLvl w:val="9"/>
        <w:rPr>
          <w:rFonts w:ascii="宋体" w:hAnsi="宋体" w:cs="宋体"/>
          <w:b/>
          <w:color w:val="auto"/>
          <w:szCs w:val="21"/>
          <w:highlight w:val="none"/>
        </w:rPr>
      </w:pPr>
      <w:bookmarkStart w:id="71" w:name="_Hlk33211013"/>
      <w:r>
        <w:rPr>
          <w:rFonts w:hint="eastAsia" w:ascii="宋体" w:hAnsi="宋体" w:cs="宋体"/>
          <w:b/>
          <w:bCs/>
          <w:color w:val="auto"/>
          <w:szCs w:val="21"/>
          <w:highlight w:val="none"/>
        </w:rPr>
        <w:t>16.7</w:t>
      </w:r>
      <w:r>
        <w:rPr>
          <w:rFonts w:hint="eastAsia" w:ascii="宋体" w:hAnsi="宋体" w:cs="宋体"/>
          <w:b/>
          <w:bCs/>
          <w:color w:val="auto"/>
          <w:kern w:val="0"/>
          <w:szCs w:val="21"/>
          <w:highlight w:val="none"/>
        </w:rPr>
        <w:t>.1商务、技术文件符合性审查中，存在下列情形之一的，经磋商小组认定后作无效标处</w:t>
      </w:r>
      <w:r>
        <w:rPr>
          <w:rFonts w:hint="eastAsia" w:ascii="宋体" w:hAnsi="宋体" w:cs="宋体"/>
          <w:b/>
          <w:color w:val="auto"/>
          <w:szCs w:val="21"/>
          <w:highlight w:val="none"/>
        </w:rPr>
        <w:t>理：</w:t>
      </w:r>
    </w:p>
    <w:p w14:paraId="44C1E6AF">
      <w:pPr>
        <w:pageBreakBefore w:val="0"/>
        <w:kinsoku/>
        <w:wordWrap/>
        <w:overflowPunct/>
        <w:topLinePunct w:val="0"/>
        <w:bidi w:val="0"/>
        <w:spacing w:line="360" w:lineRule="auto"/>
        <w:ind w:firstLine="422" w:firstLineChars="200"/>
        <w:outlineLvl w:val="9"/>
        <w:rPr>
          <w:rFonts w:ascii="宋体" w:hAnsi="宋体" w:cs="宋体"/>
          <w:b/>
          <w:color w:val="auto"/>
          <w:szCs w:val="21"/>
          <w:highlight w:val="none"/>
        </w:rPr>
      </w:pPr>
      <w:bookmarkStart w:id="72" w:name="_Toc22573"/>
      <w:bookmarkStart w:id="73" w:name="_Toc33194396"/>
      <w:bookmarkStart w:id="74" w:name="_Toc32019"/>
      <w:bookmarkStart w:id="75" w:name="_Toc8287"/>
      <w:r>
        <w:rPr>
          <w:rFonts w:hint="eastAsia" w:ascii="宋体" w:hAnsi="宋体" w:cs="宋体"/>
          <w:b/>
          <w:color w:val="auto"/>
          <w:szCs w:val="21"/>
          <w:highlight w:val="none"/>
        </w:rPr>
        <w:t>（1）磋商响应文件未有效授权，授权委托书等填写不完整</w:t>
      </w:r>
      <w:bookmarkEnd w:id="72"/>
      <w:bookmarkEnd w:id="73"/>
      <w:bookmarkEnd w:id="74"/>
      <w:bookmarkEnd w:id="75"/>
      <w:r>
        <w:rPr>
          <w:rFonts w:hint="eastAsia" w:ascii="宋体" w:hAnsi="宋体" w:cs="宋体"/>
          <w:b/>
          <w:color w:val="auto"/>
          <w:szCs w:val="21"/>
          <w:highlight w:val="none"/>
        </w:rPr>
        <w:t>。</w:t>
      </w:r>
    </w:p>
    <w:p w14:paraId="6094BDC6">
      <w:pPr>
        <w:pageBreakBefore w:val="0"/>
        <w:kinsoku/>
        <w:wordWrap/>
        <w:overflowPunct/>
        <w:topLinePunct w:val="0"/>
        <w:bidi w:val="0"/>
        <w:spacing w:line="360" w:lineRule="auto"/>
        <w:ind w:firstLine="422" w:firstLineChars="200"/>
        <w:outlineLvl w:val="9"/>
        <w:rPr>
          <w:rFonts w:ascii="宋体" w:hAnsi="宋体" w:cs="宋体"/>
          <w:b/>
          <w:color w:val="auto"/>
          <w:szCs w:val="21"/>
          <w:highlight w:val="none"/>
        </w:rPr>
      </w:pPr>
      <w:r>
        <w:rPr>
          <w:rFonts w:hint="eastAsia" w:ascii="宋体" w:hAnsi="宋体" w:cs="宋体"/>
          <w:b/>
          <w:color w:val="auto"/>
          <w:szCs w:val="21"/>
          <w:highlight w:val="none"/>
        </w:rPr>
        <w:t>（2）投标有效期不满足采购要求的。</w:t>
      </w:r>
    </w:p>
    <w:p w14:paraId="7A3CD2E4">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（3）磋商响应文件没有对本采购文件作出实质性响应的，或不满足（不响应）本采购文件中标注“▲”的实质性要求条款的，或存在采购文件中明确规定的其他无效标情形的。</w:t>
      </w:r>
    </w:p>
    <w:p w14:paraId="69E27D61">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（4）磋商响应文件存在一个或一个以上备选（替代）磋商响应方案的。</w:t>
      </w:r>
    </w:p>
    <w:p w14:paraId="39AE4318">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（5）磋商响应文件组成内容不齐全，本采购文件规定必须提供而未提供的（属于资格审查范围的除外）。</w:t>
      </w:r>
    </w:p>
    <w:p w14:paraId="11B9856B">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（6）磋商响应文件标注的响应或偏离情况与事实不符，或提供了虚假材料的。</w:t>
      </w:r>
    </w:p>
    <w:p w14:paraId="7BC56052">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（7）不响应或擅自改变本采购文件要求或磋商响应文件有采购人不能接受的附加条件的。</w:t>
      </w:r>
    </w:p>
    <w:p w14:paraId="1432C081">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（8）参加同一合同项下政府采购活动的不同供应商之间存在利害关系并且存在影响政府采购公平竞争行为的。</w:t>
      </w:r>
    </w:p>
    <w:p w14:paraId="796C0DAD">
      <w:pPr>
        <w:pageBreakBefore w:val="0"/>
        <w:kinsoku/>
        <w:wordWrap/>
        <w:overflowPunct/>
        <w:topLinePunct w:val="0"/>
        <w:bidi w:val="0"/>
        <w:adjustRightInd w:val="0"/>
        <w:snapToGrid w:val="0"/>
        <w:spacing w:line="360" w:lineRule="auto"/>
        <w:ind w:firstLine="373" w:firstLineChars="177"/>
        <w:outlineLvl w:val="9"/>
        <w:rPr>
          <w:color w:val="auto"/>
          <w:highlight w:val="none"/>
        </w:rPr>
      </w:pPr>
      <w:r>
        <w:rPr>
          <w:rFonts w:hint="eastAsia" w:ascii="宋体" w:hAnsi="宋体" w:cs="宋体"/>
          <w:b/>
          <w:color w:val="auto"/>
          <w:szCs w:val="21"/>
          <w:highlight w:val="none"/>
        </w:rPr>
        <w:t>（9）供应商串通投标，妨碍其他投标人的竞争行为，损害采购人或者其他投标人的合法权益的</w:t>
      </w:r>
    </w:p>
    <w:p w14:paraId="041AAFC1">
      <w:pPr>
        <w:pageBreakBefore w:val="0"/>
        <w:kinsoku/>
        <w:wordWrap/>
        <w:overflowPunct/>
        <w:topLinePunct w:val="0"/>
        <w:bidi w:val="0"/>
        <w:adjustRightInd w:val="0"/>
        <w:snapToGrid w:val="0"/>
        <w:spacing w:line="360" w:lineRule="auto"/>
        <w:ind w:firstLine="422" w:firstLineChars="200"/>
        <w:outlineLvl w:val="9"/>
        <w:rPr>
          <w:rFonts w:ascii="宋体" w:hAnsi="宋体" w:cs="宋体"/>
          <w:b/>
          <w:color w:val="auto"/>
          <w:szCs w:val="21"/>
          <w:highlight w:val="none"/>
        </w:rPr>
      </w:pPr>
      <w:r>
        <w:rPr>
          <w:rFonts w:hint="eastAsia" w:ascii="宋体" w:hAnsi="宋体" w:cs="宋体"/>
          <w:b/>
          <w:color w:val="auto"/>
          <w:szCs w:val="21"/>
          <w:highlight w:val="none"/>
        </w:rPr>
        <w:t>（10）违反国家或政府部门相关法律、法规、文件规定的。</w:t>
      </w:r>
      <w:bookmarkEnd w:id="71"/>
    </w:p>
    <w:p w14:paraId="5A5F38B4">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kern w:val="0"/>
          <w:szCs w:val="21"/>
          <w:highlight w:val="none"/>
        </w:rPr>
      </w:pPr>
      <w:r>
        <w:rPr>
          <w:rFonts w:hint="eastAsia" w:ascii="宋体" w:hAnsi="宋体" w:cs="宋体"/>
          <w:b/>
          <w:bCs/>
          <w:color w:val="auto"/>
          <w:szCs w:val="21"/>
          <w:highlight w:val="none"/>
        </w:rPr>
        <w:t>16.7</w:t>
      </w:r>
      <w:r>
        <w:rPr>
          <w:rFonts w:hint="eastAsia" w:ascii="宋体" w:hAnsi="宋体" w:cs="宋体"/>
          <w:b/>
          <w:bCs/>
          <w:color w:val="auto"/>
          <w:kern w:val="0"/>
          <w:szCs w:val="21"/>
          <w:highlight w:val="none"/>
        </w:rPr>
        <w:t>.2报</w:t>
      </w:r>
      <w:r>
        <w:rPr>
          <w:rFonts w:hint="eastAsia" w:ascii="宋体" w:hAnsi="宋体" w:cs="宋体"/>
          <w:b/>
          <w:color w:val="auto"/>
          <w:kern w:val="0"/>
          <w:szCs w:val="21"/>
          <w:highlight w:val="none"/>
        </w:rPr>
        <w:t>价文件符合性审查中，存在下列情形之一的，经磋商小组认定后作无效标处理：</w:t>
      </w:r>
    </w:p>
    <w:p w14:paraId="5D707036">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（1）未在政采云系统规定时间内提交最终报价的。</w:t>
      </w:r>
    </w:p>
    <w:p w14:paraId="5317C96B">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（2）未按照采购文件标明的币种报价的，或者磋商响应文件中报价涵盖的内容不符合采购文件要求的。</w:t>
      </w:r>
    </w:p>
    <w:p w14:paraId="4B32F0F3">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（3）《开标一览表》内容与《磋商响应文件报价明细表》内容不一致且拒不接受修正的。</w:t>
      </w:r>
    </w:p>
    <w:p w14:paraId="451132AC">
      <w:pPr>
        <w:pageBreakBefore w:val="0"/>
        <w:kinsoku/>
        <w:wordWrap/>
        <w:overflowPunct/>
        <w:topLinePunct w:val="0"/>
        <w:bidi w:val="0"/>
        <w:adjustRightInd w:val="0"/>
        <w:snapToGrid w:val="0"/>
        <w:spacing w:line="360" w:lineRule="auto"/>
        <w:ind w:firstLine="373" w:firstLineChars="177"/>
        <w:outlineLvl w:val="9"/>
        <w:rPr>
          <w:rFonts w:ascii="宋体" w:hAnsi="宋体" w:cs="宋体"/>
          <w:b/>
          <w:color w:val="auto"/>
          <w:szCs w:val="21"/>
          <w:highlight w:val="none"/>
        </w:rPr>
      </w:pPr>
      <w:r>
        <w:rPr>
          <w:rFonts w:hint="eastAsia" w:ascii="宋体" w:hAnsi="宋体" w:cs="宋体"/>
          <w:b/>
          <w:color w:val="auto"/>
          <w:szCs w:val="21"/>
          <w:highlight w:val="none"/>
        </w:rPr>
        <w:t>（4）供应商的磋商报价为零的（包括响应文件中标明：免费或赠予）或磋商总报价未包含全部采购内容或超过了本项目最高限价的。</w:t>
      </w:r>
    </w:p>
    <w:p w14:paraId="3CCE1D49">
      <w:pPr>
        <w:pageBreakBefore w:val="0"/>
        <w:shd w:val="clear" w:color="auto" w:fill="FFFFFF"/>
        <w:kinsoku/>
        <w:wordWrap/>
        <w:overflowPunct/>
        <w:topLinePunct w:val="0"/>
        <w:bidi w:val="0"/>
        <w:adjustRightInd w:val="0"/>
        <w:snapToGrid w:val="0"/>
        <w:spacing w:line="360" w:lineRule="auto"/>
        <w:ind w:firstLine="422" w:firstLineChars="200"/>
        <w:outlineLvl w:val="9"/>
        <w:rPr>
          <w:rFonts w:ascii="宋体" w:hAnsi="宋体" w:cs="Arial"/>
          <w:b/>
          <w:bCs/>
          <w:color w:val="auto"/>
          <w:kern w:val="0"/>
          <w:szCs w:val="21"/>
          <w:highlight w:val="none"/>
        </w:rPr>
      </w:pPr>
      <w:r>
        <w:rPr>
          <w:rFonts w:hint="eastAsia" w:ascii="宋体" w:hAnsi="宋体" w:cs="宋体"/>
          <w:b/>
          <w:color w:val="auto"/>
          <w:szCs w:val="21"/>
          <w:highlight w:val="none"/>
        </w:rPr>
        <w:t>（5）</w:t>
      </w:r>
      <w:r>
        <w:rPr>
          <w:rFonts w:hint="eastAsia" w:ascii="宋体" w:hAnsi="宋体" w:cs="Arial"/>
          <w:b/>
          <w:bCs/>
          <w:color w:val="auto"/>
          <w:highlight w:val="none"/>
          <w:lang w:val="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ascii="宋体" w:hAnsi="宋体" w:cs="Arial"/>
          <w:b/>
          <w:bCs/>
          <w:color w:val="auto"/>
          <w:kern w:val="0"/>
          <w:szCs w:val="21"/>
          <w:highlight w:val="none"/>
        </w:rPr>
        <w:t>供应商不能证明其报价合理性的</w:t>
      </w:r>
      <w:r>
        <w:rPr>
          <w:rFonts w:hint="eastAsia" w:ascii="宋体" w:hAnsi="宋体" w:cs="Arial"/>
          <w:b/>
          <w:bCs/>
          <w:color w:val="auto"/>
          <w:kern w:val="0"/>
          <w:szCs w:val="21"/>
          <w:highlight w:val="none"/>
        </w:rPr>
        <w:t>，磋商小组应将该响应文件作无效处理。</w:t>
      </w:r>
    </w:p>
    <w:p w14:paraId="58171FB8">
      <w:pPr>
        <w:pageBreakBefore w:val="0"/>
        <w:kinsoku/>
        <w:wordWrap/>
        <w:overflowPunct/>
        <w:topLinePunct w:val="0"/>
        <w:bidi w:val="0"/>
        <w:adjustRightInd w:val="0"/>
        <w:snapToGrid w:val="0"/>
        <w:spacing w:line="360" w:lineRule="auto"/>
        <w:ind w:firstLine="422" w:firstLineChars="200"/>
        <w:outlineLvl w:val="9"/>
        <w:rPr>
          <w:rFonts w:ascii="宋体" w:hAnsi="宋体" w:cs="宋体"/>
          <w:b/>
          <w:color w:val="auto"/>
          <w:kern w:val="0"/>
          <w:szCs w:val="21"/>
          <w:highlight w:val="none"/>
        </w:rPr>
      </w:pPr>
      <w:r>
        <w:rPr>
          <w:rFonts w:hint="eastAsia" w:ascii="宋体" w:hAnsi="宋体" w:cs="宋体"/>
          <w:b/>
          <w:color w:val="auto"/>
          <w:szCs w:val="21"/>
          <w:highlight w:val="none"/>
        </w:rPr>
        <w:t>（6）违反国家或政府部门相关法律、法规、文件规定的。</w:t>
      </w:r>
    </w:p>
    <w:p w14:paraId="346C41A2">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17、磋商响应文件的评估、比较、评分</w:t>
      </w:r>
    </w:p>
    <w:p w14:paraId="2011C411">
      <w:pPr>
        <w:pageBreakBefore w:val="0"/>
        <w:kinsoku/>
        <w:wordWrap/>
        <w:overflowPunct/>
        <w:topLinePunct w:val="0"/>
        <w:bidi w:val="0"/>
        <w:adjustRightInd w:val="0"/>
        <w:snapToGrid w:val="0"/>
        <w:spacing w:line="360" w:lineRule="auto"/>
        <w:ind w:firstLine="371" w:firstLineChars="177"/>
        <w:outlineLvl w:val="9"/>
        <w:rPr>
          <w:rFonts w:ascii="宋体" w:hAnsi="宋体" w:cs="宋体"/>
          <w:color w:val="auto"/>
          <w:kern w:val="0"/>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.1磋商小组应当按照采购文件中规定的磋商方法和标准，对符合性审查合格的</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文件进行商务和技术评估，综合比较与评价。评标时，磋商小组各成员将独立对每个</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人的</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文件进行评价，并汇总每个</w:t>
      </w:r>
      <w:r>
        <w:rPr>
          <w:rFonts w:hint="eastAsia" w:ascii="宋体" w:hAnsi="宋体" w:cs="宋体"/>
          <w:color w:val="auto"/>
          <w:szCs w:val="21"/>
          <w:highlight w:val="none"/>
        </w:rPr>
        <w:t>磋商响应</w:t>
      </w:r>
      <w:r>
        <w:rPr>
          <w:rFonts w:hint="eastAsia" w:ascii="宋体" w:hAnsi="宋体" w:cs="宋体"/>
          <w:color w:val="auto"/>
          <w:kern w:val="0"/>
          <w:szCs w:val="21"/>
          <w:highlight w:val="none"/>
        </w:rPr>
        <w:t>人的得分。</w:t>
      </w:r>
    </w:p>
    <w:p w14:paraId="2DC32D32">
      <w:pPr>
        <w:pageBreakBefore w:val="0"/>
        <w:kinsoku/>
        <w:wordWrap/>
        <w:overflowPunct/>
        <w:topLinePunct w:val="0"/>
        <w:bidi w:val="0"/>
        <w:adjustRightInd w:val="0"/>
        <w:snapToGrid w:val="0"/>
        <w:spacing w:line="360" w:lineRule="auto"/>
        <w:ind w:firstLine="371" w:firstLineChars="177"/>
        <w:outlineLvl w:val="9"/>
        <w:rPr>
          <w:rFonts w:ascii="宋体" w:hAnsi="宋体" w:cs="宋体"/>
          <w:b/>
          <w:bCs/>
          <w:color w:val="auto"/>
          <w:kern w:val="0"/>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2对采购组织机构工作人员汇总的磋商结果进行确认。如发现分值汇总计算错误、分项评分超出评分标准范围、客观评分不一致以及存在畸高、畸低（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0F1EEE0">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18、修改磋商结果</w:t>
      </w:r>
    </w:p>
    <w:p w14:paraId="3F18E236">
      <w:pPr>
        <w:pageBreakBefore w:val="0"/>
        <w:kinsoku/>
        <w:wordWrap/>
        <w:overflowPunct/>
        <w:topLinePunct w:val="0"/>
        <w:bidi w:val="0"/>
        <w:adjustRightInd w:val="0"/>
        <w:snapToGrid w:val="0"/>
        <w:spacing w:line="360" w:lineRule="auto"/>
        <w:ind w:firstLine="426" w:firstLineChars="202"/>
        <w:outlineLvl w:val="9"/>
        <w:rPr>
          <w:rFonts w:ascii="宋体" w:hAnsi="宋体" w:cs="宋体"/>
          <w:b/>
          <w:color w:val="auto"/>
          <w:szCs w:val="21"/>
          <w:highlight w:val="none"/>
        </w:rPr>
      </w:pPr>
      <w:r>
        <w:rPr>
          <w:rFonts w:hint="eastAsia" w:ascii="宋体" w:hAnsi="宋体" w:cs="宋体"/>
          <w:b/>
          <w:color w:val="auto"/>
          <w:szCs w:val="21"/>
          <w:highlight w:val="none"/>
        </w:rPr>
        <w:t>18.1磋商结果汇总完成后，除下列情形外，任何人不得修改评标结果：</w:t>
      </w:r>
    </w:p>
    <w:p w14:paraId="7BE3ACCE">
      <w:pPr>
        <w:pageBreakBefore w:val="0"/>
        <w:kinsoku/>
        <w:wordWrap/>
        <w:overflowPunct/>
        <w:topLinePunct w:val="0"/>
        <w:bidi w:val="0"/>
        <w:adjustRightInd w:val="0"/>
        <w:snapToGrid w:val="0"/>
        <w:spacing w:line="360" w:lineRule="auto"/>
        <w:ind w:firstLine="424" w:firstLineChars="202"/>
        <w:outlineLvl w:val="9"/>
        <w:rPr>
          <w:rFonts w:ascii="宋体" w:hAnsi="宋体" w:cs="宋体"/>
          <w:color w:val="auto"/>
          <w:szCs w:val="21"/>
          <w:highlight w:val="none"/>
        </w:rPr>
      </w:pPr>
      <w:r>
        <w:rPr>
          <w:rFonts w:hint="eastAsia" w:ascii="宋体" w:hAnsi="宋体" w:cs="宋体"/>
          <w:color w:val="auto"/>
          <w:szCs w:val="21"/>
          <w:highlight w:val="none"/>
        </w:rPr>
        <w:t>（1）分值汇总计算错误的。</w:t>
      </w:r>
    </w:p>
    <w:p w14:paraId="7FBACA54">
      <w:pPr>
        <w:pageBreakBefore w:val="0"/>
        <w:kinsoku/>
        <w:wordWrap/>
        <w:overflowPunct/>
        <w:topLinePunct w:val="0"/>
        <w:bidi w:val="0"/>
        <w:adjustRightInd w:val="0"/>
        <w:snapToGrid w:val="0"/>
        <w:spacing w:line="360" w:lineRule="auto"/>
        <w:ind w:firstLine="424" w:firstLineChars="202"/>
        <w:outlineLvl w:val="9"/>
        <w:rPr>
          <w:rFonts w:ascii="宋体" w:hAnsi="宋体" w:cs="宋体"/>
          <w:color w:val="auto"/>
          <w:szCs w:val="21"/>
          <w:highlight w:val="none"/>
        </w:rPr>
      </w:pPr>
      <w:r>
        <w:rPr>
          <w:rFonts w:hint="eastAsia" w:ascii="宋体" w:hAnsi="宋体" w:cs="宋体"/>
          <w:color w:val="auto"/>
          <w:szCs w:val="21"/>
          <w:highlight w:val="none"/>
        </w:rPr>
        <w:t>（2）分项评分超出评分标准范围的。</w:t>
      </w:r>
    </w:p>
    <w:p w14:paraId="4DC7DEAF">
      <w:pPr>
        <w:pageBreakBefore w:val="0"/>
        <w:kinsoku/>
        <w:wordWrap/>
        <w:overflowPunct/>
        <w:topLinePunct w:val="0"/>
        <w:bidi w:val="0"/>
        <w:adjustRightInd w:val="0"/>
        <w:snapToGrid w:val="0"/>
        <w:spacing w:line="360" w:lineRule="auto"/>
        <w:ind w:firstLine="424" w:firstLineChars="202"/>
        <w:outlineLvl w:val="9"/>
        <w:rPr>
          <w:rFonts w:ascii="宋体" w:hAnsi="宋体" w:cs="宋体"/>
          <w:color w:val="auto"/>
          <w:szCs w:val="21"/>
          <w:highlight w:val="none"/>
        </w:rPr>
      </w:pPr>
      <w:r>
        <w:rPr>
          <w:rFonts w:hint="eastAsia" w:ascii="宋体" w:hAnsi="宋体" w:cs="宋体"/>
          <w:color w:val="auto"/>
          <w:szCs w:val="21"/>
          <w:highlight w:val="none"/>
        </w:rPr>
        <w:t>（3）磋商小组成员对客观评审因素评分不一致的。</w:t>
      </w:r>
    </w:p>
    <w:p w14:paraId="56175FE6">
      <w:pPr>
        <w:pageBreakBefore w:val="0"/>
        <w:kinsoku/>
        <w:wordWrap/>
        <w:overflowPunct/>
        <w:topLinePunct w:val="0"/>
        <w:bidi w:val="0"/>
        <w:adjustRightInd w:val="0"/>
        <w:snapToGrid w:val="0"/>
        <w:spacing w:line="360" w:lineRule="auto"/>
        <w:ind w:firstLine="424" w:firstLineChars="202"/>
        <w:outlineLvl w:val="9"/>
        <w:rPr>
          <w:rFonts w:ascii="宋体" w:hAnsi="宋体" w:cs="宋体"/>
          <w:color w:val="auto"/>
          <w:szCs w:val="21"/>
          <w:highlight w:val="none"/>
        </w:rPr>
      </w:pPr>
      <w:r>
        <w:rPr>
          <w:rFonts w:hint="eastAsia" w:ascii="宋体" w:hAnsi="宋体" w:cs="宋体"/>
          <w:color w:val="auto"/>
          <w:szCs w:val="21"/>
          <w:highlight w:val="none"/>
        </w:rPr>
        <w:t>（4）经磋商小组认定评分畸高、畸低的。</w:t>
      </w:r>
    </w:p>
    <w:p w14:paraId="12AED55D">
      <w:pPr>
        <w:pageBreakBefore w:val="0"/>
        <w:kinsoku/>
        <w:wordWrap/>
        <w:overflowPunct/>
        <w:topLinePunct w:val="0"/>
        <w:bidi w:val="0"/>
        <w:adjustRightInd w:val="0"/>
        <w:snapToGrid w:val="0"/>
        <w:spacing w:line="360" w:lineRule="auto"/>
        <w:ind w:firstLine="426" w:firstLineChars="202"/>
        <w:outlineLvl w:val="9"/>
        <w:rPr>
          <w:rFonts w:ascii="宋体" w:hAnsi="宋体" w:cs="宋体"/>
          <w:b/>
          <w:color w:val="auto"/>
          <w:szCs w:val="21"/>
          <w:highlight w:val="none"/>
        </w:rPr>
      </w:pPr>
      <w:r>
        <w:rPr>
          <w:rFonts w:hint="eastAsia" w:ascii="宋体" w:hAnsi="宋体" w:cs="宋体"/>
          <w:b/>
          <w:bCs/>
          <w:color w:val="auto"/>
          <w:szCs w:val="21"/>
          <w:highlight w:val="none"/>
        </w:rPr>
        <w:t>18.2</w:t>
      </w:r>
      <w:r>
        <w:rPr>
          <w:rFonts w:hint="eastAsia" w:ascii="宋体" w:hAnsi="宋体" w:cs="宋体"/>
          <w:b/>
          <w:color w:val="auto"/>
          <w:szCs w:val="21"/>
          <w:highlight w:val="none"/>
        </w:rPr>
        <w:t>评标报告签署前，经复核发现存在以上情形之一的，磋商小组将当场修改评标结果，并在评标报告中记载。</w:t>
      </w:r>
    </w:p>
    <w:p w14:paraId="6CD0C8C0">
      <w:pPr>
        <w:pageBreakBefore w:val="0"/>
        <w:kinsoku/>
        <w:wordWrap/>
        <w:overflowPunct/>
        <w:topLinePunct w:val="0"/>
        <w:bidi w:val="0"/>
        <w:adjustRightInd w:val="0"/>
        <w:snapToGrid w:val="0"/>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19、供应商排序及推荐中标（成交）候选供应商</w:t>
      </w:r>
    </w:p>
    <w:p w14:paraId="79708EFC">
      <w:pPr>
        <w:pageBreakBefore w:val="0"/>
        <w:kinsoku/>
        <w:wordWrap/>
        <w:overflowPunct/>
        <w:topLinePunct w:val="0"/>
        <w:bidi w:val="0"/>
        <w:adjustRightInd w:val="0"/>
        <w:snapToGrid w:val="0"/>
        <w:spacing w:line="360" w:lineRule="auto"/>
        <w:ind w:firstLine="426" w:firstLineChars="202"/>
        <w:outlineLvl w:val="9"/>
        <w:rPr>
          <w:rFonts w:ascii="宋体" w:hAnsi="宋体" w:cs="宋体"/>
          <w:b/>
          <w:color w:val="auto"/>
          <w:szCs w:val="21"/>
          <w:highlight w:val="none"/>
        </w:rPr>
      </w:pPr>
      <w:r>
        <w:rPr>
          <w:rFonts w:hint="eastAsia" w:ascii="宋体" w:hAnsi="宋体" w:cs="宋体"/>
          <w:b/>
          <w:color w:val="auto"/>
          <w:szCs w:val="21"/>
          <w:highlight w:val="none"/>
        </w:rPr>
        <w:t>磋商小组根据以下规定确定供应商排名并推荐中标（成交）候选供应商。</w:t>
      </w:r>
    </w:p>
    <w:p w14:paraId="41C9FB9C">
      <w:pPr>
        <w:pageBreakBefore w:val="0"/>
        <w:kinsoku/>
        <w:wordWrap/>
        <w:overflowPunct/>
        <w:topLinePunct w:val="0"/>
        <w:bidi w:val="0"/>
        <w:adjustRightInd w:val="0"/>
        <w:snapToGrid w:val="0"/>
        <w:spacing w:line="360" w:lineRule="auto"/>
        <w:ind w:firstLine="426" w:firstLineChars="202"/>
        <w:outlineLvl w:val="9"/>
        <w:rPr>
          <w:rFonts w:ascii="宋体" w:hAnsi="宋体" w:cs="宋体"/>
          <w:b/>
          <w:color w:val="auto"/>
          <w:szCs w:val="21"/>
          <w:highlight w:val="none"/>
        </w:rPr>
      </w:pPr>
      <w:r>
        <w:rPr>
          <w:rFonts w:hint="eastAsia" w:ascii="宋体" w:hAnsi="宋体" w:cs="宋体"/>
          <w:b/>
          <w:color w:val="auto"/>
          <w:szCs w:val="21"/>
          <w:highlight w:val="none"/>
        </w:rPr>
        <w:t>19.1磋商小组根据各磋商响应供应商的综合得分（商务技术分与报价得分之和）从高到低依次进行排名排序。特殊情形按以下原则处理：</w:t>
      </w:r>
    </w:p>
    <w:p w14:paraId="2D5C553B">
      <w:pPr>
        <w:pageBreakBefore w:val="0"/>
        <w:kinsoku/>
        <w:wordWrap/>
        <w:overflowPunct/>
        <w:topLinePunct w:val="0"/>
        <w:bidi w:val="0"/>
        <w:adjustRightInd w:val="0"/>
        <w:snapToGrid w:val="0"/>
        <w:spacing w:line="360" w:lineRule="auto"/>
        <w:ind w:firstLine="405" w:firstLineChars="193"/>
        <w:outlineLvl w:val="9"/>
        <w:rPr>
          <w:rFonts w:ascii="宋体" w:hAnsi="宋体" w:cs="宋体"/>
          <w:color w:val="auto"/>
          <w:szCs w:val="21"/>
          <w:highlight w:val="none"/>
        </w:rPr>
      </w:pPr>
      <w:r>
        <w:rPr>
          <w:rFonts w:hint="eastAsia" w:ascii="宋体" w:hAnsi="宋体" w:cs="宋体"/>
          <w:color w:val="auto"/>
          <w:szCs w:val="21"/>
          <w:highlight w:val="none"/>
        </w:rPr>
        <w:t>（1）综合得分相同的，按磋商响应报价低的优先原则确定排名。</w:t>
      </w:r>
    </w:p>
    <w:p w14:paraId="2999BFD3">
      <w:pPr>
        <w:pageBreakBefore w:val="0"/>
        <w:kinsoku/>
        <w:wordWrap/>
        <w:overflowPunct/>
        <w:topLinePunct w:val="0"/>
        <w:bidi w:val="0"/>
        <w:adjustRightInd w:val="0"/>
        <w:snapToGrid w:val="0"/>
        <w:spacing w:line="360" w:lineRule="auto"/>
        <w:ind w:firstLine="405" w:firstLineChars="193"/>
        <w:outlineLvl w:val="9"/>
        <w:rPr>
          <w:rFonts w:ascii="宋体" w:hAnsi="宋体" w:cs="宋体"/>
          <w:color w:val="auto"/>
          <w:szCs w:val="21"/>
          <w:highlight w:val="none"/>
        </w:rPr>
      </w:pPr>
      <w:r>
        <w:rPr>
          <w:rFonts w:hint="eastAsia" w:ascii="宋体" w:hAnsi="宋体" w:cs="宋体"/>
          <w:color w:val="auto"/>
          <w:szCs w:val="21"/>
          <w:highlight w:val="none"/>
        </w:rPr>
        <w:t>（2）综合得分和磋商响应报价均相同的，按技术资信得分从高到低确定排名。</w:t>
      </w:r>
    </w:p>
    <w:p w14:paraId="3C9579F2">
      <w:pPr>
        <w:pageBreakBefore w:val="0"/>
        <w:kinsoku/>
        <w:wordWrap/>
        <w:overflowPunct/>
        <w:topLinePunct w:val="0"/>
        <w:bidi w:val="0"/>
        <w:adjustRightInd w:val="0"/>
        <w:snapToGrid w:val="0"/>
        <w:spacing w:line="360" w:lineRule="auto"/>
        <w:ind w:firstLine="405" w:firstLineChars="193"/>
        <w:outlineLvl w:val="9"/>
        <w:rPr>
          <w:rFonts w:ascii="宋体" w:hAnsi="宋体" w:cs="宋体"/>
          <w:b/>
          <w:color w:val="auto"/>
          <w:szCs w:val="21"/>
          <w:highlight w:val="none"/>
        </w:rPr>
      </w:pPr>
      <w:r>
        <w:rPr>
          <w:rFonts w:hint="eastAsia" w:ascii="宋体" w:hAnsi="宋体" w:cs="宋体"/>
          <w:color w:val="auto"/>
          <w:szCs w:val="21"/>
          <w:highlight w:val="none"/>
        </w:rPr>
        <w:t>（3）综合得分、磋商响应报价和技术资信得分均相同的由磋商小组全体成员记名投票按少数服从多数的原则确定排名。</w:t>
      </w:r>
    </w:p>
    <w:p w14:paraId="68473B9E">
      <w:pPr>
        <w:pageBreakBefore w:val="0"/>
        <w:numPr>
          <w:ilvl w:val="0"/>
          <w:numId w:val="0"/>
        </w:numPr>
        <w:tabs>
          <w:tab w:val="left" w:pos="720"/>
        </w:tabs>
        <w:kinsoku/>
        <w:wordWrap/>
        <w:overflowPunct/>
        <w:topLinePunct w:val="0"/>
        <w:bidi w:val="0"/>
        <w:adjustRightInd w:val="0"/>
        <w:snapToGrid w:val="0"/>
        <w:spacing w:before="0" w:after="0"/>
        <w:ind w:left="720" w:hanging="720"/>
        <w:jc w:val="both"/>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20、起草、签署评审报告</w:t>
      </w:r>
    </w:p>
    <w:p w14:paraId="6BAD9395">
      <w:pPr>
        <w:pageBreakBefore w:val="0"/>
        <w:kinsoku/>
        <w:wordWrap/>
        <w:overflowPunct/>
        <w:topLinePunct w:val="0"/>
        <w:bidi w:val="0"/>
        <w:adjustRightInd w:val="0"/>
        <w:snapToGrid w:val="0"/>
        <w:spacing w:line="360" w:lineRule="auto"/>
        <w:ind w:firstLine="405" w:firstLineChars="193"/>
        <w:outlineLvl w:val="9"/>
        <w:rPr>
          <w:rFonts w:ascii="宋体" w:hAnsi="宋体" w:cs="宋体"/>
          <w:color w:val="auto"/>
          <w:szCs w:val="21"/>
          <w:highlight w:val="none"/>
        </w:rPr>
      </w:pPr>
      <w:r>
        <w:rPr>
          <w:rFonts w:hint="eastAsia" w:ascii="宋体" w:hAnsi="宋体" w:cs="宋体"/>
          <w:color w:val="auto"/>
          <w:szCs w:val="21"/>
          <w:highlight w:val="none"/>
        </w:rPr>
        <w:t>评审结束后，磋商小组将通过“政府采购云平台”起草评审报告，磋商小组成员应当在评审报告上签字，对自己的磋商意见承担法律责任。对评审报告有异议的，应当在评审报告上签署不同意见，并说明理由，否则视为同意评审报告。</w:t>
      </w:r>
    </w:p>
    <w:p w14:paraId="045B5B48">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color w:val="auto"/>
          <w:szCs w:val="21"/>
          <w:highlight w:val="none"/>
        </w:rPr>
        <w:t>21、磋商响应文件</w:t>
      </w:r>
      <w:bookmarkEnd w:id="56"/>
      <w:bookmarkEnd w:id="57"/>
      <w:bookmarkEnd w:id="58"/>
      <w:bookmarkEnd w:id="59"/>
      <w:bookmarkEnd w:id="60"/>
      <w:bookmarkStart w:id="76" w:name="_Toc91899903"/>
      <w:r>
        <w:rPr>
          <w:rFonts w:hint="eastAsia" w:ascii="宋体" w:hAnsi="宋体" w:cs="宋体"/>
          <w:b/>
          <w:bCs/>
          <w:color w:val="auto"/>
          <w:szCs w:val="21"/>
          <w:highlight w:val="none"/>
        </w:rPr>
        <w:t>磋商内容的保密</w:t>
      </w:r>
    </w:p>
    <w:p w14:paraId="533F7F94">
      <w:pPr>
        <w:pageBreakBefore w:val="0"/>
        <w:shd w:val="clear" w:color="auto" w:fill="FFFFFF"/>
        <w:kinsoku/>
        <w:wordWrap/>
        <w:overflowPunct/>
        <w:topLinePunct w:val="0"/>
        <w:bidi w:val="0"/>
        <w:adjustRightInd w:val="0"/>
        <w:snapToGrid w:val="0"/>
        <w:spacing w:line="360" w:lineRule="auto"/>
        <w:ind w:firstLine="422" w:firstLineChars="200"/>
        <w:outlineLvl w:val="9"/>
        <w:rPr>
          <w:rFonts w:ascii="宋体" w:hAnsi="宋体" w:cs="宋体"/>
          <w:color w:val="auto"/>
          <w:szCs w:val="21"/>
          <w:highlight w:val="none"/>
        </w:rPr>
      </w:pPr>
      <w:r>
        <w:rPr>
          <w:rFonts w:hint="eastAsia" w:ascii="宋体" w:hAnsi="宋体" w:cs="宋体"/>
          <w:b/>
          <w:color w:val="auto"/>
          <w:szCs w:val="21"/>
          <w:highlight w:val="none"/>
        </w:rPr>
        <w:t>21.</w:t>
      </w:r>
      <w:r>
        <w:rPr>
          <w:rFonts w:ascii="宋体" w:hAnsi="宋体" w:cs="宋体"/>
          <w:b/>
          <w:color w:val="auto"/>
          <w:szCs w:val="21"/>
          <w:highlight w:val="none"/>
        </w:rPr>
        <w:t>1</w:t>
      </w:r>
      <w:r>
        <w:rPr>
          <w:rFonts w:hint="eastAsia" w:ascii="宋体" w:hAnsi="宋体" w:cs="宋体"/>
          <w:color w:val="auto"/>
          <w:szCs w:val="21"/>
          <w:highlight w:val="none"/>
        </w:rPr>
        <w:t>开标后，直到宣布成交单位止，凡属于审查、澄清、评价和比较磋商响应供应商的所有资料，都不应向磋商响应人或与磋商无关的其他人泄露。</w:t>
      </w:r>
    </w:p>
    <w:p w14:paraId="0FB959A3">
      <w:pPr>
        <w:pageBreakBefore w:val="0"/>
        <w:shd w:val="clear" w:color="auto" w:fill="FFFFFF"/>
        <w:kinsoku/>
        <w:wordWrap/>
        <w:overflowPunct/>
        <w:topLinePunct w:val="0"/>
        <w:bidi w:val="0"/>
        <w:adjustRightInd w:val="0"/>
        <w:snapToGrid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color w:val="auto"/>
          <w:szCs w:val="21"/>
          <w:highlight w:val="none"/>
        </w:rPr>
        <w:t>21.</w:t>
      </w:r>
      <w:r>
        <w:rPr>
          <w:rFonts w:ascii="宋体" w:hAnsi="宋体" w:cs="宋体"/>
          <w:b/>
          <w:color w:val="auto"/>
          <w:szCs w:val="21"/>
          <w:highlight w:val="none"/>
        </w:rPr>
        <w:t>2</w:t>
      </w:r>
      <w:r>
        <w:rPr>
          <w:rFonts w:hint="eastAsia" w:ascii="宋体" w:hAnsi="宋体" w:cs="宋体"/>
          <w:color w:val="auto"/>
          <w:szCs w:val="21"/>
          <w:highlight w:val="none"/>
        </w:rPr>
        <w:t>在磋商响应文件的审查、澄清、评价和比较以及确定成交人过程中，磋商响应人对采购人、采购代理机构和磋商小组施加影响的任何行为，都将导致取消资格。</w:t>
      </w:r>
    </w:p>
    <w:p w14:paraId="2322DBBD">
      <w:pPr>
        <w:pStyle w:val="2"/>
        <w:pageBreakBefore w:val="0"/>
        <w:kinsoku/>
        <w:wordWrap/>
        <w:overflowPunct/>
        <w:topLinePunct w:val="0"/>
        <w:bidi w:val="0"/>
        <w:adjustRightInd w:val="0"/>
        <w:snapToGrid w:val="0"/>
        <w:spacing w:line="360" w:lineRule="auto"/>
        <w:ind w:firstLine="0"/>
        <w:outlineLvl w:val="9"/>
        <w:rPr>
          <w:rFonts w:ascii="宋体" w:hAnsi="宋体" w:eastAsia="宋体"/>
          <w:b/>
          <w:color w:val="auto"/>
          <w:sz w:val="21"/>
          <w:szCs w:val="21"/>
          <w:highlight w:val="none"/>
          <w:lang w:val="zh-CN"/>
        </w:rPr>
      </w:pPr>
      <w:r>
        <w:rPr>
          <w:rFonts w:hint="eastAsia" w:ascii="宋体" w:hAnsi="宋体" w:eastAsia="宋体"/>
          <w:b/>
          <w:color w:val="auto"/>
          <w:sz w:val="21"/>
          <w:szCs w:val="21"/>
          <w:highlight w:val="none"/>
          <w:lang w:val="zh-CN"/>
        </w:rPr>
        <w:t>2</w:t>
      </w:r>
      <w:r>
        <w:rPr>
          <w:rFonts w:hint="eastAsia" w:ascii="宋体" w:hAnsi="宋体" w:eastAsia="宋体"/>
          <w:b/>
          <w:color w:val="auto"/>
          <w:sz w:val="21"/>
          <w:szCs w:val="21"/>
          <w:highlight w:val="none"/>
        </w:rPr>
        <w:t>2</w:t>
      </w:r>
      <w:r>
        <w:rPr>
          <w:rFonts w:hint="eastAsia" w:ascii="宋体" w:hAnsi="宋体" w:eastAsia="宋体"/>
          <w:b/>
          <w:color w:val="auto"/>
          <w:sz w:val="21"/>
          <w:szCs w:val="21"/>
          <w:highlight w:val="none"/>
          <w:lang w:val="zh-CN"/>
        </w:rPr>
        <w:t>、废标</w:t>
      </w:r>
    </w:p>
    <w:p w14:paraId="7D7B76B7">
      <w:pPr>
        <w:pStyle w:val="2"/>
        <w:pageBreakBefore w:val="0"/>
        <w:kinsoku/>
        <w:wordWrap/>
        <w:overflowPunct/>
        <w:topLinePunct w:val="0"/>
        <w:bidi w:val="0"/>
        <w:adjustRightInd w:val="0"/>
        <w:snapToGrid w:val="0"/>
        <w:spacing w:line="360" w:lineRule="auto"/>
        <w:ind w:firstLine="482"/>
        <w:outlineLvl w:val="9"/>
        <w:rPr>
          <w:rFonts w:ascii="宋体" w:hAnsi="宋体" w:eastAsia="宋体"/>
          <w:b/>
          <w:color w:val="auto"/>
          <w:sz w:val="21"/>
          <w:szCs w:val="21"/>
          <w:highlight w:val="none"/>
          <w:lang w:val="zh-CN"/>
        </w:rPr>
      </w:pPr>
      <w:r>
        <w:rPr>
          <w:rFonts w:hint="eastAsia" w:ascii="宋体" w:hAnsi="宋体" w:eastAsia="宋体"/>
          <w:b/>
          <w:color w:val="auto"/>
          <w:sz w:val="21"/>
          <w:szCs w:val="21"/>
          <w:highlight w:val="none"/>
          <w:lang w:val="zh-CN"/>
        </w:rPr>
        <w:t>在采购中，出现下列情形之一的，应予废标：</w:t>
      </w:r>
    </w:p>
    <w:p w14:paraId="218A5A18">
      <w:pPr>
        <w:pStyle w:val="2"/>
        <w:pageBreakBefore w:val="0"/>
        <w:kinsoku/>
        <w:wordWrap/>
        <w:overflowPunct/>
        <w:topLinePunct w:val="0"/>
        <w:bidi w:val="0"/>
        <w:adjustRightInd w:val="0"/>
        <w:snapToGrid w:val="0"/>
        <w:spacing w:line="360" w:lineRule="auto"/>
        <w:ind w:firstLine="482"/>
        <w:outlineLvl w:val="9"/>
        <w:rPr>
          <w:rFonts w:ascii="宋体" w:hAnsi="宋体" w:eastAsia="宋体"/>
          <w:b/>
          <w:color w:val="auto"/>
          <w:sz w:val="21"/>
          <w:szCs w:val="21"/>
          <w:highlight w:val="none"/>
          <w:lang w:val="zh-CN"/>
        </w:rPr>
      </w:pPr>
      <w:r>
        <w:rPr>
          <w:rFonts w:hint="eastAsia" w:ascii="宋体" w:hAnsi="宋体" w:eastAsia="宋体"/>
          <w:b/>
          <w:color w:val="auto"/>
          <w:sz w:val="21"/>
          <w:szCs w:val="21"/>
          <w:highlight w:val="none"/>
          <w:lang w:val="zh-CN"/>
        </w:rPr>
        <w:t>(1)根据《政府采购竞争性磋商采购方式管理暂行办法》，在采购过程中符合要求的供应商或者报价未超过采购预算的供应商不足3家的（</w:t>
      </w:r>
      <w:r>
        <w:rPr>
          <w:rFonts w:hint="eastAsia" w:ascii="宋体" w:hAnsi="宋体" w:eastAsia="宋体"/>
          <w:b/>
          <w:color w:val="auto"/>
          <w:sz w:val="21"/>
          <w:szCs w:val="21"/>
          <w:highlight w:val="none"/>
        </w:rPr>
        <w:t>满足财库〔2014〕214号第三条第四项情形的，提交最后报价的供应商可以为2家，或</w:t>
      </w:r>
      <w:r>
        <w:rPr>
          <w:rFonts w:hint="eastAsia" w:ascii="宋体" w:hAnsi="宋体" w:eastAsia="宋体"/>
          <w:b/>
          <w:color w:val="auto"/>
          <w:sz w:val="21"/>
          <w:szCs w:val="21"/>
          <w:highlight w:val="none"/>
          <w:lang w:val="zh-CN"/>
        </w:rPr>
        <w:t>财库〔2015〕124号文件规定情形除外）。</w:t>
      </w:r>
    </w:p>
    <w:p w14:paraId="6571B517">
      <w:pPr>
        <w:pStyle w:val="2"/>
        <w:pageBreakBefore w:val="0"/>
        <w:kinsoku/>
        <w:wordWrap/>
        <w:overflowPunct/>
        <w:topLinePunct w:val="0"/>
        <w:bidi w:val="0"/>
        <w:adjustRightInd w:val="0"/>
        <w:snapToGrid w:val="0"/>
        <w:spacing w:line="360" w:lineRule="auto"/>
        <w:ind w:firstLine="482"/>
        <w:outlineLvl w:val="9"/>
        <w:rPr>
          <w:rFonts w:ascii="宋体" w:hAnsi="宋体" w:eastAsia="宋体"/>
          <w:b/>
          <w:color w:val="auto"/>
          <w:sz w:val="21"/>
          <w:szCs w:val="21"/>
          <w:highlight w:val="none"/>
          <w:lang w:val="zh-CN"/>
        </w:rPr>
      </w:pPr>
      <w:r>
        <w:rPr>
          <w:rFonts w:hint="eastAsia" w:ascii="宋体" w:hAnsi="宋体" w:eastAsia="宋体"/>
          <w:b/>
          <w:color w:val="auto"/>
          <w:sz w:val="21"/>
          <w:szCs w:val="21"/>
          <w:highlight w:val="none"/>
          <w:lang w:val="zh-CN"/>
        </w:rPr>
        <w:t>(2)出现影响采购公正的违法、违规行为的。</w:t>
      </w:r>
    </w:p>
    <w:p w14:paraId="7818742A">
      <w:pPr>
        <w:pStyle w:val="2"/>
        <w:pageBreakBefore w:val="0"/>
        <w:kinsoku/>
        <w:wordWrap/>
        <w:overflowPunct/>
        <w:topLinePunct w:val="0"/>
        <w:bidi w:val="0"/>
        <w:adjustRightInd w:val="0"/>
        <w:snapToGrid w:val="0"/>
        <w:spacing w:line="360" w:lineRule="auto"/>
        <w:ind w:firstLine="482"/>
        <w:outlineLvl w:val="9"/>
        <w:rPr>
          <w:rFonts w:ascii="宋体" w:hAnsi="宋体" w:eastAsia="宋体"/>
          <w:b/>
          <w:color w:val="auto"/>
          <w:sz w:val="21"/>
          <w:szCs w:val="21"/>
          <w:highlight w:val="none"/>
        </w:rPr>
      </w:pPr>
      <w:r>
        <w:rPr>
          <w:rFonts w:hint="eastAsia" w:ascii="宋体" w:hAnsi="宋体" w:eastAsia="宋体"/>
          <w:b/>
          <w:color w:val="auto"/>
          <w:sz w:val="21"/>
          <w:szCs w:val="21"/>
          <w:highlight w:val="none"/>
        </w:rPr>
        <w:t>(3)报价均超过预算，不能支付的。</w:t>
      </w:r>
    </w:p>
    <w:p w14:paraId="6FE1FFA9">
      <w:pPr>
        <w:pStyle w:val="2"/>
        <w:pageBreakBefore w:val="0"/>
        <w:kinsoku/>
        <w:wordWrap/>
        <w:overflowPunct/>
        <w:topLinePunct w:val="0"/>
        <w:bidi w:val="0"/>
        <w:adjustRightInd w:val="0"/>
        <w:snapToGrid w:val="0"/>
        <w:spacing w:line="360" w:lineRule="auto"/>
        <w:ind w:firstLine="482"/>
        <w:outlineLvl w:val="9"/>
        <w:rPr>
          <w:rFonts w:ascii="宋体" w:hAnsi="宋体" w:eastAsia="宋体"/>
          <w:b/>
          <w:color w:val="auto"/>
          <w:sz w:val="21"/>
          <w:szCs w:val="21"/>
          <w:highlight w:val="none"/>
        </w:rPr>
      </w:pPr>
      <w:r>
        <w:rPr>
          <w:rFonts w:hint="eastAsia" w:ascii="宋体" w:hAnsi="宋体" w:eastAsia="宋体"/>
          <w:b/>
          <w:color w:val="auto"/>
          <w:sz w:val="21"/>
          <w:szCs w:val="21"/>
          <w:highlight w:val="none"/>
        </w:rPr>
        <w:t>(4)因重大变故，采购任务取消的。</w:t>
      </w:r>
    </w:p>
    <w:p w14:paraId="4C654127">
      <w:pPr>
        <w:pageBreakBefore w:val="0"/>
        <w:numPr>
          <w:ilvl w:val="0"/>
          <w:numId w:val="0"/>
        </w:numPr>
        <w:tabs>
          <w:tab w:val="left" w:pos="720"/>
        </w:tabs>
        <w:kinsoku/>
        <w:wordWrap/>
        <w:overflowPunct/>
        <w:topLinePunct w:val="0"/>
        <w:bidi w:val="0"/>
        <w:adjustRightInd w:val="0"/>
        <w:snapToGrid w:val="0"/>
        <w:spacing w:before="0" w:after="0"/>
        <w:jc w:val="both"/>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23、可中止电子交易活动的情形</w:t>
      </w:r>
    </w:p>
    <w:p w14:paraId="06F9D308">
      <w:pPr>
        <w:pageBreakBefore w:val="0"/>
        <w:kinsoku/>
        <w:wordWrap/>
        <w:overflowPunct/>
        <w:topLinePunct w:val="0"/>
        <w:bidi w:val="0"/>
        <w:adjustRightInd w:val="0"/>
        <w:snapToGrid w:val="0"/>
        <w:spacing w:line="360" w:lineRule="auto"/>
        <w:ind w:firstLine="371" w:firstLineChars="176"/>
        <w:outlineLvl w:val="9"/>
        <w:rPr>
          <w:rFonts w:ascii="宋体" w:hAnsi="宋体"/>
          <w:color w:val="auto"/>
          <w:szCs w:val="21"/>
          <w:highlight w:val="none"/>
        </w:rPr>
      </w:pPr>
      <w:r>
        <w:rPr>
          <w:rFonts w:hint="eastAsia" w:ascii="宋体" w:hAnsi="宋体"/>
          <w:b/>
          <w:color w:val="auto"/>
          <w:szCs w:val="21"/>
          <w:highlight w:val="none"/>
        </w:rPr>
        <w:t>采购过程中出现以下情形，导致电子交易平台无法正常运行，或者无法保证电子交易的公平、公正和安全时，采购组织机构可中止电子交易活动：</w:t>
      </w:r>
    </w:p>
    <w:p w14:paraId="29473D90">
      <w:pPr>
        <w:pageBreakBefore w:val="0"/>
        <w:kinsoku/>
        <w:wordWrap/>
        <w:overflowPunct/>
        <w:topLinePunct w:val="0"/>
        <w:bidi w:val="0"/>
        <w:adjustRightInd w:val="0"/>
        <w:snapToGrid w:val="0"/>
        <w:spacing w:line="360" w:lineRule="auto"/>
        <w:ind w:firstLine="369" w:firstLineChars="176"/>
        <w:outlineLvl w:val="9"/>
        <w:rPr>
          <w:rFonts w:ascii="宋体" w:hAnsi="宋体"/>
          <w:color w:val="auto"/>
          <w:szCs w:val="21"/>
          <w:highlight w:val="none"/>
        </w:rPr>
      </w:pPr>
      <w:r>
        <w:rPr>
          <w:rFonts w:hint="eastAsia" w:ascii="宋体" w:hAnsi="宋体"/>
          <w:color w:val="auto"/>
          <w:szCs w:val="21"/>
          <w:highlight w:val="none"/>
        </w:rPr>
        <w:t>（1）电子交易平台发生故障而无法登录访问的。</w:t>
      </w:r>
    </w:p>
    <w:p w14:paraId="008A9FE9">
      <w:pPr>
        <w:pageBreakBefore w:val="0"/>
        <w:kinsoku/>
        <w:wordWrap/>
        <w:overflowPunct/>
        <w:topLinePunct w:val="0"/>
        <w:bidi w:val="0"/>
        <w:adjustRightInd w:val="0"/>
        <w:snapToGrid w:val="0"/>
        <w:spacing w:line="360" w:lineRule="auto"/>
        <w:ind w:firstLine="369" w:firstLineChars="176"/>
        <w:outlineLvl w:val="9"/>
        <w:rPr>
          <w:rFonts w:ascii="宋体" w:hAnsi="宋体"/>
          <w:color w:val="auto"/>
          <w:szCs w:val="21"/>
          <w:highlight w:val="none"/>
        </w:rPr>
      </w:pPr>
      <w:r>
        <w:rPr>
          <w:rFonts w:hint="eastAsia" w:ascii="宋体" w:hAnsi="宋体"/>
          <w:color w:val="auto"/>
          <w:szCs w:val="21"/>
          <w:highlight w:val="none"/>
        </w:rPr>
        <w:t>（2）电子交易平台应用或数据库出现错误，不能进行正常操作的。</w:t>
      </w:r>
    </w:p>
    <w:p w14:paraId="1F5A75CB">
      <w:pPr>
        <w:pageBreakBefore w:val="0"/>
        <w:kinsoku/>
        <w:wordWrap/>
        <w:overflowPunct/>
        <w:topLinePunct w:val="0"/>
        <w:bidi w:val="0"/>
        <w:adjustRightInd w:val="0"/>
        <w:snapToGrid w:val="0"/>
        <w:spacing w:line="360" w:lineRule="auto"/>
        <w:ind w:firstLine="369" w:firstLineChars="176"/>
        <w:outlineLvl w:val="9"/>
        <w:rPr>
          <w:rFonts w:ascii="宋体" w:hAnsi="宋体"/>
          <w:color w:val="auto"/>
          <w:szCs w:val="21"/>
          <w:highlight w:val="none"/>
        </w:rPr>
      </w:pPr>
      <w:r>
        <w:rPr>
          <w:rFonts w:hint="eastAsia" w:ascii="宋体" w:hAnsi="宋体"/>
          <w:color w:val="auto"/>
          <w:szCs w:val="21"/>
          <w:highlight w:val="none"/>
        </w:rPr>
        <w:t>（3）电子交易平台发现严重安全漏洞，有潜在泄密危险的。</w:t>
      </w:r>
    </w:p>
    <w:p w14:paraId="380F439C">
      <w:pPr>
        <w:pageBreakBefore w:val="0"/>
        <w:kinsoku/>
        <w:wordWrap/>
        <w:overflowPunct/>
        <w:topLinePunct w:val="0"/>
        <w:bidi w:val="0"/>
        <w:adjustRightInd w:val="0"/>
        <w:snapToGrid w:val="0"/>
        <w:spacing w:line="360" w:lineRule="auto"/>
        <w:ind w:firstLine="369" w:firstLineChars="176"/>
        <w:outlineLvl w:val="9"/>
        <w:rPr>
          <w:rFonts w:ascii="宋体" w:hAnsi="宋体"/>
          <w:color w:val="auto"/>
          <w:szCs w:val="21"/>
          <w:highlight w:val="none"/>
        </w:rPr>
      </w:pPr>
      <w:r>
        <w:rPr>
          <w:rFonts w:hint="eastAsia" w:ascii="宋体" w:hAnsi="宋体"/>
          <w:color w:val="auto"/>
          <w:szCs w:val="21"/>
          <w:highlight w:val="none"/>
        </w:rPr>
        <w:t>（4）病毒发作导致不能进行正常操作的。</w:t>
      </w:r>
    </w:p>
    <w:p w14:paraId="577F8FE2">
      <w:pPr>
        <w:pageBreakBefore w:val="0"/>
        <w:kinsoku/>
        <w:wordWrap/>
        <w:overflowPunct/>
        <w:topLinePunct w:val="0"/>
        <w:bidi w:val="0"/>
        <w:adjustRightInd w:val="0"/>
        <w:snapToGrid w:val="0"/>
        <w:spacing w:line="360" w:lineRule="auto"/>
        <w:ind w:firstLine="369" w:firstLineChars="176"/>
        <w:outlineLvl w:val="9"/>
        <w:rPr>
          <w:rFonts w:ascii="宋体" w:hAnsi="宋体"/>
          <w:color w:val="auto"/>
          <w:szCs w:val="21"/>
          <w:highlight w:val="none"/>
        </w:rPr>
      </w:pPr>
      <w:r>
        <w:rPr>
          <w:rFonts w:hint="eastAsia" w:ascii="宋体" w:hAnsi="宋体"/>
          <w:color w:val="auto"/>
          <w:szCs w:val="21"/>
          <w:highlight w:val="none"/>
        </w:rPr>
        <w:t>（5）其他无法保证电子交易的公平、公正和安全的情况。</w:t>
      </w:r>
    </w:p>
    <w:p w14:paraId="706733B9">
      <w:pPr>
        <w:pageBreakBefore w:val="0"/>
        <w:kinsoku/>
        <w:wordWrap/>
        <w:overflowPunct/>
        <w:topLinePunct w:val="0"/>
        <w:bidi w:val="0"/>
        <w:adjustRightInd w:val="0"/>
        <w:snapToGrid w:val="0"/>
        <w:spacing w:line="360" w:lineRule="auto"/>
        <w:ind w:firstLine="371" w:firstLineChars="176"/>
        <w:outlineLvl w:val="9"/>
        <w:rPr>
          <w:rFonts w:ascii="宋体" w:hAnsi="宋体"/>
          <w:color w:val="auto"/>
          <w:szCs w:val="21"/>
          <w:highlight w:val="none"/>
        </w:rPr>
      </w:pPr>
      <w:r>
        <w:rPr>
          <w:rFonts w:hint="eastAsia" w:ascii="宋体" w:hAnsi="宋体"/>
          <w:b/>
          <w:color w:val="auto"/>
          <w:szCs w:val="21"/>
          <w:highlight w:val="none"/>
        </w:rPr>
        <w:t>出现前款规定情形，不影响采购公平、公正性的，采购组织机构可以待上述情形消除后继续组织电子交易活动。影响或可能影响采购公平、公正性的，应当重新采购。</w:t>
      </w:r>
    </w:p>
    <w:p w14:paraId="2542F2EC">
      <w:pPr>
        <w:pageBreakBefore w:val="0"/>
        <w:kinsoku/>
        <w:wordWrap/>
        <w:overflowPunct/>
        <w:topLinePunct w:val="0"/>
        <w:bidi w:val="0"/>
        <w:adjustRightInd w:val="0"/>
        <w:snapToGrid w:val="0"/>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24、磋商小组将根据磋商文件和有关规定，履行评标工作职责，以磋商办法为标准，全面衡量各供应商对磋商文件的响应情况。对实质上响应磋商文件的供应商，以打分的方法，排出推荐成交的供应商的先后顺序，并按顺序提出授标建议。磋商结果报经采购人同意，最终确定成交人。</w:t>
      </w:r>
    </w:p>
    <w:p w14:paraId="08F8C2FA">
      <w:pPr>
        <w:pageBreakBefore w:val="0"/>
        <w:kinsoku/>
        <w:wordWrap/>
        <w:overflowPunct/>
        <w:topLinePunct w:val="0"/>
        <w:bidi w:val="0"/>
        <w:adjustRightInd w:val="0"/>
        <w:snapToGrid w:val="0"/>
        <w:spacing w:line="360" w:lineRule="auto"/>
        <w:ind w:firstLine="411" w:firstLineChars="196"/>
        <w:outlineLvl w:val="9"/>
        <w:rPr>
          <w:rFonts w:ascii="宋体" w:hAnsi="宋体" w:cs="宋体"/>
          <w:bCs/>
          <w:color w:val="auto"/>
          <w:szCs w:val="21"/>
          <w:highlight w:val="none"/>
        </w:rPr>
      </w:pPr>
      <w:r>
        <w:rPr>
          <w:rFonts w:hint="eastAsia" w:ascii="宋体" w:hAnsi="宋体" w:cs="宋体"/>
          <w:bCs/>
          <w:color w:val="auto"/>
          <w:szCs w:val="21"/>
          <w:highlight w:val="none"/>
        </w:rPr>
        <w:t>25、采购人应当根据磋商小组推荐的顺序确定成交人，不得在磋商小组推荐的成交候选人以外确定成交人。</w:t>
      </w:r>
    </w:p>
    <w:p w14:paraId="6AB185AC">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bCs/>
          <w:color w:val="auto"/>
          <w:szCs w:val="21"/>
          <w:highlight w:val="none"/>
        </w:rPr>
        <w:t>26、政府采</w:t>
      </w:r>
      <w:r>
        <w:rPr>
          <w:rFonts w:hint="eastAsia" w:ascii="宋体" w:hAnsi="宋体" w:cs="宋体"/>
          <w:color w:val="auto"/>
          <w:szCs w:val="21"/>
          <w:highlight w:val="none"/>
        </w:rPr>
        <w:t>购法规、文件中另有规定的，按照相关规定执行。</w:t>
      </w:r>
    </w:p>
    <w:bookmarkEnd w:id="76"/>
    <w:p w14:paraId="456A421C">
      <w:pPr>
        <w:pageBreakBefore w:val="0"/>
        <w:shd w:val="clear" w:color="auto" w:fill="FFFFFF"/>
        <w:kinsoku/>
        <w:wordWrap/>
        <w:overflowPunct/>
        <w:topLinePunct w:val="0"/>
        <w:bidi w:val="0"/>
        <w:adjustRightInd w:val="0"/>
        <w:snapToGrid w:val="0"/>
        <w:spacing w:line="360" w:lineRule="auto"/>
        <w:jc w:val="center"/>
        <w:outlineLvl w:val="9"/>
        <w:rPr>
          <w:rFonts w:ascii="宋体" w:hAnsi="宋体" w:cs="宋体"/>
          <w:b/>
          <w:bCs/>
          <w:color w:val="auto"/>
          <w:sz w:val="24"/>
          <w:highlight w:val="none"/>
        </w:rPr>
      </w:pPr>
      <w:bookmarkStart w:id="77" w:name="_Hlt75236103"/>
      <w:bookmarkEnd w:id="77"/>
      <w:bookmarkStart w:id="78" w:name="_Toc86216995"/>
      <w:bookmarkStart w:id="79" w:name="_Toc233618979"/>
      <w:bookmarkStart w:id="80" w:name="_Toc354996703"/>
      <w:bookmarkStart w:id="81" w:name="_Toc442428815"/>
      <w:bookmarkStart w:id="82" w:name="_Toc361217430"/>
      <w:bookmarkStart w:id="83" w:name="_Toc91899910"/>
    </w:p>
    <w:p w14:paraId="69773993">
      <w:pPr>
        <w:pageBreakBefore w:val="0"/>
        <w:shd w:val="clear" w:color="auto" w:fill="FFFFFF"/>
        <w:kinsoku/>
        <w:wordWrap/>
        <w:overflowPunct/>
        <w:topLinePunct w:val="0"/>
        <w:bidi w:val="0"/>
        <w:adjustRightInd w:val="0"/>
        <w:snapToGrid w:val="0"/>
        <w:spacing w:line="360" w:lineRule="auto"/>
        <w:jc w:val="center"/>
        <w:outlineLvl w:val="9"/>
        <w:rPr>
          <w:rFonts w:ascii="宋体" w:hAnsi="宋体" w:cs="宋体"/>
          <w:b/>
          <w:bCs/>
          <w:color w:val="auto"/>
          <w:sz w:val="24"/>
          <w:highlight w:val="none"/>
        </w:rPr>
      </w:pPr>
      <w:r>
        <w:rPr>
          <w:rFonts w:hint="eastAsia" w:ascii="宋体" w:hAnsi="宋体" w:cs="宋体"/>
          <w:b/>
          <w:bCs/>
          <w:color w:val="auto"/>
          <w:sz w:val="24"/>
          <w:highlight w:val="none"/>
        </w:rPr>
        <w:t>七、</w:t>
      </w:r>
      <w:bookmarkEnd w:id="78"/>
      <w:r>
        <w:rPr>
          <w:rFonts w:hint="eastAsia" w:ascii="宋体" w:hAnsi="宋体" w:cs="宋体"/>
          <w:b/>
          <w:bCs/>
          <w:color w:val="auto"/>
          <w:sz w:val="24"/>
          <w:highlight w:val="none"/>
        </w:rPr>
        <w:t>合同签订及其他</w:t>
      </w:r>
      <w:bookmarkEnd w:id="79"/>
      <w:bookmarkEnd w:id="80"/>
      <w:bookmarkEnd w:id="81"/>
      <w:bookmarkEnd w:id="82"/>
    </w:p>
    <w:bookmarkEnd w:id="83"/>
    <w:p w14:paraId="2A50C6EF">
      <w:pPr>
        <w:pageBreakBefore w:val="0"/>
        <w:kinsoku/>
        <w:wordWrap/>
        <w:overflowPunct/>
        <w:topLinePunct w:val="0"/>
        <w:bidi w:val="0"/>
        <w:adjustRightInd w:val="0"/>
        <w:snapToGrid w:val="0"/>
        <w:spacing w:line="360" w:lineRule="auto"/>
        <w:outlineLvl w:val="9"/>
        <w:rPr>
          <w:rFonts w:ascii="宋体" w:hAnsi="宋体" w:cs="宋体"/>
          <w:b/>
          <w:color w:val="auto"/>
          <w:szCs w:val="21"/>
          <w:highlight w:val="none"/>
        </w:rPr>
      </w:pPr>
      <w:r>
        <w:rPr>
          <w:rFonts w:hint="eastAsia" w:ascii="宋体" w:hAnsi="宋体" w:cs="宋体"/>
          <w:b/>
          <w:color w:val="auto"/>
          <w:kern w:val="0"/>
          <w:szCs w:val="21"/>
          <w:highlight w:val="none"/>
        </w:rPr>
        <w:t>27</w:t>
      </w:r>
      <w:r>
        <w:rPr>
          <w:rFonts w:hint="eastAsia" w:ascii="宋体" w:hAnsi="宋体" w:cs="宋体"/>
          <w:b/>
          <w:color w:val="auto"/>
          <w:kern w:val="0"/>
          <w:szCs w:val="21"/>
          <w:highlight w:val="none"/>
          <w:lang w:val="zh-CN"/>
        </w:rPr>
        <w:t>、</w:t>
      </w:r>
      <w:r>
        <w:rPr>
          <w:rFonts w:hint="eastAsia" w:ascii="宋体" w:hAnsi="宋体" w:cs="宋体"/>
          <w:b/>
          <w:color w:val="auto"/>
          <w:szCs w:val="21"/>
          <w:highlight w:val="none"/>
        </w:rPr>
        <w:t>成交通知书</w:t>
      </w:r>
    </w:p>
    <w:p w14:paraId="6B0CF48F">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（1）确定成交人后，采购代理机构将在网站上公布竞争性磋商结果。</w:t>
      </w:r>
    </w:p>
    <w:p w14:paraId="76C01377">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（2）成交候选供应商全部接受合同条件并签订合同后，成交通知书成为合同的组成部分。</w:t>
      </w:r>
    </w:p>
    <w:p w14:paraId="092A4C82">
      <w:pPr>
        <w:pStyle w:val="95"/>
        <w:pageBreakBefore w:val="0"/>
        <w:tabs>
          <w:tab w:val="left" w:pos="0"/>
        </w:tabs>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如成交人拒绝承担成交的项目，或提出采购人不能接受的条件，致使合同无法签订，采购人将取消其成交资格，并根据磋商小组推荐的成交候选人先后顺序，将下一顺序的成交候选供应商作为预成交人进行公示，或由采购人组织磋商小组复议后提出重新组织采购等建议。</w:t>
      </w:r>
    </w:p>
    <w:p w14:paraId="0A191368">
      <w:pPr>
        <w:pStyle w:val="26"/>
        <w:pageBreakBefore w:val="0"/>
        <w:kinsoku/>
        <w:wordWrap/>
        <w:overflowPunct/>
        <w:topLinePunct w:val="0"/>
        <w:bidi w:val="0"/>
        <w:adjustRightInd w:val="0"/>
        <w:snapToGrid w:val="0"/>
        <w:spacing w:line="360" w:lineRule="auto"/>
        <w:ind w:firstLine="540"/>
        <w:outlineLvl w:val="9"/>
        <w:rPr>
          <w:rFonts w:ascii="宋体" w:hAnsi="宋体" w:eastAsia="宋体"/>
          <w:color w:val="auto"/>
          <w:highlight w:val="none"/>
        </w:rPr>
      </w:pPr>
      <w:r>
        <w:rPr>
          <w:rFonts w:hint="eastAsia" w:ascii="宋体" w:hAnsi="宋体" w:eastAsia="宋体"/>
          <w:color w:val="auto"/>
          <w:highlight w:val="none"/>
        </w:rPr>
        <w:t>（4）如签订合同并生效后，供应商无故拒绝或延期，除按照合同条款处罚外，列入不良行为记录一次，并给予通报。</w:t>
      </w:r>
    </w:p>
    <w:p w14:paraId="2E50491C">
      <w:pPr>
        <w:pStyle w:val="95"/>
        <w:pageBreakBefore w:val="0"/>
        <w:kinsoku/>
        <w:wordWrap/>
        <w:overflowPunct/>
        <w:topLinePunct w:val="0"/>
        <w:bidi w:val="0"/>
        <w:adjustRightInd w:val="0"/>
        <w:snapToGrid w:val="0"/>
        <w:spacing w:before="0"/>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28、合同的签订</w:t>
      </w:r>
    </w:p>
    <w:p w14:paraId="463D28A9">
      <w:pPr>
        <w:pStyle w:val="95"/>
        <w:pageBreakBefore w:val="0"/>
        <w:kinsoku/>
        <w:wordWrap/>
        <w:overflowPunct/>
        <w:topLinePunct w:val="0"/>
        <w:bidi w:val="0"/>
        <w:adjustRightInd w:val="0"/>
        <w:snapToGrid w:val="0"/>
        <w:spacing w:before="0"/>
        <w:ind w:firstLine="42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成交人按规定的时间、地点，由授权代表与采购人签订合同。</w:t>
      </w:r>
    </w:p>
    <w:p w14:paraId="7DAA6CB0">
      <w:pPr>
        <w:pageBreakBefore w:val="0"/>
        <w:kinsoku/>
        <w:wordWrap/>
        <w:overflowPunct/>
        <w:topLinePunct w:val="0"/>
        <w:autoSpaceDE w:val="0"/>
        <w:autoSpaceDN w:val="0"/>
        <w:bidi w:val="0"/>
        <w:adjustRightInd w:val="0"/>
        <w:snapToGrid w:val="0"/>
        <w:spacing w:line="360" w:lineRule="auto"/>
        <w:contextualSpacing/>
        <w:outlineLvl w:val="9"/>
        <w:rPr>
          <w:rFonts w:ascii="宋体" w:hAnsi="宋体" w:cs="宋体"/>
          <w:b/>
          <w:color w:val="auto"/>
          <w:szCs w:val="21"/>
          <w:highlight w:val="none"/>
        </w:rPr>
      </w:pPr>
      <w:r>
        <w:rPr>
          <w:rFonts w:hint="eastAsia" w:ascii="宋体" w:hAnsi="宋体" w:cs="宋体"/>
          <w:b/>
          <w:color w:val="auto"/>
          <w:szCs w:val="21"/>
          <w:highlight w:val="none"/>
        </w:rPr>
        <w:t>29、履约保证金：合同总价的</w:t>
      </w:r>
      <w:r>
        <w:rPr>
          <w:rFonts w:hint="eastAsia" w:ascii="宋体" w:hAnsi="宋体" w:cs="宋体"/>
          <w:b/>
          <w:color w:val="auto"/>
          <w:szCs w:val="21"/>
          <w:highlight w:val="none"/>
          <w:lang w:eastAsia="zh-CN"/>
        </w:rPr>
        <w:t>1.5%</w:t>
      </w:r>
      <w:r>
        <w:rPr>
          <w:rFonts w:hint="eastAsia" w:ascii="宋体" w:hAnsi="宋体" w:cs="宋体"/>
          <w:b/>
          <w:color w:val="auto"/>
          <w:szCs w:val="21"/>
          <w:highlight w:val="none"/>
        </w:rPr>
        <w:t>作为履约保证金，本合同签订后七个工作日内由供应商支付给采购人，服务期满在采购人考核合格确认供应商无违约行为后无息返还给供应商（遇寒暑假及国定假日顺延）。</w:t>
      </w:r>
      <w:r>
        <w:rPr>
          <w:rFonts w:hint="eastAsia" w:ascii="宋体" w:hAnsi="宋体" w:cs="宋体"/>
          <w:b/>
          <w:color w:val="auto"/>
          <w:spacing w:val="-4"/>
          <w:szCs w:val="21"/>
          <w:highlight w:val="none"/>
        </w:rPr>
        <w:t>供应商应当以支票、汇票、本票或者金融机构、担保机构出具的保函等非现金形式提交。</w:t>
      </w:r>
      <w:r>
        <w:rPr>
          <w:rFonts w:hint="eastAsia" w:ascii="宋体" w:hAnsi="宋体" w:cs="宋体"/>
          <w:b/>
          <w:color w:val="auto"/>
          <w:szCs w:val="21"/>
          <w:highlight w:val="none"/>
        </w:rPr>
        <w:t xml:space="preserve">  </w:t>
      </w:r>
    </w:p>
    <w:p w14:paraId="35961C9A">
      <w:pPr>
        <w:pageBreakBefore w:val="0"/>
        <w:kinsoku/>
        <w:wordWrap/>
        <w:overflowPunct/>
        <w:topLinePunct w:val="0"/>
        <w:bidi w:val="0"/>
        <w:adjustRightInd w:val="0"/>
        <w:snapToGrid w:val="0"/>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30、合同款结算方式</w:t>
      </w:r>
    </w:p>
    <w:p w14:paraId="65A6A33E">
      <w:pPr>
        <w:pStyle w:val="2"/>
        <w:pageBreakBefore w:val="0"/>
        <w:kinsoku/>
        <w:wordWrap/>
        <w:overflowPunct/>
        <w:topLinePunct w:val="0"/>
        <w:bidi w:val="0"/>
        <w:adjustRightInd w:val="0"/>
        <w:snapToGrid w:val="0"/>
        <w:spacing w:line="360" w:lineRule="auto"/>
        <w:ind w:firstLine="420" w:firstLineChars="200"/>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详见合同条款。</w:t>
      </w:r>
    </w:p>
    <w:p w14:paraId="1DD29D2A">
      <w:pPr>
        <w:pageBreakBefore w:val="0"/>
        <w:kinsoku/>
        <w:wordWrap/>
        <w:overflowPunct/>
        <w:topLinePunct w:val="0"/>
        <w:bidi w:val="0"/>
        <w:outlineLvl w:val="9"/>
        <w:rPr>
          <w:rFonts w:ascii="宋体" w:hAnsi="宋体" w:cs="宋体"/>
          <w:color w:val="auto"/>
          <w:highlight w:val="none"/>
        </w:rPr>
      </w:pPr>
      <w:r>
        <w:rPr>
          <w:rFonts w:hint="eastAsia" w:ascii="宋体" w:hAnsi="宋体"/>
          <w:b/>
          <w:color w:val="auto"/>
          <w:kern w:val="0"/>
          <w:highlight w:val="none"/>
        </w:rPr>
        <w:t>31、项目完成时间及服务期</w:t>
      </w:r>
      <w:r>
        <w:rPr>
          <w:rFonts w:hint="eastAsia" w:ascii="宋体" w:hAnsi="宋体"/>
          <w:b/>
          <w:color w:val="auto"/>
          <w:highlight w:val="none"/>
        </w:rPr>
        <w:t>:</w:t>
      </w:r>
      <w:r>
        <w:rPr>
          <w:rFonts w:hint="eastAsia" w:ascii="宋体" w:hAnsi="宋体"/>
          <w:color w:val="auto"/>
          <w:spacing w:val="-6"/>
          <w:highlight w:val="none"/>
        </w:rPr>
        <w:t xml:space="preserve">详见采购文件 </w:t>
      </w:r>
      <w:r>
        <w:rPr>
          <w:rFonts w:hint="eastAsia" w:hAnsi="宋体"/>
          <w:bCs/>
          <w:color w:val="auto"/>
          <w:highlight w:val="none"/>
        </w:rPr>
        <w:t>；</w:t>
      </w:r>
    </w:p>
    <w:p w14:paraId="52C9CA0C">
      <w:pPr>
        <w:pStyle w:val="26"/>
        <w:pageBreakBefore w:val="0"/>
        <w:widowControl w:val="0"/>
        <w:kinsoku/>
        <w:wordWrap/>
        <w:overflowPunct/>
        <w:topLinePunct w:val="0"/>
        <w:bidi w:val="0"/>
        <w:adjustRightInd w:val="0"/>
        <w:snapToGrid w:val="0"/>
        <w:spacing w:line="360" w:lineRule="auto"/>
        <w:outlineLvl w:val="9"/>
        <w:rPr>
          <w:rFonts w:ascii="宋体" w:hAnsi="宋体" w:eastAsia="宋体"/>
          <w:b/>
          <w:color w:val="auto"/>
          <w:highlight w:val="none"/>
        </w:rPr>
      </w:pPr>
      <w:r>
        <w:rPr>
          <w:rFonts w:hint="eastAsia" w:ascii="宋体" w:hAnsi="宋体" w:eastAsia="宋体"/>
          <w:b/>
          <w:color w:val="auto"/>
          <w:highlight w:val="none"/>
        </w:rPr>
        <w:t>32</w:t>
      </w:r>
      <w:r>
        <w:rPr>
          <w:rFonts w:hint="eastAsia" w:ascii="宋体" w:hAnsi="宋体" w:eastAsia="宋体"/>
          <w:b/>
          <w:color w:val="auto"/>
          <w:kern w:val="0"/>
          <w:highlight w:val="none"/>
          <w:lang w:val="zh-CN"/>
        </w:rPr>
        <w:t>、</w:t>
      </w:r>
      <w:r>
        <w:rPr>
          <w:rFonts w:hint="eastAsia" w:ascii="宋体" w:hAnsi="宋体" w:eastAsia="宋体"/>
          <w:b/>
          <w:color w:val="auto"/>
          <w:highlight w:val="none"/>
        </w:rPr>
        <w:t>采购方式改变</w:t>
      </w:r>
    </w:p>
    <w:p w14:paraId="2FB5EA37">
      <w:pPr>
        <w:pageBreakBefore w:val="0"/>
        <w:kinsoku/>
        <w:wordWrap/>
        <w:overflowPunct/>
        <w:topLinePunct w:val="0"/>
        <w:bidi w:val="0"/>
        <w:adjustRightInd w:val="0"/>
        <w:snapToGrid w:val="0"/>
        <w:spacing w:line="360" w:lineRule="auto"/>
        <w:ind w:firstLine="482"/>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在符合资格的供应商不足规定数量或供应商提供的货物、</w:t>
      </w:r>
      <w:r>
        <w:rPr>
          <w:rFonts w:hint="eastAsia" w:ascii="宋体" w:hAnsi="宋体" w:cs="宋体"/>
          <w:color w:val="auto"/>
          <w:kern w:val="0"/>
          <w:szCs w:val="21"/>
          <w:highlight w:val="none"/>
        </w:rPr>
        <w:t>服务</w:t>
      </w:r>
      <w:r>
        <w:rPr>
          <w:rFonts w:hint="eastAsia" w:ascii="宋体" w:hAnsi="宋体" w:cs="宋体"/>
          <w:color w:val="auto"/>
          <w:kern w:val="0"/>
          <w:szCs w:val="21"/>
          <w:highlight w:val="none"/>
          <w:lang w:val="zh-CN"/>
        </w:rPr>
        <w:t>及其报价、售后服务承诺等不能满足采购人要求，以及</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val="zh-CN"/>
        </w:rPr>
        <w:t>过程中出现其他不正常情况时，经批准，采购代理机构将根据《政府采购货物和服务招标投标管理办法》(财政部第87号令)，重新选择合适的方式进行采购。</w:t>
      </w:r>
    </w:p>
    <w:p w14:paraId="5E9CD59A">
      <w:pPr>
        <w:pStyle w:val="26"/>
        <w:pageBreakBefore w:val="0"/>
        <w:kinsoku/>
        <w:wordWrap/>
        <w:overflowPunct/>
        <w:topLinePunct w:val="0"/>
        <w:bidi w:val="0"/>
        <w:adjustRightInd w:val="0"/>
        <w:snapToGrid w:val="0"/>
        <w:spacing w:line="360" w:lineRule="auto"/>
        <w:outlineLvl w:val="9"/>
        <w:rPr>
          <w:rFonts w:ascii="宋体" w:hAnsi="宋体" w:eastAsia="宋体"/>
          <w:b/>
          <w:color w:val="auto"/>
          <w:highlight w:val="none"/>
        </w:rPr>
      </w:pPr>
      <w:r>
        <w:rPr>
          <w:rFonts w:hint="eastAsia" w:ascii="宋体" w:hAnsi="宋体" w:eastAsia="宋体"/>
          <w:b/>
          <w:color w:val="auto"/>
          <w:highlight w:val="none"/>
        </w:rPr>
        <w:t>33、质疑与投诉</w:t>
      </w:r>
    </w:p>
    <w:p w14:paraId="75E493A7">
      <w:pPr>
        <w:pageBreakBefore w:val="0"/>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szCs w:val="21"/>
          <w:highlight w:val="none"/>
        </w:rPr>
        <w:t>供应商认为采购文件、采购过程和成交、成交结果使自己的权益受到损害的，可以在知道或者应知其权益受到损害之日起七个工作日内，以书面形式向采购人、采购代理机构提出质疑。对可以质疑的采购文件提出质疑的，为收到采购文件之日或者采购文件公告期限届满之日。对采购过程提出质疑的，为各采购程序环节结束之日。对成交结果提出质疑的，为成交结果公告期限届满之日。</w:t>
      </w:r>
    </w:p>
    <w:p w14:paraId="70C641DB">
      <w:pPr>
        <w:pageBreakBefore w:val="0"/>
        <w:kinsoku/>
        <w:wordWrap/>
        <w:overflowPunct/>
        <w:topLinePunct w:val="0"/>
        <w:bidi w:val="0"/>
        <w:adjustRightInd w:val="0"/>
        <w:snapToGrid w:val="0"/>
        <w:spacing w:line="360" w:lineRule="auto"/>
        <w:ind w:firstLine="420" w:firstLineChars="200"/>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采购人或者采购代理机构应当在3个工作日内对供应商依法提出的询问作出答复。供应商提出的询问或者质疑超出采购人对采购代理机构委托授权范围的，采购代理机构应当告知供应商向采购人提出。政府采购磋商小组应当配合采购人或者采购代理机构答复供应商的询问和质疑。</w:t>
      </w:r>
    </w:p>
    <w:p w14:paraId="5EF558DA">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（3）质疑供应商对采购人、采购代理机构的答复不满意或者采购人、采购代理机构未在规定时间内作出答复的，可以在答复期满后十五个工作日内向同级政府采购监管部门投诉。</w:t>
      </w:r>
    </w:p>
    <w:p w14:paraId="6F64DDAF">
      <w:pPr>
        <w:pageBreakBefore w:val="0"/>
        <w:shd w:val="clear" w:color="auto" w:fill="FFFFFF"/>
        <w:kinsoku/>
        <w:wordWrap/>
        <w:overflowPunct/>
        <w:topLinePunct w:val="0"/>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snapToGrid w:val="0"/>
          <w:color w:val="auto"/>
          <w:kern w:val="0"/>
          <w:szCs w:val="21"/>
          <w:highlight w:val="none"/>
        </w:rPr>
        <w:t>（4）</w:t>
      </w:r>
      <w:r>
        <w:rPr>
          <w:rFonts w:hint="eastAsia" w:ascii="宋体" w:hAnsi="宋体" w:cs="宋体"/>
          <w:color w:val="auto"/>
          <w:szCs w:val="21"/>
          <w:highlight w:val="none"/>
        </w:rPr>
        <w:t>要求供应商在法定质疑期内一次性提出针对同一采购程序环节的质疑。</w:t>
      </w:r>
    </w:p>
    <w:p w14:paraId="49606A86">
      <w:pPr>
        <w:pageBreakBefore w:val="0"/>
        <w:shd w:val="clear" w:color="auto" w:fill="FFFFFF"/>
        <w:kinsoku/>
        <w:wordWrap/>
        <w:overflowPunct/>
        <w:topLinePunct w:val="0"/>
        <w:bidi w:val="0"/>
        <w:adjustRightInd w:val="0"/>
        <w:snapToGrid w:val="0"/>
        <w:spacing w:line="360" w:lineRule="auto"/>
        <w:outlineLvl w:val="9"/>
        <w:rPr>
          <w:rFonts w:ascii="宋体" w:hAnsi="宋体" w:cs="宋体"/>
          <w:b/>
          <w:bCs/>
          <w:color w:val="auto"/>
          <w:szCs w:val="21"/>
          <w:highlight w:val="none"/>
        </w:rPr>
      </w:pPr>
      <w:r>
        <w:rPr>
          <w:rFonts w:hint="eastAsia" w:ascii="宋体" w:hAnsi="宋体" w:cs="宋体"/>
          <w:b/>
          <w:bCs/>
          <w:color w:val="auto"/>
          <w:szCs w:val="21"/>
          <w:highlight w:val="none"/>
        </w:rPr>
        <w:t>34</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解释权</w:t>
      </w:r>
    </w:p>
    <w:p w14:paraId="556EEBED">
      <w:pPr>
        <w:pageBreakBefore w:val="0"/>
        <w:shd w:val="clear" w:color="auto" w:fill="FFFFFF"/>
        <w:kinsoku/>
        <w:wordWrap/>
        <w:overflowPunct/>
        <w:topLinePunct w:val="0"/>
        <w:bidi w:val="0"/>
        <w:adjustRightInd w:val="0"/>
        <w:snapToGrid w:val="0"/>
        <w:spacing w:line="360" w:lineRule="auto"/>
        <w:ind w:firstLine="480"/>
        <w:outlineLvl w:val="9"/>
        <w:rPr>
          <w:color w:val="auto"/>
          <w:highlight w:val="none"/>
        </w:rPr>
      </w:pPr>
      <w:bookmarkStart w:id="84" w:name="_Toc442428816"/>
      <w:bookmarkStart w:id="85" w:name="_Toc12509"/>
      <w:bookmarkStart w:id="86" w:name="_Toc19670"/>
      <w:bookmarkStart w:id="87" w:name="_Toc13691"/>
      <w:bookmarkStart w:id="88" w:name="_Toc464298330"/>
      <w:bookmarkStart w:id="89" w:name="_Toc9225"/>
      <w:bookmarkStart w:id="90" w:name="_Toc28543"/>
      <w:bookmarkStart w:id="91" w:name="_Toc135"/>
      <w:bookmarkStart w:id="92" w:name="_Toc18192"/>
      <w:bookmarkStart w:id="93" w:name="_Toc458069540"/>
      <w:r>
        <w:rPr>
          <w:rFonts w:hint="eastAsia" w:ascii="宋体" w:hAnsi="宋体" w:cs="宋体"/>
          <w:snapToGrid w:val="0"/>
          <w:color w:val="auto"/>
          <w:kern w:val="0"/>
          <w:szCs w:val="21"/>
          <w:highlight w:val="none"/>
        </w:rPr>
        <w:t>磋商文件的解释权均属于</w:t>
      </w:r>
      <w:r>
        <w:rPr>
          <w:rFonts w:hint="eastAsia" w:ascii="宋体" w:hAnsi="宋体" w:cs="宋体"/>
          <w:color w:val="auto"/>
          <w:szCs w:val="21"/>
          <w:highlight w:val="none"/>
          <w:lang w:eastAsia="zh-CN"/>
        </w:rPr>
        <w:t>浙江农林大学</w:t>
      </w:r>
      <w:r>
        <w:rPr>
          <w:rFonts w:hint="eastAsia" w:ascii="宋体" w:hAnsi="宋体" w:cs="宋体"/>
          <w:snapToGrid w:val="0"/>
          <w:color w:val="auto"/>
          <w:kern w:val="0"/>
          <w:szCs w:val="21"/>
          <w:highlight w:val="none"/>
        </w:rPr>
        <w:t>和浙江豪圣建设项目管理有限公司</w:t>
      </w:r>
      <w:r>
        <w:rPr>
          <w:rFonts w:hint="eastAsia" w:ascii="宋体" w:hAnsi="宋体" w:cs="宋体"/>
          <w:snapToGrid w:val="0"/>
          <w:color w:val="auto"/>
          <w:kern w:val="0"/>
          <w:sz w:val="24"/>
          <w:highlight w:val="none"/>
        </w:rPr>
        <w:t>。</w:t>
      </w:r>
      <w:bookmarkEnd w:id="84"/>
      <w:bookmarkEnd w:id="85"/>
      <w:bookmarkEnd w:id="86"/>
      <w:bookmarkEnd w:id="87"/>
      <w:bookmarkEnd w:id="88"/>
      <w:bookmarkEnd w:id="89"/>
      <w:bookmarkEnd w:id="90"/>
      <w:bookmarkEnd w:id="91"/>
      <w:bookmarkEnd w:id="92"/>
      <w:bookmarkEnd w:id="93"/>
    </w:p>
    <w:p w14:paraId="608BFD5E">
      <w:pPr>
        <w:pageBreakBefore/>
        <w:shd w:val="clear" w:color="auto" w:fill="FFFFFF"/>
        <w:adjustRightInd w:val="0"/>
        <w:snapToGrid w:val="0"/>
        <w:spacing w:line="360" w:lineRule="auto"/>
        <w:jc w:val="center"/>
        <w:outlineLvl w:val="0"/>
        <w:rPr>
          <w:rFonts w:ascii="宋体" w:hAnsi="宋体" w:cs="宋体"/>
          <w:b/>
          <w:color w:val="auto"/>
          <w:kern w:val="0"/>
          <w:szCs w:val="21"/>
          <w:highlight w:val="none"/>
        </w:rPr>
      </w:pPr>
      <w:bookmarkStart w:id="94" w:name="_Toc458069541"/>
      <w:bookmarkStart w:id="95" w:name="_Toc9797"/>
      <w:bookmarkStart w:id="96" w:name="_Toc37243119"/>
      <w:bookmarkStart w:id="97" w:name="_Toc354996705"/>
      <w:bookmarkStart w:id="98" w:name="_Toc233618985"/>
      <w:bookmarkStart w:id="99" w:name="_Toc35401305"/>
      <w:bookmarkStart w:id="100" w:name="_Toc361217432"/>
      <w:bookmarkStart w:id="101" w:name="_Toc91899916"/>
      <w:bookmarkStart w:id="102" w:name="_Toc86217003"/>
      <w:bookmarkStart w:id="103" w:name="_Toc354996706"/>
      <w:bookmarkStart w:id="104" w:name="_Toc233618986"/>
      <w:bookmarkStart w:id="105" w:name="_Toc361217433"/>
      <w:r>
        <w:rPr>
          <w:rFonts w:hint="eastAsia" w:ascii="宋体" w:hAnsi="宋体" w:cs="宋体"/>
          <w:b/>
          <w:bCs/>
          <w:color w:val="auto"/>
          <w:sz w:val="36"/>
          <w:szCs w:val="36"/>
          <w:highlight w:val="none"/>
        </w:rPr>
        <w:t xml:space="preserve">第三部分 </w:t>
      </w:r>
      <w:bookmarkEnd w:id="94"/>
      <w:r>
        <w:rPr>
          <w:rFonts w:hint="eastAsia" w:ascii="宋体" w:hAnsi="宋体" w:cs="宋体"/>
          <w:b/>
          <w:bCs/>
          <w:color w:val="auto"/>
          <w:sz w:val="36"/>
          <w:szCs w:val="36"/>
          <w:highlight w:val="none"/>
        </w:rPr>
        <w:t>项目技术规范和招标需求</w:t>
      </w:r>
      <w:bookmarkEnd w:id="95"/>
    </w:p>
    <w:p w14:paraId="49103CB3">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5A585F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1.1本项目为浙江农林大学</w:t>
      </w:r>
      <w:r>
        <w:rPr>
          <w:rFonts w:hint="eastAsia" w:ascii="宋体" w:hAnsi="宋体" w:eastAsia="宋体" w:cs="宋体"/>
          <w:color w:val="auto"/>
          <w:sz w:val="21"/>
          <w:szCs w:val="21"/>
          <w:highlight w:val="none"/>
          <w:lang w:eastAsia="zh-CN"/>
        </w:rPr>
        <w:t>2025-2026</w:t>
      </w:r>
      <w:r>
        <w:rPr>
          <w:rFonts w:hint="eastAsia" w:ascii="宋体" w:hAnsi="宋体" w:eastAsia="宋体" w:cs="宋体"/>
          <w:color w:val="auto"/>
          <w:sz w:val="21"/>
          <w:szCs w:val="21"/>
          <w:highlight w:val="none"/>
        </w:rPr>
        <w:t>年小额施工年度单位选择（建筑施工），供应商主要承接小额修建、改造项目，主要包括：墙体分隔、水电安装、补漏、装修、弱电、安防、涂料修补、门窗维修、市政修缮等。零星金额参照学校相关管理办法。</w:t>
      </w:r>
    </w:p>
    <w:p w14:paraId="752AF4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1.2服务期：1年，具体起止时间由采购人确定；如在服务期内已委托的施工项目，在服务期满时未结束的，受托人须服务至该项目结束。</w:t>
      </w:r>
    </w:p>
    <w:p w14:paraId="22F72A3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1.3施工区域划分情况</w:t>
      </w:r>
      <w:r>
        <w:rPr>
          <w:rFonts w:hint="eastAsia" w:ascii="宋体" w:hAnsi="宋体" w:eastAsia="宋体" w:cs="宋体"/>
          <w:color w:val="auto"/>
          <w:sz w:val="21"/>
          <w:szCs w:val="21"/>
          <w:highlight w:val="none"/>
          <w:lang w:eastAsia="zh-CN"/>
        </w:rPr>
        <w:t>：</w:t>
      </w:r>
    </w:p>
    <w:p w14:paraId="74FAA207">
      <w:pPr>
        <w:adjustRightInd w:val="0"/>
        <w:snapToGrid w:val="0"/>
        <w:spacing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1一衣锦校区、潘母岗和平山基地;</w:t>
      </w:r>
    </w:p>
    <w:p w14:paraId="6D7457BA">
      <w:pPr>
        <w:adjustRightInd w:val="0"/>
        <w:snapToGrid w:val="0"/>
        <w:spacing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2一东湖校区行政楼、运动场所、图书馆、学1至学3楼、银杏餐厅、生活区A区块、活动中心;</w:t>
      </w:r>
    </w:p>
    <w:p w14:paraId="690E9AF0">
      <w:pPr>
        <w:adjustRightInd w:val="0"/>
        <w:snapToGrid w:val="0"/>
        <w:spacing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3一东湖校区学4至学7楼、工程中心、碳汇楼、中试车间、生活区B区块、教1至教5、药品中心、工训中心;</w:t>
      </w:r>
    </w:p>
    <w:p w14:paraId="47E01EC7">
      <w:pPr>
        <w:adjustRightInd w:val="0"/>
        <w:snapToGrid w:val="0"/>
        <w:spacing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4一东湖校区学9至学11楼、国家重点实验室、智能楼、绿色农药、学14至学16楼、生活区C区块。</w:t>
      </w:r>
    </w:p>
    <w:p w14:paraId="013A93C7">
      <w:pPr>
        <w:adjustRightInd w:val="0"/>
        <w:snapToGrid w:val="0"/>
        <w:spacing w:line="360" w:lineRule="auto"/>
        <w:ind w:left="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注:区域划分有特殊情况的,甲方有权按实际情况做适当调整。</w:t>
      </w:r>
    </w:p>
    <w:p w14:paraId="7A549A36">
      <w:pPr>
        <w:adjustRightInd w:val="0"/>
        <w:snapToGrid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采用兼投不兼中原则（供应商可参加其中任一标项，也可各标项均参加，各标项磋商响应文件应分开编制），供应商只允许成交一个标项。评审时按照标项一、标项二、标项三、标项四的顺序依次进行评审，已被推荐为标项一的第一成交候选人的供应商在标项二、三、四中将不作为有效供应商，以此类推。</w:t>
      </w:r>
    </w:p>
    <w:p w14:paraId="7517997B">
      <w:pPr>
        <w:adjustRightInd w:val="0"/>
        <w:snapToGrid w:val="0"/>
        <w:spacing w:line="360" w:lineRule="auto"/>
        <w:ind w:left="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二、项目要求</w:t>
      </w:r>
    </w:p>
    <w:p w14:paraId="12C046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工程管理要求：</w:t>
      </w:r>
    </w:p>
    <w:p w14:paraId="47FA7B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（1）本项目的成交供应商作为本招标工程承包单位，将直接与采购人签订工程承包合同。对本次招标范围内的工程内容成交供应商必须自行完成，不得转包或分包。</w:t>
      </w:r>
    </w:p>
    <w:p w14:paraId="5E24EC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（2）项目施工流程：采购人立项通过的项目，供应商查看现场，明确施工范围内容、工期及预算，经采购人确认后实施。</w:t>
      </w:r>
    </w:p>
    <w:p w14:paraId="448517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（3）人员要求：项目班组应配备项目实施所需人员并配合业主做好基建管理系统的相关工作。</w:t>
      </w:r>
    </w:p>
    <w:p w14:paraId="6AA753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（4）施工安全：</w:t>
      </w:r>
    </w:p>
    <w:p w14:paraId="17F226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a.成交供应商应严格遵守国家相应的安全操作规程。施工过程中若发生人员伤亡和其他责任事故，应由成交供应商自行承担一切费用。</w:t>
      </w:r>
    </w:p>
    <w:p w14:paraId="063475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b.成交供应商在施工期间必须对所有上岗施工人员购买意外伤害保险，并向采购人提供相应的证明材料。</w:t>
      </w:r>
    </w:p>
    <w:p w14:paraId="4EEB3D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（5）成交供应商必须接受采购人或采购人委派的项目负责人的监督管理。</w:t>
      </w:r>
    </w:p>
    <w:p w14:paraId="03E93B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（6）成交供应商必须具有固定的施工人员、机械设备及安全防护设施。</w:t>
      </w:r>
    </w:p>
    <w:p w14:paraId="773963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（7）成交供应商应完成和提交的工程资料：隐检报告、工程量清单、相应的签证、竣工图、结算书等；同时提供上述资料的电子版本；追加审计费按相关规定由成交供应商支付。</w:t>
      </w:r>
    </w:p>
    <w:p w14:paraId="6ABCCC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（8）施工场地的垃圾自行清理出学校，严禁乱扔乱倒，如有学校其它部门投诉，将处罚款10000元/处/次，人员及车辆进出学校必须严格遵守学校规章制度。</w:t>
      </w:r>
    </w:p>
    <w:p w14:paraId="083002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（9）成交供应商应做好安全文明施工措施，不能影响学生正常上课，确保师生安全，若由于施工措施不到位而造成师生安全事故，一切责任均由成交供应商承担。</w:t>
      </w:r>
    </w:p>
    <w:p w14:paraId="61749A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（10）工程质量及材料质量、安全施工和文明施工承诺：</w:t>
      </w:r>
    </w:p>
    <w:p w14:paraId="49BA17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工程质量要求：达到国家现行的施工质量（合格）验收标准。</w:t>
      </w:r>
    </w:p>
    <w:p w14:paraId="0FF8D2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材料质量要求：</w:t>
      </w:r>
    </w:p>
    <w:p w14:paraId="3C2F2B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1）本采购工程项目的材料、设备、施工须达到设计文件的要求及现行中华人民共和国以及浙江省、或行业的工程建设标准、规范的要求。</w:t>
      </w:r>
    </w:p>
    <w:p w14:paraId="714050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工作所需全部材料均由成交人负责采购（除非采购文件及合同中另有约定）。所有材料均应有合格证或质保书，并经采购人的项目管理部门确认，但该确认并不能免除或减少成交人应负的任何质量责任。成交人若使用劣质建材施工，一经发现，采购人有权制止使用，甚至责令停工、返工或终止合同。无论采购人是否发现和制止，由于使用劣质建材施工所引起的责任均由成交人负责。</w:t>
      </w:r>
    </w:p>
    <w:p w14:paraId="516FA6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3）由采购人采购的成品（若有）只计取安装费，设备运输、验收、保管等相关费用由供应商在报价中综合考虑。设备本身的价格不进入报价。</w:t>
      </w:r>
    </w:p>
    <w:p w14:paraId="2316E799">
      <w:pPr>
        <w:adjustRightInd w:val="0"/>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注：▲根据《关于印发节能产品政府采购品目清单的通知》的要求，涉及强制采购节能产品的材料（设备），本工程必须按照通知的要求使用强制采购节能产品的材料（设备）。</w:t>
      </w:r>
    </w:p>
    <w:p w14:paraId="128B38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安全施工及文明施工要求：</w:t>
      </w:r>
    </w:p>
    <w:p w14:paraId="48BDBF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1）供应商成交后服从当地政府有关部门在社会治安、综合治理、计划生育、交通管理、环境保护等的管理规定，应设专职人员负责本条款的执行，采购人有权对此进行监督检查。</w:t>
      </w:r>
    </w:p>
    <w:p w14:paraId="2A8ABC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2）响应文件中应有详细的施工安全措施和安全管理组织及配备专职负责人的说明和承诺，以确保安全生产。</w:t>
      </w:r>
    </w:p>
    <w:p w14:paraId="1E18328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3）供应商在工程施工期间，必须配备专职用电管理员，全面负责施工用电的管理。</w:t>
      </w:r>
    </w:p>
    <w:p w14:paraId="211BF2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4）供应商在施工全过程中，要认真做好材料和成品的保护，因失窃失火或其他原因而造成的损失均由成交人负责。凡由此而损及采购人利益时，供应商应负责赔偿采购人的损失。</w:t>
      </w:r>
    </w:p>
    <w:p w14:paraId="73EF58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5）在工程施工过程中，因成交人原因造成的一切安全事故，由供应商承担全部经济责任和法律责任。</w:t>
      </w:r>
    </w:p>
    <w:p w14:paraId="67834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6）供应商因自身施工而对相邻工程施工造成影响，由供应商采取措施解决，费用由供应商负担。</w:t>
      </w:r>
    </w:p>
    <w:p w14:paraId="0AB86C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（11）响应供应商需承诺，除不可抗力因素外不得放弃成交，并保证本次采购内容中所包含的“工程质量及材料质量、安全施工和文明施工”等项内容无条件达到磋商文件和采购人期望的要求。</w:t>
      </w:r>
    </w:p>
    <w:p w14:paraId="11CEAD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施工质量要求：</w:t>
      </w:r>
    </w:p>
    <w:p w14:paraId="4C69C0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达到国家现行的施工质量（合格）验收标准。</w:t>
      </w:r>
    </w:p>
    <w:p w14:paraId="56CBCC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本工程的工程类别根据浙江省定额的有关规定；</w:t>
      </w:r>
    </w:p>
    <w:p w14:paraId="6C493B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有关定额参照：</w:t>
      </w:r>
    </w:p>
    <w:p w14:paraId="0126A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《浙江省建筑工程预算定额》（2018版）；</w:t>
      </w:r>
    </w:p>
    <w:p w14:paraId="15F248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《浙江省建设工程计价规则》（2018版）；</w:t>
      </w:r>
    </w:p>
    <w:p w14:paraId="2B99EF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《浙江省建设工程施工取费定额》（2018版）；</w:t>
      </w:r>
    </w:p>
    <w:p w14:paraId="47A853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浙江省及杭州市的相关政策、造价文件等规定。</w:t>
      </w:r>
    </w:p>
    <w:p w14:paraId="42C79D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人工、材料、机械费按施工同期杭州市（浙江省）建设工程造价信息计算，无价材料由采购人和成交供应商根据指导价和市场价协商确定；</w:t>
      </w:r>
    </w:p>
    <w:p w14:paraId="68DBF6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取费费率按《浙江省建设工程施工取费定额》下限计取；</w:t>
      </w:r>
    </w:p>
    <w:p w14:paraId="47293A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采购人不提供住宿及材料堆放仓库，成交供应商需自行解决，相关费用自理。</w:t>
      </w:r>
    </w:p>
    <w:p w14:paraId="1D7C4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拆除项目的工程，可按定额计取拆除及建筑垃圾清运费。</w:t>
      </w:r>
    </w:p>
    <w:p w14:paraId="5E2D6F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不含拆除项目的工程，不计取建筑垃圾清运费。</w:t>
      </w:r>
    </w:p>
    <w:p w14:paraId="0A2466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 根据实际产生的措施项目，按定额规定计取（含外墙维护和玻璃幕墙等高空部位的维修和更换）。</w:t>
      </w:r>
    </w:p>
    <w:p w14:paraId="441F24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施工中应切实做好原有财产的保护，不另行计取保护费，若由于成交供应商造成的损坏，应无条件修复，无法修复的应按原价赔偿。</w:t>
      </w:r>
    </w:p>
    <w:p w14:paraId="666A62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施工用水用电费用按定额含量从工程款中扣除。</w:t>
      </w:r>
    </w:p>
    <w:p w14:paraId="394840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成交供应商须及时清运施工垃圾，切实做到工完场清，服从学校管理。</w:t>
      </w:r>
    </w:p>
    <w:p w14:paraId="4432B9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施工人员应严格按照专业操作技术规程进行安全施工，在施工中造成的一切人身安全责任事故均由成交供应商负责。</w:t>
      </w:r>
    </w:p>
    <w:p w14:paraId="646C86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不能达到要求质量等级的，施工单位应无条件整改，直至质量达到合格标准，并按合同约定扣取质量处罚金。</w:t>
      </w:r>
    </w:p>
    <w:p w14:paraId="6EF8AD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采购人需审计的项目，审计费用的计取按照《浙江省物价局关于进一步完善工程造价咨询服务收费的通知》浙价服〔2009〕84号执行。</w:t>
      </w:r>
    </w:p>
    <w:p w14:paraId="79EE50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超过约定工期的，每超出1天罚款200元。</w:t>
      </w:r>
    </w:p>
    <w:p w14:paraId="233504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项目经理不到位的，按合同约定扣取质量处罚金2万元/次；技术负责人不到位的，扣取质量处罚金1万元/次；其它班子成员不到位的，扣取质量处罚金0.5万元/人次。</w:t>
      </w:r>
    </w:p>
    <w:p w14:paraId="0C72E0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项目经理、技术负责人如有2个（含）以上项目未响应采购人的服务要求，采购人有权终止合同并追究供应商相关责任。</w:t>
      </w:r>
    </w:p>
    <w:p w14:paraId="0C9772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 采购人安排的项目，供应商自收到通知之日起10日内未开工或拒绝施工的，采购人有权终止合同并追究供应商相关责任。</w:t>
      </w:r>
    </w:p>
    <w:p w14:paraId="30B90E32">
      <w:p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2.21</w:t>
      </w:r>
      <w:r>
        <w:rPr>
          <w:rFonts w:hint="eastAsia" w:ascii="宋体" w:hAnsi="宋体" w:eastAsia="宋体" w:cs="宋体"/>
          <w:b/>
          <w:bCs/>
          <w:color w:val="auto"/>
          <w:sz w:val="21"/>
          <w:szCs w:val="21"/>
          <w:highlight w:val="none"/>
        </w:rPr>
        <w:t>拟派项目经理具有有效的建筑工程专业二级及以上注册建造师证书及“三类人员”有效B类证书，且不得有在建项目</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否则投标无效。</w:t>
      </w:r>
    </w:p>
    <w:p w14:paraId="63A924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审计要求：</w:t>
      </w:r>
    </w:p>
    <w:p w14:paraId="7903B3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（1）采购人审计处自接到完整、有效的结算资料起，应在4个月内出具结算审计报告初稿。对存在的争议，由采购人审计处、审计服务单位、采购人基建处和施工单位协商解决。</w:t>
      </w:r>
    </w:p>
    <w:p w14:paraId="7CE4F94B">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（2）结算审计报告为供应商按月结算费用的依据，未出具结算审计报告的项目，采购人有权不予结算，直至结算审计报告出具之日为止。</w:t>
      </w:r>
    </w:p>
    <w:p w14:paraId="2A7D508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三、报价说明</w:t>
      </w:r>
    </w:p>
    <w:p w14:paraId="3815F1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本项目的响应报价分为单个项目总价折扣、点工单价、挖土机械单价、登高车单价四部分，投入的点工、挖土机械、登高车需符合采购人要求，报价应包含税金在内的项目实施所涉及的全部费用：</w:t>
      </w:r>
    </w:p>
    <w:p w14:paraId="67F69A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（1）针对单个项目总价，响应供应商需报折扣，单个项目结算总价=工程造价基准结算总价*响应折扣；</w:t>
      </w:r>
    </w:p>
    <w:p w14:paraId="68338C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（2）点工不分工种由响应供应商自主填报统一单价，点工总价=点工数*点工单价；</w:t>
      </w:r>
    </w:p>
    <w:p w14:paraId="76258E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（3）挖土机械不分机型由响应供应商自主填报统一单价，挖土机械总价=天数*挖土机械单价；</w:t>
      </w:r>
    </w:p>
    <w:p w14:paraId="12A113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（4）登高车不分型号由响应供应商自主填报统一单价，登高车总价=天数*登高车单价。</w:t>
      </w:r>
    </w:p>
    <w:p w14:paraId="25E7D1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（5）后期结算中，点工、挖土机械、登高车费用根据单价按实结算，不打折。</w:t>
      </w:r>
    </w:p>
    <w:p w14:paraId="1850332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25F51019">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▲4.1 工程质保期：防水工程质保期为五年；其他项目质保期均为二年。质量保修期自工程竣工验收合格之日起计算。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提供承诺函</w:t>
      </w:r>
      <w:r>
        <w:rPr>
          <w:rFonts w:hint="eastAsia" w:ascii="宋体" w:hAnsi="宋体" w:cs="宋体"/>
          <w:b/>
          <w:bCs/>
          <w:color w:val="auto"/>
          <w:sz w:val="21"/>
          <w:szCs w:val="21"/>
          <w:highlight w:val="none"/>
          <w:lang w:eastAsia="zh-CN"/>
        </w:rPr>
        <w:t>）</w:t>
      </w:r>
    </w:p>
    <w:p w14:paraId="11CBAF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工程验收及服务要求：</w:t>
      </w:r>
    </w:p>
    <w:p w14:paraId="157F26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完毕后，成交供应商应提供该项目的有效验收文件，经采购人认可后，与该项目要求一起作为该项目的验收标准。采购人对该项目验收合格后，双方共同签署验收合格文件，验收中发现该项目达不到验收标准或合同规定的指标要求，成交供应商必须重新施工，并负担由此给采购人造成的损失，直到验收合格为止。</w:t>
      </w:r>
    </w:p>
    <w:p w14:paraId="1A74C2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（2）验收标准应符合中国有关的国家、地方、行业的标准，如若成交，经采购人确认后作为验收的依据。</w:t>
      </w:r>
    </w:p>
    <w:p w14:paraId="1BA154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（3）验收费用由成交供应商承担。</w:t>
      </w:r>
    </w:p>
    <w:p w14:paraId="134E6D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（4）成交供应商在施工过程中必须严格按照有关操作规程进行操作，做好安全防范工作，防止一切事故的发生。在施工期间，出现人身伤亡事故，一切后果由成交供应商自行承担。</w:t>
      </w:r>
    </w:p>
    <w:p w14:paraId="01BFFB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（5）成交供应商接到采购人关于施工项目通知后,应在不超过1小时内做出响应，不超过1个工作日内赶到现场商洽施工内容并签订合同。</w:t>
      </w:r>
    </w:p>
    <w:p w14:paraId="7AEDD8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（6）成交供应商须承诺1小时内电话响应，24小时内解决问题。</w:t>
      </w:r>
    </w:p>
    <w:p w14:paraId="64ACBBA2">
      <w:pPr>
        <w:adjustRightInd/>
        <w:snapToGrid/>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4.3 单个项目的工期及施工地点根据项目情况待定，以采购人实际通知为准。</w:t>
      </w:r>
    </w:p>
    <w:p w14:paraId="060FE6B5">
      <w:pPr>
        <w:pStyle w:val="2"/>
        <w:rPr>
          <w:rFonts w:hint="eastAsia" w:ascii="宋体" w:hAnsi="宋体" w:eastAsia="宋体" w:cs="宋体"/>
          <w:b/>
          <w:color w:val="auto"/>
          <w:sz w:val="21"/>
          <w:szCs w:val="21"/>
          <w:highlight w:val="none"/>
        </w:rPr>
      </w:pPr>
    </w:p>
    <w:p w14:paraId="104DF80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五、商务条款</w:t>
      </w:r>
    </w:p>
    <w:p w14:paraId="137D6D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1、服务期：1年，具体起止时间由采购人确定；如在服务期内已委托的施工项目，在服务期满时未结束的，受托人须服务至该项目结束。</w:t>
      </w:r>
    </w:p>
    <w:p w14:paraId="4A77C2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2、服务地点：浙江农林大学，采购人指定地点。</w:t>
      </w:r>
    </w:p>
    <w:p w14:paraId="0522C8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3、履约保证金：合同签订后一周内，</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提交合同总价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即该标项预算金额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1.5%的履约保证金，履约保证金在合同履约期间无违约情形的，项目验收并且</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收到</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开具的收据后，于一周内退还（不计息）；</w:t>
      </w:r>
    </w:p>
    <w:p w14:paraId="711BD1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4、质量保证金：合同履约完成，成交供应商向采购人缴纳合同总价1.5%作为质量保证金，待最后一个项目质保期满后一周内无息退还。</w:t>
      </w:r>
    </w:p>
    <w:p w14:paraId="5E5450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5、付款方式：</w:t>
      </w:r>
    </w:p>
    <w:p w14:paraId="6C2EDD26">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5.1本次入围单位工程结算方式一律统一，采用以工程造价基准结算总价的方式。</w:t>
      </w:r>
    </w:p>
    <w:p w14:paraId="74C5AF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每个项目具备实施条件后7个工作日内支付该项目审核后的工程造价40%的预付款；工程验收合格后付至审定价的100%。验收合格后供应商必须在1个月内完成送审，依据审计处制度完成审计。合同有效期结束没有提供结算，作为成交供应商放弃结算。</w:t>
      </w:r>
    </w:p>
    <w:p w14:paraId="0DBCFC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5.3结算审核由采购人委托，审核基本费用由采购人承担，但因核增核减产生的追加审核费用由成交供应商承担。</w:t>
      </w:r>
    </w:p>
    <w:p w14:paraId="1AD26E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5.4点工、挖土机械、登高车费用包含在单个项目中，与单个项目统一结算。</w:t>
      </w:r>
    </w:p>
    <w:p w14:paraId="076CB9AA">
      <w:pPr>
        <w:pStyle w:val="2"/>
        <w:rPr>
          <w:rFonts w:hint="eastAsia" w:ascii="宋体" w:hAnsi="宋体" w:eastAsia="宋体" w:cs="宋体"/>
          <w:color w:val="auto"/>
          <w:sz w:val="21"/>
          <w:szCs w:val="21"/>
          <w:highlight w:val="none"/>
        </w:rPr>
      </w:pPr>
    </w:p>
    <w:p w14:paraId="42DA6D48">
      <w:pPr>
        <w:spacing w:line="360" w:lineRule="auto"/>
        <w:ind w:firstLine="43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六、本章未尽之处具体详见“第五章  合同主要条款”</w:t>
      </w:r>
    </w:p>
    <w:p w14:paraId="077B05A9">
      <w:pPr>
        <w:rPr>
          <w:rFonts w:hint="eastAsia" w:ascii="宋体" w:hAnsi="宋体" w:eastAsia="宋体" w:cs="宋体"/>
          <w:color w:val="auto"/>
          <w:sz w:val="21"/>
          <w:szCs w:val="21"/>
          <w:highlight w:val="none"/>
        </w:rPr>
      </w:pPr>
    </w:p>
    <w:p w14:paraId="11A7B115">
      <w:pPr>
        <w:rPr>
          <w:color w:val="auto"/>
          <w:highlight w:val="none"/>
        </w:rPr>
      </w:pPr>
    </w:p>
    <w:p w14:paraId="664CC808">
      <w:pPr>
        <w:rPr>
          <w:color w:val="auto"/>
          <w:highlight w:val="none"/>
        </w:rPr>
      </w:pPr>
    </w:p>
    <w:p w14:paraId="13CA3FDF">
      <w:pPr>
        <w:jc w:val="left"/>
        <w:rPr>
          <w:color w:val="auto"/>
          <w:highlight w:val="none"/>
        </w:rPr>
      </w:pPr>
    </w:p>
    <w:p w14:paraId="010EBD17">
      <w:pPr>
        <w:rPr>
          <w:rFonts w:ascii="宋体" w:hAnsi="宋体" w:cs="宋体"/>
          <w:color w:val="auto"/>
          <w:sz w:val="32"/>
          <w:highlight w:val="none"/>
        </w:rPr>
      </w:pPr>
      <w:bookmarkStart w:id="106" w:name="_Toc14159"/>
    </w:p>
    <w:p w14:paraId="1C21258B">
      <w:pPr>
        <w:rPr>
          <w:rFonts w:hint="eastAsia" w:ascii="宋体" w:hAnsi="宋体" w:cs="宋体"/>
          <w:color w:val="auto"/>
          <w:sz w:val="32"/>
          <w:highlight w:val="none"/>
        </w:rPr>
      </w:pPr>
      <w:r>
        <w:rPr>
          <w:rFonts w:hint="eastAsia" w:ascii="宋体" w:hAnsi="宋体" w:cs="宋体"/>
          <w:color w:val="auto"/>
          <w:sz w:val="32"/>
          <w:highlight w:val="none"/>
        </w:rPr>
        <w:br w:type="page"/>
      </w:r>
    </w:p>
    <w:p w14:paraId="112463F2">
      <w:pPr>
        <w:pStyle w:val="3"/>
        <w:pageBreakBefore/>
        <w:tabs>
          <w:tab w:val="left" w:pos="432"/>
        </w:tabs>
        <w:rPr>
          <w:rFonts w:ascii="宋体" w:hAnsi="宋体" w:cs="宋体"/>
          <w:color w:val="auto"/>
          <w:sz w:val="36"/>
          <w:highlight w:val="none"/>
        </w:rPr>
      </w:pPr>
      <w:bookmarkStart w:id="107" w:name="_Toc14658"/>
      <w:r>
        <w:rPr>
          <w:rFonts w:hint="eastAsia" w:ascii="宋体" w:hAnsi="宋体" w:cs="宋体"/>
          <w:color w:val="auto"/>
          <w:sz w:val="36"/>
          <w:highlight w:val="none"/>
        </w:rPr>
        <w:t>第</w:t>
      </w:r>
      <w:r>
        <w:rPr>
          <w:rFonts w:hint="eastAsia" w:ascii="宋体" w:hAnsi="宋体" w:cs="宋体"/>
          <w:color w:val="auto"/>
          <w:sz w:val="36"/>
          <w:highlight w:val="none"/>
          <w:lang w:val="en-US" w:eastAsia="zh-CN"/>
        </w:rPr>
        <w:t>四</w:t>
      </w:r>
      <w:r>
        <w:rPr>
          <w:rFonts w:hint="eastAsia" w:ascii="宋体" w:hAnsi="宋体" w:cs="宋体"/>
          <w:color w:val="auto"/>
          <w:sz w:val="36"/>
          <w:highlight w:val="none"/>
        </w:rPr>
        <w:t>部分 评标办法</w:t>
      </w:r>
      <w:bookmarkEnd w:id="107"/>
    </w:p>
    <w:p w14:paraId="37A81F6A">
      <w:pPr>
        <w:adjustRightInd w:val="0"/>
        <w:snapToGrid w:val="0"/>
        <w:spacing w:line="360" w:lineRule="auto"/>
        <w:rPr>
          <w:rFonts w:ascii="宋体" w:hAnsi="宋体" w:cs="宋体"/>
          <w:b/>
          <w:color w:val="auto"/>
          <w:szCs w:val="21"/>
          <w:highlight w:val="none"/>
        </w:rPr>
      </w:pPr>
    </w:p>
    <w:p w14:paraId="31E7AA33">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本评审办法遵照《中华人民共和国政府采购法》</w:t>
      </w:r>
      <w:r>
        <w:rPr>
          <w:rFonts w:hint="eastAsia" w:ascii="宋体" w:hAnsi="宋体" w:cs="Arial"/>
          <w:color w:val="auto"/>
          <w:kern w:val="0"/>
          <w:szCs w:val="21"/>
          <w:highlight w:val="none"/>
        </w:rPr>
        <w:t>、《政府采购竞争性磋商采购方式管理暂行办法》</w:t>
      </w:r>
      <w:r>
        <w:rPr>
          <w:rFonts w:hint="eastAsia" w:ascii="宋体" w:hAnsi="宋体" w:cs="Arial"/>
          <w:color w:val="auto"/>
          <w:highlight w:val="none"/>
        </w:rPr>
        <w:t>等</w:t>
      </w:r>
      <w:r>
        <w:rPr>
          <w:rFonts w:ascii="宋体" w:hAnsi="宋体" w:cs="Arial"/>
          <w:color w:val="auto"/>
          <w:highlight w:val="none"/>
        </w:rPr>
        <w:t>有关规定，并结合本项目的具体情况制定。</w:t>
      </w:r>
    </w:p>
    <w:p w14:paraId="3B4710B9">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本</w:t>
      </w:r>
      <w:r>
        <w:rPr>
          <w:rFonts w:ascii="宋体" w:hAnsi="宋体" w:cs="Arial"/>
          <w:color w:val="auto"/>
          <w:highlight w:val="none"/>
        </w:rPr>
        <w:t>采购项目采用综合评分法</w:t>
      </w:r>
      <w:r>
        <w:rPr>
          <w:rFonts w:hint="eastAsia" w:ascii="宋体" w:hAnsi="宋体" w:cs="Arial"/>
          <w:color w:val="auto"/>
          <w:highlight w:val="none"/>
        </w:rPr>
        <w:t>。</w:t>
      </w:r>
    </w:p>
    <w:p w14:paraId="0258C4EA">
      <w:pPr>
        <w:adjustRightInd w:val="0"/>
        <w:snapToGrid w:val="0"/>
        <w:spacing w:line="360" w:lineRule="auto"/>
        <w:ind w:firstLine="422" w:firstLineChars="200"/>
        <w:rPr>
          <w:rFonts w:ascii="宋体" w:hAnsi="宋体" w:cs="Arial"/>
          <w:b/>
          <w:bCs/>
          <w:color w:val="auto"/>
          <w:highlight w:val="none"/>
        </w:rPr>
      </w:pPr>
      <w:r>
        <w:rPr>
          <w:rFonts w:ascii="宋体" w:hAnsi="宋体" w:cs="Arial"/>
          <w:b/>
          <w:bCs/>
          <w:color w:val="auto"/>
          <w:highlight w:val="none"/>
        </w:rPr>
        <w:t>一、总则</w:t>
      </w:r>
    </w:p>
    <w:p w14:paraId="5CDD85D4">
      <w:pPr>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磋商小组成员应当按照客观、公正、审慎的原则，根据磋商文件规定的评审程序、评审方法和评审标准进行独立评审。</w:t>
      </w:r>
    </w:p>
    <w:p w14:paraId="642ED13E">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对落标人，磋商小组不作任何落标解释。</w:t>
      </w:r>
    </w:p>
    <w:p w14:paraId="04430A92">
      <w:pPr>
        <w:adjustRightInd w:val="0"/>
        <w:snapToGrid w:val="0"/>
        <w:spacing w:line="360" w:lineRule="auto"/>
        <w:ind w:firstLine="422" w:firstLineChars="200"/>
        <w:rPr>
          <w:rFonts w:ascii="宋体" w:hAnsi="宋体" w:cs="Arial"/>
          <w:b/>
          <w:bCs/>
          <w:color w:val="auto"/>
          <w:highlight w:val="none"/>
        </w:rPr>
      </w:pPr>
      <w:r>
        <w:rPr>
          <w:rFonts w:ascii="宋体" w:hAnsi="宋体" w:cs="Arial"/>
          <w:b/>
          <w:bCs/>
          <w:color w:val="auto"/>
          <w:highlight w:val="none"/>
        </w:rPr>
        <w:t>二、评审组织</w:t>
      </w:r>
    </w:p>
    <w:p w14:paraId="3300D2AF">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评审工作由采购单位依法组建的磋商小组负责。磋商小组负责审标、询标、评审等工作，并向采购人提出评审意见和评审报告。</w:t>
      </w:r>
    </w:p>
    <w:p w14:paraId="5B69DAC4">
      <w:pPr>
        <w:tabs>
          <w:tab w:val="left" w:pos="3219"/>
        </w:tabs>
        <w:adjustRightInd w:val="0"/>
        <w:snapToGrid w:val="0"/>
        <w:spacing w:line="360" w:lineRule="auto"/>
        <w:ind w:firstLine="420" w:firstLineChars="200"/>
        <w:rPr>
          <w:rFonts w:ascii="宋体" w:hAnsi="宋体" w:cs="Arial"/>
          <w:b/>
          <w:bCs/>
          <w:color w:val="auto"/>
          <w:highlight w:val="none"/>
        </w:rPr>
      </w:pPr>
      <w:r>
        <w:rPr>
          <w:rFonts w:ascii="宋体" w:hAnsi="宋体" w:cs="Arial"/>
          <w:color w:val="auto"/>
          <w:highlight w:val="none"/>
        </w:rPr>
        <w:t>三、</w:t>
      </w:r>
      <w:r>
        <w:rPr>
          <w:rFonts w:hint="eastAsia" w:ascii="宋体" w:hAnsi="宋体" w:cs="Arial"/>
          <w:b/>
          <w:bCs/>
          <w:color w:val="auto"/>
          <w:highlight w:val="none"/>
        </w:rPr>
        <w:t>评标程序</w:t>
      </w:r>
    </w:p>
    <w:p w14:paraId="0A51F860">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程序如下：</w:t>
      </w:r>
    </w:p>
    <w:p w14:paraId="567DC83C">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第一步：</w:t>
      </w:r>
      <w:r>
        <w:rPr>
          <w:rFonts w:hint="eastAsia" w:ascii="宋体" w:hAnsi="宋体" w:cs="Arial"/>
          <w:color w:val="auto"/>
          <w:highlight w:val="none"/>
        </w:rPr>
        <w:t>磋商小组</w:t>
      </w:r>
      <w:r>
        <w:rPr>
          <w:rFonts w:ascii="宋体" w:hAnsi="宋体" w:cs="Arial"/>
          <w:color w:val="auto"/>
          <w:highlight w:val="none"/>
        </w:rPr>
        <w:t>根据评审原则和评审办法</w:t>
      </w:r>
      <w:r>
        <w:rPr>
          <w:rFonts w:hint="eastAsia" w:ascii="宋体" w:hAnsi="宋体" w:cs="Arial"/>
          <w:color w:val="auto"/>
          <w:highlight w:val="none"/>
        </w:rPr>
        <w:t>，对供应商的响应文件进行初审（符合性审查、报价评审）。</w:t>
      </w:r>
    </w:p>
    <w:p w14:paraId="11EEEEBB">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第二步：对初审合格的供应商进行磋商，供应商根据磋商文件的变动情况和磋商小组的要求重新提交响应文件。</w:t>
      </w:r>
    </w:p>
    <w:p w14:paraId="7F4CE4FC">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第三步：对各供应商的</w:t>
      </w:r>
      <w:r>
        <w:rPr>
          <w:rFonts w:ascii="宋体" w:hAnsi="宋体" w:cs="Arial"/>
          <w:color w:val="auto"/>
          <w:highlight w:val="none"/>
        </w:rPr>
        <w:t>的</w:t>
      </w:r>
      <w:r>
        <w:rPr>
          <w:rFonts w:hint="eastAsia" w:ascii="宋体" w:hAnsi="宋体" w:cs="Arial"/>
          <w:color w:val="auto"/>
          <w:highlight w:val="none"/>
        </w:rPr>
        <w:t>商务技术标</w:t>
      </w:r>
      <w:r>
        <w:rPr>
          <w:rFonts w:ascii="宋体" w:hAnsi="宋体" w:cs="Arial"/>
          <w:color w:val="auto"/>
          <w:highlight w:val="none"/>
        </w:rPr>
        <w:t>进行</w:t>
      </w:r>
      <w:r>
        <w:rPr>
          <w:rFonts w:hint="eastAsia" w:ascii="宋体" w:hAnsi="宋体" w:cs="Arial"/>
          <w:color w:val="auto"/>
          <w:highlight w:val="none"/>
        </w:rPr>
        <w:t>评审并汇总。</w:t>
      </w:r>
    </w:p>
    <w:p w14:paraId="082F10F7">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第四步：商务和技术评审结束后，公布其商务和技术得分情况，公布最终报价。</w:t>
      </w:r>
    </w:p>
    <w:p w14:paraId="0634BCBA">
      <w:pPr>
        <w:adjustRightInd w:val="0"/>
        <w:snapToGrid w:val="0"/>
        <w:spacing w:line="360" w:lineRule="auto"/>
        <w:ind w:firstLine="420" w:firstLineChars="200"/>
        <w:rPr>
          <w:rFonts w:ascii="宋体" w:hAnsi="宋体" w:cs="Arial"/>
          <w:color w:val="auto"/>
          <w:highlight w:val="none"/>
        </w:rPr>
      </w:pPr>
      <w:r>
        <w:rPr>
          <w:rFonts w:ascii="宋体" w:hAnsi="宋体" w:cs="Arial"/>
          <w:color w:val="auto"/>
          <w:highlight w:val="none"/>
        </w:rPr>
        <w:t>第</w:t>
      </w:r>
      <w:r>
        <w:rPr>
          <w:rFonts w:hint="eastAsia" w:ascii="宋体" w:hAnsi="宋体" w:cs="Arial"/>
          <w:color w:val="auto"/>
          <w:highlight w:val="none"/>
        </w:rPr>
        <w:t>五</w:t>
      </w:r>
      <w:r>
        <w:rPr>
          <w:rFonts w:ascii="宋体" w:hAnsi="宋体" w:cs="Arial"/>
          <w:color w:val="auto"/>
          <w:highlight w:val="none"/>
        </w:rPr>
        <w:t>步：磋商小组以</w:t>
      </w:r>
      <w:r>
        <w:rPr>
          <w:rFonts w:hint="eastAsia" w:ascii="宋体" w:hAnsi="宋体" w:cs="Arial"/>
          <w:color w:val="auto"/>
          <w:highlight w:val="none"/>
        </w:rPr>
        <w:t>商务技术标</w:t>
      </w:r>
      <w:r>
        <w:rPr>
          <w:rFonts w:ascii="宋体" w:hAnsi="宋体" w:cs="Arial"/>
          <w:color w:val="auto"/>
          <w:highlight w:val="none"/>
        </w:rPr>
        <w:t>和</w:t>
      </w:r>
      <w:r>
        <w:rPr>
          <w:rFonts w:hint="eastAsia" w:ascii="宋体" w:hAnsi="宋体" w:cs="Arial"/>
          <w:color w:val="auto"/>
          <w:highlight w:val="none"/>
        </w:rPr>
        <w:t>报价标</w:t>
      </w:r>
      <w:r>
        <w:rPr>
          <w:rFonts w:ascii="宋体" w:hAnsi="宋体" w:cs="Arial"/>
          <w:color w:val="auto"/>
          <w:highlight w:val="none"/>
        </w:rPr>
        <w:t>合计分值由高到低的顺序</w:t>
      </w:r>
      <w:r>
        <w:rPr>
          <w:rFonts w:hint="eastAsia" w:ascii="宋体" w:hAnsi="宋体" w:cs="Arial"/>
          <w:color w:val="auto"/>
          <w:highlight w:val="none"/>
        </w:rPr>
        <w:t>依次推荐得分第一名的为第一中标候选单位，推荐得分第二名的为第二中标候选单位，推荐得分第三名的为第三中标候选单位，</w:t>
      </w:r>
      <w:r>
        <w:rPr>
          <w:rFonts w:ascii="宋体" w:hAnsi="宋体" w:cs="Arial"/>
          <w:color w:val="auto"/>
          <w:highlight w:val="none"/>
        </w:rPr>
        <w:t>并提交书面评</w:t>
      </w:r>
      <w:r>
        <w:rPr>
          <w:rFonts w:hint="eastAsia" w:ascii="宋体" w:hAnsi="宋体" w:cs="Arial"/>
          <w:color w:val="auto"/>
          <w:highlight w:val="none"/>
        </w:rPr>
        <w:t>标</w:t>
      </w:r>
      <w:r>
        <w:rPr>
          <w:rFonts w:ascii="宋体" w:hAnsi="宋体" w:cs="Arial"/>
          <w:color w:val="auto"/>
          <w:highlight w:val="none"/>
        </w:rPr>
        <w:t>报告。</w:t>
      </w:r>
      <w:r>
        <w:rPr>
          <w:rFonts w:hint="eastAsia" w:ascii="宋体" w:hAnsi="宋体" w:cs="Arial"/>
          <w:color w:val="auto"/>
          <w:highlight w:val="none"/>
        </w:rPr>
        <w:t>合计分值相同时以报价标得分高为先，合计分值、报价标得分均相同时由磋商小组全体成员记名投票按少数服从多数的原则确定中标候选顺序。</w:t>
      </w:r>
    </w:p>
    <w:p w14:paraId="361F388D">
      <w:pPr>
        <w:tabs>
          <w:tab w:val="left" w:pos="3219"/>
        </w:tabs>
        <w:adjustRightInd w:val="0"/>
        <w:snapToGrid w:val="0"/>
        <w:spacing w:line="360" w:lineRule="auto"/>
        <w:ind w:firstLine="420" w:firstLineChars="200"/>
        <w:rPr>
          <w:rFonts w:ascii="宋体" w:hAnsi="宋体" w:cs="Arial"/>
          <w:b/>
          <w:bCs/>
          <w:color w:val="auto"/>
          <w:highlight w:val="none"/>
        </w:rPr>
      </w:pPr>
      <w:r>
        <w:rPr>
          <w:rFonts w:ascii="宋体" w:hAnsi="宋体" w:cs="Arial"/>
          <w:color w:val="auto"/>
          <w:highlight w:val="none"/>
        </w:rPr>
        <w:t>三、</w:t>
      </w:r>
      <w:r>
        <w:rPr>
          <w:rFonts w:hint="eastAsia" w:ascii="宋体" w:hAnsi="宋体" w:cs="Arial"/>
          <w:b/>
          <w:bCs/>
          <w:color w:val="auto"/>
          <w:highlight w:val="none"/>
        </w:rPr>
        <w:t>磋商要求</w:t>
      </w:r>
    </w:p>
    <w:p w14:paraId="7F34672B">
      <w:pPr>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1、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2轮。在磋商过程中，采购人及磋商小组有权变更相关要求，不对因此而受影响的供应商承担责任。磋商中如有实质性变动，磋商小组将用书面形式通知参加磋商的供应商。</w:t>
      </w:r>
    </w:p>
    <w:p w14:paraId="05EE5119">
      <w:pPr>
        <w:widowControl w:val="0"/>
        <w:adjustRightInd w:val="0"/>
        <w:snapToGrid w:val="0"/>
        <w:spacing w:line="360" w:lineRule="auto"/>
        <w:ind w:firstLine="420" w:firstLineChars="200"/>
        <w:rPr>
          <w:rFonts w:ascii="宋体" w:hAnsi="宋体" w:cs="Arial"/>
          <w:color w:val="auto"/>
          <w:highlight w:val="none"/>
        </w:rPr>
      </w:pPr>
      <w:r>
        <w:rPr>
          <w:rFonts w:hint="eastAsia" w:ascii="宋体" w:hAnsi="宋体" w:cs="Arial"/>
          <w:color w:val="auto"/>
          <w:highlight w:val="none"/>
        </w:rPr>
        <w:t>2、磋商小组将要求所有参加磋商的供应商按磋商小组提出的要求并在规定时间内分别进行最终报价，各供应商在规定时间之后的报价将被视为无效。</w:t>
      </w:r>
    </w:p>
    <w:p w14:paraId="45D4FEDE">
      <w:pPr>
        <w:widowControl w:val="0"/>
        <w:adjustRightInd w:val="0"/>
        <w:snapToGrid w:val="0"/>
        <w:spacing w:line="360" w:lineRule="auto"/>
        <w:ind w:firstLine="420" w:firstLineChars="200"/>
        <w:rPr>
          <w:rFonts w:ascii="宋体" w:hAnsi="宋体" w:cs="Arial"/>
          <w:bCs/>
          <w:color w:val="auto"/>
          <w:highlight w:val="none"/>
        </w:rPr>
      </w:pPr>
      <w:r>
        <w:rPr>
          <w:rFonts w:hint="eastAsia" w:ascii="宋体" w:hAnsi="宋体" w:cs="Arial"/>
          <w:bCs/>
          <w:color w:val="auto"/>
          <w:highlight w:val="none"/>
        </w:rPr>
        <w:t>3、磋商结束后，磋商小组应当要求所有实质性响应的供应商在规定时间内提交最后报价，提交最后报价的供应商一般不得少于3家。</w:t>
      </w:r>
    </w:p>
    <w:p w14:paraId="44C02D5E">
      <w:pPr>
        <w:adjustRightInd w:val="0"/>
        <w:snapToGrid w:val="0"/>
        <w:spacing w:line="360" w:lineRule="auto"/>
        <w:ind w:firstLine="420" w:firstLineChars="200"/>
        <w:rPr>
          <w:rFonts w:ascii="宋体" w:hAnsi="宋体" w:cs="Arial"/>
          <w:b/>
          <w:bCs/>
          <w:color w:val="auto"/>
          <w:highlight w:val="none"/>
        </w:rPr>
      </w:pPr>
      <w:r>
        <w:rPr>
          <w:rFonts w:hint="eastAsia" w:ascii="宋体" w:hAnsi="宋体" w:cs="Arial"/>
          <w:bCs/>
          <w:color w:val="auto"/>
          <w:highlight w:val="none"/>
        </w:rPr>
        <w:t>4、最后报价是供应商响应文件的有效组成部分。符合《政府采购竞争性磋商采购方式管理暂行办法》第三条第四项情形或满足财库[2015]24号文件的，提交最后报价的供应商可以为2家。</w:t>
      </w:r>
    </w:p>
    <w:p w14:paraId="31C801CF">
      <w:pPr>
        <w:adjustRightInd w:val="0"/>
        <w:snapToGrid w:val="0"/>
        <w:spacing w:line="360" w:lineRule="auto"/>
        <w:ind w:firstLine="422" w:firstLineChars="200"/>
        <w:rPr>
          <w:rFonts w:ascii="宋体" w:hAnsi="宋体" w:cs="Arial"/>
          <w:b/>
          <w:bCs/>
          <w:color w:val="auto"/>
          <w:highlight w:val="none"/>
        </w:rPr>
      </w:pPr>
      <w:r>
        <w:rPr>
          <w:rFonts w:ascii="宋体" w:hAnsi="宋体" w:cs="Arial"/>
          <w:b/>
          <w:bCs/>
          <w:color w:val="auto"/>
          <w:highlight w:val="none"/>
        </w:rPr>
        <w:t>四、评审细则</w:t>
      </w:r>
    </w:p>
    <w:p w14:paraId="1F871933">
      <w:pPr>
        <w:pStyle w:val="29"/>
        <w:adjustRightInd w:val="0"/>
        <w:snapToGrid w:val="0"/>
        <w:spacing w:line="360" w:lineRule="auto"/>
        <w:ind w:firstLine="420" w:firstLineChars="200"/>
        <w:jc w:val="left"/>
        <w:rPr>
          <w:rFonts w:hAnsi="宋体" w:cs="Arial"/>
          <w:color w:val="auto"/>
          <w:sz w:val="21"/>
          <w:szCs w:val="21"/>
          <w:highlight w:val="none"/>
        </w:rPr>
      </w:pPr>
      <w:r>
        <w:rPr>
          <w:rFonts w:hAnsi="宋体" w:cs="Arial"/>
          <w:color w:val="auto"/>
          <w:sz w:val="21"/>
          <w:szCs w:val="21"/>
          <w:highlight w:val="none"/>
        </w:rPr>
        <w:t>评标采用综合评分法，磋商小组从</w:t>
      </w:r>
      <w:r>
        <w:rPr>
          <w:rFonts w:hint="eastAsia" w:hAnsi="宋体" w:cs="Arial"/>
          <w:color w:val="auto"/>
          <w:sz w:val="21"/>
          <w:szCs w:val="21"/>
          <w:highlight w:val="none"/>
        </w:rPr>
        <w:t>最终</w:t>
      </w:r>
      <w:r>
        <w:rPr>
          <w:rFonts w:hAnsi="宋体" w:cs="Arial"/>
          <w:color w:val="auto"/>
          <w:sz w:val="21"/>
          <w:szCs w:val="21"/>
          <w:highlight w:val="none"/>
        </w:rPr>
        <w:t>投标报价、供应商的</w:t>
      </w:r>
      <w:r>
        <w:rPr>
          <w:rFonts w:hint="eastAsia" w:hAnsi="宋体" w:cs="Arial"/>
          <w:color w:val="auto"/>
          <w:sz w:val="21"/>
          <w:szCs w:val="21"/>
          <w:highlight w:val="none"/>
        </w:rPr>
        <w:t>资信</w:t>
      </w:r>
      <w:r>
        <w:rPr>
          <w:rFonts w:hAnsi="宋体" w:cs="Arial"/>
          <w:color w:val="auto"/>
          <w:sz w:val="21"/>
          <w:szCs w:val="21"/>
          <w:highlight w:val="none"/>
        </w:rPr>
        <w:t>、业绩、</w:t>
      </w:r>
      <w:r>
        <w:rPr>
          <w:rFonts w:hint="eastAsia" w:hAnsi="宋体" w:cs="Arial"/>
          <w:color w:val="auto"/>
          <w:sz w:val="21"/>
          <w:szCs w:val="21"/>
          <w:highlight w:val="none"/>
        </w:rPr>
        <w:t>技术方案、</w:t>
      </w:r>
      <w:r>
        <w:rPr>
          <w:rFonts w:hAnsi="宋体" w:cs="Arial"/>
          <w:color w:val="auto"/>
          <w:sz w:val="21"/>
          <w:szCs w:val="21"/>
          <w:highlight w:val="none"/>
        </w:rPr>
        <w:t>服务</w:t>
      </w:r>
      <w:r>
        <w:rPr>
          <w:rFonts w:hint="eastAsia" w:hAnsi="宋体" w:cs="Arial"/>
          <w:color w:val="auto"/>
          <w:sz w:val="21"/>
          <w:szCs w:val="21"/>
          <w:highlight w:val="none"/>
        </w:rPr>
        <w:t>承诺</w:t>
      </w:r>
      <w:r>
        <w:rPr>
          <w:rFonts w:hAnsi="宋体" w:cs="Arial"/>
          <w:color w:val="auto"/>
          <w:sz w:val="21"/>
          <w:szCs w:val="21"/>
          <w:highlight w:val="none"/>
        </w:rPr>
        <w:t>、等方面进行评审。磋商小组根据评审情况，对各供应商的商务报价方面在分值范围内进行统一打分，对各供应商的资信商务方面在分值范围内进行统一打分，对各供应商的技术方面在分值范围内进行独立打分。</w:t>
      </w:r>
    </w:p>
    <w:p w14:paraId="77EB3B8B">
      <w:pPr>
        <w:pStyle w:val="29"/>
        <w:adjustRightInd w:val="0"/>
        <w:snapToGrid w:val="0"/>
        <w:spacing w:line="360" w:lineRule="auto"/>
        <w:ind w:firstLine="420" w:firstLineChars="200"/>
        <w:jc w:val="left"/>
        <w:rPr>
          <w:rFonts w:hAnsi="宋体" w:cs="Arial"/>
          <w:b/>
          <w:bCs/>
          <w:color w:val="auto"/>
          <w:sz w:val="21"/>
          <w:szCs w:val="21"/>
          <w:highlight w:val="none"/>
        </w:rPr>
      </w:pPr>
      <w:r>
        <w:rPr>
          <w:rFonts w:hAnsi="宋体" w:cs="Arial"/>
          <w:b/>
          <w:bCs/>
          <w:color w:val="auto"/>
          <w:sz w:val="21"/>
          <w:szCs w:val="21"/>
          <w:highlight w:val="none"/>
        </w:rPr>
        <w:t>每个供应商最终得分=</w:t>
      </w:r>
      <w:r>
        <w:rPr>
          <w:rFonts w:hint="eastAsia" w:hAnsi="宋体" w:cs="Arial"/>
          <w:b/>
          <w:bCs/>
          <w:color w:val="auto"/>
          <w:sz w:val="21"/>
          <w:szCs w:val="21"/>
          <w:highlight w:val="none"/>
        </w:rPr>
        <w:t>商务技术</w:t>
      </w:r>
      <w:r>
        <w:rPr>
          <w:rFonts w:hAnsi="宋体" w:cs="Arial"/>
          <w:b/>
          <w:bCs/>
          <w:color w:val="auto"/>
          <w:sz w:val="21"/>
          <w:szCs w:val="21"/>
          <w:highlight w:val="none"/>
        </w:rPr>
        <w:t>分+报价分</w:t>
      </w:r>
    </w:p>
    <w:p w14:paraId="4458AD44">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（一）商务技术部分</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7088"/>
        <w:gridCol w:w="1221"/>
      </w:tblGrid>
      <w:tr w14:paraId="72A9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1" w:type="pct"/>
            <w:noWrap w:val="0"/>
            <w:vAlign w:val="center"/>
          </w:tcPr>
          <w:p w14:paraId="227F3174">
            <w:pPr>
              <w:adjustRightInd w:val="0"/>
              <w:snapToGrid w:val="0"/>
              <w:spacing w:line="360" w:lineRule="auto"/>
              <w:jc w:val="center"/>
              <w:rPr>
                <w:b/>
                <w:color w:val="auto"/>
                <w:sz w:val="21"/>
                <w:szCs w:val="21"/>
                <w:highlight w:val="none"/>
              </w:rPr>
            </w:pPr>
            <w:r>
              <w:rPr>
                <w:rFonts w:hint="eastAsia"/>
                <w:b/>
                <w:color w:val="auto"/>
                <w:sz w:val="21"/>
                <w:szCs w:val="21"/>
                <w:highlight w:val="none"/>
              </w:rPr>
              <w:t>序号</w:t>
            </w:r>
          </w:p>
        </w:tc>
        <w:tc>
          <w:tcPr>
            <w:tcW w:w="3837" w:type="pct"/>
            <w:noWrap w:val="0"/>
            <w:vAlign w:val="center"/>
          </w:tcPr>
          <w:p w14:paraId="4DF8C78F">
            <w:pPr>
              <w:adjustRightInd w:val="0"/>
              <w:snapToGrid w:val="0"/>
              <w:spacing w:line="360" w:lineRule="auto"/>
              <w:jc w:val="center"/>
              <w:rPr>
                <w:b/>
                <w:color w:val="auto"/>
                <w:sz w:val="21"/>
                <w:szCs w:val="21"/>
                <w:highlight w:val="none"/>
              </w:rPr>
            </w:pPr>
            <w:r>
              <w:rPr>
                <w:rFonts w:hint="eastAsia"/>
                <w:b/>
                <w:color w:val="auto"/>
                <w:sz w:val="21"/>
                <w:szCs w:val="21"/>
                <w:highlight w:val="none"/>
              </w:rPr>
              <w:t>评审因素</w:t>
            </w:r>
          </w:p>
        </w:tc>
        <w:tc>
          <w:tcPr>
            <w:tcW w:w="661" w:type="pct"/>
            <w:noWrap w:val="0"/>
            <w:vAlign w:val="center"/>
          </w:tcPr>
          <w:p w14:paraId="627DD0E8">
            <w:pPr>
              <w:adjustRightInd w:val="0"/>
              <w:snapToGrid w:val="0"/>
              <w:spacing w:line="360" w:lineRule="auto"/>
              <w:jc w:val="center"/>
              <w:rPr>
                <w:b/>
                <w:color w:val="auto"/>
                <w:sz w:val="21"/>
                <w:szCs w:val="21"/>
                <w:highlight w:val="none"/>
              </w:rPr>
            </w:pPr>
            <w:r>
              <w:rPr>
                <w:rFonts w:hint="eastAsia"/>
                <w:b/>
                <w:color w:val="auto"/>
                <w:sz w:val="21"/>
                <w:szCs w:val="21"/>
                <w:highlight w:val="none"/>
              </w:rPr>
              <w:t>分值</w:t>
            </w:r>
          </w:p>
        </w:tc>
      </w:tr>
      <w:tr w14:paraId="0486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center"/>
          </w:tcPr>
          <w:p w14:paraId="3A6F2338">
            <w:pPr>
              <w:adjustRightInd w:val="0"/>
              <w:snapToGrid w:val="0"/>
              <w:spacing w:line="360" w:lineRule="auto"/>
              <w:jc w:val="center"/>
              <w:rPr>
                <w:color w:val="auto"/>
                <w:sz w:val="21"/>
                <w:szCs w:val="21"/>
                <w:highlight w:val="none"/>
              </w:rPr>
            </w:pPr>
            <w:r>
              <w:rPr>
                <w:rFonts w:hint="eastAsia"/>
                <w:color w:val="auto"/>
                <w:sz w:val="21"/>
                <w:szCs w:val="21"/>
                <w:highlight w:val="none"/>
              </w:rPr>
              <w:t>1</w:t>
            </w:r>
          </w:p>
        </w:tc>
        <w:tc>
          <w:tcPr>
            <w:tcW w:w="3837" w:type="pct"/>
            <w:noWrap w:val="0"/>
            <w:vAlign w:val="top"/>
          </w:tcPr>
          <w:p w14:paraId="421DB285">
            <w:pPr>
              <w:adjustRightInd w:val="0"/>
              <w:snapToGrid w:val="0"/>
              <w:spacing w:line="360" w:lineRule="auto"/>
              <w:jc w:val="left"/>
              <w:rPr>
                <w:rFonts w:hint="eastAsia" w:ascii="宋体" w:hAnsi="宋体" w:eastAsia="宋体" w:cs="宋体"/>
                <w:color w:val="auto"/>
                <w:sz w:val="21"/>
                <w:szCs w:val="21"/>
                <w:highlight w:val="none"/>
              </w:rPr>
            </w:pPr>
            <w:r>
              <w:rPr>
                <w:rFonts w:hAnsi="宋体" w:eastAsia="宋体"/>
                <w:color w:val="auto"/>
                <w:sz w:val="21"/>
                <w:szCs w:val="21"/>
                <w:highlight w:val="none"/>
              </w:rPr>
              <w:t>【客观分】</w:t>
            </w:r>
            <w:r>
              <w:rPr>
                <w:rFonts w:hint="eastAsia" w:ascii="宋体" w:hAnsi="宋体" w:eastAsia="宋体" w:cs="宋体"/>
                <w:color w:val="auto"/>
                <w:sz w:val="21"/>
                <w:szCs w:val="21"/>
                <w:highlight w:val="none"/>
              </w:rPr>
              <w:t>供应商具有有效质量管理体系认证、环境管理体系认证、职业健康安全管理体系，提供1个有效证书得1分，最高得3分。提供证书扫描件。</w:t>
            </w:r>
          </w:p>
        </w:tc>
        <w:tc>
          <w:tcPr>
            <w:tcW w:w="661" w:type="pct"/>
            <w:noWrap w:val="0"/>
            <w:vAlign w:val="center"/>
          </w:tcPr>
          <w:p w14:paraId="10A7AD3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r>
      <w:tr w14:paraId="378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14:paraId="162EB616">
            <w:pPr>
              <w:adjustRightInd w:val="0"/>
              <w:snapToGrid w:val="0"/>
              <w:spacing w:line="360" w:lineRule="auto"/>
              <w:jc w:val="center"/>
              <w:rPr>
                <w:color w:val="auto"/>
                <w:sz w:val="21"/>
                <w:szCs w:val="21"/>
                <w:highlight w:val="none"/>
              </w:rPr>
            </w:pPr>
            <w:r>
              <w:rPr>
                <w:rFonts w:hint="eastAsia"/>
                <w:color w:val="auto"/>
                <w:sz w:val="21"/>
                <w:szCs w:val="21"/>
                <w:highlight w:val="none"/>
              </w:rPr>
              <w:t>2</w:t>
            </w:r>
          </w:p>
        </w:tc>
        <w:tc>
          <w:tcPr>
            <w:tcW w:w="3837" w:type="pct"/>
            <w:noWrap w:val="0"/>
            <w:vAlign w:val="top"/>
          </w:tcPr>
          <w:p w14:paraId="6F9F7F74">
            <w:pPr>
              <w:adjustRightInd w:val="0"/>
              <w:snapToGrid w:val="0"/>
              <w:spacing w:line="360" w:lineRule="auto"/>
              <w:jc w:val="left"/>
              <w:rPr>
                <w:rFonts w:hint="eastAsia" w:hAnsi="宋体" w:eastAsia="宋体"/>
                <w:color w:val="auto"/>
                <w:sz w:val="21"/>
                <w:szCs w:val="21"/>
                <w:highlight w:val="none"/>
                <w:lang w:val="en-US" w:eastAsia="zh-CN"/>
              </w:rPr>
            </w:pPr>
            <w:r>
              <w:rPr>
                <w:rFonts w:hAnsi="宋体" w:eastAsia="宋体"/>
                <w:color w:val="auto"/>
                <w:sz w:val="21"/>
                <w:szCs w:val="21"/>
                <w:highlight w:val="none"/>
              </w:rPr>
              <w:t>【客观分】</w:t>
            </w:r>
            <w:r>
              <w:rPr>
                <w:rFonts w:hint="eastAsia" w:hAnsi="宋体" w:eastAsia="宋体"/>
                <w:color w:val="auto"/>
                <w:sz w:val="21"/>
                <w:szCs w:val="21"/>
                <w:highlight w:val="none"/>
                <w:lang w:val="en-US" w:eastAsia="zh-CN"/>
              </w:rPr>
              <w:t>业绩：</w:t>
            </w:r>
          </w:p>
          <w:p w14:paraId="3EB53503">
            <w:pPr>
              <w:numPr>
                <w:ilvl w:val="0"/>
                <w:numId w:val="3"/>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年1月1日（以合同签订时间为准）以来承接过</w:t>
            </w:r>
            <w:r>
              <w:rPr>
                <w:rFonts w:hint="eastAsia" w:ascii="宋体" w:hAnsi="宋体" w:cs="宋体"/>
                <w:color w:val="auto"/>
                <w:sz w:val="21"/>
                <w:szCs w:val="21"/>
                <w:highlight w:val="none"/>
                <w:lang w:val="en-US" w:eastAsia="zh-CN"/>
              </w:rPr>
              <w:t>类似（建筑修缮或改造）</w:t>
            </w:r>
            <w:r>
              <w:rPr>
                <w:rFonts w:hint="eastAsia" w:ascii="宋体" w:hAnsi="宋体" w:eastAsia="宋体" w:cs="宋体"/>
                <w:color w:val="auto"/>
                <w:sz w:val="21"/>
                <w:szCs w:val="21"/>
                <w:highlight w:val="none"/>
              </w:rPr>
              <w:t>项目的，得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分（以提供的完整合同复印件为准）。</w:t>
            </w:r>
          </w:p>
          <w:p w14:paraId="5F2FE259">
            <w:pPr>
              <w:numPr>
                <w:ilvl w:val="0"/>
                <w:numId w:val="3"/>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年1月1日（以合同签订时间为准）以来承接过</w:t>
            </w:r>
            <w:r>
              <w:rPr>
                <w:rFonts w:hint="eastAsia" w:ascii="宋体" w:hAnsi="宋体" w:cs="宋体"/>
                <w:color w:val="auto"/>
                <w:sz w:val="21"/>
                <w:szCs w:val="21"/>
                <w:highlight w:val="none"/>
                <w:lang w:val="en-US" w:eastAsia="zh-CN"/>
              </w:rPr>
              <w:t>类似（市政）</w:t>
            </w:r>
            <w:r>
              <w:rPr>
                <w:rFonts w:hint="eastAsia" w:ascii="宋体" w:hAnsi="宋体" w:eastAsia="宋体" w:cs="宋体"/>
                <w:color w:val="auto"/>
                <w:sz w:val="21"/>
                <w:szCs w:val="21"/>
                <w:highlight w:val="none"/>
              </w:rPr>
              <w:t>项目的，得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分（以提供的完整合同复印件为准）。</w:t>
            </w:r>
          </w:p>
        </w:tc>
        <w:tc>
          <w:tcPr>
            <w:tcW w:w="661" w:type="pct"/>
            <w:noWrap w:val="0"/>
            <w:vAlign w:val="center"/>
          </w:tcPr>
          <w:p w14:paraId="1E4160AB">
            <w:pPr>
              <w:adjustRightInd w:val="0"/>
              <w:snapToGrid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r>
      <w:tr w14:paraId="2798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14:paraId="452FF341">
            <w:pPr>
              <w:adjustRightInd w:val="0"/>
              <w:snapToGrid w:val="0"/>
              <w:spacing w:line="360" w:lineRule="auto"/>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3837" w:type="pct"/>
            <w:noWrap w:val="0"/>
            <w:vAlign w:val="top"/>
          </w:tcPr>
          <w:p w14:paraId="330F64E0">
            <w:pPr>
              <w:numPr>
                <w:ilvl w:val="0"/>
                <w:numId w:val="0"/>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【主观分】小型零星工程施工方案的合理性及针对性情况：</w:t>
            </w:r>
          </w:p>
          <w:p w14:paraId="4D2A7AB0">
            <w:pPr>
              <w:numPr>
                <w:ilvl w:val="0"/>
                <w:numId w:val="0"/>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（1）本项目的重点难点分析；（评分范围：3,2,1,0）</w:t>
            </w:r>
          </w:p>
          <w:p w14:paraId="6E2C6EB8">
            <w:pPr>
              <w:numPr>
                <w:ilvl w:val="0"/>
                <w:numId w:val="0"/>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（2）对于本项目的特点及施工难点重点提出相应专项施工方案的科学合理性及针对性；（评分范围：3,2,1,0）</w:t>
            </w:r>
          </w:p>
          <w:p w14:paraId="750E5118">
            <w:pPr>
              <w:numPr>
                <w:ilvl w:val="0"/>
                <w:numId w:val="0"/>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（3）每个专项</w:t>
            </w:r>
            <w:r>
              <w:rPr>
                <w:rFonts w:hint="eastAsia" w:ascii="宋体" w:hAnsi="宋体"/>
                <w:color w:val="auto"/>
                <w:sz w:val="21"/>
                <w:szCs w:val="21"/>
                <w:highlight w:val="none"/>
                <w:lang w:eastAsia="zh-CN"/>
              </w:rPr>
              <w:t>（</w:t>
            </w:r>
            <w:r>
              <w:rPr>
                <w:rFonts w:hint="eastAsia" w:ascii="微软雅黑" w:hAnsi="微软雅黑" w:eastAsia="微软雅黑" w:cs="微软雅黑"/>
                <w:color w:val="auto"/>
                <w:sz w:val="21"/>
                <w:szCs w:val="21"/>
                <w:highlight w:val="none"/>
                <w:lang w:eastAsia="zh-CN"/>
              </w:rPr>
              <w:t>①</w:t>
            </w:r>
            <w:r>
              <w:rPr>
                <w:rFonts w:hint="eastAsia" w:ascii="宋体" w:hAnsi="宋体"/>
                <w:color w:val="auto"/>
                <w:sz w:val="21"/>
                <w:szCs w:val="21"/>
                <w:highlight w:val="none"/>
              </w:rPr>
              <w:t>墙体分隔、</w:t>
            </w:r>
            <w:r>
              <w:rPr>
                <w:rFonts w:hint="eastAsia" w:ascii="微软雅黑" w:hAnsi="微软雅黑" w:eastAsia="微软雅黑" w:cs="微软雅黑"/>
                <w:color w:val="auto"/>
                <w:sz w:val="21"/>
                <w:szCs w:val="21"/>
                <w:highlight w:val="none"/>
              </w:rPr>
              <w:t>②</w:t>
            </w:r>
            <w:r>
              <w:rPr>
                <w:rFonts w:hint="eastAsia" w:ascii="宋体" w:hAnsi="宋体"/>
                <w:color w:val="auto"/>
                <w:sz w:val="21"/>
                <w:szCs w:val="21"/>
                <w:highlight w:val="none"/>
              </w:rPr>
              <w:t>水电安装、</w:t>
            </w:r>
            <w:r>
              <w:rPr>
                <w:rFonts w:hint="eastAsia" w:ascii="微软雅黑" w:hAnsi="微软雅黑" w:eastAsia="微软雅黑" w:cs="微软雅黑"/>
                <w:color w:val="auto"/>
                <w:sz w:val="21"/>
                <w:szCs w:val="21"/>
                <w:highlight w:val="none"/>
              </w:rPr>
              <w:t>③</w:t>
            </w:r>
            <w:r>
              <w:rPr>
                <w:rFonts w:hint="eastAsia" w:ascii="宋体" w:hAnsi="宋体"/>
                <w:color w:val="auto"/>
                <w:sz w:val="21"/>
                <w:szCs w:val="21"/>
                <w:highlight w:val="none"/>
              </w:rPr>
              <w:t>补漏、</w:t>
            </w:r>
            <w:r>
              <w:rPr>
                <w:rFonts w:hint="eastAsia" w:ascii="微软雅黑" w:hAnsi="微软雅黑" w:eastAsia="微软雅黑" w:cs="微软雅黑"/>
                <w:color w:val="auto"/>
                <w:sz w:val="21"/>
                <w:szCs w:val="21"/>
                <w:highlight w:val="none"/>
              </w:rPr>
              <w:t>④</w:t>
            </w:r>
            <w:r>
              <w:rPr>
                <w:rFonts w:hint="eastAsia" w:ascii="宋体" w:hAnsi="宋体"/>
                <w:color w:val="auto"/>
                <w:sz w:val="21"/>
                <w:szCs w:val="21"/>
                <w:highlight w:val="none"/>
              </w:rPr>
              <w:t>装修、</w:t>
            </w:r>
            <w:r>
              <w:rPr>
                <w:rFonts w:hint="eastAsia" w:ascii="微软雅黑" w:hAnsi="微软雅黑" w:eastAsia="微软雅黑" w:cs="微软雅黑"/>
                <w:color w:val="auto"/>
                <w:sz w:val="21"/>
                <w:szCs w:val="21"/>
                <w:highlight w:val="none"/>
              </w:rPr>
              <w:t>⑤</w:t>
            </w:r>
            <w:r>
              <w:rPr>
                <w:rFonts w:hint="eastAsia" w:ascii="宋体" w:hAnsi="宋体"/>
                <w:color w:val="auto"/>
                <w:sz w:val="21"/>
                <w:szCs w:val="21"/>
                <w:highlight w:val="none"/>
              </w:rPr>
              <w:t>弱电、</w:t>
            </w:r>
            <w:r>
              <w:rPr>
                <w:rFonts w:hint="eastAsia" w:ascii="微软雅黑" w:hAnsi="微软雅黑" w:eastAsia="微软雅黑" w:cs="微软雅黑"/>
                <w:color w:val="auto"/>
                <w:sz w:val="21"/>
                <w:szCs w:val="21"/>
                <w:highlight w:val="none"/>
              </w:rPr>
              <w:t>⑥</w:t>
            </w:r>
            <w:r>
              <w:rPr>
                <w:rFonts w:hint="eastAsia" w:ascii="宋体" w:hAnsi="宋体"/>
                <w:color w:val="auto"/>
                <w:sz w:val="21"/>
                <w:szCs w:val="21"/>
                <w:highlight w:val="none"/>
              </w:rPr>
              <w:t>安防、</w:t>
            </w:r>
            <w:r>
              <w:rPr>
                <w:rFonts w:hint="eastAsia" w:ascii="微软雅黑" w:hAnsi="微软雅黑" w:eastAsia="微软雅黑" w:cs="微软雅黑"/>
                <w:color w:val="auto"/>
                <w:sz w:val="21"/>
                <w:szCs w:val="21"/>
                <w:highlight w:val="none"/>
              </w:rPr>
              <w:t>⑦</w:t>
            </w:r>
            <w:r>
              <w:rPr>
                <w:rFonts w:hint="eastAsia" w:ascii="宋体" w:hAnsi="宋体"/>
                <w:color w:val="auto"/>
                <w:sz w:val="21"/>
                <w:szCs w:val="21"/>
                <w:highlight w:val="none"/>
              </w:rPr>
              <w:t>涂料修补、</w:t>
            </w:r>
            <w:r>
              <w:rPr>
                <w:rFonts w:hint="eastAsia" w:ascii="微软雅黑" w:hAnsi="微软雅黑" w:eastAsia="微软雅黑" w:cs="微软雅黑"/>
                <w:color w:val="auto"/>
                <w:sz w:val="21"/>
                <w:szCs w:val="21"/>
                <w:highlight w:val="none"/>
              </w:rPr>
              <w:t>⑧</w:t>
            </w:r>
            <w:r>
              <w:rPr>
                <w:rFonts w:hint="eastAsia" w:ascii="宋体" w:hAnsi="宋体"/>
                <w:color w:val="auto"/>
                <w:sz w:val="21"/>
                <w:szCs w:val="21"/>
                <w:highlight w:val="none"/>
              </w:rPr>
              <w:t>门窗维修、</w:t>
            </w:r>
            <w:r>
              <w:rPr>
                <w:rFonts w:hint="eastAsia" w:ascii="宋体" w:hAnsi="宋体"/>
                <w:color w:val="auto"/>
                <w:sz w:val="21"/>
                <w:szCs w:val="21"/>
                <w:highlight w:val="none"/>
                <w:lang w:val="en-US" w:eastAsia="zh-CN"/>
              </w:rPr>
              <w:t>⑨</w:t>
            </w:r>
            <w:r>
              <w:rPr>
                <w:rFonts w:hint="eastAsia" w:ascii="宋体" w:hAnsi="宋体"/>
                <w:color w:val="auto"/>
                <w:sz w:val="21"/>
                <w:szCs w:val="21"/>
                <w:highlight w:val="none"/>
              </w:rPr>
              <w:t>市政修缮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施工方案的完整性、科学合理性及针对性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每个0-2分</w:t>
            </w:r>
            <w:r>
              <w:rPr>
                <w:rFonts w:hint="eastAsia" w:ascii="宋体" w:hAnsi="宋体"/>
                <w:color w:val="auto"/>
                <w:sz w:val="21"/>
                <w:szCs w:val="21"/>
                <w:highlight w:val="none"/>
              </w:rPr>
              <w:t>（评分范围：2,1,0）</w:t>
            </w:r>
          </w:p>
        </w:tc>
        <w:tc>
          <w:tcPr>
            <w:tcW w:w="661" w:type="pct"/>
            <w:noWrap w:val="0"/>
            <w:vAlign w:val="center"/>
          </w:tcPr>
          <w:p w14:paraId="43B5A92D">
            <w:pPr>
              <w:adjustRightInd w:val="0"/>
              <w:snapToGrid w:val="0"/>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24</w:t>
            </w:r>
          </w:p>
        </w:tc>
      </w:tr>
      <w:tr w14:paraId="0A99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14:paraId="6A29CB97">
            <w:pPr>
              <w:adjustRightInd w:val="0"/>
              <w:snapToGrid w:val="0"/>
              <w:spacing w:line="360" w:lineRule="auto"/>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3837" w:type="pct"/>
            <w:noWrap w:val="0"/>
            <w:vAlign w:val="top"/>
          </w:tcPr>
          <w:p w14:paraId="264B0E59">
            <w:pPr>
              <w:adjustRightInd w:val="0"/>
              <w:snapToGrid w:val="0"/>
              <w:spacing w:line="360" w:lineRule="auto"/>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rPr>
              <w:t>【主观分】</w:t>
            </w:r>
            <w:r>
              <w:rPr>
                <w:rFonts w:hint="eastAsia" w:ascii="宋体" w:hAnsi="宋体"/>
                <w:color w:val="auto"/>
                <w:sz w:val="21"/>
                <w:szCs w:val="21"/>
                <w:highlight w:val="none"/>
                <w:lang w:val="en-US" w:eastAsia="zh-CN"/>
              </w:rPr>
              <w:t>管理措施：</w:t>
            </w:r>
          </w:p>
          <w:p w14:paraId="0456AD63">
            <w:pPr>
              <w:numPr>
                <w:ilvl w:val="0"/>
                <w:numId w:val="4"/>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建筑安装施工</w:t>
            </w:r>
            <w:r>
              <w:rPr>
                <w:rFonts w:hint="eastAsia" w:ascii="宋体" w:hAnsi="宋体"/>
                <w:color w:val="auto"/>
                <w:sz w:val="21"/>
                <w:szCs w:val="21"/>
                <w:highlight w:val="none"/>
              </w:rPr>
              <w:t>各阶段质量保证措施的全面性及针对性.（评分范围：3,2,1,0）</w:t>
            </w:r>
          </w:p>
          <w:p w14:paraId="793608D4">
            <w:pPr>
              <w:numPr>
                <w:ilvl w:val="0"/>
                <w:numId w:val="4"/>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针对零星工程工期承诺的进度计划实施方案进行评审。（评分范围：3,2,1,0）</w:t>
            </w:r>
          </w:p>
          <w:p w14:paraId="5DD6734D">
            <w:pPr>
              <w:numPr>
                <w:ilvl w:val="0"/>
                <w:numId w:val="4"/>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针对校园特殊环境下施工措施的合理性及针对性情况。（评分范围：3,2,1,0）</w:t>
            </w:r>
          </w:p>
          <w:p w14:paraId="7A6C30E5">
            <w:pPr>
              <w:numPr>
                <w:ilvl w:val="0"/>
                <w:numId w:val="4"/>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安全文明施工及市政、市容、环保、消防等措施。（评分范围：3,2,1,0）</w:t>
            </w:r>
          </w:p>
        </w:tc>
        <w:tc>
          <w:tcPr>
            <w:tcW w:w="661" w:type="pct"/>
            <w:noWrap w:val="0"/>
            <w:vAlign w:val="center"/>
          </w:tcPr>
          <w:p w14:paraId="4C29EE1E">
            <w:pPr>
              <w:adjustRightInd w:val="0"/>
              <w:snapToGrid w:val="0"/>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12</w:t>
            </w:r>
          </w:p>
        </w:tc>
      </w:tr>
      <w:tr w14:paraId="4BA8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14:paraId="1BC00AD4">
            <w:pPr>
              <w:adjustRightInd w:val="0"/>
              <w:snapToGrid w:val="0"/>
              <w:spacing w:line="360" w:lineRule="auto"/>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3837" w:type="pct"/>
            <w:noWrap w:val="0"/>
            <w:vAlign w:val="top"/>
          </w:tcPr>
          <w:p w14:paraId="79501759">
            <w:pPr>
              <w:adjustRightInd w:val="0"/>
              <w:snapToGrid w:val="0"/>
              <w:spacing w:line="360" w:lineRule="auto"/>
              <w:jc w:val="left"/>
              <w:rPr>
                <w:rFonts w:hint="eastAsia" w:ascii="宋体" w:hAnsi="宋体"/>
                <w:color w:val="auto"/>
                <w:sz w:val="21"/>
                <w:szCs w:val="21"/>
                <w:highlight w:val="none"/>
                <w:lang w:eastAsia="zh-CN"/>
              </w:rPr>
            </w:pPr>
            <w:r>
              <w:rPr>
                <w:rFonts w:hint="eastAsia" w:ascii="宋体" w:hAnsi="宋体"/>
                <w:color w:val="auto"/>
                <w:sz w:val="21"/>
                <w:szCs w:val="21"/>
                <w:highlight w:val="none"/>
              </w:rPr>
              <w:t>【主观分】组织方案</w:t>
            </w:r>
            <w:r>
              <w:rPr>
                <w:rFonts w:hint="eastAsia" w:ascii="宋体" w:hAnsi="宋体"/>
                <w:color w:val="auto"/>
                <w:sz w:val="21"/>
                <w:szCs w:val="21"/>
                <w:highlight w:val="none"/>
                <w:lang w:eastAsia="zh-CN"/>
              </w:rPr>
              <w:t>：</w:t>
            </w:r>
          </w:p>
          <w:p w14:paraId="77A966A0">
            <w:pPr>
              <w:numPr>
                <w:ilvl w:val="0"/>
                <w:numId w:val="5"/>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项目组织方案（组织结构及具体分工等情况）。（评分范围：2,1,0）</w:t>
            </w:r>
          </w:p>
          <w:p w14:paraId="43C5847B">
            <w:pPr>
              <w:numPr>
                <w:ilvl w:val="0"/>
                <w:numId w:val="5"/>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服从采购人协调和统一管理及配合措施及相关服务承诺情况。（评分范围：</w:t>
            </w:r>
            <w:r>
              <w:rPr>
                <w:rFonts w:hint="eastAsia" w:ascii="宋体" w:hAnsi="宋体" w:eastAsia="宋体"/>
                <w:color w:val="auto"/>
                <w:sz w:val="21"/>
                <w:szCs w:val="21"/>
                <w:highlight w:val="none"/>
              </w:rPr>
              <w:t>3,2,1,0）</w:t>
            </w:r>
          </w:p>
          <w:p w14:paraId="43F673CF">
            <w:pPr>
              <w:numPr>
                <w:ilvl w:val="0"/>
                <w:numId w:val="5"/>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工程质量保证期、维护响应时间、服务方式、特别承诺。（评分范围：</w:t>
            </w:r>
            <w:r>
              <w:rPr>
                <w:rFonts w:hint="eastAsia" w:ascii="宋体" w:hAnsi="宋体" w:eastAsia="宋体"/>
                <w:color w:val="auto"/>
                <w:sz w:val="21"/>
                <w:szCs w:val="21"/>
                <w:highlight w:val="none"/>
              </w:rPr>
              <w:t>3,2,1,0）</w:t>
            </w:r>
          </w:p>
        </w:tc>
        <w:tc>
          <w:tcPr>
            <w:tcW w:w="661" w:type="pct"/>
            <w:noWrap w:val="0"/>
            <w:vAlign w:val="center"/>
          </w:tcPr>
          <w:p w14:paraId="234338DD">
            <w:pPr>
              <w:adjustRightInd w:val="0"/>
              <w:snapToGrid w:val="0"/>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p>
        </w:tc>
      </w:tr>
      <w:tr w14:paraId="291D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shd w:val="clear" w:color="auto" w:fill="auto"/>
            <w:noWrap w:val="0"/>
            <w:vAlign w:val="center"/>
          </w:tcPr>
          <w:p w14:paraId="5A04E5A6">
            <w:pPr>
              <w:adjustRightInd w:val="0"/>
              <w:snapToGrid w:val="0"/>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6</w:t>
            </w:r>
          </w:p>
        </w:tc>
        <w:tc>
          <w:tcPr>
            <w:tcW w:w="3837" w:type="pct"/>
            <w:noWrap w:val="0"/>
            <w:vAlign w:val="top"/>
          </w:tcPr>
          <w:p w14:paraId="49DC7C5F">
            <w:pPr>
              <w:numPr>
                <w:ilvl w:val="0"/>
                <w:numId w:val="0"/>
              </w:numPr>
              <w:adjustRightInd w:val="0"/>
              <w:snapToGrid w:val="0"/>
              <w:spacing w:line="360" w:lineRule="auto"/>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【主观分】</w:t>
            </w:r>
            <w:r>
              <w:rPr>
                <w:rFonts w:hint="eastAsia" w:ascii="宋体" w:hAnsi="宋体"/>
                <w:color w:val="auto"/>
                <w:sz w:val="21"/>
                <w:szCs w:val="21"/>
                <w:highlight w:val="none"/>
                <w:lang w:val="en-US" w:eastAsia="zh-CN"/>
              </w:rPr>
              <w:t>设备和材料：</w:t>
            </w:r>
          </w:p>
          <w:p w14:paraId="3ADA884D">
            <w:pPr>
              <w:numPr>
                <w:ilvl w:val="0"/>
                <w:numId w:val="6"/>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拟投入的主要机具设备情况</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先进、数量多、品种丰富</w:t>
            </w:r>
            <w:r>
              <w:rPr>
                <w:rFonts w:hint="eastAsia" w:ascii="宋体" w:hAnsi="宋体"/>
                <w:color w:val="auto"/>
                <w:sz w:val="21"/>
                <w:szCs w:val="21"/>
                <w:highlight w:val="none"/>
              </w:rPr>
              <w:t>。（评分范围：</w:t>
            </w:r>
            <w:r>
              <w:rPr>
                <w:rFonts w:hint="eastAsia" w:ascii="宋体" w:hAnsi="宋体" w:eastAsia="宋体"/>
                <w:color w:val="auto"/>
                <w:sz w:val="21"/>
                <w:szCs w:val="21"/>
                <w:highlight w:val="none"/>
              </w:rPr>
              <w:t>4,3,2,1,0）</w:t>
            </w:r>
          </w:p>
          <w:p w14:paraId="7E62B03A">
            <w:pPr>
              <w:numPr>
                <w:ilvl w:val="0"/>
                <w:numId w:val="6"/>
              </w:numPr>
              <w:adjustRightInd w:val="0"/>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施工用材料的选型</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质量情况，进货渠道可靠、产品质量好，提供拟采购的材料品牌、规格等</w:t>
            </w:r>
            <w:r>
              <w:rPr>
                <w:rFonts w:hint="eastAsia" w:ascii="宋体" w:hAnsi="宋体"/>
                <w:color w:val="auto"/>
                <w:sz w:val="21"/>
                <w:szCs w:val="21"/>
                <w:highlight w:val="none"/>
              </w:rPr>
              <w:t>。</w:t>
            </w:r>
            <w:r>
              <w:rPr>
                <w:rFonts w:hint="eastAsia" w:ascii="宋体" w:hAnsi="宋体" w:eastAsia="宋体"/>
                <w:color w:val="auto"/>
                <w:sz w:val="21"/>
                <w:szCs w:val="21"/>
                <w:highlight w:val="none"/>
              </w:rPr>
              <w:t>（评分范围：4,3,2,1,0）</w:t>
            </w:r>
          </w:p>
        </w:tc>
        <w:tc>
          <w:tcPr>
            <w:tcW w:w="661" w:type="pct"/>
            <w:noWrap w:val="0"/>
            <w:vAlign w:val="center"/>
          </w:tcPr>
          <w:p w14:paraId="233CAE49">
            <w:pPr>
              <w:adjustRightInd w:val="0"/>
              <w:snapToGrid w:val="0"/>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p>
        </w:tc>
      </w:tr>
      <w:tr w14:paraId="00AC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shd w:val="clear" w:color="auto" w:fill="auto"/>
            <w:noWrap w:val="0"/>
            <w:vAlign w:val="center"/>
          </w:tcPr>
          <w:p w14:paraId="0E768F31">
            <w:pPr>
              <w:adjustRightInd w:val="0"/>
              <w:snapToGrid w:val="0"/>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7</w:t>
            </w:r>
          </w:p>
        </w:tc>
        <w:tc>
          <w:tcPr>
            <w:tcW w:w="3837" w:type="pct"/>
            <w:noWrap w:val="0"/>
            <w:vAlign w:val="center"/>
          </w:tcPr>
          <w:p w14:paraId="02FFFE8A">
            <w:pPr>
              <w:adjustRightInd w:val="0"/>
              <w:snapToGrid w:val="0"/>
              <w:spacing w:line="360" w:lineRule="auto"/>
              <w:jc w:val="left"/>
              <w:rPr>
                <w:rFonts w:hint="eastAsia" w:ascii="宋体" w:hAnsi="宋体"/>
                <w:color w:val="auto"/>
                <w:sz w:val="21"/>
                <w:szCs w:val="21"/>
                <w:highlight w:val="none"/>
              </w:rPr>
            </w:pPr>
            <w:r>
              <w:rPr>
                <w:rFonts w:hAnsi="宋体" w:eastAsia="宋体"/>
                <w:color w:val="auto"/>
                <w:sz w:val="21"/>
                <w:szCs w:val="21"/>
                <w:highlight w:val="none"/>
              </w:rPr>
              <w:t>【主观分】</w:t>
            </w:r>
            <w:r>
              <w:rPr>
                <w:rFonts w:hint="eastAsia" w:ascii="宋体" w:hAnsi="宋体" w:eastAsia="宋体"/>
                <w:color w:val="auto"/>
                <w:sz w:val="21"/>
                <w:szCs w:val="21"/>
                <w:highlight w:val="none"/>
              </w:rPr>
              <w:t>应急到位情况</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针对各类突发情况有充分的预判及解决方案的切实性，可行性，科学性（评分范围：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4,3,2,1,0）。</w:t>
            </w:r>
          </w:p>
        </w:tc>
        <w:tc>
          <w:tcPr>
            <w:tcW w:w="661" w:type="pct"/>
            <w:noWrap w:val="0"/>
            <w:vAlign w:val="center"/>
          </w:tcPr>
          <w:p w14:paraId="56A20360">
            <w:pPr>
              <w:adjustRightInd w:val="0"/>
              <w:snapToGrid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b/>
                <w:bCs/>
                <w:color w:val="auto"/>
                <w:sz w:val="21"/>
                <w:szCs w:val="21"/>
                <w:highlight w:val="none"/>
                <w:lang w:val="en-US" w:eastAsia="zh-CN"/>
              </w:rPr>
              <w:t>5</w:t>
            </w:r>
          </w:p>
        </w:tc>
      </w:tr>
      <w:tr w14:paraId="16D6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noWrap w:val="0"/>
            <w:vAlign w:val="center"/>
          </w:tcPr>
          <w:p w14:paraId="4503F180">
            <w:pPr>
              <w:adjustRightInd w:val="0"/>
              <w:snapToGrid w:val="0"/>
              <w:spacing w:line="360" w:lineRule="auto"/>
              <w:ind w:right="-21" w:rightChars="-10"/>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b/>
                <w:color w:val="auto"/>
                <w:sz w:val="21"/>
                <w:szCs w:val="21"/>
                <w:highlight w:val="none"/>
                <w:lang w:val="en-US" w:eastAsia="zh-CN"/>
              </w:rPr>
              <w:t>8</w:t>
            </w:r>
          </w:p>
        </w:tc>
        <w:tc>
          <w:tcPr>
            <w:tcW w:w="3837" w:type="pct"/>
            <w:noWrap w:val="0"/>
            <w:vAlign w:val="top"/>
          </w:tcPr>
          <w:p w14:paraId="354B9CA5">
            <w:pPr>
              <w:adjustRightInd w:val="0"/>
              <w:snapToGrid w:val="0"/>
              <w:spacing w:line="360" w:lineRule="auto"/>
              <w:jc w:val="left"/>
              <w:rPr>
                <w:rFonts w:hint="eastAsia" w:ascii="宋体" w:hAnsi="宋体" w:eastAsia="宋体" w:cs="宋体"/>
                <w:color w:val="auto"/>
                <w:sz w:val="21"/>
                <w:szCs w:val="21"/>
                <w:highlight w:val="none"/>
              </w:rPr>
            </w:pPr>
            <w:r>
              <w:rPr>
                <w:rFonts w:hAnsi="宋体" w:eastAsia="宋体"/>
                <w:color w:val="auto"/>
                <w:sz w:val="21"/>
                <w:szCs w:val="21"/>
                <w:highlight w:val="none"/>
              </w:rPr>
              <w:t>【客观分】</w:t>
            </w:r>
            <w:r>
              <w:rPr>
                <w:rFonts w:hint="eastAsia" w:hAnsi="宋体" w:eastAsia="宋体"/>
                <w:color w:val="auto"/>
                <w:sz w:val="21"/>
                <w:szCs w:val="21"/>
                <w:highlight w:val="none"/>
              </w:rPr>
              <w:t>拟派项目负责人具有</w:t>
            </w:r>
            <w:r>
              <w:rPr>
                <w:rFonts w:hint="eastAsia" w:hAnsi="宋体"/>
                <w:color w:val="auto"/>
                <w:sz w:val="21"/>
                <w:szCs w:val="21"/>
                <w:highlight w:val="none"/>
                <w:lang w:val="en-US" w:eastAsia="zh-CN"/>
              </w:rPr>
              <w:t>工程</w:t>
            </w:r>
            <w:r>
              <w:rPr>
                <w:rFonts w:hint="eastAsia" w:hAnsi="宋体" w:eastAsia="宋体"/>
                <w:color w:val="auto"/>
                <w:sz w:val="21"/>
                <w:szCs w:val="21"/>
                <w:highlight w:val="none"/>
              </w:rPr>
              <w:t>类</w:t>
            </w:r>
            <w:r>
              <w:rPr>
                <w:rFonts w:hint="eastAsia" w:hAnsi="宋体" w:eastAsia="宋体"/>
                <w:color w:val="auto"/>
                <w:sz w:val="21"/>
                <w:szCs w:val="21"/>
                <w:highlight w:val="none"/>
                <w:lang w:val="en-US" w:eastAsia="zh-CN"/>
              </w:rPr>
              <w:t>高级工程师的，得</w:t>
            </w:r>
            <w:r>
              <w:rPr>
                <w:rFonts w:hint="eastAsia" w:hAnsi="宋体"/>
                <w:color w:val="auto"/>
                <w:sz w:val="21"/>
                <w:szCs w:val="21"/>
                <w:highlight w:val="none"/>
                <w:lang w:val="en-US" w:eastAsia="zh-CN"/>
              </w:rPr>
              <w:t>2</w:t>
            </w:r>
            <w:r>
              <w:rPr>
                <w:rFonts w:hint="eastAsia" w:hAnsi="宋体" w:eastAsia="宋体"/>
                <w:color w:val="auto"/>
                <w:sz w:val="21"/>
                <w:szCs w:val="21"/>
                <w:highlight w:val="none"/>
                <w:lang w:val="en-US" w:eastAsia="zh-CN"/>
              </w:rPr>
              <w:t>分</w:t>
            </w:r>
            <w:r>
              <w:rPr>
                <w:rFonts w:hint="eastAsia" w:hAnsi="宋体"/>
                <w:color w:val="auto"/>
                <w:sz w:val="21"/>
                <w:szCs w:val="21"/>
                <w:highlight w:val="none"/>
                <w:lang w:val="en-US" w:eastAsia="zh-CN"/>
              </w:rPr>
              <w:t>，具有二级建造师的得2分。本项最高得4分</w:t>
            </w:r>
            <w:r>
              <w:rPr>
                <w:rFonts w:hint="eastAsia" w:hAnsi="宋体" w:eastAsia="宋体"/>
                <w:color w:val="auto"/>
                <w:sz w:val="21"/>
                <w:szCs w:val="21"/>
                <w:highlight w:val="none"/>
              </w:rPr>
              <w:t>。</w:t>
            </w:r>
            <w:r>
              <w:rPr>
                <w:rFonts w:hint="eastAsia" w:ascii="宋体" w:hAnsi="宋体" w:eastAsia="宋体" w:cs="宋体"/>
                <w:color w:val="auto"/>
                <w:sz w:val="21"/>
                <w:szCs w:val="21"/>
                <w:highlight w:val="none"/>
              </w:rPr>
              <w:t>（证明材料：</w:t>
            </w:r>
            <w:r>
              <w:rPr>
                <w:rFonts w:hint="eastAsia" w:hAnsi="宋体"/>
                <w:color w:val="auto"/>
                <w:sz w:val="21"/>
                <w:szCs w:val="21"/>
                <w:highlight w:val="none"/>
                <w:lang w:val="en-US" w:eastAsia="zh-CN"/>
              </w:rPr>
              <w:t>提供</w:t>
            </w:r>
            <w:r>
              <w:rPr>
                <w:rFonts w:hint="eastAsia" w:ascii="宋体" w:hAnsi="宋体" w:eastAsia="宋体" w:cs="宋体"/>
                <w:color w:val="auto"/>
                <w:sz w:val="21"/>
                <w:szCs w:val="21"/>
                <w:highlight w:val="none"/>
              </w:rPr>
              <w:t>职称证书复印件</w:t>
            </w:r>
            <w:r>
              <w:rPr>
                <w:rFonts w:hint="eastAsia" w:hAnsi="宋体"/>
                <w:color w:val="auto"/>
                <w:sz w:val="21"/>
                <w:szCs w:val="21"/>
                <w:highlight w:val="none"/>
                <w:lang w:val="en-US" w:eastAsia="zh-CN"/>
              </w:rPr>
              <w:t>及人员在本单位社保缴纳证明</w:t>
            </w:r>
            <w:r>
              <w:rPr>
                <w:rFonts w:hint="eastAsia" w:ascii="宋体" w:hAnsi="宋体" w:eastAsia="宋体" w:cs="宋体"/>
                <w:color w:val="auto"/>
                <w:sz w:val="21"/>
                <w:szCs w:val="21"/>
                <w:highlight w:val="none"/>
              </w:rPr>
              <w:t>）</w:t>
            </w:r>
          </w:p>
        </w:tc>
        <w:tc>
          <w:tcPr>
            <w:tcW w:w="661" w:type="pct"/>
            <w:noWrap w:val="0"/>
            <w:vAlign w:val="center"/>
          </w:tcPr>
          <w:p w14:paraId="3E4DDD49">
            <w:pPr>
              <w:adjustRightInd w:val="0"/>
              <w:snapToGrid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4</w:t>
            </w:r>
          </w:p>
        </w:tc>
      </w:tr>
      <w:tr w14:paraId="6F02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noWrap w:val="0"/>
            <w:vAlign w:val="center"/>
          </w:tcPr>
          <w:p w14:paraId="375882C9">
            <w:pPr>
              <w:adjustRightInd w:val="0"/>
              <w:snapToGrid w:val="0"/>
              <w:spacing w:line="360" w:lineRule="auto"/>
              <w:ind w:right="-21" w:rightChars="-10"/>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b/>
                <w:color w:val="auto"/>
                <w:sz w:val="21"/>
                <w:szCs w:val="21"/>
                <w:highlight w:val="none"/>
                <w:lang w:val="en-US" w:eastAsia="zh-CN"/>
              </w:rPr>
              <w:t>9</w:t>
            </w:r>
          </w:p>
        </w:tc>
        <w:tc>
          <w:tcPr>
            <w:tcW w:w="3837" w:type="pct"/>
            <w:noWrap w:val="0"/>
            <w:vAlign w:val="center"/>
          </w:tcPr>
          <w:p w14:paraId="6FA2178A">
            <w:pPr>
              <w:adjustRightInd w:val="0"/>
              <w:snapToGrid w:val="0"/>
              <w:spacing w:line="360" w:lineRule="auto"/>
              <w:jc w:val="left"/>
              <w:rPr>
                <w:rFonts w:hint="default" w:hAnsi="宋体" w:eastAsia="宋体"/>
                <w:color w:val="auto"/>
                <w:sz w:val="21"/>
                <w:szCs w:val="21"/>
                <w:highlight w:val="none"/>
                <w:lang w:val="en-US" w:eastAsia="zh-CN"/>
              </w:rPr>
            </w:pPr>
            <w:r>
              <w:rPr>
                <w:rFonts w:hAnsi="宋体" w:eastAsia="宋体"/>
                <w:color w:val="auto"/>
                <w:sz w:val="21"/>
                <w:szCs w:val="21"/>
                <w:highlight w:val="none"/>
              </w:rPr>
              <w:t>【客观分】</w:t>
            </w:r>
            <w:r>
              <w:rPr>
                <w:rFonts w:hint="eastAsia" w:hAnsi="宋体"/>
                <w:color w:val="auto"/>
                <w:sz w:val="21"/>
                <w:szCs w:val="21"/>
                <w:highlight w:val="none"/>
                <w:lang w:val="en-US" w:eastAsia="zh-CN"/>
              </w:rPr>
              <w:t>项目组成员（</w:t>
            </w:r>
            <w:r>
              <w:rPr>
                <w:rFonts w:hint="eastAsia" w:hAnsi="宋体" w:eastAsia="宋体"/>
                <w:color w:val="auto"/>
                <w:sz w:val="21"/>
                <w:szCs w:val="21"/>
                <w:highlight w:val="none"/>
              </w:rPr>
              <w:t>除项目负责人外</w:t>
            </w:r>
            <w:r>
              <w:rPr>
                <w:rFonts w:hint="eastAsia" w:hAnsi="宋体"/>
                <w:color w:val="auto"/>
                <w:sz w:val="21"/>
                <w:szCs w:val="21"/>
                <w:highlight w:val="none"/>
                <w:lang w:val="en-US" w:eastAsia="zh-CN"/>
              </w:rPr>
              <w:t>）具有施工员、质量员、安全员，每个类别得1分，最高得3分。（注：同一人的证书，不重复得分。提供相关证书及人员在本单位社保缴纳证明。）</w:t>
            </w:r>
          </w:p>
        </w:tc>
        <w:tc>
          <w:tcPr>
            <w:tcW w:w="661" w:type="pct"/>
            <w:noWrap w:val="0"/>
            <w:vAlign w:val="center"/>
          </w:tcPr>
          <w:p w14:paraId="77375A10">
            <w:pPr>
              <w:adjustRightInd w:val="0"/>
              <w:snapToGrid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r>
    </w:tbl>
    <w:p w14:paraId="1B9C0AD9">
      <w:pPr>
        <w:pStyle w:val="168"/>
        <w:rPr>
          <w:color w:val="auto"/>
          <w:highlight w:val="none"/>
        </w:rPr>
      </w:pPr>
    </w:p>
    <w:p w14:paraId="06B15953">
      <w:pPr>
        <w:pStyle w:val="29"/>
        <w:adjustRightInd w:val="0"/>
        <w:snapToGrid w:val="0"/>
        <w:spacing w:line="360" w:lineRule="auto"/>
        <w:ind w:firstLine="420" w:firstLineChars="200"/>
        <w:jc w:val="left"/>
        <w:rPr>
          <w:rFonts w:hAnsi="宋体" w:cs="Arial"/>
          <w:b/>
          <w:bCs/>
          <w:color w:val="auto"/>
          <w:sz w:val="21"/>
          <w:szCs w:val="21"/>
          <w:highlight w:val="none"/>
        </w:rPr>
      </w:pPr>
      <w:r>
        <w:rPr>
          <w:rFonts w:hint="eastAsia" w:ascii="宋体" w:hAnsi="宋体"/>
          <w:iCs/>
          <w:color w:val="auto"/>
          <w:sz w:val="21"/>
          <w:szCs w:val="21"/>
          <w:highlight w:val="none"/>
        </w:rPr>
        <w:t>备注：</w:t>
      </w:r>
      <w:r>
        <w:rPr>
          <w:rFonts w:hint="eastAsia" w:ascii="宋体" w:hAnsi="宋体" w:eastAsia="宋体"/>
          <w:iCs/>
          <w:color w:val="auto"/>
          <w:sz w:val="21"/>
          <w:szCs w:val="21"/>
          <w:highlight w:val="none"/>
        </w:rPr>
        <w:t>磋商小组</w:t>
      </w:r>
      <w:r>
        <w:rPr>
          <w:rFonts w:hint="eastAsia" w:ascii="宋体" w:hAnsi="宋体"/>
          <w:iCs/>
          <w:color w:val="auto"/>
          <w:sz w:val="21"/>
          <w:szCs w:val="21"/>
          <w:highlight w:val="none"/>
        </w:rPr>
        <w:t>在项目评审直至合同签订、履约期间，有权要求</w:t>
      </w:r>
      <w:r>
        <w:rPr>
          <w:rFonts w:hint="eastAsia" w:ascii="宋体" w:hAnsi="宋体" w:eastAsia="宋体"/>
          <w:iCs/>
          <w:color w:val="auto"/>
          <w:sz w:val="21"/>
          <w:szCs w:val="21"/>
          <w:highlight w:val="none"/>
        </w:rPr>
        <w:t>供应商</w:t>
      </w:r>
      <w:r>
        <w:rPr>
          <w:rFonts w:hint="eastAsia" w:ascii="宋体" w:hAnsi="宋体"/>
          <w:iCs/>
          <w:color w:val="auto"/>
          <w:sz w:val="21"/>
          <w:szCs w:val="21"/>
          <w:highlight w:val="none"/>
        </w:rPr>
        <w:t>出具投标文件中的主要业绩证明合同等其他原件，予以确认其的真实性和有效性，</w:t>
      </w:r>
      <w:r>
        <w:rPr>
          <w:rFonts w:hint="eastAsia" w:ascii="宋体" w:hAnsi="宋体"/>
          <w:b/>
          <w:iCs/>
          <w:color w:val="auto"/>
          <w:sz w:val="21"/>
          <w:szCs w:val="21"/>
          <w:highlight w:val="none"/>
        </w:rPr>
        <w:t>如出现与事实不符等情况，将根据有关规定以“提供虚假材料谋取中标”上报主管部门予以处理</w:t>
      </w:r>
      <w:r>
        <w:rPr>
          <w:rFonts w:hint="eastAsia" w:ascii="宋体" w:hAnsi="宋体"/>
          <w:iCs/>
          <w:color w:val="auto"/>
          <w:sz w:val="21"/>
          <w:szCs w:val="21"/>
          <w:highlight w:val="none"/>
        </w:rPr>
        <w:t>。</w:t>
      </w:r>
    </w:p>
    <w:p w14:paraId="5599096F">
      <w:pPr>
        <w:pStyle w:val="2"/>
        <w:snapToGrid w:val="0"/>
        <w:spacing w:line="360" w:lineRule="auto"/>
        <w:ind w:firstLine="480" w:firstLineChars="200"/>
        <w:rPr>
          <w:rFonts w:hint="eastAsia"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价格部分</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6907"/>
        <w:gridCol w:w="1309"/>
      </w:tblGrid>
      <w:tr w14:paraId="0733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6" w:type="dxa"/>
            <w:noWrap w:val="0"/>
            <w:vAlign w:val="center"/>
          </w:tcPr>
          <w:p w14:paraId="0C5C21F3">
            <w:pPr>
              <w:snapToGrid w:val="0"/>
              <w:ind w:right="-21" w:rightChars="-10"/>
              <w:jc w:val="center"/>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序号</w:t>
            </w:r>
          </w:p>
        </w:tc>
        <w:tc>
          <w:tcPr>
            <w:tcW w:w="6907" w:type="dxa"/>
            <w:noWrap w:val="0"/>
            <w:vAlign w:val="center"/>
          </w:tcPr>
          <w:p w14:paraId="2F1FA3CA">
            <w:pPr>
              <w:snapToGrid w:val="0"/>
              <w:ind w:right="-21" w:rightChars="-10"/>
              <w:jc w:val="center"/>
              <w:rPr>
                <w:rFonts w:hint="eastAsia" w:ascii="宋体" w:hAnsi="宋体" w:eastAsia="宋体" w:cs="宋体"/>
                <w:color w:val="auto"/>
                <w:sz w:val="24"/>
                <w:szCs w:val="32"/>
                <w:highlight w:val="none"/>
              </w:rPr>
            </w:pPr>
            <w:r>
              <w:rPr>
                <w:rFonts w:hint="eastAsia"/>
                <w:b/>
                <w:color w:val="auto"/>
                <w:sz w:val="24"/>
                <w:highlight w:val="none"/>
              </w:rPr>
              <w:t>评审因素</w:t>
            </w:r>
          </w:p>
        </w:tc>
        <w:tc>
          <w:tcPr>
            <w:tcW w:w="1309" w:type="dxa"/>
            <w:noWrap w:val="0"/>
            <w:vAlign w:val="center"/>
          </w:tcPr>
          <w:p w14:paraId="31C507FC">
            <w:pPr>
              <w:snapToGrid w:val="0"/>
              <w:ind w:right="-21" w:rightChars="-10"/>
              <w:jc w:val="center"/>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分值</w:t>
            </w:r>
          </w:p>
        </w:tc>
      </w:tr>
      <w:tr w14:paraId="4A16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6" w:type="dxa"/>
            <w:noWrap w:val="0"/>
            <w:vAlign w:val="center"/>
          </w:tcPr>
          <w:p w14:paraId="678420E4">
            <w:pPr>
              <w:snapToGrid w:val="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6907" w:type="dxa"/>
            <w:noWrap w:val="0"/>
            <w:vAlign w:val="center"/>
          </w:tcPr>
          <w:p w14:paraId="0A975042">
            <w:pPr>
              <w:adjustRightInd w:val="0"/>
              <w:snapToGrid w:val="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单个项目结算折扣（%）</w:t>
            </w:r>
          </w:p>
        </w:tc>
        <w:tc>
          <w:tcPr>
            <w:tcW w:w="1309" w:type="dxa"/>
            <w:noWrap w:val="0"/>
            <w:vAlign w:val="center"/>
          </w:tcPr>
          <w:p w14:paraId="0FD830C9">
            <w:pPr>
              <w:snapToGrid w:val="0"/>
              <w:ind w:right="-21" w:rightChars="-10"/>
              <w:jc w:val="center"/>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30</w:t>
            </w:r>
          </w:p>
        </w:tc>
      </w:tr>
    </w:tbl>
    <w:p w14:paraId="487DE481">
      <w:pPr>
        <w:shd w:val="clear" w:color="auto" w:fill="FFFFFF"/>
        <w:adjustRightInd w:val="0"/>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价格分采用低价优先法计算，即满足采购文件要求且报价最低的报价为评审基准价，其价格分为满分。其他供应商的价格分按照下列公式计算：</w:t>
      </w:r>
    </w:p>
    <w:p w14:paraId="4477A862">
      <w:pPr>
        <w:shd w:val="clear" w:color="auto" w:fill="FFFFFF"/>
        <w:adjustRightInd w:val="0"/>
        <w:snapToGrid w:val="0"/>
        <w:spacing w:line="360" w:lineRule="auto"/>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价格分=（评审基准价/报价）×分值 %×100</w:t>
      </w:r>
    </w:p>
    <w:p w14:paraId="08CFD69A">
      <w:pPr>
        <w:shd w:val="clear" w:color="auto" w:fill="FFFFFF"/>
        <w:adjustRightInd w:val="0"/>
        <w:snapToGrid w:val="0"/>
        <w:spacing w:line="360" w:lineRule="auto"/>
        <w:ind w:firstLine="422" w:firstLineChars="200"/>
        <w:rPr>
          <w:rFonts w:ascii="宋体" w:hAnsi="宋体" w:cs="Arial"/>
          <w:b/>
          <w:bCs/>
          <w:color w:val="auto"/>
          <w:highlight w:val="none"/>
          <w:lang w:val="zh-CN"/>
        </w:rPr>
      </w:pPr>
      <w:r>
        <w:rPr>
          <w:rFonts w:hint="eastAsia" w:ascii="宋体" w:hAnsi="宋体" w:cs="宋体"/>
          <w:b/>
          <w:bCs/>
          <w:color w:val="auto"/>
          <w:highlight w:val="none"/>
          <w:lang w:val="zh-CN"/>
        </w:rPr>
        <w:t>▲</w:t>
      </w:r>
      <w:r>
        <w:rPr>
          <w:rFonts w:hint="eastAsia" w:ascii="宋体" w:hAnsi="宋体" w:cs="Arial"/>
          <w:b/>
          <w:bCs/>
          <w:color w:val="auto"/>
          <w:highlight w:val="none"/>
          <w:lang w:val="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ascii="宋体" w:hAnsi="宋体" w:cs="Arial"/>
          <w:b/>
          <w:bCs/>
          <w:color w:val="auto"/>
          <w:kern w:val="0"/>
          <w:szCs w:val="21"/>
          <w:highlight w:val="none"/>
        </w:rPr>
        <w:t>供应商不能证明其报价合理性的</w:t>
      </w:r>
      <w:r>
        <w:rPr>
          <w:rFonts w:hint="eastAsia" w:ascii="宋体" w:hAnsi="宋体" w:cs="Arial"/>
          <w:b/>
          <w:bCs/>
          <w:color w:val="auto"/>
          <w:kern w:val="0"/>
          <w:szCs w:val="21"/>
          <w:highlight w:val="none"/>
        </w:rPr>
        <w:t>，磋商小组应将该响应文件作无效处理。</w:t>
      </w:r>
    </w:p>
    <w:p w14:paraId="12FC7E7D">
      <w:pPr>
        <w:adjustRightInd w:val="0"/>
        <w:snapToGrid w:val="0"/>
        <w:spacing w:line="360" w:lineRule="auto"/>
        <w:ind w:firstLine="422" w:firstLineChars="200"/>
        <w:jc w:val="left"/>
        <w:rPr>
          <w:rFonts w:ascii="宋体" w:hAnsi="宋体" w:cs="宋体"/>
          <w:color w:val="auto"/>
          <w:szCs w:val="21"/>
          <w:highlight w:val="none"/>
        </w:rPr>
      </w:pPr>
      <w:r>
        <w:rPr>
          <w:rFonts w:hint="eastAsia" w:ascii="宋体" w:hAnsi="宋体" w:cs="Arial"/>
          <w:b/>
          <w:bCs/>
          <w:color w:val="auto"/>
          <w:highlight w:val="none"/>
          <w:lang w:val="zh-CN"/>
        </w:rPr>
        <w:t>落实政府采购政策说明：</w:t>
      </w:r>
      <w:r>
        <w:rPr>
          <w:rFonts w:hint="eastAsia" w:ascii="宋体" w:hAnsi="宋体" w:cs="宋体"/>
          <w:b/>
          <w:bCs/>
          <w:color w:val="auto"/>
          <w:kern w:val="0"/>
          <w:szCs w:val="21"/>
          <w:highlight w:val="none"/>
          <w:lang w:bidi="ar"/>
        </w:rPr>
        <w:t>落实政府采购政策说明：本项目面向中小企业采购，不进行价格扣除或价格分加分。</w:t>
      </w:r>
    </w:p>
    <w:p w14:paraId="2BDEC360">
      <w:pPr>
        <w:adjustRightInd w:val="0"/>
        <w:snapToGrid w:val="0"/>
        <w:spacing w:line="360" w:lineRule="auto"/>
        <w:ind w:firstLine="420" w:firstLineChars="200"/>
        <w:rPr>
          <w:rFonts w:ascii="宋体" w:hAnsi="宋体" w:cs="Arial"/>
          <w:color w:val="auto"/>
          <w:kern w:val="0"/>
          <w:szCs w:val="21"/>
          <w:highlight w:val="none"/>
        </w:rPr>
      </w:pPr>
      <w:r>
        <w:rPr>
          <w:rFonts w:ascii="宋体" w:hAnsi="宋体" w:cs="Arial"/>
          <w:color w:val="auto"/>
          <w:kern w:val="0"/>
          <w:szCs w:val="21"/>
          <w:highlight w:val="none"/>
        </w:rPr>
        <w:t>此项由磋商小组集体核实后统一打分。</w:t>
      </w:r>
    </w:p>
    <w:p w14:paraId="506AB162">
      <w:pPr>
        <w:pStyle w:val="20"/>
        <w:rPr>
          <w:color w:val="auto"/>
          <w:highlight w:val="none"/>
        </w:rPr>
      </w:pPr>
    </w:p>
    <w:p w14:paraId="26EFF994">
      <w:pPr>
        <w:adjustRightInd w:val="0"/>
        <w:snapToGrid w:val="0"/>
        <w:spacing w:line="360" w:lineRule="auto"/>
        <w:ind w:firstLine="422" w:firstLineChars="200"/>
        <w:rPr>
          <w:rFonts w:ascii="宋体" w:hAnsi="宋体" w:cs="Arial"/>
          <w:b/>
          <w:bCs/>
          <w:color w:val="auto"/>
          <w:highlight w:val="none"/>
        </w:rPr>
      </w:pPr>
      <w:r>
        <w:rPr>
          <w:rFonts w:hint="eastAsia" w:ascii="宋体" w:hAnsi="宋体" w:cs="Arial"/>
          <w:b/>
          <w:bCs/>
          <w:color w:val="auto"/>
          <w:highlight w:val="none"/>
        </w:rPr>
        <w:t>五</w:t>
      </w:r>
      <w:r>
        <w:rPr>
          <w:rFonts w:ascii="宋体" w:hAnsi="宋体" w:cs="Arial"/>
          <w:b/>
          <w:bCs/>
          <w:color w:val="auto"/>
          <w:highlight w:val="none"/>
        </w:rPr>
        <w:t>、</w:t>
      </w:r>
      <w:r>
        <w:rPr>
          <w:rFonts w:hint="eastAsia" w:ascii="宋体" w:hAnsi="宋体" w:cs="Arial"/>
          <w:b/>
          <w:bCs/>
          <w:color w:val="auto"/>
          <w:highlight w:val="none"/>
        </w:rPr>
        <w:t>成交</w:t>
      </w:r>
      <w:r>
        <w:rPr>
          <w:rFonts w:ascii="宋体" w:hAnsi="宋体" w:cs="Arial"/>
          <w:b/>
          <w:bCs/>
          <w:color w:val="auto"/>
          <w:highlight w:val="none"/>
        </w:rPr>
        <w:t>办法</w:t>
      </w:r>
    </w:p>
    <w:p w14:paraId="68DFEA45">
      <w:pPr>
        <w:pStyle w:val="113"/>
        <w:adjustRightInd w:val="0"/>
        <w:snapToGrid w:val="0"/>
        <w:ind w:firstLine="420"/>
        <w:rPr>
          <w:color w:val="auto"/>
          <w:highlight w:val="none"/>
        </w:rPr>
      </w:pPr>
      <w:r>
        <w:rPr>
          <w:rFonts w:hint="eastAsia" w:cs="Arial"/>
          <w:color w:val="auto"/>
          <w:kern w:val="0"/>
          <w:sz w:val="21"/>
          <w:szCs w:val="21"/>
          <w:highlight w:val="none"/>
        </w:rPr>
        <w:t>采购人将根据磋商小组提交的评审报告及推荐的成交候选人，按有关规定确定成交人。</w:t>
      </w:r>
    </w:p>
    <w:p w14:paraId="1110D756">
      <w:pPr>
        <w:rPr>
          <w:rFonts w:hint="eastAsia" w:ascii="宋体" w:hAnsi="宋体" w:cs="宋体"/>
          <w:color w:val="auto"/>
          <w:sz w:val="32"/>
          <w:highlight w:val="none"/>
        </w:rPr>
      </w:pPr>
      <w:r>
        <w:rPr>
          <w:rFonts w:hint="eastAsia" w:ascii="宋体" w:hAnsi="宋体" w:cs="宋体"/>
          <w:color w:val="auto"/>
          <w:sz w:val="32"/>
          <w:highlight w:val="none"/>
        </w:rPr>
        <w:br w:type="page"/>
      </w:r>
    </w:p>
    <w:p w14:paraId="108A626C">
      <w:pPr>
        <w:pStyle w:val="3"/>
        <w:numPr>
          <w:ilvl w:val="0"/>
          <w:numId w:val="7"/>
        </w:numPr>
        <w:snapToGrid w:val="0"/>
        <w:ind w:firstLine="643" w:firstLineChars="200"/>
        <w:rPr>
          <w:rFonts w:hint="eastAsia" w:ascii="宋体" w:hAnsi="宋体" w:cs="宋体"/>
          <w:color w:val="auto"/>
          <w:sz w:val="32"/>
          <w:highlight w:val="none"/>
        </w:rPr>
      </w:pPr>
      <w:bookmarkStart w:id="108" w:name="_Toc28042"/>
      <w:r>
        <w:rPr>
          <w:rFonts w:hint="eastAsia" w:ascii="宋体" w:hAnsi="宋体" w:cs="宋体"/>
          <w:color w:val="auto"/>
          <w:sz w:val="32"/>
          <w:highlight w:val="none"/>
        </w:rPr>
        <w:t>合同条款</w:t>
      </w:r>
      <w:bookmarkEnd w:id="106"/>
      <w:bookmarkEnd w:id="108"/>
    </w:p>
    <w:p w14:paraId="23552E6C">
      <w:pPr>
        <w:widowControl/>
        <w:spacing w:line="360" w:lineRule="auto"/>
        <w:rPr>
          <w:rFonts w:hint="eastAsia" w:ascii="宋体" w:hAnsi="宋体"/>
          <w:b/>
          <w:color w:val="auto"/>
          <w:kern w:val="0"/>
          <w:sz w:val="24"/>
          <w:highlight w:val="none"/>
        </w:rPr>
      </w:pPr>
      <w:bookmarkStart w:id="109" w:name="_Toc237695004"/>
      <w:bookmarkStart w:id="110" w:name="_Toc237694779"/>
      <w:bookmarkStart w:id="111" w:name="_Toc163484941"/>
      <w:bookmarkStart w:id="112" w:name="_Toc163484939"/>
      <w:r>
        <w:rPr>
          <w:rFonts w:hint="eastAsia" w:ascii="宋体" w:hAnsi="宋体"/>
          <w:b/>
          <w:color w:val="auto"/>
          <w:kern w:val="0"/>
          <w:sz w:val="24"/>
          <w:highlight w:val="none"/>
        </w:rPr>
        <w:t>（备注：采购文件中仅提供合同主要条款，最终合同以双方签章的书面文本为准。）</w:t>
      </w:r>
    </w:p>
    <w:bookmarkEnd w:id="109"/>
    <w:bookmarkEnd w:id="110"/>
    <w:bookmarkEnd w:id="111"/>
    <w:bookmarkEnd w:id="112"/>
    <w:p w14:paraId="408DCE94">
      <w:pPr>
        <w:keepNext/>
        <w:keepLines/>
        <w:spacing w:before="340" w:after="330" w:line="480" w:lineRule="auto"/>
        <w:jc w:val="center"/>
        <w:outlineLvl w:val="0"/>
        <w:rPr>
          <w:b/>
          <w:bCs/>
          <w:color w:val="auto"/>
          <w:kern w:val="44"/>
          <w:sz w:val="44"/>
          <w:szCs w:val="44"/>
          <w:highlight w:val="none"/>
        </w:rPr>
      </w:pPr>
      <w:r>
        <w:rPr>
          <w:rFonts w:hint="eastAsia"/>
          <w:b/>
          <w:bCs/>
          <w:color w:val="auto"/>
          <w:kern w:val="44"/>
          <w:sz w:val="44"/>
          <w:szCs w:val="44"/>
          <w:highlight w:val="none"/>
        </w:rPr>
        <w:t>基建、维修</w:t>
      </w:r>
      <w:r>
        <w:rPr>
          <w:b/>
          <w:bCs/>
          <w:color w:val="auto"/>
          <w:kern w:val="44"/>
          <w:sz w:val="44"/>
          <w:szCs w:val="44"/>
          <w:highlight w:val="none"/>
        </w:rPr>
        <w:t>工程施工合同</w:t>
      </w:r>
    </w:p>
    <w:p w14:paraId="1CFCA39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                         标项（）：</w:t>
      </w:r>
    </w:p>
    <w:p w14:paraId="5440CAC3">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                         确认书号：</w:t>
      </w:r>
    </w:p>
    <w:p w14:paraId="5D932646">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发包方（甲方）：</w:t>
      </w:r>
      <w:r>
        <w:rPr>
          <w:rFonts w:hint="eastAsia" w:ascii="宋体" w:hAnsi="宋体" w:cs="宋体"/>
          <w:color w:val="auto"/>
          <w:sz w:val="24"/>
          <w:highlight w:val="none"/>
          <w:u w:val="single"/>
        </w:rPr>
        <w:t xml:space="preserve">         浙江农林大学           </w:t>
      </w:r>
      <w:r>
        <w:rPr>
          <w:rFonts w:hint="eastAsia" w:ascii="宋体" w:hAnsi="宋体" w:cs="宋体"/>
          <w:color w:val="auto"/>
          <w:sz w:val="24"/>
          <w:highlight w:val="none"/>
        </w:rPr>
        <w:t xml:space="preserve"> 合同编号：</w:t>
      </w:r>
      <w:r>
        <w:rPr>
          <w:rFonts w:hint="eastAsia" w:ascii="宋体" w:hAnsi="宋体" w:cs="宋体"/>
          <w:color w:val="auto"/>
          <w:sz w:val="24"/>
          <w:highlight w:val="none"/>
          <w:u w:val="single"/>
        </w:rPr>
        <w:t xml:space="preserve">              </w:t>
      </w:r>
    </w:p>
    <w:p w14:paraId="6DFF2CF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承包方（乙方）：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59DFD8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采购代理机构：浙江省国际技术设备招标有限公司</w:t>
      </w:r>
    </w:p>
    <w:p w14:paraId="55E99CD1">
      <w:pPr>
        <w:pStyle w:val="2"/>
        <w:rPr>
          <w:rFonts w:hint="eastAsia"/>
          <w:color w:val="auto"/>
          <w:highlight w:val="none"/>
        </w:rPr>
      </w:pPr>
    </w:p>
    <w:p w14:paraId="1CB520EA">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按照《中华人民共和国民法典》和《建筑安装工程承包合同条例》的规定，结合本工程具体情况，双方达成如下协议。本合同通用条款与建设工程施工合同（示范文本）相同。</w:t>
      </w:r>
    </w:p>
    <w:p w14:paraId="58A1ADF6">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工程概况</w:t>
      </w:r>
    </w:p>
    <w:p w14:paraId="16275E19">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1.1 工程名称：</w:t>
      </w:r>
      <w:r>
        <w:rPr>
          <w:rFonts w:hint="eastAsia" w:ascii="宋体" w:hAnsi="宋体" w:cs="宋体"/>
          <w:color w:val="auto"/>
          <w:sz w:val="24"/>
          <w:highlight w:val="none"/>
          <w:u w:val="single"/>
        </w:rPr>
        <w:t xml:space="preserve">                                                    </w:t>
      </w:r>
    </w:p>
    <w:p w14:paraId="1C41672B">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 资金来源：</w:t>
      </w:r>
      <w:r>
        <w:rPr>
          <w:rFonts w:hint="eastAsia" w:ascii="宋体" w:hAnsi="宋体" w:cs="宋体"/>
          <w:color w:val="auto"/>
          <w:sz w:val="24"/>
          <w:highlight w:val="none"/>
          <w:u w:val="single"/>
        </w:rPr>
        <w:t xml:space="preserve">                                                    </w:t>
      </w:r>
    </w:p>
    <w:p w14:paraId="742F2273">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1.3 工程地点：</w:t>
      </w:r>
      <w:r>
        <w:rPr>
          <w:rFonts w:hint="eastAsia" w:ascii="宋体" w:hAnsi="宋体" w:cs="宋体"/>
          <w:color w:val="auto"/>
          <w:sz w:val="24"/>
          <w:highlight w:val="none"/>
          <w:u w:val="single"/>
        </w:rPr>
        <w:t xml:space="preserve">浙江农林大学                       </w:t>
      </w:r>
    </w:p>
    <w:p w14:paraId="4CC2BFBD">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1.4 承包范围：</w:t>
      </w:r>
      <w:r>
        <w:rPr>
          <w:rFonts w:hint="eastAsia" w:ascii="宋体" w:hAnsi="宋体" w:cs="宋体"/>
          <w:color w:val="auto"/>
          <w:spacing w:val="-10"/>
          <w:sz w:val="24"/>
          <w:highlight w:val="none"/>
          <w:u w:val="single"/>
        </w:rPr>
        <w:t xml:space="preserve">土建、安装等工程                                               </w:t>
      </w:r>
    </w:p>
    <w:p w14:paraId="06C317DD">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 承包方式：</w:t>
      </w:r>
      <w:r>
        <w:rPr>
          <w:rFonts w:hint="eastAsia" w:ascii="宋体" w:hAnsi="宋体" w:cs="宋体"/>
          <w:color w:val="auto"/>
          <w:sz w:val="24"/>
          <w:highlight w:val="none"/>
          <w:u w:val="single"/>
        </w:rPr>
        <w:t xml:space="preserve">包工包料                                             </w:t>
      </w:r>
    </w:p>
    <w:p w14:paraId="0266360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工期：本工程自  年  月  日至  年  月  日（合同履行以派遣的工程全部竣工验收合格为准）</w:t>
      </w:r>
    </w:p>
    <w:p w14:paraId="16E69A3B">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 工程质量：</w:t>
      </w:r>
      <w:r>
        <w:rPr>
          <w:rFonts w:hint="eastAsia" w:ascii="宋体" w:hAnsi="宋体" w:cs="宋体"/>
          <w:color w:val="auto"/>
          <w:spacing w:val="-10"/>
          <w:sz w:val="24"/>
          <w:highlight w:val="none"/>
          <w:u w:val="single"/>
        </w:rPr>
        <w:t xml:space="preserve">合格                                                             </w:t>
      </w:r>
    </w:p>
    <w:p w14:paraId="3632DC42">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1.8 质保期：</w:t>
      </w:r>
      <w:r>
        <w:rPr>
          <w:rFonts w:hint="eastAsia" w:ascii="宋体" w:hAnsi="宋体" w:cs="宋体"/>
          <w:color w:val="auto"/>
          <w:sz w:val="24"/>
          <w:highlight w:val="none"/>
          <w:u w:val="single"/>
        </w:rPr>
        <w:t xml:space="preserve">                                                       </w:t>
      </w:r>
    </w:p>
    <w:p w14:paraId="3CC18A30">
      <w:pPr>
        <w:widowControl/>
        <w:spacing w:line="288" w:lineRule="auto"/>
        <w:ind w:firstLine="480" w:firstLineChars="200"/>
        <w:outlineLvl w:val="0"/>
        <w:rPr>
          <w:rFonts w:hint="eastAsia" w:ascii="宋体" w:hAnsi="宋体" w:cs="宋体"/>
          <w:color w:val="auto"/>
          <w:sz w:val="24"/>
          <w:highlight w:val="none"/>
          <w:u w:val="single"/>
        </w:rPr>
      </w:pPr>
      <w:r>
        <w:rPr>
          <w:rFonts w:hint="eastAsia" w:ascii="宋体" w:hAnsi="宋体" w:cs="宋体"/>
          <w:color w:val="auto"/>
          <w:sz w:val="24"/>
          <w:highlight w:val="none"/>
        </w:rPr>
        <w:t>1.9 合同价款：</w:t>
      </w:r>
      <w:r>
        <w:rPr>
          <w:rFonts w:hint="eastAsia" w:ascii="宋体" w:hAnsi="宋体" w:cs="宋体"/>
          <w:bCs/>
          <w:color w:val="auto"/>
          <w:sz w:val="24"/>
          <w:highlight w:val="none"/>
        </w:rPr>
        <w:t>本项目合同总价为人民币_____________元整（</w:t>
      </w:r>
      <w:r>
        <w:rPr>
          <w:rFonts w:ascii="Arial" w:hAnsi="Arial" w:cs="Arial"/>
          <w:bCs/>
          <w:color w:val="auto"/>
          <w:sz w:val="24"/>
          <w:highlight w:val="none"/>
        </w:rPr>
        <w:t>¥</w:t>
      </w:r>
      <w:r>
        <w:rPr>
          <w:rFonts w:hint="eastAsia" w:ascii="宋体" w:hAnsi="宋体" w:cs="宋体"/>
          <w:bCs/>
          <w:color w:val="auto"/>
          <w:sz w:val="24"/>
          <w:highlight w:val="none"/>
        </w:rPr>
        <w:t xml:space="preserve">        元）。单个工程合同价</w:t>
      </w:r>
      <w:r>
        <w:rPr>
          <w:rFonts w:hint="eastAsia" w:ascii="宋体" w:hAnsi="宋体" w:cs="宋体"/>
          <w:color w:val="auto"/>
          <w:sz w:val="24"/>
          <w:highlight w:val="none"/>
          <w:u w:val="single"/>
        </w:rPr>
        <w:t>以基本建设处核准的预算为准</w:t>
      </w:r>
    </w:p>
    <w:p w14:paraId="60347B27">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 履约保证金与退款方式：</w:t>
      </w:r>
    </w:p>
    <w:p w14:paraId="19664861">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1.10.1 合同签订后一周内，乙方向甲方提交合同总价1.5%的履约保证金，履约保证金在合同履约期间无违约情形的，</w:t>
      </w:r>
      <w:r>
        <w:rPr>
          <w:rFonts w:hint="eastAsia" w:cs="宋体"/>
          <w:color w:val="auto"/>
          <w:sz w:val="24"/>
          <w:highlight w:val="none"/>
          <w:u w:val="single"/>
        </w:rPr>
        <w:t>项目验收结束并且甲方收到乙方开具的收据后</w:t>
      </w:r>
      <w:r>
        <w:rPr>
          <w:rFonts w:hint="eastAsia" w:ascii="宋体" w:hAnsi="宋体" w:cs="宋体"/>
          <w:color w:val="auto"/>
          <w:sz w:val="24"/>
          <w:highlight w:val="none"/>
          <w:u w:val="single"/>
        </w:rPr>
        <w:t>，于一周内退还（不计息）；</w:t>
      </w:r>
    </w:p>
    <w:p w14:paraId="01148763">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1.10.2 提交方式：支票、汇票、本票或金融机构、担保机构出具的保函等非现金形式；</w:t>
      </w:r>
    </w:p>
    <w:p w14:paraId="19300E2F">
      <w:pPr>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1.10.3 如乙方不能按磋商承诺和合同要求履约，甲方将有权扣除相应甚至全部履约保证金。</w:t>
      </w:r>
    </w:p>
    <w:p w14:paraId="2E546F4E">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第二条  甲方工作</w:t>
      </w:r>
    </w:p>
    <w:p w14:paraId="64BDB9F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开工前</w:t>
      </w:r>
      <w:r>
        <w:rPr>
          <w:rFonts w:hint="eastAsia" w:cs="宋体"/>
          <w:color w:val="auto"/>
          <w:sz w:val="24"/>
          <w:highlight w:val="none"/>
          <w:u w:val="single"/>
        </w:rPr>
        <w:t xml:space="preserve">     </w:t>
      </w:r>
      <w:r>
        <w:rPr>
          <w:rFonts w:hint="eastAsia" w:ascii="宋体" w:hAnsi="宋体" w:cs="宋体"/>
          <w:color w:val="auto"/>
          <w:sz w:val="24"/>
          <w:highlight w:val="none"/>
        </w:rPr>
        <w:t>天，向乙方提供经确认的施工图纸或作法说明份，并向乙方进行现场交底。同时向乙方提供施工所需的水、电、气及电讯等设备，并说明使用注意事项。</w:t>
      </w:r>
    </w:p>
    <w:p w14:paraId="5A034884">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指派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为甲方驻工地代表，负责合同履行。对工程质量、进度进行监督检查，办理验收、变更（此项必须是甲方二人以上签字并加盖公章）、登记手续和其他事宜。</w:t>
      </w:r>
    </w:p>
    <w:p w14:paraId="35BE693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委托</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进行工程监理，监理公司任命</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为总监理工程师，其职责在监理合同中应明确，并将合同副本交乙方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份。</w:t>
      </w:r>
    </w:p>
    <w:p w14:paraId="7C8DDA9E">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第三条  乙方工作</w:t>
      </w:r>
    </w:p>
    <w:p w14:paraId="1E05AB4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参加甲方组织的施工图纸或作法说明的现场交底，拟定施工方案和进度计划，交甲方审定。</w:t>
      </w:r>
    </w:p>
    <w:p w14:paraId="1A00B3B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指派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乙方驻工地代表，负责合同履行。按要求组织施工，保质、保量、按期完成施工任务，解决由乙方负责的各项事宜。如果不能按时完成各项事宜，且年度考核不合格，将减少项目数量直至取消下一年度的项目安排。</w:t>
      </w:r>
    </w:p>
    <w:p w14:paraId="3FC51E1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严格执行施工规范、安全操作规程、防火安全规定、环境保护规定。严格按照图纸或作法说明进行施工，做好各项质量检查记录。参加竣工验收，编制工程结算，结算资料含合同、竣工图纸、结算书电子版、派工单、工程联系单、验收单及现场实测量。</w:t>
      </w:r>
    </w:p>
    <w:p w14:paraId="5C9F6A91">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14:paraId="2C801148">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施工中未经甲方同意或有关部门批准，不得随意拆改原建筑物结构及各种设备管线。</w:t>
      </w:r>
    </w:p>
    <w:p w14:paraId="6DE12736">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工程竣工未移交甲方之前，负责对现场的一切设施和工程成品进行保护。</w:t>
      </w:r>
    </w:p>
    <w:p w14:paraId="023DDBE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协调有关部门做好现场保卫、自防、垃圾处理等工作。</w:t>
      </w:r>
    </w:p>
    <w:p w14:paraId="615C136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及时提交竣工图和结算资料。</w:t>
      </w:r>
    </w:p>
    <w:p w14:paraId="32248BEB">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第四条  关于工期的约定</w:t>
      </w:r>
    </w:p>
    <w:p w14:paraId="2EE30A53">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要求比合同约定的工期提前竣工时，应征得乙方同意，并支付乙方因赶工采取的措施费用。</w:t>
      </w:r>
    </w:p>
    <w:p w14:paraId="518A7B9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因甲方未按约定完成工作，影响工期，工期顺延。</w:t>
      </w:r>
    </w:p>
    <w:p w14:paraId="418E9234">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因乙方责任，不能按期开工或中途无故停工，影响工期，工期不顺延。</w:t>
      </w:r>
    </w:p>
    <w:p w14:paraId="2AC09148">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 因设计变更或非乙方原因造成的停电、停水、停气及不可抗力因素影响，导致停工8小时以上（一周内累计计算），工期相应顺延。</w:t>
      </w:r>
    </w:p>
    <w:p w14:paraId="5A5077D4">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第五条  关于工程质量及验收的约定</w:t>
      </w:r>
    </w:p>
    <w:p w14:paraId="5BA81530">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 本工程以施工图纸、作法说明、设计变更和《建筑安装工程质量检验评定统一标准》（GBJ300—88）等国家制订的施工及验收规范为质量评定验收标准。</w:t>
      </w:r>
    </w:p>
    <w:p w14:paraId="79C6EC29">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 本工程质量应达到国家质量评定合格标准。</w:t>
      </w:r>
    </w:p>
    <w:p w14:paraId="14505E84">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也不予顺延。</w:t>
      </w:r>
    </w:p>
    <w:p w14:paraId="434D25F1">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 由于甲方提供的材料、设备质量不合格而影响工程质量，其返工所需材料人工费及其他相关费用由甲方承担，工期顺延。</w:t>
      </w:r>
    </w:p>
    <w:p w14:paraId="635670B3">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5.5 由于乙方原因造成质量事故，其返工所需材料人工费及其他相关费用由乙方承担，工期不顺延。</w:t>
      </w:r>
    </w:p>
    <w:p w14:paraId="50215FD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5.6 工程竣工后，乙方应通知甲方验收，甲方自接到验收通知</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日内组织验收，并办理验收、移交手续。如甲方在规定时间内未能组织验收，需及时通知乙方，另定验收日期。但甲方应承认竣工日期，并承担乙方的看管费用和相关费用。</w:t>
      </w:r>
    </w:p>
    <w:p w14:paraId="79B4236A">
      <w:pPr>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第六条  关于工程价款及结算的约定</w:t>
      </w:r>
    </w:p>
    <w:p w14:paraId="00DCD61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 双方约定本合同价款采用第</w:t>
      </w:r>
      <w:r>
        <w:rPr>
          <w:rFonts w:hint="eastAsia" w:ascii="宋体" w:hAnsi="宋体" w:cs="宋体"/>
          <w:color w:val="auto"/>
          <w:sz w:val="24"/>
          <w:highlight w:val="none"/>
          <w:u w:val="single"/>
        </w:rPr>
        <w:t>（3）</w:t>
      </w:r>
      <w:r>
        <w:rPr>
          <w:rFonts w:hint="eastAsia" w:ascii="宋体" w:hAnsi="宋体" w:cs="宋体"/>
          <w:color w:val="auto"/>
          <w:sz w:val="24"/>
          <w:highlight w:val="none"/>
        </w:rPr>
        <w:t>种结算方式。</w:t>
      </w:r>
    </w:p>
    <w:p w14:paraId="6ABCBA66">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（1）固定总价。</w:t>
      </w:r>
    </w:p>
    <w:p w14:paraId="439E4BB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（2）固定单价。</w:t>
      </w:r>
    </w:p>
    <w:p w14:paraId="44C340C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（3）可调价格：工程造价基准价的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，点工单价</w:t>
      </w:r>
      <w:r>
        <w:rPr>
          <w:rFonts w:hint="eastAsia" w:ascii="宋体" w:hAnsi="宋体" w:cs="宋体"/>
          <w:color w:val="auto"/>
          <w:sz w:val="24"/>
          <w:highlight w:val="none"/>
          <w:u w:val="single"/>
        </w:rPr>
        <w:t xml:space="preserve">    元/工</w:t>
      </w:r>
      <w:r>
        <w:rPr>
          <w:rFonts w:hint="eastAsia" w:ascii="宋体" w:hAnsi="宋体" w:cs="宋体"/>
          <w:color w:val="auto"/>
          <w:sz w:val="24"/>
          <w:highlight w:val="none"/>
        </w:rPr>
        <w:t>，挖土机械单价</w:t>
      </w:r>
      <w:r>
        <w:rPr>
          <w:rFonts w:hint="eastAsia" w:ascii="宋体" w:hAnsi="宋体" w:cs="宋体"/>
          <w:color w:val="auto"/>
          <w:sz w:val="24"/>
          <w:highlight w:val="none"/>
          <w:u w:val="single"/>
        </w:rPr>
        <w:t xml:space="preserve">    元/天</w:t>
      </w:r>
      <w:r>
        <w:rPr>
          <w:rFonts w:hint="eastAsia" w:ascii="宋体" w:hAnsi="宋体" w:cs="宋体"/>
          <w:color w:val="auto"/>
          <w:sz w:val="24"/>
          <w:highlight w:val="none"/>
        </w:rPr>
        <w:t>，登高车单价</w:t>
      </w:r>
      <w:r>
        <w:rPr>
          <w:rFonts w:hint="eastAsia" w:ascii="宋体" w:hAnsi="宋体" w:cs="宋体"/>
          <w:color w:val="auto"/>
          <w:sz w:val="24"/>
          <w:highlight w:val="none"/>
          <w:u w:val="single"/>
        </w:rPr>
        <w:t xml:space="preserve">    元/天。</w:t>
      </w:r>
    </w:p>
    <w:p w14:paraId="5E75F7A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1）本次入围单位工程结算方式一律统一，采用以工程造价基准结算总价的方式。</w:t>
      </w:r>
    </w:p>
    <w:p w14:paraId="59B758F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2）本工程的工程类别根据浙江省定额的有关规定；</w:t>
      </w:r>
    </w:p>
    <w:p w14:paraId="5A1F48C7">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3）有关定额参照：</w:t>
      </w:r>
    </w:p>
    <w:p w14:paraId="444A7CA0">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a.《浙江省</w:t>
      </w:r>
      <w:r>
        <w:rPr>
          <w:rFonts w:hint="eastAsia" w:cs="宋体"/>
          <w:color w:val="auto"/>
          <w:sz w:val="24"/>
          <w:highlight w:val="none"/>
        </w:rPr>
        <w:t>建筑</w:t>
      </w:r>
      <w:r>
        <w:rPr>
          <w:rFonts w:hint="eastAsia" w:ascii="宋体" w:hAnsi="宋体" w:cs="宋体"/>
          <w:color w:val="auto"/>
          <w:sz w:val="24"/>
          <w:highlight w:val="none"/>
        </w:rPr>
        <w:t>工程预算定额》（2018版）；</w:t>
      </w:r>
    </w:p>
    <w:p w14:paraId="163BA30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b.《浙江省建设工程计价规则》（2018版）；</w:t>
      </w:r>
    </w:p>
    <w:p w14:paraId="3BD5A2A9">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c.《浙江省建设工程施工取费定额》（2018版）；</w:t>
      </w:r>
    </w:p>
    <w:p w14:paraId="3E0F3F64">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d.浙江省及杭州市的相关政策、造价文件等规定。</w:t>
      </w:r>
    </w:p>
    <w:p w14:paraId="2A94CDEA">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（4）人工、材料、机械费按施工同期杭州市（浙江省）建设工程造价信息计算，无价材料由甲方和乙方根据指导价和市场价协商确定；</w:t>
      </w:r>
    </w:p>
    <w:p w14:paraId="071A0833">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（5）取费费率按《浙江省建设工程施工取费定额》下限计取；</w:t>
      </w:r>
    </w:p>
    <w:p w14:paraId="3AB4F5D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（6）其它费用</w:t>
      </w:r>
    </w:p>
    <w:p w14:paraId="5A463FE6">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a.甲方不提供住宿及材料堆放仓库，中标人需自行解决，相关费用自理。</w:t>
      </w:r>
    </w:p>
    <w:p w14:paraId="45BAEF65">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b.拆除项目的工程，可按定额计取拆除及建筑垃圾清运费。</w:t>
      </w:r>
    </w:p>
    <w:p w14:paraId="5C5A909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c.不含拆除项目的工程，不计取建筑垃圾清运费。</w:t>
      </w:r>
    </w:p>
    <w:p w14:paraId="331CBB6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d.根据实际产生的措施项目，按定额规定计取。</w:t>
      </w:r>
    </w:p>
    <w:p w14:paraId="24646C6C">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e.施工中应切实做好原有财产的保护，不另行计取保护费，若由于施工单位造成的损坏，应无条件修复，无法修复的应按原价赔偿。</w:t>
      </w:r>
    </w:p>
    <w:p w14:paraId="28BDF791">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f.施工用水用电按定额含量从工程款中扣除。</w:t>
      </w:r>
    </w:p>
    <w:p w14:paraId="40E947F1">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施工单位须及时清运施工垃圾，切实做到工完场清，服从学校管理。施工场地的垃圾自行清理出学校，严禁乱扔乱倒，如有学校其它部门投诉，将处罚款10000元/处/次，人员及车辆进出学校必须严格遵守学校规章制度。</w:t>
      </w:r>
    </w:p>
    <w:p w14:paraId="4B24C736">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h.施工人员应严格按照专业操作技术规程进行安全施工，在施工中造成的一切人身安全责任事故均由施工方负责。</w:t>
      </w:r>
    </w:p>
    <w:p w14:paraId="127960B5">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i.不能达到要求质量等级的，施工单位应无条件整改，直至质量达到合格标准，并按合同约定扣取质量处罚金。</w:t>
      </w:r>
    </w:p>
    <w:p w14:paraId="2AB5E4D8">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j.甲方需审计的项目，审计费用的计取按照《浙江省物价局关于进一步完善工程造价咨询服务收费的通知》浙价服〔2009〕84号执行。</w:t>
      </w:r>
    </w:p>
    <w:p w14:paraId="101ED729">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k.超过约定工期的，每超出1天罚款200元。</w:t>
      </w:r>
    </w:p>
    <w:p w14:paraId="30E82705">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l.项目经理不到位的，按合同约定扣取质量处罚金2万元/次；技术负责人不到位的，扣取质量处罚金1万元/次；其它班子成员不到位的，扣取质量处罚金0.5万元/人次。</w:t>
      </w:r>
    </w:p>
    <w:p w14:paraId="48D20C91">
      <w:pPr>
        <w:spacing w:line="288"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rPr>
        <w:t>6.2 每个项目具备实施条件后7个工作日内支付该项目审核后的工程造价40%的预付款；工程验收合格后付至审定价的100%。验收合格后供应商必须在1个月内完成送审，依据审计处制度完成审计。合同有效期结束没有提供结算，作为成交供应商放弃结算。</w:t>
      </w:r>
      <w:r>
        <w:rPr>
          <w:rFonts w:hint="eastAsia" w:ascii="宋体" w:hAnsi="宋体" w:eastAsia="宋体" w:cs="宋体"/>
          <w:color w:val="auto"/>
          <w:sz w:val="24"/>
          <w:highlight w:val="none"/>
          <w:lang w:eastAsia="zh-CN"/>
        </w:rPr>
        <w:t>（供应商明确表示无需预付款或者主动要求降低预付款比例的，采购人可不适用前述规定。）</w:t>
      </w:r>
    </w:p>
    <w:p w14:paraId="66145D00">
      <w:pPr>
        <w:spacing w:line="288"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6.</w:t>
      </w:r>
      <w:r>
        <w:rPr>
          <w:rFonts w:hint="eastAsia" w:cs="宋体"/>
          <w:color w:val="auto"/>
          <w:sz w:val="24"/>
          <w:highlight w:val="none"/>
          <w:lang w:bidi="ar"/>
        </w:rPr>
        <w:t>3</w:t>
      </w:r>
      <w:r>
        <w:rPr>
          <w:rFonts w:hint="eastAsia" w:ascii="宋体" w:hAnsi="宋体" w:cs="宋体"/>
          <w:color w:val="auto"/>
          <w:sz w:val="24"/>
          <w:highlight w:val="none"/>
          <w:lang w:bidi="ar"/>
        </w:rPr>
        <w:t xml:space="preserve"> 结算审核由甲方委托，审核基本费用由甲方承担，但因核增核减产生的追加审核费用由乙方承担。验收合格后乙方必须在1个月内完成送审，依据审计处制度完成审核。</w:t>
      </w:r>
      <w:r>
        <w:rPr>
          <w:rFonts w:hint="eastAsia" w:cs="宋体"/>
          <w:color w:val="auto"/>
          <w:sz w:val="24"/>
          <w:highlight w:val="none"/>
          <w:lang w:bidi="ar"/>
        </w:rPr>
        <w:t>规定时间内没有提供结算的</w:t>
      </w:r>
      <w:r>
        <w:rPr>
          <w:rFonts w:hint="eastAsia" w:ascii="宋体" w:hAnsi="宋体" w:cs="宋体"/>
          <w:color w:val="auto"/>
          <w:sz w:val="24"/>
          <w:highlight w:val="none"/>
          <w:lang w:bidi="ar"/>
        </w:rPr>
        <w:t>，</w:t>
      </w:r>
      <w:r>
        <w:rPr>
          <w:rFonts w:hint="eastAsia" w:cs="宋体"/>
          <w:color w:val="auto"/>
          <w:sz w:val="24"/>
          <w:highlight w:val="none"/>
          <w:lang w:bidi="ar"/>
        </w:rPr>
        <w:t>视作</w:t>
      </w:r>
      <w:r>
        <w:rPr>
          <w:rFonts w:hint="eastAsia" w:ascii="宋体" w:hAnsi="宋体" w:cs="宋体"/>
          <w:color w:val="auto"/>
          <w:sz w:val="24"/>
          <w:highlight w:val="none"/>
          <w:lang w:bidi="ar"/>
        </w:rPr>
        <w:t>乙方放弃结算。</w:t>
      </w:r>
    </w:p>
    <w:p w14:paraId="762AA8B7">
      <w:pPr>
        <w:spacing w:line="288"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6</w:t>
      </w:r>
      <w:r>
        <w:rPr>
          <w:rFonts w:hint="eastAsia" w:cs="宋体"/>
          <w:color w:val="auto"/>
          <w:sz w:val="24"/>
          <w:highlight w:val="none"/>
          <w:lang w:bidi="ar"/>
        </w:rPr>
        <w:t>.4</w:t>
      </w:r>
      <w:r>
        <w:rPr>
          <w:rFonts w:hint="eastAsia" w:ascii="宋体" w:hAnsi="宋体" w:cs="宋体"/>
          <w:color w:val="auto"/>
          <w:sz w:val="24"/>
          <w:highlight w:val="none"/>
          <w:lang w:bidi="ar"/>
        </w:rPr>
        <w:t xml:space="preserve"> 点工、挖土机械、登高车费用包含在单个项目中，与单个项目统一结算。</w:t>
      </w:r>
    </w:p>
    <w:p w14:paraId="11DD16E8">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第七条  关于材料供应的约定</w:t>
      </w:r>
    </w:p>
    <w:p w14:paraId="64F2C077">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1.8％的保管费，设备价值1.4%的保管费。由于乙方保管不当造成损失，由乙方负责赔偿。</w:t>
      </w:r>
    </w:p>
    <w:p w14:paraId="204D41C3">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凡由乙方采购的材料、设备，应为符合设计要求的合格产品。如不符合质量要求或规格有差异，应禁止使用。若已使用，对工程造成的损失由乙方负责。</w:t>
      </w:r>
    </w:p>
    <w:p w14:paraId="7FCE7B3C">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第八条  有关安全生产和防火的约定</w:t>
      </w:r>
    </w:p>
    <w:p w14:paraId="10923BF4">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甲方提供的施工图纸或作法说明，应符合《中华人民共和国消防条例》和有关防火设计规范。</w:t>
      </w:r>
    </w:p>
    <w:p w14:paraId="310D1C2A">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 乙方在施工期间应严格遵守《建筑安装工程安全技术规程》、《建筑安装工人安全技术操作规程》、《中华人民共和国消防条例》和其它相关的法规、规范。</w:t>
      </w:r>
    </w:p>
    <w:p w14:paraId="78B0BAF5">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 由于甲方确认的图纸或作法说明，违反有关安全操作规程、消防条例和防火设计规范，导致发生安全或火灾事故，甲方应承担由此产生的一切经济损失。</w:t>
      </w:r>
    </w:p>
    <w:p w14:paraId="55F08884">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 由于乙方在施工生产过程中违反有关安全操作规程、消防条例，导致发生安全或火灾事故，乙方应承担由此引发的一切经济损失。</w:t>
      </w:r>
    </w:p>
    <w:p w14:paraId="4D01A08F">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第九条  奖励和违约责任</w:t>
      </w:r>
    </w:p>
    <w:p w14:paraId="22A9A65F">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由于甲方原因导致延期开工或中途停工，甲方应补偿乙方因停工、窝工所造成的损失。每停工或窝工一天，甲方支付乙方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元。甲方不按合同的约定拨付款，每拖期一天，按付款额的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％支付滞纳金。</w:t>
      </w:r>
    </w:p>
    <w:p w14:paraId="613CC02C">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 由于乙方原因，逾期竣工，每逾期一天，乙方支付甲方</w:t>
      </w:r>
      <w:r>
        <w:rPr>
          <w:rFonts w:hint="eastAsia" w:ascii="宋体" w:hAnsi="宋体" w:cs="宋体"/>
          <w:color w:val="auto"/>
          <w:sz w:val="24"/>
          <w:highlight w:val="none"/>
          <w:u w:val="single"/>
        </w:rPr>
        <w:t xml:space="preserve">   200   </w:t>
      </w:r>
      <w:r>
        <w:rPr>
          <w:rFonts w:hint="eastAsia" w:ascii="宋体" w:hAnsi="宋体" w:cs="宋体"/>
          <w:color w:val="auto"/>
          <w:sz w:val="24"/>
          <w:highlight w:val="none"/>
        </w:rPr>
        <w:t>元违约金。甲方要求提前竣工，除支付赶工措施费外，每提前一天，甲方支付乙方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元，作为奖励，条件为工程质量合格。</w:t>
      </w:r>
    </w:p>
    <w:p w14:paraId="4D2E92F4">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 乙方应妥善保护甲方提供的设备及现场堆放的家具、陈设和工程成品，如造成损失，应照价赔偿。</w:t>
      </w:r>
    </w:p>
    <w:p w14:paraId="10F70254">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 甲方未办理任何手续，擅自同意拆改原有建筑物结构或设备管线，由此发生的损失或事故（包括罚款），由甲方负责并承担损失。</w:t>
      </w:r>
    </w:p>
    <w:p w14:paraId="157AAE6E">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 未经甲方同意，乙方擅自拆改原建筑物结构或设备管线，由此发生的损失或事故（包括罚款），由乙方负责并承担损失。</w:t>
      </w:r>
    </w:p>
    <w:p w14:paraId="49941112">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9.6 未办理验收手续，甲方提前使用或擅自动用，造成损失由甲方负责。</w:t>
      </w:r>
    </w:p>
    <w:p w14:paraId="4BB881A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9.7 因一方原因，合同无法继续履行时，应通知对方，办理合同终止协议，并由责任方赔偿对方由此造成的经济损失。</w:t>
      </w:r>
    </w:p>
    <w:p w14:paraId="33EF99CB">
      <w:pPr>
        <w:spacing w:line="288" w:lineRule="auto"/>
        <w:ind w:firstLine="480" w:firstLineChars="200"/>
        <w:rPr>
          <w:rFonts w:ascii="宋体" w:hAnsi="宋体" w:cs="宋体"/>
          <w:color w:val="auto"/>
          <w:sz w:val="24"/>
          <w:highlight w:val="none"/>
        </w:rPr>
      </w:pPr>
      <w:r>
        <w:rPr>
          <w:rFonts w:hint="eastAsia" w:ascii="宋体" w:hAnsi="宋体"/>
          <w:color w:val="auto"/>
          <w:sz w:val="24"/>
          <w:highlight w:val="none"/>
        </w:rPr>
        <w:t>9.8 甲方安排的项目，乙方自收到通知之日起10日内未开工或拒绝施工的，甲方有权终止合同并追究供应商相关责任。</w:t>
      </w:r>
    </w:p>
    <w:p w14:paraId="252B9C75">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第十条  工程保修</w:t>
      </w:r>
    </w:p>
    <w:p w14:paraId="4D61D8A5">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约完成，成交供应商向采购人缴纳合同总价的1.5%作为质量保证金，待最后一个项目质保期满后一周内无息退还。保修期间因乙方原因造成的质量问题，乙方应无条件地进行免费维修；如乙方维修不及时或不愿维修则甲方委托其他单位维修，费用从乙方缴纳的保修金中扣除；超过保修期的，乙方可适当收取维修和材料费用。</w:t>
      </w:r>
    </w:p>
    <w:p w14:paraId="50BA1B82">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第十一条  合同争议的解决方式</w:t>
      </w:r>
    </w:p>
    <w:p w14:paraId="1A87C0C1">
      <w:pPr>
        <w:spacing w:line="28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本工程发生纠纷，双方协商或者调解解决。不愿协商、调解或者协商、调解不成的当事人依法向临安区人民法院提起诉讼。</w:t>
      </w:r>
    </w:p>
    <w:p w14:paraId="3DDA8B62">
      <w:pPr>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第十二条  附则</w:t>
      </w:r>
    </w:p>
    <w:p w14:paraId="1BDF9716">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本工程需要进行保险时，应另订协议。</w:t>
      </w:r>
    </w:p>
    <w:p w14:paraId="03FB7203">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本合同一式拾份，甲方执伍份，乙方执肆份，采购代理机构执壹份。</w:t>
      </w:r>
    </w:p>
    <w:p w14:paraId="2D4583FF">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本合同履行完成后自动终止。</w:t>
      </w:r>
    </w:p>
    <w:p w14:paraId="0BFDAD1C">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本合同附件包括：</w:t>
      </w:r>
    </w:p>
    <w:p w14:paraId="1DF96611">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附件：成交通知书；响应文件；采购文件。</w:t>
      </w:r>
    </w:p>
    <w:p w14:paraId="60F95B96">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12.5 本合同的附件为本合同不可分割的一部分，与本合同具有同等法律效力。</w:t>
      </w:r>
    </w:p>
    <w:p w14:paraId="3EAB6B85">
      <w:pPr>
        <w:bidi w:val="0"/>
        <w:rPr>
          <w:color w:val="auto"/>
          <w:highlight w:val="none"/>
        </w:rPr>
      </w:pPr>
    </w:p>
    <w:bookmarkEnd w:id="96"/>
    <w:bookmarkEnd w:id="97"/>
    <w:bookmarkEnd w:id="98"/>
    <w:bookmarkEnd w:id="99"/>
    <w:bookmarkEnd w:id="100"/>
    <w:bookmarkEnd w:id="101"/>
    <w:tbl>
      <w:tblPr>
        <w:tblStyle w:val="45"/>
        <w:tblW w:w="0" w:type="auto"/>
        <w:tblInd w:w="0" w:type="dxa"/>
        <w:tblLayout w:type="autofit"/>
        <w:tblCellMar>
          <w:top w:w="0" w:type="dxa"/>
          <w:left w:w="108" w:type="dxa"/>
          <w:bottom w:w="0" w:type="dxa"/>
          <w:right w:w="108" w:type="dxa"/>
        </w:tblCellMar>
      </w:tblPr>
      <w:tblGrid>
        <w:gridCol w:w="4360"/>
        <w:gridCol w:w="4360"/>
      </w:tblGrid>
      <w:tr w14:paraId="5DCDA681">
        <w:tblPrEx>
          <w:tblCellMar>
            <w:top w:w="0" w:type="dxa"/>
            <w:left w:w="108" w:type="dxa"/>
            <w:bottom w:w="0" w:type="dxa"/>
            <w:right w:w="108" w:type="dxa"/>
          </w:tblCellMar>
        </w:tblPrEx>
        <w:tc>
          <w:tcPr>
            <w:tcW w:w="4360" w:type="dxa"/>
            <w:noWrap w:val="0"/>
            <w:vAlign w:val="top"/>
          </w:tcPr>
          <w:p w14:paraId="63453DFE">
            <w:pPr>
              <w:snapToGrid w:val="0"/>
              <w:spacing w:line="288" w:lineRule="auto"/>
              <w:rPr>
                <w:rFonts w:ascii="宋体" w:hAnsi="宋体" w:eastAsia="宋体" w:cs="宋体"/>
                <w:color w:val="auto"/>
                <w:spacing w:val="-6"/>
                <w:sz w:val="24"/>
                <w:highlight w:val="none"/>
              </w:rPr>
            </w:pPr>
            <w:r>
              <w:rPr>
                <w:rFonts w:hint="eastAsia" w:ascii="宋体" w:hAnsi="宋体" w:eastAsia="宋体" w:cs="宋体"/>
                <w:b/>
                <w:color w:val="auto"/>
                <w:kern w:val="1"/>
                <w:sz w:val="24"/>
                <w:highlight w:val="none"/>
              </w:rPr>
              <w:t>发包方（甲方）</w:t>
            </w:r>
            <w:r>
              <w:rPr>
                <w:rFonts w:hint="eastAsia" w:ascii="宋体" w:hAnsi="宋体" w:eastAsia="宋体" w:cs="宋体"/>
                <w:color w:val="auto"/>
                <w:kern w:val="1"/>
                <w:sz w:val="24"/>
                <w:highlight w:val="none"/>
              </w:rPr>
              <w:t>：浙江农林大学</w:t>
            </w:r>
          </w:p>
        </w:tc>
        <w:tc>
          <w:tcPr>
            <w:tcW w:w="4360" w:type="dxa"/>
            <w:noWrap w:val="0"/>
            <w:vAlign w:val="top"/>
          </w:tcPr>
          <w:p w14:paraId="406673C5">
            <w:pPr>
              <w:snapToGrid w:val="0"/>
              <w:spacing w:line="288" w:lineRule="auto"/>
              <w:rPr>
                <w:rFonts w:ascii="宋体" w:hAnsi="宋体" w:eastAsia="宋体" w:cs="宋体"/>
                <w:color w:val="auto"/>
                <w:spacing w:val="-6"/>
                <w:sz w:val="24"/>
                <w:highlight w:val="none"/>
              </w:rPr>
            </w:pPr>
            <w:r>
              <w:rPr>
                <w:rFonts w:hint="eastAsia" w:ascii="宋体" w:hAnsi="宋体" w:eastAsia="宋体" w:cs="宋体"/>
                <w:b/>
                <w:color w:val="auto"/>
                <w:kern w:val="1"/>
                <w:sz w:val="24"/>
                <w:highlight w:val="none"/>
              </w:rPr>
              <w:t>承包方（乙方）</w:t>
            </w:r>
            <w:r>
              <w:rPr>
                <w:rFonts w:hint="eastAsia" w:ascii="宋体" w:hAnsi="宋体" w:eastAsia="宋体" w:cs="宋体"/>
                <w:color w:val="auto"/>
                <w:kern w:val="1"/>
                <w:sz w:val="24"/>
                <w:highlight w:val="none"/>
              </w:rPr>
              <w:t>：</w:t>
            </w:r>
          </w:p>
        </w:tc>
      </w:tr>
      <w:tr w14:paraId="75A8136E">
        <w:tblPrEx>
          <w:tblCellMar>
            <w:top w:w="0" w:type="dxa"/>
            <w:left w:w="108" w:type="dxa"/>
            <w:bottom w:w="0" w:type="dxa"/>
            <w:right w:w="108" w:type="dxa"/>
          </w:tblCellMar>
        </w:tblPrEx>
        <w:tc>
          <w:tcPr>
            <w:tcW w:w="4360" w:type="dxa"/>
            <w:noWrap w:val="0"/>
            <w:vAlign w:val="top"/>
          </w:tcPr>
          <w:p w14:paraId="49AB7B2D">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地址：浙江农林大学东湖校区</w:t>
            </w:r>
          </w:p>
        </w:tc>
        <w:tc>
          <w:tcPr>
            <w:tcW w:w="4360" w:type="dxa"/>
            <w:noWrap w:val="0"/>
            <w:vAlign w:val="top"/>
          </w:tcPr>
          <w:p w14:paraId="77D24A65">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地址：</w:t>
            </w:r>
          </w:p>
        </w:tc>
      </w:tr>
      <w:tr w14:paraId="539D5186">
        <w:tblPrEx>
          <w:tblCellMar>
            <w:top w:w="0" w:type="dxa"/>
            <w:left w:w="108" w:type="dxa"/>
            <w:bottom w:w="0" w:type="dxa"/>
            <w:right w:w="108" w:type="dxa"/>
          </w:tblCellMar>
        </w:tblPrEx>
        <w:tc>
          <w:tcPr>
            <w:tcW w:w="4360" w:type="dxa"/>
            <w:noWrap w:val="0"/>
            <w:vAlign w:val="top"/>
          </w:tcPr>
          <w:p w14:paraId="54A0B69A">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帐号：3300 1617 3350 5001 8761</w:t>
            </w:r>
          </w:p>
        </w:tc>
        <w:tc>
          <w:tcPr>
            <w:tcW w:w="4360" w:type="dxa"/>
            <w:noWrap w:val="0"/>
            <w:vAlign w:val="top"/>
          </w:tcPr>
          <w:p w14:paraId="4A049D25">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帐号：</w:t>
            </w:r>
          </w:p>
        </w:tc>
      </w:tr>
      <w:tr w14:paraId="0F04E342">
        <w:tblPrEx>
          <w:tblCellMar>
            <w:top w:w="0" w:type="dxa"/>
            <w:left w:w="108" w:type="dxa"/>
            <w:bottom w:w="0" w:type="dxa"/>
            <w:right w:w="108" w:type="dxa"/>
          </w:tblCellMar>
        </w:tblPrEx>
        <w:tc>
          <w:tcPr>
            <w:tcW w:w="4360" w:type="dxa"/>
            <w:noWrap w:val="0"/>
            <w:vAlign w:val="top"/>
          </w:tcPr>
          <w:p w14:paraId="6AC2ABC7">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开户行：建行临安支行</w:t>
            </w:r>
          </w:p>
          <w:p w14:paraId="4414261B">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（行号：105331024007）</w:t>
            </w:r>
          </w:p>
        </w:tc>
        <w:tc>
          <w:tcPr>
            <w:tcW w:w="4360" w:type="dxa"/>
            <w:noWrap w:val="0"/>
            <w:vAlign w:val="top"/>
          </w:tcPr>
          <w:p w14:paraId="2AE81FC2">
            <w:pPr>
              <w:snapToGrid w:val="0"/>
              <w:spacing w:line="288" w:lineRule="auto"/>
              <w:rPr>
                <w:rFonts w:hint="eastAsia" w:ascii="宋体" w:hAnsi="宋体" w:eastAsia="宋体" w:cs="宋体"/>
                <w:color w:val="auto"/>
                <w:spacing w:val="-6"/>
                <w:sz w:val="24"/>
                <w:highlight w:val="none"/>
              </w:rPr>
            </w:pPr>
            <w:r>
              <w:rPr>
                <w:rFonts w:hint="eastAsia" w:ascii="宋体" w:hAnsi="宋体" w:eastAsia="宋体" w:cs="宋体"/>
                <w:color w:val="auto"/>
                <w:kern w:val="1"/>
                <w:sz w:val="24"/>
                <w:highlight w:val="none"/>
              </w:rPr>
              <w:t>开户行：</w:t>
            </w:r>
          </w:p>
        </w:tc>
      </w:tr>
      <w:tr w14:paraId="7969BBEA">
        <w:tblPrEx>
          <w:tblCellMar>
            <w:top w:w="0" w:type="dxa"/>
            <w:left w:w="108" w:type="dxa"/>
            <w:bottom w:w="0" w:type="dxa"/>
            <w:right w:w="108" w:type="dxa"/>
          </w:tblCellMar>
        </w:tblPrEx>
        <w:tc>
          <w:tcPr>
            <w:tcW w:w="4360" w:type="dxa"/>
            <w:noWrap w:val="0"/>
            <w:vAlign w:val="top"/>
          </w:tcPr>
          <w:p w14:paraId="2EC6CA8D">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纳税人识别号（统一社会信用代码）：123300004700050170</w:t>
            </w:r>
          </w:p>
        </w:tc>
        <w:tc>
          <w:tcPr>
            <w:tcW w:w="4360" w:type="dxa"/>
            <w:noWrap w:val="0"/>
            <w:vAlign w:val="top"/>
          </w:tcPr>
          <w:p w14:paraId="105C0E3C">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纳税人识别号（统一社会信用代码）：</w:t>
            </w:r>
          </w:p>
        </w:tc>
      </w:tr>
      <w:tr w14:paraId="5D3F4AF3">
        <w:tblPrEx>
          <w:tblCellMar>
            <w:top w:w="0" w:type="dxa"/>
            <w:left w:w="108" w:type="dxa"/>
            <w:bottom w:w="0" w:type="dxa"/>
            <w:right w:w="108" w:type="dxa"/>
          </w:tblCellMar>
        </w:tblPrEx>
        <w:tc>
          <w:tcPr>
            <w:tcW w:w="4360" w:type="dxa"/>
            <w:noWrap w:val="0"/>
            <w:vAlign w:val="top"/>
          </w:tcPr>
          <w:p w14:paraId="3C935FBF">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电话：0571-63740897</w:t>
            </w:r>
          </w:p>
        </w:tc>
        <w:tc>
          <w:tcPr>
            <w:tcW w:w="4360" w:type="dxa"/>
            <w:noWrap w:val="0"/>
            <w:vAlign w:val="top"/>
          </w:tcPr>
          <w:p w14:paraId="5F0F4354">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电话：</w:t>
            </w:r>
          </w:p>
        </w:tc>
      </w:tr>
      <w:tr w14:paraId="068CD9C0">
        <w:tblPrEx>
          <w:tblCellMar>
            <w:top w:w="0" w:type="dxa"/>
            <w:left w:w="108" w:type="dxa"/>
            <w:bottom w:w="0" w:type="dxa"/>
            <w:right w:w="108" w:type="dxa"/>
          </w:tblCellMar>
        </w:tblPrEx>
        <w:tc>
          <w:tcPr>
            <w:tcW w:w="4360" w:type="dxa"/>
            <w:noWrap w:val="0"/>
            <w:vAlign w:val="top"/>
          </w:tcPr>
          <w:p w14:paraId="50FEB1C7">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邮编：311300</w:t>
            </w:r>
          </w:p>
        </w:tc>
        <w:tc>
          <w:tcPr>
            <w:tcW w:w="4360" w:type="dxa"/>
            <w:noWrap w:val="0"/>
            <w:vAlign w:val="top"/>
          </w:tcPr>
          <w:p w14:paraId="77FBDC52">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邮编：</w:t>
            </w:r>
          </w:p>
        </w:tc>
      </w:tr>
      <w:tr w14:paraId="449BA13A">
        <w:tblPrEx>
          <w:tblCellMar>
            <w:top w:w="0" w:type="dxa"/>
            <w:left w:w="108" w:type="dxa"/>
            <w:bottom w:w="0" w:type="dxa"/>
            <w:right w:w="108" w:type="dxa"/>
          </w:tblCellMar>
        </w:tblPrEx>
        <w:tc>
          <w:tcPr>
            <w:tcW w:w="4360" w:type="dxa"/>
            <w:noWrap w:val="0"/>
            <w:vAlign w:val="top"/>
          </w:tcPr>
          <w:p w14:paraId="2CA21BB9">
            <w:pPr>
              <w:snapToGrid w:val="0"/>
              <w:spacing w:line="288" w:lineRule="auto"/>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授权代表：</w:t>
            </w:r>
          </w:p>
        </w:tc>
        <w:tc>
          <w:tcPr>
            <w:tcW w:w="4360" w:type="dxa"/>
            <w:noWrap w:val="0"/>
            <w:vAlign w:val="top"/>
          </w:tcPr>
          <w:p w14:paraId="5AC59E04">
            <w:pPr>
              <w:snapToGrid w:val="0"/>
              <w:spacing w:line="288" w:lineRule="auto"/>
              <w:rPr>
                <w:rFonts w:ascii="宋体" w:hAnsi="宋体" w:eastAsia="宋体" w:cs="宋体"/>
                <w:color w:val="auto"/>
                <w:spacing w:val="-6"/>
                <w:sz w:val="24"/>
                <w:highlight w:val="none"/>
              </w:rPr>
            </w:pPr>
            <w:r>
              <w:rPr>
                <w:rFonts w:hint="eastAsia" w:ascii="宋体" w:hAnsi="宋体" w:eastAsia="宋体" w:cs="宋体"/>
                <w:color w:val="auto"/>
                <w:kern w:val="1"/>
                <w:sz w:val="24"/>
                <w:highlight w:val="none"/>
              </w:rPr>
              <w:t>授权代表：</w:t>
            </w:r>
          </w:p>
        </w:tc>
      </w:tr>
      <w:tr w14:paraId="05CDF29D">
        <w:tblPrEx>
          <w:tblCellMar>
            <w:top w:w="0" w:type="dxa"/>
            <w:left w:w="108" w:type="dxa"/>
            <w:bottom w:w="0" w:type="dxa"/>
            <w:right w:w="108" w:type="dxa"/>
          </w:tblCellMar>
        </w:tblPrEx>
        <w:tc>
          <w:tcPr>
            <w:tcW w:w="4360" w:type="dxa"/>
            <w:noWrap w:val="0"/>
            <w:vAlign w:val="top"/>
          </w:tcPr>
          <w:p w14:paraId="5DC98871">
            <w:pPr>
              <w:snapToGrid w:val="0"/>
              <w:spacing w:line="288" w:lineRule="auto"/>
              <w:rPr>
                <w:rFonts w:hint="eastAsia" w:ascii="宋体" w:hAnsi="宋体" w:eastAsia="宋体" w:cs="宋体"/>
                <w:color w:val="auto"/>
                <w:kern w:val="1"/>
                <w:sz w:val="24"/>
                <w:highlight w:val="none"/>
              </w:rPr>
            </w:pPr>
          </w:p>
        </w:tc>
        <w:tc>
          <w:tcPr>
            <w:tcW w:w="4360" w:type="dxa"/>
            <w:noWrap w:val="0"/>
            <w:vAlign w:val="top"/>
          </w:tcPr>
          <w:p w14:paraId="3FEB1F08">
            <w:pPr>
              <w:snapToGrid w:val="0"/>
              <w:spacing w:line="288" w:lineRule="auto"/>
              <w:rPr>
                <w:rFonts w:hint="eastAsia" w:ascii="宋体" w:hAnsi="宋体" w:eastAsia="宋体" w:cs="宋体"/>
                <w:color w:val="auto"/>
                <w:kern w:val="1"/>
                <w:sz w:val="24"/>
                <w:highlight w:val="none"/>
              </w:rPr>
            </w:pPr>
          </w:p>
        </w:tc>
      </w:tr>
      <w:tr w14:paraId="1F07A6C4">
        <w:tblPrEx>
          <w:tblCellMar>
            <w:top w:w="0" w:type="dxa"/>
            <w:left w:w="108" w:type="dxa"/>
            <w:bottom w:w="0" w:type="dxa"/>
            <w:right w:w="108" w:type="dxa"/>
          </w:tblCellMar>
        </w:tblPrEx>
        <w:trPr>
          <w:trHeight w:val="2047" w:hRule="atLeast"/>
        </w:trPr>
        <w:tc>
          <w:tcPr>
            <w:tcW w:w="8720" w:type="dxa"/>
            <w:gridSpan w:val="2"/>
            <w:noWrap w:val="0"/>
            <w:vAlign w:val="top"/>
          </w:tcPr>
          <w:p w14:paraId="2A28F404">
            <w:pPr>
              <w:keepNext w:val="0"/>
              <w:keepLines w:val="0"/>
              <w:pageBreakBefore w:val="0"/>
              <w:kinsoku/>
              <w:wordWrap/>
              <w:overflowPunct/>
              <w:topLinePunct w:val="0"/>
              <w:bidi w:val="0"/>
              <w:spacing w:line="288" w:lineRule="auto"/>
              <w:jc w:val="left"/>
              <w:textAlignment w:val="auto"/>
              <w:outlineLvl w:val="9"/>
              <w:rPr>
                <w:rFonts w:hint="eastAsia" w:ascii="宋体" w:hAnsi="宋体" w:eastAsia="宋体" w:cs="宋体"/>
                <w:color w:val="auto"/>
                <w:kern w:val="1"/>
                <w:sz w:val="24"/>
                <w:highlight w:val="none"/>
              </w:rPr>
            </w:pPr>
            <w:r>
              <w:rPr>
                <w:rFonts w:hint="eastAsia" w:ascii="宋体" w:hAnsi="宋体" w:eastAsia="宋体" w:cs="宋体"/>
                <w:b/>
                <w:color w:val="auto"/>
                <w:kern w:val="1"/>
                <w:sz w:val="24"/>
                <w:highlight w:val="none"/>
              </w:rPr>
              <w:t>采购代理机构：</w:t>
            </w:r>
          </w:p>
          <w:p w14:paraId="7D6EB891">
            <w:pPr>
              <w:keepNext w:val="0"/>
              <w:keepLines w:val="0"/>
              <w:pageBreakBefore w:val="0"/>
              <w:kinsoku/>
              <w:wordWrap/>
              <w:overflowPunct/>
              <w:topLinePunct w:val="0"/>
              <w:bidi w:val="0"/>
              <w:spacing w:line="288" w:lineRule="auto"/>
              <w:jc w:val="left"/>
              <w:textAlignment w:val="auto"/>
              <w:outlineLvl w:val="9"/>
              <w:rPr>
                <w:rFonts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经办人</w:t>
            </w:r>
            <w:r>
              <w:rPr>
                <w:rFonts w:hint="eastAsia" w:ascii="宋体" w:hAnsi="宋体" w:eastAsia="宋体" w:cs="宋体"/>
                <w:color w:val="auto"/>
                <w:kern w:val="1"/>
                <w:sz w:val="24"/>
                <w:highlight w:val="none"/>
              </w:rPr>
              <w:t>：</w:t>
            </w:r>
          </w:p>
          <w:p w14:paraId="474EA170">
            <w:pPr>
              <w:spacing w:line="288" w:lineRule="auto"/>
              <w:jc w:val="left"/>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鉴证时间：</w:t>
            </w:r>
          </w:p>
        </w:tc>
      </w:tr>
    </w:tbl>
    <w:p w14:paraId="013616A5">
      <w:pPr>
        <w:pStyle w:val="168"/>
        <w:rPr>
          <w:color w:val="auto"/>
          <w:highlight w:val="none"/>
        </w:rPr>
      </w:pPr>
    </w:p>
    <w:p w14:paraId="192D8E7F">
      <w:pPr>
        <w:snapToGrid w:val="0"/>
        <w:spacing w:line="360" w:lineRule="auto"/>
        <w:rPr>
          <w:rFonts w:ascii="宋体" w:hAnsi="宋体" w:cs="宋体"/>
          <w:color w:val="auto"/>
          <w:spacing w:val="-6"/>
          <w:szCs w:val="21"/>
          <w:highlight w:val="none"/>
        </w:rPr>
      </w:pPr>
    </w:p>
    <w:p w14:paraId="1CFFAA7B">
      <w:pPr>
        <w:rPr>
          <w:rFonts w:ascii="宋体" w:hAnsi="宋体" w:cs="宋体"/>
          <w:color w:val="auto"/>
          <w:szCs w:val="21"/>
          <w:highlight w:val="none"/>
        </w:rPr>
      </w:pPr>
      <w:r>
        <w:rPr>
          <w:rFonts w:hint="eastAsia"/>
          <w:color w:val="auto"/>
          <w:spacing w:val="-6"/>
          <w:szCs w:val="21"/>
          <w:highlight w:val="none"/>
        </w:rPr>
        <w:br w:type="page"/>
      </w:r>
    </w:p>
    <w:p w14:paraId="7D79AD10">
      <w:pPr>
        <w:pStyle w:val="3"/>
        <w:pageBreakBefore/>
        <w:tabs>
          <w:tab w:val="left" w:pos="432"/>
        </w:tabs>
        <w:rPr>
          <w:rFonts w:ascii="宋体" w:hAnsi="宋体" w:cs="宋体"/>
          <w:color w:val="auto"/>
          <w:sz w:val="36"/>
          <w:highlight w:val="none"/>
        </w:rPr>
      </w:pPr>
      <w:bookmarkStart w:id="113" w:name="_Toc25138"/>
      <w:r>
        <w:rPr>
          <w:rFonts w:hint="eastAsia" w:ascii="宋体" w:hAnsi="宋体" w:cs="宋体"/>
          <w:color w:val="auto"/>
          <w:sz w:val="36"/>
          <w:highlight w:val="none"/>
        </w:rPr>
        <w:t>第</w:t>
      </w:r>
      <w:r>
        <w:rPr>
          <w:rFonts w:hint="eastAsia" w:ascii="宋体" w:hAnsi="宋体" w:cs="宋体"/>
          <w:color w:val="auto"/>
          <w:sz w:val="36"/>
          <w:highlight w:val="none"/>
          <w:lang w:val="en-US" w:eastAsia="zh-CN"/>
        </w:rPr>
        <w:t>六</w:t>
      </w:r>
      <w:r>
        <w:rPr>
          <w:rFonts w:hint="eastAsia" w:ascii="宋体" w:hAnsi="宋体" w:cs="宋体"/>
          <w:color w:val="auto"/>
          <w:sz w:val="36"/>
          <w:highlight w:val="none"/>
        </w:rPr>
        <w:t>部分 应提交的有关格式范例</w:t>
      </w:r>
      <w:bookmarkEnd w:id="113"/>
    </w:p>
    <w:p w14:paraId="3B85E7DF">
      <w:pPr>
        <w:spacing w:line="360" w:lineRule="auto"/>
        <w:ind w:left="681" w:leftChars="224" w:hanging="211" w:hangingChars="100"/>
        <w:rPr>
          <w:rFonts w:ascii="宋体" w:hAnsi="宋体" w:cs="宋体"/>
          <w:b/>
          <w:color w:val="auto"/>
          <w:szCs w:val="21"/>
          <w:highlight w:val="none"/>
        </w:rPr>
      </w:pPr>
      <w:r>
        <w:rPr>
          <w:rFonts w:hint="eastAsia" w:ascii="宋体" w:hAnsi="宋体" w:cs="宋体"/>
          <w:b/>
          <w:color w:val="auto"/>
          <w:szCs w:val="21"/>
          <w:highlight w:val="none"/>
        </w:rPr>
        <w:t>一、重要提示</w:t>
      </w:r>
    </w:p>
    <w:p w14:paraId="4D68D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1、本章节中有提供格式的，磋商响应供应商须参照本章节提供的格式进行编制（格式中要求提供相关证明材料的还需后附相关证明材料），并按格式要求在指定位置根据要求进行签章）</w:t>
      </w:r>
    </w:p>
    <w:p w14:paraId="4C93DF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2、本章节未提供格式的，请各</w:t>
      </w:r>
      <w:r>
        <w:rPr>
          <w:rFonts w:hint="eastAsia" w:ascii="宋体" w:hAnsi="宋体"/>
          <w:b/>
          <w:color w:val="auto"/>
          <w:szCs w:val="21"/>
          <w:highlight w:val="none"/>
        </w:rPr>
        <w:t>磋商响应</w:t>
      </w:r>
      <w:r>
        <w:rPr>
          <w:rFonts w:hint="eastAsia" w:ascii="宋体" w:hAnsi="宋体" w:cs="宋体"/>
          <w:color w:val="auto"/>
          <w:szCs w:val="21"/>
          <w:highlight w:val="none"/>
        </w:rPr>
        <w:t>单位自行拟定格式，并加盖单位公章。</w:t>
      </w:r>
    </w:p>
    <w:p w14:paraId="014495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3、可以提供复制件的相关证明材料须加盖磋商响应文件供应商公章（例如：各类资格资质证书、业绩材料、许可材料、荣誉证书等）。</w:t>
      </w:r>
    </w:p>
    <w:p w14:paraId="2C344D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4、磋商响应文件内容组成清单中标注“▲”的内容为必须提供的内容，未提供的投标无效。</w:t>
      </w:r>
    </w:p>
    <w:p w14:paraId="0DE3B29B">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5、投标文件内容须与评分表内容进行关联定位，如未按要求进行关联定位，后果自负。</w:t>
      </w:r>
    </w:p>
    <w:p w14:paraId="1BCF6BE7">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二、供应商提交磋商响应文件须知：</w:t>
      </w:r>
    </w:p>
    <w:p w14:paraId="46AA0D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1、供应商应严格按照以下顺序填写和提交下述规定的全部格式文件以及其他有关资料，混乱的编排导致磋商响应文件被误读或磋商小组查找不到有效文件是供应商的风险。</w:t>
      </w:r>
    </w:p>
    <w:p w14:paraId="18524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2、所附表格中要求回答的全部问题和/或信息都必须正面回答。</w:t>
      </w:r>
    </w:p>
    <w:p w14:paraId="6D9513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3、本声明书保证全部声明和问题的回答是真实的和准确的。</w:t>
      </w:r>
    </w:p>
    <w:p w14:paraId="5B2FE3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4、磋商小组将应用供应商提交的资料作出自己的判断。</w:t>
      </w:r>
    </w:p>
    <w:p w14:paraId="1785D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5、供应商提交的材料将在一定期限内被保密保存，但不退还。</w:t>
      </w:r>
    </w:p>
    <w:p w14:paraId="270AD58A">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6、全部文件应按供应商须知中规定的语言和份数提交。磋商响应文件组成漏项或未按规定的格式编制，内容不全或内容字迹模糊辨认不清的情况，将有可能被磋商小组认定为投标无效。</w:t>
      </w:r>
    </w:p>
    <w:bookmarkEnd w:id="102"/>
    <w:bookmarkEnd w:id="103"/>
    <w:bookmarkEnd w:id="104"/>
    <w:bookmarkEnd w:id="105"/>
    <w:p w14:paraId="5277B3C1">
      <w:pPr>
        <w:shd w:val="clear" w:color="auto" w:fill="FFFFFF"/>
        <w:spacing w:line="360" w:lineRule="auto"/>
        <w:ind w:firstLine="480" w:firstLineChars="200"/>
        <w:rPr>
          <w:rFonts w:ascii="宋体" w:hAnsi="宋体" w:cs="宋体"/>
          <w:color w:val="auto"/>
          <w:sz w:val="24"/>
          <w:highlight w:val="none"/>
        </w:rPr>
      </w:pPr>
    </w:p>
    <w:p w14:paraId="38CAC73D">
      <w:pPr>
        <w:pageBreakBefore/>
        <w:shd w:val="clear" w:color="auto" w:fill="FFFFFF"/>
        <w:spacing w:line="360" w:lineRule="auto"/>
        <w:outlineLvl w:val="2"/>
        <w:rPr>
          <w:rFonts w:ascii="宋体" w:hAnsi="宋体" w:cs="宋体"/>
          <w:b/>
          <w:bCs/>
          <w:color w:val="auto"/>
          <w:sz w:val="32"/>
          <w:szCs w:val="32"/>
          <w:highlight w:val="none"/>
        </w:rPr>
      </w:pPr>
      <w:r>
        <w:rPr>
          <w:rFonts w:hint="eastAsia" w:ascii="宋体" w:hAnsi="宋体" w:cs="宋体"/>
          <w:color w:val="auto"/>
          <w:sz w:val="24"/>
          <w:highlight w:val="none"/>
        </w:rPr>
        <w:t> </w:t>
      </w:r>
      <w:bookmarkEnd w:id="24"/>
      <w:bookmarkEnd w:id="25"/>
      <w:bookmarkEnd w:id="26"/>
      <w:bookmarkEnd w:id="27"/>
      <w:bookmarkStart w:id="114" w:name="_Toc233618989"/>
      <w:r>
        <w:rPr>
          <w:rFonts w:hint="eastAsia" w:ascii="宋体" w:hAnsi="宋体" w:cs="宋体"/>
          <w:b/>
          <w:bCs/>
          <w:color w:val="auto"/>
          <w:sz w:val="32"/>
          <w:szCs w:val="32"/>
          <w:highlight w:val="none"/>
        </w:rPr>
        <w:t>磋商响应文件封面</w:t>
      </w:r>
    </w:p>
    <w:p w14:paraId="505754BC">
      <w:pPr>
        <w:shd w:val="clear" w:color="auto" w:fill="FFFFFF"/>
        <w:tabs>
          <w:tab w:val="left" w:pos="0"/>
          <w:tab w:val="left" w:pos="2140"/>
          <w:tab w:val="center" w:pos="4753"/>
        </w:tabs>
        <w:spacing w:line="360" w:lineRule="auto"/>
        <w:jc w:val="center"/>
        <w:rPr>
          <w:rFonts w:ascii="宋体" w:hAnsi="宋体" w:cs="宋体"/>
          <w:b/>
          <w:bCs/>
          <w:color w:val="auto"/>
          <w:sz w:val="44"/>
          <w:szCs w:val="44"/>
          <w:highlight w:val="none"/>
        </w:rPr>
      </w:pPr>
    </w:p>
    <w:p w14:paraId="7064337C">
      <w:pPr>
        <w:shd w:val="clear" w:color="auto" w:fill="FFFFFF"/>
        <w:snapToGrid w:val="0"/>
        <w:spacing w:line="360" w:lineRule="auto"/>
        <w:jc w:val="center"/>
        <w:rPr>
          <w:rFonts w:ascii="宋体" w:hAnsi="宋体" w:cs="宋体"/>
          <w:b/>
          <w:color w:val="auto"/>
          <w:spacing w:val="-11"/>
          <w:kern w:val="0"/>
          <w:sz w:val="44"/>
          <w:szCs w:val="44"/>
          <w:highlight w:val="none"/>
          <w:lang w:val="zh-CN"/>
        </w:rPr>
      </w:pPr>
    </w:p>
    <w:p w14:paraId="59157034">
      <w:pPr>
        <w:shd w:val="clear" w:color="auto" w:fill="FFFFFF"/>
        <w:snapToGrid w:val="0"/>
        <w:spacing w:line="360" w:lineRule="auto"/>
        <w:jc w:val="center"/>
        <w:rPr>
          <w:rFonts w:ascii="宋体" w:hAnsi="宋体" w:cs="宋体"/>
          <w:b/>
          <w:bCs/>
          <w:color w:val="auto"/>
          <w:sz w:val="44"/>
          <w:szCs w:val="44"/>
          <w:highlight w:val="none"/>
        </w:rPr>
      </w:pPr>
      <w:r>
        <w:rPr>
          <w:rFonts w:hint="eastAsia" w:ascii="宋体" w:hAnsi="宋体" w:cs="宋体"/>
          <w:b/>
          <w:color w:val="auto"/>
          <w:spacing w:val="-11"/>
          <w:kern w:val="0"/>
          <w:sz w:val="44"/>
          <w:szCs w:val="44"/>
          <w:highlight w:val="none"/>
          <w:lang w:val="zh-CN"/>
        </w:rPr>
        <w:t>2025-2026年年度小额施工单位（建筑安装施工）招标项目</w:t>
      </w:r>
      <w:r>
        <w:rPr>
          <w:rFonts w:hint="eastAsia" w:ascii="宋体" w:hAnsi="宋体" w:cs="宋体"/>
          <w:b/>
          <w:bCs/>
          <w:color w:val="auto"/>
          <w:sz w:val="44"/>
          <w:szCs w:val="44"/>
          <w:highlight w:val="none"/>
        </w:rPr>
        <w:t>（资格文件/报价文件/商务技术文件）</w:t>
      </w:r>
    </w:p>
    <w:p w14:paraId="24948B60">
      <w:pPr>
        <w:shd w:val="clear" w:color="auto" w:fill="FFFFFF"/>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采购编号：</w:t>
      </w:r>
      <w:r>
        <w:rPr>
          <w:rFonts w:hint="eastAsia" w:ascii="宋体" w:hAnsi="宋体" w:cs="宋体"/>
          <w:b/>
          <w:bCs/>
          <w:color w:val="auto"/>
          <w:sz w:val="32"/>
          <w:szCs w:val="32"/>
          <w:highlight w:val="none"/>
          <w:lang w:eastAsia="zh-CN"/>
        </w:rPr>
        <w:t>HSZB-2025-064</w:t>
      </w:r>
      <w:r>
        <w:rPr>
          <w:rFonts w:hint="eastAsia" w:ascii="宋体" w:hAnsi="宋体" w:cs="宋体"/>
          <w:b/>
          <w:bCs/>
          <w:color w:val="auto"/>
          <w:sz w:val="32"/>
          <w:szCs w:val="32"/>
          <w:highlight w:val="none"/>
        </w:rPr>
        <w:t xml:space="preserve">    </w:t>
      </w:r>
    </w:p>
    <w:p w14:paraId="53AB08B7">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磋</w:t>
      </w:r>
    </w:p>
    <w:p w14:paraId="20287F11">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商</w:t>
      </w:r>
    </w:p>
    <w:p w14:paraId="30DE0E00">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响</w:t>
      </w:r>
    </w:p>
    <w:p w14:paraId="25E9B8C8">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应</w:t>
      </w:r>
    </w:p>
    <w:p w14:paraId="327DC946">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4FA66D21">
      <w:pPr>
        <w:shd w:val="clear" w:color="auto" w:fill="FFFFFF"/>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2B7677D7">
      <w:pPr>
        <w:shd w:val="clear" w:color="auto" w:fill="FFFFFF"/>
        <w:spacing w:line="360" w:lineRule="auto"/>
        <w:jc w:val="center"/>
        <w:rPr>
          <w:rFonts w:ascii="宋体" w:hAnsi="宋体" w:cs="宋体"/>
          <w:color w:val="auto"/>
          <w:sz w:val="72"/>
          <w:szCs w:val="72"/>
          <w:highlight w:val="none"/>
        </w:rPr>
      </w:pPr>
    </w:p>
    <w:p w14:paraId="74B930EB">
      <w:pPr>
        <w:shd w:val="clear" w:color="auto" w:fill="FFFFFF"/>
        <w:spacing w:line="360" w:lineRule="auto"/>
        <w:ind w:firstLine="2400" w:firstLineChars="750"/>
        <w:rPr>
          <w:rFonts w:ascii="宋体" w:hAnsi="宋体" w:cs="宋体"/>
          <w:color w:val="auto"/>
          <w:sz w:val="32"/>
          <w:szCs w:val="32"/>
          <w:highlight w:val="none"/>
        </w:rPr>
      </w:pPr>
      <w:r>
        <w:rPr>
          <w:rFonts w:hint="eastAsia" w:ascii="宋体" w:hAnsi="宋体" w:cs="宋体"/>
          <w:color w:val="auto"/>
          <w:sz w:val="32"/>
          <w:szCs w:val="32"/>
          <w:highlight w:val="none"/>
        </w:rPr>
        <w:t>供应商全称：（加盖单位公章）</w:t>
      </w:r>
    </w:p>
    <w:p w14:paraId="5E6EEF86">
      <w:pPr>
        <w:shd w:val="clear" w:color="auto" w:fill="FFFFFF"/>
        <w:spacing w:line="360" w:lineRule="auto"/>
        <w:jc w:val="center"/>
        <w:rPr>
          <w:rFonts w:ascii="宋体" w:hAnsi="宋体" w:cs="宋体"/>
          <w:color w:val="auto"/>
          <w:sz w:val="24"/>
          <w:highlight w:val="none"/>
        </w:rPr>
      </w:pPr>
      <w:r>
        <w:rPr>
          <w:rFonts w:hint="eastAsia" w:ascii="宋体" w:hAnsi="宋体" w:cs="宋体"/>
          <w:color w:val="auto"/>
          <w:sz w:val="32"/>
          <w:szCs w:val="32"/>
          <w:highlight w:val="none"/>
        </w:rPr>
        <w:t>年   月   日</w:t>
      </w:r>
    </w:p>
    <w:p w14:paraId="576FD0D2">
      <w:pPr>
        <w:adjustRightInd w:val="0"/>
        <w:snapToGrid w:val="0"/>
        <w:spacing w:line="360" w:lineRule="auto"/>
        <w:rPr>
          <w:rFonts w:ascii="宋体" w:hAnsi="宋体" w:cs="宋体"/>
          <w:b/>
          <w:color w:val="auto"/>
          <w:szCs w:val="21"/>
          <w:highlight w:val="none"/>
        </w:rPr>
      </w:pPr>
    </w:p>
    <w:p w14:paraId="53B097E8">
      <w:pPr>
        <w:rPr>
          <w:rFonts w:ascii="宋体" w:hAnsi="宋体" w:cs="宋体"/>
          <w:color w:val="auto"/>
          <w:highlight w:val="none"/>
        </w:rPr>
      </w:pPr>
      <w:bookmarkStart w:id="115" w:name="_Toc11786"/>
      <w:bookmarkStart w:id="116" w:name="_Toc29864"/>
      <w:bookmarkStart w:id="117" w:name="_Toc14604"/>
      <w:r>
        <w:rPr>
          <w:rFonts w:hint="eastAsia" w:ascii="宋体" w:hAnsi="宋体" w:cs="宋体"/>
          <w:color w:val="auto"/>
          <w:highlight w:val="none"/>
        </w:rPr>
        <w:br w:type="page"/>
      </w:r>
    </w:p>
    <w:p w14:paraId="4E18DAAA">
      <w:pPr>
        <w:pStyle w:val="3"/>
        <w:adjustRightInd w:val="0"/>
        <w:snapToGrid w:val="0"/>
        <w:rPr>
          <w:rFonts w:ascii="宋体" w:hAnsi="宋体" w:cs="宋体"/>
          <w:color w:val="auto"/>
          <w:highlight w:val="none"/>
        </w:rPr>
      </w:pPr>
      <w:bookmarkStart w:id="118" w:name="_Toc603"/>
      <w:bookmarkStart w:id="119" w:name="_Toc23859"/>
      <w:r>
        <w:rPr>
          <w:rFonts w:hint="eastAsia" w:ascii="宋体" w:hAnsi="宋体" w:cs="宋体"/>
          <w:color w:val="auto"/>
          <w:highlight w:val="none"/>
        </w:rPr>
        <w:t>资格文件</w:t>
      </w:r>
      <w:bookmarkEnd w:id="115"/>
      <w:bookmarkEnd w:id="116"/>
      <w:bookmarkEnd w:id="117"/>
      <w:bookmarkEnd w:id="118"/>
      <w:bookmarkEnd w:id="119"/>
    </w:p>
    <w:p w14:paraId="6EF1C00C">
      <w:pPr>
        <w:snapToGrid w:val="0"/>
        <w:spacing w:line="300" w:lineRule="auto"/>
        <w:ind w:left="-1"/>
        <w:jc w:val="center"/>
        <w:rPr>
          <w:rFonts w:ascii="Arial" w:hAnsi="Arial" w:cs="Arial"/>
          <w:b/>
          <w:bCs/>
          <w:color w:val="auto"/>
          <w:sz w:val="28"/>
          <w:szCs w:val="28"/>
          <w:highlight w:val="none"/>
        </w:rPr>
      </w:pPr>
      <w:r>
        <w:rPr>
          <w:rFonts w:ascii="Arial" w:hAnsi="Arial" w:cs="Arial"/>
          <w:b/>
          <w:bCs/>
          <w:color w:val="auto"/>
          <w:sz w:val="28"/>
          <w:szCs w:val="28"/>
          <w:highlight w:val="none"/>
        </w:rPr>
        <w:t>资格条件表</w:t>
      </w:r>
    </w:p>
    <w:p w14:paraId="2416BA29">
      <w:pPr>
        <w:snapToGrid w:val="0"/>
        <w:spacing w:line="300" w:lineRule="auto"/>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lang w:eastAsia="zh-CN"/>
        </w:rPr>
        <w:t>2025-2026年年度小额施工单位（建筑安装施工）招标项目</w:t>
      </w:r>
    </w:p>
    <w:p w14:paraId="6B633F87">
      <w:pPr>
        <w:snapToGrid w:val="0"/>
        <w:spacing w:line="300" w:lineRule="auto"/>
        <w:rPr>
          <w:rFonts w:ascii="Arial" w:hAnsi="Arial" w:cs="Arial"/>
          <w:color w:val="auto"/>
          <w:highlight w:val="none"/>
        </w:rPr>
      </w:pPr>
      <w:r>
        <w:rPr>
          <w:rFonts w:ascii="Arial" w:hAnsi="Arial" w:cs="Arial"/>
          <w:color w:val="auto"/>
          <w:highlight w:val="none"/>
        </w:rPr>
        <w:t>项目编号：</w:t>
      </w:r>
      <w:r>
        <w:rPr>
          <w:rFonts w:hint="eastAsia" w:ascii="Arial" w:hAnsi="Arial" w:cs="Arial"/>
          <w:color w:val="auto"/>
          <w:highlight w:val="none"/>
          <w:lang w:eastAsia="zh-CN"/>
        </w:rPr>
        <w:t>HSZB-2025-064</w:t>
      </w:r>
      <w:r>
        <w:rPr>
          <w:rFonts w:hint="eastAsia" w:ascii="Arial" w:hAnsi="Arial" w:cs="Arial"/>
          <w:color w:val="auto"/>
          <w:highlight w:val="none"/>
        </w:rPr>
        <w:t xml:space="preserve"> </w:t>
      </w:r>
    </w:p>
    <w:p w14:paraId="4379CA90">
      <w:pPr>
        <w:pStyle w:val="59"/>
        <w:rPr>
          <w:color w:val="auto"/>
          <w:highlight w:val="none"/>
        </w:rPr>
      </w:pPr>
      <w:r>
        <w:rPr>
          <w:rFonts w:hint="eastAsia" w:ascii="Arial" w:hAnsi="Arial" w:eastAsia="宋体" w:cs="Arial"/>
          <w:color w:val="auto"/>
          <w:sz w:val="21"/>
          <w:highlight w:val="none"/>
        </w:rPr>
        <w:t>标段名称：</w:t>
      </w:r>
    </w:p>
    <w:tbl>
      <w:tblPr>
        <w:tblStyle w:val="45"/>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977"/>
        <w:gridCol w:w="4099"/>
      </w:tblGrid>
      <w:tr w14:paraId="77DD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87" w:type="pct"/>
            <w:vAlign w:val="center"/>
          </w:tcPr>
          <w:p w14:paraId="6010AF95">
            <w:pPr>
              <w:jc w:val="center"/>
              <w:rPr>
                <w:color w:val="auto"/>
                <w:highlight w:val="none"/>
              </w:rPr>
            </w:pPr>
            <w:r>
              <w:rPr>
                <w:color w:val="auto"/>
                <w:highlight w:val="none"/>
              </w:rPr>
              <w:t>序号</w:t>
            </w:r>
          </w:p>
        </w:tc>
        <w:tc>
          <w:tcPr>
            <w:tcW w:w="2173" w:type="pct"/>
            <w:vAlign w:val="center"/>
          </w:tcPr>
          <w:p w14:paraId="688F167C">
            <w:pPr>
              <w:jc w:val="center"/>
              <w:rPr>
                <w:color w:val="auto"/>
                <w:highlight w:val="none"/>
              </w:rPr>
            </w:pPr>
            <w:r>
              <w:rPr>
                <w:color w:val="auto"/>
                <w:highlight w:val="none"/>
              </w:rPr>
              <w:t>资格条件</w:t>
            </w:r>
          </w:p>
        </w:tc>
        <w:tc>
          <w:tcPr>
            <w:tcW w:w="2239" w:type="pct"/>
            <w:vAlign w:val="center"/>
          </w:tcPr>
          <w:p w14:paraId="7FA4E42B">
            <w:pPr>
              <w:jc w:val="center"/>
              <w:rPr>
                <w:color w:val="auto"/>
                <w:highlight w:val="none"/>
              </w:rPr>
            </w:pPr>
            <w:r>
              <w:rPr>
                <w:color w:val="auto"/>
                <w:highlight w:val="none"/>
              </w:rPr>
              <w:t>应提供的资格审查资料（除承诺函、说明、声明外的其他证件提供扫描件）</w:t>
            </w:r>
          </w:p>
        </w:tc>
      </w:tr>
      <w:tr w14:paraId="74F7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87" w:type="pct"/>
            <w:vAlign w:val="center"/>
          </w:tcPr>
          <w:p w14:paraId="21A5F0C8">
            <w:pPr>
              <w:jc w:val="center"/>
              <w:rPr>
                <w:color w:val="auto"/>
                <w:highlight w:val="none"/>
              </w:rPr>
            </w:pPr>
            <w:r>
              <w:rPr>
                <w:color w:val="auto"/>
                <w:highlight w:val="none"/>
              </w:rPr>
              <w:t>1.</w:t>
            </w:r>
          </w:p>
        </w:tc>
        <w:tc>
          <w:tcPr>
            <w:tcW w:w="2173" w:type="pct"/>
            <w:vAlign w:val="center"/>
          </w:tcPr>
          <w:p w14:paraId="669677E4">
            <w:pPr>
              <w:jc w:val="left"/>
              <w:rPr>
                <w:color w:val="auto"/>
                <w:highlight w:val="none"/>
              </w:rPr>
            </w:pPr>
            <w:r>
              <w:rPr>
                <w:color w:val="auto"/>
                <w:highlight w:val="none"/>
              </w:rPr>
              <w:t>基本资格要求：</w:t>
            </w:r>
          </w:p>
        </w:tc>
        <w:tc>
          <w:tcPr>
            <w:tcW w:w="2239" w:type="pct"/>
            <w:vAlign w:val="center"/>
          </w:tcPr>
          <w:p w14:paraId="4819A918">
            <w:pPr>
              <w:jc w:val="left"/>
              <w:rPr>
                <w:color w:val="auto"/>
                <w:highlight w:val="none"/>
              </w:rPr>
            </w:pPr>
          </w:p>
        </w:tc>
      </w:tr>
      <w:tr w14:paraId="3987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587" w:type="pct"/>
            <w:vAlign w:val="center"/>
          </w:tcPr>
          <w:p w14:paraId="2A54DC2B">
            <w:pPr>
              <w:jc w:val="center"/>
              <w:rPr>
                <w:color w:val="auto"/>
                <w:highlight w:val="none"/>
              </w:rPr>
            </w:pPr>
            <w:r>
              <w:rPr>
                <w:color w:val="auto"/>
                <w:highlight w:val="none"/>
              </w:rPr>
              <w:t>（1）</w:t>
            </w:r>
          </w:p>
        </w:tc>
        <w:tc>
          <w:tcPr>
            <w:tcW w:w="2173" w:type="pct"/>
            <w:vAlign w:val="center"/>
          </w:tcPr>
          <w:p w14:paraId="286F738B">
            <w:pPr>
              <w:jc w:val="left"/>
              <w:rPr>
                <w:color w:val="auto"/>
                <w:highlight w:val="none"/>
              </w:rPr>
            </w:pPr>
            <w:r>
              <w:rPr>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tc>
        <w:tc>
          <w:tcPr>
            <w:tcW w:w="2239" w:type="pct"/>
            <w:vAlign w:val="center"/>
          </w:tcPr>
          <w:p w14:paraId="0DB787F9">
            <w:pPr>
              <w:jc w:val="left"/>
              <w:rPr>
                <w:color w:val="auto"/>
                <w:highlight w:val="none"/>
              </w:rPr>
            </w:pPr>
            <w:r>
              <w:rPr>
                <w:color w:val="auto"/>
                <w:highlight w:val="none"/>
                <w:lang w:bidi="ar"/>
              </w:rPr>
              <w:t>1）符合参加政府采购活动应当具备的一般条件的承诺函</w:t>
            </w:r>
          </w:p>
        </w:tc>
      </w:tr>
      <w:tr w14:paraId="0121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87" w:type="pct"/>
            <w:vAlign w:val="center"/>
          </w:tcPr>
          <w:p w14:paraId="1C779070">
            <w:pPr>
              <w:jc w:val="center"/>
              <w:rPr>
                <w:color w:val="auto"/>
                <w:highlight w:val="none"/>
              </w:rPr>
            </w:pPr>
            <w:r>
              <w:rPr>
                <w:color w:val="auto"/>
                <w:highlight w:val="none"/>
              </w:rPr>
              <w:t>2</w:t>
            </w:r>
          </w:p>
        </w:tc>
        <w:tc>
          <w:tcPr>
            <w:tcW w:w="2173" w:type="pct"/>
            <w:vAlign w:val="center"/>
          </w:tcPr>
          <w:p w14:paraId="63E4447C">
            <w:pPr>
              <w:jc w:val="left"/>
              <w:rPr>
                <w:color w:val="auto"/>
                <w:highlight w:val="none"/>
              </w:rPr>
            </w:pPr>
            <w:r>
              <w:rPr>
                <w:color w:val="auto"/>
                <w:highlight w:val="none"/>
              </w:rPr>
              <w:t>落实政府采购政策需满足的资格要求</w:t>
            </w:r>
          </w:p>
        </w:tc>
        <w:tc>
          <w:tcPr>
            <w:tcW w:w="2239" w:type="pct"/>
            <w:vAlign w:val="center"/>
          </w:tcPr>
          <w:p w14:paraId="3580B7F7">
            <w:pPr>
              <w:jc w:val="left"/>
              <w:rPr>
                <w:color w:val="auto"/>
                <w:highlight w:val="none"/>
                <w:lang w:bidi="ar"/>
              </w:rPr>
            </w:pPr>
          </w:p>
        </w:tc>
      </w:tr>
      <w:tr w14:paraId="0C47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87" w:type="pct"/>
            <w:vAlign w:val="center"/>
          </w:tcPr>
          <w:p w14:paraId="58A191E9">
            <w:pPr>
              <w:jc w:val="center"/>
              <w:rPr>
                <w:color w:val="auto"/>
                <w:highlight w:val="none"/>
              </w:rPr>
            </w:pPr>
            <w:r>
              <w:rPr>
                <w:color w:val="auto"/>
                <w:highlight w:val="none"/>
              </w:rPr>
              <w:t>（1）</w:t>
            </w:r>
          </w:p>
        </w:tc>
        <w:tc>
          <w:tcPr>
            <w:tcW w:w="2173" w:type="pct"/>
            <w:vAlign w:val="center"/>
          </w:tcPr>
          <w:p w14:paraId="3E2AE51B">
            <w:pPr>
              <w:jc w:val="left"/>
              <w:rPr>
                <w:color w:val="auto"/>
                <w:highlight w:val="none"/>
              </w:rPr>
            </w:pPr>
            <w:r>
              <w:rPr>
                <w:color w:val="auto"/>
                <w:highlight w:val="none"/>
              </w:rPr>
              <w:t>本项目为专门面向中小企业采购的项目</w:t>
            </w:r>
          </w:p>
        </w:tc>
        <w:tc>
          <w:tcPr>
            <w:tcW w:w="2239" w:type="pct"/>
            <w:vAlign w:val="center"/>
          </w:tcPr>
          <w:p w14:paraId="3BB9E4CB">
            <w:pPr>
              <w:jc w:val="left"/>
              <w:rPr>
                <w:color w:val="auto"/>
                <w:highlight w:val="none"/>
                <w:lang w:bidi="ar"/>
              </w:rPr>
            </w:pPr>
            <w:r>
              <w:rPr>
                <w:color w:val="auto"/>
                <w:highlight w:val="none"/>
                <w:lang w:bidi="ar"/>
              </w:rPr>
              <w:t>2）中小企业声明函或监狱企业、残疾人福利性单位及其他相关的充分的证明材料</w:t>
            </w:r>
          </w:p>
        </w:tc>
      </w:tr>
      <w:tr w14:paraId="64A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7" w:type="pct"/>
            <w:vAlign w:val="center"/>
          </w:tcPr>
          <w:p w14:paraId="39FCCBA7">
            <w:pPr>
              <w:jc w:val="center"/>
              <w:rPr>
                <w:color w:val="auto"/>
                <w:highlight w:val="none"/>
              </w:rPr>
            </w:pPr>
            <w:r>
              <w:rPr>
                <w:color w:val="auto"/>
                <w:highlight w:val="none"/>
              </w:rPr>
              <w:t>3</w:t>
            </w:r>
          </w:p>
        </w:tc>
        <w:tc>
          <w:tcPr>
            <w:tcW w:w="2173" w:type="pct"/>
            <w:vAlign w:val="center"/>
          </w:tcPr>
          <w:p w14:paraId="70767BCF">
            <w:pPr>
              <w:jc w:val="left"/>
              <w:rPr>
                <w:color w:val="auto"/>
                <w:highlight w:val="none"/>
              </w:rPr>
            </w:pPr>
            <w:r>
              <w:rPr>
                <w:color w:val="auto"/>
                <w:highlight w:val="none"/>
              </w:rPr>
              <w:t>联合体（如有）</w:t>
            </w:r>
          </w:p>
        </w:tc>
        <w:tc>
          <w:tcPr>
            <w:tcW w:w="2239" w:type="pct"/>
            <w:vAlign w:val="center"/>
          </w:tcPr>
          <w:p w14:paraId="2CC4BB9E">
            <w:pPr>
              <w:jc w:val="left"/>
              <w:rPr>
                <w:color w:val="auto"/>
                <w:highlight w:val="none"/>
              </w:rPr>
            </w:pPr>
            <w:r>
              <w:rPr>
                <w:color w:val="auto"/>
                <w:highlight w:val="none"/>
              </w:rPr>
              <w:t>联合体协议（如为联合体投标的，须提供）</w:t>
            </w:r>
          </w:p>
        </w:tc>
      </w:tr>
      <w:tr w14:paraId="7813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7" w:type="pct"/>
            <w:vAlign w:val="center"/>
          </w:tcPr>
          <w:p w14:paraId="5D7286AD">
            <w:pPr>
              <w:jc w:val="center"/>
              <w:rPr>
                <w:color w:val="auto"/>
                <w:highlight w:val="none"/>
              </w:rPr>
            </w:pPr>
            <w:r>
              <w:rPr>
                <w:color w:val="auto"/>
                <w:highlight w:val="none"/>
              </w:rPr>
              <w:t>4.</w:t>
            </w:r>
          </w:p>
        </w:tc>
        <w:tc>
          <w:tcPr>
            <w:tcW w:w="2173" w:type="pct"/>
            <w:vAlign w:val="center"/>
          </w:tcPr>
          <w:p w14:paraId="5D62775D">
            <w:pPr>
              <w:jc w:val="left"/>
              <w:rPr>
                <w:color w:val="auto"/>
                <w:highlight w:val="none"/>
              </w:rPr>
            </w:pPr>
            <w:r>
              <w:rPr>
                <w:color w:val="auto"/>
                <w:highlight w:val="none"/>
              </w:rPr>
              <w:t>特定资格要求：</w:t>
            </w:r>
          </w:p>
        </w:tc>
        <w:tc>
          <w:tcPr>
            <w:tcW w:w="2239" w:type="pct"/>
            <w:vAlign w:val="center"/>
          </w:tcPr>
          <w:p w14:paraId="5F925AC1">
            <w:pPr>
              <w:jc w:val="left"/>
              <w:rPr>
                <w:color w:val="auto"/>
                <w:highlight w:val="none"/>
              </w:rPr>
            </w:pPr>
            <w:r>
              <w:rPr>
                <w:color w:val="auto"/>
                <w:highlight w:val="none"/>
              </w:rPr>
              <w:t>/</w:t>
            </w:r>
          </w:p>
        </w:tc>
      </w:tr>
    </w:tbl>
    <w:p w14:paraId="35F2768C">
      <w:pPr>
        <w:snapToGrid w:val="0"/>
        <w:spacing w:line="300" w:lineRule="auto"/>
        <w:ind w:firstLine="422" w:firstLineChars="200"/>
        <w:jc w:val="left"/>
        <w:rPr>
          <w:rFonts w:ascii="Arial" w:hAnsi="Arial" w:cs="Arial"/>
          <w:b/>
          <w:bCs/>
          <w:color w:val="auto"/>
          <w:szCs w:val="21"/>
          <w:highlight w:val="none"/>
          <w:u w:val="single"/>
        </w:rPr>
      </w:pPr>
      <w:r>
        <w:rPr>
          <w:rFonts w:ascii="Arial" w:hAnsi="Arial" w:cs="Arial"/>
          <w:b/>
          <w:bCs/>
          <w:color w:val="auto"/>
          <w:szCs w:val="21"/>
          <w:highlight w:val="none"/>
          <w:u w:val="single"/>
        </w:rPr>
        <w:t>证明材料需加盖投标</w:t>
      </w:r>
      <w:r>
        <w:rPr>
          <w:rFonts w:hint="eastAsia" w:ascii="Arial" w:hAnsi="Arial" w:cs="Arial"/>
          <w:b/>
          <w:bCs/>
          <w:color w:val="auto"/>
          <w:szCs w:val="21"/>
          <w:highlight w:val="none"/>
          <w:u w:val="single"/>
        </w:rPr>
        <w:t>供应商</w:t>
      </w:r>
      <w:r>
        <w:rPr>
          <w:rFonts w:ascii="Arial" w:hAnsi="Arial" w:cs="Arial"/>
          <w:b/>
          <w:bCs/>
          <w:color w:val="auto"/>
          <w:szCs w:val="21"/>
          <w:highlight w:val="none"/>
          <w:u w:val="single"/>
        </w:rPr>
        <w:t>单位公章。</w:t>
      </w:r>
    </w:p>
    <w:p w14:paraId="6F8D246B">
      <w:pPr>
        <w:snapToGrid w:val="0"/>
        <w:spacing w:line="300" w:lineRule="auto"/>
        <w:ind w:firstLine="422" w:firstLineChars="200"/>
        <w:jc w:val="left"/>
        <w:rPr>
          <w:rFonts w:ascii="Arial" w:hAnsi="Arial" w:cs="Arial"/>
          <w:b/>
          <w:bCs/>
          <w:color w:val="auto"/>
          <w:szCs w:val="21"/>
          <w:highlight w:val="none"/>
          <w:u w:val="single"/>
        </w:rPr>
      </w:pPr>
      <w:r>
        <w:rPr>
          <w:rFonts w:ascii="Arial" w:hAnsi="Arial" w:cs="Arial"/>
          <w:b/>
          <w:bCs/>
          <w:color w:val="auto"/>
          <w:szCs w:val="21"/>
          <w:highlight w:val="none"/>
          <w:u w:val="single"/>
        </w:rPr>
        <w:t>各声明函格式附后</w:t>
      </w:r>
    </w:p>
    <w:p w14:paraId="6DFF07C6">
      <w:pPr>
        <w:snapToGrid w:val="0"/>
        <w:spacing w:line="300" w:lineRule="auto"/>
        <w:jc w:val="center"/>
        <w:rPr>
          <w:rFonts w:cs="Arial"/>
          <w:b/>
          <w:color w:val="auto"/>
          <w:kern w:val="0"/>
          <w:sz w:val="32"/>
          <w:szCs w:val="28"/>
          <w:highlight w:val="none"/>
        </w:rPr>
      </w:pPr>
    </w:p>
    <w:p w14:paraId="65A8F6FA">
      <w:pPr>
        <w:snapToGrid w:val="0"/>
        <w:spacing w:line="300" w:lineRule="auto"/>
        <w:jc w:val="center"/>
        <w:rPr>
          <w:rFonts w:cs="Arial"/>
          <w:b/>
          <w:color w:val="auto"/>
          <w:kern w:val="0"/>
          <w:sz w:val="32"/>
          <w:szCs w:val="28"/>
          <w:highlight w:val="none"/>
        </w:rPr>
      </w:pPr>
    </w:p>
    <w:p w14:paraId="70AD7BE3">
      <w:pPr>
        <w:rPr>
          <w:color w:val="auto"/>
          <w:highlight w:val="none"/>
        </w:rPr>
      </w:pPr>
    </w:p>
    <w:p w14:paraId="470722CE">
      <w:pPr>
        <w:pStyle w:val="21"/>
        <w:ind w:firstLine="0"/>
        <w:rPr>
          <w:color w:val="auto"/>
          <w:highlight w:val="none"/>
          <w:lang w:val="en-US"/>
        </w:rPr>
      </w:pPr>
    </w:p>
    <w:p w14:paraId="24D64BD8">
      <w:pPr>
        <w:snapToGrid w:val="0"/>
        <w:spacing w:line="300" w:lineRule="auto"/>
        <w:jc w:val="center"/>
        <w:rPr>
          <w:rFonts w:cs="Arial"/>
          <w:b/>
          <w:color w:val="auto"/>
          <w:kern w:val="0"/>
          <w:sz w:val="32"/>
          <w:szCs w:val="28"/>
          <w:highlight w:val="none"/>
        </w:rPr>
      </w:pPr>
      <w:r>
        <w:rPr>
          <w:rFonts w:hint="eastAsia" w:cs="Arial"/>
          <w:b/>
          <w:color w:val="auto"/>
          <w:kern w:val="0"/>
          <w:sz w:val="32"/>
          <w:szCs w:val="28"/>
          <w:highlight w:val="none"/>
        </w:rPr>
        <w:br w:type="page"/>
      </w:r>
      <w:r>
        <w:rPr>
          <w:rFonts w:hint="eastAsia" w:cs="Arial"/>
          <w:b/>
          <w:color w:val="auto"/>
          <w:kern w:val="0"/>
          <w:sz w:val="32"/>
          <w:szCs w:val="28"/>
          <w:highlight w:val="none"/>
        </w:rPr>
        <w:t>一、 符合参加政府采购活动应当具备的一般条件的承诺函</w:t>
      </w:r>
    </w:p>
    <w:p w14:paraId="59514F3D">
      <w:pPr>
        <w:snapToGrid w:val="0"/>
        <w:spacing w:line="360" w:lineRule="auto"/>
        <w:rPr>
          <w:rFonts w:ascii="宋体" w:hAnsi="宋体" w:cs="宋体"/>
          <w:color w:val="auto"/>
          <w:szCs w:val="21"/>
          <w:highlight w:val="none"/>
        </w:rPr>
      </w:pPr>
    </w:p>
    <w:p w14:paraId="140E59CA">
      <w:pPr>
        <w:shd w:val="clear" w:color="auto" w:fill="FFFFFF"/>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、浙江豪圣建设项目管理有限公司：</w:t>
      </w:r>
    </w:p>
    <w:p w14:paraId="148C99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我方参与2025-2026年年度小额施工单位（</w:t>
      </w:r>
      <w:r>
        <w:rPr>
          <w:rFonts w:hint="eastAsia" w:ascii="宋体" w:hAnsi="宋体" w:cs="宋体"/>
          <w:color w:val="auto"/>
          <w:szCs w:val="21"/>
          <w:highlight w:val="none"/>
          <w:lang w:eastAsia="zh-CN"/>
        </w:rPr>
        <w:t>建筑安装施工</w:t>
      </w:r>
      <w:r>
        <w:rPr>
          <w:rFonts w:hint="eastAsia" w:ascii="宋体" w:hAnsi="宋体" w:cs="宋体"/>
          <w:color w:val="auto"/>
          <w:szCs w:val="21"/>
          <w:highlight w:val="none"/>
        </w:rPr>
        <w:t>）招标项目【招标编号：</w:t>
      </w:r>
      <w:r>
        <w:rPr>
          <w:rFonts w:hint="eastAsia" w:ascii="宋体" w:hAnsi="宋体" w:cs="宋体"/>
          <w:color w:val="auto"/>
          <w:szCs w:val="21"/>
          <w:highlight w:val="none"/>
          <w:lang w:val="en-US" w:eastAsia="zh-CN"/>
        </w:rPr>
        <w:t>HSZB-2025-064</w:t>
      </w:r>
      <w:r>
        <w:rPr>
          <w:rFonts w:hint="eastAsia" w:ascii="宋体" w:hAnsi="宋体" w:cs="宋体"/>
          <w:color w:val="auto"/>
          <w:szCs w:val="21"/>
          <w:highlight w:val="none"/>
        </w:rPr>
        <w:t>】标项：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政府采购活动，郑重承诺：</w:t>
      </w:r>
    </w:p>
    <w:p w14:paraId="21DFCDA6">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4B3155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C8EC4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22817D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F2AD3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DD151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0819D6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50C883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3A9C9B3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0AF5A4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2AAD8F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4F606A3">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474BD59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A768C69">
      <w:pPr>
        <w:pStyle w:val="20"/>
        <w:rPr>
          <w:color w:val="auto"/>
          <w:highlight w:val="none"/>
        </w:rPr>
      </w:pPr>
    </w:p>
    <w:p w14:paraId="00E3B217">
      <w:pPr>
        <w:snapToGrid w:val="0"/>
        <w:spacing w:line="300" w:lineRule="auto"/>
        <w:ind w:firstLine="420" w:firstLineChars="200"/>
        <w:jc w:val="left"/>
        <w:rPr>
          <w:rFonts w:ascii="Arial" w:hAnsi="Arial" w:cs="Arial"/>
          <w:color w:val="auto"/>
          <w:szCs w:val="21"/>
          <w:highlight w:val="none"/>
        </w:rPr>
      </w:pPr>
    </w:p>
    <w:p w14:paraId="6572EE0B">
      <w:pPr>
        <w:jc w:val="center"/>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二、中小企业声明函或监狱企业、残疾人福利性单位及其他相关的充分的证明材料</w:t>
      </w:r>
    </w:p>
    <w:p w14:paraId="0DD3CC42">
      <w:pPr>
        <w:bidi w:val="0"/>
        <w:rPr>
          <w:color w:val="auto"/>
          <w:highlight w:val="none"/>
        </w:rPr>
      </w:pPr>
    </w:p>
    <w:p w14:paraId="2CAF9839">
      <w:pPr>
        <w:snapToGrid w:val="0"/>
        <w:spacing w:line="360" w:lineRule="auto"/>
        <w:ind w:firstLine="562" w:firstLineChars="200"/>
        <w:jc w:val="center"/>
        <w:rPr>
          <w:b/>
          <w:color w:val="auto"/>
          <w:sz w:val="28"/>
          <w:szCs w:val="28"/>
          <w:highlight w:val="none"/>
        </w:rPr>
      </w:pPr>
    </w:p>
    <w:p w14:paraId="293369C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0780FD6B">
      <w:pPr>
        <w:spacing w:line="360" w:lineRule="auto"/>
        <w:rPr>
          <w:rFonts w:ascii="宋体" w:hAnsi="宋体" w:cs="宋体"/>
          <w:color w:val="auto"/>
          <w:szCs w:val="21"/>
          <w:highlight w:val="none"/>
        </w:rPr>
      </w:pPr>
    </w:p>
    <w:p w14:paraId="1B9E2201">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lang w:eastAsia="zh-CN"/>
        </w:rPr>
        <w:t>浙江农林大学</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2025-2026年年度小额施工单位（建筑安装施工）招标项目</w:t>
      </w:r>
      <w:r>
        <w:rPr>
          <w:rFonts w:hint="eastAsia" w:ascii="宋体" w:hAnsi="宋体" w:cs="宋体"/>
          <w:color w:val="auto"/>
          <w:szCs w:val="21"/>
          <w:highlight w:val="none"/>
          <w:u w:val="single"/>
        </w:rPr>
        <w:t xml:space="preserve">标项：  </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16F8E3E">
      <w:pPr>
        <w:numPr>
          <w:ilvl w:val="0"/>
          <w:numId w:val="8"/>
        </w:num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u w:val="single"/>
        </w:rPr>
        <w:t>（标的）</w:t>
      </w:r>
      <w:r>
        <w:rPr>
          <w:rFonts w:hint="eastAsia" w:ascii="宋体" w:hAnsi="宋体" w:cs="宋体"/>
          <w:color w:val="auto"/>
          <w:szCs w:val="21"/>
          <w:highlight w:val="none"/>
        </w:rPr>
        <w:t>，属于</w:t>
      </w:r>
      <w:r>
        <w:rPr>
          <w:rFonts w:hint="eastAsia" w:ascii="宋体" w:hAnsi="宋体" w:cs="宋体"/>
          <w:b/>
          <w:bCs/>
          <w:color w:val="auto"/>
          <w:szCs w:val="21"/>
          <w:highlight w:val="none"/>
          <w:u w:val="single"/>
        </w:rPr>
        <w:t>（行业）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中型企业/</w:t>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微型企业） </w:t>
      </w:r>
      <w:r>
        <w:rPr>
          <w:rFonts w:hint="eastAsia" w:ascii="宋体" w:hAnsi="宋体" w:cs="宋体"/>
          <w:color w:val="auto"/>
          <w:szCs w:val="21"/>
          <w:highlight w:val="none"/>
        </w:rPr>
        <w:t>；</w:t>
      </w:r>
    </w:p>
    <w:p w14:paraId="0D2D96D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7D12E73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69A40350">
      <w:pPr>
        <w:spacing w:line="360" w:lineRule="auto"/>
        <w:ind w:right="1760"/>
        <w:jc w:val="right"/>
        <w:rPr>
          <w:rFonts w:ascii="宋体" w:hAnsi="宋体" w:cs="宋体"/>
          <w:color w:val="auto"/>
          <w:szCs w:val="21"/>
          <w:highlight w:val="none"/>
        </w:rPr>
      </w:pPr>
      <w:r>
        <w:rPr>
          <w:rFonts w:hint="eastAsia" w:ascii="宋体" w:hAnsi="宋体" w:cs="宋体"/>
          <w:color w:val="auto"/>
          <w:szCs w:val="21"/>
          <w:highlight w:val="none"/>
        </w:rPr>
        <w:t>投标人名称（公章）：</w:t>
      </w:r>
    </w:p>
    <w:p w14:paraId="0C02ED1A">
      <w:pPr>
        <w:spacing w:line="360" w:lineRule="auto"/>
        <w:ind w:right="1120" w:firstLine="5145" w:firstLineChars="2450"/>
        <w:rPr>
          <w:rFonts w:ascii="宋体" w:hAnsi="宋体" w:cs="宋体"/>
          <w:color w:val="auto"/>
          <w:szCs w:val="21"/>
          <w:highlight w:val="none"/>
        </w:rPr>
      </w:pPr>
      <w:r>
        <w:rPr>
          <w:rFonts w:hint="eastAsia" w:ascii="宋体" w:hAnsi="宋体" w:cs="宋体"/>
          <w:color w:val="auto"/>
          <w:szCs w:val="21"/>
          <w:highlight w:val="none"/>
        </w:rPr>
        <w:t>日 期：</w:t>
      </w:r>
    </w:p>
    <w:p w14:paraId="798EA6B8">
      <w:pPr>
        <w:spacing w:line="360" w:lineRule="auto"/>
        <w:ind w:firstLine="310" w:firstLineChars="147"/>
        <w:jc w:val="left"/>
        <w:rPr>
          <w:rFonts w:ascii="宋体" w:hAnsi="宋体" w:cs="宋体"/>
          <w:b/>
          <w:color w:val="auto"/>
          <w:szCs w:val="21"/>
          <w:highlight w:val="none"/>
        </w:rPr>
      </w:pPr>
    </w:p>
    <w:p w14:paraId="55186D73">
      <w:pPr>
        <w:spacing w:line="360" w:lineRule="auto"/>
        <w:ind w:right="420"/>
        <w:jc w:val="left"/>
        <w:rPr>
          <w:rFonts w:ascii="宋体" w:hAnsi="宋体" w:cs="宋体"/>
          <w:b/>
          <w:color w:val="auto"/>
          <w:kern w:val="0"/>
          <w:szCs w:val="21"/>
          <w:highlight w:val="none"/>
        </w:rPr>
      </w:pPr>
      <w:r>
        <w:rPr>
          <w:rFonts w:hint="eastAsia" w:ascii="宋体" w:hAnsi="宋体" w:cs="宋体"/>
          <w:color w:val="auto"/>
          <w:szCs w:val="21"/>
          <w:highlight w:val="none"/>
        </w:rPr>
        <w:t xml:space="preserve">   注：填写要求：从业人员、营业收入、资产总额填报上一年度数据，无上一年度数据的新成立企业可不填报；中型企业、小型企业、微型企业等3种企业类型，结合以上数据，依据《中小企业划型标准规定》（工信部联企业〔2011〕300号）确定；投标人提供的《中小企业声明函》与实际情况不符的或者未按以上要求填写的，中小企业声明函无效，不享受中小企业扶持政策。声明内容不实的，属于提供虚假材料谋取中标、成交的，依法承担法律责任。 </w:t>
      </w:r>
    </w:p>
    <w:p w14:paraId="4C9D97AE">
      <w:pPr>
        <w:snapToGrid w:val="0"/>
        <w:spacing w:line="360" w:lineRule="auto"/>
        <w:ind w:firstLine="602" w:firstLineChars="200"/>
        <w:jc w:val="center"/>
        <w:rPr>
          <w:rFonts w:ascii="宋体" w:hAnsi="宋体" w:cs="宋体"/>
          <w:b/>
          <w:color w:val="auto"/>
          <w:kern w:val="0"/>
          <w:sz w:val="30"/>
          <w:szCs w:val="30"/>
          <w:highlight w:val="none"/>
        </w:rPr>
      </w:pPr>
    </w:p>
    <w:p w14:paraId="57FE6534">
      <w:pPr>
        <w:snapToGrid w:val="0"/>
        <w:spacing w:line="360" w:lineRule="auto"/>
        <w:ind w:firstLine="602" w:firstLineChars="200"/>
        <w:jc w:val="center"/>
        <w:rPr>
          <w:rFonts w:ascii="宋体" w:hAnsi="宋体" w:cs="宋体"/>
          <w:b/>
          <w:color w:val="auto"/>
          <w:kern w:val="0"/>
          <w:sz w:val="30"/>
          <w:szCs w:val="30"/>
          <w:highlight w:val="none"/>
        </w:rPr>
      </w:pPr>
    </w:p>
    <w:p w14:paraId="1AE0B84B">
      <w:pPr>
        <w:snapToGrid w:val="0"/>
        <w:spacing w:line="360" w:lineRule="auto"/>
        <w:ind w:firstLine="602" w:firstLineChars="200"/>
        <w:jc w:val="center"/>
        <w:rPr>
          <w:rFonts w:ascii="宋体" w:hAnsi="宋体" w:cs="宋体"/>
          <w:b/>
          <w:color w:val="auto"/>
          <w:kern w:val="0"/>
          <w:sz w:val="30"/>
          <w:szCs w:val="30"/>
          <w:highlight w:val="none"/>
        </w:rPr>
      </w:pPr>
    </w:p>
    <w:p w14:paraId="7433F7A3">
      <w:pPr>
        <w:bidi w:val="0"/>
        <w:rPr>
          <w:color w:val="auto"/>
          <w:highlight w:val="none"/>
        </w:rPr>
      </w:pPr>
    </w:p>
    <w:p w14:paraId="5F3DE751">
      <w:pPr>
        <w:snapToGrid w:val="0"/>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残疾人福利性单位声明函及其相关的充分的证明材料（如有）</w:t>
      </w:r>
    </w:p>
    <w:p w14:paraId="471196BD">
      <w:pPr>
        <w:pStyle w:val="2"/>
        <w:ind w:firstLine="883"/>
        <w:rPr>
          <w:rFonts w:ascii="宋体" w:hAnsi="宋体" w:eastAsia="宋体"/>
          <w:color w:val="auto"/>
          <w:highlight w:val="none"/>
        </w:rPr>
      </w:pPr>
    </w:p>
    <w:p w14:paraId="29869A63">
      <w:pPr>
        <w:snapToGrid w:val="0"/>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残疾人福利性单位声明函</w:t>
      </w:r>
    </w:p>
    <w:p w14:paraId="60349177">
      <w:pPr>
        <w:snapToGrid w:val="0"/>
        <w:spacing w:line="360" w:lineRule="auto"/>
        <w:ind w:firstLine="422" w:firstLineChars="200"/>
        <w:rPr>
          <w:rFonts w:ascii="宋体" w:hAnsi="宋体" w:cs="宋体"/>
          <w:b/>
          <w:color w:val="auto"/>
          <w:kern w:val="0"/>
          <w:szCs w:val="21"/>
          <w:highlight w:val="none"/>
        </w:rPr>
      </w:pPr>
    </w:p>
    <w:p w14:paraId="6A0799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BE0B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C3F161C">
      <w:pPr>
        <w:snapToGrid w:val="0"/>
        <w:spacing w:line="360" w:lineRule="auto"/>
        <w:ind w:firstLine="420" w:firstLineChars="200"/>
        <w:rPr>
          <w:rFonts w:ascii="宋体" w:hAnsi="宋体" w:cs="宋体"/>
          <w:color w:val="auto"/>
          <w:szCs w:val="21"/>
          <w:highlight w:val="none"/>
        </w:rPr>
      </w:pPr>
    </w:p>
    <w:p w14:paraId="151D3F0F">
      <w:pPr>
        <w:tabs>
          <w:tab w:val="left" w:pos="4860"/>
        </w:tabs>
        <w:snapToGrid w:val="0"/>
        <w:spacing w:line="360" w:lineRule="auto"/>
        <w:ind w:right="1560"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单位名称（盖章）：       日  期：</w:t>
      </w:r>
    </w:p>
    <w:p w14:paraId="27C84DBE">
      <w:pPr>
        <w:snapToGrid w:val="0"/>
        <w:spacing w:line="360" w:lineRule="auto"/>
        <w:ind w:firstLine="420" w:firstLineChars="200"/>
        <w:rPr>
          <w:rFonts w:ascii="宋体" w:hAnsi="宋体" w:cs="宋体"/>
          <w:color w:val="auto"/>
          <w:szCs w:val="21"/>
          <w:highlight w:val="none"/>
        </w:rPr>
      </w:pPr>
    </w:p>
    <w:p w14:paraId="677275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注：符合《关于促进残疾人就业政府采购政策的通知》（财库〔2017〕141号）规定的条件并提供《残疾人福利性单位声明函》的残疾人福利性单位视同小型、微型企业；</w:t>
      </w:r>
    </w:p>
    <w:p w14:paraId="7769F4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43BB2960">
      <w:pPr>
        <w:rPr>
          <w:rFonts w:ascii="宋体" w:hAnsi="宋体" w:cs="宋体"/>
          <w:color w:val="auto"/>
          <w:szCs w:val="21"/>
          <w:highlight w:val="none"/>
        </w:rPr>
      </w:pPr>
    </w:p>
    <w:p w14:paraId="7A81BC7F">
      <w:pPr>
        <w:pStyle w:val="4"/>
        <w:numPr>
          <w:ilvl w:val="0"/>
          <w:numId w:val="9"/>
        </w:numPr>
        <w:tabs>
          <w:tab w:val="clear" w:pos="706"/>
        </w:tabs>
        <w:rPr>
          <w:rFonts w:ascii="宋体" w:hAnsi="宋体" w:eastAsia="宋体" w:cs="宋体"/>
          <w:color w:val="auto"/>
          <w:szCs w:val="21"/>
          <w:highlight w:val="none"/>
        </w:rPr>
        <w:sectPr>
          <w:footerReference r:id="rId6" w:type="default"/>
          <w:pgSz w:w="11906" w:h="16838"/>
          <w:pgMar w:top="1440" w:right="1440" w:bottom="1440" w:left="1440" w:header="850" w:footer="992" w:gutter="0"/>
          <w:pgNumType w:fmt="decimal" w:start="1"/>
          <w:cols w:space="720" w:num="1"/>
          <w:docGrid w:type="lines" w:linePitch="312" w:charSpace="0"/>
        </w:sectPr>
      </w:pPr>
    </w:p>
    <w:p w14:paraId="681FEAC9">
      <w:pPr>
        <w:pStyle w:val="26"/>
        <w:spacing w:line="420" w:lineRule="exact"/>
        <w:jc w:val="center"/>
        <w:rPr>
          <w:rFonts w:ascii="宋体" w:hAnsi="宋体"/>
          <w:color w:val="auto"/>
          <w:highlight w:val="none"/>
        </w:rPr>
      </w:pPr>
      <w:r>
        <w:rPr>
          <w:rFonts w:hint="eastAsia"/>
          <w:b/>
          <w:color w:val="auto"/>
          <w:sz w:val="32"/>
          <w:szCs w:val="32"/>
          <w:highlight w:val="none"/>
        </w:rPr>
        <w:t>三</w:t>
      </w:r>
      <w:r>
        <w:rPr>
          <w:b/>
          <w:color w:val="auto"/>
          <w:sz w:val="32"/>
          <w:szCs w:val="32"/>
          <w:highlight w:val="none"/>
        </w:rPr>
        <w:t>、</w:t>
      </w:r>
      <w:r>
        <w:rPr>
          <w:rFonts w:hint="eastAsia" w:ascii="Arial" w:hAnsi="Arial" w:eastAsia="宋体" w:cs="Arial"/>
          <w:b/>
          <w:color w:val="auto"/>
          <w:kern w:val="0"/>
          <w:sz w:val="32"/>
          <w:szCs w:val="32"/>
          <w:highlight w:val="none"/>
        </w:rPr>
        <w:t>联合体协议（如为联合体投标的，须提供）</w:t>
      </w:r>
    </w:p>
    <w:p w14:paraId="4D51A33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w:t>
      </w:r>
      <w:r>
        <w:rPr>
          <w:rFonts w:hint="eastAsia" w:ascii="宋体" w:hAnsi="宋体" w:cs="宋体"/>
          <w:b/>
          <w:color w:val="auto"/>
          <w:kern w:val="0"/>
          <w:sz w:val="32"/>
          <w:szCs w:val="32"/>
          <w:highlight w:val="none"/>
        </w:rPr>
        <w:t>体</w:t>
      </w:r>
      <w:r>
        <w:rPr>
          <w:rFonts w:hint="eastAsia" w:ascii="宋体" w:hAnsi="宋体" w:cs="宋体"/>
          <w:b/>
          <w:color w:val="auto"/>
          <w:kern w:val="0"/>
          <w:sz w:val="32"/>
          <w:szCs w:val="32"/>
          <w:highlight w:val="none"/>
          <w:lang w:val="zh-CN"/>
        </w:rPr>
        <w:t>协议</w:t>
      </w:r>
    </w:p>
    <w:p w14:paraId="3D376530">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7DC8B9A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（项目名称）【招标编号：（采购编号）】标项：</w:t>
      </w:r>
      <w:r>
        <w:rPr>
          <w:rFonts w:hint="eastAsia" w:ascii="宋体" w:hAnsi="宋体" w:cs="宋体"/>
          <w:color w:val="auto"/>
          <w:kern w:val="0"/>
          <w:szCs w:val="21"/>
          <w:highlight w:val="none"/>
          <w:lang w:val="zh-CN"/>
        </w:rPr>
        <w:t xml:space="preserve">投标。 </w:t>
      </w:r>
    </w:p>
    <w:p w14:paraId="296EC05F">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595C0595">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50701364">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00A85C41">
      <w:pPr>
        <w:snapToGrid w:val="0"/>
        <w:spacing w:line="360" w:lineRule="auto"/>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四、</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rPr>
        <w:t>提供的全部服务由小微企业承接，其合同份额占到合同总金额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（未预留份额专门面向中小企业采购的的采购项目，以及预留份额中的非预留部分采购包，接受联合体投标的，联合体其中一方提供的</w:t>
      </w:r>
      <w:r>
        <w:rPr>
          <w:rFonts w:hint="eastAsia" w:ascii="宋体" w:hAnsi="宋体" w:cs="宋体"/>
          <w:b/>
          <w:color w:val="auto"/>
          <w:kern w:val="0"/>
          <w:szCs w:val="21"/>
          <w:highlight w:val="none"/>
        </w:rPr>
        <w:t>服务</w:t>
      </w:r>
      <w:r>
        <w:rPr>
          <w:rFonts w:hint="eastAsia" w:ascii="宋体" w:hAnsi="宋体" w:cs="宋体"/>
          <w:b/>
          <w:color w:val="auto"/>
          <w:kern w:val="0"/>
          <w:szCs w:val="21"/>
          <w:highlight w:val="none"/>
          <w:lang w:val="zh-CN"/>
        </w:rPr>
        <w:t>全部由小微企业</w:t>
      </w:r>
      <w:r>
        <w:rPr>
          <w:rFonts w:hint="eastAsia" w:ascii="宋体" w:hAnsi="宋体" w:cs="宋体"/>
          <w:b/>
          <w:color w:val="auto"/>
          <w:kern w:val="0"/>
          <w:szCs w:val="21"/>
          <w:highlight w:val="none"/>
        </w:rPr>
        <w:t>承接</w:t>
      </w:r>
      <w:r>
        <w:rPr>
          <w:rFonts w:hint="eastAsia" w:ascii="宋体" w:hAnsi="宋体" w:cs="宋体"/>
          <w:b/>
          <w:color w:val="auto"/>
          <w:kern w:val="0"/>
          <w:szCs w:val="21"/>
          <w:highlight w:val="none"/>
          <w:lang w:val="zh-CN"/>
        </w:rPr>
        <w:t>，且其合同份额占到合同总金额 30%以上，对联合体报价给予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w:t>
      </w:r>
    </w:p>
    <w:p w14:paraId="32B88D90">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32FE25AB">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1724FF1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969F1E5">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3001C71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0AB1D85B">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2BDFF99B">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76E137DE">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0C9C3E6C">
      <w:pPr>
        <w:rPr>
          <w:b/>
          <w:bCs/>
          <w:color w:val="auto"/>
          <w:highlight w:val="none"/>
          <w:lang w:val="zh-CN"/>
        </w:rPr>
      </w:pPr>
      <w:r>
        <w:rPr>
          <w:rFonts w:hint="eastAsia"/>
          <w:b/>
          <w:bCs/>
          <w:color w:val="auto"/>
          <w:highlight w:val="none"/>
          <w:lang w:val="zh-CN"/>
        </w:rPr>
        <w:t>▲特别重要提示：供应商如为联合体投标应在制作投标响应文件前通过“政采云”平台自行组成联合体，如制作投标响应文件未通过“政采云”平台自行组成联合体的，将可能被视为投标无效。</w:t>
      </w:r>
    </w:p>
    <w:p w14:paraId="3BBA514D">
      <w:pPr>
        <w:rPr>
          <w:b/>
          <w:bCs/>
          <w:color w:val="auto"/>
          <w:highlight w:val="none"/>
        </w:rPr>
        <w:sectPr>
          <w:pgSz w:w="11906" w:h="16838"/>
          <w:pgMar w:top="1134" w:right="1247" w:bottom="1247" w:left="1304" w:header="794" w:footer="794" w:gutter="0"/>
          <w:pgNumType w:fmt="decimal"/>
          <w:cols w:space="720" w:num="1"/>
          <w:docGrid w:type="lines" w:linePitch="312" w:charSpace="0"/>
        </w:sectPr>
      </w:pPr>
    </w:p>
    <w:p w14:paraId="0CDFECE4">
      <w:pPr>
        <w:jc w:val="center"/>
        <w:rPr>
          <w:color w:val="auto"/>
          <w:highlight w:val="none"/>
        </w:rPr>
      </w:pPr>
      <w:r>
        <w:rPr>
          <w:rFonts w:hint="eastAsia" w:ascii="??" w:hAnsi="??" w:eastAsia="??" w:cs="宋体"/>
          <w:b/>
          <w:color w:val="auto"/>
          <w:sz w:val="32"/>
          <w:szCs w:val="32"/>
          <w:highlight w:val="none"/>
        </w:rPr>
        <w:t>四</w:t>
      </w:r>
      <w:r>
        <w:rPr>
          <w:rFonts w:hint="eastAsia"/>
          <w:b/>
          <w:color w:val="auto"/>
          <w:sz w:val="32"/>
          <w:szCs w:val="32"/>
          <w:highlight w:val="none"/>
        </w:rPr>
        <w:t>、</w:t>
      </w:r>
      <w:r>
        <w:rPr>
          <w:b/>
          <w:color w:val="auto"/>
          <w:sz w:val="32"/>
          <w:szCs w:val="32"/>
          <w:highlight w:val="none"/>
        </w:rPr>
        <w:t>符合特定资格条件的相关证明材料</w:t>
      </w:r>
      <w:r>
        <w:rPr>
          <w:rFonts w:hint="eastAsia"/>
          <w:b/>
          <w:color w:val="auto"/>
          <w:sz w:val="32"/>
          <w:szCs w:val="32"/>
          <w:highlight w:val="none"/>
        </w:rPr>
        <w:t>（如有）</w:t>
      </w:r>
    </w:p>
    <w:p w14:paraId="5ED3ADCC">
      <w:pPr>
        <w:snapToGrid w:val="0"/>
        <w:spacing w:before="50" w:after="50" w:line="360" w:lineRule="auto"/>
        <w:jc w:val="center"/>
        <w:rPr>
          <w:rFonts w:ascii="仿宋_GB2312" w:hAnsi="仿宋" w:eastAsia="仿宋_GB2312" w:cs="仿宋_GB2312"/>
          <w:b/>
          <w:color w:val="auto"/>
          <w:kern w:val="0"/>
          <w:sz w:val="32"/>
          <w:szCs w:val="32"/>
          <w:highlight w:val="none"/>
        </w:rPr>
      </w:pPr>
    </w:p>
    <w:p w14:paraId="3455B7F1">
      <w:pPr>
        <w:rPr>
          <w:rFonts w:ascii="Arial" w:hAnsi="Arial" w:cs="Arial"/>
          <w:color w:val="auto"/>
          <w:szCs w:val="21"/>
          <w:highlight w:val="none"/>
        </w:rPr>
      </w:pPr>
      <w:r>
        <w:rPr>
          <w:rFonts w:ascii="Arial" w:hAnsi="Arial" w:cs="Arial"/>
          <w:color w:val="auto"/>
          <w:szCs w:val="21"/>
          <w:highlight w:val="none"/>
        </w:rPr>
        <w:br w:type="page"/>
      </w:r>
    </w:p>
    <w:p w14:paraId="18D15F52">
      <w:pPr>
        <w:shd w:val="clear" w:color="auto" w:fill="FFFFFF"/>
        <w:adjustRightInd w:val="0"/>
        <w:snapToGrid w:val="0"/>
        <w:spacing w:line="360" w:lineRule="auto"/>
        <w:jc w:val="center"/>
        <w:outlineLvl w:val="1"/>
        <w:rPr>
          <w:rFonts w:ascii="宋体" w:hAnsi="宋体" w:cs="宋体"/>
          <w:b/>
          <w:color w:val="auto"/>
          <w:kern w:val="36"/>
          <w:sz w:val="32"/>
          <w:szCs w:val="28"/>
          <w:highlight w:val="none"/>
        </w:rPr>
      </w:pPr>
      <w:bookmarkStart w:id="120" w:name="_Toc18112"/>
      <w:bookmarkStart w:id="121" w:name="_Toc354996707"/>
      <w:bookmarkStart w:id="122" w:name="_Toc31953"/>
      <w:bookmarkStart w:id="123" w:name="_Toc1866"/>
      <w:bookmarkStart w:id="124" w:name="_Toc2547"/>
      <w:bookmarkStart w:id="125" w:name="_Toc4260"/>
      <w:r>
        <w:rPr>
          <w:rFonts w:hint="eastAsia" w:ascii="宋体" w:hAnsi="宋体" w:cs="宋体"/>
          <w:b/>
          <w:color w:val="auto"/>
          <w:kern w:val="36"/>
          <w:sz w:val="32"/>
          <w:szCs w:val="28"/>
          <w:highlight w:val="none"/>
        </w:rPr>
        <w:t>报价文件</w:t>
      </w:r>
      <w:bookmarkEnd w:id="120"/>
      <w:bookmarkEnd w:id="121"/>
      <w:bookmarkEnd w:id="122"/>
      <w:bookmarkEnd w:id="123"/>
      <w:bookmarkEnd w:id="124"/>
      <w:bookmarkEnd w:id="125"/>
    </w:p>
    <w:p w14:paraId="6564A2EA">
      <w:pPr>
        <w:shd w:val="clear" w:color="auto" w:fill="FFFFFF"/>
        <w:adjustRightInd w:val="0"/>
        <w:snapToGrid w:val="0"/>
        <w:spacing w:line="360" w:lineRule="auto"/>
        <w:jc w:val="center"/>
        <w:rPr>
          <w:rFonts w:ascii="宋体" w:hAnsi="宋体" w:cs="宋体"/>
          <w:b/>
          <w:bCs/>
          <w:color w:val="auto"/>
          <w:kern w:val="0"/>
          <w:sz w:val="24"/>
          <w:highlight w:val="none"/>
        </w:rPr>
      </w:pPr>
    </w:p>
    <w:p w14:paraId="494AC3A5">
      <w:pPr>
        <w:keepNext w:val="0"/>
        <w:keepLines w:val="0"/>
        <w:shd w:val="clear" w:color="auto" w:fill="FFFFFF"/>
        <w:kinsoku/>
        <w:overflowPunct/>
        <w:topLinePunct w:val="0"/>
        <w:bidi w:val="0"/>
        <w:adjustRightInd w:val="0"/>
        <w:snapToGrid w:val="0"/>
        <w:spacing w:line="360" w:lineRule="auto"/>
        <w:jc w:val="center"/>
        <w:textAlignment w:val="auto"/>
        <w:outlineLvl w:val="9"/>
        <w:rPr>
          <w:rFonts w:ascii="宋体" w:hAnsi="宋体" w:cs="宋体"/>
          <w:b/>
          <w:bCs/>
          <w:color w:val="auto"/>
          <w:kern w:val="0"/>
          <w:sz w:val="24"/>
          <w:highlight w:val="none"/>
        </w:rPr>
      </w:pPr>
      <w:r>
        <w:rPr>
          <w:rFonts w:hint="eastAsia" w:ascii="宋体" w:hAnsi="宋体" w:cs="宋体"/>
          <w:b/>
          <w:bCs/>
          <w:color w:val="auto"/>
          <w:kern w:val="0"/>
          <w:sz w:val="24"/>
          <w:highlight w:val="none"/>
        </w:rPr>
        <w:t>目录</w:t>
      </w:r>
    </w:p>
    <w:p w14:paraId="3E707901">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（1）投标响应函…………………………………………………………………（页码）</w:t>
      </w:r>
    </w:p>
    <w:p w14:paraId="73A7E6F2">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（2）开标一览表…………………………………………………………………（页码）</w:t>
      </w:r>
    </w:p>
    <w:p w14:paraId="695CEAB6">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（3）交纳采购代理服务费承诺书………………………………………………（页码）</w:t>
      </w:r>
    </w:p>
    <w:p w14:paraId="539ACA1E">
      <w:pPr>
        <w:keepNext w:val="0"/>
        <w:keepLines w:val="0"/>
        <w:pageBreakBefore/>
        <w:shd w:val="clear" w:color="auto" w:fill="FFFFFF"/>
        <w:kinsoku/>
        <w:overflowPunct/>
        <w:topLinePunct w:val="0"/>
        <w:bidi w:val="0"/>
        <w:adjustRightInd w:val="0"/>
        <w:snapToGrid w:val="0"/>
        <w:spacing w:line="360" w:lineRule="auto"/>
        <w:jc w:val="center"/>
        <w:textAlignment w:val="auto"/>
        <w:outlineLvl w:val="9"/>
        <w:rPr>
          <w:rFonts w:ascii="宋体" w:hAnsi="宋体" w:cs="宋体"/>
          <w:b/>
          <w:bCs/>
          <w:color w:val="auto"/>
          <w:sz w:val="24"/>
          <w:highlight w:val="none"/>
        </w:rPr>
      </w:pPr>
      <w:bookmarkStart w:id="126" w:name="_Toc233618990"/>
      <w:r>
        <w:rPr>
          <w:rFonts w:hint="eastAsia" w:ascii="宋体" w:hAnsi="宋体" w:cs="宋体"/>
          <w:b/>
          <w:bCs/>
          <w:color w:val="auto"/>
          <w:kern w:val="0"/>
          <w:sz w:val="24"/>
          <w:highlight w:val="none"/>
        </w:rPr>
        <w:t>一、投标响应</w:t>
      </w:r>
      <w:r>
        <w:rPr>
          <w:rFonts w:hint="eastAsia" w:ascii="宋体" w:hAnsi="宋体" w:cs="宋体"/>
          <w:b/>
          <w:bCs/>
          <w:color w:val="auto"/>
          <w:sz w:val="24"/>
          <w:highlight w:val="none"/>
        </w:rPr>
        <w:t>函</w:t>
      </w:r>
      <w:bookmarkEnd w:id="126"/>
    </w:p>
    <w:p w14:paraId="3DC2FDD6">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、浙江豪圣建设项目管理有限公司：</w:t>
      </w:r>
    </w:p>
    <w:p w14:paraId="68AE9D5A">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(投标供应商全称)授权</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(全权代表姓名)</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(职务、职称)为全权代表，参加贵方组织的</w:t>
      </w:r>
      <w:r>
        <w:rPr>
          <w:rFonts w:hint="eastAsia" w:ascii="宋体" w:hAnsi="宋体" w:cs="宋体"/>
          <w:color w:val="auto"/>
          <w:szCs w:val="21"/>
          <w:highlight w:val="none"/>
          <w:lang w:eastAsia="zh-CN"/>
        </w:rPr>
        <w:t>2025-2026年年度小额施工单位（建筑安装施工）招标项目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HSZB-2025-064</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招标的有关活动，并对此项目进行磋商。为此：</w:t>
      </w:r>
    </w:p>
    <w:p w14:paraId="5BB43474">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1、我方同意在供应商</w:t>
      </w:r>
      <w:r>
        <w:rPr>
          <w:rFonts w:hint="eastAsia" w:ascii="宋体" w:hAnsi="宋体" w:cs="宋体"/>
          <w:color w:val="auto"/>
          <w:kern w:val="44"/>
          <w:szCs w:val="21"/>
          <w:highlight w:val="none"/>
        </w:rPr>
        <w:t>编制和提交磋商响应文件须知</w:t>
      </w:r>
      <w:r>
        <w:rPr>
          <w:rFonts w:hint="eastAsia" w:ascii="宋体" w:hAnsi="宋体" w:cs="宋体"/>
          <w:color w:val="auto"/>
          <w:szCs w:val="21"/>
          <w:highlight w:val="none"/>
        </w:rPr>
        <w:t>规定的开标日期起遵守本标书中的承诺且在投标有效期满之前均具有约束力。</w:t>
      </w:r>
    </w:p>
    <w:p w14:paraId="3C15854F">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2、我方承诺已经具备《中华人民共和国政府采购法》中规定的参加政府采购活动的供应商应当具备的条件：</w:t>
      </w:r>
    </w:p>
    <w:p w14:paraId="55BE61E1">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6A6B6EBE">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(2)遵守国家法律、行政法规，具有良好的信誉和商业道德。</w:t>
      </w:r>
    </w:p>
    <w:p w14:paraId="098ACB0B">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(3)具有履行合同的能力和良好的履行合同记录。</w:t>
      </w:r>
    </w:p>
    <w:p w14:paraId="1DF8D0A8">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(4)良好的资金、财务状况。</w:t>
      </w:r>
    </w:p>
    <w:p w14:paraId="143630F7">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(5)提供的产品和服务符合中国政府规定的相应标准和环保标准。</w:t>
      </w:r>
    </w:p>
    <w:p w14:paraId="05FCCF30">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(6)没有违反政府采购法规、政策的记录。</w:t>
      </w:r>
    </w:p>
    <w:p w14:paraId="687BCA48">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(7)没有发生重大经济纠纷和走私犯罪记录。</w:t>
      </w:r>
    </w:p>
    <w:p w14:paraId="3E12D785">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3、提供</w:t>
      </w:r>
      <w:r>
        <w:rPr>
          <w:rFonts w:hint="eastAsia" w:ascii="宋体" w:hAnsi="宋体" w:cs="宋体"/>
          <w:color w:val="auto"/>
          <w:kern w:val="44"/>
          <w:szCs w:val="21"/>
          <w:highlight w:val="none"/>
        </w:rPr>
        <w:t>编制和提交磋商响应文件须知</w:t>
      </w:r>
      <w:r>
        <w:rPr>
          <w:rFonts w:hint="eastAsia" w:ascii="宋体" w:hAnsi="宋体" w:cs="宋体"/>
          <w:color w:val="auto"/>
          <w:szCs w:val="21"/>
          <w:highlight w:val="none"/>
        </w:rPr>
        <w:t>规定的全部磋商响应文件，包括资格文件、报价文件、商务技术文件。具体内容为：</w:t>
      </w:r>
    </w:p>
    <w:p w14:paraId="275CC51F">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(1)资格文件。</w:t>
      </w:r>
    </w:p>
    <w:p w14:paraId="3B43757B">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(2)报价文件。</w:t>
      </w:r>
    </w:p>
    <w:p w14:paraId="0EF885F3">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商务</w:t>
      </w:r>
      <w:r>
        <w:rPr>
          <w:rFonts w:hint="eastAsia" w:ascii="宋体" w:hAnsi="宋体" w:cs="宋体"/>
          <w:color w:val="auto"/>
          <w:kern w:val="0"/>
          <w:szCs w:val="21"/>
          <w:highlight w:val="none"/>
          <w:lang w:val="zh-CN"/>
        </w:rPr>
        <w:t>技术文件</w:t>
      </w:r>
      <w:r>
        <w:rPr>
          <w:rFonts w:hint="eastAsia" w:ascii="宋体" w:hAnsi="宋体" w:cs="宋体"/>
          <w:color w:val="auto"/>
          <w:szCs w:val="21"/>
          <w:highlight w:val="none"/>
        </w:rPr>
        <w:t>。</w:t>
      </w:r>
    </w:p>
    <w:p w14:paraId="318CEF65">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44"/>
          <w:szCs w:val="21"/>
          <w:highlight w:val="none"/>
        </w:rPr>
        <w:t>编制和提交磋商响应文件须知</w:t>
      </w:r>
      <w:r>
        <w:rPr>
          <w:rFonts w:hint="eastAsia" w:ascii="宋体" w:hAnsi="宋体" w:cs="宋体"/>
          <w:color w:val="auto"/>
          <w:szCs w:val="21"/>
          <w:highlight w:val="none"/>
        </w:rPr>
        <w:t>要求供应商提交的全部文件。</w:t>
      </w:r>
    </w:p>
    <w:p w14:paraId="245D904D">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(5)按采购文件要求提供和交付的货物和服务的报价详见开标一览表。</w:t>
      </w:r>
    </w:p>
    <w:p w14:paraId="19D3B33D">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(6)保证忠实地执行双方所签订的合同，并承担合同规定的责任和义务。</w:t>
      </w:r>
    </w:p>
    <w:p w14:paraId="39302C56">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(7)保证遵守采购文件中的其他有关规定。</w:t>
      </w:r>
    </w:p>
    <w:p w14:paraId="1283D909">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4、投标有效期内不撤销响应文件。强行撤销的，承诺按本项目预算金额的2%赔偿对招标代理机构造成的损失。</w:t>
      </w:r>
    </w:p>
    <w:p w14:paraId="662663EC">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5、我方完全理解贵方不一定要接受最低价的投标。</w:t>
      </w:r>
    </w:p>
    <w:p w14:paraId="4BBFF79F">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6、我方愿意向贵方提供任何与该项投标有关的数据、情况和服务资料。若贵方需要，我方愿意提供我方作出的一切承诺的证明材料。</w:t>
      </w:r>
    </w:p>
    <w:p w14:paraId="0FA46039">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7、我方已详细审核全部采购文件，包括采购文件修改书（如有的话）、参考资料及有关附件，确认无误。我方完全理解并接受采购文件的各项规定和要求，对采购文件的合理性、合法性不再有异议。</w:t>
      </w:r>
    </w:p>
    <w:p w14:paraId="237BB9D8">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6B58245">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(1)提供虚假材料谋取成交、成交的。</w:t>
      </w:r>
    </w:p>
    <w:p w14:paraId="5B9AD393">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(2)采取不正当手段诋毁、排挤其他供应商的。</w:t>
      </w:r>
    </w:p>
    <w:p w14:paraId="1975AF70">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(3)与采购人、其它供应商或者招标代理机构恶意串通的。</w:t>
      </w:r>
    </w:p>
    <w:p w14:paraId="27459B6A">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(4)向采购人、招标代理机构行贿或者提供其他不正当利益的。</w:t>
      </w:r>
    </w:p>
    <w:p w14:paraId="054D0416">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(5)在招标采购过程中与采购人进行协商谈判的。</w:t>
      </w:r>
    </w:p>
    <w:p w14:paraId="0F16D303">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(6)拒绝有关部门监督检查或提供虚假情况的。</w:t>
      </w:r>
    </w:p>
    <w:p w14:paraId="55E5D967">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供应商有前款第(1)至(5)项情形之一的，成交、成交无效。</w:t>
      </w:r>
    </w:p>
    <w:p w14:paraId="31BFD6CA">
      <w:pPr>
        <w:keepNext w:val="0"/>
        <w:keepLines w:val="0"/>
        <w:shd w:val="clear" w:color="auto" w:fill="FFFFFF"/>
        <w:kinsoku/>
        <w:overflowPunct/>
        <w:topLinePunct w:val="0"/>
        <w:bidi w:val="0"/>
        <w:adjustRightInd w:val="0"/>
        <w:snapToGrid w:val="0"/>
        <w:spacing w:line="360" w:lineRule="auto"/>
        <w:ind w:left="420" w:leftChars="200"/>
        <w:textAlignment w:val="auto"/>
        <w:outlineLvl w:val="9"/>
        <w:rPr>
          <w:rFonts w:ascii="宋体" w:hAnsi="宋体" w:cs="宋体"/>
          <w:color w:val="auto"/>
          <w:kern w:val="0"/>
          <w:szCs w:val="21"/>
          <w:highlight w:val="none"/>
          <w:lang w:val="zh-CN"/>
        </w:rPr>
      </w:pPr>
    </w:p>
    <w:p w14:paraId="5DD80081">
      <w:pPr>
        <w:keepNext w:val="0"/>
        <w:keepLines w:val="0"/>
        <w:shd w:val="clear" w:color="auto" w:fill="FFFFFF"/>
        <w:kinsoku/>
        <w:overflowPunct/>
        <w:topLinePunct w:val="0"/>
        <w:bidi w:val="0"/>
        <w:adjustRightInd w:val="0"/>
        <w:snapToGrid w:val="0"/>
        <w:spacing w:line="360" w:lineRule="auto"/>
        <w:ind w:left="420" w:leftChars="200"/>
        <w:textAlignment w:val="auto"/>
        <w:outlineLvl w:val="9"/>
        <w:rPr>
          <w:rFonts w:ascii="宋体" w:hAnsi="宋体" w:cs="宋体"/>
          <w:color w:val="auto"/>
          <w:kern w:val="0"/>
          <w:szCs w:val="21"/>
          <w:highlight w:val="none"/>
          <w:lang w:val="zh-CN"/>
        </w:rPr>
      </w:pPr>
    </w:p>
    <w:p w14:paraId="66CF18D2">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ab/>
      </w:r>
    </w:p>
    <w:p w14:paraId="12A014DC">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u w:val="single"/>
          <w:lang w:val="zh-CN"/>
        </w:rPr>
      </w:pPr>
      <w:r>
        <w:rPr>
          <w:rFonts w:hint="eastAsia" w:ascii="宋体" w:hAnsi="宋体" w:cs="宋体"/>
          <w:color w:val="auto"/>
          <w:kern w:val="0"/>
          <w:szCs w:val="21"/>
          <w:highlight w:val="none"/>
        </w:rPr>
        <w:t>投标供应商公</w:t>
      </w:r>
      <w:r>
        <w:rPr>
          <w:rFonts w:hint="eastAsia" w:ascii="宋体" w:hAnsi="宋体" w:cs="宋体"/>
          <w:color w:val="auto"/>
          <w:kern w:val="0"/>
          <w:szCs w:val="21"/>
          <w:highlight w:val="none"/>
          <w:lang w:val="zh-CN"/>
        </w:rPr>
        <w:t>章：</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rPr>
        <w:tab/>
      </w:r>
      <w:r>
        <w:rPr>
          <w:rFonts w:hint="eastAsia" w:ascii="宋体" w:hAnsi="宋体" w:cs="宋体"/>
          <w:color w:val="auto"/>
          <w:kern w:val="0"/>
          <w:szCs w:val="21"/>
          <w:highlight w:val="none"/>
          <w:u w:val="single"/>
          <w:lang w:val="zh-CN"/>
        </w:rPr>
        <w:t xml:space="preserve">                      </w:t>
      </w:r>
    </w:p>
    <w:p w14:paraId="39C5B189">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联系电话：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传真：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电子邮件：  </w:t>
      </w:r>
      <w:r>
        <w:rPr>
          <w:rFonts w:hint="eastAsia" w:ascii="宋体" w:hAnsi="宋体" w:cs="宋体"/>
          <w:color w:val="auto"/>
          <w:kern w:val="0"/>
          <w:szCs w:val="21"/>
          <w:highlight w:val="none"/>
          <w:u w:val="single"/>
          <w:lang w:val="zh-CN"/>
        </w:rPr>
        <w:t xml:space="preserve">              </w:t>
      </w:r>
    </w:p>
    <w:p w14:paraId="4E498FEB">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lang w:val="zh-CN"/>
        </w:rPr>
        <w:t>联系地址：</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rPr>
        <w:tab/>
      </w:r>
      <w:r>
        <w:rPr>
          <w:rFonts w:hint="eastAsia" w:ascii="宋体" w:hAnsi="宋体" w:cs="宋体"/>
          <w:color w:val="auto"/>
          <w:kern w:val="0"/>
          <w:szCs w:val="21"/>
          <w:highlight w:val="none"/>
          <w:u w:val="single"/>
          <w:lang w:val="zh-CN"/>
        </w:rPr>
        <w:t xml:space="preserve">                                                    </w:t>
      </w:r>
    </w:p>
    <w:p w14:paraId="5902BA7F">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lang w:val="zh-CN"/>
        </w:rPr>
        <w:t>邮政编码：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传真号码：</w:t>
      </w:r>
      <w:r>
        <w:rPr>
          <w:rFonts w:hint="eastAsia" w:ascii="宋体" w:hAnsi="宋体" w:cs="宋体"/>
          <w:color w:val="auto"/>
          <w:kern w:val="0"/>
          <w:szCs w:val="21"/>
          <w:highlight w:val="none"/>
          <w:u w:val="single"/>
          <w:lang w:val="zh-CN"/>
        </w:rPr>
        <w:t xml:space="preserve">                     </w:t>
      </w:r>
    </w:p>
    <w:p w14:paraId="1FF0C696">
      <w:pPr>
        <w:keepNext w:val="0"/>
        <w:keepLines w:val="0"/>
        <w:shd w:val="clear" w:color="auto" w:fill="FFFFFF"/>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日</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w:t>
      </w:r>
    </w:p>
    <w:p w14:paraId="2B3F0BFA">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注：未按照本</w:t>
      </w:r>
      <w:r>
        <w:rPr>
          <w:rFonts w:hint="eastAsia" w:ascii="宋体" w:hAnsi="宋体" w:cs="宋体"/>
          <w:b/>
          <w:bCs/>
          <w:color w:val="auto"/>
          <w:kern w:val="0"/>
          <w:szCs w:val="21"/>
          <w:highlight w:val="none"/>
        </w:rPr>
        <w:t>项目</w:t>
      </w:r>
      <w:r>
        <w:rPr>
          <w:rFonts w:hint="eastAsia" w:ascii="宋体" w:hAnsi="宋体" w:cs="宋体"/>
          <w:b/>
          <w:bCs/>
          <w:color w:val="auto"/>
          <w:kern w:val="0"/>
          <w:szCs w:val="21"/>
          <w:highlight w:val="none"/>
          <w:lang w:val="zh-CN"/>
        </w:rPr>
        <w:t>响应函要求填报的将被视为非实质性响应，从而可能导致该磋商响应文件被拒绝。</w:t>
      </w:r>
    </w:p>
    <w:p w14:paraId="5D5B54ED">
      <w:pPr>
        <w:pStyle w:val="59"/>
        <w:keepNext w:val="0"/>
        <w:keepLines w:val="0"/>
        <w:kinsoku/>
        <w:overflowPunct/>
        <w:topLinePunct w:val="0"/>
        <w:bidi w:val="0"/>
        <w:textAlignment w:val="auto"/>
        <w:outlineLvl w:val="9"/>
        <w:rPr>
          <w:rFonts w:ascii="宋体" w:hAnsi="宋体" w:eastAsia="宋体" w:cs="宋体"/>
          <w:b/>
          <w:bCs/>
          <w:color w:val="auto"/>
          <w:sz w:val="21"/>
          <w:szCs w:val="21"/>
          <w:highlight w:val="none"/>
          <w:lang w:val="zh-CN"/>
        </w:rPr>
      </w:pPr>
    </w:p>
    <w:p w14:paraId="11881D25">
      <w:pPr>
        <w:keepNext w:val="0"/>
        <w:keepLines w:val="0"/>
        <w:pageBreakBefore/>
        <w:shd w:val="clear" w:color="auto" w:fill="FFFFFF"/>
        <w:kinsoku/>
        <w:overflowPunct/>
        <w:topLinePunct w:val="0"/>
        <w:bidi w:val="0"/>
        <w:adjustRightInd w:val="0"/>
        <w:snapToGrid w:val="0"/>
        <w:spacing w:line="360" w:lineRule="auto"/>
        <w:jc w:val="center"/>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rPr>
        <w:t>二、开标一览表</w:t>
      </w:r>
    </w:p>
    <w:p w14:paraId="7BD7BF4D">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szCs w:val="21"/>
          <w:highlight w:val="none"/>
        </w:rPr>
      </w:pPr>
    </w:p>
    <w:p w14:paraId="57B624BA">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b/>
          <w:bCs/>
          <w:color w:val="auto"/>
          <w:szCs w:val="21"/>
          <w:highlight w:val="none"/>
        </w:rPr>
      </w:pP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、浙江豪圣建设项目管理有限公司：</w:t>
      </w:r>
    </w:p>
    <w:p w14:paraId="35F2FE29">
      <w:pPr>
        <w:pStyle w:val="60"/>
        <w:keepNext w:val="0"/>
        <w:keepLines w:val="0"/>
        <w:kinsoku/>
        <w:overflowPunct/>
        <w:topLinePunct w:val="0"/>
        <w:bidi w:val="0"/>
        <w:spacing w:line="360" w:lineRule="auto"/>
        <w:ind w:left="0" w:firstLine="420" w:firstLineChars="200"/>
        <w:textAlignment w:val="auto"/>
        <w:outlineLvl w:val="9"/>
        <w:rPr>
          <w:rFonts w:ascii="宋体" w:hAnsi="宋体" w:cs="宋体"/>
          <w:color w:val="auto"/>
          <w:szCs w:val="21"/>
          <w:highlight w:val="none"/>
          <w:lang w:val="zh-CN"/>
        </w:rPr>
      </w:pPr>
      <w:r>
        <w:rPr>
          <w:rFonts w:hint="eastAsia" w:ascii="宋体" w:hAnsi="宋体" w:cs="宋体"/>
          <w:color w:val="auto"/>
          <w:szCs w:val="21"/>
          <w:highlight w:val="none"/>
          <w:lang w:val="zh-CN"/>
        </w:rPr>
        <w:t>按你方磋商文件要求，本磋商响</w:t>
      </w:r>
      <w:r>
        <w:rPr>
          <w:rFonts w:hint="eastAsia" w:ascii="宋体" w:hAnsi="宋体" w:cs="宋体"/>
          <w:color w:val="auto"/>
          <w:szCs w:val="21"/>
          <w:highlight w:val="none"/>
        </w:rPr>
        <w:t>应</w:t>
      </w:r>
      <w:r>
        <w:rPr>
          <w:rFonts w:hint="eastAsia" w:ascii="宋体" w:hAnsi="宋体" w:cs="宋体"/>
          <w:color w:val="auto"/>
          <w:szCs w:val="21"/>
          <w:highlight w:val="none"/>
          <w:lang w:val="zh-CN"/>
        </w:rPr>
        <w:t>方，谨此向你方发出要约如下：如你方接受本磋商响应文件，我方承诺按照如下开标一览表的价格完成编号为HSZB-2025-064的磋商文件[项目名称2025-2026年年度小额施工单位（建筑安装施工）招标项目</w:t>
      </w:r>
      <w:r>
        <w:rPr>
          <w:rFonts w:hint="eastAsia" w:ascii="宋体" w:hAnsi="宋体" w:cs="宋体"/>
          <w:color w:val="auto"/>
          <w:szCs w:val="21"/>
          <w:highlight w:val="none"/>
        </w:rPr>
        <w:t>]</w:t>
      </w:r>
      <w:r>
        <w:rPr>
          <w:rFonts w:hint="eastAsia" w:ascii="宋体" w:hAnsi="宋体" w:cs="宋体"/>
          <w:color w:val="auto"/>
          <w:szCs w:val="21"/>
          <w:highlight w:val="none"/>
          <w:lang w:val="zh-CN"/>
        </w:rPr>
        <w:t>实施。</w:t>
      </w:r>
    </w:p>
    <w:tbl>
      <w:tblPr>
        <w:tblStyle w:val="4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1696"/>
        <w:gridCol w:w="1939"/>
        <w:gridCol w:w="4392"/>
      </w:tblGrid>
      <w:tr w14:paraId="15195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68" w:type="pct"/>
            <w:tcBorders>
              <w:top w:val="single" w:color="auto" w:sz="4" w:space="0"/>
              <w:left w:val="single" w:color="auto" w:sz="4" w:space="0"/>
              <w:bottom w:val="single" w:color="auto" w:sz="4" w:space="0"/>
              <w:right w:val="single" w:color="auto" w:sz="4" w:space="0"/>
            </w:tcBorders>
            <w:noWrap w:val="0"/>
            <w:vAlign w:val="center"/>
          </w:tcPr>
          <w:p w14:paraId="0B4370F1">
            <w:pPr>
              <w:keepNext w:val="0"/>
              <w:keepLines w:val="0"/>
              <w:kinsoku/>
              <w:overflowPunct/>
              <w:topLinePunct w:val="0"/>
              <w:bidi w:val="0"/>
              <w:snapToGrid w:val="0"/>
              <w:spacing w:before="50" w:after="50" w:line="288" w:lineRule="auto"/>
              <w:jc w:val="center"/>
              <w:textAlignment w:val="auto"/>
              <w:outlineLvl w:val="9"/>
              <w:rPr>
                <w:rFonts w:hint="eastAsia" w:ascii="宋体" w:hAnsi="宋体" w:eastAsia="宋体" w:cs="宋体"/>
                <w:b/>
                <w:color w:val="auto"/>
                <w:spacing w:val="-6"/>
                <w:szCs w:val="21"/>
                <w:highlight w:val="none"/>
              </w:rPr>
            </w:pPr>
            <w:r>
              <w:rPr>
                <w:rFonts w:hint="eastAsia" w:cs="宋体"/>
                <w:b/>
                <w:color w:val="auto"/>
                <w:spacing w:val="-6"/>
                <w:szCs w:val="21"/>
                <w:highlight w:val="none"/>
              </w:rPr>
              <w:t>序号</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788B2204">
            <w:pPr>
              <w:keepNext w:val="0"/>
              <w:keepLines w:val="0"/>
              <w:kinsoku/>
              <w:overflowPunct/>
              <w:topLinePunct w:val="0"/>
              <w:bidi w:val="0"/>
              <w:snapToGrid w:val="0"/>
              <w:spacing w:before="50" w:after="50" w:line="288" w:lineRule="auto"/>
              <w:jc w:val="center"/>
              <w:textAlignment w:val="auto"/>
              <w:outlineLvl w:val="9"/>
              <w:rPr>
                <w:rFonts w:hint="default" w:ascii="宋体" w:hAnsi="宋体" w:eastAsia="宋体" w:cs="宋体"/>
                <w:b/>
                <w:color w:val="auto"/>
                <w:spacing w:val="-6"/>
                <w:szCs w:val="21"/>
                <w:highlight w:val="none"/>
                <w:lang w:val="en-US" w:eastAsia="zh-CN"/>
              </w:rPr>
            </w:pPr>
            <w:r>
              <w:rPr>
                <w:rFonts w:hint="eastAsia" w:ascii="宋体" w:hAnsi="宋体" w:cs="宋体"/>
                <w:b/>
                <w:color w:val="auto"/>
                <w:spacing w:val="-6"/>
                <w:szCs w:val="21"/>
                <w:highlight w:val="none"/>
                <w:lang w:val="en-US" w:eastAsia="zh-CN"/>
              </w:rPr>
              <w:t>标项名称</w:t>
            </w:r>
          </w:p>
        </w:tc>
        <w:tc>
          <w:tcPr>
            <w:tcW w:w="1070" w:type="pct"/>
            <w:tcBorders>
              <w:top w:val="single" w:color="auto" w:sz="4" w:space="0"/>
              <w:left w:val="single" w:color="auto" w:sz="4" w:space="0"/>
              <w:bottom w:val="single" w:color="auto" w:sz="4" w:space="0"/>
              <w:right w:val="single" w:color="auto" w:sz="4" w:space="0"/>
            </w:tcBorders>
            <w:noWrap w:val="0"/>
            <w:vAlign w:val="center"/>
          </w:tcPr>
          <w:p w14:paraId="45D1F904">
            <w:pPr>
              <w:snapToGrid w:val="0"/>
              <w:spacing w:before="50" w:after="50" w:line="288" w:lineRule="auto"/>
              <w:jc w:val="center"/>
              <w:rPr>
                <w:rFonts w:ascii="宋体" w:hAnsi="宋体" w:eastAsia="宋体" w:cs="宋体"/>
                <w:b/>
                <w:color w:val="auto"/>
                <w:spacing w:val="-6"/>
                <w:sz w:val="20"/>
                <w:szCs w:val="20"/>
                <w:highlight w:val="none"/>
              </w:rPr>
            </w:pPr>
            <w:r>
              <w:rPr>
                <w:rFonts w:hint="eastAsia" w:ascii="宋体" w:hAnsi="宋体" w:eastAsia="宋体" w:cs="宋体"/>
                <w:b/>
                <w:color w:val="auto"/>
                <w:spacing w:val="-6"/>
                <w:sz w:val="22"/>
                <w:szCs w:val="22"/>
                <w:highlight w:val="none"/>
              </w:rPr>
              <w:t>响应折扣%</w:t>
            </w:r>
          </w:p>
        </w:tc>
        <w:tc>
          <w:tcPr>
            <w:tcW w:w="2424" w:type="pct"/>
            <w:tcBorders>
              <w:top w:val="single" w:color="auto" w:sz="4" w:space="0"/>
              <w:left w:val="single" w:color="auto" w:sz="4" w:space="0"/>
              <w:bottom w:val="single" w:color="auto" w:sz="4" w:space="0"/>
              <w:right w:val="single" w:color="auto" w:sz="4" w:space="0"/>
            </w:tcBorders>
            <w:noWrap w:val="0"/>
            <w:vAlign w:val="center"/>
          </w:tcPr>
          <w:p w14:paraId="31AD15DB">
            <w:pPr>
              <w:snapToGrid w:val="0"/>
              <w:spacing w:before="50" w:after="50" w:line="288" w:lineRule="auto"/>
              <w:jc w:val="center"/>
              <w:rPr>
                <w:rFonts w:hint="eastAsia" w:ascii="宋体" w:hAnsi="宋体" w:eastAsia="宋体" w:cs="宋体"/>
                <w:b/>
                <w:color w:val="auto"/>
                <w:spacing w:val="-6"/>
                <w:sz w:val="20"/>
                <w:szCs w:val="20"/>
                <w:highlight w:val="none"/>
              </w:rPr>
            </w:pPr>
            <w:r>
              <w:rPr>
                <w:rFonts w:hint="eastAsia" w:ascii="宋体" w:hAnsi="宋体" w:eastAsia="宋体" w:cs="宋体"/>
                <w:b/>
                <w:color w:val="auto"/>
                <w:spacing w:val="-6"/>
                <w:sz w:val="22"/>
                <w:szCs w:val="22"/>
                <w:highlight w:val="none"/>
              </w:rPr>
              <w:t>项目负责人/执业证书信息</w:t>
            </w:r>
          </w:p>
        </w:tc>
      </w:tr>
      <w:tr w14:paraId="3833C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trPr>
        <w:tc>
          <w:tcPr>
            <w:tcW w:w="568" w:type="pct"/>
            <w:tcBorders>
              <w:top w:val="single" w:color="auto" w:sz="4" w:space="0"/>
              <w:left w:val="single" w:color="auto" w:sz="4" w:space="0"/>
              <w:bottom w:val="single" w:color="auto" w:sz="4" w:space="0"/>
              <w:right w:val="single" w:color="auto" w:sz="4" w:space="0"/>
            </w:tcBorders>
            <w:noWrap w:val="0"/>
            <w:vAlign w:val="center"/>
          </w:tcPr>
          <w:p w14:paraId="43CC9D02">
            <w:pPr>
              <w:keepNext w:val="0"/>
              <w:keepLines w:val="0"/>
              <w:kinsoku/>
              <w:overflowPunct/>
              <w:topLinePunct w:val="0"/>
              <w:bidi w:val="0"/>
              <w:snapToGrid w:val="0"/>
              <w:spacing w:before="50" w:after="50" w:line="288" w:lineRule="auto"/>
              <w:jc w:val="center"/>
              <w:textAlignment w:val="auto"/>
              <w:outlineLvl w:val="9"/>
              <w:rPr>
                <w:rFonts w:ascii="宋体" w:hAnsi="宋体" w:eastAsia="宋体" w:cs="宋体"/>
                <w:color w:val="auto"/>
                <w:spacing w:val="-6"/>
                <w:szCs w:val="21"/>
                <w:highlight w:val="none"/>
              </w:rPr>
            </w:pPr>
            <w:r>
              <w:rPr>
                <w:rFonts w:hint="eastAsia" w:cs="宋体"/>
                <w:color w:val="auto"/>
                <w:spacing w:val="-6"/>
                <w:szCs w:val="21"/>
                <w:highlight w:val="none"/>
              </w:rPr>
              <w:t>1</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78313136">
            <w:pPr>
              <w:keepNext w:val="0"/>
              <w:keepLines w:val="0"/>
              <w:kinsoku/>
              <w:overflowPunct/>
              <w:topLinePunct w:val="0"/>
              <w:bidi w:val="0"/>
              <w:adjustRightInd w:val="0"/>
              <w:snapToGrid w:val="0"/>
              <w:spacing w:line="288" w:lineRule="auto"/>
              <w:jc w:val="center"/>
              <w:textAlignment w:val="auto"/>
              <w:outlineLvl w:val="9"/>
              <w:rPr>
                <w:rFonts w:hint="eastAsia" w:ascii="宋体" w:hAnsi="宋体" w:eastAsia="宋体" w:cs="宋体"/>
                <w:b/>
                <w:color w:val="auto"/>
                <w:spacing w:val="-6"/>
                <w:szCs w:val="21"/>
                <w:highlight w:val="none"/>
              </w:rPr>
            </w:pPr>
          </w:p>
        </w:tc>
        <w:tc>
          <w:tcPr>
            <w:tcW w:w="1070" w:type="pct"/>
            <w:tcBorders>
              <w:top w:val="single" w:color="auto" w:sz="4" w:space="0"/>
              <w:left w:val="single" w:color="auto" w:sz="4" w:space="0"/>
              <w:bottom w:val="single" w:color="auto" w:sz="4" w:space="0"/>
              <w:right w:val="single" w:color="auto" w:sz="4" w:space="0"/>
            </w:tcBorders>
            <w:noWrap w:val="0"/>
            <w:vAlign w:val="center"/>
          </w:tcPr>
          <w:p w14:paraId="1D702922">
            <w:pPr>
              <w:keepNext w:val="0"/>
              <w:keepLines w:val="0"/>
              <w:kinsoku/>
              <w:overflowPunct/>
              <w:topLinePunct w:val="0"/>
              <w:bidi w:val="0"/>
              <w:snapToGrid w:val="0"/>
              <w:spacing w:before="50" w:after="50" w:line="288" w:lineRule="auto"/>
              <w:jc w:val="center"/>
              <w:textAlignment w:val="auto"/>
              <w:outlineLvl w:val="9"/>
              <w:rPr>
                <w:rFonts w:ascii="宋体" w:hAnsi="宋体" w:eastAsia="宋体" w:cs="宋体"/>
                <w:color w:val="auto"/>
                <w:spacing w:val="-6"/>
                <w:szCs w:val="21"/>
                <w:highlight w:val="none"/>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14:paraId="326E3557">
            <w:pPr>
              <w:keepNext w:val="0"/>
              <w:keepLines w:val="0"/>
              <w:kinsoku/>
              <w:overflowPunct/>
              <w:topLinePunct w:val="0"/>
              <w:bidi w:val="0"/>
              <w:snapToGrid w:val="0"/>
              <w:spacing w:before="50" w:after="50" w:line="288" w:lineRule="auto"/>
              <w:jc w:val="center"/>
              <w:textAlignment w:val="auto"/>
              <w:outlineLvl w:val="9"/>
              <w:rPr>
                <w:rFonts w:ascii="宋体" w:hAnsi="宋体" w:eastAsia="宋体" w:cs="宋体"/>
                <w:color w:val="auto"/>
                <w:spacing w:val="-6"/>
                <w:szCs w:val="21"/>
                <w:highlight w:val="none"/>
              </w:rPr>
            </w:pPr>
          </w:p>
        </w:tc>
      </w:tr>
    </w:tbl>
    <w:p w14:paraId="14085541">
      <w:pPr>
        <w:keepNext w:val="0"/>
        <w:keepLines w:val="0"/>
        <w:kinsoku/>
        <w:overflowPunct/>
        <w:topLinePunct w:val="0"/>
        <w:bidi w:val="0"/>
        <w:snapToGrid w:val="0"/>
        <w:spacing w:before="50" w:after="50" w:line="360" w:lineRule="auto"/>
        <w:jc w:val="center"/>
        <w:textAlignment w:val="auto"/>
        <w:outlineLvl w:val="9"/>
        <w:rPr>
          <w:rFonts w:hint="eastAsia" w:ascii="宋体" w:hAnsi="宋体"/>
          <w:b/>
          <w:color w:val="auto"/>
          <w:sz w:val="24"/>
          <w:highlight w:val="none"/>
        </w:rPr>
      </w:pPr>
    </w:p>
    <w:p w14:paraId="4575546B">
      <w:pPr>
        <w:keepNext w:val="0"/>
        <w:keepLines w:val="0"/>
        <w:kinsoku/>
        <w:overflowPunct/>
        <w:topLinePunct w:val="0"/>
        <w:bidi w:val="0"/>
        <w:snapToGrid w:val="0"/>
        <w:spacing w:before="50" w:after="50" w:line="360" w:lineRule="auto"/>
        <w:ind w:firstLine="361" w:firstLineChars="150"/>
        <w:textAlignment w:val="auto"/>
        <w:outlineLvl w:val="9"/>
        <w:rPr>
          <w:rFonts w:hint="eastAsia" w:hAnsi="宋体" w:cs="宋体"/>
          <w:b/>
          <w:color w:val="auto"/>
          <w:sz w:val="24"/>
          <w:highlight w:val="none"/>
        </w:rPr>
      </w:pPr>
    </w:p>
    <w:p w14:paraId="0F2850D9">
      <w:pPr>
        <w:keepNext w:val="0"/>
        <w:keepLines w:val="0"/>
        <w:kinsoku/>
        <w:overflowPunct/>
        <w:topLinePunct w:val="0"/>
        <w:bidi w:val="0"/>
        <w:spacing w:line="360" w:lineRule="auto"/>
        <w:jc w:val="left"/>
        <w:textAlignment w:val="auto"/>
        <w:outlineLvl w:val="9"/>
        <w:rPr>
          <w:rFonts w:ascii="宋体" w:hAnsi="宋体"/>
          <w:b/>
          <w:bCs/>
          <w:color w:val="auto"/>
          <w:spacing w:val="-6"/>
          <w:sz w:val="24"/>
          <w:highlight w:val="none"/>
        </w:rPr>
      </w:pPr>
      <w:r>
        <w:rPr>
          <w:rFonts w:hint="eastAsia" w:ascii="宋体" w:hAnsi="宋体"/>
          <w:b/>
          <w:bCs/>
          <w:color w:val="auto"/>
          <w:spacing w:val="-6"/>
          <w:sz w:val="24"/>
          <w:highlight w:val="none"/>
        </w:rPr>
        <w:t>注：</w:t>
      </w:r>
    </w:p>
    <w:p w14:paraId="7FBF7EC8">
      <w:pPr>
        <w:adjustRightInd w:val="0"/>
        <w:snapToGrid w:val="0"/>
        <w:spacing w:line="288"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1.</w:t>
      </w:r>
      <w:r>
        <w:rPr>
          <w:rFonts w:hint="eastAsia"/>
          <w:b/>
          <w:bCs/>
          <w:color w:val="auto"/>
          <w:spacing w:val="-6"/>
          <w:sz w:val="24"/>
          <w:highlight w:val="none"/>
        </w:rPr>
        <w:t>单个</w:t>
      </w:r>
      <w:r>
        <w:rPr>
          <w:rFonts w:hint="eastAsia" w:ascii="宋体" w:hAnsi="宋体"/>
          <w:b/>
          <w:bCs/>
          <w:color w:val="auto"/>
          <w:spacing w:val="-6"/>
          <w:sz w:val="24"/>
          <w:highlight w:val="none"/>
        </w:rPr>
        <w:t>项目结算总价=工程造价基准结算总价*响应折扣；</w:t>
      </w:r>
    </w:p>
    <w:p w14:paraId="4123EEF6">
      <w:pPr>
        <w:adjustRightInd w:val="0"/>
        <w:snapToGrid w:val="0"/>
        <w:spacing w:line="288"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2.点工、挖土机械、登高车费用包含在单个项目中，与单个项目统一结算。</w:t>
      </w:r>
    </w:p>
    <w:p w14:paraId="2BE80846">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p>
    <w:p w14:paraId="682CD036">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r>
        <w:rPr>
          <w:rFonts w:hint="eastAsia" w:ascii="宋体" w:hAnsi="宋体" w:cs="宋体"/>
          <w:color w:val="auto"/>
          <w:kern w:val="0"/>
          <w:szCs w:val="21"/>
          <w:highlight w:val="none"/>
          <w:u w:val="single"/>
          <w:lang w:val="zh-CN"/>
        </w:rPr>
        <w:t xml:space="preserve">                </w:t>
      </w:r>
    </w:p>
    <w:p w14:paraId="55159139">
      <w:pPr>
        <w:keepNext w:val="0"/>
        <w:keepLines w:val="0"/>
        <w:kinsoku/>
        <w:overflowPunct/>
        <w:topLinePunct w:val="0"/>
        <w:bidi w:val="0"/>
        <w:textAlignment w:val="auto"/>
        <w:outlineLvl w:val="9"/>
        <w:rPr>
          <w:color w:val="auto"/>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u w:val="single"/>
          <w:lang w:val="zh-CN"/>
        </w:rPr>
        <w:t xml:space="preserve">                </w:t>
      </w:r>
    </w:p>
    <w:p w14:paraId="5D6289CE">
      <w:pPr>
        <w:pStyle w:val="59"/>
        <w:keepNext w:val="0"/>
        <w:keepLines w:val="0"/>
        <w:kinsoku/>
        <w:overflowPunct/>
        <w:topLinePunct w:val="0"/>
        <w:bidi w:val="0"/>
        <w:textAlignment w:val="auto"/>
        <w:outlineLvl w:val="9"/>
        <w:rPr>
          <w:color w:val="auto"/>
          <w:highlight w:val="none"/>
          <w:lang w:val="zh-CN"/>
        </w:rPr>
      </w:pPr>
    </w:p>
    <w:p w14:paraId="5405ACE3">
      <w:pPr>
        <w:pStyle w:val="60"/>
        <w:keepNext w:val="0"/>
        <w:keepLines w:val="0"/>
        <w:kinsoku/>
        <w:overflowPunct/>
        <w:topLinePunct w:val="0"/>
        <w:bidi w:val="0"/>
        <w:textAlignment w:val="auto"/>
        <w:outlineLvl w:val="9"/>
        <w:rPr>
          <w:color w:val="auto"/>
          <w:highlight w:val="none"/>
          <w:lang w:val="zh-CN"/>
        </w:rPr>
      </w:pPr>
    </w:p>
    <w:p w14:paraId="1E6AC37F">
      <w:pPr>
        <w:keepNext w:val="0"/>
        <w:keepLines w:val="0"/>
        <w:kinsoku/>
        <w:overflowPunct/>
        <w:topLinePunct w:val="0"/>
        <w:bidi w:val="0"/>
        <w:textAlignment w:val="auto"/>
        <w:outlineLvl w:val="9"/>
        <w:rPr>
          <w:color w:val="auto"/>
          <w:highlight w:val="none"/>
          <w:lang w:val="zh-CN"/>
        </w:rPr>
      </w:pPr>
    </w:p>
    <w:p w14:paraId="154A2D16">
      <w:pPr>
        <w:keepNext w:val="0"/>
        <w:keepLines w:val="0"/>
        <w:shd w:val="clear" w:color="auto" w:fill="FFFFFF"/>
        <w:kinsoku/>
        <w:overflowPunct/>
        <w:topLinePunct w:val="0"/>
        <w:bidi w:val="0"/>
        <w:adjustRightInd w:val="0"/>
        <w:snapToGrid w:val="0"/>
        <w:spacing w:line="360" w:lineRule="auto"/>
        <w:textAlignment w:val="auto"/>
        <w:outlineLvl w:val="9"/>
        <w:rPr>
          <w:rFonts w:ascii="宋体" w:hAnsi="宋体" w:cs="宋体"/>
          <w:b/>
          <w:bCs/>
          <w:color w:val="auto"/>
          <w:kern w:val="0"/>
          <w:sz w:val="24"/>
          <w:highlight w:val="none"/>
          <w:lang w:val="zh-CN"/>
        </w:rPr>
        <w:sectPr>
          <w:pgSz w:w="11906" w:h="16838"/>
          <w:pgMar w:top="1478" w:right="1474" w:bottom="860" w:left="1588" w:header="851" w:footer="992" w:gutter="0"/>
          <w:pgNumType w:fmt="decimal"/>
          <w:cols w:space="720" w:num="1"/>
          <w:docGrid w:type="lines" w:linePitch="312" w:charSpace="0"/>
        </w:sectPr>
      </w:pPr>
    </w:p>
    <w:p w14:paraId="5B21CF95">
      <w:pPr>
        <w:keepNext w:val="0"/>
        <w:keepLines w:val="0"/>
        <w:pageBreakBefore/>
        <w:shd w:val="clear" w:color="auto" w:fill="FFFFFF"/>
        <w:kinsoku/>
        <w:overflowPunct/>
        <w:topLinePunct w:val="0"/>
        <w:bidi w:val="0"/>
        <w:adjustRightInd w:val="0"/>
        <w:snapToGrid w:val="0"/>
        <w:spacing w:line="360" w:lineRule="auto"/>
        <w:ind w:firstLine="482" w:firstLineChars="200"/>
        <w:jc w:val="center"/>
        <w:textAlignment w:val="auto"/>
        <w:outlineLvl w:val="9"/>
        <w:rPr>
          <w:rFonts w:ascii="宋体" w:hAnsi="宋体" w:cs="宋体"/>
          <w:b/>
          <w:bCs/>
          <w:color w:val="auto"/>
          <w:sz w:val="24"/>
          <w:highlight w:val="none"/>
        </w:rPr>
      </w:pPr>
      <w:bookmarkStart w:id="127" w:name="_Toc354996708"/>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、交纳采购代理服务费承诺书</w:t>
      </w:r>
    </w:p>
    <w:p w14:paraId="716E587F">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p>
    <w:p w14:paraId="2B352A59">
      <w:pPr>
        <w:keepNext w:val="0"/>
        <w:keepLines w:val="0"/>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bookmarkStart w:id="128" w:name="_Toc10064"/>
      <w:bookmarkStart w:id="129" w:name="_Toc21508"/>
      <w:r>
        <w:rPr>
          <w:rFonts w:hint="eastAsia" w:ascii="宋体" w:hAnsi="宋体" w:cs="宋体"/>
          <w:color w:val="auto"/>
          <w:kern w:val="0"/>
          <w:szCs w:val="21"/>
          <w:highlight w:val="none"/>
        </w:rPr>
        <w:t>浙江豪圣建设项目管理有限公司：</w:t>
      </w:r>
      <w:bookmarkEnd w:id="128"/>
      <w:bookmarkEnd w:id="129"/>
    </w:p>
    <w:p w14:paraId="0CE1C77C">
      <w:pPr>
        <w:keepNext w:val="0"/>
        <w:keepLines w:val="0"/>
        <w:kinsoku/>
        <w:overflowPunct/>
        <w:topLinePunct w:val="0"/>
        <w:bidi w:val="0"/>
        <w:adjustRightInd w:val="0"/>
        <w:snapToGrid w:val="0"/>
        <w:spacing w:line="360" w:lineRule="auto"/>
        <w:ind w:firstLine="420" w:firstLineChars="200"/>
        <w:textAlignment w:val="auto"/>
        <w:outlineLvl w:val="9"/>
        <w:rPr>
          <w:rFonts w:ascii="宋体" w:hAnsi="宋体" w:cs="宋体"/>
          <w:color w:val="auto"/>
          <w:kern w:val="0"/>
          <w:szCs w:val="21"/>
          <w:highlight w:val="none"/>
        </w:rPr>
      </w:pPr>
      <w:bookmarkStart w:id="130" w:name="_Toc981"/>
      <w:bookmarkStart w:id="131" w:name="_Toc132"/>
      <w:r>
        <w:rPr>
          <w:rFonts w:hint="eastAsia" w:ascii="宋体" w:hAnsi="宋体" w:cs="宋体"/>
          <w:color w:val="auto"/>
          <w:kern w:val="0"/>
          <w:szCs w:val="21"/>
          <w:highlight w:val="none"/>
        </w:rPr>
        <w:t>我公司在你公司组织的</w:t>
      </w:r>
      <w:r>
        <w:rPr>
          <w:rFonts w:hint="eastAsia" w:ascii="宋体" w:hAnsi="宋体" w:cs="宋体"/>
          <w:color w:val="auto"/>
          <w:kern w:val="0"/>
          <w:szCs w:val="21"/>
          <w:highlight w:val="none"/>
          <w:u w:val="single"/>
          <w:lang w:eastAsia="zh-CN"/>
        </w:rPr>
        <w:t>浙江农林大学</w:t>
      </w:r>
      <w:r>
        <w:rPr>
          <w:rFonts w:hint="eastAsia" w:ascii="宋体" w:hAnsi="宋体" w:cs="宋体"/>
          <w:color w:val="auto"/>
          <w:kern w:val="0"/>
          <w:szCs w:val="21"/>
          <w:highlight w:val="none"/>
        </w:rPr>
        <w:t>（采购人）</w:t>
      </w:r>
      <w:r>
        <w:rPr>
          <w:rFonts w:hint="eastAsia" w:ascii="宋体" w:hAnsi="宋体" w:cs="宋体"/>
          <w:color w:val="auto"/>
          <w:kern w:val="0"/>
          <w:szCs w:val="21"/>
          <w:highlight w:val="none"/>
          <w:u w:val="single"/>
          <w:lang w:eastAsia="zh-CN"/>
        </w:rPr>
        <w:t>2025-2026年年度小额施工单位（建筑安装施工）招标项目</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lang w:eastAsia="zh-CN"/>
        </w:rPr>
        <w:t>HSZB-2025-064</w:t>
      </w:r>
      <w:r>
        <w:rPr>
          <w:rFonts w:hint="eastAsia" w:ascii="宋体" w:hAnsi="宋体" w:cs="宋体"/>
          <w:color w:val="auto"/>
          <w:kern w:val="0"/>
          <w:szCs w:val="21"/>
          <w:highlight w:val="none"/>
        </w:rPr>
        <w:t>（项目编号）的招标中若获中标，我公司保证在收到你公司通知后按采购文件中前附表的规定，向你公司即浙江豪圣建设项目管理有限公司支付采购代理服务费（户名：浙江豪圣建设项目管理有限公司。开户：上海浦东发展银行股份有限公司杭州和睦支行。账号：95160154800000653）。</w:t>
      </w:r>
      <w:bookmarkEnd w:id="130"/>
      <w:bookmarkEnd w:id="131"/>
    </w:p>
    <w:p w14:paraId="64E76C5B">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p>
    <w:p w14:paraId="7C88E1BA">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bookmarkStart w:id="132" w:name="_Toc15703"/>
      <w:bookmarkStart w:id="133" w:name="_Toc17898"/>
      <w:r>
        <w:rPr>
          <w:rFonts w:hint="eastAsia" w:ascii="宋体" w:hAnsi="宋体" w:cs="宋体"/>
          <w:color w:val="auto"/>
          <w:kern w:val="0"/>
          <w:szCs w:val="21"/>
          <w:highlight w:val="none"/>
        </w:rPr>
        <w:t>特此承诺。</w:t>
      </w:r>
      <w:bookmarkEnd w:id="132"/>
      <w:bookmarkEnd w:id="133"/>
    </w:p>
    <w:p w14:paraId="46965A84">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bookmarkStart w:id="134" w:name="_Toc32162"/>
      <w:bookmarkStart w:id="135" w:name="_Toc14944"/>
      <w:r>
        <w:rPr>
          <w:rFonts w:hint="eastAsia" w:ascii="宋体" w:hAnsi="宋体" w:cs="宋体"/>
          <w:color w:val="auto"/>
          <w:kern w:val="0"/>
          <w:szCs w:val="21"/>
          <w:highlight w:val="none"/>
        </w:rPr>
        <w:t>投标供应商全称（盖单位公章）：</w:t>
      </w:r>
      <w:bookmarkEnd w:id="134"/>
      <w:bookmarkEnd w:id="135"/>
    </w:p>
    <w:p w14:paraId="167E53C9">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bookmarkStart w:id="136" w:name="_Toc31054"/>
      <w:bookmarkStart w:id="137" w:name="_Toc3564"/>
      <w:r>
        <w:rPr>
          <w:rFonts w:hint="eastAsia" w:ascii="宋体" w:hAnsi="宋体" w:cs="宋体"/>
          <w:color w:val="auto"/>
          <w:kern w:val="0"/>
          <w:szCs w:val="21"/>
          <w:highlight w:val="none"/>
        </w:rPr>
        <w:t>日期：年</w:t>
      </w:r>
      <w:bookmarkEnd w:id="136"/>
      <w:bookmarkEnd w:id="137"/>
      <w:r>
        <w:rPr>
          <w:rFonts w:hint="eastAsia" w:ascii="宋体" w:hAnsi="宋体" w:cs="宋体"/>
          <w:color w:val="auto"/>
          <w:kern w:val="0"/>
          <w:szCs w:val="21"/>
          <w:highlight w:val="none"/>
        </w:rPr>
        <w:t xml:space="preserve"> 月 日</w:t>
      </w:r>
    </w:p>
    <w:p w14:paraId="38B27D59">
      <w:pPr>
        <w:keepNext w:val="0"/>
        <w:keepLines w:val="0"/>
        <w:kinsoku/>
        <w:overflowPunct/>
        <w:topLinePunct w:val="0"/>
        <w:bidi w:val="0"/>
        <w:adjustRightInd w:val="0"/>
        <w:snapToGrid w:val="0"/>
        <w:spacing w:line="360" w:lineRule="auto"/>
        <w:textAlignment w:val="auto"/>
        <w:outlineLvl w:val="9"/>
        <w:rPr>
          <w:rFonts w:ascii="宋体" w:hAnsi="宋体" w:cs="宋体"/>
          <w:color w:val="auto"/>
          <w:kern w:val="0"/>
          <w:szCs w:val="21"/>
          <w:highlight w:val="none"/>
        </w:rPr>
      </w:pPr>
    </w:p>
    <w:p w14:paraId="216BCD51">
      <w:pPr>
        <w:pStyle w:val="23"/>
        <w:keepNext w:val="0"/>
        <w:keepLines w:val="0"/>
        <w:kinsoku/>
        <w:overflowPunct/>
        <w:topLinePunct w:val="0"/>
        <w:bidi w:val="0"/>
        <w:ind w:left="0" w:leftChars="0" w:right="1470"/>
        <w:textAlignment w:val="auto"/>
        <w:outlineLvl w:val="9"/>
        <w:rPr>
          <w:color w:val="auto"/>
          <w:highlight w:val="none"/>
        </w:rPr>
        <w:sectPr>
          <w:pgSz w:w="11906" w:h="16838"/>
          <w:pgMar w:top="2098" w:right="1474" w:bottom="1701" w:left="1588" w:header="851" w:footer="992" w:gutter="0"/>
          <w:pgNumType w:fmt="decimal"/>
          <w:cols w:space="720" w:num="1"/>
          <w:docGrid w:type="lines" w:linePitch="312" w:charSpace="0"/>
        </w:sectPr>
      </w:pPr>
    </w:p>
    <w:p w14:paraId="3CD39F62">
      <w:pPr>
        <w:bidi w:val="0"/>
        <w:rPr>
          <w:color w:val="auto"/>
          <w:highlight w:val="none"/>
        </w:rPr>
      </w:pPr>
    </w:p>
    <w:p w14:paraId="71A9A45B">
      <w:pPr>
        <w:bidi w:val="0"/>
        <w:rPr>
          <w:color w:val="auto"/>
          <w:highlight w:val="none"/>
        </w:rPr>
      </w:pPr>
    </w:p>
    <w:p w14:paraId="06651FB2">
      <w:pPr>
        <w:adjustRightInd w:val="0"/>
        <w:snapToGrid w:val="0"/>
        <w:spacing w:line="360" w:lineRule="auto"/>
        <w:jc w:val="center"/>
        <w:outlineLvl w:val="1"/>
        <w:rPr>
          <w:rFonts w:ascii="宋体" w:hAnsi="宋体" w:cs="宋体"/>
          <w:b/>
          <w:color w:val="auto"/>
          <w:kern w:val="0"/>
          <w:sz w:val="36"/>
          <w:szCs w:val="36"/>
          <w:highlight w:val="none"/>
        </w:rPr>
      </w:pPr>
      <w:bookmarkStart w:id="138" w:name="_Toc2346"/>
      <w:bookmarkStart w:id="139" w:name="_Toc16984"/>
      <w:bookmarkStart w:id="140" w:name="_Toc19023"/>
      <w:bookmarkStart w:id="141" w:name="_Toc8933"/>
      <w:bookmarkStart w:id="142" w:name="_Toc13380"/>
      <w:r>
        <w:rPr>
          <w:rFonts w:hint="eastAsia" w:ascii="宋体" w:hAnsi="宋体" w:cs="宋体"/>
          <w:b/>
          <w:color w:val="auto"/>
          <w:kern w:val="0"/>
          <w:sz w:val="36"/>
          <w:szCs w:val="36"/>
          <w:highlight w:val="none"/>
        </w:rPr>
        <w:t>商务</w:t>
      </w:r>
      <w:bookmarkEnd w:id="127"/>
      <w:bookmarkStart w:id="143" w:name="_Toc354996709"/>
      <w:r>
        <w:rPr>
          <w:rFonts w:hint="eastAsia" w:ascii="宋体" w:hAnsi="宋体" w:cs="宋体"/>
          <w:b/>
          <w:color w:val="auto"/>
          <w:kern w:val="0"/>
          <w:sz w:val="36"/>
          <w:szCs w:val="36"/>
          <w:highlight w:val="none"/>
        </w:rPr>
        <w:t>技术文件</w:t>
      </w:r>
      <w:bookmarkEnd w:id="138"/>
      <w:bookmarkEnd w:id="139"/>
      <w:bookmarkEnd w:id="140"/>
      <w:bookmarkEnd w:id="141"/>
      <w:bookmarkEnd w:id="142"/>
    </w:p>
    <w:p w14:paraId="59C3D9D9">
      <w:pPr>
        <w:pageBreakBefore w:val="0"/>
        <w:kinsoku/>
        <w:overflowPunct/>
        <w:topLinePunct w:val="0"/>
        <w:bidi w:val="0"/>
        <w:adjustRightInd w:val="0"/>
        <w:snapToGrid w:val="0"/>
        <w:textAlignment w:val="auto"/>
        <w:outlineLvl w:val="9"/>
        <w:rPr>
          <w:rFonts w:ascii="宋体" w:hAnsi="宋体" w:cs="宋体"/>
          <w:color w:val="auto"/>
          <w:highlight w:val="none"/>
        </w:rPr>
      </w:pPr>
      <w:bookmarkStart w:id="144" w:name="_Toc25554"/>
      <w:bookmarkStart w:id="145" w:name="_Toc20650"/>
      <w:bookmarkStart w:id="146" w:name="_Toc7803"/>
      <w:bookmarkStart w:id="147" w:name="_Toc7049"/>
      <w:bookmarkStart w:id="148" w:name="_Toc6570"/>
      <w:bookmarkStart w:id="149" w:name="_Toc30182"/>
      <w:bookmarkStart w:id="150" w:name="_Toc7660"/>
      <w:bookmarkStart w:id="151" w:name="_Toc23505"/>
      <w:bookmarkStart w:id="152" w:name="_Toc28323"/>
      <w:bookmarkStart w:id="153" w:name="_Toc13194"/>
      <w:bookmarkStart w:id="154" w:name="_Toc27129"/>
      <w:r>
        <w:rPr>
          <w:rFonts w:hint="eastAsia" w:ascii="宋体" w:hAnsi="宋体" w:cs="宋体"/>
          <w:color w:val="auto"/>
          <w:highlight w:val="none"/>
        </w:rPr>
        <w:t>目录</w:t>
      </w:r>
      <w:bookmarkEnd w:id="144"/>
      <w:bookmarkEnd w:id="145"/>
      <w:bookmarkEnd w:id="146"/>
      <w:bookmarkEnd w:id="147"/>
      <w:bookmarkEnd w:id="148"/>
      <w:bookmarkEnd w:id="149"/>
      <w:bookmarkEnd w:id="150"/>
      <w:bookmarkEnd w:id="151"/>
      <w:bookmarkEnd w:id="152"/>
      <w:bookmarkEnd w:id="153"/>
      <w:bookmarkEnd w:id="154"/>
    </w:p>
    <w:p w14:paraId="7B91D22D">
      <w:pPr>
        <w:pageBreakBefore w:val="0"/>
        <w:kinsoku/>
        <w:overflowPunct/>
        <w:topLinePunct w:val="0"/>
        <w:bidi w:val="0"/>
        <w:spacing w:line="360" w:lineRule="auto"/>
        <w:textAlignment w:val="auto"/>
        <w:outlineLvl w:val="9"/>
        <w:rPr>
          <w:color w:val="auto"/>
          <w:highlight w:val="none"/>
        </w:rPr>
      </w:pPr>
      <w:r>
        <w:rPr>
          <w:rFonts w:hint="eastAsia"/>
          <w:color w:val="auto"/>
          <w:highlight w:val="none"/>
        </w:rPr>
        <w:t>（1）授权委托书………………………………………………………………………………（页码）</w:t>
      </w:r>
    </w:p>
    <w:p w14:paraId="68CED028">
      <w:pPr>
        <w:pageBreakBefore w:val="0"/>
        <w:kinsoku/>
        <w:overflowPunct/>
        <w:topLinePunct w:val="0"/>
        <w:bidi w:val="0"/>
        <w:spacing w:line="360" w:lineRule="auto"/>
        <w:textAlignment w:val="auto"/>
        <w:outlineLvl w:val="9"/>
        <w:rPr>
          <w:color w:val="auto"/>
          <w:highlight w:val="none"/>
        </w:rPr>
      </w:pPr>
      <w:r>
        <w:rPr>
          <w:rFonts w:hint="eastAsia"/>
          <w:color w:val="auto"/>
          <w:highlight w:val="none"/>
        </w:rPr>
        <w:t>（2）</w:t>
      </w:r>
      <w:r>
        <w:rPr>
          <w:color w:val="auto"/>
          <w:highlight w:val="none"/>
        </w:rPr>
        <w:t>法定代表人及授权委托人的身份证(复印件)</w:t>
      </w:r>
      <w:r>
        <w:rPr>
          <w:rFonts w:hint="eastAsia"/>
          <w:color w:val="auto"/>
          <w:highlight w:val="none"/>
        </w:rPr>
        <w:t>…………………………………………（页码）</w:t>
      </w:r>
    </w:p>
    <w:p w14:paraId="4D306DCA">
      <w:pPr>
        <w:pageBreakBefore w:val="0"/>
        <w:kinsoku/>
        <w:overflowPunct/>
        <w:topLinePunct w:val="0"/>
        <w:bidi w:val="0"/>
        <w:spacing w:line="360" w:lineRule="auto"/>
        <w:textAlignment w:val="auto"/>
        <w:outlineLvl w:val="9"/>
        <w:rPr>
          <w:color w:val="auto"/>
          <w:highlight w:val="none"/>
        </w:rPr>
      </w:pPr>
      <w:r>
        <w:rPr>
          <w:rFonts w:hint="eastAsia"/>
          <w:color w:val="auto"/>
          <w:highlight w:val="none"/>
        </w:rPr>
        <w:t>（3）</w:t>
      </w:r>
      <w:r>
        <w:rPr>
          <w:rFonts w:hint="eastAsia" w:ascii="宋体" w:hAnsi="宋体"/>
          <w:bCs/>
          <w:color w:val="auto"/>
          <w:highlight w:val="none"/>
          <w:lang w:val="zh-CN"/>
        </w:rPr>
        <w:t>公司介绍及提供同类项目经验</w:t>
      </w:r>
      <w:r>
        <w:rPr>
          <w:rFonts w:hint="eastAsia"/>
          <w:color w:val="auto"/>
          <w:highlight w:val="none"/>
        </w:rPr>
        <w:t>…………………………………………………………（页码）</w:t>
      </w:r>
    </w:p>
    <w:p w14:paraId="6DD65FF6">
      <w:pPr>
        <w:pageBreakBefore w:val="0"/>
        <w:kinsoku/>
        <w:overflowPunct/>
        <w:topLinePunct w:val="0"/>
        <w:bidi w:val="0"/>
        <w:textAlignment w:val="auto"/>
        <w:outlineLvl w:val="9"/>
        <w:rPr>
          <w:color w:val="auto"/>
          <w:highlight w:val="none"/>
        </w:rPr>
      </w:pPr>
      <w:r>
        <w:rPr>
          <w:rFonts w:hint="eastAsia"/>
          <w:color w:val="auto"/>
          <w:highlight w:val="none"/>
        </w:rPr>
        <w:t>（4）</w:t>
      </w:r>
      <w:r>
        <w:rPr>
          <w:rFonts w:hint="eastAsia" w:ascii="宋体" w:hAnsi="宋体"/>
          <w:bCs/>
          <w:color w:val="auto"/>
          <w:highlight w:val="none"/>
          <w:lang w:val="zh-CN"/>
        </w:rPr>
        <w:t>资质文件（如有）</w:t>
      </w:r>
      <w:r>
        <w:rPr>
          <w:rFonts w:hint="eastAsia"/>
          <w:color w:val="auto"/>
          <w:highlight w:val="none"/>
        </w:rPr>
        <w:t>………………………………………………………………………（页码）</w:t>
      </w:r>
    </w:p>
    <w:p w14:paraId="589378B3">
      <w:pPr>
        <w:pageBreakBefore w:val="0"/>
        <w:kinsoku/>
        <w:overflowPunct/>
        <w:topLinePunct w:val="0"/>
        <w:bidi w:val="0"/>
        <w:spacing w:line="360" w:lineRule="auto"/>
        <w:textAlignment w:val="auto"/>
        <w:outlineLvl w:val="9"/>
        <w:rPr>
          <w:color w:val="auto"/>
          <w:highlight w:val="none"/>
        </w:rPr>
      </w:pPr>
      <w:r>
        <w:rPr>
          <w:rFonts w:hint="eastAsia"/>
          <w:color w:val="auto"/>
          <w:highlight w:val="none"/>
        </w:rPr>
        <w:t>（5）商务、</w:t>
      </w:r>
      <w:r>
        <w:rPr>
          <w:rFonts w:hint="eastAsia" w:ascii="宋体" w:hAnsi="宋体"/>
          <w:bCs/>
          <w:color w:val="auto"/>
          <w:highlight w:val="none"/>
        </w:rPr>
        <w:t>技术偏离表</w:t>
      </w:r>
      <w:r>
        <w:rPr>
          <w:rFonts w:hint="eastAsia"/>
          <w:color w:val="auto"/>
          <w:highlight w:val="none"/>
        </w:rPr>
        <w:t>………………………………………………………………………（页码）</w:t>
      </w:r>
    </w:p>
    <w:p w14:paraId="50AAE621">
      <w:pPr>
        <w:pageBreakBefore w:val="0"/>
        <w:kinsoku/>
        <w:overflowPunct/>
        <w:topLinePunct w:val="0"/>
        <w:bidi w:val="0"/>
        <w:textAlignment w:val="auto"/>
        <w:outlineLvl w:val="9"/>
        <w:rPr>
          <w:color w:val="auto"/>
          <w:highlight w:val="none"/>
        </w:rPr>
      </w:pPr>
      <w:r>
        <w:rPr>
          <w:rFonts w:hint="eastAsia"/>
          <w:color w:val="auto"/>
          <w:highlight w:val="none"/>
        </w:rPr>
        <w:t>（6）</w:t>
      </w:r>
      <w:r>
        <w:rPr>
          <w:rFonts w:hint="eastAsia"/>
          <w:color w:val="auto"/>
          <w:highlight w:val="none"/>
          <w:lang w:val="zh-CN"/>
        </w:rPr>
        <w:t>评标标准相应的商务技术资料</w:t>
      </w:r>
      <w:r>
        <w:rPr>
          <w:rFonts w:hint="eastAsia"/>
          <w:color w:val="auto"/>
          <w:highlight w:val="none"/>
        </w:rPr>
        <w:t>………………………………………………………  （页码）</w:t>
      </w:r>
    </w:p>
    <w:bookmarkEnd w:id="143"/>
    <w:p w14:paraId="0D2CBA9C">
      <w:pPr>
        <w:pageBreakBefore w:val="0"/>
        <w:kinsoku/>
        <w:overflowPunct/>
        <w:topLinePunct w:val="0"/>
        <w:bidi w:val="0"/>
        <w:spacing w:line="360" w:lineRule="auto"/>
        <w:textAlignment w:val="auto"/>
        <w:outlineLvl w:val="9"/>
        <w:rPr>
          <w:color w:val="auto"/>
          <w:highlight w:val="none"/>
        </w:rPr>
      </w:pPr>
      <w:r>
        <w:rPr>
          <w:rFonts w:hint="eastAsia"/>
          <w:color w:val="auto"/>
          <w:highlight w:val="none"/>
        </w:rPr>
        <w:t>（7）</w:t>
      </w:r>
      <w:r>
        <w:rPr>
          <w:rFonts w:hint="eastAsia" w:ascii="宋体" w:hAnsi="宋体"/>
          <w:color w:val="auto"/>
          <w:highlight w:val="none"/>
        </w:rPr>
        <w:t>分包意向协议（需明确分包的金额比重、中小企业声明函中需体现分包商的信息）（如有）</w:t>
      </w:r>
      <w:r>
        <w:rPr>
          <w:rFonts w:hint="eastAsia"/>
          <w:color w:val="auto"/>
          <w:highlight w:val="none"/>
        </w:rPr>
        <w:t>…………………………………………………………………………………………… （页码）</w:t>
      </w:r>
    </w:p>
    <w:p w14:paraId="2E497AE1">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highlight w:val="none"/>
        </w:rPr>
      </w:pPr>
      <w:r>
        <w:rPr>
          <w:rFonts w:hint="eastAsia" w:ascii="宋体" w:hAnsi="宋体" w:eastAsia="宋体"/>
          <w:color w:val="auto"/>
          <w:highlight w:val="none"/>
        </w:rPr>
        <w:t>（8）</w:t>
      </w:r>
      <w:r>
        <w:rPr>
          <w:rFonts w:hint="eastAsia" w:hAnsi="宋体" w:eastAsia="宋体" w:cs="Arial"/>
          <w:color w:val="auto"/>
          <w:highlight w:val="none"/>
        </w:rPr>
        <w:t>其他必要提供的材料</w:t>
      </w:r>
      <w:r>
        <w:rPr>
          <w:rFonts w:hint="eastAsia" w:ascii="宋体" w:hAnsi="宋体" w:eastAsia="宋体"/>
          <w:color w:val="auto"/>
          <w:highlight w:val="none"/>
        </w:rPr>
        <w:t>………………………………………………………………… （页码）</w:t>
      </w:r>
    </w:p>
    <w:p w14:paraId="6CFBD97D">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sz w:val="24"/>
          <w:highlight w:val="none"/>
        </w:rPr>
      </w:pPr>
    </w:p>
    <w:p w14:paraId="5F3EB2CA">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sz w:val="24"/>
          <w:highlight w:val="none"/>
        </w:rPr>
      </w:pPr>
    </w:p>
    <w:p w14:paraId="2FCB2A7A">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sz w:val="24"/>
          <w:highlight w:val="none"/>
        </w:rPr>
      </w:pPr>
    </w:p>
    <w:p w14:paraId="423C2B91">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sz w:val="24"/>
          <w:highlight w:val="none"/>
        </w:rPr>
      </w:pPr>
    </w:p>
    <w:p w14:paraId="2A443163">
      <w:pPr>
        <w:pStyle w:val="26"/>
        <w:pageBreakBefore w:val="0"/>
        <w:kinsoku/>
        <w:overflowPunct/>
        <w:topLinePunct w:val="0"/>
        <w:bidi w:val="0"/>
        <w:adjustRightInd w:val="0"/>
        <w:snapToGrid w:val="0"/>
        <w:spacing w:line="360" w:lineRule="auto"/>
        <w:textAlignment w:val="auto"/>
        <w:outlineLvl w:val="9"/>
        <w:rPr>
          <w:rFonts w:ascii="宋体" w:hAnsi="宋体" w:eastAsia="宋体"/>
          <w:color w:val="auto"/>
          <w:sz w:val="24"/>
          <w:highlight w:val="none"/>
        </w:rPr>
        <w:sectPr>
          <w:pgSz w:w="11906" w:h="16838"/>
          <w:pgMar w:top="2098" w:right="1474" w:bottom="1701" w:left="1588" w:header="851" w:footer="992" w:gutter="0"/>
          <w:pgNumType w:fmt="decimal"/>
          <w:cols w:space="720" w:num="1"/>
          <w:docGrid w:type="lines" w:linePitch="312" w:charSpace="0"/>
        </w:sectPr>
      </w:pPr>
    </w:p>
    <w:p w14:paraId="375DCE63">
      <w:pPr>
        <w:pageBreakBefore w:val="0"/>
        <w:kinsoku/>
        <w:overflowPunct/>
        <w:topLinePunct w:val="0"/>
        <w:autoSpaceDE w:val="0"/>
        <w:autoSpaceDN w:val="0"/>
        <w:bidi w:val="0"/>
        <w:adjustRightInd w:val="0"/>
        <w:snapToGrid w:val="0"/>
        <w:spacing w:line="360" w:lineRule="auto"/>
        <w:textAlignment w:val="auto"/>
        <w:outlineLvl w:val="9"/>
        <w:rPr>
          <w:rFonts w:ascii="宋体" w:hAnsi="宋体" w:cs="宋体"/>
          <w:b/>
          <w:color w:val="auto"/>
          <w:sz w:val="32"/>
          <w:szCs w:val="32"/>
          <w:highlight w:val="none"/>
          <w:lang w:val="zh-CN"/>
        </w:rPr>
      </w:pPr>
    </w:p>
    <w:p w14:paraId="2507ECFB">
      <w:pPr>
        <w:pStyle w:val="21"/>
        <w:pageBreakBefore w:val="0"/>
        <w:kinsoku/>
        <w:overflowPunct/>
        <w:topLinePunct w:val="0"/>
        <w:bidi w:val="0"/>
        <w:textAlignment w:val="auto"/>
        <w:outlineLvl w:val="9"/>
        <w:rPr>
          <w:color w:val="auto"/>
          <w:highlight w:val="none"/>
        </w:rPr>
      </w:pPr>
    </w:p>
    <w:p w14:paraId="63458DD5">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b/>
          <w:color w:val="auto"/>
          <w:sz w:val="32"/>
          <w:szCs w:val="32"/>
          <w:highlight w:val="none"/>
          <w:lang w:val="zh-CN"/>
        </w:rPr>
      </w:pPr>
      <w:bookmarkStart w:id="155" w:name="_Toc1020"/>
      <w:r>
        <w:rPr>
          <w:rFonts w:ascii="Times New Roman" w:hAnsi="Times New Roman"/>
          <w:b/>
          <w:color w:val="auto"/>
          <w:sz w:val="32"/>
          <w:szCs w:val="32"/>
          <w:highlight w:val="none"/>
          <w:lang w:val="zh-CN"/>
        </w:rPr>
        <w:t>一、法定代表人授权委托书</w:t>
      </w:r>
      <w:bookmarkEnd w:id="155"/>
      <w:r>
        <w:rPr>
          <w:rFonts w:hint="eastAsia" w:ascii="Times New Roman" w:hAnsi="Times New Roman"/>
          <w:b/>
          <w:color w:val="auto"/>
          <w:sz w:val="32"/>
          <w:szCs w:val="32"/>
          <w:highlight w:val="none"/>
          <w:lang w:val="zh-CN"/>
        </w:rPr>
        <w:t>（</w:t>
      </w:r>
      <w:r>
        <w:rPr>
          <w:rFonts w:hint="eastAsia" w:ascii="宋体" w:hAnsi="宋体" w:eastAsia="宋体"/>
          <w:b/>
          <w:color w:val="auto"/>
          <w:kern w:val="0"/>
          <w:sz w:val="32"/>
          <w:szCs w:val="32"/>
          <w:highlight w:val="none"/>
          <w:lang w:val="zh-CN"/>
        </w:rPr>
        <w:t>适用于非联合体投标</w:t>
      </w:r>
      <w:r>
        <w:rPr>
          <w:rFonts w:hint="eastAsia" w:ascii="Times New Roman" w:hAnsi="Times New Roman"/>
          <w:b/>
          <w:color w:val="auto"/>
          <w:sz w:val="32"/>
          <w:szCs w:val="32"/>
          <w:highlight w:val="none"/>
          <w:lang w:val="zh-CN"/>
        </w:rPr>
        <w:t>）</w:t>
      </w:r>
    </w:p>
    <w:p w14:paraId="246CE4AF">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 xml:space="preserve">  </w:t>
      </w:r>
    </w:p>
    <w:p w14:paraId="7F04AAEF">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浙江豪圣建设项目管理有限公司：</w:t>
      </w:r>
    </w:p>
    <w:p w14:paraId="677C4CD3">
      <w:pPr>
        <w:pageBreakBefore w:val="0"/>
        <w:shd w:val="clear" w:color="auto" w:fill="FFFFFF"/>
        <w:kinsoku/>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lang w:val="zh-CN"/>
        </w:rPr>
        <w:t>兹委派我公司</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先生/女士(其在本公司的职务是：</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，联系电话：</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)，代表我公司全权处理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(项目编号：XXXX)政府采购投标的一切事项，若中标则全权代表本公司签订相关合同，</w:t>
      </w:r>
      <w:r>
        <w:rPr>
          <w:rFonts w:hint="eastAsia" w:ascii="宋体" w:hAnsi="宋体" w:cs="宋体"/>
          <w:color w:val="auto"/>
          <w:kern w:val="0"/>
          <w:szCs w:val="21"/>
          <w:highlight w:val="none"/>
          <w:lang w:val="zh-CN"/>
        </w:rPr>
        <w:t>并负责处理合同履行等事宜。</w:t>
      </w:r>
    </w:p>
    <w:p w14:paraId="6E9E531B">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特此告知。</w:t>
      </w:r>
    </w:p>
    <w:p w14:paraId="0D675BC1">
      <w:pPr>
        <w:pageBreakBefore w:val="0"/>
        <w:shd w:val="clear" w:color="auto" w:fill="FFFFFF"/>
        <w:kinsoku/>
        <w:overflowPunct/>
        <w:topLinePunct w:val="0"/>
        <w:bidi w:val="0"/>
        <w:snapToGrid w:val="0"/>
        <w:spacing w:line="360" w:lineRule="auto"/>
        <w:jc w:val="left"/>
        <w:textAlignment w:val="auto"/>
        <w:outlineLvl w:val="9"/>
        <w:rPr>
          <w:rFonts w:ascii="宋体" w:hAnsi="宋体" w:cs="宋体"/>
          <w:color w:val="auto"/>
          <w:kern w:val="0"/>
          <w:szCs w:val="21"/>
          <w:highlight w:val="none"/>
        </w:rPr>
      </w:pPr>
    </w:p>
    <w:p w14:paraId="7CAF5320">
      <w:pPr>
        <w:pageBreakBefore w:val="0"/>
        <w:kinsoku/>
        <w:overflowPunct/>
        <w:topLinePunct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供应商名称（盖章） ：</w:t>
      </w:r>
    </w:p>
    <w:p w14:paraId="4E7423DE">
      <w:pPr>
        <w:pageBreakBefore w:val="0"/>
        <w:kinsoku/>
        <w:overflowPunct/>
        <w:topLinePunct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法定代表人或其授权代表（签字或盖章）：</w:t>
      </w:r>
    </w:p>
    <w:p w14:paraId="4DBF4801">
      <w:pPr>
        <w:pageBreakBefore w:val="0"/>
        <w:kinsoku/>
        <w:overflowPunct/>
        <w:topLinePunct w:val="0"/>
        <w:bidi w:val="0"/>
        <w:snapToGrid w:val="0"/>
        <w:spacing w:line="360" w:lineRule="auto"/>
        <w:ind w:firstLine="420" w:firstLineChars="200"/>
        <w:jc w:val="left"/>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rPr>
        <w:t>日期：     年  月  日</w:t>
      </w:r>
    </w:p>
    <w:p w14:paraId="110A6A59">
      <w:pPr>
        <w:pageBreakBefore w:val="0"/>
        <w:shd w:val="clear" w:color="auto" w:fill="FFFFFF"/>
        <w:kinsoku/>
        <w:overflowPunct/>
        <w:topLinePunct w:val="0"/>
        <w:bidi w:val="0"/>
        <w:snapToGrid w:val="0"/>
        <w:spacing w:line="360" w:lineRule="auto"/>
        <w:ind w:right="480"/>
        <w:jc w:val="center"/>
        <w:textAlignment w:val="auto"/>
        <w:outlineLvl w:val="9"/>
        <w:rPr>
          <w:rFonts w:ascii="宋体" w:hAnsi="宋体" w:cs="宋体"/>
          <w:b/>
          <w:bCs/>
          <w:color w:val="auto"/>
          <w:kern w:val="0"/>
          <w:szCs w:val="21"/>
          <w:highlight w:val="none"/>
          <w:lang w:val="zh-CN"/>
        </w:rPr>
      </w:pPr>
    </w:p>
    <w:p w14:paraId="5B09FCCF">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b/>
          <w:color w:val="auto"/>
          <w:sz w:val="32"/>
          <w:szCs w:val="32"/>
          <w:highlight w:val="none"/>
          <w:lang w:val="zh-CN"/>
        </w:rPr>
      </w:pPr>
    </w:p>
    <w:p w14:paraId="01FA0B7E">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b/>
          <w:color w:val="auto"/>
          <w:sz w:val="32"/>
          <w:szCs w:val="32"/>
          <w:highlight w:val="none"/>
          <w:lang w:val="zh-CN"/>
        </w:rPr>
      </w:pPr>
      <w:r>
        <w:rPr>
          <w:rFonts w:ascii="Times New Roman" w:hAnsi="Times New Roman"/>
          <w:b/>
          <w:color w:val="auto"/>
          <w:sz w:val="32"/>
          <w:szCs w:val="32"/>
          <w:highlight w:val="none"/>
          <w:lang w:val="zh-CN"/>
        </w:rPr>
        <w:t>法定代表人授权委托书</w:t>
      </w:r>
      <w:r>
        <w:rPr>
          <w:rFonts w:hint="eastAsia" w:ascii="Times New Roman" w:hAnsi="Times New Roman"/>
          <w:b/>
          <w:color w:val="auto"/>
          <w:sz w:val="32"/>
          <w:szCs w:val="32"/>
          <w:highlight w:val="none"/>
          <w:lang w:val="zh-CN"/>
        </w:rPr>
        <w:t>（</w:t>
      </w:r>
      <w:r>
        <w:rPr>
          <w:rFonts w:hint="eastAsia" w:ascii="宋体" w:hAnsi="宋体" w:eastAsia="宋体"/>
          <w:b/>
          <w:color w:val="auto"/>
          <w:kern w:val="0"/>
          <w:sz w:val="32"/>
          <w:szCs w:val="32"/>
          <w:highlight w:val="none"/>
          <w:lang w:val="zh-CN"/>
        </w:rPr>
        <w:t>适用于联合体投标</w:t>
      </w:r>
      <w:r>
        <w:rPr>
          <w:rFonts w:hint="eastAsia" w:ascii="Times New Roman" w:hAnsi="Times New Roman"/>
          <w:b/>
          <w:color w:val="auto"/>
          <w:sz w:val="32"/>
          <w:szCs w:val="32"/>
          <w:highlight w:val="none"/>
          <w:lang w:val="zh-CN"/>
        </w:rPr>
        <w:t>）</w:t>
      </w:r>
    </w:p>
    <w:p w14:paraId="35701FAF">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lang w:eastAsia="zh-CN"/>
        </w:rPr>
        <w:t>浙江农林大学</w:t>
      </w:r>
      <w:r>
        <w:rPr>
          <w:rFonts w:hint="eastAsia" w:ascii="宋体" w:hAnsi="宋体" w:cs="宋体"/>
          <w:color w:val="auto"/>
          <w:szCs w:val="21"/>
          <w:highlight w:val="none"/>
        </w:rPr>
        <w:t xml:space="preserve">  </w:t>
      </w:r>
    </w:p>
    <w:p w14:paraId="519E23C6">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浙江豪圣建设项目管理有限公司：</w:t>
      </w:r>
    </w:p>
    <w:p w14:paraId="7A3F0ACB">
      <w:pPr>
        <w:pageBreakBefore w:val="0"/>
        <w:shd w:val="clear" w:color="auto" w:fill="FFFFFF"/>
        <w:kinsoku/>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lang w:val="zh-CN"/>
        </w:rPr>
        <w:t>兹委派我公司</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先生/女士(其在本公司的职务是：</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，联系电话：</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)，代表我公司全权处理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(项目编号：XXXX)政府采购投标的一切事项，若中标则全权代表本公司签订相关合同，</w:t>
      </w:r>
      <w:r>
        <w:rPr>
          <w:rFonts w:hint="eastAsia" w:ascii="宋体" w:hAnsi="宋体" w:cs="宋体"/>
          <w:color w:val="auto"/>
          <w:kern w:val="0"/>
          <w:szCs w:val="21"/>
          <w:highlight w:val="none"/>
          <w:lang w:val="zh-CN"/>
        </w:rPr>
        <w:t>并负责处理合同履行等事宜。</w:t>
      </w:r>
    </w:p>
    <w:p w14:paraId="58187C53">
      <w:pPr>
        <w:pageBreakBefore w:val="0"/>
        <w:shd w:val="clear" w:color="auto" w:fill="FFFFFF"/>
        <w:kinsoku/>
        <w:overflowPunct/>
        <w:topLinePunct w:val="0"/>
        <w:bidi w:val="0"/>
        <w:snapToGrid w:val="0"/>
        <w:spacing w:line="360" w:lineRule="auto"/>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特此告知。</w:t>
      </w:r>
    </w:p>
    <w:p w14:paraId="160F4447">
      <w:pPr>
        <w:pageBreakBefore w:val="0"/>
        <w:shd w:val="clear" w:color="auto" w:fill="FFFFFF"/>
        <w:kinsoku/>
        <w:overflowPunct/>
        <w:topLinePunct w:val="0"/>
        <w:bidi w:val="0"/>
        <w:snapToGrid w:val="0"/>
        <w:spacing w:line="360" w:lineRule="auto"/>
        <w:jc w:val="left"/>
        <w:textAlignment w:val="auto"/>
        <w:outlineLvl w:val="9"/>
        <w:rPr>
          <w:rFonts w:ascii="宋体" w:hAnsi="宋体" w:cs="宋体"/>
          <w:color w:val="auto"/>
          <w:kern w:val="0"/>
          <w:szCs w:val="21"/>
          <w:highlight w:val="none"/>
        </w:rPr>
      </w:pPr>
    </w:p>
    <w:p w14:paraId="4A285621">
      <w:pPr>
        <w:pageBreakBefore w:val="0"/>
        <w:kinsoku/>
        <w:overflowPunct/>
        <w:topLinePunct w:val="0"/>
        <w:bidi w:val="0"/>
        <w:snapToGrid w:val="0"/>
        <w:spacing w:line="360" w:lineRule="auto"/>
        <w:ind w:firstLine="4410" w:firstLineChars="210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1C995BCC">
      <w:pPr>
        <w:pageBreakBefore w:val="0"/>
        <w:kinsoku/>
        <w:overflowPunct/>
        <w:topLinePunct w:val="0"/>
        <w:bidi w:val="0"/>
        <w:snapToGrid w:val="0"/>
        <w:spacing w:line="360" w:lineRule="auto"/>
        <w:ind w:firstLine="4410" w:firstLineChars="210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7C6A9626">
      <w:pPr>
        <w:pageBreakBefore w:val="0"/>
        <w:kinsoku/>
        <w:overflowPunct/>
        <w:topLinePunct w:val="0"/>
        <w:bidi w:val="0"/>
        <w:snapToGrid w:val="0"/>
        <w:spacing w:line="360" w:lineRule="auto"/>
        <w:ind w:firstLine="5040" w:firstLineChars="24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lang w:val="zh-CN"/>
        </w:rPr>
        <w:t>……</w:t>
      </w:r>
    </w:p>
    <w:p w14:paraId="52AA0912">
      <w:pPr>
        <w:pStyle w:val="26"/>
        <w:pageBreakBefore w:val="0"/>
        <w:kinsoku/>
        <w:overflowPunct/>
        <w:topLinePunct w:val="0"/>
        <w:bidi w:val="0"/>
        <w:snapToGrid w:val="0"/>
        <w:spacing w:line="360" w:lineRule="auto"/>
        <w:ind w:firstLine="420" w:firstLineChars="200"/>
        <w:jc w:val="center"/>
        <w:textAlignment w:val="auto"/>
        <w:outlineLvl w:val="9"/>
        <w:rPr>
          <w:rFonts w:ascii="宋体" w:hAnsi="宋体" w:eastAsia="宋体"/>
          <w:b/>
          <w:color w:val="auto"/>
          <w:highlight w:val="none"/>
          <w:lang w:val="zh-CN"/>
        </w:rPr>
      </w:pPr>
      <w:r>
        <w:rPr>
          <w:rFonts w:hint="eastAsia" w:ascii="宋体" w:hAnsi="宋体" w:eastAsia="宋体"/>
          <w:color w:val="auto"/>
          <w:kern w:val="0"/>
          <w:highlight w:val="none"/>
        </w:rPr>
        <w:t xml:space="preserve">                         日期：     年  月  日</w:t>
      </w:r>
    </w:p>
    <w:p w14:paraId="0EFFB128">
      <w:pPr>
        <w:pStyle w:val="26"/>
        <w:pageBreakBefore w:val="0"/>
        <w:kinsoku/>
        <w:overflowPunct/>
        <w:topLinePunct w:val="0"/>
        <w:bidi w:val="0"/>
        <w:snapToGrid w:val="0"/>
        <w:spacing w:line="360" w:lineRule="auto"/>
        <w:ind w:firstLine="422" w:firstLineChars="200"/>
        <w:jc w:val="center"/>
        <w:textAlignment w:val="auto"/>
        <w:outlineLvl w:val="9"/>
        <w:rPr>
          <w:rFonts w:ascii="宋体" w:hAnsi="宋体" w:eastAsia="宋体"/>
          <w:b/>
          <w:color w:val="auto"/>
          <w:highlight w:val="none"/>
          <w:lang w:val="zh-CN"/>
        </w:rPr>
        <w:sectPr>
          <w:pgSz w:w="11906" w:h="16838"/>
          <w:pgMar w:top="1134" w:right="1247" w:bottom="1247" w:left="1304" w:header="794" w:footer="794" w:gutter="0"/>
          <w:pgNumType w:fmt="decimal"/>
          <w:cols w:space="720" w:num="1"/>
          <w:docGrid w:type="lines" w:linePitch="312" w:charSpace="0"/>
        </w:sectPr>
      </w:pPr>
    </w:p>
    <w:p w14:paraId="16C7CE7A">
      <w:pPr>
        <w:pageBreakBefore w:val="0"/>
        <w:shd w:val="clear" w:color="auto" w:fill="FFFFFF"/>
        <w:kinsoku/>
        <w:overflowPunct/>
        <w:topLinePunct w:val="0"/>
        <w:bidi w:val="0"/>
        <w:adjustRightInd w:val="0"/>
        <w:snapToGrid w:val="0"/>
        <w:spacing w:line="360" w:lineRule="auto"/>
        <w:ind w:firstLine="422" w:firstLineChars="200"/>
        <w:textAlignment w:val="auto"/>
        <w:outlineLvl w:val="9"/>
        <w:rPr>
          <w:rFonts w:ascii="宋体" w:hAnsi="宋体" w:cs="宋体"/>
          <w:b/>
          <w:bCs/>
          <w:color w:val="auto"/>
          <w:kern w:val="0"/>
          <w:szCs w:val="21"/>
          <w:highlight w:val="none"/>
          <w:lang w:val="zh-CN"/>
        </w:rPr>
      </w:pPr>
    </w:p>
    <w:p w14:paraId="227C35E3">
      <w:pPr>
        <w:pStyle w:val="59"/>
        <w:pageBreakBefore w:val="0"/>
        <w:kinsoku/>
        <w:overflowPunct/>
        <w:topLinePunct w:val="0"/>
        <w:bidi w:val="0"/>
        <w:textAlignment w:val="auto"/>
        <w:outlineLvl w:val="9"/>
        <w:rPr>
          <w:color w:val="auto"/>
          <w:highlight w:val="none"/>
          <w:lang w:val="zh-CN"/>
        </w:rPr>
      </w:pPr>
    </w:p>
    <w:p w14:paraId="35ACFAD3">
      <w:pPr>
        <w:pStyle w:val="60"/>
        <w:pageBreakBefore w:val="0"/>
        <w:kinsoku/>
        <w:overflowPunct/>
        <w:topLinePunct w:val="0"/>
        <w:bidi w:val="0"/>
        <w:textAlignment w:val="auto"/>
        <w:outlineLvl w:val="9"/>
        <w:rPr>
          <w:color w:val="auto"/>
          <w:highlight w:val="none"/>
          <w:lang w:val="zh-CN"/>
        </w:rPr>
      </w:pPr>
    </w:p>
    <w:p w14:paraId="1D7AF07E">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lang w:val="zh-CN"/>
        </w:rPr>
      </w:pPr>
      <w:r>
        <w:rPr>
          <w:rFonts w:ascii="Times New Roman" w:hAnsi="Times New Roman" w:cs="Times New Roman"/>
          <w:b/>
          <w:color w:val="auto"/>
          <w:sz w:val="32"/>
          <w:szCs w:val="32"/>
          <w:highlight w:val="none"/>
          <w:lang w:val="zh-CN"/>
        </w:rPr>
        <w:t>二、法定代表人及授权代表人的身份证 (复印件加盖公章)</w:t>
      </w:r>
    </w:p>
    <w:p w14:paraId="3FA772FF">
      <w:pPr>
        <w:pStyle w:val="26"/>
        <w:pageBreakBefore w:val="0"/>
        <w:kinsoku/>
        <w:overflowPunct/>
        <w:topLinePunct w:val="0"/>
        <w:bidi w:val="0"/>
        <w:snapToGrid w:val="0"/>
        <w:spacing w:line="360" w:lineRule="auto"/>
        <w:jc w:val="center"/>
        <w:textAlignment w:val="auto"/>
        <w:outlineLvl w:val="9"/>
        <w:rPr>
          <w:rFonts w:ascii="Times New Roman" w:hAnsi="Times New Roman" w:cs="Times New Roman"/>
          <w:b/>
          <w:color w:val="auto"/>
          <w:sz w:val="32"/>
          <w:szCs w:val="32"/>
          <w:highlight w:val="none"/>
          <w:lang w:val="zh-CN"/>
        </w:rPr>
      </w:pPr>
      <w:r>
        <w:rPr>
          <w:rFonts w:hint="eastAsia" w:ascii="Times New Roman" w:hAnsi="Times New Roman" w:cs="Times New Roman"/>
          <w:b/>
          <w:color w:val="auto"/>
          <w:sz w:val="32"/>
          <w:szCs w:val="32"/>
          <w:highlight w:val="none"/>
        </w:rPr>
        <w:t>三、</w:t>
      </w:r>
      <w:r>
        <w:rPr>
          <w:rFonts w:ascii="Times New Roman" w:hAnsi="Times New Roman" w:cs="Times New Roman"/>
          <w:b/>
          <w:color w:val="auto"/>
          <w:sz w:val="32"/>
          <w:szCs w:val="32"/>
          <w:highlight w:val="none"/>
          <w:lang w:val="zh-CN"/>
        </w:rPr>
        <w:t>公司介绍及提供同类项目经验</w:t>
      </w:r>
      <w:r>
        <w:rPr>
          <w:rFonts w:hint="eastAsia" w:ascii="Times New Roman" w:hAnsi="Times New Roman" w:cs="Times New Roman"/>
          <w:b/>
          <w:color w:val="auto"/>
          <w:sz w:val="32"/>
          <w:szCs w:val="32"/>
          <w:highlight w:val="none"/>
          <w:lang w:val="zh-CN"/>
        </w:rPr>
        <w:t>。</w:t>
      </w:r>
    </w:p>
    <w:p w14:paraId="721B4B37">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lang w:val="zh-CN"/>
        </w:rPr>
      </w:pPr>
      <w:r>
        <w:rPr>
          <w:rFonts w:hint="eastAsia" w:ascii="Times New Roman" w:hAnsi="Times New Roman" w:cs="Times New Roman"/>
          <w:b/>
          <w:color w:val="auto"/>
          <w:sz w:val="32"/>
          <w:szCs w:val="32"/>
          <w:highlight w:val="none"/>
        </w:rPr>
        <w:t>四、</w:t>
      </w:r>
      <w:r>
        <w:rPr>
          <w:rFonts w:ascii="Times New Roman" w:hAnsi="Times New Roman" w:cs="Times New Roman"/>
          <w:b/>
          <w:color w:val="auto"/>
          <w:sz w:val="32"/>
          <w:szCs w:val="32"/>
          <w:highlight w:val="none"/>
          <w:lang w:val="zh-CN"/>
        </w:rPr>
        <w:t>资质文件（如有）</w:t>
      </w:r>
      <w:r>
        <w:rPr>
          <w:rFonts w:hint="eastAsia" w:ascii="Times New Roman" w:hAnsi="Times New Roman" w:cs="Times New Roman"/>
          <w:b/>
          <w:color w:val="auto"/>
          <w:sz w:val="32"/>
          <w:szCs w:val="32"/>
          <w:highlight w:val="none"/>
          <w:lang w:val="zh-CN"/>
        </w:rPr>
        <w:t>。</w:t>
      </w:r>
    </w:p>
    <w:p w14:paraId="2BAD1691">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rPr>
      </w:pPr>
    </w:p>
    <w:p w14:paraId="5C317B57">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rPr>
      </w:pPr>
    </w:p>
    <w:p w14:paraId="772E98C8">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rPr>
      </w:pPr>
    </w:p>
    <w:p w14:paraId="6B259883">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lang w:val="zh-CN"/>
        </w:rPr>
      </w:pPr>
      <w:r>
        <w:rPr>
          <w:rFonts w:hint="eastAsia" w:ascii="Times New Roman" w:hAnsi="Times New Roman" w:cs="Times New Roman"/>
          <w:b/>
          <w:color w:val="auto"/>
          <w:sz w:val="32"/>
          <w:szCs w:val="32"/>
          <w:highlight w:val="none"/>
        </w:rPr>
        <w:t>五、商务、</w:t>
      </w:r>
      <w:r>
        <w:rPr>
          <w:rFonts w:ascii="Times New Roman" w:hAnsi="Times New Roman" w:cs="Times New Roman"/>
          <w:b/>
          <w:color w:val="auto"/>
          <w:sz w:val="32"/>
          <w:szCs w:val="32"/>
          <w:highlight w:val="none"/>
          <w:lang w:val="zh-CN"/>
        </w:rPr>
        <w:t>技术偏离表</w:t>
      </w:r>
      <w:r>
        <w:rPr>
          <w:rFonts w:hint="eastAsia" w:ascii="Times New Roman" w:hAnsi="Times New Roman" w:cs="Times New Roman"/>
          <w:b/>
          <w:color w:val="auto"/>
          <w:sz w:val="32"/>
          <w:szCs w:val="32"/>
          <w:highlight w:val="none"/>
          <w:lang w:val="zh-CN"/>
        </w:rPr>
        <w:t>。</w:t>
      </w:r>
    </w:p>
    <w:p w14:paraId="5630281D">
      <w:pPr>
        <w:pageBreakBefore w:val="0"/>
        <w:tabs>
          <w:tab w:val="left" w:pos="1418"/>
        </w:tabs>
        <w:kinsoku/>
        <w:overflowPunct/>
        <w:topLinePunct w:val="0"/>
        <w:bidi w:val="0"/>
        <w:snapToGrid w:val="0"/>
        <w:spacing w:before="50" w:after="50" w:line="360" w:lineRule="auto"/>
        <w:ind w:firstLine="480" w:firstLineChars="200"/>
        <w:textAlignment w:val="auto"/>
        <w:outlineLvl w:val="9"/>
        <w:rPr>
          <w:color w:val="auto"/>
          <w:sz w:val="24"/>
          <w:highlight w:val="none"/>
        </w:rPr>
      </w:pPr>
      <w:r>
        <w:rPr>
          <w:color w:val="auto"/>
          <w:sz w:val="24"/>
          <w:highlight w:val="none"/>
        </w:rPr>
        <w:t>项目名称：</w:t>
      </w:r>
      <w:r>
        <w:rPr>
          <w:color w:val="auto"/>
          <w:sz w:val="24"/>
          <w:highlight w:val="none"/>
          <w:u w:val="single"/>
        </w:rPr>
        <w:t xml:space="preserve">              </w:t>
      </w:r>
      <w:r>
        <w:rPr>
          <w:color w:val="auto"/>
          <w:sz w:val="24"/>
          <w:highlight w:val="none"/>
        </w:rPr>
        <w:t xml:space="preserve">                       项目编号：</w:t>
      </w:r>
      <w:r>
        <w:rPr>
          <w:color w:val="auto"/>
          <w:sz w:val="24"/>
          <w:highlight w:val="none"/>
          <w:u w:val="single"/>
        </w:rPr>
        <w:t xml:space="preserve">              </w:t>
      </w:r>
      <w:r>
        <w:rPr>
          <w:color w:val="auto"/>
          <w:sz w:val="24"/>
          <w:highlight w:val="non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946"/>
        <w:gridCol w:w="1960"/>
        <w:gridCol w:w="2240"/>
      </w:tblGrid>
      <w:tr w14:paraId="486A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vAlign w:val="center"/>
          </w:tcPr>
          <w:p w14:paraId="6F054679">
            <w:pPr>
              <w:pageBreakBefore w:val="0"/>
              <w:kinsoku/>
              <w:overflowPunct/>
              <w:topLinePunct w:val="0"/>
              <w:bidi w:val="0"/>
              <w:snapToGrid w:val="0"/>
              <w:spacing w:line="360" w:lineRule="auto"/>
              <w:jc w:val="center"/>
              <w:textAlignment w:val="auto"/>
              <w:outlineLvl w:val="9"/>
              <w:rPr>
                <w:color w:val="auto"/>
                <w:sz w:val="24"/>
                <w:highlight w:val="none"/>
              </w:rPr>
            </w:pPr>
            <w:r>
              <w:rPr>
                <w:color w:val="auto"/>
                <w:sz w:val="24"/>
                <w:highlight w:val="none"/>
              </w:rPr>
              <w:t>采购文件要求</w:t>
            </w:r>
          </w:p>
        </w:tc>
        <w:tc>
          <w:tcPr>
            <w:tcW w:w="1946" w:type="dxa"/>
            <w:tcBorders>
              <w:top w:val="single" w:color="auto" w:sz="4" w:space="0"/>
              <w:left w:val="single" w:color="auto" w:sz="4" w:space="0"/>
              <w:bottom w:val="single" w:color="auto" w:sz="4" w:space="0"/>
              <w:right w:val="single" w:color="auto" w:sz="4" w:space="0"/>
            </w:tcBorders>
            <w:vAlign w:val="center"/>
          </w:tcPr>
          <w:p w14:paraId="7F172393">
            <w:pPr>
              <w:pageBreakBefore w:val="0"/>
              <w:kinsoku/>
              <w:overflowPunct/>
              <w:topLinePunct w:val="0"/>
              <w:bidi w:val="0"/>
              <w:snapToGrid w:val="0"/>
              <w:spacing w:line="360" w:lineRule="auto"/>
              <w:jc w:val="center"/>
              <w:textAlignment w:val="auto"/>
              <w:outlineLvl w:val="9"/>
              <w:rPr>
                <w:color w:val="auto"/>
                <w:sz w:val="24"/>
                <w:highlight w:val="none"/>
              </w:rPr>
            </w:pPr>
            <w:r>
              <w:rPr>
                <w:color w:val="auto"/>
                <w:sz w:val="24"/>
                <w:highlight w:val="none"/>
              </w:rPr>
              <w:t>采购文件响应</w:t>
            </w:r>
          </w:p>
        </w:tc>
        <w:tc>
          <w:tcPr>
            <w:tcW w:w="1960" w:type="dxa"/>
            <w:tcBorders>
              <w:top w:val="single" w:color="auto" w:sz="4" w:space="0"/>
              <w:left w:val="single" w:color="auto" w:sz="4" w:space="0"/>
              <w:bottom w:val="single" w:color="auto" w:sz="4" w:space="0"/>
              <w:right w:val="single" w:color="auto" w:sz="4" w:space="0"/>
            </w:tcBorders>
            <w:vAlign w:val="center"/>
          </w:tcPr>
          <w:p w14:paraId="43E982BB">
            <w:pPr>
              <w:pageBreakBefore w:val="0"/>
              <w:kinsoku/>
              <w:overflowPunct/>
              <w:topLinePunct w:val="0"/>
              <w:bidi w:val="0"/>
              <w:snapToGrid w:val="0"/>
              <w:spacing w:line="360" w:lineRule="auto"/>
              <w:jc w:val="center"/>
              <w:textAlignment w:val="auto"/>
              <w:outlineLvl w:val="9"/>
              <w:rPr>
                <w:color w:val="auto"/>
                <w:sz w:val="24"/>
                <w:highlight w:val="none"/>
              </w:rPr>
            </w:pPr>
            <w:r>
              <w:rPr>
                <w:color w:val="auto"/>
                <w:sz w:val="24"/>
                <w:highlight w:val="none"/>
              </w:rPr>
              <w:t>偏离</w:t>
            </w:r>
          </w:p>
        </w:tc>
        <w:tc>
          <w:tcPr>
            <w:tcW w:w="2240" w:type="dxa"/>
            <w:tcBorders>
              <w:top w:val="single" w:color="auto" w:sz="4" w:space="0"/>
              <w:left w:val="single" w:color="auto" w:sz="4" w:space="0"/>
              <w:bottom w:val="single" w:color="auto" w:sz="4" w:space="0"/>
              <w:right w:val="single" w:color="auto" w:sz="4" w:space="0"/>
            </w:tcBorders>
            <w:vAlign w:val="center"/>
          </w:tcPr>
          <w:p w14:paraId="5FE541D2">
            <w:pPr>
              <w:pageBreakBefore w:val="0"/>
              <w:kinsoku/>
              <w:overflowPunct/>
              <w:topLinePunct w:val="0"/>
              <w:bidi w:val="0"/>
              <w:snapToGrid w:val="0"/>
              <w:spacing w:line="360" w:lineRule="auto"/>
              <w:jc w:val="center"/>
              <w:textAlignment w:val="auto"/>
              <w:outlineLvl w:val="9"/>
              <w:rPr>
                <w:color w:val="auto"/>
                <w:sz w:val="24"/>
                <w:highlight w:val="none"/>
              </w:rPr>
            </w:pPr>
            <w:r>
              <w:rPr>
                <w:color w:val="auto"/>
                <w:sz w:val="24"/>
                <w:highlight w:val="none"/>
              </w:rPr>
              <w:t>说明</w:t>
            </w:r>
          </w:p>
        </w:tc>
      </w:tr>
      <w:tr w14:paraId="7B51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686ECEC0">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62EF105">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tcPr>
          <w:p w14:paraId="74B339BB">
            <w:pPr>
              <w:pageBreakBefore w:val="0"/>
              <w:kinsoku/>
              <w:overflowPunct/>
              <w:topLinePunct w:val="0"/>
              <w:bidi w:val="0"/>
              <w:snapToGrid w:val="0"/>
              <w:spacing w:line="360" w:lineRule="auto"/>
              <w:jc w:val="center"/>
              <w:textAlignment w:val="auto"/>
              <w:outlineLvl w:val="9"/>
              <w:rPr>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2B03F797">
            <w:pPr>
              <w:pageBreakBefore w:val="0"/>
              <w:kinsoku/>
              <w:overflowPunct/>
              <w:topLinePunct w:val="0"/>
              <w:bidi w:val="0"/>
              <w:snapToGrid w:val="0"/>
              <w:spacing w:line="360" w:lineRule="auto"/>
              <w:jc w:val="center"/>
              <w:textAlignment w:val="auto"/>
              <w:outlineLvl w:val="9"/>
              <w:rPr>
                <w:color w:val="auto"/>
                <w:sz w:val="24"/>
                <w:highlight w:val="none"/>
              </w:rPr>
            </w:pPr>
          </w:p>
        </w:tc>
      </w:tr>
      <w:tr w14:paraId="6A3D5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17691B4B">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1E728B41">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tcPr>
          <w:p w14:paraId="1F22F24A">
            <w:pPr>
              <w:pageBreakBefore w:val="0"/>
              <w:kinsoku/>
              <w:overflowPunct/>
              <w:topLinePunct w:val="0"/>
              <w:bidi w:val="0"/>
              <w:snapToGrid w:val="0"/>
              <w:spacing w:line="360" w:lineRule="auto"/>
              <w:jc w:val="center"/>
              <w:textAlignment w:val="auto"/>
              <w:outlineLvl w:val="9"/>
              <w:rPr>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12F34D92">
            <w:pPr>
              <w:pageBreakBefore w:val="0"/>
              <w:kinsoku/>
              <w:overflowPunct/>
              <w:topLinePunct w:val="0"/>
              <w:bidi w:val="0"/>
              <w:snapToGrid w:val="0"/>
              <w:spacing w:line="360" w:lineRule="auto"/>
              <w:jc w:val="center"/>
              <w:textAlignment w:val="auto"/>
              <w:outlineLvl w:val="9"/>
              <w:rPr>
                <w:color w:val="auto"/>
                <w:sz w:val="24"/>
                <w:highlight w:val="none"/>
              </w:rPr>
            </w:pPr>
          </w:p>
        </w:tc>
      </w:tr>
      <w:tr w14:paraId="7A760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09438602">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5860F55F">
            <w:pPr>
              <w:pageBreakBefore w:val="0"/>
              <w:kinsoku/>
              <w:overflowPunct/>
              <w:topLinePunct w:val="0"/>
              <w:bidi w:val="0"/>
              <w:snapToGrid w:val="0"/>
              <w:spacing w:line="360" w:lineRule="auto"/>
              <w:jc w:val="center"/>
              <w:textAlignment w:val="auto"/>
              <w:outlineLvl w:val="9"/>
              <w:rPr>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tcPr>
          <w:p w14:paraId="7007FC26">
            <w:pPr>
              <w:pageBreakBefore w:val="0"/>
              <w:kinsoku/>
              <w:overflowPunct/>
              <w:topLinePunct w:val="0"/>
              <w:bidi w:val="0"/>
              <w:snapToGrid w:val="0"/>
              <w:spacing w:line="360" w:lineRule="auto"/>
              <w:jc w:val="center"/>
              <w:textAlignment w:val="auto"/>
              <w:outlineLvl w:val="9"/>
              <w:rPr>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164161B4">
            <w:pPr>
              <w:pageBreakBefore w:val="0"/>
              <w:kinsoku/>
              <w:overflowPunct/>
              <w:topLinePunct w:val="0"/>
              <w:bidi w:val="0"/>
              <w:snapToGrid w:val="0"/>
              <w:spacing w:line="360" w:lineRule="auto"/>
              <w:jc w:val="center"/>
              <w:textAlignment w:val="auto"/>
              <w:outlineLvl w:val="9"/>
              <w:rPr>
                <w:color w:val="auto"/>
                <w:sz w:val="24"/>
                <w:highlight w:val="none"/>
              </w:rPr>
            </w:pPr>
          </w:p>
        </w:tc>
      </w:tr>
    </w:tbl>
    <w:p w14:paraId="346B781F">
      <w:pPr>
        <w:pageBreakBefore w:val="0"/>
        <w:kinsoku/>
        <w:overflowPunct/>
        <w:topLinePunct w:val="0"/>
        <w:bidi w:val="0"/>
        <w:snapToGrid w:val="0"/>
        <w:spacing w:line="360" w:lineRule="auto"/>
        <w:ind w:firstLine="211" w:firstLineChars="100"/>
        <w:textAlignment w:val="auto"/>
        <w:outlineLvl w:val="9"/>
        <w:rPr>
          <w:b/>
          <w:bCs/>
          <w:color w:val="auto"/>
          <w:highlight w:val="none"/>
        </w:rPr>
      </w:pPr>
    </w:p>
    <w:p w14:paraId="67F817DF">
      <w:pPr>
        <w:pageBreakBefore w:val="0"/>
        <w:kinsoku/>
        <w:overflowPunct/>
        <w:topLinePunct w:val="0"/>
        <w:autoSpaceDE w:val="0"/>
        <w:autoSpaceDN w:val="0"/>
        <w:bidi w:val="0"/>
        <w:snapToGrid w:val="0"/>
        <w:spacing w:line="360" w:lineRule="auto"/>
        <w:ind w:firstLine="5160" w:firstLineChars="2150"/>
        <w:textAlignment w:val="auto"/>
        <w:outlineLvl w:val="9"/>
        <w:rPr>
          <w:color w:val="auto"/>
          <w:kern w:val="0"/>
          <w:sz w:val="24"/>
          <w:highlight w:val="none"/>
          <w:lang w:val="zh-CN"/>
        </w:rPr>
      </w:pPr>
    </w:p>
    <w:p w14:paraId="6A582117">
      <w:pPr>
        <w:pageBreakBefore w:val="0"/>
        <w:kinsoku/>
        <w:overflowPunct/>
        <w:topLinePunct w:val="0"/>
        <w:bidi w:val="0"/>
        <w:snapToGrid w:val="0"/>
        <w:spacing w:line="360" w:lineRule="auto"/>
        <w:ind w:firstLine="480" w:firstLineChars="200"/>
        <w:jc w:val="left"/>
        <w:textAlignment w:val="auto"/>
        <w:outlineLvl w:val="9"/>
        <w:rPr>
          <w:color w:val="auto"/>
          <w:kern w:val="0"/>
          <w:sz w:val="24"/>
          <w:highlight w:val="none"/>
        </w:rPr>
      </w:pPr>
      <w:r>
        <w:rPr>
          <w:color w:val="auto"/>
          <w:kern w:val="0"/>
          <w:sz w:val="24"/>
          <w:highlight w:val="none"/>
        </w:rPr>
        <w:t>供应商名称（盖章） ：</w:t>
      </w:r>
    </w:p>
    <w:p w14:paraId="00205EFE">
      <w:pPr>
        <w:pageBreakBefore w:val="0"/>
        <w:kinsoku/>
        <w:overflowPunct/>
        <w:topLinePunct w:val="0"/>
        <w:bidi w:val="0"/>
        <w:snapToGrid w:val="0"/>
        <w:spacing w:line="360" w:lineRule="auto"/>
        <w:ind w:firstLine="480" w:firstLineChars="200"/>
        <w:jc w:val="left"/>
        <w:textAlignment w:val="auto"/>
        <w:outlineLvl w:val="9"/>
        <w:rPr>
          <w:color w:val="auto"/>
          <w:kern w:val="0"/>
          <w:sz w:val="24"/>
          <w:highlight w:val="none"/>
        </w:rPr>
      </w:pPr>
      <w:r>
        <w:rPr>
          <w:color w:val="auto"/>
          <w:kern w:val="0"/>
          <w:sz w:val="24"/>
          <w:highlight w:val="none"/>
        </w:rPr>
        <w:t>法定代表人或其授权代表（签字或盖章）：</w:t>
      </w:r>
    </w:p>
    <w:p w14:paraId="23D4256B">
      <w:pPr>
        <w:pageBreakBefore w:val="0"/>
        <w:kinsoku/>
        <w:overflowPunct/>
        <w:topLinePunct w:val="0"/>
        <w:autoSpaceDE w:val="0"/>
        <w:autoSpaceDN w:val="0"/>
        <w:bidi w:val="0"/>
        <w:snapToGrid w:val="0"/>
        <w:spacing w:line="360" w:lineRule="auto"/>
        <w:ind w:firstLine="480" w:firstLineChars="200"/>
        <w:textAlignment w:val="auto"/>
        <w:outlineLvl w:val="9"/>
        <w:rPr>
          <w:color w:val="auto"/>
          <w:kern w:val="0"/>
          <w:sz w:val="24"/>
          <w:highlight w:val="none"/>
          <w:lang w:val="zh-CN"/>
        </w:rPr>
      </w:pPr>
      <w:r>
        <w:rPr>
          <w:color w:val="auto"/>
          <w:kern w:val="0"/>
          <w:sz w:val="24"/>
          <w:highlight w:val="none"/>
        </w:rPr>
        <w:t>日期：     年  月  日</w:t>
      </w:r>
    </w:p>
    <w:p w14:paraId="02A7F9AB">
      <w:pPr>
        <w:pageBreakBefore w:val="0"/>
        <w:kinsoku/>
        <w:overflowPunct/>
        <w:topLinePunct w:val="0"/>
        <w:bidi w:val="0"/>
        <w:snapToGrid w:val="0"/>
        <w:spacing w:line="360" w:lineRule="auto"/>
        <w:ind w:firstLine="211" w:firstLineChars="100"/>
        <w:textAlignment w:val="auto"/>
        <w:outlineLvl w:val="9"/>
        <w:rPr>
          <w:b/>
          <w:bCs/>
          <w:color w:val="auto"/>
          <w:highlight w:val="none"/>
        </w:rPr>
      </w:pPr>
    </w:p>
    <w:p w14:paraId="1436FC31">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lang w:val="zh-CN"/>
        </w:rPr>
        <w:sectPr>
          <w:pgSz w:w="11906" w:h="16838"/>
          <w:pgMar w:top="1134" w:right="1247" w:bottom="1247" w:left="1304" w:header="794" w:footer="794" w:gutter="0"/>
          <w:pgNumType w:fmt="decimal"/>
          <w:cols w:space="720" w:num="1"/>
          <w:docGrid w:type="lines" w:linePitch="312" w:charSpace="0"/>
        </w:sectPr>
      </w:pPr>
    </w:p>
    <w:p w14:paraId="6B1D24B0">
      <w:pPr>
        <w:pStyle w:val="26"/>
        <w:pageBreakBefore w:val="0"/>
        <w:numPr>
          <w:ilvl w:val="0"/>
          <w:numId w:val="10"/>
        </w:numPr>
        <w:kinsoku/>
        <w:overflowPunct/>
        <w:topLinePunct w:val="0"/>
        <w:bidi w:val="0"/>
        <w:snapToGrid w:val="0"/>
        <w:spacing w:line="360" w:lineRule="auto"/>
        <w:jc w:val="center"/>
        <w:textAlignment w:val="auto"/>
        <w:outlineLvl w:val="9"/>
        <w:rPr>
          <w:rFonts w:ascii="Times New Roman" w:hAnsi="Times New Roman" w:cs="Times New Roman"/>
          <w:b/>
          <w:color w:val="auto"/>
          <w:sz w:val="32"/>
          <w:szCs w:val="32"/>
          <w:highlight w:val="none"/>
          <w:lang w:val="zh-CN"/>
        </w:rPr>
      </w:pPr>
      <w:r>
        <w:rPr>
          <w:rFonts w:hint="eastAsia" w:ascii="Times New Roman" w:hAnsi="Times New Roman" w:cs="Times New Roman"/>
          <w:b/>
          <w:color w:val="auto"/>
          <w:sz w:val="32"/>
          <w:szCs w:val="32"/>
          <w:highlight w:val="none"/>
          <w:lang w:val="zh-CN"/>
        </w:rPr>
        <w:t>评标标准相应的商务技术资料</w:t>
      </w:r>
    </w:p>
    <w:p w14:paraId="244144F5">
      <w:pPr>
        <w:pageBreakBefore w:val="0"/>
        <w:kinsoku/>
        <w:overflowPunct/>
        <w:topLinePunct w:val="0"/>
        <w:bidi w:val="0"/>
        <w:textAlignment w:val="auto"/>
        <w:outlineLvl w:val="9"/>
        <w:rPr>
          <w:color w:val="auto"/>
          <w:highlight w:val="none"/>
          <w:lang w:val="zh-CN"/>
        </w:rPr>
      </w:pPr>
    </w:p>
    <w:p w14:paraId="7EDEFA50">
      <w:pPr>
        <w:pStyle w:val="33"/>
        <w:pageBreakBefore w:val="0"/>
        <w:kinsoku/>
        <w:overflowPunct/>
        <w:topLinePunct w:val="0"/>
        <w:bidi w:val="0"/>
        <w:textAlignment w:val="auto"/>
        <w:outlineLvl w:val="9"/>
        <w:rPr>
          <w:color w:val="auto"/>
          <w:highlight w:val="none"/>
          <w:lang w:val="zh-CN"/>
        </w:rPr>
      </w:pPr>
    </w:p>
    <w:p w14:paraId="6718A2F9">
      <w:pPr>
        <w:pageBreakBefore w:val="0"/>
        <w:kinsoku/>
        <w:overflowPunct/>
        <w:topLinePunct w:val="0"/>
        <w:bidi w:val="0"/>
        <w:textAlignment w:val="auto"/>
        <w:outlineLvl w:val="9"/>
        <w:rPr>
          <w:color w:val="auto"/>
          <w:highlight w:val="none"/>
          <w:lang w:val="zh-CN"/>
        </w:rPr>
      </w:pPr>
    </w:p>
    <w:p w14:paraId="09F0AF7E">
      <w:pPr>
        <w:pStyle w:val="33"/>
        <w:pageBreakBefore w:val="0"/>
        <w:kinsoku/>
        <w:overflowPunct/>
        <w:topLinePunct w:val="0"/>
        <w:bidi w:val="0"/>
        <w:textAlignment w:val="auto"/>
        <w:outlineLvl w:val="9"/>
        <w:rPr>
          <w:color w:val="auto"/>
          <w:highlight w:val="none"/>
        </w:rPr>
      </w:pPr>
    </w:p>
    <w:p w14:paraId="0FA8C32F">
      <w:pPr>
        <w:pageBreakBefore w:val="0"/>
        <w:kinsoku/>
        <w:overflowPunct/>
        <w:topLinePunct w:val="0"/>
        <w:bidi w:val="0"/>
        <w:snapToGrid w:val="0"/>
        <w:spacing w:line="360" w:lineRule="auto"/>
        <w:jc w:val="center"/>
        <w:textAlignment w:val="auto"/>
        <w:outlineLvl w:val="9"/>
        <w:rPr>
          <w:rFonts w:ascii="宋体" w:hAnsi="宋体" w:cs="宋体"/>
          <w:b/>
          <w:bCs/>
          <w:color w:val="auto"/>
          <w:szCs w:val="21"/>
          <w:highlight w:val="none"/>
        </w:rPr>
      </w:pPr>
      <w:r>
        <w:rPr>
          <w:rFonts w:hint="eastAsia"/>
          <w:b/>
          <w:color w:val="auto"/>
          <w:sz w:val="32"/>
          <w:szCs w:val="32"/>
          <w:highlight w:val="none"/>
        </w:rPr>
        <w:br w:type="page"/>
      </w:r>
      <w:r>
        <w:rPr>
          <w:rFonts w:hint="eastAsia"/>
          <w:b/>
          <w:color w:val="auto"/>
          <w:sz w:val="32"/>
          <w:szCs w:val="32"/>
          <w:highlight w:val="none"/>
        </w:rPr>
        <w:t>七、分包意向协议</w:t>
      </w:r>
    </w:p>
    <w:p w14:paraId="3458470F">
      <w:pPr>
        <w:pageBreakBefore w:val="0"/>
        <w:kinsoku/>
        <w:overflowPunct/>
        <w:topLinePunct w:val="0"/>
        <w:bidi w:val="0"/>
        <w:snapToGrid w:val="0"/>
        <w:spacing w:line="360"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494E3F3">
      <w:pPr>
        <w:pageBreakBefore w:val="0"/>
        <w:kinsoku/>
        <w:overflowPunct/>
        <w:topLinePunct w:val="0"/>
        <w:bidi w:val="0"/>
        <w:spacing w:line="360" w:lineRule="auto"/>
        <w:ind w:firstLine="105" w:firstLineChars="5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Cs w:val="21"/>
          <w:highlight w:val="none"/>
        </w:rPr>
        <w:t>）</w:t>
      </w:r>
    </w:p>
    <w:p w14:paraId="0332C561">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（项目名称）【招标编号：（采购编号）】标项：</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F17C664">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5BAFCBBE">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68959477">
      <w:pPr>
        <w:pageBreakBefore w:val="0"/>
        <w:tabs>
          <w:tab w:val="left" w:pos="432"/>
          <w:tab w:val="left" w:pos="1110"/>
        </w:tabs>
        <w:kinsoku/>
        <w:overflowPunct/>
        <w:topLinePunct w:val="0"/>
        <w:bidi w:val="0"/>
        <w:ind w:left="664" w:leftChars="316" w:firstLine="199" w:firstLineChars="95"/>
        <w:textAlignment w:val="auto"/>
        <w:outlineLvl w:val="9"/>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p>
    <w:p w14:paraId="2E14CF51">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二、分包工作履行期限、地点、方式</w:t>
      </w:r>
    </w:p>
    <w:p w14:paraId="051163E2">
      <w:pPr>
        <w:pageBreakBefore w:val="0"/>
        <w:kinsoku/>
        <w:overflowPunct/>
        <w:topLinePunct w:val="0"/>
        <w:bidi w:val="0"/>
        <w:snapToGrid w:val="0"/>
        <w:spacing w:line="360" w:lineRule="auto"/>
        <w:ind w:firstLine="576"/>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5233C8B5">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三、质量</w:t>
      </w:r>
    </w:p>
    <w:p w14:paraId="2D0BCF92">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1EAA3B3">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四、价款或者报酬</w:t>
      </w:r>
    </w:p>
    <w:p w14:paraId="1A5878C5">
      <w:pPr>
        <w:pageBreakBefore w:val="0"/>
        <w:kinsoku/>
        <w:overflowPunct/>
        <w:topLinePunct w:val="0"/>
        <w:bidi w:val="0"/>
        <w:snapToGrid w:val="0"/>
        <w:spacing w:line="360" w:lineRule="auto"/>
        <w:ind w:left="573" w:leftChars="273"/>
        <w:textAlignment w:val="auto"/>
        <w:outlineLvl w:val="9"/>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307FA245">
      <w:pPr>
        <w:pageBreakBefore w:val="0"/>
        <w:kinsoku/>
        <w:overflowPunct/>
        <w:topLinePunct w:val="0"/>
        <w:bidi w:val="0"/>
        <w:snapToGrid w:val="0"/>
        <w:spacing w:line="360" w:lineRule="auto"/>
        <w:ind w:left="573" w:leftChars="273"/>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五、违约责任</w:t>
      </w:r>
    </w:p>
    <w:p w14:paraId="09FCD565">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4819C12">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六、争议解决的办法</w:t>
      </w:r>
    </w:p>
    <w:p w14:paraId="3328C0AF">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01CBD7B8">
      <w:pPr>
        <w:pageBreakBefore w:val="0"/>
        <w:kinsoku/>
        <w:overflowPunct/>
        <w:topLinePunct w:val="0"/>
        <w:bidi w:val="0"/>
        <w:snapToGrid w:val="0"/>
        <w:spacing w:line="360" w:lineRule="auto"/>
        <w:ind w:firstLine="576"/>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七、其他</w:t>
      </w:r>
    </w:p>
    <w:p w14:paraId="51E60DA2">
      <w:pPr>
        <w:pageBreakBefore w:val="0"/>
        <w:kinsoku/>
        <w:overflowPunct/>
        <w:topLinePunct w:val="0"/>
        <w:bidi w:val="0"/>
        <w:snapToGrid w:val="0"/>
        <w:spacing w:line="360" w:lineRule="auto"/>
        <w:ind w:firstLine="576"/>
        <w:textAlignment w:val="auto"/>
        <w:outlineLvl w:val="9"/>
        <w:rPr>
          <w:rFonts w:ascii="宋体" w:hAnsi="宋体" w:cs="宋体"/>
          <w:b/>
          <w:color w:val="auto"/>
          <w:kern w:val="0"/>
          <w:szCs w:val="21"/>
          <w:highlight w:val="none"/>
          <w:lang w:val="zh-CN"/>
        </w:rPr>
      </w:pPr>
      <w:r>
        <w:rPr>
          <w:rFonts w:hint="eastAsia" w:ascii="宋体" w:hAnsi="宋体" w:cs="宋体"/>
          <w:color w:val="auto"/>
          <w:kern w:val="0"/>
          <w:szCs w:val="21"/>
          <w:highlight w:val="none"/>
          <w:u w:val="single"/>
        </w:rPr>
        <w:t>（分包供应商名称）提供的服务全部由小微企业承接，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（未预留份额专门面向中小企业采购的的采购项目，以及预留份额中的非预留部分采购包，允许分包的，分包供应商提供的</w:t>
      </w:r>
      <w:r>
        <w:rPr>
          <w:rFonts w:hint="eastAsia" w:ascii="宋体" w:hAnsi="宋体" w:cs="宋体"/>
          <w:b/>
          <w:color w:val="auto"/>
          <w:kern w:val="0"/>
          <w:szCs w:val="21"/>
          <w:highlight w:val="none"/>
        </w:rPr>
        <w:t>服务</w:t>
      </w:r>
      <w:r>
        <w:rPr>
          <w:rFonts w:hint="eastAsia" w:ascii="宋体" w:hAnsi="宋体" w:cs="宋体"/>
          <w:b/>
          <w:color w:val="auto"/>
          <w:kern w:val="0"/>
          <w:szCs w:val="21"/>
          <w:highlight w:val="none"/>
          <w:lang w:val="zh-CN"/>
        </w:rPr>
        <w:t>全部由小微企业</w:t>
      </w:r>
      <w:r>
        <w:rPr>
          <w:rFonts w:hint="eastAsia" w:ascii="宋体" w:hAnsi="宋体" w:cs="宋体"/>
          <w:b/>
          <w:color w:val="auto"/>
          <w:kern w:val="0"/>
          <w:szCs w:val="21"/>
          <w:highlight w:val="none"/>
        </w:rPr>
        <w:t>承接</w:t>
      </w:r>
      <w:r>
        <w:rPr>
          <w:rFonts w:hint="eastAsia" w:ascii="宋体" w:hAnsi="宋体" w:cs="宋体"/>
          <w:b/>
          <w:color w:val="auto"/>
          <w:kern w:val="0"/>
          <w:szCs w:val="21"/>
          <w:highlight w:val="none"/>
          <w:lang w:val="zh-CN"/>
        </w:rPr>
        <w:t>，且其合同份额占到合同总金额30%以上的，对大中型企业的报价给予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w:t>
      </w:r>
    </w:p>
    <w:p w14:paraId="2FC7C9F3">
      <w:pPr>
        <w:pageBreakBefore w:val="0"/>
        <w:kinsoku/>
        <w:overflowPunct/>
        <w:topLinePunct w:val="0"/>
        <w:bidi w:val="0"/>
        <w:snapToGrid w:val="0"/>
        <w:spacing w:line="360" w:lineRule="auto"/>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25ADF363">
      <w:pPr>
        <w:pageBreakBefore w:val="0"/>
        <w:kinsoku/>
        <w:overflowPunct/>
        <w:topLinePunct w:val="0"/>
        <w:bidi w:val="0"/>
        <w:snapToGrid w:val="0"/>
        <w:spacing w:line="360" w:lineRule="auto"/>
        <w:ind w:firstLine="4935" w:firstLineChars="235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1AE0A683">
      <w:pPr>
        <w:pageBreakBefore w:val="0"/>
        <w:kinsoku/>
        <w:overflowPunct/>
        <w:topLinePunct w:val="0"/>
        <w:bidi w:val="0"/>
        <w:spacing w:line="360" w:lineRule="auto"/>
        <w:ind w:right="42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361B267">
      <w:pPr>
        <w:pageBreakBefore w:val="0"/>
        <w:kinsoku/>
        <w:overflowPunct/>
        <w:topLinePunct w:val="0"/>
        <w:bidi w:val="0"/>
        <w:spacing w:line="360" w:lineRule="auto"/>
        <w:ind w:right="420"/>
        <w:textAlignment w:val="auto"/>
        <w:outlineLvl w:val="9"/>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53C5D54D">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rPr>
      </w:pPr>
    </w:p>
    <w:p w14:paraId="3DF66417">
      <w:pPr>
        <w:pStyle w:val="26"/>
        <w:pageBreakBefore w:val="0"/>
        <w:kinsoku/>
        <w:overflowPunct/>
        <w:topLinePunct w:val="0"/>
        <w:bidi w:val="0"/>
        <w:snapToGrid w:val="0"/>
        <w:spacing w:line="360" w:lineRule="auto"/>
        <w:ind w:firstLine="640" w:firstLineChars="200"/>
        <w:jc w:val="center"/>
        <w:textAlignment w:val="auto"/>
        <w:outlineLvl w:val="9"/>
        <w:rPr>
          <w:rFonts w:ascii="Times New Roman" w:hAnsi="Times New Roman" w:cs="Times New Roman"/>
          <w:b/>
          <w:color w:val="auto"/>
          <w:sz w:val="32"/>
          <w:szCs w:val="32"/>
          <w:highlight w:val="none"/>
          <w:lang w:val="zh-CN"/>
        </w:rPr>
      </w:pPr>
      <w:r>
        <w:rPr>
          <w:rFonts w:hint="eastAsia" w:ascii="Times New Roman" w:hAnsi="Times New Roman" w:cs="Times New Roman"/>
          <w:b/>
          <w:color w:val="auto"/>
          <w:sz w:val="32"/>
          <w:szCs w:val="32"/>
          <w:highlight w:val="none"/>
        </w:rPr>
        <w:t>八、</w:t>
      </w:r>
      <w:r>
        <w:rPr>
          <w:rFonts w:ascii="Times New Roman" w:hAnsi="Times New Roman" w:cs="Times New Roman"/>
          <w:b/>
          <w:color w:val="auto"/>
          <w:sz w:val="32"/>
          <w:szCs w:val="32"/>
          <w:highlight w:val="none"/>
          <w:lang w:val="zh-CN"/>
        </w:rPr>
        <w:t>其他必要提供的资料</w:t>
      </w:r>
      <w:r>
        <w:rPr>
          <w:rFonts w:hint="eastAsia" w:ascii="Times New Roman" w:hAnsi="Times New Roman" w:cs="Times New Roman"/>
          <w:b/>
          <w:color w:val="auto"/>
          <w:sz w:val="32"/>
          <w:szCs w:val="32"/>
          <w:highlight w:val="none"/>
          <w:lang w:val="zh-CN"/>
        </w:rPr>
        <w:t>。</w:t>
      </w:r>
    </w:p>
    <w:bookmarkEnd w:id="114"/>
    <w:p w14:paraId="6F193C6B">
      <w:pPr>
        <w:pStyle w:val="22"/>
        <w:rPr>
          <w:color w:val="auto"/>
          <w:highlight w:val="none"/>
          <w:lang w:val="zh-CN"/>
        </w:rPr>
      </w:pPr>
    </w:p>
    <w:sectPr>
      <w:headerReference r:id="rId7" w:type="default"/>
      <w:footerReference r:id="rId8" w:type="default"/>
      <w:pgSz w:w="11906" w:h="16838"/>
      <w:pgMar w:top="2098" w:right="1474" w:bottom="170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Lucida Sans">
    <w:panose1 w:val="020B0602040502020204"/>
    <w:charset w:val="00"/>
    <w:family w:val="swiss"/>
    <w:pitch w:val="default"/>
    <w:sig w:usb0="8100AAF7" w:usb1="0000807B" w:usb2="00000008" w:usb3="00000000" w:csb0="6000009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ヒラギノ角ゴ Pro W3">
    <w:altName w:val="MS UI Gothic"/>
    <w:panose1 w:val="00000000000000000000"/>
    <w:charset w:val="80"/>
    <w:family w:val="swiss"/>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Baskerville">
    <w:altName w:val="Times New Roman"/>
    <w:panose1 w:val="00000000000000000000"/>
    <w:charset w:val="00"/>
    <w:family w:val="roman"/>
    <w:pitch w:val="default"/>
    <w:sig w:usb0="00000000" w:usb1="00000000" w:usb2="00000000" w:usb3="00000000" w:csb0="0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9F3B">
    <w:pPr>
      <w:spacing w:line="360" w:lineRule="auto"/>
      <w:ind w:firstLine="480" w:firstLineChars="200"/>
      <w:rPr>
        <w:rFonts w:ascii="宋体" w:hAnsi="宋体"/>
        <w:sz w:val="24"/>
      </w:rPr>
    </w:pPr>
  </w:p>
  <w:p w14:paraId="568A16B0">
    <w:pP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29F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841D">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9ED2E">
                          <w:pPr>
                            <w:pStyle w:val="31"/>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59ED2E">
                    <w:pPr>
                      <w:pStyle w:val="31"/>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9AE5">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47A0">
                          <w:pPr>
                            <w:pStyle w:val="3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D147A0">
                    <w:pPr>
                      <w:pStyle w:val="3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E46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7C52">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D23D0"/>
    <w:multiLevelType w:val="singleLevel"/>
    <w:tmpl w:val="844D23D0"/>
    <w:lvl w:ilvl="0" w:tentative="0">
      <w:start w:val="1"/>
      <w:numFmt w:val="decimal"/>
      <w:lvlText w:val="%1."/>
      <w:lvlJc w:val="left"/>
      <w:pPr>
        <w:tabs>
          <w:tab w:val="left" w:pos="312"/>
        </w:tabs>
      </w:pPr>
    </w:lvl>
  </w:abstractNum>
  <w:abstractNum w:abstractNumId="1">
    <w:nsid w:val="91F52A32"/>
    <w:multiLevelType w:val="singleLevel"/>
    <w:tmpl w:val="91F52A32"/>
    <w:lvl w:ilvl="0" w:tentative="0">
      <w:start w:val="1"/>
      <w:numFmt w:val="decimal"/>
      <w:suff w:val="space"/>
      <w:lvlText w:val="%1."/>
      <w:lvlJc w:val="left"/>
    </w:lvl>
  </w:abstractNum>
  <w:abstractNum w:abstractNumId="2">
    <w:nsid w:val="96737AA7"/>
    <w:multiLevelType w:val="singleLevel"/>
    <w:tmpl w:val="96737AA7"/>
    <w:lvl w:ilvl="0" w:tentative="0">
      <w:start w:val="5"/>
      <w:numFmt w:val="chineseCounting"/>
      <w:suff w:val="space"/>
      <w:lvlText w:val="第%1部分"/>
      <w:lvlJc w:val="left"/>
      <w:rPr>
        <w:rFonts w:hint="eastAsia"/>
      </w:rPr>
    </w:lvl>
  </w:abstractNum>
  <w:abstractNum w:abstractNumId="3">
    <w:nsid w:val="CEB0BA44"/>
    <w:multiLevelType w:val="singleLevel"/>
    <w:tmpl w:val="CEB0BA44"/>
    <w:lvl w:ilvl="0" w:tentative="0">
      <w:start w:val="3"/>
      <w:numFmt w:val="chineseCounting"/>
      <w:suff w:val="nothing"/>
      <w:lvlText w:val="%1、"/>
      <w:lvlJc w:val="left"/>
      <w:pPr>
        <w:ind w:left="210"/>
      </w:pPr>
      <w:rPr>
        <w:rFonts w:hint="eastAsia"/>
      </w:rPr>
    </w:lvl>
  </w:abstractNum>
  <w:abstractNum w:abstractNumId="4">
    <w:nsid w:val="ECCBAB9A"/>
    <w:multiLevelType w:val="singleLevel"/>
    <w:tmpl w:val="ECCBAB9A"/>
    <w:lvl w:ilvl="0" w:tentative="0">
      <w:start w:val="1"/>
      <w:numFmt w:val="decimal"/>
      <w:lvlText w:val="%1."/>
      <w:lvlJc w:val="left"/>
      <w:pPr>
        <w:tabs>
          <w:tab w:val="left" w:pos="312"/>
        </w:tabs>
      </w:pPr>
    </w:lvl>
  </w:abstractNum>
  <w:abstractNum w:abstractNumId="5">
    <w:nsid w:val="0000001B"/>
    <w:multiLevelType w:val="multilevel"/>
    <w:tmpl w:val="0000001B"/>
    <w:lvl w:ilvl="0" w:tentative="0">
      <w:start w:val="1"/>
      <w:numFmt w:val="chineseCountingThousand"/>
      <w:pStyle w:val="103"/>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1C"/>
    <w:multiLevelType w:val="multilevel"/>
    <w:tmpl w:val="0000001C"/>
    <w:lvl w:ilvl="0" w:tentative="0">
      <w:start w:val="1"/>
      <w:numFmt w:val="chineseCountingThousand"/>
      <w:pStyle w:val="4"/>
      <w:lvlText w:val="%1、"/>
      <w:lvlJc w:val="left"/>
      <w:rPr>
        <w:rFonts w:hint="default" w:ascii="??" w:hAnsi="??" w:eastAsia="??"/>
        <w:b/>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7">
    <w:nsid w:val="0F8B8231"/>
    <w:multiLevelType w:val="singleLevel"/>
    <w:tmpl w:val="0F8B8231"/>
    <w:lvl w:ilvl="0" w:tentative="0">
      <w:start w:val="1"/>
      <w:numFmt w:val="decimal"/>
      <w:lvlText w:val="%1."/>
      <w:lvlJc w:val="left"/>
      <w:pPr>
        <w:tabs>
          <w:tab w:val="left" w:pos="312"/>
        </w:tabs>
      </w:pPr>
    </w:lvl>
  </w:abstractNum>
  <w:abstractNum w:abstractNumId="8">
    <w:nsid w:val="162A3C75"/>
    <w:multiLevelType w:val="singleLevel"/>
    <w:tmpl w:val="162A3C75"/>
    <w:lvl w:ilvl="0" w:tentative="0">
      <w:start w:val="1"/>
      <w:numFmt w:val="decimal"/>
      <w:lvlText w:val="%1."/>
      <w:lvlJc w:val="left"/>
      <w:pPr>
        <w:tabs>
          <w:tab w:val="left" w:pos="312"/>
        </w:tabs>
      </w:pPr>
    </w:lvl>
  </w:abstractNum>
  <w:abstractNum w:abstractNumId="9">
    <w:nsid w:val="78C12115"/>
    <w:multiLevelType w:val="singleLevel"/>
    <w:tmpl w:val="78C12115"/>
    <w:lvl w:ilvl="0" w:tentative="0">
      <w:start w:val="6"/>
      <w:numFmt w:val="chineseCounting"/>
      <w:suff w:val="nothing"/>
      <w:lvlText w:val="%1、"/>
      <w:lvlJc w:val="left"/>
      <w:rPr>
        <w:rFonts w:hint="eastAsia"/>
      </w:rPr>
    </w:lvl>
  </w:abstractNum>
  <w:num w:numId="1">
    <w:abstractNumId w:val="6"/>
  </w:num>
  <w:num w:numId="2">
    <w:abstractNumId w:val="5"/>
  </w:num>
  <w:num w:numId="3">
    <w:abstractNumId w:val="7"/>
  </w:num>
  <w:num w:numId="4">
    <w:abstractNumId w:val="8"/>
  </w:num>
  <w:num w:numId="5">
    <w:abstractNumId w:val="4"/>
  </w:num>
  <w:num w:numId="6">
    <w:abstractNumId w:val="0"/>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2U5OTk3ODE2Y2JiYzQ2NmZhZDc2NzU4YzFlZDIifQ=="/>
  </w:docVars>
  <w:rsids>
    <w:rsidRoot w:val="005748BF"/>
    <w:rsid w:val="00012BBB"/>
    <w:rsid w:val="00022C6C"/>
    <w:rsid w:val="00046A4B"/>
    <w:rsid w:val="0006405B"/>
    <w:rsid w:val="000D1A7D"/>
    <w:rsid w:val="00150933"/>
    <w:rsid w:val="001B6FEE"/>
    <w:rsid w:val="00244B87"/>
    <w:rsid w:val="00284D31"/>
    <w:rsid w:val="002B00E7"/>
    <w:rsid w:val="002E72EB"/>
    <w:rsid w:val="002F5440"/>
    <w:rsid w:val="003133AB"/>
    <w:rsid w:val="003264D9"/>
    <w:rsid w:val="00361DCF"/>
    <w:rsid w:val="00366B1B"/>
    <w:rsid w:val="0038220A"/>
    <w:rsid w:val="003B413C"/>
    <w:rsid w:val="003E3C63"/>
    <w:rsid w:val="003F2D61"/>
    <w:rsid w:val="003F62DC"/>
    <w:rsid w:val="003F688F"/>
    <w:rsid w:val="00423C6D"/>
    <w:rsid w:val="00440175"/>
    <w:rsid w:val="00486B84"/>
    <w:rsid w:val="004A4C32"/>
    <w:rsid w:val="004D6899"/>
    <w:rsid w:val="00510A75"/>
    <w:rsid w:val="00541D3E"/>
    <w:rsid w:val="005440D4"/>
    <w:rsid w:val="0054420B"/>
    <w:rsid w:val="005561E5"/>
    <w:rsid w:val="005748BF"/>
    <w:rsid w:val="00575F98"/>
    <w:rsid w:val="005A5982"/>
    <w:rsid w:val="005B5833"/>
    <w:rsid w:val="005C2D33"/>
    <w:rsid w:val="005E2542"/>
    <w:rsid w:val="00601147"/>
    <w:rsid w:val="006329C8"/>
    <w:rsid w:val="00654795"/>
    <w:rsid w:val="00660FA3"/>
    <w:rsid w:val="006A5565"/>
    <w:rsid w:val="006B3458"/>
    <w:rsid w:val="006B5B61"/>
    <w:rsid w:val="006B7CF0"/>
    <w:rsid w:val="006D07C4"/>
    <w:rsid w:val="006F4587"/>
    <w:rsid w:val="007576BC"/>
    <w:rsid w:val="0076508D"/>
    <w:rsid w:val="007C0618"/>
    <w:rsid w:val="007F69FF"/>
    <w:rsid w:val="00825016"/>
    <w:rsid w:val="00833C78"/>
    <w:rsid w:val="00872634"/>
    <w:rsid w:val="008767F1"/>
    <w:rsid w:val="008C0690"/>
    <w:rsid w:val="008E661D"/>
    <w:rsid w:val="008F1B14"/>
    <w:rsid w:val="00916AD0"/>
    <w:rsid w:val="009215CC"/>
    <w:rsid w:val="0093507B"/>
    <w:rsid w:val="00935B35"/>
    <w:rsid w:val="0095636A"/>
    <w:rsid w:val="009902DF"/>
    <w:rsid w:val="009C16A5"/>
    <w:rsid w:val="009E3202"/>
    <w:rsid w:val="009F5E7A"/>
    <w:rsid w:val="00A45E7B"/>
    <w:rsid w:val="00A74C67"/>
    <w:rsid w:val="00A97F9C"/>
    <w:rsid w:val="00AE0334"/>
    <w:rsid w:val="00AF0A16"/>
    <w:rsid w:val="00B578D2"/>
    <w:rsid w:val="00B638D3"/>
    <w:rsid w:val="00B80A6E"/>
    <w:rsid w:val="00BA55B8"/>
    <w:rsid w:val="00BD1516"/>
    <w:rsid w:val="00CB43EE"/>
    <w:rsid w:val="00CC34C5"/>
    <w:rsid w:val="00CC46F5"/>
    <w:rsid w:val="00CD28DD"/>
    <w:rsid w:val="00D862E1"/>
    <w:rsid w:val="00DB0B97"/>
    <w:rsid w:val="00DC4F23"/>
    <w:rsid w:val="00DD4FCB"/>
    <w:rsid w:val="00E45D81"/>
    <w:rsid w:val="00E45FC1"/>
    <w:rsid w:val="00E64044"/>
    <w:rsid w:val="00E66CAA"/>
    <w:rsid w:val="00E76577"/>
    <w:rsid w:val="00EE294A"/>
    <w:rsid w:val="00F343A2"/>
    <w:rsid w:val="00F40A4E"/>
    <w:rsid w:val="00F538C7"/>
    <w:rsid w:val="00FB69F4"/>
    <w:rsid w:val="00FC7345"/>
    <w:rsid w:val="010A2BB9"/>
    <w:rsid w:val="01101A04"/>
    <w:rsid w:val="01121891"/>
    <w:rsid w:val="01180B4C"/>
    <w:rsid w:val="013F53AE"/>
    <w:rsid w:val="01500AD3"/>
    <w:rsid w:val="015767B6"/>
    <w:rsid w:val="01663063"/>
    <w:rsid w:val="016D607D"/>
    <w:rsid w:val="018E6540"/>
    <w:rsid w:val="01A75353"/>
    <w:rsid w:val="01A76777"/>
    <w:rsid w:val="01B76D3B"/>
    <w:rsid w:val="01D761AB"/>
    <w:rsid w:val="01EE5E5A"/>
    <w:rsid w:val="01F571E8"/>
    <w:rsid w:val="020312D1"/>
    <w:rsid w:val="020A7BC0"/>
    <w:rsid w:val="02296E92"/>
    <w:rsid w:val="023D12EE"/>
    <w:rsid w:val="0241242E"/>
    <w:rsid w:val="024D40C5"/>
    <w:rsid w:val="02502671"/>
    <w:rsid w:val="02576DB8"/>
    <w:rsid w:val="025C36B3"/>
    <w:rsid w:val="026779BA"/>
    <w:rsid w:val="02691FCE"/>
    <w:rsid w:val="02A26AC8"/>
    <w:rsid w:val="02A50D86"/>
    <w:rsid w:val="02A50FA2"/>
    <w:rsid w:val="02BB120F"/>
    <w:rsid w:val="02C0735B"/>
    <w:rsid w:val="02E84827"/>
    <w:rsid w:val="02FA25DD"/>
    <w:rsid w:val="02FA438B"/>
    <w:rsid w:val="03112BF4"/>
    <w:rsid w:val="03350867"/>
    <w:rsid w:val="03443858"/>
    <w:rsid w:val="03555A65"/>
    <w:rsid w:val="0361265C"/>
    <w:rsid w:val="037F1B0F"/>
    <w:rsid w:val="03CC06C2"/>
    <w:rsid w:val="04055992"/>
    <w:rsid w:val="040A5051"/>
    <w:rsid w:val="04207E21"/>
    <w:rsid w:val="043F4216"/>
    <w:rsid w:val="04525E09"/>
    <w:rsid w:val="045D1075"/>
    <w:rsid w:val="046961E4"/>
    <w:rsid w:val="047F63D7"/>
    <w:rsid w:val="04895BE7"/>
    <w:rsid w:val="048C65D7"/>
    <w:rsid w:val="049031F8"/>
    <w:rsid w:val="04A9369B"/>
    <w:rsid w:val="04A96068"/>
    <w:rsid w:val="04B14F1D"/>
    <w:rsid w:val="04C90413"/>
    <w:rsid w:val="04CE2A93"/>
    <w:rsid w:val="04CE5ACF"/>
    <w:rsid w:val="04E42365"/>
    <w:rsid w:val="04F00259"/>
    <w:rsid w:val="04F05A45"/>
    <w:rsid w:val="05017C52"/>
    <w:rsid w:val="0503426E"/>
    <w:rsid w:val="053067D2"/>
    <w:rsid w:val="054364BD"/>
    <w:rsid w:val="05526FCB"/>
    <w:rsid w:val="05545FD4"/>
    <w:rsid w:val="05616943"/>
    <w:rsid w:val="05762A79"/>
    <w:rsid w:val="057A1A46"/>
    <w:rsid w:val="05A82062"/>
    <w:rsid w:val="05B57C36"/>
    <w:rsid w:val="05C15035"/>
    <w:rsid w:val="05C649F8"/>
    <w:rsid w:val="05CC7330"/>
    <w:rsid w:val="0600144C"/>
    <w:rsid w:val="06154C53"/>
    <w:rsid w:val="06160A51"/>
    <w:rsid w:val="06274897"/>
    <w:rsid w:val="064437B9"/>
    <w:rsid w:val="06453048"/>
    <w:rsid w:val="0651121D"/>
    <w:rsid w:val="06A27213"/>
    <w:rsid w:val="06C736FC"/>
    <w:rsid w:val="06D46432"/>
    <w:rsid w:val="07250FF6"/>
    <w:rsid w:val="07261BF2"/>
    <w:rsid w:val="07467159"/>
    <w:rsid w:val="075D2086"/>
    <w:rsid w:val="0778608B"/>
    <w:rsid w:val="0797664C"/>
    <w:rsid w:val="07B023BF"/>
    <w:rsid w:val="07B80590"/>
    <w:rsid w:val="07C44194"/>
    <w:rsid w:val="07C863EA"/>
    <w:rsid w:val="07CF5DE6"/>
    <w:rsid w:val="07EC19FF"/>
    <w:rsid w:val="07F25E15"/>
    <w:rsid w:val="08183FC2"/>
    <w:rsid w:val="082A74C0"/>
    <w:rsid w:val="08485B98"/>
    <w:rsid w:val="08510EF1"/>
    <w:rsid w:val="08690E91"/>
    <w:rsid w:val="08761633"/>
    <w:rsid w:val="089276D0"/>
    <w:rsid w:val="08B331C8"/>
    <w:rsid w:val="08D14664"/>
    <w:rsid w:val="08D32682"/>
    <w:rsid w:val="08D6164C"/>
    <w:rsid w:val="08DD27BB"/>
    <w:rsid w:val="08EB30F3"/>
    <w:rsid w:val="08F135BA"/>
    <w:rsid w:val="09092C1B"/>
    <w:rsid w:val="091B5D6F"/>
    <w:rsid w:val="091F2D9D"/>
    <w:rsid w:val="092511AE"/>
    <w:rsid w:val="09840F6E"/>
    <w:rsid w:val="098D0605"/>
    <w:rsid w:val="09912242"/>
    <w:rsid w:val="09AC45C3"/>
    <w:rsid w:val="09AD03A9"/>
    <w:rsid w:val="09C65B8A"/>
    <w:rsid w:val="09EF451D"/>
    <w:rsid w:val="0A14667A"/>
    <w:rsid w:val="0A1F1A1D"/>
    <w:rsid w:val="0A2B2364"/>
    <w:rsid w:val="0A3665F0"/>
    <w:rsid w:val="0A3C34DB"/>
    <w:rsid w:val="0A544CC8"/>
    <w:rsid w:val="0A5C592B"/>
    <w:rsid w:val="0A6C210B"/>
    <w:rsid w:val="0A725551"/>
    <w:rsid w:val="0A730D35"/>
    <w:rsid w:val="0A734E93"/>
    <w:rsid w:val="0A7F7F97"/>
    <w:rsid w:val="0A876E4C"/>
    <w:rsid w:val="0A8A7FE2"/>
    <w:rsid w:val="0A8C7735"/>
    <w:rsid w:val="0A981059"/>
    <w:rsid w:val="0A9F078C"/>
    <w:rsid w:val="0A9F5BAF"/>
    <w:rsid w:val="0AD32091"/>
    <w:rsid w:val="0AD843BE"/>
    <w:rsid w:val="0ADD2129"/>
    <w:rsid w:val="0ADF0738"/>
    <w:rsid w:val="0AE24D81"/>
    <w:rsid w:val="0B03428F"/>
    <w:rsid w:val="0B0C7351"/>
    <w:rsid w:val="0B17075F"/>
    <w:rsid w:val="0B422D73"/>
    <w:rsid w:val="0B505490"/>
    <w:rsid w:val="0B674C4E"/>
    <w:rsid w:val="0B691DF9"/>
    <w:rsid w:val="0B8860B1"/>
    <w:rsid w:val="0B9A2BAF"/>
    <w:rsid w:val="0BA0671A"/>
    <w:rsid w:val="0BA15138"/>
    <w:rsid w:val="0BA53A2D"/>
    <w:rsid w:val="0BAA52EB"/>
    <w:rsid w:val="0BAB1F12"/>
    <w:rsid w:val="0BBB3830"/>
    <w:rsid w:val="0BCD088E"/>
    <w:rsid w:val="0BCD32C7"/>
    <w:rsid w:val="0BF415A1"/>
    <w:rsid w:val="0C141223"/>
    <w:rsid w:val="0C2C07B9"/>
    <w:rsid w:val="0C473269"/>
    <w:rsid w:val="0C580BFC"/>
    <w:rsid w:val="0C801DA5"/>
    <w:rsid w:val="0C9C3A34"/>
    <w:rsid w:val="0CA41137"/>
    <w:rsid w:val="0CF443E7"/>
    <w:rsid w:val="0D2604C4"/>
    <w:rsid w:val="0D473480"/>
    <w:rsid w:val="0D58163B"/>
    <w:rsid w:val="0D6D057B"/>
    <w:rsid w:val="0DA87805"/>
    <w:rsid w:val="0DC6117B"/>
    <w:rsid w:val="0DD73051"/>
    <w:rsid w:val="0DDE5BF2"/>
    <w:rsid w:val="0DFA0F36"/>
    <w:rsid w:val="0E32568F"/>
    <w:rsid w:val="0E343A78"/>
    <w:rsid w:val="0E4620B6"/>
    <w:rsid w:val="0E48745E"/>
    <w:rsid w:val="0E4F7898"/>
    <w:rsid w:val="0E60312D"/>
    <w:rsid w:val="0E702EB7"/>
    <w:rsid w:val="0E936C8D"/>
    <w:rsid w:val="0E99606F"/>
    <w:rsid w:val="0E9E29B6"/>
    <w:rsid w:val="0EB126E9"/>
    <w:rsid w:val="0EB2020F"/>
    <w:rsid w:val="0ED517E2"/>
    <w:rsid w:val="0F2E7896"/>
    <w:rsid w:val="0F51275D"/>
    <w:rsid w:val="0F6A3F8F"/>
    <w:rsid w:val="0F7626A0"/>
    <w:rsid w:val="0F7C2CF7"/>
    <w:rsid w:val="0F7F2621"/>
    <w:rsid w:val="0F8947B9"/>
    <w:rsid w:val="0F8A3934"/>
    <w:rsid w:val="0F9228B8"/>
    <w:rsid w:val="0FCA14BD"/>
    <w:rsid w:val="0FCF0A9A"/>
    <w:rsid w:val="0FEF4073"/>
    <w:rsid w:val="0FFA3C1C"/>
    <w:rsid w:val="101317CB"/>
    <w:rsid w:val="10142F30"/>
    <w:rsid w:val="102D3453"/>
    <w:rsid w:val="103510F8"/>
    <w:rsid w:val="108416CC"/>
    <w:rsid w:val="10874A41"/>
    <w:rsid w:val="10991687"/>
    <w:rsid w:val="10AD283F"/>
    <w:rsid w:val="10D67A36"/>
    <w:rsid w:val="10DB57FB"/>
    <w:rsid w:val="11054DCE"/>
    <w:rsid w:val="11194576"/>
    <w:rsid w:val="112A5BDE"/>
    <w:rsid w:val="114F74D0"/>
    <w:rsid w:val="115070BF"/>
    <w:rsid w:val="115B46C0"/>
    <w:rsid w:val="11716160"/>
    <w:rsid w:val="118C0684"/>
    <w:rsid w:val="119B4182"/>
    <w:rsid w:val="11B12A00"/>
    <w:rsid w:val="11DA5AB3"/>
    <w:rsid w:val="11E73D8B"/>
    <w:rsid w:val="11F9133B"/>
    <w:rsid w:val="11FE1453"/>
    <w:rsid w:val="11FF47D2"/>
    <w:rsid w:val="12046FD4"/>
    <w:rsid w:val="120D5E88"/>
    <w:rsid w:val="121076D7"/>
    <w:rsid w:val="12180BBD"/>
    <w:rsid w:val="125922C1"/>
    <w:rsid w:val="12751709"/>
    <w:rsid w:val="12845D5D"/>
    <w:rsid w:val="12AA2438"/>
    <w:rsid w:val="12BB3B36"/>
    <w:rsid w:val="12CB1345"/>
    <w:rsid w:val="12CD0255"/>
    <w:rsid w:val="12F65634"/>
    <w:rsid w:val="1308194F"/>
    <w:rsid w:val="13085D1E"/>
    <w:rsid w:val="13234683"/>
    <w:rsid w:val="13255454"/>
    <w:rsid w:val="132A783D"/>
    <w:rsid w:val="134A234F"/>
    <w:rsid w:val="134C08D9"/>
    <w:rsid w:val="13531024"/>
    <w:rsid w:val="13631E88"/>
    <w:rsid w:val="13677109"/>
    <w:rsid w:val="137D5290"/>
    <w:rsid w:val="13BF1404"/>
    <w:rsid w:val="13EE7A9F"/>
    <w:rsid w:val="13EF1551"/>
    <w:rsid w:val="13FF27B2"/>
    <w:rsid w:val="14131750"/>
    <w:rsid w:val="141E299C"/>
    <w:rsid w:val="143C62ED"/>
    <w:rsid w:val="145A5E09"/>
    <w:rsid w:val="147C5547"/>
    <w:rsid w:val="148F3B35"/>
    <w:rsid w:val="14B24AC5"/>
    <w:rsid w:val="14B71CB6"/>
    <w:rsid w:val="14EC447B"/>
    <w:rsid w:val="14F43309"/>
    <w:rsid w:val="15001CD4"/>
    <w:rsid w:val="15017E49"/>
    <w:rsid w:val="1503031E"/>
    <w:rsid w:val="15201D1B"/>
    <w:rsid w:val="1522438A"/>
    <w:rsid w:val="153C7179"/>
    <w:rsid w:val="15597637"/>
    <w:rsid w:val="15A63E7E"/>
    <w:rsid w:val="15B605E5"/>
    <w:rsid w:val="15CE074A"/>
    <w:rsid w:val="15CF6B68"/>
    <w:rsid w:val="15D037D7"/>
    <w:rsid w:val="15DC378A"/>
    <w:rsid w:val="15E6457A"/>
    <w:rsid w:val="15EF1704"/>
    <w:rsid w:val="15F219B5"/>
    <w:rsid w:val="16270CA8"/>
    <w:rsid w:val="162C3264"/>
    <w:rsid w:val="16476621"/>
    <w:rsid w:val="164B1F48"/>
    <w:rsid w:val="165775FB"/>
    <w:rsid w:val="1674297A"/>
    <w:rsid w:val="1678785C"/>
    <w:rsid w:val="16925CD5"/>
    <w:rsid w:val="169F551D"/>
    <w:rsid w:val="16A67B53"/>
    <w:rsid w:val="16AE1D18"/>
    <w:rsid w:val="16C62AAA"/>
    <w:rsid w:val="16CE195E"/>
    <w:rsid w:val="16D400FC"/>
    <w:rsid w:val="16D64457"/>
    <w:rsid w:val="16DD768A"/>
    <w:rsid w:val="16F47617"/>
    <w:rsid w:val="16FB731B"/>
    <w:rsid w:val="16FD1871"/>
    <w:rsid w:val="17147CB9"/>
    <w:rsid w:val="171B3026"/>
    <w:rsid w:val="172E1DC3"/>
    <w:rsid w:val="173F58E9"/>
    <w:rsid w:val="173F7D21"/>
    <w:rsid w:val="1745111B"/>
    <w:rsid w:val="175E69A5"/>
    <w:rsid w:val="17836BED"/>
    <w:rsid w:val="178A26EC"/>
    <w:rsid w:val="17C41231"/>
    <w:rsid w:val="17C41D53"/>
    <w:rsid w:val="17D219B7"/>
    <w:rsid w:val="17D81236"/>
    <w:rsid w:val="17E4496F"/>
    <w:rsid w:val="17EF03A0"/>
    <w:rsid w:val="17F92A0B"/>
    <w:rsid w:val="17FD693B"/>
    <w:rsid w:val="180900D1"/>
    <w:rsid w:val="180B6D02"/>
    <w:rsid w:val="18143DCF"/>
    <w:rsid w:val="1818078B"/>
    <w:rsid w:val="181E2472"/>
    <w:rsid w:val="187B0236"/>
    <w:rsid w:val="188126E0"/>
    <w:rsid w:val="188E0A8C"/>
    <w:rsid w:val="18BD7EDC"/>
    <w:rsid w:val="18C8686E"/>
    <w:rsid w:val="18CD6371"/>
    <w:rsid w:val="18EE4736"/>
    <w:rsid w:val="18F26320"/>
    <w:rsid w:val="18F942F8"/>
    <w:rsid w:val="19050909"/>
    <w:rsid w:val="19051C18"/>
    <w:rsid w:val="190E1D93"/>
    <w:rsid w:val="19151AC7"/>
    <w:rsid w:val="191E6C11"/>
    <w:rsid w:val="19242DD4"/>
    <w:rsid w:val="19276AFB"/>
    <w:rsid w:val="192B6C88"/>
    <w:rsid w:val="193F27FC"/>
    <w:rsid w:val="194A79C2"/>
    <w:rsid w:val="195F675F"/>
    <w:rsid w:val="19A32DB0"/>
    <w:rsid w:val="19AB6EF0"/>
    <w:rsid w:val="19B14BA3"/>
    <w:rsid w:val="19BC3D6B"/>
    <w:rsid w:val="19BC75B6"/>
    <w:rsid w:val="19D07754"/>
    <w:rsid w:val="19D65AEE"/>
    <w:rsid w:val="19EF056A"/>
    <w:rsid w:val="1A0265FD"/>
    <w:rsid w:val="1A11228E"/>
    <w:rsid w:val="1A2F6BB8"/>
    <w:rsid w:val="1A645B2A"/>
    <w:rsid w:val="1A68443E"/>
    <w:rsid w:val="1A71150A"/>
    <w:rsid w:val="1A7B36D2"/>
    <w:rsid w:val="1AA45CB8"/>
    <w:rsid w:val="1AB459E5"/>
    <w:rsid w:val="1AD33756"/>
    <w:rsid w:val="1ADA0785"/>
    <w:rsid w:val="1ADF792C"/>
    <w:rsid w:val="1AEB58DD"/>
    <w:rsid w:val="1AF8344E"/>
    <w:rsid w:val="1B4E4D94"/>
    <w:rsid w:val="1B520DB0"/>
    <w:rsid w:val="1B6D1746"/>
    <w:rsid w:val="1B747252"/>
    <w:rsid w:val="1B961913"/>
    <w:rsid w:val="1BEF2352"/>
    <w:rsid w:val="1C144BAB"/>
    <w:rsid w:val="1C265658"/>
    <w:rsid w:val="1C370023"/>
    <w:rsid w:val="1C450003"/>
    <w:rsid w:val="1C485D0F"/>
    <w:rsid w:val="1C4921B3"/>
    <w:rsid w:val="1C4D387F"/>
    <w:rsid w:val="1C4E6E52"/>
    <w:rsid w:val="1C51494E"/>
    <w:rsid w:val="1C542906"/>
    <w:rsid w:val="1C5B1EE6"/>
    <w:rsid w:val="1C5C2592"/>
    <w:rsid w:val="1C694603"/>
    <w:rsid w:val="1C7F11B2"/>
    <w:rsid w:val="1C876ED4"/>
    <w:rsid w:val="1C8E6A89"/>
    <w:rsid w:val="1C940F54"/>
    <w:rsid w:val="1C9E1D54"/>
    <w:rsid w:val="1CA95549"/>
    <w:rsid w:val="1CB25F08"/>
    <w:rsid w:val="1CBA07B6"/>
    <w:rsid w:val="1CBF08F4"/>
    <w:rsid w:val="1CC950A2"/>
    <w:rsid w:val="1CCF5E36"/>
    <w:rsid w:val="1CDA417F"/>
    <w:rsid w:val="1CE603D1"/>
    <w:rsid w:val="1CEB6DC6"/>
    <w:rsid w:val="1CF00880"/>
    <w:rsid w:val="1D092B8C"/>
    <w:rsid w:val="1D101B72"/>
    <w:rsid w:val="1D2B18B9"/>
    <w:rsid w:val="1D40227A"/>
    <w:rsid w:val="1D435D1A"/>
    <w:rsid w:val="1D610AEE"/>
    <w:rsid w:val="1D615C90"/>
    <w:rsid w:val="1D8A779E"/>
    <w:rsid w:val="1D90796E"/>
    <w:rsid w:val="1DAE19E8"/>
    <w:rsid w:val="1DB221B3"/>
    <w:rsid w:val="1DC827C3"/>
    <w:rsid w:val="1DD329A1"/>
    <w:rsid w:val="1DD71A40"/>
    <w:rsid w:val="1E2413AD"/>
    <w:rsid w:val="1E2D3BD0"/>
    <w:rsid w:val="1E4F2059"/>
    <w:rsid w:val="1E562681"/>
    <w:rsid w:val="1E6E48E5"/>
    <w:rsid w:val="1E7D731B"/>
    <w:rsid w:val="1E8A4EE6"/>
    <w:rsid w:val="1E8D09C3"/>
    <w:rsid w:val="1EA610DE"/>
    <w:rsid w:val="1EB77112"/>
    <w:rsid w:val="1ED01EF2"/>
    <w:rsid w:val="1EE66342"/>
    <w:rsid w:val="1F134CFA"/>
    <w:rsid w:val="1F1D61E3"/>
    <w:rsid w:val="1F264A2D"/>
    <w:rsid w:val="1F3D3AD3"/>
    <w:rsid w:val="1F6321DF"/>
    <w:rsid w:val="1F647231"/>
    <w:rsid w:val="1F7304FA"/>
    <w:rsid w:val="1F8A28C1"/>
    <w:rsid w:val="1FA70A8F"/>
    <w:rsid w:val="1FCF4BCD"/>
    <w:rsid w:val="1FDF3179"/>
    <w:rsid w:val="1FF663A0"/>
    <w:rsid w:val="20091C16"/>
    <w:rsid w:val="200C59D1"/>
    <w:rsid w:val="200C7B68"/>
    <w:rsid w:val="200E1E5C"/>
    <w:rsid w:val="201153A9"/>
    <w:rsid w:val="20125FC6"/>
    <w:rsid w:val="201F12B6"/>
    <w:rsid w:val="20226C76"/>
    <w:rsid w:val="20294BBA"/>
    <w:rsid w:val="204C2272"/>
    <w:rsid w:val="204D0D87"/>
    <w:rsid w:val="205E6DC7"/>
    <w:rsid w:val="205F1B58"/>
    <w:rsid w:val="2085449F"/>
    <w:rsid w:val="2096173F"/>
    <w:rsid w:val="20971013"/>
    <w:rsid w:val="20985DC3"/>
    <w:rsid w:val="20A31F05"/>
    <w:rsid w:val="20B60FA4"/>
    <w:rsid w:val="20ED356F"/>
    <w:rsid w:val="211271B1"/>
    <w:rsid w:val="21130FE1"/>
    <w:rsid w:val="21136749"/>
    <w:rsid w:val="2118481B"/>
    <w:rsid w:val="21241503"/>
    <w:rsid w:val="21293C96"/>
    <w:rsid w:val="215F6361"/>
    <w:rsid w:val="216C7048"/>
    <w:rsid w:val="21A67760"/>
    <w:rsid w:val="21A751C1"/>
    <w:rsid w:val="21A8623A"/>
    <w:rsid w:val="21AC6F78"/>
    <w:rsid w:val="21DA19EE"/>
    <w:rsid w:val="21E66D90"/>
    <w:rsid w:val="21E93926"/>
    <w:rsid w:val="21EF1B81"/>
    <w:rsid w:val="22266AF2"/>
    <w:rsid w:val="222D0AB0"/>
    <w:rsid w:val="223D2006"/>
    <w:rsid w:val="22476C22"/>
    <w:rsid w:val="22486448"/>
    <w:rsid w:val="225312DD"/>
    <w:rsid w:val="225902E4"/>
    <w:rsid w:val="22617859"/>
    <w:rsid w:val="22671A17"/>
    <w:rsid w:val="2273126B"/>
    <w:rsid w:val="22743D02"/>
    <w:rsid w:val="22B50022"/>
    <w:rsid w:val="22B60126"/>
    <w:rsid w:val="22E83DA8"/>
    <w:rsid w:val="22EC5646"/>
    <w:rsid w:val="231B23CF"/>
    <w:rsid w:val="232A616E"/>
    <w:rsid w:val="23386ADD"/>
    <w:rsid w:val="23456185"/>
    <w:rsid w:val="23576439"/>
    <w:rsid w:val="236E69A3"/>
    <w:rsid w:val="239B7A8C"/>
    <w:rsid w:val="23A777BF"/>
    <w:rsid w:val="23BA11EF"/>
    <w:rsid w:val="23C44815"/>
    <w:rsid w:val="23DC3CBF"/>
    <w:rsid w:val="23E31690"/>
    <w:rsid w:val="240500E3"/>
    <w:rsid w:val="24281E92"/>
    <w:rsid w:val="242A718E"/>
    <w:rsid w:val="2438203F"/>
    <w:rsid w:val="248B0E8F"/>
    <w:rsid w:val="24B57C55"/>
    <w:rsid w:val="24C04FDC"/>
    <w:rsid w:val="24D21290"/>
    <w:rsid w:val="2500205F"/>
    <w:rsid w:val="25075945"/>
    <w:rsid w:val="25151458"/>
    <w:rsid w:val="25192DFD"/>
    <w:rsid w:val="2524092C"/>
    <w:rsid w:val="256F4424"/>
    <w:rsid w:val="256F50F9"/>
    <w:rsid w:val="257B6F17"/>
    <w:rsid w:val="25C037BB"/>
    <w:rsid w:val="25C1725E"/>
    <w:rsid w:val="25F01774"/>
    <w:rsid w:val="25F5515A"/>
    <w:rsid w:val="25F82554"/>
    <w:rsid w:val="26061115"/>
    <w:rsid w:val="260D3DC4"/>
    <w:rsid w:val="26112EC9"/>
    <w:rsid w:val="262B0B7B"/>
    <w:rsid w:val="26335272"/>
    <w:rsid w:val="26393F39"/>
    <w:rsid w:val="263C111B"/>
    <w:rsid w:val="264121A3"/>
    <w:rsid w:val="26423A72"/>
    <w:rsid w:val="264D5928"/>
    <w:rsid w:val="264E03C6"/>
    <w:rsid w:val="2663431E"/>
    <w:rsid w:val="267B062A"/>
    <w:rsid w:val="268C414E"/>
    <w:rsid w:val="268D5392"/>
    <w:rsid w:val="26A5448A"/>
    <w:rsid w:val="26B634B2"/>
    <w:rsid w:val="26B818B5"/>
    <w:rsid w:val="26CD2165"/>
    <w:rsid w:val="26F0198C"/>
    <w:rsid w:val="26F04BDB"/>
    <w:rsid w:val="26F91D27"/>
    <w:rsid w:val="26FF0E4A"/>
    <w:rsid w:val="27093D32"/>
    <w:rsid w:val="271E5FEA"/>
    <w:rsid w:val="271F3365"/>
    <w:rsid w:val="272173A9"/>
    <w:rsid w:val="272671B1"/>
    <w:rsid w:val="27395B93"/>
    <w:rsid w:val="27574016"/>
    <w:rsid w:val="277C666D"/>
    <w:rsid w:val="279A6001"/>
    <w:rsid w:val="27A02EA3"/>
    <w:rsid w:val="27C748D4"/>
    <w:rsid w:val="27D1445D"/>
    <w:rsid w:val="27E55D11"/>
    <w:rsid w:val="28043432"/>
    <w:rsid w:val="280B3CE8"/>
    <w:rsid w:val="28123DA1"/>
    <w:rsid w:val="28221033"/>
    <w:rsid w:val="283A6DC7"/>
    <w:rsid w:val="285D23CA"/>
    <w:rsid w:val="288E744F"/>
    <w:rsid w:val="28AB75D3"/>
    <w:rsid w:val="28BF4190"/>
    <w:rsid w:val="28E525A0"/>
    <w:rsid w:val="2913489B"/>
    <w:rsid w:val="292D2AFB"/>
    <w:rsid w:val="293D494F"/>
    <w:rsid w:val="294D7418"/>
    <w:rsid w:val="29674FC6"/>
    <w:rsid w:val="29756EC9"/>
    <w:rsid w:val="29803792"/>
    <w:rsid w:val="29AE205A"/>
    <w:rsid w:val="29CB2916"/>
    <w:rsid w:val="29CF397F"/>
    <w:rsid w:val="29DB01C2"/>
    <w:rsid w:val="29DC2FD4"/>
    <w:rsid w:val="29E928DF"/>
    <w:rsid w:val="29F06026"/>
    <w:rsid w:val="29F90627"/>
    <w:rsid w:val="2A1A59C3"/>
    <w:rsid w:val="2A4917DD"/>
    <w:rsid w:val="2A4B359A"/>
    <w:rsid w:val="2A5967CA"/>
    <w:rsid w:val="2A81781C"/>
    <w:rsid w:val="2A907550"/>
    <w:rsid w:val="2A99773C"/>
    <w:rsid w:val="2A9E3010"/>
    <w:rsid w:val="2AAA6513"/>
    <w:rsid w:val="2AB506B0"/>
    <w:rsid w:val="2AB670B6"/>
    <w:rsid w:val="2AC369DB"/>
    <w:rsid w:val="2AC617AA"/>
    <w:rsid w:val="2AC7148D"/>
    <w:rsid w:val="2AC82E3D"/>
    <w:rsid w:val="2AC94EE0"/>
    <w:rsid w:val="2AEA2B8F"/>
    <w:rsid w:val="2AFF4D64"/>
    <w:rsid w:val="2B141BDE"/>
    <w:rsid w:val="2B48745C"/>
    <w:rsid w:val="2B5420FA"/>
    <w:rsid w:val="2B7951F1"/>
    <w:rsid w:val="2BD80E5D"/>
    <w:rsid w:val="2BD96984"/>
    <w:rsid w:val="2BE079D3"/>
    <w:rsid w:val="2BE23A8A"/>
    <w:rsid w:val="2BE61F32"/>
    <w:rsid w:val="2BE66DA5"/>
    <w:rsid w:val="2BF1120B"/>
    <w:rsid w:val="2BF35C97"/>
    <w:rsid w:val="2BF95225"/>
    <w:rsid w:val="2C1F314E"/>
    <w:rsid w:val="2C314BD1"/>
    <w:rsid w:val="2C477E4B"/>
    <w:rsid w:val="2C7646DE"/>
    <w:rsid w:val="2C9049B7"/>
    <w:rsid w:val="2C920C7C"/>
    <w:rsid w:val="2C937E06"/>
    <w:rsid w:val="2C9B7916"/>
    <w:rsid w:val="2CB14776"/>
    <w:rsid w:val="2CC20C2B"/>
    <w:rsid w:val="2CD852DE"/>
    <w:rsid w:val="2CE35D0C"/>
    <w:rsid w:val="2CFC2F8B"/>
    <w:rsid w:val="2D097C75"/>
    <w:rsid w:val="2D1265F1"/>
    <w:rsid w:val="2D1F6A36"/>
    <w:rsid w:val="2D256324"/>
    <w:rsid w:val="2D2D6F87"/>
    <w:rsid w:val="2D2F4CC8"/>
    <w:rsid w:val="2D4C575D"/>
    <w:rsid w:val="2D5B353D"/>
    <w:rsid w:val="2D7A243A"/>
    <w:rsid w:val="2D7F73FB"/>
    <w:rsid w:val="2D872255"/>
    <w:rsid w:val="2D91641F"/>
    <w:rsid w:val="2D9D15DB"/>
    <w:rsid w:val="2DB02087"/>
    <w:rsid w:val="2DC11A3A"/>
    <w:rsid w:val="2DE47F8D"/>
    <w:rsid w:val="2DE95B4B"/>
    <w:rsid w:val="2E0510E4"/>
    <w:rsid w:val="2E0604B3"/>
    <w:rsid w:val="2E112405"/>
    <w:rsid w:val="2E216586"/>
    <w:rsid w:val="2E4124D4"/>
    <w:rsid w:val="2E435CA3"/>
    <w:rsid w:val="2E446803"/>
    <w:rsid w:val="2E502E03"/>
    <w:rsid w:val="2E6479F4"/>
    <w:rsid w:val="2E6B420B"/>
    <w:rsid w:val="2E734E6D"/>
    <w:rsid w:val="2E7411FA"/>
    <w:rsid w:val="2E78749B"/>
    <w:rsid w:val="2E935510"/>
    <w:rsid w:val="2E951288"/>
    <w:rsid w:val="2EA03776"/>
    <w:rsid w:val="2EB31AA3"/>
    <w:rsid w:val="2ED83F38"/>
    <w:rsid w:val="2EEA582A"/>
    <w:rsid w:val="2EEC66F5"/>
    <w:rsid w:val="2EEF6BEA"/>
    <w:rsid w:val="2EF05B93"/>
    <w:rsid w:val="2F0D0E1E"/>
    <w:rsid w:val="2F0D75C4"/>
    <w:rsid w:val="2F1339AF"/>
    <w:rsid w:val="2F293EA9"/>
    <w:rsid w:val="2F464330"/>
    <w:rsid w:val="2F650750"/>
    <w:rsid w:val="2F6D5050"/>
    <w:rsid w:val="2F876AC7"/>
    <w:rsid w:val="2F9F2C9A"/>
    <w:rsid w:val="2FA35CA9"/>
    <w:rsid w:val="2FAD6E05"/>
    <w:rsid w:val="2FD962A4"/>
    <w:rsid w:val="2FDB1EF6"/>
    <w:rsid w:val="2FDD7139"/>
    <w:rsid w:val="30013971"/>
    <w:rsid w:val="302842CB"/>
    <w:rsid w:val="3038011D"/>
    <w:rsid w:val="306905C5"/>
    <w:rsid w:val="309537C1"/>
    <w:rsid w:val="30960A3F"/>
    <w:rsid w:val="309861F5"/>
    <w:rsid w:val="30A43A04"/>
    <w:rsid w:val="30B0452F"/>
    <w:rsid w:val="30B05F05"/>
    <w:rsid w:val="30B31E99"/>
    <w:rsid w:val="30B5176D"/>
    <w:rsid w:val="30C32637"/>
    <w:rsid w:val="30D85366"/>
    <w:rsid w:val="30F669D9"/>
    <w:rsid w:val="31037767"/>
    <w:rsid w:val="31164F8B"/>
    <w:rsid w:val="311F439C"/>
    <w:rsid w:val="312D1C4B"/>
    <w:rsid w:val="3135465C"/>
    <w:rsid w:val="314D325A"/>
    <w:rsid w:val="317A269D"/>
    <w:rsid w:val="318555E4"/>
    <w:rsid w:val="31BB0A78"/>
    <w:rsid w:val="31C7729D"/>
    <w:rsid w:val="31CC0B61"/>
    <w:rsid w:val="321E3342"/>
    <w:rsid w:val="321E4C32"/>
    <w:rsid w:val="322E6C87"/>
    <w:rsid w:val="324D1E1C"/>
    <w:rsid w:val="326171DE"/>
    <w:rsid w:val="326B0AEB"/>
    <w:rsid w:val="326C67A3"/>
    <w:rsid w:val="326D299C"/>
    <w:rsid w:val="32785D8C"/>
    <w:rsid w:val="327A28D6"/>
    <w:rsid w:val="32815781"/>
    <w:rsid w:val="329109EC"/>
    <w:rsid w:val="32930D1B"/>
    <w:rsid w:val="329D0DBE"/>
    <w:rsid w:val="329D5668"/>
    <w:rsid w:val="32AB72CC"/>
    <w:rsid w:val="32BF4B25"/>
    <w:rsid w:val="32C13CDD"/>
    <w:rsid w:val="32D619B6"/>
    <w:rsid w:val="33066AB2"/>
    <w:rsid w:val="3330077B"/>
    <w:rsid w:val="33483804"/>
    <w:rsid w:val="33595B88"/>
    <w:rsid w:val="33596D28"/>
    <w:rsid w:val="335D1E86"/>
    <w:rsid w:val="335F1E64"/>
    <w:rsid w:val="3379595E"/>
    <w:rsid w:val="33977850"/>
    <w:rsid w:val="339A41B5"/>
    <w:rsid w:val="33A65CE5"/>
    <w:rsid w:val="33AB1A78"/>
    <w:rsid w:val="33C011FC"/>
    <w:rsid w:val="33D11CFF"/>
    <w:rsid w:val="33D31C19"/>
    <w:rsid w:val="33F46A50"/>
    <w:rsid w:val="33FC4475"/>
    <w:rsid w:val="33FF104C"/>
    <w:rsid w:val="340D2F51"/>
    <w:rsid w:val="34110FB9"/>
    <w:rsid w:val="34262A62"/>
    <w:rsid w:val="3437339D"/>
    <w:rsid w:val="343F07A5"/>
    <w:rsid w:val="34765925"/>
    <w:rsid w:val="348D62D6"/>
    <w:rsid w:val="34D10233"/>
    <w:rsid w:val="34F77B28"/>
    <w:rsid w:val="34FF1F74"/>
    <w:rsid w:val="351F2018"/>
    <w:rsid w:val="35284044"/>
    <w:rsid w:val="354064DE"/>
    <w:rsid w:val="35472EA5"/>
    <w:rsid w:val="355534CA"/>
    <w:rsid w:val="357E676A"/>
    <w:rsid w:val="358056C1"/>
    <w:rsid w:val="35883AFC"/>
    <w:rsid w:val="35A23434"/>
    <w:rsid w:val="35AB5C82"/>
    <w:rsid w:val="35BA7826"/>
    <w:rsid w:val="35BC74DD"/>
    <w:rsid w:val="35F77091"/>
    <w:rsid w:val="35FA0B79"/>
    <w:rsid w:val="35FE0154"/>
    <w:rsid w:val="36067DFC"/>
    <w:rsid w:val="361B62D9"/>
    <w:rsid w:val="3629186A"/>
    <w:rsid w:val="36316665"/>
    <w:rsid w:val="3634269F"/>
    <w:rsid w:val="363C4FBD"/>
    <w:rsid w:val="364E5564"/>
    <w:rsid w:val="365219C4"/>
    <w:rsid w:val="36526471"/>
    <w:rsid w:val="36581699"/>
    <w:rsid w:val="36675AF1"/>
    <w:rsid w:val="36693C81"/>
    <w:rsid w:val="366B04D8"/>
    <w:rsid w:val="366D693C"/>
    <w:rsid w:val="36703EE8"/>
    <w:rsid w:val="36827456"/>
    <w:rsid w:val="368B585E"/>
    <w:rsid w:val="36923BD9"/>
    <w:rsid w:val="36AB772B"/>
    <w:rsid w:val="36DD44D8"/>
    <w:rsid w:val="37393B3D"/>
    <w:rsid w:val="373A6E70"/>
    <w:rsid w:val="37402A84"/>
    <w:rsid w:val="374B0B3C"/>
    <w:rsid w:val="374B5AF8"/>
    <w:rsid w:val="37550180"/>
    <w:rsid w:val="378C1E8B"/>
    <w:rsid w:val="37BB65E8"/>
    <w:rsid w:val="37C8447C"/>
    <w:rsid w:val="37FC289B"/>
    <w:rsid w:val="382C421A"/>
    <w:rsid w:val="38390A5C"/>
    <w:rsid w:val="38417D8A"/>
    <w:rsid w:val="384358B1"/>
    <w:rsid w:val="387A549F"/>
    <w:rsid w:val="38892262"/>
    <w:rsid w:val="389041E5"/>
    <w:rsid w:val="38951BB1"/>
    <w:rsid w:val="38A8605B"/>
    <w:rsid w:val="38AD2B39"/>
    <w:rsid w:val="38B32D66"/>
    <w:rsid w:val="38BD53CD"/>
    <w:rsid w:val="38CB41BA"/>
    <w:rsid w:val="38D44E8A"/>
    <w:rsid w:val="38D6163E"/>
    <w:rsid w:val="38DB39B2"/>
    <w:rsid w:val="38EA7DF3"/>
    <w:rsid w:val="38F617F8"/>
    <w:rsid w:val="390B0AC4"/>
    <w:rsid w:val="3915198D"/>
    <w:rsid w:val="392456E2"/>
    <w:rsid w:val="39360978"/>
    <w:rsid w:val="393671C3"/>
    <w:rsid w:val="39406BF6"/>
    <w:rsid w:val="394144E6"/>
    <w:rsid w:val="39440307"/>
    <w:rsid w:val="39567866"/>
    <w:rsid w:val="396134DD"/>
    <w:rsid w:val="396316A3"/>
    <w:rsid w:val="396F26D5"/>
    <w:rsid w:val="39777F08"/>
    <w:rsid w:val="399C395E"/>
    <w:rsid w:val="39A86313"/>
    <w:rsid w:val="39AA223D"/>
    <w:rsid w:val="39C10390"/>
    <w:rsid w:val="39D709A6"/>
    <w:rsid w:val="39E40C80"/>
    <w:rsid w:val="39EE6B3B"/>
    <w:rsid w:val="3A002F46"/>
    <w:rsid w:val="3A045513"/>
    <w:rsid w:val="3A606BEE"/>
    <w:rsid w:val="3A86320D"/>
    <w:rsid w:val="3A8F302F"/>
    <w:rsid w:val="3AA01C0E"/>
    <w:rsid w:val="3AA26278"/>
    <w:rsid w:val="3AA66F06"/>
    <w:rsid w:val="3AC82DBC"/>
    <w:rsid w:val="3AD43FD0"/>
    <w:rsid w:val="3AE55345"/>
    <w:rsid w:val="3AF22DD2"/>
    <w:rsid w:val="3AF81E76"/>
    <w:rsid w:val="3B004D91"/>
    <w:rsid w:val="3B0B730F"/>
    <w:rsid w:val="3B14048E"/>
    <w:rsid w:val="3B1D2775"/>
    <w:rsid w:val="3B2164F3"/>
    <w:rsid w:val="3B3301BF"/>
    <w:rsid w:val="3B4337E0"/>
    <w:rsid w:val="3B473D7F"/>
    <w:rsid w:val="3B4A724D"/>
    <w:rsid w:val="3B5B73B5"/>
    <w:rsid w:val="3B6329B2"/>
    <w:rsid w:val="3B765F9D"/>
    <w:rsid w:val="3B7F6EBF"/>
    <w:rsid w:val="3B853D50"/>
    <w:rsid w:val="3B9A170B"/>
    <w:rsid w:val="3BA374DA"/>
    <w:rsid w:val="3BC36B0E"/>
    <w:rsid w:val="3BDC0A46"/>
    <w:rsid w:val="3BF82CA2"/>
    <w:rsid w:val="3C00283E"/>
    <w:rsid w:val="3C0E1070"/>
    <w:rsid w:val="3C3F2718"/>
    <w:rsid w:val="3C3F6DB9"/>
    <w:rsid w:val="3C4D6CFE"/>
    <w:rsid w:val="3C787BE6"/>
    <w:rsid w:val="3C853690"/>
    <w:rsid w:val="3C9809F8"/>
    <w:rsid w:val="3CC8423E"/>
    <w:rsid w:val="3CD177E2"/>
    <w:rsid w:val="3CD65BD1"/>
    <w:rsid w:val="3CDD2C42"/>
    <w:rsid w:val="3CFB2348"/>
    <w:rsid w:val="3D01446F"/>
    <w:rsid w:val="3D0523AB"/>
    <w:rsid w:val="3D374174"/>
    <w:rsid w:val="3D432206"/>
    <w:rsid w:val="3D525F74"/>
    <w:rsid w:val="3D6764E5"/>
    <w:rsid w:val="3D9A67A4"/>
    <w:rsid w:val="3DAA794C"/>
    <w:rsid w:val="3DBC7158"/>
    <w:rsid w:val="3DDF64A1"/>
    <w:rsid w:val="3E136935"/>
    <w:rsid w:val="3E1C4E5F"/>
    <w:rsid w:val="3E3E7246"/>
    <w:rsid w:val="3E4A25E4"/>
    <w:rsid w:val="3E4A46D6"/>
    <w:rsid w:val="3E6B178D"/>
    <w:rsid w:val="3E7D11A4"/>
    <w:rsid w:val="3E8F04BB"/>
    <w:rsid w:val="3E952BDE"/>
    <w:rsid w:val="3EA63695"/>
    <w:rsid w:val="3ED972B4"/>
    <w:rsid w:val="3EED4BCF"/>
    <w:rsid w:val="3EFA24BD"/>
    <w:rsid w:val="3EFA7C08"/>
    <w:rsid w:val="3F202B3E"/>
    <w:rsid w:val="3F2302F2"/>
    <w:rsid w:val="3F260CA2"/>
    <w:rsid w:val="3F2D0289"/>
    <w:rsid w:val="3F4F78F0"/>
    <w:rsid w:val="3F5F0080"/>
    <w:rsid w:val="3F5F3B90"/>
    <w:rsid w:val="3F830C89"/>
    <w:rsid w:val="3F973827"/>
    <w:rsid w:val="3FC012FA"/>
    <w:rsid w:val="3FCD1F46"/>
    <w:rsid w:val="3FD03607"/>
    <w:rsid w:val="3FDB0AC5"/>
    <w:rsid w:val="3FE7684B"/>
    <w:rsid w:val="3FEC0F24"/>
    <w:rsid w:val="3FF24804"/>
    <w:rsid w:val="3FFC18FC"/>
    <w:rsid w:val="40321C62"/>
    <w:rsid w:val="403A1C8F"/>
    <w:rsid w:val="403C7E4A"/>
    <w:rsid w:val="404503C3"/>
    <w:rsid w:val="40514757"/>
    <w:rsid w:val="40732B8E"/>
    <w:rsid w:val="40972C3D"/>
    <w:rsid w:val="409D1AF3"/>
    <w:rsid w:val="40B727FE"/>
    <w:rsid w:val="40CF0629"/>
    <w:rsid w:val="40DE6ABE"/>
    <w:rsid w:val="40ED6D01"/>
    <w:rsid w:val="412E04AF"/>
    <w:rsid w:val="41312AB0"/>
    <w:rsid w:val="414C7726"/>
    <w:rsid w:val="41501928"/>
    <w:rsid w:val="416B4AF2"/>
    <w:rsid w:val="4185518C"/>
    <w:rsid w:val="418D01EC"/>
    <w:rsid w:val="41904453"/>
    <w:rsid w:val="41AE7081"/>
    <w:rsid w:val="41C458EF"/>
    <w:rsid w:val="41D842F0"/>
    <w:rsid w:val="420E33D3"/>
    <w:rsid w:val="421E3051"/>
    <w:rsid w:val="4235270E"/>
    <w:rsid w:val="425B6C84"/>
    <w:rsid w:val="4261077D"/>
    <w:rsid w:val="427D5AA8"/>
    <w:rsid w:val="428D128F"/>
    <w:rsid w:val="429660DE"/>
    <w:rsid w:val="42C805E8"/>
    <w:rsid w:val="42C82D72"/>
    <w:rsid w:val="42F841D4"/>
    <w:rsid w:val="430A37C4"/>
    <w:rsid w:val="430E39C0"/>
    <w:rsid w:val="43100637"/>
    <w:rsid w:val="431B1508"/>
    <w:rsid w:val="431F39A9"/>
    <w:rsid w:val="43252935"/>
    <w:rsid w:val="432A08FD"/>
    <w:rsid w:val="43406528"/>
    <w:rsid w:val="43406FE0"/>
    <w:rsid w:val="436829EF"/>
    <w:rsid w:val="43790D20"/>
    <w:rsid w:val="43916241"/>
    <w:rsid w:val="43973229"/>
    <w:rsid w:val="439D4A0F"/>
    <w:rsid w:val="43B339FC"/>
    <w:rsid w:val="43D03BD4"/>
    <w:rsid w:val="43D378F3"/>
    <w:rsid w:val="43D53A8F"/>
    <w:rsid w:val="43F14BAE"/>
    <w:rsid w:val="440E04E4"/>
    <w:rsid w:val="44114BC4"/>
    <w:rsid w:val="441C17FE"/>
    <w:rsid w:val="44214328"/>
    <w:rsid w:val="443D51D2"/>
    <w:rsid w:val="444924A1"/>
    <w:rsid w:val="445E2680"/>
    <w:rsid w:val="446520B8"/>
    <w:rsid w:val="44676DCB"/>
    <w:rsid w:val="44716BFA"/>
    <w:rsid w:val="447D4E2A"/>
    <w:rsid w:val="44826015"/>
    <w:rsid w:val="448C1EC2"/>
    <w:rsid w:val="449F47B6"/>
    <w:rsid w:val="449F4D72"/>
    <w:rsid w:val="44A347FC"/>
    <w:rsid w:val="44C2163A"/>
    <w:rsid w:val="44CE6DAD"/>
    <w:rsid w:val="44D04970"/>
    <w:rsid w:val="44D7064C"/>
    <w:rsid w:val="44ED69DA"/>
    <w:rsid w:val="45062140"/>
    <w:rsid w:val="450F5C39"/>
    <w:rsid w:val="45427875"/>
    <w:rsid w:val="454519DB"/>
    <w:rsid w:val="45533821"/>
    <w:rsid w:val="4556112D"/>
    <w:rsid w:val="455D6EA5"/>
    <w:rsid w:val="455E4E21"/>
    <w:rsid w:val="458B2A18"/>
    <w:rsid w:val="458D32AC"/>
    <w:rsid w:val="45A57BAB"/>
    <w:rsid w:val="45AC5F6C"/>
    <w:rsid w:val="45AD7C6F"/>
    <w:rsid w:val="45B17FED"/>
    <w:rsid w:val="45B5513C"/>
    <w:rsid w:val="45BB73CE"/>
    <w:rsid w:val="45C358D0"/>
    <w:rsid w:val="45C6717A"/>
    <w:rsid w:val="45D102C6"/>
    <w:rsid w:val="45EA0933"/>
    <w:rsid w:val="45EB0654"/>
    <w:rsid w:val="45F57156"/>
    <w:rsid w:val="45F84668"/>
    <w:rsid w:val="45FF45B3"/>
    <w:rsid w:val="460C5605"/>
    <w:rsid w:val="4637549A"/>
    <w:rsid w:val="46383B2A"/>
    <w:rsid w:val="463C7277"/>
    <w:rsid w:val="46592D3F"/>
    <w:rsid w:val="465A54DB"/>
    <w:rsid w:val="466510E8"/>
    <w:rsid w:val="46B51B1C"/>
    <w:rsid w:val="46C22EA2"/>
    <w:rsid w:val="46D1677D"/>
    <w:rsid w:val="46DA28B1"/>
    <w:rsid w:val="47164116"/>
    <w:rsid w:val="471A4BD2"/>
    <w:rsid w:val="471B6B72"/>
    <w:rsid w:val="472E6F42"/>
    <w:rsid w:val="4759157F"/>
    <w:rsid w:val="475A6773"/>
    <w:rsid w:val="47B85381"/>
    <w:rsid w:val="47BB2E5E"/>
    <w:rsid w:val="47C307BC"/>
    <w:rsid w:val="47DB78B4"/>
    <w:rsid w:val="47ED2B3F"/>
    <w:rsid w:val="47FE6943"/>
    <w:rsid w:val="48027A80"/>
    <w:rsid w:val="48102234"/>
    <w:rsid w:val="4819599D"/>
    <w:rsid w:val="481F4786"/>
    <w:rsid w:val="48307449"/>
    <w:rsid w:val="483416BA"/>
    <w:rsid w:val="483665C7"/>
    <w:rsid w:val="48444785"/>
    <w:rsid w:val="484542C4"/>
    <w:rsid w:val="4856518C"/>
    <w:rsid w:val="48682277"/>
    <w:rsid w:val="489C7EFD"/>
    <w:rsid w:val="489E50BD"/>
    <w:rsid w:val="48A67C78"/>
    <w:rsid w:val="48B82CFC"/>
    <w:rsid w:val="48EA7737"/>
    <w:rsid w:val="48F77107"/>
    <w:rsid w:val="48FE147C"/>
    <w:rsid w:val="491A1808"/>
    <w:rsid w:val="49252201"/>
    <w:rsid w:val="492540C8"/>
    <w:rsid w:val="49255E27"/>
    <w:rsid w:val="493C6A78"/>
    <w:rsid w:val="49570A79"/>
    <w:rsid w:val="495D2085"/>
    <w:rsid w:val="496D577E"/>
    <w:rsid w:val="49997155"/>
    <w:rsid w:val="49AE04DD"/>
    <w:rsid w:val="49AE469C"/>
    <w:rsid w:val="49DB3F74"/>
    <w:rsid w:val="49DB5B92"/>
    <w:rsid w:val="49DF647B"/>
    <w:rsid w:val="49E97F3D"/>
    <w:rsid w:val="4A065517"/>
    <w:rsid w:val="4A2D22B6"/>
    <w:rsid w:val="4A4A5EBD"/>
    <w:rsid w:val="4A516864"/>
    <w:rsid w:val="4A7B7FC4"/>
    <w:rsid w:val="4AC7411F"/>
    <w:rsid w:val="4ACF1226"/>
    <w:rsid w:val="4AE6388C"/>
    <w:rsid w:val="4B1220B6"/>
    <w:rsid w:val="4B3A3590"/>
    <w:rsid w:val="4B5528B8"/>
    <w:rsid w:val="4B7A0BBF"/>
    <w:rsid w:val="4B840262"/>
    <w:rsid w:val="4B8B77D7"/>
    <w:rsid w:val="4BAB1C93"/>
    <w:rsid w:val="4BB8567D"/>
    <w:rsid w:val="4BC32B39"/>
    <w:rsid w:val="4BD50ABE"/>
    <w:rsid w:val="4BD83340"/>
    <w:rsid w:val="4C0D530A"/>
    <w:rsid w:val="4C2B3155"/>
    <w:rsid w:val="4C3425E1"/>
    <w:rsid w:val="4C445A6C"/>
    <w:rsid w:val="4C4F3D49"/>
    <w:rsid w:val="4C5065EF"/>
    <w:rsid w:val="4C547C35"/>
    <w:rsid w:val="4C5F4879"/>
    <w:rsid w:val="4C685AF2"/>
    <w:rsid w:val="4C866D1A"/>
    <w:rsid w:val="4C953A33"/>
    <w:rsid w:val="4C9C61C3"/>
    <w:rsid w:val="4CA35C4E"/>
    <w:rsid w:val="4CB16183"/>
    <w:rsid w:val="4CCE5C39"/>
    <w:rsid w:val="4CD3324F"/>
    <w:rsid w:val="4CEB2FE1"/>
    <w:rsid w:val="4CF10E05"/>
    <w:rsid w:val="4CF113EE"/>
    <w:rsid w:val="4CF82CB6"/>
    <w:rsid w:val="4D2E4FF5"/>
    <w:rsid w:val="4D381CBD"/>
    <w:rsid w:val="4D3A32CE"/>
    <w:rsid w:val="4D4001B9"/>
    <w:rsid w:val="4D42568B"/>
    <w:rsid w:val="4D58562A"/>
    <w:rsid w:val="4D670D1D"/>
    <w:rsid w:val="4D6D04FA"/>
    <w:rsid w:val="4D7A2C21"/>
    <w:rsid w:val="4D8B0EF0"/>
    <w:rsid w:val="4DA17CB8"/>
    <w:rsid w:val="4DA509B8"/>
    <w:rsid w:val="4DB52B07"/>
    <w:rsid w:val="4DBE024F"/>
    <w:rsid w:val="4DC938C2"/>
    <w:rsid w:val="4DEE7533"/>
    <w:rsid w:val="4DF80FD5"/>
    <w:rsid w:val="4E0F48AA"/>
    <w:rsid w:val="4E2E44B5"/>
    <w:rsid w:val="4E694EF2"/>
    <w:rsid w:val="4E755346"/>
    <w:rsid w:val="4EB7263B"/>
    <w:rsid w:val="4ED07129"/>
    <w:rsid w:val="4EDC620E"/>
    <w:rsid w:val="4EED20A0"/>
    <w:rsid w:val="4F22226C"/>
    <w:rsid w:val="4F3E0C8B"/>
    <w:rsid w:val="4F3F20D3"/>
    <w:rsid w:val="4F62741E"/>
    <w:rsid w:val="4F7F0C3D"/>
    <w:rsid w:val="4FA27487"/>
    <w:rsid w:val="4FCB2904"/>
    <w:rsid w:val="4FDC3182"/>
    <w:rsid w:val="4FFA0046"/>
    <w:rsid w:val="5008797C"/>
    <w:rsid w:val="502E6078"/>
    <w:rsid w:val="503E30D6"/>
    <w:rsid w:val="50692184"/>
    <w:rsid w:val="507C3BFE"/>
    <w:rsid w:val="507E5AAE"/>
    <w:rsid w:val="50C2691E"/>
    <w:rsid w:val="50DC591D"/>
    <w:rsid w:val="51524269"/>
    <w:rsid w:val="515F1555"/>
    <w:rsid w:val="516108BF"/>
    <w:rsid w:val="517368E2"/>
    <w:rsid w:val="517419FF"/>
    <w:rsid w:val="517A37CC"/>
    <w:rsid w:val="519B605A"/>
    <w:rsid w:val="519E7677"/>
    <w:rsid w:val="51AA02F7"/>
    <w:rsid w:val="51CD0C51"/>
    <w:rsid w:val="51D931AB"/>
    <w:rsid w:val="51FE5F02"/>
    <w:rsid w:val="52081BED"/>
    <w:rsid w:val="523336B1"/>
    <w:rsid w:val="523B262A"/>
    <w:rsid w:val="52524C16"/>
    <w:rsid w:val="52750905"/>
    <w:rsid w:val="527D67C6"/>
    <w:rsid w:val="528B7E30"/>
    <w:rsid w:val="5297628D"/>
    <w:rsid w:val="529C2335"/>
    <w:rsid w:val="52B81EEC"/>
    <w:rsid w:val="52C50F70"/>
    <w:rsid w:val="52C54712"/>
    <w:rsid w:val="52D7511B"/>
    <w:rsid w:val="52DD4E28"/>
    <w:rsid w:val="52F87FB8"/>
    <w:rsid w:val="530B6D68"/>
    <w:rsid w:val="533609D6"/>
    <w:rsid w:val="535F3A8F"/>
    <w:rsid w:val="53652287"/>
    <w:rsid w:val="53AF678F"/>
    <w:rsid w:val="53BF452D"/>
    <w:rsid w:val="53CE0B29"/>
    <w:rsid w:val="53D14261"/>
    <w:rsid w:val="53D350FE"/>
    <w:rsid w:val="54037C5C"/>
    <w:rsid w:val="54115E26"/>
    <w:rsid w:val="54151524"/>
    <w:rsid w:val="541A66F2"/>
    <w:rsid w:val="54272A58"/>
    <w:rsid w:val="542D2F23"/>
    <w:rsid w:val="545F361A"/>
    <w:rsid w:val="546450D5"/>
    <w:rsid w:val="54912F06"/>
    <w:rsid w:val="5493052E"/>
    <w:rsid w:val="54A40EC8"/>
    <w:rsid w:val="54AF1477"/>
    <w:rsid w:val="54C229BD"/>
    <w:rsid w:val="54C2668C"/>
    <w:rsid w:val="54D324BA"/>
    <w:rsid w:val="54ED50CA"/>
    <w:rsid w:val="54FE1085"/>
    <w:rsid w:val="55010A36"/>
    <w:rsid w:val="55066E59"/>
    <w:rsid w:val="550F00DD"/>
    <w:rsid w:val="551762E7"/>
    <w:rsid w:val="551B5793"/>
    <w:rsid w:val="55231D18"/>
    <w:rsid w:val="554E4905"/>
    <w:rsid w:val="555047EB"/>
    <w:rsid w:val="555C0E9A"/>
    <w:rsid w:val="556D640E"/>
    <w:rsid w:val="557F25DF"/>
    <w:rsid w:val="55AD65A1"/>
    <w:rsid w:val="55CD2D97"/>
    <w:rsid w:val="55DA38A0"/>
    <w:rsid w:val="55F12998"/>
    <w:rsid w:val="56064B11"/>
    <w:rsid w:val="56165B29"/>
    <w:rsid w:val="56176259"/>
    <w:rsid w:val="56414CD5"/>
    <w:rsid w:val="56466840"/>
    <w:rsid w:val="56471704"/>
    <w:rsid w:val="56612066"/>
    <w:rsid w:val="566706BB"/>
    <w:rsid w:val="56692311"/>
    <w:rsid w:val="56755B3D"/>
    <w:rsid w:val="56861332"/>
    <w:rsid w:val="56A417B8"/>
    <w:rsid w:val="56A517F9"/>
    <w:rsid w:val="56D122D8"/>
    <w:rsid w:val="56F856D6"/>
    <w:rsid w:val="570030F0"/>
    <w:rsid w:val="570606C5"/>
    <w:rsid w:val="570B4590"/>
    <w:rsid w:val="570D4AC7"/>
    <w:rsid w:val="57203535"/>
    <w:rsid w:val="572F2B3B"/>
    <w:rsid w:val="573B036F"/>
    <w:rsid w:val="5749395E"/>
    <w:rsid w:val="575179A3"/>
    <w:rsid w:val="57AA68B0"/>
    <w:rsid w:val="57B10631"/>
    <w:rsid w:val="57B1418D"/>
    <w:rsid w:val="57BE07E7"/>
    <w:rsid w:val="57C67E20"/>
    <w:rsid w:val="57C733F2"/>
    <w:rsid w:val="57CF6D09"/>
    <w:rsid w:val="57D65125"/>
    <w:rsid w:val="57D82A4D"/>
    <w:rsid w:val="57DC4251"/>
    <w:rsid w:val="57DE6B8B"/>
    <w:rsid w:val="57F7575C"/>
    <w:rsid w:val="57F94E93"/>
    <w:rsid w:val="581018B8"/>
    <w:rsid w:val="581A7F84"/>
    <w:rsid w:val="58282CCA"/>
    <w:rsid w:val="584802DD"/>
    <w:rsid w:val="584C2F6F"/>
    <w:rsid w:val="58513CBC"/>
    <w:rsid w:val="58536C60"/>
    <w:rsid w:val="5862192B"/>
    <w:rsid w:val="58651C08"/>
    <w:rsid w:val="588922A5"/>
    <w:rsid w:val="58965C83"/>
    <w:rsid w:val="58AC3187"/>
    <w:rsid w:val="58B36042"/>
    <w:rsid w:val="58B908B6"/>
    <w:rsid w:val="58C73078"/>
    <w:rsid w:val="58DF11CE"/>
    <w:rsid w:val="58E30B06"/>
    <w:rsid w:val="58EC5B4A"/>
    <w:rsid w:val="58F200EE"/>
    <w:rsid w:val="59033205"/>
    <w:rsid w:val="59080725"/>
    <w:rsid w:val="591518CD"/>
    <w:rsid w:val="592B3E8E"/>
    <w:rsid w:val="592B7777"/>
    <w:rsid w:val="592C71BA"/>
    <w:rsid w:val="593116CD"/>
    <w:rsid w:val="595E5992"/>
    <w:rsid w:val="59722042"/>
    <w:rsid w:val="598E0440"/>
    <w:rsid w:val="59937911"/>
    <w:rsid w:val="599B4D46"/>
    <w:rsid w:val="59C774F0"/>
    <w:rsid w:val="59E86AA0"/>
    <w:rsid w:val="59EC76FE"/>
    <w:rsid w:val="5A20146D"/>
    <w:rsid w:val="5A330F75"/>
    <w:rsid w:val="5A3548C6"/>
    <w:rsid w:val="5A4521A3"/>
    <w:rsid w:val="5A5F25C6"/>
    <w:rsid w:val="5A61633E"/>
    <w:rsid w:val="5A757CC5"/>
    <w:rsid w:val="5A923D45"/>
    <w:rsid w:val="5A9F204C"/>
    <w:rsid w:val="5AD352BE"/>
    <w:rsid w:val="5ADC4DB6"/>
    <w:rsid w:val="5AE006DC"/>
    <w:rsid w:val="5AF04CF4"/>
    <w:rsid w:val="5B09223D"/>
    <w:rsid w:val="5B14591D"/>
    <w:rsid w:val="5B242EC8"/>
    <w:rsid w:val="5B2F1760"/>
    <w:rsid w:val="5B4803F5"/>
    <w:rsid w:val="5B525165"/>
    <w:rsid w:val="5B7B1FF4"/>
    <w:rsid w:val="5BB00A78"/>
    <w:rsid w:val="5BC77431"/>
    <w:rsid w:val="5C0F7C88"/>
    <w:rsid w:val="5C146A6F"/>
    <w:rsid w:val="5C3D06E5"/>
    <w:rsid w:val="5C5269CE"/>
    <w:rsid w:val="5C565424"/>
    <w:rsid w:val="5C7560D1"/>
    <w:rsid w:val="5C9A3D9C"/>
    <w:rsid w:val="5C9A5B38"/>
    <w:rsid w:val="5CA77E6E"/>
    <w:rsid w:val="5CAF3AF1"/>
    <w:rsid w:val="5CB05B5D"/>
    <w:rsid w:val="5CB53785"/>
    <w:rsid w:val="5CCE4413"/>
    <w:rsid w:val="5CD66A45"/>
    <w:rsid w:val="5CDB4652"/>
    <w:rsid w:val="5CE67B94"/>
    <w:rsid w:val="5CEE19DF"/>
    <w:rsid w:val="5CF60894"/>
    <w:rsid w:val="5CFB1CAA"/>
    <w:rsid w:val="5D1C061D"/>
    <w:rsid w:val="5D2D4F91"/>
    <w:rsid w:val="5D6F248F"/>
    <w:rsid w:val="5D754252"/>
    <w:rsid w:val="5D995DEF"/>
    <w:rsid w:val="5DAD5E1B"/>
    <w:rsid w:val="5DDA2431"/>
    <w:rsid w:val="5DDC5CDC"/>
    <w:rsid w:val="5DDE2122"/>
    <w:rsid w:val="5DE05216"/>
    <w:rsid w:val="5DE94AEF"/>
    <w:rsid w:val="5E0327E4"/>
    <w:rsid w:val="5E336C95"/>
    <w:rsid w:val="5E4A70E9"/>
    <w:rsid w:val="5E673A84"/>
    <w:rsid w:val="5E764C6B"/>
    <w:rsid w:val="5E92227E"/>
    <w:rsid w:val="5EAC56AE"/>
    <w:rsid w:val="5EC86A9C"/>
    <w:rsid w:val="5ECF3317"/>
    <w:rsid w:val="5ED17273"/>
    <w:rsid w:val="5F0B2B4D"/>
    <w:rsid w:val="5F2D0822"/>
    <w:rsid w:val="5F345E70"/>
    <w:rsid w:val="5F400FA2"/>
    <w:rsid w:val="5F4F06A9"/>
    <w:rsid w:val="5F5C3A83"/>
    <w:rsid w:val="5FC727F0"/>
    <w:rsid w:val="5FDD19F3"/>
    <w:rsid w:val="60241477"/>
    <w:rsid w:val="60275CCF"/>
    <w:rsid w:val="6043754F"/>
    <w:rsid w:val="607C4CB8"/>
    <w:rsid w:val="607F12E5"/>
    <w:rsid w:val="60A96C6A"/>
    <w:rsid w:val="60AF6D05"/>
    <w:rsid w:val="60B116A2"/>
    <w:rsid w:val="60B41EAB"/>
    <w:rsid w:val="60EB3DE4"/>
    <w:rsid w:val="60F02CF4"/>
    <w:rsid w:val="610416ED"/>
    <w:rsid w:val="610B65D4"/>
    <w:rsid w:val="611264AB"/>
    <w:rsid w:val="61183586"/>
    <w:rsid w:val="61216CDE"/>
    <w:rsid w:val="61365AA1"/>
    <w:rsid w:val="61397F52"/>
    <w:rsid w:val="61700C15"/>
    <w:rsid w:val="61730705"/>
    <w:rsid w:val="61B15164"/>
    <w:rsid w:val="61B72CE8"/>
    <w:rsid w:val="61E810F3"/>
    <w:rsid w:val="62243E70"/>
    <w:rsid w:val="622F0E15"/>
    <w:rsid w:val="62361E5F"/>
    <w:rsid w:val="623F6839"/>
    <w:rsid w:val="625F0F28"/>
    <w:rsid w:val="62633E82"/>
    <w:rsid w:val="62651811"/>
    <w:rsid w:val="62821BB5"/>
    <w:rsid w:val="629A3DCB"/>
    <w:rsid w:val="62A34D16"/>
    <w:rsid w:val="62AA7382"/>
    <w:rsid w:val="62AD0991"/>
    <w:rsid w:val="62BF08E4"/>
    <w:rsid w:val="62C31EC7"/>
    <w:rsid w:val="62D90AF6"/>
    <w:rsid w:val="62F27063"/>
    <w:rsid w:val="62FB30A8"/>
    <w:rsid w:val="63065CC3"/>
    <w:rsid w:val="630E03B9"/>
    <w:rsid w:val="630E0A09"/>
    <w:rsid w:val="632F12D3"/>
    <w:rsid w:val="63426D47"/>
    <w:rsid w:val="635F051B"/>
    <w:rsid w:val="636B6110"/>
    <w:rsid w:val="637A638C"/>
    <w:rsid w:val="63A75776"/>
    <w:rsid w:val="63B15515"/>
    <w:rsid w:val="63B8347C"/>
    <w:rsid w:val="63BC45E5"/>
    <w:rsid w:val="63C27722"/>
    <w:rsid w:val="63C625A3"/>
    <w:rsid w:val="63CB2B63"/>
    <w:rsid w:val="63CD44FB"/>
    <w:rsid w:val="63E11276"/>
    <w:rsid w:val="6410452B"/>
    <w:rsid w:val="642A1A86"/>
    <w:rsid w:val="642F69F2"/>
    <w:rsid w:val="643103AD"/>
    <w:rsid w:val="64356063"/>
    <w:rsid w:val="644103C5"/>
    <w:rsid w:val="64437722"/>
    <w:rsid w:val="644A7559"/>
    <w:rsid w:val="644E725F"/>
    <w:rsid w:val="6483309C"/>
    <w:rsid w:val="64850D57"/>
    <w:rsid w:val="649966D5"/>
    <w:rsid w:val="64A70F94"/>
    <w:rsid w:val="64B21544"/>
    <w:rsid w:val="64BC01D7"/>
    <w:rsid w:val="64BE00A4"/>
    <w:rsid w:val="64E30FE7"/>
    <w:rsid w:val="64EE098A"/>
    <w:rsid w:val="64F60611"/>
    <w:rsid w:val="651861FE"/>
    <w:rsid w:val="652F5EF2"/>
    <w:rsid w:val="653F708A"/>
    <w:rsid w:val="655822E0"/>
    <w:rsid w:val="65667D17"/>
    <w:rsid w:val="65886FA5"/>
    <w:rsid w:val="658D52B6"/>
    <w:rsid w:val="65A672FB"/>
    <w:rsid w:val="65B17A4E"/>
    <w:rsid w:val="65B35574"/>
    <w:rsid w:val="65CF11EB"/>
    <w:rsid w:val="65D379C4"/>
    <w:rsid w:val="65D62020"/>
    <w:rsid w:val="65F937A4"/>
    <w:rsid w:val="660155CD"/>
    <w:rsid w:val="66033FC9"/>
    <w:rsid w:val="660A69FE"/>
    <w:rsid w:val="661B657D"/>
    <w:rsid w:val="66260197"/>
    <w:rsid w:val="662A7F2C"/>
    <w:rsid w:val="66300481"/>
    <w:rsid w:val="663B5198"/>
    <w:rsid w:val="66413191"/>
    <w:rsid w:val="664C587A"/>
    <w:rsid w:val="668F43D9"/>
    <w:rsid w:val="66A55805"/>
    <w:rsid w:val="66A575B3"/>
    <w:rsid w:val="66DB7049"/>
    <w:rsid w:val="66E00248"/>
    <w:rsid w:val="66E31AA9"/>
    <w:rsid w:val="66EC3434"/>
    <w:rsid w:val="675A65EF"/>
    <w:rsid w:val="6769765D"/>
    <w:rsid w:val="67843A37"/>
    <w:rsid w:val="679715F1"/>
    <w:rsid w:val="67B21D0B"/>
    <w:rsid w:val="680D50C4"/>
    <w:rsid w:val="681658F5"/>
    <w:rsid w:val="683055A2"/>
    <w:rsid w:val="6840661B"/>
    <w:rsid w:val="68572B2F"/>
    <w:rsid w:val="685748DD"/>
    <w:rsid w:val="685A079C"/>
    <w:rsid w:val="685A3F70"/>
    <w:rsid w:val="687A5531"/>
    <w:rsid w:val="689716B2"/>
    <w:rsid w:val="689F6A01"/>
    <w:rsid w:val="68A119E2"/>
    <w:rsid w:val="68B565DA"/>
    <w:rsid w:val="68B67C19"/>
    <w:rsid w:val="68BF08FC"/>
    <w:rsid w:val="68DD6DCE"/>
    <w:rsid w:val="68EA74FF"/>
    <w:rsid w:val="691C45A1"/>
    <w:rsid w:val="69200E55"/>
    <w:rsid w:val="6920525C"/>
    <w:rsid w:val="692137B1"/>
    <w:rsid w:val="692F0CEF"/>
    <w:rsid w:val="6937072F"/>
    <w:rsid w:val="693A33BA"/>
    <w:rsid w:val="69434E61"/>
    <w:rsid w:val="69493F89"/>
    <w:rsid w:val="69583B91"/>
    <w:rsid w:val="695C73A4"/>
    <w:rsid w:val="696108E7"/>
    <w:rsid w:val="696756EE"/>
    <w:rsid w:val="6968528F"/>
    <w:rsid w:val="69691537"/>
    <w:rsid w:val="696C4BC6"/>
    <w:rsid w:val="697863F9"/>
    <w:rsid w:val="69962AA0"/>
    <w:rsid w:val="69A76FE9"/>
    <w:rsid w:val="69AA4EE0"/>
    <w:rsid w:val="69AA4F67"/>
    <w:rsid w:val="69D613E2"/>
    <w:rsid w:val="69D94CAA"/>
    <w:rsid w:val="69DA1A2F"/>
    <w:rsid w:val="69DD3507"/>
    <w:rsid w:val="69FF6FDA"/>
    <w:rsid w:val="6A025476"/>
    <w:rsid w:val="6A0706ED"/>
    <w:rsid w:val="6A077FBF"/>
    <w:rsid w:val="6A092B65"/>
    <w:rsid w:val="6A0961A0"/>
    <w:rsid w:val="6A102F95"/>
    <w:rsid w:val="6A146374"/>
    <w:rsid w:val="6A1A0F4D"/>
    <w:rsid w:val="6A1A6526"/>
    <w:rsid w:val="6A1B04FF"/>
    <w:rsid w:val="6A223D44"/>
    <w:rsid w:val="6A507835"/>
    <w:rsid w:val="6A5328C9"/>
    <w:rsid w:val="6A622C78"/>
    <w:rsid w:val="6A6467C8"/>
    <w:rsid w:val="6A823347"/>
    <w:rsid w:val="6A823AF6"/>
    <w:rsid w:val="6AAF7C30"/>
    <w:rsid w:val="6AB238CF"/>
    <w:rsid w:val="6AB312F2"/>
    <w:rsid w:val="6ABC167B"/>
    <w:rsid w:val="6AD71D05"/>
    <w:rsid w:val="6AE45046"/>
    <w:rsid w:val="6B3355AF"/>
    <w:rsid w:val="6B6574B9"/>
    <w:rsid w:val="6B797260"/>
    <w:rsid w:val="6B7E0620"/>
    <w:rsid w:val="6BA1748E"/>
    <w:rsid w:val="6BA25E41"/>
    <w:rsid w:val="6BC25154"/>
    <w:rsid w:val="6BE648F5"/>
    <w:rsid w:val="6BEC2939"/>
    <w:rsid w:val="6BEE4A33"/>
    <w:rsid w:val="6BFD0794"/>
    <w:rsid w:val="6C4C227F"/>
    <w:rsid w:val="6C6134C2"/>
    <w:rsid w:val="6C622FDE"/>
    <w:rsid w:val="6C85466C"/>
    <w:rsid w:val="6CC11DD9"/>
    <w:rsid w:val="6CCA4B67"/>
    <w:rsid w:val="6CD62702"/>
    <w:rsid w:val="6CD92F23"/>
    <w:rsid w:val="6CE10C19"/>
    <w:rsid w:val="6CE12EAF"/>
    <w:rsid w:val="6CE93359"/>
    <w:rsid w:val="6CEC6EA6"/>
    <w:rsid w:val="6CF90CE9"/>
    <w:rsid w:val="6D1113CD"/>
    <w:rsid w:val="6D2D1A21"/>
    <w:rsid w:val="6D4E60A1"/>
    <w:rsid w:val="6D4F0278"/>
    <w:rsid w:val="6D6808F5"/>
    <w:rsid w:val="6D69475D"/>
    <w:rsid w:val="6D7005A7"/>
    <w:rsid w:val="6D772360"/>
    <w:rsid w:val="6D782001"/>
    <w:rsid w:val="6D9B50B1"/>
    <w:rsid w:val="6D9C6FA0"/>
    <w:rsid w:val="6DB86367"/>
    <w:rsid w:val="6E0154CC"/>
    <w:rsid w:val="6E07553B"/>
    <w:rsid w:val="6E077231"/>
    <w:rsid w:val="6E25722B"/>
    <w:rsid w:val="6E4A47B9"/>
    <w:rsid w:val="6E520E99"/>
    <w:rsid w:val="6E582BA7"/>
    <w:rsid w:val="6E934195"/>
    <w:rsid w:val="6E9B59F9"/>
    <w:rsid w:val="6EC32CCC"/>
    <w:rsid w:val="6F0A08FB"/>
    <w:rsid w:val="6F165CEF"/>
    <w:rsid w:val="6F201B9C"/>
    <w:rsid w:val="6F37510F"/>
    <w:rsid w:val="6F446896"/>
    <w:rsid w:val="6F4A0729"/>
    <w:rsid w:val="6F7A71C5"/>
    <w:rsid w:val="6F986024"/>
    <w:rsid w:val="6FA77F87"/>
    <w:rsid w:val="6FB22D40"/>
    <w:rsid w:val="6FBA0FDC"/>
    <w:rsid w:val="70001CFE"/>
    <w:rsid w:val="700C06A3"/>
    <w:rsid w:val="702051C7"/>
    <w:rsid w:val="702B2DD9"/>
    <w:rsid w:val="70383246"/>
    <w:rsid w:val="704A18A1"/>
    <w:rsid w:val="7052604A"/>
    <w:rsid w:val="705648DB"/>
    <w:rsid w:val="70565AC6"/>
    <w:rsid w:val="706D4254"/>
    <w:rsid w:val="707D6EAA"/>
    <w:rsid w:val="708C7D4B"/>
    <w:rsid w:val="709579CF"/>
    <w:rsid w:val="70C3631C"/>
    <w:rsid w:val="70CB5E2B"/>
    <w:rsid w:val="70E90692"/>
    <w:rsid w:val="711710AD"/>
    <w:rsid w:val="71222989"/>
    <w:rsid w:val="715B22D7"/>
    <w:rsid w:val="71710B6D"/>
    <w:rsid w:val="717C3606"/>
    <w:rsid w:val="71A4100A"/>
    <w:rsid w:val="71CD5C10"/>
    <w:rsid w:val="71F54176"/>
    <w:rsid w:val="72053694"/>
    <w:rsid w:val="722567B2"/>
    <w:rsid w:val="724C7265"/>
    <w:rsid w:val="72516841"/>
    <w:rsid w:val="725A49F9"/>
    <w:rsid w:val="72652FFD"/>
    <w:rsid w:val="726B686B"/>
    <w:rsid w:val="729042FB"/>
    <w:rsid w:val="729D3834"/>
    <w:rsid w:val="729D535B"/>
    <w:rsid w:val="72C0222A"/>
    <w:rsid w:val="72C25048"/>
    <w:rsid w:val="72C43D9B"/>
    <w:rsid w:val="72C44AE8"/>
    <w:rsid w:val="72C75655"/>
    <w:rsid w:val="72C9287B"/>
    <w:rsid w:val="72E27499"/>
    <w:rsid w:val="72E94AE1"/>
    <w:rsid w:val="72EA5DE8"/>
    <w:rsid w:val="72EB0A43"/>
    <w:rsid w:val="72F16DB0"/>
    <w:rsid w:val="72FB6166"/>
    <w:rsid w:val="72FF0532"/>
    <w:rsid w:val="73004AA8"/>
    <w:rsid w:val="730B1816"/>
    <w:rsid w:val="730E028E"/>
    <w:rsid w:val="73187EC6"/>
    <w:rsid w:val="732C6A6F"/>
    <w:rsid w:val="733F7533"/>
    <w:rsid w:val="73520AC2"/>
    <w:rsid w:val="73656370"/>
    <w:rsid w:val="73851577"/>
    <w:rsid w:val="739822F1"/>
    <w:rsid w:val="73A00B05"/>
    <w:rsid w:val="73B6122B"/>
    <w:rsid w:val="73BA6C22"/>
    <w:rsid w:val="73C66DBA"/>
    <w:rsid w:val="73C751D2"/>
    <w:rsid w:val="73EC470E"/>
    <w:rsid w:val="741223FB"/>
    <w:rsid w:val="741D2E7E"/>
    <w:rsid w:val="74590D14"/>
    <w:rsid w:val="74806F69"/>
    <w:rsid w:val="74827185"/>
    <w:rsid w:val="748710F4"/>
    <w:rsid w:val="749B1037"/>
    <w:rsid w:val="74B20466"/>
    <w:rsid w:val="74C71721"/>
    <w:rsid w:val="74CC05DA"/>
    <w:rsid w:val="74D054CE"/>
    <w:rsid w:val="74E5590E"/>
    <w:rsid w:val="74EE481B"/>
    <w:rsid w:val="74F3755F"/>
    <w:rsid w:val="74F84FB8"/>
    <w:rsid w:val="750B2B1B"/>
    <w:rsid w:val="7516167C"/>
    <w:rsid w:val="75272EBE"/>
    <w:rsid w:val="75330480"/>
    <w:rsid w:val="753F1D05"/>
    <w:rsid w:val="7551789E"/>
    <w:rsid w:val="75752846"/>
    <w:rsid w:val="75A37EA3"/>
    <w:rsid w:val="75A454EF"/>
    <w:rsid w:val="75B871D5"/>
    <w:rsid w:val="75D37F89"/>
    <w:rsid w:val="760140DA"/>
    <w:rsid w:val="760737FE"/>
    <w:rsid w:val="762304F4"/>
    <w:rsid w:val="7625426C"/>
    <w:rsid w:val="762A419C"/>
    <w:rsid w:val="762C4D1B"/>
    <w:rsid w:val="763C2917"/>
    <w:rsid w:val="765C0690"/>
    <w:rsid w:val="766D176F"/>
    <w:rsid w:val="76793407"/>
    <w:rsid w:val="768764F7"/>
    <w:rsid w:val="768E2FB2"/>
    <w:rsid w:val="769B2141"/>
    <w:rsid w:val="76A371D7"/>
    <w:rsid w:val="76A665CB"/>
    <w:rsid w:val="76B07755"/>
    <w:rsid w:val="76B30D74"/>
    <w:rsid w:val="76D55317"/>
    <w:rsid w:val="76D81BAD"/>
    <w:rsid w:val="76EA2BCB"/>
    <w:rsid w:val="76F1566C"/>
    <w:rsid w:val="76FF250E"/>
    <w:rsid w:val="77031EE1"/>
    <w:rsid w:val="770D651C"/>
    <w:rsid w:val="771C0960"/>
    <w:rsid w:val="775318BD"/>
    <w:rsid w:val="776A6E80"/>
    <w:rsid w:val="777D59E2"/>
    <w:rsid w:val="777D6A70"/>
    <w:rsid w:val="777F6BA9"/>
    <w:rsid w:val="77897CD3"/>
    <w:rsid w:val="778D2F2C"/>
    <w:rsid w:val="779615C1"/>
    <w:rsid w:val="779C7CBA"/>
    <w:rsid w:val="77B81B3F"/>
    <w:rsid w:val="77BD2689"/>
    <w:rsid w:val="77EC0341"/>
    <w:rsid w:val="77F170CA"/>
    <w:rsid w:val="780359B0"/>
    <w:rsid w:val="78036F50"/>
    <w:rsid w:val="782A5B6A"/>
    <w:rsid w:val="784D5D74"/>
    <w:rsid w:val="786F17CF"/>
    <w:rsid w:val="78701BA4"/>
    <w:rsid w:val="787F167A"/>
    <w:rsid w:val="78887DCF"/>
    <w:rsid w:val="788A2AAC"/>
    <w:rsid w:val="78985F8B"/>
    <w:rsid w:val="78BB5DC5"/>
    <w:rsid w:val="78BE5DD6"/>
    <w:rsid w:val="78CA61DF"/>
    <w:rsid w:val="78D157D3"/>
    <w:rsid w:val="78D15FE5"/>
    <w:rsid w:val="790516CD"/>
    <w:rsid w:val="790C34C1"/>
    <w:rsid w:val="79100738"/>
    <w:rsid w:val="792C515A"/>
    <w:rsid w:val="793279C5"/>
    <w:rsid w:val="79334EF2"/>
    <w:rsid w:val="79342E5B"/>
    <w:rsid w:val="794B0467"/>
    <w:rsid w:val="7961380D"/>
    <w:rsid w:val="796C3F60"/>
    <w:rsid w:val="79806E6B"/>
    <w:rsid w:val="798219D5"/>
    <w:rsid w:val="798C0225"/>
    <w:rsid w:val="79A656C4"/>
    <w:rsid w:val="79B037C2"/>
    <w:rsid w:val="79D803F9"/>
    <w:rsid w:val="79DE62AA"/>
    <w:rsid w:val="79E8053C"/>
    <w:rsid w:val="7A2E7EE2"/>
    <w:rsid w:val="7A347284"/>
    <w:rsid w:val="7A735F3D"/>
    <w:rsid w:val="7A7632E8"/>
    <w:rsid w:val="7AB21E46"/>
    <w:rsid w:val="7AF65F7E"/>
    <w:rsid w:val="7AFD7566"/>
    <w:rsid w:val="7B04776C"/>
    <w:rsid w:val="7B0D0C43"/>
    <w:rsid w:val="7B0E52FC"/>
    <w:rsid w:val="7B234D9F"/>
    <w:rsid w:val="7B3B62E0"/>
    <w:rsid w:val="7B5A6766"/>
    <w:rsid w:val="7B762E74"/>
    <w:rsid w:val="7B876E2F"/>
    <w:rsid w:val="7B95154C"/>
    <w:rsid w:val="7BA23C69"/>
    <w:rsid w:val="7BA537C7"/>
    <w:rsid w:val="7BBE3369"/>
    <w:rsid w:val="7C116F80"/>
    <w:rsid w:val="7C180E7F"/>
    <w:rsid w:val="7C18217D"/>
    <w:rsid w:val="7C1D1542"/>
    <w:rsid w:val="7C254288"/>
    <w:rsid w:val="7C272F8A"/>
    <w:rsid w:val="7C2B3F24"/>
    <w:rsid w:val="7C2E1CB9"/>
    <w:rsid w:val="7C441242"/>
    <w:rsid w:val="7C7058BD"/>
    <w:rsid w:val="7C732DA1"/>
    <w:rsid w:val="7C747515"/>
    <w:rsid w:val="7C865339"/>
    <w:rsid w:val="7CCD298A"/>
    <w:rsid w:val="7CD460A4"/>
    <w:rsid w:val="7CE06488"/>
    <w:rsid w:val="7D364BA7"/>
    <w:rsid w:val="7D384C6A"/>
    <w:rsid w:val="7D8E4A21"/>
    <w:rsid w:val="7D99109C"/>
    <w:rsid w:val="7D9F59FC"/>
    <w:rsid w:val="7DA01B54"/>
    <w:rsid w:val="7DC4436B"/>
    <w:rsid w:val="7DE16E38"/>
    <w:rsid w:val="7DE65799"/>
    <w:rsid w:val="7DF00E36"/>
    <w:rsid w:val="7E01736D"/>
    <w:rsid w:val="7E050638"/>
    <w:rsid w:val="7E054D2B"/>
    <w:rsid w:val="7E136BC8"/>
    <w:rsid w:val="7E1749FD"/>
    <w:rsid w:val="7E1B1DA9"/>
    <w:rsid w:val="7E2043A0"/>
    <w:rsid w:val="7E6D4A02"/>
    <w:rsid w:val="7E6E3398"/>
    <w:rsid w:val="7EA37F3B"/>
    <w:rsid w:val="7EAB552B"/>
    <w:rsid w:val="7EAE6E91"/>
    <w:rsid w:val="7EB123DD"/>
    <w:rsid w:val="7EB22415"/>
    <w:rsid w:val="7EC11809"/>
    <w:rsid w:val="7EC12A65"/>
    <w:rsid w:val="7ED973A3"/>
    <w:rsid w:val="7EDC3936"/>
    <w:rsid w:val="7F0C2A46"/>
    <w:rsid w:val="7F2E7C55"/>
    <w:rsid w:val="7F315A30"/>
    <w:rsid w:val="7F491C9F"/>
    <w:rsid w:val="7F4F1298"/>
    <w:rsid w:val="7F601E71"/>
    <w:rsid w:val="7F681AB7"/>
    <w:rsid w:val="7F7122D0"/>
    <w:rsid w:val="7F7818D1"/>
    <w:rsid w:val="7F8C476B"/>
    <w:rsid w:val="7F8C6D0F"/>
    <w:rsid w:val="7F9049FC"/>
    <w:rsid w:val="7FB12F4E"/>
    <w:rsid w:val="7FBF76AE"/>
    <w:rsid w:val="7FC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spacing w:line="360" w:lineRule="auto"/>
      <w:jc w:val="center"/>
      <w:outlineLvl w:val="0"/>
    </w:pPr>
    <w:rPr>
      <w:b/>
      <w:bCs/>
      <w:kern w:val="44"/>
      <w:sz w:val="44"/>
      <w:szCs w:val="44"/>
    </w:rPr>
  </w:style>
  <w:style w:type="paragraph" w:styleId="4">
    <w:name w:val="heading 2"/>
    <w:basedOn w:val="1"/>
    <w:next w:val="1"/>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5">
    <w:name w:val="heading 3"/>
    <w:basedOn w:val="1"/>
    <w:next w:val="1"/>
    <w:link w:val="58"/>
    <w:qFormat/>
    <w:uiPriority w:val="0"/>
    <w:pPr>
      <w:keepNext/>
      <w:keepLines/>
      <w:numPr>
        <w:ilvl w:val="2"/>
        <w:numId w:val="2"/>
      </w:numPr>
      <w:spacing w:before="120" w:after="120" w:line="360" w:lineRule="auto"/>
      <w:jc w:val="center"/>
      <w:outlineLvl w:val="2"/>
    </w:pPr>
    <w:rPr>
      <w:rFonts w:eastAsia="??"/>
      <w:b/>
      <w:kern w:val="0"/>
      <w:sz w:val="32"/>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qFormat/>
    <w:uiPriority w:val="0"/>
    <w:pPr>
      <w:keepNext/>
      <w:keepLines/>
      <w:spacing w:before="280" w:after="290" w:line="376" w:lineRule="auto"/>
      <w:outlineLvl w:val="4"/>
    </w:pPr>
    <w:rPr>
      <w:rFonts w:eastAsia="??"/>
      <w:b/>
      <w:bCs/>
      <w:sz w:val="28"/>
      <w:szCs w:val="28"/>
    </w:rPr>
  </w:style>
  <w:style w:type="paragraph" w:styleId="8">
    <w:name w:val="heading 6"/>
    <w:basedOn w:val="1"/>
    <w:next w:val="1"/>
    <w:qFormat/>
    <w:uiPriority w:val="0"/>
    <w:pPr>
      <w:keepNext/>
      <w:keepLines/>
      <w:numPr>
        <w:ilvl w:val="5"/>
        <w:numId w:val="2"/>
      </w:numPr>
      <w:spacing w:before="240" w:after="64" w:line="319" w:lineRule="auto"/>
      <w:jc w:val="left"/>
      <w:outlineLvl w:val="5"/>
    </w:pPr>
    <w:rPr>
      <w:rFonts w:ascii="Arial" w:hAnsi="Arial" w:eastAsia="??" w:cs="Arial"/>
      <w:b/>
      <w:bCs/>
      <w:kern w:val="0"/>
      <w:sz w:val="24"/>
      <w:szCs w:val="28"/>
    </w:rPr>
  </w:style>
  <w:style w:type="paragraph" w:styleId="9">
    <w:name w:val="heading 7"/>
    <w:basedOn w:val="1"/>
    <w:next w:val="1"/>
    <w:qFormat/>
    <w:uiPriority w:val="0"/>
    <w:pPr>
      <w:keepNext/>
      <w:keepLines/>
      <w:numPr>
        <w:ilvl w:val="6"/>
        <w:numId w:val="2"/>
      </w:numPr>
      <w:spacing w:before="240" w:after="64" w:line="319" w:lineRule="auto"/>
      <w:jc w:val="left"/>
      <w:outlineLvl w:val="6"/>
    </w:pPr>
    <w:rPr>
      <w:rFonts w:eastAsia="??"/>
      <w:b/>
      <w:bCs/>
      <w:kern w:val="0"/>
      <w:sz w:val="24"/>
      <w:szCs w:val="28"/>
    </w:rPr>
  </w:style>
  <w:style w:type="paragraph" w:styleId="10">
    <w:name w:val="heading 8"/>
    <w:basedOn w:val="1"/>
    <w:next w:val="1"/>
    <w:qFormat/>
    <w:uiPriority w:val="0"/>
    <w:pPr>
      <w:keepNext/>
      <w:keepLines/>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qFormat/>
    <w:uiPriority w:val="0"/>
    <w:pPr>
      <w:keepNext/>
      <w:keepLines/>
      <w:numPr>
        <w:ilvl w:val="8"/>
        <w:numId w:val="2"/>
      </w:numPr>
      <w:spacing w:before="240" w:after="64" w:line="319" w:lineRule="auto"/>
      <w:jc w:val="left"/>
      <w:outlineLvl w:val="8"/>
    </w:pPr>
    <w:rPr>
      <w:rFonts w:ascii="Arial" w:hAnsi="Arial" w:eastAsia="??" w:cs="Arial"/>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atLeast"/>
      <w:ind w:firstLine="570"/>
    </w:pPr>
    <w:rPr>
      <w:rFonts w:ascii="??" w:hAnsi="??" w:eastAsia="??" w:cs="宋体"/>
      <w:sz w:val="28"/>
      <w:szCs w:val="28"/>
    </w:rPr>
  </w:style>
  <w:style w:type="paragraph" w:styleId="12">
    <w:name w:val="toc 7"/>
    <w:basedOn w:val="1"/>
    <w:next w:val="1"/>
    <w:qFormat/>
    <w:uiPriority w:val="0"/>
    <w:pPr>
      <w:ind w:left="1260"/>
      <w:jc w:val="left"/>
    </w:pPr>
    <w:rPr>
      <w:sz w:val="18"/>
      <w:szCs w:val="18"/>
    </w:rPr>
  </w:style>
  <w:style w:type="paragraph" w:styleId="13">
    <w:name w:val="Normal Indent"/>
    <w:basedOn w:val="1"/>
    <w:link w:val="63"/>
    <w:qFormat/>
    <w:uiPriority w:val="0"/>
    <w:pPr>
      <w:ind w:firstLine="420"/>
      <w:jc w:val="left"/>
    </w:pPr>
    <w:rPr>
      <w:rFonts w:eastAsia="??"/>
      <w:kern w:val="0"/>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rPr>
      <w:rFonts w:eastAsia="??"/>
      <w:sz w:val="28"/>
      <w:szCs w:val="28"/>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next w:val="18"/>
    <w:link w:val="64"/>
    <w:qFormat/>
    <w:uiPriority w:val="0"/>
    <w:pPr>
      <w:jc w:val="left"/>
    </w:pPr>
    <w:rPr>
      <w:szCs w:val="20"/>
    </w:rPr>
  </w:style>
  <w:style w:type="paragraph" w:styleId="18">
    <w:name w:val="toc 9"/>
    <w:basedOn w:val="1"/>
    <w:next w:val="1"/>
    <w:qFormat/>
    <w:uiPriority w:val="0"/>
    <w:pPr>
      <w:ind w:left="1680"/>
      <w:jc w:val="left"/>
    </w:pPr>
    <w:rPr>
      <w:sz w:val="18"/>
      <w:szCs w:val="18"/>
    </w:rPr>
  </w:style>
  <w:style w:type="paragraph" w:styleId="19">
    <w:name w:val="Body Text 3"/>
    <w:basedOn w:val="1"/>
    <w:qFormat/>
    <w:uiPriority w:val="0"/>
    <w:pPr>
      <w:snapToGrid w:val="0"/>
      <w:spacing w:before="50" w:after="50"/>
    </w:pPr>
    <w:rPr>
      <w:rFonts w:hAnsi="宋体" w:eastAsia="仿宋_GB2312"/>
      <w:b/>
      <w:bCs/>
      <w:sz w:val="24"/>
      <w:szCs w:val="20"/>
    </w:rPr>
  </w:style>
  <w:style w:type="paragraph" w:styleId="20">
    <w:name w:val="Body Text"/>
    <w:basedOn w:val="1"/>
    <w:next w:val="21"/>
    <w:qFormat/>
    <w:uiPriority w:val="0"/>
    <w:rPr>
      <w:rFonts w:eastAsia="??"/>
      <w:sz w:val="24"/>
      <w:szCs w:val="28"/>
    </w:rPr>
  </w:style>
  <w:style w:type="paragraph" w:styleId="21">
    <w:name w:val="Body Text First Indent"/>
    <w:basedOn w:val="20"/>
    <w:next w:val="22"/>
    <w:qFormat/>
    <w:uiPriority w:val="0"/>
    <w:pPr>
      <w:autoSpaceDE w:val="0"/>
      <w:autoSpaceDN w:val="0"/>
      <w:adjustRightInd w:val="0"/>
      <w:spacing w:line="360" w:lineRule="auto"/>
      <w:ind w:firstLine="420"/>
    </w:pPr>
    <w:rPr>
      <w:rFonts w:ascii="宋体" w:eastAsia="宋体"/>
      <w:szCs w:val="20"/>
      <w:lang w:val="zh-CN"/>
    </w:rPr>
  </w:style>
  <w:style w:type="paragraph" w:styleId="22">
    <w:name w:val="toc 6"/>
    <w:basedOn w:val="1"/>
    <w:next w:val="1"/>
    <w:qFormat/>
    <w:uiPriority w:val="0"/>
    <w:pPr>
      <w:ind w:left="1050"/>
      <w:jc w:val="left"/>
    </w:pPr>
    <w:rPr>
      <w:sz w:val="18"/>
      <w:szCs w:val="18"/>
    </w:rPr>
  </w:style>
  <w:style w:type="paragraph" w:styleId="23">
    <w:name w:val="Block Text"/>
    <w:basedOn w:val="1"/>
    <w:unhideWhenUsed/>
    <w:qFormat/>
    <w:uiPriority w:val="99"/>
    <w:pPr>
      <w:spacing w:after="120"/>
      <w:ind w:left="1440" w:leftChars="700" w:right="144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65"/>
    <w:qFormat/>
    <w:uiPriority w:val="0"/>
    <w:rPr>
      <w:rFonts w:ascii="??" w:hAnsi="??" w:eastAsia="??" w:cs="宋体"/>
      <w:szCs w:val="21"/>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djustRightInd w:val="0"/>
      <w:jc w:val="right"/>
      <w:textAlignment w:val="baseline"/>
    </w:pPr>
    <w:rPr>
      <w:rFonts w:eastAsia="??_GB2312"/>
      <w:b/>
      <w:kern w:val="0"/>
      <w:sz w:val="28"/>
      <w:szCs w:val="28"/>
    </w:rPr>
  </w:style>
  <w:style w:type="paragraph" w:styleId="29">
    <w:name w:val="Body Text Indent 2"/>
    <w:basedOn w:val="1"/>
    <w:qFormat/>
    <w:uiPriority w:val="0"/>
    <w:pPr>
      <w:spacing w:line="520" w:lineRule="exact"/>
      <w:ind w:firstLine="303" w:firstLineChars="303"/>
    </w:pPr>
    <w:rPr>
      <w:rFonts w:ascii="??" w:hAnsi="??" w:eastAsia="??" w:cs="宋体"/>
      <w:sz w:val="28"/>
      <w:szCs w:val="28"/>
    </w:rPr>
  </w:style>
  <w:style w:type="paragraph" w:styleId="30">
    <w:name w:val="Balloon Text"/>
    <w:basedOn w:val="1"/>
    <w:qFormat/>
    <w:uiPriority w:val="0"/>
    <w:rPr>
      <w:rFonts w:eastAsia="??"/>
      <w:sz w:val="18"/>
      <w:szCs w:val="18"/>
    </w:rPr>
  </w:style>
  <w:style w:type="paragraph" w:styleId="31">
    <w:name w:val="footer"/>
    <w:basedOn w:val="1"/>
    <w:link w:val="66"/>
    <w:qFormat/>
    <w:uiPriority w:val="99"/>
    <w:pPr>
      <w:tabs>
        <w:tab w:val="center" w:pos="4153"/>
        <w:tab w:val="right" w:pos="8306"/>
      </w:tabs>
      <w:snapToGrid w:val="0"/>
      <w:jc w:val="left"/>
    </w:pPr>
    <w:rPr>
      <w:rFonts w:eastAsia="??"/>
      <w:sz w:val="18"/>
      <w:szCs w:val="2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
      <w:sz w:val="18"/>
      <w:szCs w:val="2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footnote text"/>
    <w:basedOn w:val="1"/>
    <w:unhideWhenUsed/>
    <w:qFormat/>
    <w:uiPriority w:val="99"/>
    <w:pPr>
      <w:snapToGrid w:val="0"/>
      <w:jc w:val="left"/>
    </w:pPr>
    <w:rPr>
      <w:rFonts w:hint="eastAsia"/>
      <w:sz w:val="18"/>
    </w:rPr>
  </w:style>
  <w:style w:type="paragraph" w:styleId="36">
    <w:name w:val="Body Text Indent 3"/>
    <w:basedOn w:val="1"/>
    <w:qFormat/>
    <w:uiPriority w:val="0"/>
    <w:pPr>
      <w:spacing w:line="520" w:lineRule="exact"/>
      <w:ind w:firstLine="547"/>
    </w:pPr>
    <w:rPr>
      <w:rFonts w:eastAsia="??"/>
      <w:sz w:val="28"/>
      <w:szCs w:val="28"/>
    </w:rPr>
  </w:style>
  <w:style w:type="paragraph" w:styleId="37">
    <w:name w:val="table of figures"/>
    <w:basedOn w:val="1"/>
    <w:next w:val="1"/>
    <w:qFormat/>
    <w:uiPriority w:val="0"/>
    <w:pPr>
      <w:ind w:left="560" w:hanging="560"/>
      <w:jc w:val="left"/>
    </w:pPr>
    <w:rPr>
      <w:rFonts w:ascii="Calibri" w:hAnsi="Calibri" w:eastAsia="??" w:cs="宋体"/>
      <w:smallCaps/>
      <w:sz w:val="20"/>
      <w:szCs w:val="28"/>
    </w:rPr>
  </w:style>
  <w:style w:type="paragraph" w:styleId="38">
    <w:name w:val="toc 2"/>
    <w:basedOn w:val="1"/>
    <w:next w:val="1"/>
    <w:qFormat/>
    <w:uiPriority w:val="39"/>
    <w:pPr>
      <w:ind w:left="210"/>
      <w:jc w:val="left"/>
    </w:pPr>
    <w:rPr>
      <w:smallCaps/>
      <w:sz w:val="20"/>
      <w:szCs w:val="20"/>
    </w:rPr>
  </w:style>
  <w:style w:type="paragraph" w:styleId="39">
    <w:name w:val="Body Text 2"/>
    <w:basedOn w:val="1"/>
    <w:qFormat/>
    <w:uiPriority w:val="0"/>
    <w:pPr>
      <w:spacing w:after="120" w:line="480" w:lineRule="auto"/>
    </w:p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41">
    <w:name w:val="Normal (Web)"/>
    <w:basedOn w:val="1"/>
    <w:qFormat/>
    <w:uiPriority w:val="99"/>
    <w:pPr>
      <w:spacing w:before="100" w:beforeAutospacing="1" w:after="100" w:afterAutospacing="1"/>
      <w:jc w:val="left"/>
    </w:pPr>
    <w:rPr>
      <w:rFonts w:ascii="??" w:hAnsi="??" w:eastAsia="??" w:cs="宋体"/>
      <w:kern w:val="0"/>
      <w:sz w:val="24"/>
    </w:rPr>
  </w:style>
  <w:style w:type="paragraph" w:styleId="42">
    <w:name w:val="Title"/>
    <w:basedOn w:val="1"/>
    <w:qFormat/>
    <w:uiPriority w:val="0"/>
    <w:pPr>
      <w:overflowPunct w:val="0"/>
      <w:autoSpaceDE w:val="0"/>
      <w:autoSpaceDN w:val="0"/>
      <w:adjustRightInd w:val="0"/>
      <w:jc w:val="center"/>
      <w:textAlignment w:val="baseline"/>
    </w:pPr>
    <w:rPr>
      <w:rFonts w:eastAsia="??"/>
      <w:b/>
      <w:kern w:val="0"/>
      <w:sz w:val="24"/>
      <w:szCs w:val="28"/>
      <w:lang w:val="en-GB"/>
    </w:rPr>
  </w:style>
  <w:style w:type="paragraph" w:styleId="43">
    <w:name w:val="annotation subject"/>
    <w:basedOn w:val="17"/>
    <w:next w:val="17"/>
    <w:link w:val="67"/>
    <w:qFormat/>
    <w:uiPriority w:val="0"/>
    <w:rPr>
      <w:b/>
      <w:bCs/>
      <w:szCs w:val="24"/>
    </w:rPr>
  </w:style>
  <w:style w:type="paragraph" w:styleId="44">
    <w:name w:val="Body Text First Indent 2"/>
    <w:basedOn w:val="2"/>
    <w:unhideWhenUsed/>
    <w:qFormat/>
    <w:uiPriority w:val="99"/>
    <w:pPr>
      <w:spacing w:after="120" w:line="240" w:lineRule="auto"/>
      <w:ind w:left="420" w:leftChars="200" w:firstLine="420"/>
    </w:pPr>
    <w:rPr>
      <w:rFonts w:ascii="Calibri" w:eastAsia="宋体"/>
      <w:sz w:val="21"/>
      <w:szCs w:val="22"/>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TML Definition"/>
    <w:qFormat/>
    <w:uiPriority w:val="0"/>
    <w:rPr>
      <w:i/>
      <w:iCs/>
    </w:rPr>
  </w:style>
  <w:style w:type="character" w:styleId="52">
    <w:name w:val="Hyperlink"/>
    <w:qFormat/>
    <w:uiPriority w:val="99"/>
    <w:rPr>
      <w:color w:val="0000FF"/>
      <w:u w:val="single"/>
    </w:rPr>
  </w:style>
  <w:style w:type="character" w:styleId="53">
    <w:name w:val="HTML Code"/>
    <w:qFormat/>
    <w:uiPriority w:val="0"/>
    <w:rPr>
      <w:rFonts w:hint="default" w:ascii="Consolas" w:hAnsi="Consolas" w:eastAsia="Consolas" w:cs="Consolas"/>
      <w:sz w:val="21"/>
      <w:szCs w:val="21"/>
    </w:rPr>
  </w:style>
  <w:style w:type="character" w:styleId="54">
    <w:name w:val="annotation reference"/>
    <w:qFormat/>
    <w:uiPriority w:val="0"/>
    <w:rPr>
      <w:sz w:val="21"/>
    </w:rPr>
  </w:style>
  <w:style w:type="character" w:styleId="55">
    <w:name w:val="footnote reference"/>
    <w:unhideWhenUsed/>
    <w:qFormat/>
    <w:uiPriority w:val="99"/>
    <w:rPr>
      <w:rFonts w:hint="default" w:ascii="Times New Roman"/>
      <w:sz w:val="24"/>
      <w:vertAlign w:val="superscript"/>
    </w:rPr>
  </w:style>
  <w:style w:type="character" w:styleId="56">
    <w:name w:val="HTML Keyboard"/>
    <w:qFormat/>
    <w:uiPriority w:val="0"/>
    <w:rPr>
      <w:rFonts w:hint="default" w:ascii="Consolas" w:hAnsi="Consolas" w:eastAsia="Consolas" w:cs="Consolas"/>
      <w:sz w:val="21"/>
      <w:szCs w:val="21"/>
    </w:rPr>
  </w:style>
  <w:style w:type="character" w:styleId="57">
    <w:name w:val="HTML Sample"/>
    <w:qFormat/>
    <w:uiPriority w:val="0"/>
    <w:rPr>
      <w:rFonts w:ascii="Consolas" w:hAnsi="Consolas" w:eastAsia="Consolas" w:cs="Consolas"/>
      <w:sz w:val="21"/>
      <w:szCs w:val="21"/>
    </w:rPr>
  </w:style>
  <w:style w:type="character" w:customStyle="1" w:styleId="58">
    <w:name w:val="标题 3 Char"/>
    <w:link w:val="5"/>
    <w:qFormat/>
    <w:uiPriority w:val="0"/>
    <w:rPr>
      <w:rFonts w:eastAsia="??"/>
      <w:b/>
      <w:sz w:val="32"/>
      <w:szCs w:val="28"/>
    </w:rPr>
  </w:style>
  <w:style w:type="paragraph" w:customStyle="1" w:styleId="59">
    <w:name w:val="Default"/>
    <w:next w:val="60"/>
    <w:qFormat/>
    <w:uiPriority w:val="0"/>
    <w:pPr>
      <w:widowControl w:val="0"/>
      <w:autoSpaceDE w:val="0"/>
      <w:autoSpaceDN w:val="0"/>
      <w:adjustRightInd w:val="0"/>
      <w:jc w:val="both"/>
    </w:pPr>
    <w:rPr>
      <w:rFonts w:ascii="仿宋_GB2312" w:hAnsi="Times New Roman" w:eastAsia="仿宋_GB2312" w:cs="仿宋_GB2312"/>
      <w:color w:val="000000"/>
      <w:sz w:val="24"/>
      <w:szCs w:val="24"/>
      <w:lang w:val="en-US" w:eastAsia="zh-CN" w:bidi="ar-SA"/>
    </w:rPr>
  </w:style>
  <w:style w:type="paragraph" w:customStyle="1" w:styleId="60">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1">
    <w:name w:val="正文文本首行缩进 2"/>
    <w:basedOn w:val="2"/>
    <w:qFormat/>
    <w:uiPriority w:val="99"/>
    <w:pPr>
      <w:spacing w:line="200" w:lineRule="atLeast"/>
      <w:ind w:firstLine="420"/>
    </w:pPr>
    <w:rPr>
      <w:rFonts w:ascii="宋体" w:hAnsi="Courier New"/>
      <w:spacing w:val="-4"/>
      <w:sz w:val="18"/>
    </w:rPr>
  </w:style>
  <w:style w:type="character" w:customStyle="1" w:styleId="62">
    <w:name w:val="标题 1 Char"/>
    <w:link w:val="3"/>
    <w:qFormat/>
    <w:uiPriority w:val="9"/>
    <w:rPr>
      <w:b/>
      <w:bCs/>
      <w:kern w:val="44"/>
      <w:sz w:val="44"/>
      <w:szCs w:val="44"/>
    </w:rPr>
  </w:style>
  <w:style w:type="character" w:customStyle="1" w:styleId="63">
    <w:name w:val="正文缩进 Char"/>
    <w:link w:val="13"/>
    <w:qFormat/>
    <w:uiPriority w:val="0"/>
    <w:rPr>
      <w:rFonts w:eastAsia="??"/>
      <w:sz w:val="24"/>
      <w:szCs w:val="24"/>
      <w:lang w:val="en-US" w:eastAsia="zh-CN" w:bidi="ar-SA"/>
    </w:rPr>
  </w:style>
  <w:style w:type="character" w:customStyle="1" w:styleId="64">
    <w:name w:val="批注文字 Char"/>
    <w:link w:val="17"/>
    <w:qFormat/>
    <w:uiPriority w:val="0"/>
    <w:rPr>
      <w:rFonts w:cs="Lucida Sans"/>
      <w:kern w:val="2"/>
      <w:sz w:val="21"/>
    </w:rPr>
  </w:style>
  <w:style w:type="character" w:customStyle="1" w:styleId="65">
    <w:name w:val="纯文本 Char"/>
    <w:link w:val="26"/>
    <w:qFormat/>
    <w:uiPriority w:val="0"/>
    <w:rPr>
      <w:rFonts w:ascii="??" w:hAnsi="??" w:eastAsia="??" w:cs="宋体"/>
      <w:kern w:val="2"/>
      <w:sz w:val="21"/>
      <w:szCs w:val="21"/>
      <w:lang w:val="en-US" w:eastAsia="zh-CN" w:bidi="ar-SA"/>
    </w:rPr>
  </w:style>
  <w:style w:type="character" w:customStyle="1" w:styleId="66">
    <w:name w:val="页脚 Char"/>
    <w:link w:val="31"/>
    <w:qFormat/>
    <w:uiPriority w:val="99"/>
    <w:rPr>
      <w:rFonts w:eastAsia="??"/>
      <w:kern w:val="2"/>
      <w:sz w:val="18"/>
      <w:szCs w:val="28"/>
    </w:rPr>
  </w:style>
  <w:style w:type="character" w:customStyle="1" w:styleId="67">
    <w:name w:val="批注主题 Char"/>
    <w:link w:val="43"/>
    <w:qFormat/>
    <w:uiPriority w:val="0"/>
    <w:rPr>
      <w:rFonts w:cs="Lucida Sans"/>
      <w:b/>
      <w:bCs/>
      <w:kern w:val="2"/>
      <w:sz w:val="21"/>
      <w:szCs w:val="24"/>
    </w:rPr>
  </w:style>
  <w:style w:type="character" w:customStyle="1" w:styleId="68">
    <w:name w:val="NormalCharacter"/>
    <w:semiHidden/>
    <w:qFormat/>
    <w:uiPriority w:val="0"/>
    <w:rPr>
      <w:kern w:val="2"/>
      <w:sz w:val="21"/>
      <w:szCs w:val="24"/>
      <w:lang w:val="en-US" w:eastAsia="zh-CN" w:bidi="ar-SA"/>
    </w:rPr>
  </w:style>
  <w:style w:type="paragraph" w:customStyle="1" w:styleId="69">
    <w:name w:val="BodyText1I"/>
    <w:basedOn w:val="70"/>
    <w:next w:val="71"/>
    <w:qFormat/>
    <w:uiPriority w:val="0"/>
    <w:pPr>
      <w:spacing w:line="360" w:lineRule="auto"/>
      <w:ind w:firstLine="420"/>
    </w:pPr>
    <w:rPr>
      <w:rFonts w:ascii="宋体" w:hAnsi="Calibri"/>
      <w:szCs w:val="20"/>
      <w:lang w:val="zh-CN"/>
    </w:rPr>
  </w:style>
  <w:style w:type="paragraph" w:customStyle="1" w:styleId="70">
    <w:name w:val="BodyText"/>
    <w:basedOn w:val="1"/>
    <w:link w:val="72"/>
    <w:qFormat/>
    <w:uiPriority w:val="0"/>
    <w:pPr>
      <w:spacing w:after="120"/>
      <w:textAlignment w:val="baseline"/>
    </w:pPr>
    <w:rPr>
      <w:sz w:val="28"/>
    </w:rPr>
  </w:style>
  <w:style w:type="paragraph" w:customStyle="1" w:styleId="71">
    <w:name w:val="TOC6"/>
    <w:basedOn w:val="1"/>
    <w:next w:val="1"/>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72">
    <w:name w:val="UserStyle_0"/>
    <w:link w:val="70"/>
    <w:semiHidden/>
    <w:qFormat/>
    <w:locked/>
    <w:uiPriority w:val="0"/>
    <w:rPr>
      <w:kern w:val="2"/>
      <w:sz w:val="28"/>
      <w:lang w:val="en-US" w:eastAsia="zh-CN" w:bidi="ar-SA"/>
    </w:rPr>
  </w:style>
  <w:style w:type="character" w:customStyle="1" w:styleId="73">
    <w:name w:val="Char Char2"/>
    <w:qFormat/>
    <w:uiPriority w:val="0"/>
    <w:rPr>
      <w:rFonts w:eastAsia="宋体"/>
      <w:sz w:val="24"/>
      <w:szCs w:val="24"/>
      <w:lang w:val="en-US" w:eastAsia="zh-CN" w:bidi="ar-SA"/>
    </w:rPr>
  </w:style>
  <w:style w:type="character" w:customStyle="1" w:styleId="74">
    <w:name w:val="Char Char5"/>
    <w:qFormat/>
    <w:uiPriority w:val="0"/>
    <w:rPr>
      <w:rFonts w:ascii="宋体" w:hAnsi="Courier New" w:eastAsia="宋体"/>
      <w:kern w:val="2"/>
      <w:sz w:val="21"/>
      <w:szCs w:val="21"/>
      <w:lang w:bidi="ar-SA"/>
    </w:rPr>
  </w:style>
  <w:style w:type="character" w:customStyle="1" w:styleId="75">
    <w:name w:val="ant-tree-icon_loading"/>
    <w:qFormat/>
    <w:uiPriority w:val="0"/>
    <w:rPr>
      <w:shd w:val="clear" w:color="auto" w:fill="FFFFFF"/>
    </w:rPr>
  </w:style>
  <w:style w:type="character" w:customStyle="1" w:styleId="76">
    <w:name w:val="批注文字 Char1"/>
    <w:qFormat/>
    <w:uiPriority w:val="0"/>
    <w:rPr>
      <w:kern w:val="2"/>
      <w:sz w:val="21"/>
      <w:szCs w:val="24"/>
    </w:rPr>
  </w:style>
  <w:style w:type="character" w:customStyle="1" w:styleId="77">
    <w:name w:val="正文非缩进 Char"/>
    <w:qFormat/>
    <w:uiPriority w:val="0"/>
    <w:rPr>
      <w:rFonts w:ascii="??" w:eastAsia="??"/>
      <w:snapToGrid w:val="0"/>
      <w:color w:val="000000"/>
      <w:kern w:val="28"/>
      <w:sz w:val="28"/>
      <w:lang w:val="en-US" w:eastAsia="zh-CN" w:bidi="ar-SA"/>
    </w:rPr>
  </w:style>
  <w:style w:type="character" w:customStyle="1" w:styleId="78">
    <w:name w:val="font11"/>
    <w:basedOn w:val="47"/>
    <w:qFormat/>
    <w:uiPriority w:val="0"/>
    <w:rPr>
      <w:rFonts w:hint="eastAsia" w:ascii="宋体" w:hAnsi="宋体" w:eastAsia="宋体" w:cs="宋体"/>
      <w:color w:val="000000"/>
      <w:sz w:val="20"/>
      <w:szCs w:val="20"/>
      <w:u w:val="none"/>
    </w:rPr>
  </w:style>
  <w:style w:type="character" w:customStyle="1" w:styleId="79">
    <w:name w:val="正文2 Char"/>
    <w:qFormat/>
    <w:locked/>
    <w:uiPriority w:val="0"/>
    <w:rPr>
      <w:kern w:val="2"/>
      <w:sz w:val="24"/>
    </w:rPr>
  </w:style>
  <w:style w:type="character" w:customStyle="1" w:styleId="80">
    <w:name w:val="fonts11"/>
    <w:qFormat/>
    <w:uiPriority w:val="0"/>
    <w:rPr>
      <w:sz w:val="18"/>
      <w:szCs w:val="18"/>
    </w:rPr>
  </w:style>
  <w:style w:type="character" w:customStyle="1" w:styleId="81">
    <w:name w:val="ant-select-tree-iconele"/>
    <w:qFormat/>
    <w:uiPriority w:val="0"/>
  </w:style>
  <w:style w:type="character" w:customStyle="1" w:styleId="82">
    <w:name w:val="font01"/>
    <w:basedOn w:val="47"/>
    <w:qFormat/>
    <w:uiPriority w:val="0"/>
    <w:rPr>
      <w:rFonts w:hint="default" w:ascii="Times New Roman" w:hAnsi="Times New Roman" w:cs="Times New Roman"/>
      <w:color w:val="000000"/>
      <w:sz w:val="20"/>
      <w:szCs w:val="20"/>
      <w:u w:val="none"/>
    </w:rPr>
  </w:style>
  <w:style w:type="character" w:customStyle="1" w:styleId="83">
    <w:name w:val="ant-radio+*1"/>
    <w:qFormat/>
    <w:uiPriority w:val="0"/>
  </w:style>
  <w:style w:type="character" w:customStyle="1" w:styleId="84">
    <w:name w:val="ant-tree-checkbox2"/>
    <w:qFormat/>
    <w:uiPriority w:val="0"/>
  </w:style>
  <w:style w:type="character" w:customStyle="1" w:styleId="85">
    <w:name w:val="ant-tree-switcher"/>
    <w:qFormat/>
    <w:uiPriority w:val="0"/>
  </w:style>
  <w:style w:type="character" w:customStyle="1" w:styleId="86">
    <w:name w:val="ant-input14"/>
    <w:qFormat/>
    <w:uiPriority w:val="0"/>
  </w:style>
  <w:style w:type="character" w:customStyle="1" w:styleId="87">
    <w:name w:val="ant-radio+*"/>
    <w:qFormat/>
    <w:uiPriority w:val="0"/>
  </w:style>
  <w:style w:type="character" w:customStyle="1" w:styleId="88">
    <w:name w:val="纯文本 Char1"/>
    <w:qFormat/>
    <w:uiPriority w:val="0"/>
    <w:rPr>
      <w:rFonts w:ascii="宋体" w:hAnsi="Courier New"/>
      <w:kern w:val="2"/>
      <w:sz w:val="21"/>
    </w:rPr>
  </w:style>
  <w:style w:type="character" w:customStyle="1" w:styleId="89">
    <w:name w:val="ant-tree-iconele"/>
    <w:qFormat/>
    <w:uiPriority w:val="0"/>
  </w:style>
  <w:style w:type="character" w:customStyle="1" w:styleId="90">
    <w:name w:val="ant-select-tree-checkbox"/>
    <w:qFormat/>
    <w:uiPriority w:val="0"/>
  </w:style>
  <w:style w:type="character" w:customStyle="1" w:styleId="91">
    <w:name w:val="ant-select-tree-switcher"/>
    <w:qFormat/>
    <w:uiPriority w:val="0"/>
  </w:style>
  <w:style w:type="character" w:customStyle="1" w:styleId="92">
    <w:name w:val="ant-transfer-list-search-action"/>
    <w:qFormat/>
    <w:uiPriority w:val="0"/>
  </w:style>
  <w:style w:type="character" w:customStyle="1" w:styleId="93">
    <w:name w:val="ant-select-tree-checkbox2"/>
    <w:qFormat/>
    <w:uiPriority w:val="0"/>
  </w:style>
  <w:style w:type="character" w:customStyle="1" w:styleId="94">
    <w:name w:val="正文2 Char Char"/>
    <w:link w:val="95"/>
    <w:qFormat/>
    <w:uiPriority w:val="0"/>
    <w:rPr>
      <w:rFonts w:eastAsia="??"/>
      <w:kern w:val="2"/>
      <w:sz w:val="24"/>
      <w:szCs w:val="28"/>
      <w:lang w:val="en-US" w:eastAsia="zh-CN" w:bidi="ar-SA"/>
    </w:rPr>
  </w:style>
  <w:style w:type="paragraph" w:customStyle="1" w:styleId="95">
    <w:name w:val="正文2"/>
    <w:basedOn w:val="1"/>
    <w:link w:val="94"/>
    <w:qFormat/>
    <w:uiPriority w:val="0"/>
    <w:pPr>
      <w:spacing w:before="156" w:line="360" w:lineRule="auto"/>
      <w:ind w:firstLine="200" w:firstLineChars="200"/>
    </w:pPr>
    <w:rPr>
      <w:rFonts w:eastAsia="??"/>
      <w:sz w:val="24"/>
      <w:szCs w:val="28"/>
    </w:rPr>
  </w:style>
  <w:style w:type="character" w:customStyle="1" w:styleId="96">
    <w:name w:val="标题 1 字符"/>
    <w:qFormat/>
    <w:uiPriority w:val="0"/>
    <w:rPr>
      <w:rFonts w:ascii="??" w:hAnsi="??" w:eastAsia="??" w:cs="宋体"/>
      <w:b/>
      <w:kern w:val="36"/>
      <w:sz w:val="32"/>
      <w:szCs w:val="28"/>
    </w:rPr>
  </w:style>
  <w:style w:type="paragraph" w:customStyle="1" w:styleId="97">
    <w:name w:val="[Normal]"/>
    <w:qFormat/>
    <w:uiPriority w:val="0"/>
    <w:pPr>
      <w:jc w:val="both"/>
    </w:pPr>
    <w:rPr>
      <w:rFonts w:ascii="宋体" w:hAnsi="宋体" w:eastAsia="宋体" w:cs="Times New Roman"/>
      <w:sz w:val="24"/>
      <w:szCs w:val="22"/>
      <w:lang w:val="zh-CN" w:eastAsia="zh-CN" w:bidi="ar-SA"/>
    </w:rPr>
  </w:style>
  <w:style w:type="paragraph" w:customStyle="1" w:styleId="98">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0">
    <w:name w:val="列出段落11"/>
    <w:basedOn w:val="1"/>
    <w:qFormat/>
    <w:uiPriority w:val="0"/>
    <w:pPr>
      <w:snapToGrid w:val="0"/>
      <w:spacing w:line="276" w:lineRule="auto"/>
      <w:ind w:firstLine="420" w:firstLineChars="200"/>
    </w:pPr>
    <w:rPr>
      <w:rFonts w:ascii="Calibri" w:hAnsi="Calibri" w:eastAsia="微软雅黑"/>
      <w:sz w:val="24"/>
      <w:szCs w:val="21"/>
    </w:rPr>
  </w:style>
  <w:style w:type="paragraph" w:customStyle="1" w:styleId="101">
    <w:name w:val="无间隔1"/>
    <w:qFormat/>
    <w:uiPriority w:val="1"/>
    <w:pPr>
      <w:widowControl w:val="0"/>
      <w:spacing w:line="360" w:lineRule="auto"/>
      <w:jc w:val="both"/>
    </w:pPr>
    <w:rPr>
      <w:rFonts w:ascii="Times New Roman" w:hAnsi="Times New Roman" w:eastAsia="宋体" w:cs="黑体"/>
      <w:kern w:val="2"/>
      <w:sz w:val="28"/>
      <w:szCs w:val="22"/>
      <w:lang w:val="en-US" w:eastAsia="zh-CN" w:bidi="ar-SA"/>
    </w:rPr>
  </w:style>
  <w:style w:type="paragraph" w:customStyle="1" w:styleId="102">
    <w:name w:val="首行缩进"/>
    <w:basedOn w:val="1"/>
    <w:qFormat/>
    <w:uiPriority w:val="0"/>
    <w:pPr>
      <w:adjustRightInd w:val="0"/>
      <w:spacing w:line="360" w:lineRule="auto"/>
      <w:ind w:firstLine="480" w:firstLineChars="200"/>
    </w:pPr>
    <w:rPr>
      <w:rFonts w:ascii="宋体"/>
      <w:sz w:val="24"/>
    </w:rPr>
  </w:style>
  <w:style w:type="paragraph" w:customStyle="1" w:styleId="103">
    <w:name w:val="样式1"/>
    <w:basedOn w:val="3"/>
    <w:qFormat/>
    <w:uiPriority w:val="0"/>
    <w:pPr>
      <w:numPr>
        <w:ilvl w:val="0"/>
        <w:numId w:val="2"/>
      </w:numPr>
    </w:pPr>
    <w:rPr>
      <w:kern w:val="0"/>
    </w:rPr>
  </w:style>
  <w:style w:type="paragraph" w:customStyle="1" w:styleId="104">
    <w:name w:val="_Style 99"/>
    <w:basedOn w:val="3"/>
    <w:next w:val="1"/>
    <w:qFormat/>
    <w:uiPriority w:val="0"/>
    <w:pPr>
      <w:keepLines/>
      <w:spacing w:before="480" w:line="276" w:lineRule="auto"/>
      <w:jc w:val="left"/>
      <w:outlineLvl w:val="9"/>
    </w:pPr>
    <w:rPr>
      <w:rFonts w:ascii="Cambria" w:hAnsi="Cambria"/>
      <w:bCs w:val="0"/>
      <w:color w:val="365F91"/>
      <w:kern w:val="0"/>
      <w:sz w:val="28"/>
    </w:rPr>
  </w:style>
  <w:style w:type="paragraph" w:customStyle="1" w:styleId="105">
    <w:name w:val="_Style 40"/>
    <w:basedOn w:val="1"/>
    <w:qFormat/>
    <w:uiPriority w:val="0"/>
    <w:rPr>
      <w:rFonts w:eastAsia="??"/>
      <w:szCs w:val="28"/>
    </w:rPr>
  </w:style>
  <w:style w:type="paragraph" w:customStyle="1" w:styleId="106">
    <w:name w:val="正文内"/>
    <w:basedOn w:val="1"/>
    <w:qFormat/>
    <w:uiPriority w:val="0"/>
    <w:pPr>
      <w:spacing w:line="400" w:lineRule="exact"/>
      <w:ind w:firstLine="200" w:firstLineChars="200"/>
    </w:pPr>
    <w:rPr>
      <w:rFonts w:ascii="??" w:hAnsi="??" w:eastAsia="??" w:cs="宋体"/>
      <w:szCs w:val="28"/>
    </w:rPr>
  </w:style>
  <w:style w:type="paragraph" w:customStyle="1" w:styleId="107">
    <w:name w:val="Char Char21"/>
    <w:basedOn w:val="1"/>
    <w:qFormat/>
    <w:uiPriority w:val="0"/>
    <w:rPr>
      <w:rFonts w:ascii="Tahoma" w:hAnsi="Tahoma" w:eastAsia="??" w:cs="Tahoma"/>
      <w:sz w:val="24"/>
      <w:szCs w:val="28"/>
    </w:rPr>
  </w:style>
  <w:style w:type="paragraph" w:customStyle="1" w:styleId="108">
    <w:name w:val="列表段落1"/>
    <w:basedOn w:val="1"/>
    <w:qFormat/>
    <w:uiPriority w:val="34"/>
    <w:pPr>
      <w:adjustRightInd w:val="0"/>
      <w:snapToGrid w:val="0"/>
      <w:spacing w:line="360" w:lineRule="auto"/>
      <w:ind w:firstLine="200" w:firstLineChars="200"/>
    </w:pPr>
    <w:rPr>
      <w:rFonts w:eastAsia="楷体_GB2312"/>
      <w:sz w:val="24"/>
    </w:rPr>
  </w:style>
  <w:style w:type="paragraph" w:customStyle="1" w:styleId="109">
    <w:name w:val="CM13"/>
    <w:basedOn w:val="59"/>
    <w:next w:val="59"/>
    <w:unhideWhenUsed/>
    <w:qFormat/>
    <w:uiPriority w:val="99"/>
    <w:pPr>
      <w:spacing w:line="520" w:lineRule="atLeast"/>
    </w:pPr>
    <w:rPr>
      <w:rFonts w:hint="eastAsia"/>
    </w:rPr>
  </w:style>
  <w:style w:type="paragraph" w:customStyle="1" w:styleId="110">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11">
    <w:name w:val="列出段落2"/>
    <w:basedOn w:val="1"/>
    <w:qFormat/>
    <w:uiPriority w:val="34"/>
    <w:pPr>
      <w:ind w:firstLine="420" w:firstLineChars="200"/>
    </w:pPr>
    <w:rPr>
      <w:rFonts w:ascii="Calibri" w:hAnsi="Calibri"/>
      <w:szCs w:val="22"/>
    </w:rPr>
  </w:style>
  <w:style w:type="paragraph" w:customStyle="1" w:styleId="112">
    <w:name w:val="xl31"/>
    <w:basedOn w:val="1"/>
    <w:qFormat/>
    <w:uiPriority w:val="0"/>
    <w:pPr>
      <w:pBdr>
        <w:bottom w:val="single" w:color="auto" w:sz="4" w:space="0"/>
      </w:pBdr>
      <w:spacing w:before="100" w:beforeAutospacing="1" w:after="100" w:afterAutospacing="1"/>
      <w:jc w:val="center"/>
    </w:pPr>
    <w:rPr>
      <w:rFonts w:ascii="??" w:hAnsi="??" w:eastAsia="??" w:cs="宋体"/>
      <w:kern w:val="0"/>
      <w:sz w:val="24"/>
    </w:rPr>
  </w:style>
  <w:style w:type="paragraph" w:customStyle="1" w:styleId="11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114">
    <w:name w:val="Char1"/>
    <w:basedOn w:val="1"/>
    <w:qFormat/>
    <w:uiPriority w:val="0"/>
    <w:rPr>
      <w:rFonts w:ascii="??_GB2312" w:hAnsi="??_GB2312" w:eastAsia="??_GB2312" w:cs="宋体"/>
      <w:b/>
      <w:sz w:val="32"/>
      <w:szCs w:val="32"/>
    </w:rPr>
  </w:style>
  <w:style w:type="paragraph" w:customStyle="1" w:styleId="115">
    <w:name w:val="列出段落3"/>
    <w:basedOn w:val="1"/>
    <w:qFormat/>
    <w:uiPriority w:val="99"/>
    <w:pPr>
      <w:snapToGrid w:val="0"/>
      <w:spacing w:line="276" w:lineRule="auto"/>
      <w:ind w:firstLine="420" w:firstLineChars="200"/>
    </w:pPr>
    <w:rPr>
      <w:rFonts w:ascii="Calibri" w:hAnsi="Calibri" w:eastAsia="微软雅黑"/>
      <w:sz w:val="24"/>
      <w:szCs w:val="21"/>
    </w:rPr>
  </w:style>
  <w:style w:type="paragraph" w:customStyle="1" w:styleId="116">
    <w:name w:val="CM11"/>
    <w:basedOn w:val="59"/>
    <w:next w:val="59"/>
    <w:unhideWhenUsed/>
    <w:qFormat/>
    <w:uiPriority w:val="99"/>
    <w:pPr>
      <w:spacing w:line="520" w:lineRule="atLeast"/>
    </w:pPr>
    <w:rPr>
      <w:rFonts w:hint="eastAsia"/>
    </w:rPr>
  </w:style>
  <w:style w:type="paragraph" w:customStyle="1" w:styleId="117">
    <w:name w:val="正文缩进1"/>
    <w:basedOn w:val="1"/>
    <w:qFormat/>
    <w:uiPriority w:val="0"/>
    <w:pPr>
      <w:ind w:firstLine="420" w:firstLineChars="200"/>
    </w:pPr>
  </w:style>
  <w:style w:type="paragraph" w:customStyle="1" w:styleId="1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19">
    <w:name w:val="Heading1"/>
    <w:basedOn w:val="1"/>
    <w:next w:val="1"/>
    <w:qFormat/>
    <w:uiPriority w:val="0"/>
    <w:pPr>
      <w:keepNext/>
      <w:spacing w:line="360" w:lineRule="auto"/>
      <w:jc w:val="center"/>
      <w:textAlignment w:val="baseline"/>
    </w:pPr>
    <w:rPr>
      <w:rFonts w:ascii="??" w:hAnsi="??" w:eastAsia="??"/>
      <w:b/>
      <w:kern w:val="36"/>
      <w:sz w:val="32"/>
      <w:szCs w:val="28"/>
    </w:rPr>
  </w:style>
  <w:style w:type="paragraph" w:customStyle="1" w:styleId="120">
    <w:name w:val="自由格式"/>
    <w:qFormat/>
    <w:uiPriority w:val="0"/>
    <w:pPr>
      <w:jc w:val="both"/>
    </w:pPr>
    <w:rPr>
      <w:rFonts w:ascii="Cambria" w:hAnsi="Cambria" w:eastAsia="ヒラギノ角ゴ Pro W3" w:cs="Times New Roman"/>
      <w:color w:val="000000"/>
      <w:sz w:val="24"/>
      <w:lang w:val="en-US" w:eastAsia="zh-CN" w:bidi="ar-SA"/>
    </w:rPr>
  </w:style>
  <w:style w:type="paragraph" w:customStyle="1" w:styleId="121">
    <w:name w:val="Char Char1"/>
    <w:basedOn w:val="1"/>
    <w:qFormat/>
    <w:uiPriority w:val="0"/>
    <w:rPr>
      <w:rFonts w:ascii="仿宋_GB2312" w:eastAsia="仿宋_GB2312"/>
      <w:b/>
      <w:sz w:val="32"/>
      <w:szCs w:val="32"/>
    </w:rPr>
  </w:style>
  <w:style w:type="paragraph" w:customStyle="1" w:styleId="12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23">
    <w:name w:val="No Spacing1"/>
    <w:qFormat/>
    <w:uiPriority w:val="0"/>
    <w:pPr>
      <w:jc w:val="both"/>
    </w:pPr>
    <w:rPr>
      <w:rFonts w:ascii="Times New Roman" w:hAnsi="Times New Roman" w:eastAsia="??" w:cs="宋体"/>
      <w:sz w:val="22"/>
      <w:szCs w:val="22"/>
      <w:lang w:val="en-US" w:eastAsia="en-US" w:bidi="ar-SA"/>
    </w:rPr>
  </w:style>
  <w:style w:type="paragraph" w:customStyle="1" w:styleId="1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5">
    <w:name w:val="公文正文"/>
    <w:basedOn w:val="1"/>
    <w:qFormat/>
    <w:uiPriority w:val="0"/>
    <w:pPr>
      <w:spacing w:before="156" w:line="360" w:lineRule="auto"/>
      <w:ind w:firstLine="200" w:firstLineChars="200"/>
    </w:pPr>
    <w:rPr>
      <w:rFonts w:ascii="??_GB2312" w:hAnsi="??_GB2312" w:eastAsia="??_GB2312" w:cs="宋体"/>
      <w:sz w:val="24"/>
    </w:rPr>
  </w:style>
  <w:style w:type="paragraph" w:customStyle="1" w:styleId="126">
    <w:name w:val="Char Char Char Char"/>
    <w:basedOn w:val="1"/>
    <w:qFormat/>
    <w:uiPriority w:val="0"/>
    <w:pPr>
      <w:spacing w:after="160" w:line="240" w:lineRule="exact"/>
      <w:jc w:val="left"/>
    </w:pPr>
    <w:rPr>
      <w:rFonts w:ascii="Arial" w:hAnsi="Arial" w:eastAsia="Times New Roman" w:cs="Verdana"/>
      <w:b/>
      <w:kern w:val="0"/>
      <w:sz w:val="24"/>
      <w:szCs w:val="28"/>
      <w:lang w:eastAsia="en-US"/>
    </w:rPr>
  </w:style>
  <w:style w:type="paragraph" w:customStyle="1" w:styleId="127">
    <w:name w:val="标题4"/>
    <w:basedOn w:val="1"/>
    <w:qFormat/>
    <w:uiPriority w:val="0"/>
    <w:rPr>
      <w:rFonts w:eastAsia="??_GB2312"/>
      <w:sz w:val="32"/>
      <w:szCs w:val="28"/>
    </w:rPr>
  </w:style>
  <w:style w:type="paragraph" w:customStyle="1" w:styleId="128">
    <w:name w:val="列出段落4"/>
    <w:basedOn w:val="1"/>
    <w:qFormat/>
    <w:uiPriority w:val="34"/>
    <w:pPr>
      <w:ind w:firstLine="200" w:firstLineChars="200"/>
      <w:jc w:val="left"/>
    </w:pPr>
    <w:rPr>
      <w:rFonts w:ascii="??" w:hAnsi="??" w:eastAsia="??" w:cs="??"/>
      <w:kern w:val="0"/>
      <w:sz w:val="24"/>
    </w:rPr>
  </w:style>
  <w:style w:type="paragraph" w:customStyle="1" w:styleId="129">
    <w:name w:val="List Paragraph1"/>
    <w:qFormat/>
    <w:uiPriority w:val="0"/>
    <w:pPr>
      <w:ind w:left="720"/>
      <w:jc w:val="both"/>
    </w:pPr>
    <w:rPr>
      <w:rFonts w:ascii="Cambria" w:hAnsi="Cambria" w:eastAsia="ヒラギノ角ゴ Pro W3" w:cs="Times New Roman"/>
      <w:color w:val="000000"/>
      <w:sz w:val="24"/>
      <w:lang w:val="en-US" w:eastAsia="zh-CN" w:bidi="ar-SA"/>
    </w:rPr>
  </w:style>
  <w:style w:type="paragraph" w:customStyle="1" w:styleId="130">
    <w:name w:val="无间距1"/>
    <w:qFormat/>
    <w:uiPriority w:val="0"/>
    <w:pPr>
      <w:jc w:val="both"/>
    </w:pPr>
    <w:rPr>
      <w:rFonts w:ascii="Times New Roman" w:hAnsi="Times New Roman" w:eastAsia="??" w:cs="宋体"/>
      <w:sz w:val="22"/>
      <w:szCs w:val="22"/>
      <w:lang w:val="en-US" w:eastAsia="en-US" w:bidi="ar-SA"/>
    </w:rPr>
  </w:style>
  <w:style w:type="paragraph" w:customStyle="1" w:styleId="131">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32">
    <w:name w:val="Table Grid1"/>
    <w:qFormat/>
    <w:uiPriority w:val="0"/>
    <w:pPr>
      <w:jc w:val="both"/>
    </w:pPr>
    <w:rPr>
      <w:rFonts w:ascii="Cambria" w:hAnsi="Cambria" w:eastAsia="ヒラギノ角ゴ Pro W3" w:cs="Times New Roman"/>
      <w:color w:val="000000"/>
      <w:sz w:val="24"/>
      <w:lang w:val="en-US" w:eastAsia="zh-CN" w:bidi="ar-SA"/>
    </w:rPr>
  </w:style>
  <w:style w:type="paragraph" w:customStyle="1" w:styleId="133">
    <w:name w:val="正文 2"/>
    <w:qFormat/>
    <w:uiPriority w:val="0"/>
    <w:pPr>
      <w:pBdr>
        <w:top w:val="none" w:color="FFFFFF" w:sz="0" w:space="31"/>
        <w:left w:val="none" w:color="FFFFFF" w:sz="0" w:space="31"/>
        <w:bottom w:val="none" w:color="FFFFFF" w:sz="0" w:space="31"/>
        <w:right w:val="none" w:color="FFFFFF" w:sz="0" w:space="31"/>
      </w:pBdr>
      <w:spacing w:after="80" w:line="288" w:lineRule="auto"/>
      <w:jc w:val="both"/>
    </w:pPr>
    <w:rPr>
      <w:rFonts w:ascii="Baskerville" w:hAnsi="Arial Unicode MS" w:eastAsia="Times New Roman" w:cs="Arial Unicode MS"/>
      <w:color w:val="434343"/>
      <w:sz w:val="24"/>
      <w:szCs w:val="24"/>
      <w:lang w:val="en-US" w:eastAsia="zh-CN" w:bidi="ar-SA"/>
    </w:rPr>
  </w:style>
  <w:style w:type="paragraph" w:customStyle="1" w:styleId="134">
    <w:name w:val="179"/>
    <w:basedOn w:val="1"/>
    <w:qFormat/>
    <w:uiPriority w:val="0"/>
    <w:pPr>
      <w:ind w:firstLine="200" w:firstLineChars="200"/>
      <w:jc w:val="left"/>
      <w:textAlignment w:val="baseline"/>
    </w:pPr>
    <w:rPr>
      <w:rFonts w:ascii="??" w:hAnsi="??" w:eastAsia="??"/>
      <w:kern w:val="0"/>
      <w:sz w:val="24"/>
    </w:rPr>
  </w:style>
  <w:style w:type="paragraph" w:customStyle="1" w:styleId="135">
    <w:name w:val="无间隔11"/>
    <w:next w:val="1"/>
    <w:qFormat/>
    <w:uiPriority w:val="0"/>
    <w:pPr>
      <w:jc w:val="both"/>
    </w:pPr>
    <w:rPr>
      <w:rFonts w:ascii="Times New Roman" w:hAnsi="Times New Roman" w:eastAsia="??" w:cs="Times New Roman"/>
      <w:sz w:val="22"/>
      <w:szCs w:val="22"/>
      <w:lang w:val="en-US" w:eastAsia="en-US" w:bidi="ar-SA"/>
    </w:rPr>
  </w:style>
  <w:style w:type="paragraph" w:customStyle="1" w:styleId="136">
    <w:name w:val="2"/>
    <w:basedOn w:val="1"/>
    <w:qFormat/>
    <w:uiPriority w:val="0"/>
    <w:rPr>
      <w:rFonts w:ascii="Tahoma" w:hAnsi="Tahoma" w:eastAsia="??" w:cs="Tahoma"/>
      <w:sz w:val="24"/>
      <w:szCs w:val="28"/>
    </w:rPr>
  </w:style>
  <w:style w:type="paragraph" w:customStyle="1" w:styleId="137">
    <w:name w:val="CM14"/>
    <w:basedOn w:val="59"/>
    <w:next w:val="59"/>
    <w:unhideWhenUsed/>
    <w:qFormat/>
    <w:uiPriority w:val="99"/>
    <w:pPr>
      <w:spacing w:line="546" w:lineRule="atLeast"/>
    </w:pPr>
    <w:rPr>
      <w:rFonts w:hint="eastAsia"/>
    </w:rPr>
  </w:style>
  <w:style w:type="paragraph" w:customStyle="1" w:styleId="138">
    <w:name w:val="_Style 135"/>
    <w:unhideWhenUsed/>
    <w:qFormat/>
    <w:uiPriority w:val="99"/>
    <w:pPr>
      <w:jc w:val="both"/>
    </w:pPr>
    <w:rPr>
      <w:rFonts w:ascii="Times New Roman" w:hAnsi="Times New Roman" w:eastAsia="宋体" w:cs="Times New Roman"/>
      <w:kern w:val="2"/>
      <w:sz w:val="21"/>
      <w:szCs w:val="24"/>
      <w:lang w:val="en-US" w:eastAsia="zh-CN" w:bidi="ar-SA"/>
    </w:rPr>
  </w:style>
  <w:style w:type="paragraph" w:customStyle="1" w:styleId="1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40">
    <w:name w:val="Char"/>
    <w:basedOn w:val="1"/>
    <w:qFormat/>
    <w:uiPriority w:val="0"/>
    <w:rPr>
      <w:rFonts w:eastAsia="??_GB2312"/>
      <w:sz w:val="28"/>
    </w:rPr>
  </w:style>
  <w:style w:type="paragraph" w:customStyle="1" w:styleId="141">
    <w:name w:val="正文段"/>
    <w:basedOn w:val="1"/>
    <w:qFormat/>
    <w:uiPriority w:val="0"/>
    <w:pPr>
      <w:snapToGrid w:val="0"/>
      <w:spacing w:after="156" w:afterLines="50"/>
      <w:ind w:firstLine="200" w:firstLineChars="200"/>
    </w:pPr>
    <w:rPr>
      <w:rFonts w:eastAsia="??"/>
      <w:kern w:val="0"/>
      <w:sz w:val="24"/>
      <w:szCs w:val="28"/>
    </w:rPr>
  </w:style>
  <w:style w:type="paragraph" w:customStyle="1" w:styleId="142">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43">
    <w:name w:val="默认段落字体 Para Char Char Char Char Char Char Char Char Char1 Char Char Char Char"/>
    <w:basedOn w:val="1"/>
    <w:qFormat/>
    <w:uiPriority w:val="0"/>
    <w:rPr>
      <w:rFonts w:ascii="Tahoma" w:hAnsi="Tahoma"/>
      <w:sz w:val="24"/>
      <w:szCs w:val="20"/>
    </w:rPr>
  </w:style>
  <w:style w:type="paragraph" w:customStyle="1" w:styleId="144">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145">
    <w:name w:val="Heading2"/>
    <w:basedOn w:val="119"/>
    <w:next w:val="1"/>
    <w:qFormat/>
    <w:uiPriority w:val="0"/>
    <w:pPr>
      <w:keepLines/>
      <w:tabs>
        <w:tab w:val="left" w:pos="706"/>
        <w:tab w:val="left" w:pos="1110"/>
      </w:tabs>
      <w:ind w:left="106" w:firstLine="454"/>
    </w:pPr>
    <w:rPr>
      <w:rFonts w:ascii="Arial" w:hAnsi="Arial" w:cs="Arial"/>
      <w:bCs/>
      <w:szCs w:val="32"/>
    </w:rPr>
  </w:style>
  <w:style w:type="paragraph" w:customStyle="1" w:styleId="146">
    <w:name w:val="_Style 3"/>
    <w:qFormat/>
    <w:uiPriority w:val="1"/>
    <w:pPr>
      <w:adjustRightInd w:val="0"/>
      <w:snapToGrid w:val="0"/>
      <w:jc w:val="both"/>
    </w:pPr>
    <w:rPr>
      <w:rFonts w:ascii="Tahoma" w:hAnsi="Tahoma" w:eastAsia="微软雅黑" w:cs="Times New Roman"/>
      <w:sz w:val="22"/>
      <w:szCs w:val="22"/>
      <w:lang w:val="en-US" w:eastAsia="zh-CN" w:bidi="ar-SA"/>
    </w:rPr>
  </w:style>
  <w:style w:type="paragraph" w:customStyle="1" w:styleId="147">
    <w:name w:val="[正文行首缩进]"/>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48">
    <w:name w:val="_正文段落"/>
    <w:basedOn w:val="1"/>
    <w:qFormat/>
    <w:uiPriority w:val="0"/>
    <w:pPr>
      <w:spacing w:beforeLines="15" w:afterLines="15"/>
    </w:pPr>
    <w:rPr>
      <w:kern w:val="0"/>
      <w:sz w:val="20"/>
    </w:rPr>
  </w:style>
  <w:style w:type="paragraph" w:customStyle="1" w:styleId="149">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150">
    <w:name w:val="自定义表格文字"/>
    <w:basedOn w:val="1"/>
    <w:qFormat/>
    <w:uiPriority w:val="0"/>
    <w:pPr>
      <w:spacing w:before="60" w:after="60" w:line="320" w:lineRule="exact"/>
      <w:jc w:val="left"/>
    </w:pPr>
    <w:rPr>
      <w:rFonts w:ascii="宋体" w:eastAsia="楷体_GB2312"/>
    </w:rPr>
  </w:style>
  <w:style w:type="paragraph" w:customStyle="1" w:styleId="151">
    <w:name w:val="列表段落2"/>
    <w:basedOn w:val="1"/>
    <w:qFormat/>
    <w:uiPriority w:val="34"/>
    <w:pPr>
      <w:ind w:firstLine="420" w:firstLineChars="200"/>
    </w:pPr>
  </w:style>
  <w:style w:type="paragraph" w:customStyle="1" w:styleId="152">
    <w:name w:val="Heading #1|1"/>
    <w:basedOn w:val="1"/>
    <w:qFormat/>
    <w:uiPriority w:val="0"/>
    <w:pPr>
      <w:widowControl w:val="0"/>
      <w:spacing w:before="280" w:after="480"/>
      <w:jc w:val="center"/>
      <w:outlineLvl w:val="0"/>
    </w:pPr>
    <w:rPr>
      <w:rFonts w:ascii="宋体" w:hAnsi="宋体" w:cs="宋体"/>
      <w:sz w:val="30"/>
      <w:szCs w:val="30"/>
      <w:lang w:val="zh-TW" w:eastAsia="zh-TW" w:bidi="zh-TW"/>
    </w:rPr>
  </w:style>
  <w:style w:type="paragraph" w:customStyle="1" w:styleId="153">
    <w:name w:val="Body text|1"/>
    <w:basedOn w:val="1"/>
    <w:qFormat/>
    <w:uiPriority w:val="0"/>
    <w:pPr>
      <w:widowControl w:val="0"/>
      <w:spacing w:line="312" w:lineRule="auto"/>
      <w:ind w:firstLine="400"/>
    </w:pPr>
    <w:rPr>
      <w:rFonts w:ascii="宋体" w:hAnsi="宋体" w:cs="宋体"/>
      <w:sz w:val="20"/>
      <w:szCs w:val="20"/>
      <w:lang w:val="zh-TW" w:eastAsia="zh-TW" w:bidi="zh-TW"/>
    </w:rPr>
  </w:style>
  <w:style w:type="paragraph" w:customStyle="1" w:styleId="154">
    <w:name w:val="Other|1"/>
    <w:basedOn w:val="1"/>
    <w:qFormat/>
    <w:uiPriority w:val="0"/>
    <w:pPr>
      <w:widowControl w:val="0"/>
      <w:spacing w:line="312" w:lineRule="auto"/>
      <w:ind w:firstLine="400"/>
    </w:pPr>
    <w:rPr>
      <w:rFonts w:ascii="宋体" w:hAnsi="宋体" w:cs="宋体"/>
      <w:sz w:val="20"/>
      <w:szCs w:val="20"/>
      <w:lang w:val="zh-TW" w:eastAsia="zh-TW" w:bidi="zh-TW"/>
    </w:rPr>
  </w:style>
  <w:style w:type="paragraph" w:customStyle="1" w:styleId="155">
    <w:name w:val="绿盟科技--正文首行缩进"/>
    <w:basedOn w:val="1"/>
    <w:qFormat/>
    <w:uiPriority w:val="0"/>
    <w:pPr>
      <w:spacing w:after="50" w:line="300" w:lineRule="auto"/>
      <w:ind w:firstLine="200" w:firstLineChars="200"/>
      <w:jc w:val="left"/>
    </w:pPr>
    <w:rPr>
      <w:rFonts w:ascii="Arial" w:hAnsi="Arial"/>
      <w:kern w:val="0"/>
      <w:szCs w:val="21"/>
    </w:rPr>
  </w:style>
  <w:style w:type="paragraph" w:customStyle="1" w:styleId="156">
    <w:name w:val="表格正文"/>
    <w:next w:val="1"/>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table" w:customStyle="1" w:styleId="157">
    <w:name w:val="Table Normal"/>
    <w:unhideWhenUsed/>
    <w:qFormat/>
    <w:uiPriority w:val="0"/>
    <w:tblPr>
      <w:tblCellMar>
        <w:top w:w="0" w:type="dxa"/>
        <w:left w:w="0" w:type="dxa"/>
        <w:bottom w:w="0" w:type="dxa"/>
        <w:right w:w="0" w:type="dxa"/>
      </w:tblCellMar>
    </w:tblPr>
  </w:style>
  <w:style w:type="character" w:customStyle="1" w:styleId="158">
    <w:name w:val="font51"/>
    <w:basedOn w:val="47"/>
    <w:qFormat/>
    <w:uiPriority w:val="0"/>
    <w:rPr>
      <w:rFonts w:hint="eastAsia" w:ascii="仿宋" w:hAnsi="仿宋" w:eastAsia="仿宋" w:cs="仿宋"/>
      <w:color w:val="000000"/>
      <w:sz w:val="20"/>
      <w:szCs w:val="20"/>
      <w:u w:val="none"/>
    </w:rPr>
  </w:style>
  <w:style w:type="character" w:customStyle="1" w:styleId="159">
    <w:name w:val="font21"/>
    <w:basedOn w:val="47"/>
    <w:qFormat/>
    <w:uiPriority w:val="0"/>
    <w:rPr>
      <w:rFonts w:hint="eastAsia" w:ascii="宋体" w:hAnsi="宋体" w:eastAsia="宋体" w:cs="宋体"/>
      <w:b/>
      <w:bCs/>
      <w:color w:val="666666"/>
      <w:sz w:val="20"/>
      <w:szCs w:val="20"/>
      <w:u w:val="none"/>
    </w:rPr>
  </w:style>
  <w:style w:type="paragraph" w:customStyle="1" w:styleId="160">
    <w:name w:val="样式10"/>
    <w:basedOn w:val="1"/>
    <w:qFormat/>
    <w:uiPriority w:val="0"/>
    <w:pPr>
      <w:spacing w:line="360" w:lineRule="auto"/>
    </w:pPr>
    <w:rPr>
      <w:b/>
      <w:sz w:val="24"/>
    </w:rPr>
  </w:style>
  <w:style w:type="character" w:customStyle="1" w:styleId="161">
    <w:name w:val="font31"/>
    <w:basedOn w:val="47"/>
    <w:qFormat/>
    <w:uiPriority w:val="0"/>
    <w:rPr>
      <w:rFonts w:hint="eastAsia" w:ascii="宋体" w:hAnsi="宋体" w:eastAsia="宋体" w:cs="宋体"/>
      <w:color w:val="000000"/>
      <w:sz w:val="21"/>
      <w:szCs w:val="21"/>
      <w:u w:val="none"/>
    </w:rPr>
  </w:style>
  <w:style w:type="paragraph" w:customStyle="1" w:styleId="16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_Style 1"/>
    <w:qFormat/>
    <w:uiPriority w:val="0"/>
    <w:rPr>
      <w:rFonts w:ascii="Calibri" w:hAnsi="Calibri" w:eastAsia="宋体" w:cs="Times New Roman"/>
      <w:kern w:val="2"/>
      <w:sz w:val="28"/>
      <w:szCs w:val="22"/>
      <w:lang w:val="en-US" w:eastAsia="zh-CN" w:bidi="ar-SA"/>
    </w:rPr>
  </w:style>
  <w:style w:type="paragraph" w:styleId="164">
    <w:name w:val="List Paragraph"/>
    <w:basedOn w:val="1"/>
    <w:qFormat/>
    <w:uiPriority w:val="0"/>
    <w:pPr>
      <w:ind w:left="720" w:firstLine="360"/>
      <w:contextualSpacing/>
      <w:jc w:val="left"/>
    </w:pPr>
    <w:rPr>
      <w:rFonts w:ascii="Calibri" w:hAnsi="Calibri"/>
      <w:kern w:val="0"/>
      <w:sz w:val="22"/>
      <w:szCs w:val="22"/>
      <w:lang w:eastAsia="en-US" w:bidi="en-US"/>
    </w:rPr>
  </w:style>
  <w:style w:type="character" w:customStyle="1" w:styleId="165">
    <w:name w:val="font61"/>
    <w:basedOn w:val="47"/>
    <w:qFormat/>
    <w:uiPriority w:val="0"/>
    <w:rPr>
      <w:rFonts w:hint="default" w:ascii="Times New Roman" w:hAnsi="Times New Roman" w:cs="Times New Roman"/>
      <w:color w:val="000000"/>
      <w:sz w:val="21"/>
      <w:szCs w:val="21"/>
      <w:u w:val="none"/>
    </w:rPr>
  </w:style>
  <w:style w:type="paragraph" w:customStyle="1" w:styleId="166">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67">
    <w:name w:val="font41"/>
    <w:basedOn w:val="47"/>
    <w:qFormat/>
    <w:uiPriority w:val="0"/>
    <w:rPr>
      <w:rFonts w:hint="eastAsia" w:ascii="宋体" w:hAnsi="宋体" w:eastAsia="宋体" w:cs="宋体"/>
      <w:color w:val="000000"/>
      <w:sz w:val="18"/>
      <w:szCs w:val="18"/>
      <w:u w:val="none"/>
    </w:rPr>
  </w:style>
  <w:style w:type="paragraph" w:customStyle="1" w:styleId="168">
    <w:name w:val="Normal Indent"/>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3769</Words>
  <Characters>4273</Characters>
  <Lines>422</Lines>
  <Paragraphs>118</Paragraphs>
  <TotalTime>0</TotalTime>
  <ScaleCrop>false</ScaleCrop>
  <LinksUpToDate>false</LinksUpToDate>
  <CharactersWithSpaces>4461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2024-05-21T00:59:00Z</dcterms:created>
  <dc:creator>111</dc:creator>
  <cp:lastModifiedBy>HSZRJ</cp:lastModifiedBy>
  <cp:lastPrinted>2022-05-17T01:07:00Z</cp:lastPrinted>
  <dcterms:modified xsi:type="dcterms:W3CDTF">2025-01-25T08:09:52Z</dcterms:modified>
  <dc:title>《杭州市乡村旅游提升规划（2013-2020年）》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8C0171DB24864641842FE7C3A8BFD822_13</vt:lpwstr>
  </property>
  <property fmtid="{D5CDD505-2E9C-101B-9397-08002B2CF9AE}" pid="4" name="commondata">
    <vt:lpwstr>eyJoZGlkIjoiYmRkMmU1ZGZjNDhmOGFkNzE5Yzk3NDc2NGU4MGNjMjUifQ==</vt:lpwstr>
  </property>
  <property fmtid="{D5CDD505-2E9C-101B-9397-08002B2CF9AE}" pid="5" name="KSOTemplateDocerSaveRecord">
    <vt:lpwstr>eyJoZGlkIjoiMzEwNTM5NzYwMDRjMzkwZTVkZjY2ODkwMGIxNGU0OTUiLCJ1c2VySWQiOiI0MTA3OTMzOTQifQ==</vt:lpwstr>
  </property>
</Properties>
</file>