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93B47">
      <w:pPr>
        <w:spacing w:line="360" w:lineRule="auto"/>
        <w:jc w:val="center"/>
        <w:rPr>
          <w:rFonts w:ascii="宋体" w:hAnsi="宋体" w:cs="宋体"/>
          <w:b/>
          <w:color w:val="auto"/>
          <w:sz w:val="24"/>
          <w:highlight w:val="none"/>
        </w:rPr>
      </w:pPr>
    </w:p>
    <w:p w14:paraId="3E93D3D9">
      <w:pPr>
        <w:spacing w:line="360" w:lineRule="auto"/>
        <w:jc w:val="center"/>
        <w:rPr>
          <w:rFonts w:ascii="宋体" w:hAnsi="宋体" w:cs="宋体"/>
          <w:b/>
          <w:color w:val="auto"/>
          <w:sz w:val="24"/>
          <w:highlight w:val="none"/>
        </w:rPr>
      </w:pPr>
    </w:p>
    <w:p w14:paraId="29218F6F">
      <w:pPr>
        <w:adjustRightInd/>
        <w:spacing w:line="360" w:lineRule="auto"/>
        <w:jc w:val="center"/>
        <w:rPr>
          <w:rFonts w:ascii="宋体" w:hAnsi="宋体" w:cs="宋体"/>
          <w:b/>
          <w:color w:val="auto"/>
          <w:sz w:val="44"/>
          <w:szCs w:val="44"/>
          <w:highlight w:val="none"/>
        </w:rPr>
      </w:pPr>
    </w:p>
    <w:p w14:paraId="0AC0BC6C">
      <w:pPr>
        <w:spacing w:line="360" w:lineRule="auto"/>
        <w:jc w:val="center"/>
        <w:rPr>
          <w:rFonts w:ascii="宋体" w:hAnsi="宋体" w:cs="宋体"/>
          <w:b/>
          <w:color w:val="auto"/>
          <w:sz w:val="44"/>
          <w:szCs w:val="44"/>
          <w:highlight w:val="none"/>
        </w:rPr>
      </w:pPr>
    </w:p>
    <w:p w14:paraId="38A86DE1">
      <w:pPr>
        <w:adjustRightInd/>
        <w:spacing w:line="360" w:lineRule="auto"/>
        <w:rPr>
          <w:rFonts w:ascii="宋体" w:hAnsi="宋体" w:cs="宋体"/>
          <w:b/>
          <w:color w:val="auto"/>
          <w:sz w:val="48"/>
          <w:szCs w:val="48"/>
          <w:highlight w:val="none"/>
        </w:rPr>
      </w:pPr>
    </w:p>
    <w:p w14:paraId="3DBC3D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卫健数字化改革项目驾驶舱日常运维保障项目（2025年度）</w:t>
      </w:r>
    </w:p>
    <w:p w14:paraId="3B8666F4">
      <w:pPr>
        <w:adjustRightInd/>
        <w:spacing w:line="360" w:lineRule="auto"/>
        <w:jc w:val="center"/>
        <w:rPr>
          <w:rFonts w:ascii="宋体" w:hAnsi="宋体" w:cs="宋体"/>
          <w:color w:val="auto"/>
          <w:sz w:val="48"/>
          <w:szCs w:val="48"/>
          <w:highlight w:val="none"/>
        </w:rPr>
      </w:pPr>
    </w:p>
    <w:p w14:paraId="3A1A845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96EA6D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09772C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HSZB-2025-022</w:t>
      </w:r>
    </w:p>
    <w:p w14:paraId="2C359D3A">
      <w:pPr>
        <w:adjustRightInd/>
        <w:spacing w:line="360" w:lineRule="auto"/>
        <w:rPr>
          <w:rFonts w:ascii="宋体" w:hAnsi="宋体" w:cs="宋体"/>
          <w:color w:val="auto"/>
          <w:sz w:val="28"/>
          <w:szCs w:val="20"/>
          <w:highlight w:val="none"/>
        </w:rPr>
      </w:pPr>
    </w:p>
    <w:p w14:paraId="7710753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5FFF88A">
      <w:pPr>
        <w:spacing w:line="360" w:lineRule="auto"/>
        <w:jc w:val="center"/>
        <w:rPr>
          <w:rFonts w:ascii="宋体" w:hAnsi="宋体" w:cs="宋体"/>
          <w:color w:val="auto"/>
          <w:sz w:val="24"/>
          <w:highlight w:val="none"/>
        </w:rPr>
      </w:pPr>
    </w:p>
    <w:p w14:paraId="2C9B87CB">
      <w:pPr>
        <w:spacing w:line="360" w:lineRule="auto"/>
        <w:jc w:val="center"/>
        <w:rPr>
          <w:rFonts w:ascii="宋体" w:hAnsi="宋体" w:cs="宋体"/>
          <w:color w:val="auto"/>
          <w:sz w:val="24"/>
          <w:highlight w:val="none"/>
        </w:rPr>
      </w:pPr>
    </w:p>
    <w:p w14:paraId="5466C6CC">
      <w:pPr>
        <w:spacing w:line="360" w:lineRule="auto"/>
        <w:rPr>
          <w:rFonts w:ascii="宋体" w:hAnsi="宋体" w:cs="宋体"/>
          <w:color w:val="auto"/>
          <w:sz w:val="32"/>
          <w:szCs w:val="32"/>
          <w:highlight w:val="none"/>
        </w:rPr>
      </w:pPr>
    </w:p>
    <w:p w14:paraId="0C8CA59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杭州市卫生健康事业发展中心</w:t>
      </w:r>
    </w:p>
    <w:p w14:paraId="5D027C4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6FF4AC3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0"/>
          <w:szCs w:val="30"/>
          <w:highlight w:val="none"/>
          <w:lang w:val="en-US" w:eastAsia="zh-CN"/>
        </w:rPr>
        <w:t>一</w:t>
      </w:r>
      <w:r>
        <w:rPr>
          <w:rFonts w:hint="eastAsia" w:ascii="宋体" w:hAnsi="宋体" w:cs="宋体"/>
          <w:bCs/>
          <w:color w:val="auto"/>
          <w:sz w:val="32"/>
          <w:szCs w:val="32"/>
          <w:highlight w:val="none"/>
        </w:rPr>
        <w:t>月</w:t>
      </w:r>
    </w:p>
    <w:p w14:paraId="420173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7B6F75">
      <w:pPr>
        <w:pStyle w:val="637"/>
        <w:rPr>
          <w:color w:val="auto"/>
          <w:highlight w:val="none"/>
        </w:rPr>
      </w:pPr>
    </w:p>
    <w:p w14:paraId="217D3F7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10BE509">
      <w:pPr>
        <w:spacing w:line="360" w:lineRule="auto"/>
        <w:rPr>
          <w:rFonts w:ascii="宋体" w:hAnsi="宋体" w:cs="宋体"/>
          <w:color w:val="auto"/>
          <w:sz w:val="32"/>
          <w:szCs w:val="32"/>
          <w:highlight w:val="none"/>
        </w:rPr>
      </w:pPr>
    </w:p>
    <w:p w14:paraId="1318D2C8">
      <w:pPr>
        <w:spacing w:line="360" w:lineRule="auto"/>
        <w:rPr>
          <w:rFonts w:ascii="宋体" w:hAnsi="宋体" w:cs="宋体"/>
          <w:color w:val="auto"/>
          <w:sz w:val="32"/>
          <w:szCs w:val="32"/>
          <w:highlight w:val="none"/>
        </w:rPr>
      </w:pPr>
    </w:p>
    <w:p w14:paraId="0F36DD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2BFB8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10515D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FAD6E8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50085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229F9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29A581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B26A47F">
      <w:pPr>
        <w:spacing w:line="360" w:lineRule="auto"/>
        <w:ind w:firstLine="549" w:firstLineChars="229"/>
        <w:rPr>
          <w:rFonts w:ascii="宋体" w:hAnsi="宋体" w:cs="宋体"/>
          <w:color w:val="auto"/>
          <w:sz w:val="24"/>
          <w:highlight w:val="none"/>
        </w:rPr>
      </w:pPr>
    </w:p>
    <w:p w14:paraId="444A6A76">
      <w:pPr>
        <w:spacing w:line="360" w:lineRule="auto"/>
        <w:ind w:firstLine="549" w:firstLineChars="229"/>
        <w:rPr>
          <w:rFonts w:ascii="宋体" w:hAnsi="宋体" w:cs="宋体"/>
          <w:color w:val="auto"/>
          <w:sz w:val="24"/>
          <w:highlight w:val="none"/>
        </w:rPr>
      </w:pPr>
    </w:p>
    <w:p w14:paraId="12E5C0DE">
      <w:pPr>
        <w:spacing w:line="360" w:lineRule="auto"/>
        <w:ind w:firstLine="549" w:firstLineChars="229"/>
        <w:rPr>
          <w:rFonts w:ascii="宋体" w:hAnsi="宋体" w:cs="宋体"/>
          <w:color w:val="auto"/>
          <w:sz w:val="24"/>
          <w:highlight w:val="none"/>
        </w:rPr>
      </w:pPr>
    </w:p>
    <w:p w14:paraId="1CF86879">
      <w:pPr>
        <w:spacing w:line="360" w:lineRule="auto"/>
        <w:ind w:firstLine="549" w:firstLineChars="229"/>
        <w:rPr>
          <w:rFonts w:ascii="宋体" w:hAnsi="宋体" w:cs="宋体"/>
          <w:color w:val="auto"/>
          <w:sz w:val="24"/>
          <w:highlight w:val="none"/>
        </w:rPr>
      </w:pPr>
    </w:p>
    <w:p w14:paraId="2483EB1A">
      <w:pPr>
        <w:spacing w:line="360" w:lineRule="auto"/>
        <w:ind w:firstLine="549" w:firstLineChars="229"/>
        <w:rPr>
          <w:rFonts w:ascii="宋体" w:hAnsi="宋体" w:cs="宋体"/>
          <w:color w:val="auto"/>
          <w:sz w:val="24"/>
          <w:highlight w:val="none"/>
        </w:rPr>
      </w:pPr>
    </w:p>
    <w:p w14:paraId="1FA5E97A">
      <w:pPr>
        <w:spacing w:line="360" w:lineRule="auto"/>
        <w:ind w:firstLine="549" w:firstLineChars="229"/>
        <w:rPr>
          <w:rFonts w:ascii="宋体" w:hAnsi="宋体" w:cs="宋体"/>
          <w:color w:val="auto"/>
          <w:sz w:val="24"/>
          <w:highlight w:val="none"/>
        </w:rPr>
      </w:pPr>
    </w:p>
    <w:p w14:paraId="525A5C24">
      <w:pPr>
        <w:spacing w:line="360" w:lineRule="auto"/>
        <w:ind w:firstLine="549" w:firstLineChars="229"/>
        <w:rPr>
          <w:rFonts w:ascii="宋体" w:hAnsi="宋体" w:cs="宋体"/>
          <w:color w:val="auto"/>
          <w:sz w:val="24"/>
          <w:highlight w:val="none"/>
        </w:rPr>
      </w:pPr>
    </w:p>
    <w:p w14:paraId="78032C6C">
      <w:pPr>
        <w:spacing w:line="360" w:lineRule="auto"/>
        <w:ind w:firstLine="549" w:firstLineChars="229"/>
        <w:rPr>
          <w:rFonts w:ascii="宋体" w:hAnsi="宋体" w:cs="宋体"/>
          <w:color w:val="auto"/>
          <w:sz w:val="24"/>
          <w:highlight w:val="none"/>
        </w:rPr>
      </w:pPr>
    </w:p>
    <w:p w14:paraId="64D920FA">
      <w:pPr>
        <w:spacing w:line="360" w:lineRule="auto"/>
        <w:ind w:firstLine="549" w:firstLineChars="229"/>
        <w:rPr>
          <w:rFonts w:ascii="宋体" w:hAnsi="宋体" w:cs="宋体"/>
          <w:color w:val="auto"/>
          <w:sz w:val="24"/>
          <w:highlight w:val="none"/>
        </w:rPr>
      </w:pPr>
    </w:p>
    <w:p w14:paraId="19795D74">
      <w:pPr>
        <w:spacing w:line="360" w:lineRule="auto"/>
        <w:ind w:firstLine="549" w:firstLineChars="229"/>
        <w:rPr>
          <w:rFonts w:ascii="宋体" w:hAnsi="宋体" w:cs="宋体"/>
          <w:color w:val="auto"/>
          <w:sz w:val="24"/>
          <w:highlight w:val="none"/>
        </w:rPr>
      </w:pPr>
    </w:p>
    <w:p w14:paraId="02FD56FE">
      <w:pPr>
        <w:spacing w:line="360" w:lineRule="auto"/>
        <w:ind w:firstLine="549" w:firstLineChars="229"/>
        <w:rPr>
          <w:rFonts w:ascii="宋体" w:hAnsi="宋体" w:cs="宋体"/>
          <w:color w:val="auto"/>
          <w:sz w:val="24"/>
          <w:highlight w:val="none"/>
        </w:rPr>
      </w:pPr>
    </w:p>
    <w:p w14:paraId="1EF9CCD3">
      <w:pPr>
        <w:spacing w:line="360" w:lineRule="auto"/>
        <w:ind w:firstLine="549" w:firstLineChars="229"/>
        <w:rPr>
          <w:rFonts w:ascii="宋体" w:hAnsi="宋体" w:cs="宋体"/>
          <w:color w:val="auto"/>
          <w:sz w:val="24"/>
          <w:highlight w:val="none"/>
        </w:rPr>
      </w:pPr>
    </w:p>
    <w:p w14:paraId="5339C755">
      <w:pPr>
        <w:spacing w:line="360" w:lineRule="auto"/>
        <w:rPr>
          <w:rFonts w:ascii="宋体" w:hAnsi="宋体" w:cs="宋体"/>
          <w:color w:val="auto"/>
          <w:sz w:val="24"/>
          <w:highlight w:val="none"/>
        </w:rPr>
      </w:pPr>
    </w:p>
    <w:p w14:paraId="3CD3D5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EF240D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172DB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卫健数字化改革项目驾驶舱日常运维保障项目（2025年度）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bCs/>
          <w:color w:val="auto"/>
          <w:sz w:val="24"/>
          <w:highlight w:val="none"/>
          <w:lang w:eastAsia="zh-CN"/>
        </w:rPr>
        <w:t>2025年02月10日10点00分00秒</w:t>
      </w:r>
      <w:r>
        <w:rPr>
          <w:rStyle w:val="77"/>
          <w:rFonts w:ascii="Times New Roman" w:hAnsi="Times New Roman" w:eastAsia="宋体" w:cs="Times New Roman"/>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C24EF0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441A77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HSZB-2025-022</w:t>
      </w:r>
    </w:p>
    <w:p w14:paraId="305FE5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卫健数字化改革项目驾驶舱日常运维保障项目（2025年度）</w:t>
      </w:r>
    </w:p>
    <w:p w14:paraId="1B7D49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1400000.00</w:t>
      </w:r>
    </w:p>
    <w:p w14:paraId="3459F36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1400000.00</w:t>
      </w:r>
    </w:p>
    <w:p w14:paraId="6B515534">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卫健数字化改革项目驾驶舱日常运维保障项目（2025年度）</w:t>
      </w:r>
      <w:r>
        <w:rPr>
          <w:rFonts w:hint="eastAsia" w:hAnsi="宋体" w:cs="宋体"/>
          <w:bCs/>
          <w:snapToGrid/>
          <w:color w:val="auto"/>
          <w:kern w:val="2"/>
          <w:sz w:val="24"/>
          <w:szCs w:val="24"/>
          <w:highlight w:val="none"/>
        </w:rPr>
        <w:t>主要内容：购买系统维保服务，保障杭州市卫健委“平安卫健”系统、杭州市婴育数字化应用系统、杭州市健康应用、杭州市中医药数据驾驶舱、城市大脑运维保障、脊柱侧弯和中医全链路溯源工作完善等六个系统的正常运维。</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B67147D">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合同履约期限：2025年01月01日至2025年12月31日</w:t>
      </w:r>
    </w:p>
    <w:p w14:paraId="49D7F303">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hAnsi="宋体" w:cs="宋体"/>
          <w:b/>
          <w:color w:val="auto"/>
          <w:sz w:val="24"/>
          <w:highlight w:val="none"/>
        </w:rPr>
        <w:t>是；</w:t>
      </w:r>
      <w:sdt>
        <w:sdtPr>
          <w:rPr>
            <w:rFonts w:hAnsi="宋体" w:cs="宋体"/>
            <w:color w:val="auto"/>
            <w:kern w:val="0"/>
            <w:sz w:val="24"/>
            <w:highlight w:val="none"/>
          </w:rPr>
          <w:id w:val="14748244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FA4420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4D59C2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A0334D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0F5E34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DD272B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768B0ED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358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A8FC1C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291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bookmarkStart w:id="11" w:name="OLE_LINK4"/>
          <w:bookmarkStart w:id="12" w:name="OLE_LINK3"/>
        </w:sdtContent>
      </w:sdt>
      <w:r>
        <w:rPr>
          <w:rFonts w:hint="eastAsia" w:ascii="宋体" w:hAnsi="宋体" w:cs="宋体"/>
          <w:color w:val="auto"/>
          <w:sz w:val="24"/>
          <w:highlight w:val="none"/>
        </w:rPr>
        <w:t>服务全部由符合政策要求的中小企业承接</w:t>
      </w:r>
      <w:bookmarkEnd w:id="11"/>
      <w:r>
        <w:rPr>
          <w:rFonts w:hint="eastAsia" w:ascii="宋体" w:hAnsi="宋体" w:cs="宋体"/>
          <w:color w:val="auto"/>
          <w:sz w:val="24"/>
          <w:highlight w:val="none"/>
        </w:rPr>
        <w:t>，提供中小企业声明函</w:t>
      </w:r>
      <w:bookmarkEnd w:id="12"/>
      <w:r>
        <w:rPr>
          <w:rFonts w:hint="eastAsia" w:ascii="宋体" w:hAnsi="宋体" w:cs="宋体"/>
          <w:color w:val="auto"/>
          <w:sz w:val="24"/>
          <w:highlight w:val="none"/>
        </w:rPr>
        <w:t>；</w:t>
      </w:r>
    </w:p>
    <w:p w14:paraId="3887FED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81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DBA313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09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27A97B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E1340F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0F3661A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99F28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FBD2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2025年1月X日</w:t>
      </w:r>
      <w:r>
        <w:rPr>
          <w:rFonts w:hint="eastAsia" w:ascii="宋体" w:hAnsi="宋体" w:cs="宋体"/>
          <w:color w:val="auto"/>
          <w:sz w:val="24"/>
          <w:highlight w:val="none"/>
        </w:rPr>
        <w:t>，每天上午00:00至12:00 ，下午12:00至23:59（北京时间，线上获取法定节假日均可，线下获取文件法定节假日除外）</w:t>
      </w:r>
    </w:p>
    <w:p w14:paraId="66E9A91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8423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8BD491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5485E0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8B6C10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2025年02月10日10点00分00秒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DB54F2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2655C4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2025年02月10日10点00分00秒</w:t>
      </w:r>
      <w:r>
        <w:rPr>
          <w:rFonts w:hint="eastAsia" w:ascii="宋体" w:hAnsi="宋体" w:cs="宋体"/>
          <w:bCs/>
          <w:color w:val="auto"/>
          <w:sz w:val="24"/>
          <w:highlight w:val="none"/>
          <w:u w:val="single"/>
        </w:rPr>
        <w:t xml:space="preserve">  </w:t>
      </w:r>
    </w:p>
    <w:p w14:paraId="34ED31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F391A6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 xml:space="preserve">、公告期限 </w:t>
      </w:r>
    </w:p>
    <w:p w14:paraId="3AF92E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C0F52FB">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、其他补充事宜</w:t>
      </w:r>
    </w:p>
    <w:p w14:paraId="07A9BF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C30C3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14E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C7F3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0EB41CC">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、对本次采购提出询问、质疑、投诉，请按以下方式联系</w:t>
      </w:r>
    </w:p>
    <w:p w14:paraId="090EA9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A4F9A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称：杭州市卫生健康事业发展中心</w:t>
      </w:r>
    </w:p>
    <w:p w14:paraId="22AD4E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址：杭州市开元路70号      </w:t>
      </w:r>
    </w:p>
    <w:p w14:paraId="388676F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ABCD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项目联系人（询问）：江腾 </w:t>
      </w:r>
    </w:p>
    <w:p w14:paraId="636968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项目联系方式（询问）：0571-87014801   </w:t>
      </w:r>
    </w:p>
    <w:p w14:paraId="4D27C0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 沈老师 </w:t>
      </w:r>
    </w:p>
    <w:p w14:paraId="34731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 0571-87011321（请通过以下路径在线提起质疑：政采云-项目采购-询问质疑投诉-质疑列表）</w:t>
      </w:r>
    </w:p>
    <w:p w14:paraId="25D658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89D67E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180462C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380BFC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BCF7C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项目联系人（询问）：章柔婧、曹剑斌、陈敏娇</w:t>
      </w:r>
    </w:p>
    <w:p w14:paraId="20DCF1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w:t>
      </w:r>
      <w:r>
        <w:rPr>
          <w:rFonts w:hint="eastAsia" w:ascii="宋体" w:hAnsi="宋体" w:eastAsia="宋体" w:cs="宋体"/>
          <w:color w:val="auto"/>
          <w:kern w:val="0"/>
          <w:sz w:val="24"/>
          <w:highlight w:val="none"/>
        </w:rPr>
        <w:t>87981527</w:t>
      </w:r>
    </w:p>
    <w:p w14:paraId="3CA63C59">
      <w:pPr>
        <w:pStyle w:val="25"/>
        <w:spacing w:line="360" w:lineRule="auto"/>
        <w:rPr>
          <w:rFonts w:ascii="Times New Roman" w:hAnsi="Times New Roman"/>
          <w:color w:val="auto"/>
          <w:highlight w:val="none"/>
        </w:rPr>
      </w:pPr>
      <w:r>
        <w:rPr>
          <w:rFonts w:ascii="Times New Roman" w:hAnsi="Times New Roman"/>
          <w:color w:val="auto"/>
          <w:highlight w:val="none"/>
        </w:rPr>
        <w:t>质疑联系人：</w:t>
      </w:r>
      <w:r>
        <w:rPr>
          <w:rFonts w:hint="eastAsia" w:cs="宋体"/>
          <w:color w:val="auto"/>
          <w:highlight w:val="none"/>
        </w:rPr>
        <w:t>桑国坚</w:t>
      </w:r>
    </w:p>
    <w:p w14:paraId="5C46BD24">
      <w:pPr>
        <w:pStyle w:val="25"/>
        <w:spacing w:line="360" w:lineRule="auto"/>
        <w:rPr>
          <w:rFonts w:cs="宋体"/>
          <w:color w:val="auto"/>
          <w:highlight w:val="none"/>
        </w:rPr>
      </w:pPr>
      <w:r>
        <w:rPr>
          <w:rFonts w:ascii="Times New Roman" w:hAnsi="Times New Roman"/>
          <w:color w:val="auto"/>
          <w:highlight w:val="none"/>
        </w:rPr>
        <w:t>质疑联系方式：</w:t>
      </w:r>
      <w:r>
        <w:rPr>
          <w:rFonts w:hint="eastAsia" w:ascii="宋体" w:hAnsi="宋体" w:eastAsia="宋体" w:cs="宋体"/>
          <w:color w:val="auto"/>
          <w:highlight w:val="none"/>
        </w:rPr>
        <w:t>0571-56386096</w:t>
      </w:r>
    </w:p>
    <w:p w14:paraId="784AFD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B5B0C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284F6A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3A51E1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595AE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80E4C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38BBD54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83397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35BBC6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A729B3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86873D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F36A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A303E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A63C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9377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EB6B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F8DDB8">
            <w:pPr>
              <w:snapToGrid w:val="0"/>
              <w:spacing w:line="360" w:lineRule="auto"/>
              <w:jc w:val="center"/>
              <w:rPr>
                <w:rFonts w:ascii="宋体" w:hAnsi="宋体" w:cs="宋体"/>
                <w:color w:val="auto"/>
                <w:sz w:val="24"/>
                <w:highlight w:val="none"/>
              </w:rPr>
            </w:pPr>
          </w:p>
          <w:p w14:paraId="0754C7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7D0B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ED2343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520F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E2E6A5">
            <w:pPr>
              <w:snapToGrid w:val="0"/>
              <w:spacing w:line="360" w:lineRule="auto"/>
              <w:jc w:val="center"/>
              <w:rPr>
                <w:rFonts w:ascii="宋体" w:hAnsi="宋体" w:cs="宋体"/>
                <w:color w:val="auto"/>
                <w:sz w:val="24"/>
                <w:highlight w:val="none"/>
              </w:rPr>
            </w:pPr>
          </w:p>
          <w:p w14:paraId="3801B7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B080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CBC631">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卫健数字化改革项目驾驶舱日常运维保障项目（2025年度）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软件和信息技术服务业  </w:t>
            </w:r>
            <w:r>
              <w:rPr>
                <w:rFonts w:hint="eastAsia" w:ascii="宋体" w:hAnsi="宋体" w:cs="宋体"/>
                <w:color w:val="auto"/>
                <w:kern w:val="0"/>
                <w:sz w:val="24"/>
                <w:highlight w:val="none"/>
              </w:rPr>
              <w:t>行业；</w:t>
            </w:r>
          </w:p>
          <w:p w14:paraId="74DEB53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DC2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9" w:hRule="atLeast"/>
          <w:tblHeader/>
        </w:trPr>
        <w:tc>
          <w:tcPr>
            <w:tcW w:w="629" w:type="dxa"/>
            <w:tcBorders>
              <w:top w:val="single" w:color="auto" w:sz="4" w:space="0"/>
              <w:left w:val="single" w:color="auto" w:sz="4" w:space="0"/>
              <w:bottom w:val="single" w:color="auto" w:sz="4" w:space="0"/>
              <w:right w:val="single" w:color="auto" w:sz="4" w:space="0"/>
            </w:tcBorders>
          </w:tcPr>
          <w:p w14:paraId="66D56AAC">
            <w:pPr>
              <w:snapToGrid w:val="0"/>
              <w:spacing w:line="360" w:lineRule="auto"/>
              <w:jc w:val="center"/>
              <w:rPr>
                <w:rFonts w:ascii="宋体" w:hAnsi="宋体" w:cs="宋体"/>
                <w:color w:val="auto"/>
                <w:sz w:val="24"/>
                <w:highlight w:val="none"/>
              </w:rPr>
            </w:pPr>
          </w:p>
          <w:p w14:paraId="1A3F4F45">
            <w:pPr>
              <w:snapToGrid w:val="0"/>
              <w:spacing w:line="360" w:lineRule="auto"/>
              <w:jc w:val="center"/>
              <w:rPr>
                <w:rFonts w:ascii="宋体" w:hAnsi="宋体" w:cs="宋体"/>
                <w:color w:val="auto"/>
                <w:sz w:val="24"/>
                <w:highlight w:val="none"/>
              </w:rPr>
            </w:pPr>
          </w:p>
          <w:p w14:paraId="1EBA96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52A1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EA60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790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41EA98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52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1085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4CA7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4BD3F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2CC2C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19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24小时运维电话  </w:t>
            </w:r>
            <w:r>
              <w:rPr>
                <w:rFonts w:hint="eastAsia" w:ascii="宋体" w:hAnsi="宋体" w:cs="宋体"/>
                <w:color w:val="auto"/>
                <w:sz w:val="24"/>
                <w:highlight w:val="none"/>
              </w:rPr>
              <w:t>工作分包。</w:t>
            </w:r>
          </w:p>
          <w:p w14:paraId="33DAC57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93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3E68E0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D7E9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A8C3FA">
            <w:pPr>
              <w:snapToGrid w:val="0"/>
              <w:spacing w:line="360" w:lineRule="auto"/>
              <w:jc w:val="center"/>
              <w:rPr>
                <w:rFonts w:ascii="宋体" w:hAnsi="宋体" w:cs="宋体"/>
                <w:color w:val="auto"/>
                <w:sz w:val="24"/>
                <w:highlight w:val="none"/>
              </w:rPr>
            </w:pPr>
          </w:p>
          <w:p w14:paraId="270C62C8">
            <w:pPr>
              <w:snapToGrid w:val="0"/>
              <w:spacing w:line="360" w:lineRule="auto"/>
              <w:jc w:val="center"/>
              <w:rPr>
                <w:rFonts w:ascii="宋体" w:hAnsi="宋体" w:cs="宋体"/>
                <w:color w:val="auto"/>
                <w:sz w:val="24"/>
                <w:highlight w:val="none"/>
              </w:rPr>
            </w:pPr>
          </w:p>
          <w:p w14:paraId="019C76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DECD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6C0003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492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23CD01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754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A357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483985">
            <w:pPr>
              <w:snapToGrid w:val="0"/>
              <w:spacing w:line="360" w:lineRule="auto"/>
              <w:jc w:val="center"/>
              <w:rPr>
                <w:rFonts w:ascii="宋体" w:hAnsi="宋体" w:cs="宋体"/>
                <w:color w:val="auto"/>
                <w:sz w:val="24"/>
                <w:highlight w:val="none"/>
              </w:rPr>
            </w:pPr>
          </w:p>
          <w:p w14:paraId="250467DE">
            <w:pPr>
              <w:snapToGrid w:val="0"/>
              <w:spacing w:line="360" w:lineRule="auto"/>
              <w:jc w:val="center"/>
              <w:rPr>
                <w:rFonts w:ascii="宋体" w:hAnsi="宋体" w:cs="宋体"/>
                <w:color w:val="auto"/>
                <w:sz w:val="24"/>
                <w:highlight w:val="none"/>
              </w:rPr>
            </w:pPr>
          </w:p>
          <w:p w14:paraId="2813934C">
            <w:pPr>
              <w:snapToGrid w:val="0"/>
              <w:spacing w:line="360" w:lineRule="auto"/>
              <w:jc w:val="center"/>
              <w:rPr>
                <w:rFonts w:ascii="宋体" w:hAnsi="宋体" w:cs="宋体"/>
                <w:color w:val="auto"/>
                <w:sz w:val="24"/>
                <w:highlight w:val="none"/>
              </w:rPr>
            </w:pPr>
          </w:p>
          <w:p w14:paraId="7E679256">
            <w:pPr>
              <w:snapToGrid w:val="0"/>
              <w:spacing w:line="360" w:lineRule="auto"/>
              <w:jc w:val="center"/>
              <w:rPr>
                <w:rFonts w:ascii="宋体" w:hAnsi="宋体" w:cs="宋体"/>
                <w:color w:val="auto"/>
                <w:sz w:val="24"/>
                <w:highlight w:val="none"/>
              </w:rPr>
            </w:pPr>
          </w:p>
          <w:p w14:paraId="37D6D1B4">
            <w:pPr>
              <w:snapToGrid w:val="0"/>
              <w:spacing w:line="360" w:lineRule="auto"/>
              <w:jc w:val="center"/>
              <w:rPr>
                <w:rFonts w:ascii="宋体" w:hAnsi="宋体" w:cs="宋体"/>
                <w:color w:val="auto"/>
                <w:sz w:val="24"/>
                <w:highlight w:val="none"/>
              </w:rPr>
            </w:pPr>
          </w:p>
          <w:p w14:paraId="5BE1B9D1">
            <w:pPr>
              <w:snapToGrid w:val="0"/>
              <w:spacing w:line="360" w:lineRule="auto"/>
              <w:jc w:val="center"/>
              <w:rPr>
                <w:rFonts w:ascii="宋体" w:hAnsi="宋体" w:cs="宋体"/>
                <w:color w:val="auto"/>
                <w:sz w:val="24"/>
                <w:highlight w:val="none"/>
              </w:rPr>
            </w:pPr>
          </w:p>
          <w:p w14:paraId="1A876999">
            <w:pPr>
              <w:snapToGrid w:val="0"/>
              <w:spacing w:line="360" w:lineRule="auto"/>
              <w:jc w:val="center"/>
              <w:rPr>
                <w:rFonts w:ascii="宋体" w:hAnsi="宋体" w:cs="宋体"/>
                <w:color w:val="auto"/>
                <w:sz w:val="24"/>
                <w:highlight w:val="none"/>
              </w:rPr>
            </w:pPr>
          </w:p>
          <w:p w14:paraId="3414FD33">
            <w:pPr>
              <w:snapToGrid w:val="0"/>
              <w:spacing w:line="360" w:lineRule="auto"/>
              <w:jc w:val="center"/>
              <w:rPr>
                <w:rFonts w:ascii="宋体" w:hAnsi="宋体" w:cs="宋体"/>
                <w:color w:val="auto"/>
                <w:sz w:val="24"/>
                <w:highlight w:val="none"/>
              </w:rPr>
            </w:pPr>
          </w:p>
          <w:p w14:paraId="4F14832B">
            <w:pPr>
              <w:snapToGrid w:val="0"/>
              <w:spacing w:line="360" w:lineRule="auto"/>
              <w:jc w:val="center"/>
              <w:rPr>
                <w:rFonts w:ascii="宋体" w:hAnsi="宋体" w:cs="宋体"/>
                <w:color w:val="auto"/>
                <w:sz w:val="24"/>
                <w:highlight w:val="none"/>
              </w:rPr>
            </w:pPr>
          </w:p>
          <w:p w14:paraId="628AF8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1131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60337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705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DDADA5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683E86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88A309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034BF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85513B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73BCBA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23AFA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53A1C9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85FD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FB173C">
            <w:pPr>
              <w:snapToGrid w:val="0"/>
              <w:spacing w:line="360" w:lineRule="auto"/>
              <w:jc w:val="center"/>
              <w:rPr>
                <w:rFonts w:ascii="宋体" w:hAnsi="宋体" w:cs="宋体"/>
                <w:color w:val="auto"/>
                <w:sz w:val="24"/>
                <w:highlight w:val="none"/>
              </w:rPr>
            </w:pPr>
          </w:p>
          <w:p w14:paraId="6267B98D">
            <w:pPr>
              <w:snapToGrid w:val="0"/>
              <w:spacing w:line="360" w:lineRule="auto"/>
              <w:jc w:val="center"/>
              <w:rPr>
                <w:rFonts w:ascii="宋体" w:hAnsi="宋体" w:cs="宋体"/>
                <w:color w:val="auto"/>
                <w:sz w:val="24"/>
                <w:highlight w:val="none"/>
              </w:rPr>
            </w:pPr>
          </w:p>
          <w:p w14:paraId="793BEB8B">
            <w:pPr>
              <w:snapToGrid w:val="0"/>
              <w:spacing w:line="360" w:lineRule="auto"/>
              <w:jc w:val="center"/>
              <w:rPr>
                <w:rFonts w:ascii="宋体" w:hAnsi="宋体" w:cs="宋体"/>
                <w:color w:val="auto"/>
                <w:sz w:val="24"/>
                <w:highlight w:val="none"/>
              </w:rPr>
            </w:pPr>
          </w:p>
          <w:p w14:paraId="656ED5C5">
            <w:pPr>
              <w:snapToGrid w:val="0"/>
              <w:spacing w:line="360" w:lineRule="auto"/>
              <w:jc w:val="center"/>
              <w:rPr>
                <w:rFonts w:ascii="宋体" w:hAnsi="宋体" w:cs="宋体"/>
                <w:color w:val="auto"/>
                <w:sz w:val="24"/>
                <w:highlight w:val="none"/>
              </w:rPr>
            </w:pPr>
          </w:p>
          <w:p w14:paraId="005A1D9D">
            <w:pPr>
              <w:snapToGrid w:val="0"/>
              <w:spacing w:line="360" w:lineRule="auto"/>
              <w:jc w:val="center"/>
              <w:rPr>
                <w:rFonts w:ascii="宋体" w:hAnsi="宋体" w:cs="宋体"/>
                <w:color w:val="auto"/>
                <w:sz w:val="24"/>
                <w:highlight w:val="none"/>
              </w:rPr>
            </w:pPr>
          </w:p>
          <w:p w14:paraId="6608597C">
            <w:pPr>
              <w:snapToGrid w:val="0"/>
              <w:spacing w:line="360" w:lineRule="auto"/>
              <w:jc w:val="center"/>
              <w:rPr>
                <w:rFonts w:ascii="宋体" w:hAnsi="宋体" w:cs="宋体"/>
                <w:color w:val="auto"/>
                <w:sz w:val="24"/>
                <w:highlight w:val="none"/>
              </w:rPr>
            </w:pPr>
          </w:p>
          <w:p w14:paraId="32ABA9FC">
            <w:pPr>
              <w:snapToGrid w:val="0"/>
              <w:spacing w:line="360" w:lineRule="auto"/>
              <w:jc w:val="center"/>
              <w:rPr>
                <w:rFonts w:ascii="宋体" w:hAnsi="宋体" w:cs="宋体"/>
                <w:color w:val="auto"/>
                <w:sz w:val="24"/>
                <w:highlight w:val="none"/>
              </w:rPr>
            </w:pPr>
          </w:p>
          <w:p w14:paraId="4F60D982">
            <w:pPr>
              <w:snapToGrid w:val="0"/>
              <w:spacing w:line="360" w:lineRule="auto"/>
              <w:jc w:val="center"/>
              <w:rPr>
                <w:rFonts w:ascii="宋体" w:hAnsi="宋体" w:cs="宋体"/>
                <w:color w:val="auto"/>
                <w:sz w:val="24"/>
                <w:highlight w:val="none"/>
              </w:rPr>
            </w:pPr>
          </w:p>
          <w:p w14:paraId="5F2474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52E19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00B2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45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3A2FC6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1677E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69B5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5AB53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EE1B7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方式二：采购代理机构现场讲解演示。现场讲解地点为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杭州市拱墅区大关路179号远洋国际中心A座17楼1705室会议室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EBBC74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5507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CF9FE31">
            <w:pPr>
              <w:snapToGrid w:val="0"/>
              <w:spacing w:line="360" w:lineRule="auto"/>
              <w:jc w:val="center"/>
              <w:rPr>
                <w:rFonts w:ascii="宋体" w:hAnsi="宋体" w:cs="宋体"/>
                <w:color w:val="auto"/>
                <w:sz w:val="24"/>
                <w:highlight w:val="none"/>
              </w:rPr>
            </w:pPr>
          </w:p>
          <w:p w14:paraId="0E41C67F">
            <w:pPr>
              <w:snapToGrid w:val="0"/>
              <w:spacing w:line="360" w:lineRule="auto"/>
              <w:jc w:val="center"/>
              <w:rPr>
                <w:rFonts w:ascii="宋体" w:hAnsi="宋体" w:cs="宋体"/>
                <w:color w:val="auto"/>
                <w:sz w:val="24"/>
                <w:highlight w:val="none"/>
              </w:rPr>
            </w:pPr>
          </w:p>
          <w:p w14:paraId="650CDD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21E3A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7DD54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3EA446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0BFD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185F1F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9505A5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CC3E12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C4BF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6F7CD02">
            <w:pPr>
              <w:snapToGrid w:val="0"/>
              <w:spacing w:line="360" w:lineRule="auto"/>
              <w:jc w:val="center"/>
              <w:rPr>
                <w:rFonts w:ascii="宋体" w:hAnsi="宋体" w:cs="宋体"/>
                <w:color w:val="auto"/>
                <w:sz w:val="24"/>
                <w:highlight w:val="none"/>
              </w:rPr>
            </w:pPr>
          </w:p>
          <w:p w14:paraId="4558DFD2">
            <w:pPr>
              <w:snapToGrid w:val="0"/>
              <w:spacing w:line="360" w:lineRule="auto"/>
              <w:jc w:val="center"/>
              <w:rPr>
                <w:rFonts w:ascii="宋体" w:hAnsi="宋体" w:cs="宋体"/>
                <w:color w:val="auto"/>
                <w:sz w:val="24"/>
                <w:highlight w:val="none"/>
              </w:rPr>
            </w:pPr>
          </w:p>
          <w:p w14:paraId="2E7255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DE60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78D2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A53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4" w:hRule="atLeast"/>
          <w:tblHeader/>
        </w:trPr>
        <w:tc>
          <w:tcPr>
            <w:tcW w:w="629" w:type="dxa"/>
            <w:tcBorders>
              <w:top w:val="single" w:color="auto" w:sz="4" w:space="0"/>
              <w:left w:val="single" w:color="000000" w:sz="8" w:space="0"/>
              <w:bottom w:val="single" w:color="auto" w:sz="4" w:space="0"/>
              <w:right w:val="single" w:color="000000" w:sz="2" w:space="0"/>
            </w:tcBorders>
          </w:tcPr>
          <w:p w14:paraId="5D13C9A7">
            <w:pPr>
              <w:snapToGrid w:val="0"/>
              <w:spacing w:line="360" w:lineRule="auto"/>
              <w:jc w:val="center"/>
              <w:rPr>
                <w:rFonts w:ascii="宋体" w:hAnsi="宋体" w:cs="宋体"/>
                <w:color w:val="auto"/>
                <w:sz w:val="24"/>
                <w:highlight w:val="none"/>
              </w:rPr>
            </w:pPr>
          </w:p>
          <w:p w14:paraId="447A12CA">
            <w:pPr>
              <w:snapToGrid w:val="0"/>
              <w:spacing w:line="360" w:lineRule="auto"/>
              <w:jc w:val="center"/>
              <w:rPr>
                <w:rFonts w:ascii="宋体" w:hAnsi="宋体" w:cs="宋体"/>
                <w:color w:val="auto"/>
                <w:sz w:val="24"/>
                <w:highlight w:val="none"/>
              </w:rPr>
            </w:pPr>
          </w:p>
          <w:p w14:paraId="26000DD1">
            <w:pPr>
              <w:snapToGrid w:val="0"/>
              <w:spacing w:line="360" w:lineRule="auto"/>
              <w:jc w:val="center"/>
              <w:rPr>
                <w:rFonts w:ascii="宋体" w:hAnsi="宋体" w:cs="宋体"/>
                <w:color w:val="auto"/>
                <w:sz w:val="24"/>
                <w:highlight w:val="none"/>
              </w:rPr>
            </w:pPr>
          </w:p>
          <w:p w14:paraId="13BF353D">
            <w:pPr>
              <w:snapToGrid w:val="0"/>
              <w:spacing w:line="360" w:lineRule="auto"/>
              <w:jc w:val="center"/>
              <w:rPr>
                <w:rFonts w:ascii="宋体" w:hAnsi="宋体" w:cs="宋体"/>
                <w:color w:val="auto"/>
                <w:sz w:val="24"/>
                <w:highlight w:val="none"/>
              </w:rPr>
            </w:pPr>
          </w:p>
          <w:p w14:paraId="5AD44770">
            <w:pPr>
              <w:snapToGrid w:val="0"/>
              <w:spacing w:line="360" w:lineRule="auto"/>
              <w:jc w:val="center"/>
              <w:rPr>
                <w:rFonts w:ascii="宋体" w:hAnsi="宋体" w:cs="宋体"/>
                <w:color w:val="auto"/>
                <w:sz w:val="24"/>
                <w:highlight w:val="none"/>
              </w:rPr>
            </w:pPr>
          </w:p>
          <w:p w14:paraId="4342F9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5BF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C4B7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1DD2CF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0F5DF9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6810C9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DCACD8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858D50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7AC0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0" w:hRule="atLeast"/>
          <w:tblHeader/>
        </w:trPr>
        <w:tc>
          <w:tcPr>
            <w:tcW w:w="629" w:type="dxa"/>
            <w:tcBorders>
              <w:top w:val="single" w:color="auto" w:sz="4" w:space="0"/>
              <w:left w:val="single" w:color="000000" w:sz="8" w:space="0"/>
              <w:right w:val="single" w:color="000000" w:sz="2" w:space="0"/>
            </w:tcBorders>
            <w:vAlign w:val="center"/>
          </w:tcPr>
          <w:p w14:paraId="146973C7">
            <w:pPr>
              <w:snapToGrid w:val="0"/>
              <w:spacing w:line="360" w:lineRule="auto"/>
              <w:jc w:val="center"/>
              <w:rPr>
                <w:rFonts w:ascii="宋体" w:hAnsi="宋体" w:cs="宋体"/>
                <w:color w:val="auto"/>
                <w:sz w:val="24"/>
                <w:highlight w:val="none"/>
              </w:rPr>
            </w:pPr>
          </w:p>
          <w:p w14:paraId="66B8A5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52A11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CC5D2F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6D74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82B8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E62B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677D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杭州市拱墅区大关路179号远洋国际中心A座17楼1705室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章柔婧，0571-87981527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B94B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EF392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6E5C2F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CFDB8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6073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21CADB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C35D59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DDEA0E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043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50E6B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22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CEC4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5105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5EE73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524ECFC3">
            <w:pPr>
              <w:spacing w:line="360" w:lineRule="auto"/>
              <w:rPr>
                <w:rFonts w:cs="Arial" w:asciiTheme="minorEastAsia" w:hAnsiTheme="minorEastAsia" w:eastAsiaTheme="minorEastAsia"/>
                <w:color w:val="auto"/>
                <w:kern w:val="0"/>
                <w:sz w:val="24"/>
                <w:highlight w:val="none"/>
              </w:rPr>
            </w:pPr>
            <w:r>
              <w:rPr>
                <w:b/>
                <w:color w:val="auto"/>
                <w:kern w:val="0"/>
                <w:sz w:val="24"/>
                <w:highlight w:val="none"/>
              </w:rPr>
              <w:t>本项目的采购代理费由中标人支付；按中标价做为基数，</w:t>
            </w:r>
            <w:r>
              <w:rPr>
                <w:rFonts w:hint="eastAsia"/>
                <w:b/>
                <w:color w:val="auto"/>
                <w:kern w:val="0"/>
                <w:sz w:val="24"/>
                <w:highlight w:val="none"/>
              </w:rPr>
              <w:t>按国家计委《招标代理服务收费管理暂行办法》[2002]1980号文件中收费标准的48%计算代理费用，保底收费为人民币1500元整。</w:t>
            </w:r>
            <w:r>
              <w:rPr>
                <w:b/>
                <w:color w:val="auto"/>
                <w:kern w:val="0"/>
                <w:sz w:val="24"/>
                <w:highlight w:val="none"/>
              </w:rPr>
              <w:t>该费用在投标文件中不单列，由投标人在投标总报价中综合考虑。</w:t>
            </w:r>
          </w:p>
        </w:tc>
      </w:tr>
    </w:tbl>
    <w:p w14:paraId="3AEA6D76">
      <w:pPr>
        <w:snapToGrid w:val="0"/>
        <w:spacing w:line="360" w:lineRule="auto"/>
        <w:jc w:val="center"/>
        <w:rPr>
          <w:rFonts w:ascii="宋体" w:hAnsi="宋体" w:cs="宋体"/>
          <w:b/>
          <w:color w:val="auto"/>
          <w:sz w:val="32"/>
          <w:szCs w:val="20"/>
          <w:highlight w:val="none"/>
        </w:rPr>
      </w:pPr>
    </w:p>
    <w:bookmarkEnd w:id="10"/>
    <w:p w14:paraId="48E4424F">
      <w:pPr>
        <w:adjustRightInd/>
        <w:spacing w:line="360" w:lineRule="auto"/>
        <w:ind w:firstLine="3845" w:firstLineChars="1197"/>
        <w:outlineLvl w:val="0"/>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Toc164416483"/>
      <w:bookmarkStart w:id="14" w:name="第三部分"/>
    </w:p>
    <w:p w14:paraId="4AFF4A6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C16DF8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691D8C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F932E6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0EC4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69BE3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6473F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897B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22CD5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26E6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CF20C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69EA75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E8F0A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27004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8AF16F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D51F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3BCDF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30771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9AC6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097E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92C0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EBC760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1D756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CA535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E8D82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3C98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B1B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E7B5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DDFC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65928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4EF68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3235D69">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455E94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4101391">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7894C9B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DA00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2DFB3D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BE778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25B362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4AE3F3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59244">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2DA438F">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965811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85718E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E50A0E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2EA41B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B093E4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3ABB10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3909A2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D15F37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F00699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CFAA95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A3CCAC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B08F2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3C2EA63">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516892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15C0B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57B857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A46935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1B8D27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553D949">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0E5B9A8F">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F22BE5F">
      <w:pPr>
        <w:pStyle w:val="889"/>
        <w:shd w:val="clear" w:color="auto" w:fill="FFFFFF"/>
        <w:snapToGrid w:val="0"/>
        <w:spacing w:after="240" w:afterAutospacing="0" w:line="360" w:lineRule="auto"/>
        <w:ind w:firstLine="400"/>
        <w:contextualSpacing/>
        <w:rPr>
          <w:color w:val="auto"/>
          <w:highlight w:val="none"/>
        </w:rPr>
      </w:pPr>
    </w:p>
    <w:p w14:paraId="2D869D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D2BA9E3">
      <w:pPr>
        <w:pStyle w:val="131"/>
        <w:snapToGrid w:val="0"/>
        <w:spacing w:before="0"/>
        <w:ind w:firstLine="360"/>
        <w:rPr>
          <w:rFonts w:ascii="宋体" w:hAnsi="宋体" w:cs="宋体"/>
          <w:color w:val="auto"/>
          <w:sz w:val="18"/>
          <w:szCs w:val="18"/>
          <w:highlight w:val="none"/>
        </w:rPr>
      </w:pPr>
    </w:p>
    <w:p w14:paraId="058C957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661CD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3211E9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D00894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DF7B87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70EA31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D22F28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AE862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E22014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EC83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F5B258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4CFA45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D08A1D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ADCDC3">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D970A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0014C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40533A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AE237A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5097B4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2828146">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1DBDFE5">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5A345C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B06FC2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C4D8A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7D6ED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952FA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29CE88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653A6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50EA2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5EA21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A76D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16523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40609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8ACB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ABB39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2D60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C65E9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FB4F02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31E25A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D4AAED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2856430">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p>
    <w:p w14:paraId="627C4E8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7CF34F6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EDFEBE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BFAA5A4">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47A83698">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A7C22B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A684C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D16D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8F4DD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5446D8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3B77A6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248D87">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277AB7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4D9BCFC">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17562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FB067D">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D2FE0C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9EE3C6A">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1B6A49E">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868BA1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8EA954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8ECDA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EC0186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EE99725">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C06314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68B3C5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BB61640">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9653699">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E232D0">
      <w:pPr>
        <w:pStyle w:val="131"/>
        <w:spacing w:before="0"/>
        <w:ind w:firstLine="643"/>
        <w:rPr>
          <w:rFonts w:ascii="宋体" w:hAnsi="宋体" w:cs="宋体"/>
          <w:b/>
          <w:color w:val="auto"/>
          <w:sz w:val="32"/>
          <w:highlight w:val="none"/>
        </w:rPr>
      </w:pPr>
    </w:p>
    <w:p w14:paraId="01F80B8B">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0F0372A">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A185D9">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C73A43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45C65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81480F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66131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F034EA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79F36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DCD844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73D86A4">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F10C1E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033D1F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18C2A6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CC1F85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309E35F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E5CE5D2">
      <w:pPr>
        <w:pStyle w:val="131"/>
        <w:spacing w:before="0"/>
        <w:ind w:firstLine="0" w:firstLineChars="0"/>
        <w:rPr>
          <w:rFonts w:ascii="宋体" w:hAnsi="宋体" w:cs="宋体"/>
          <w:color w:val="auto"/>
          <w:kern w:val="0"/>
          <w:szCs w:val="24"/>
          <w:highlight w:val="none"/>
        </w:rPr>
      </w:pPr>
    </w:p>
    <w:p w14:paraId="7E70D4C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139FFE5">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D53DD9">
      <w:pPr>
        <w:spacing w:line="360" w:lineRule="auto"/>
        <w:rPr>
          <w:rFonts w:ascii="宋体" w:hAnsi="宋体" w:cs="宋体"/>
          <w:b/>
          <w:color w:val="auto"/>
          <w:sz w:val="24"/>
          <w:highlight w:val="none"/>
        </w:rPr>
      </w:pPr>
    </w:p>
    <w:p w14:paraId="3436F6D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BA59BF4">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08A60A9">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12FD354">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423B3D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C29542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23DBBFF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C24842B">
      <w:pPr>
        <w:pStyle w:val="131"/>
        <w:snapToGrid w:val="0"/>
        <w:spacing w:before="0"/>
        <w:ind w:firstLine="480"/>
        <w:rPr>
          <w:rStyle w:val="79"/>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14B1C34D">
      <w:pPr>
        <w:pStyle w:val="80"/>
        <w:rPr>
          <w:color w:val="auto"/>
          <w:highlight w:val="none"/>
        </w:rPr>
      </w:pPr>
    </w:p>
    <w:p w14:paraId="5FAB4528">
      <w:pPr>
        <w:snapToGrid w:val="0"/>
        <w:spacing w:line="360" w:lineRule="auto"/>
        <w:ind w:left="120" w:leftChars="57" w:firstLine="482" w:firstLineChars="150"/>
        <w:jc w:val="center"/>
        <w:rPr>
          <w:rFonts w:ascii="宋体" w:hAnsi="宋体" w:cs="宋体"/>
          <w:b/>
          <w:color w:val="auto"/>
          <w:sz w:val="32"/>
          <w:highlight w:val="none"/>
        </w:rPr>
      </w:pPr>
    </w:p>
    <w:p w14:paraId="0321313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0CEA50E">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133356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1A6E32A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5DC8ADD">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E1645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571603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05B25E8">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51B2D62">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326D861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65D5B30">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D2FCD0">
      <w:pPr>
        <w:pStyle w:val="3"/>
        <w:rPr>
          <w:color w:val="auto"/>
          <w:highlight w:val="none"/>
        </w:rPr>
      </w:pPr>
      <w:r>
        <w:rPr>
          <w:rFonts w:ascii="宋体" w:hAnsi="宋体" w:eastAsia="宋体"/>
          <w:color w:val="auto"/>
          <w:sz w:val="24"/>
          <w:highlight w:val="none"/>
          <w:lang w:val="en-US"/>
        </w:rPr>
        <w:t>27.预付款</w:t>
      </w:r>
    </w:p>
    <w:p w14:paraId="287E5DA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769271C">
      <w:pPr>
        <w:rPr>
          <w:color w:val="auto"/>
          <w:highlight w:val="none"/>
        </w:rPr>
      </w:pPr>
    </w:p>
    <w:p w14:paraId="1F8F2F23">
      <w:pPr>
        <w:snapToGrid w:val="0"/>
        <w:spacing w:line="360" w:lineRule="auto"/>
        <w:ind w:firstLine="3357" w:firstLineChars="1045"/>
        <w:rPr>
          <w:rFonts w:ascii="宋体" w:hAnsi="宋体" w:cs="宋体"/>
          <w:b/>
          <w:color w:val="auto"/>
          <w:sz w:val="32"/>
          <w:highlight w:val="none"/>
        </w:rPr>
      </w:pPr>
    </w:p>
    <w:p w14:paraId="4DCBEDB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1A210A6">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65DD95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59B2C1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FFE85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6F05CF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07CEB9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0244E7F">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5D00A6">
      <w:pPr>
        <w:tabs>
          <w:tab w:val="left" w:pos="0"/>
        </w:tabs>
        <w:spacing w:line="360" w:lineRule="auto"/>
        <w:ind w:firstLine="480"/>
        <w:rPr>
          <w:rFonts w:ascii="宋体" w:hAnsi="宋体" w:cs="宋体"/>
          <w:color w:val="auto"/>
          <w:sz w:val="24"/>
          <w:highlight w:val="none"/>
        </w:rPr>
      </w:pPr>
    </w:p>
    <w:p w14:paraId="686C8B9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9110B9C">
      <w:pPr>
        <w:pStyle w:val="25"/>
        <w:spacing w:line="360" w:lineRule="auto"/>
        <w:ind w:firstLine="0" w:firstLineChars="0"/>
        <w:rPr>
          <w:rFonts w:cs="宋体"/>
          <w:b/>
          <w:color w:val="auto"/>
          <w:highlight w:val="none"/>
        </w:rPr>
      </w:pPr>
      <w:r>
        <w:rPr>
          <w:rFonts w:hint="eastAsia" w:cs="宋体"/>
          <w:b/>
          <w:color w:val="auto"/>
          <w:highlight w:val="none"/>
        </w:rPr>
        <w:t>30.验收</w:t>
      </w:r>
    </w:p>
    <w:p w14:paraId="0B1A78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04C8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06FD0A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E7603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0928FF">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A2C7AC4">
      <w:pPr>
        <w:pStyle w:val="80"/>
        <w:rPr>
          <w:color w:val="auto"/>
          <w:highlight w:val="none"/>
        </w:rPr>
      </w:pPr>
    </w:p>
    <w:bookmarkEnd w:id="15"/>
    <w:p w14:paraId="611D8D0E">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7" w:name="_Hlt68057669"/>
      <w:bookmarkEnd w:id="17"/>
      <w:bookmarkStart w:id="18" w:name="_Hlt68073093"/>
      <w:bookmarkEnd w:id="18"/>
      <w:bookmarkStart w:id="19" w:name="_Hlt68072998"/>
      <w:bookmarkEnd w:id="19"/>
      <w:bookmarkStart w:id="20" w:name="_Hlt68072990"/>
      <w:bookmarkEnd w:id="20"/>
      <w:bookmarkStart w:id="21" w:name="_Hlt74729768"/>
      <w:bookmarkEnd w:id="21"/>
      <w:bookmarkStart w:id="22" w:name="_Hlt74714665"/>
      <w:bookmarkEnd w:id="22"/>
      <w:bookmarkStart w:id="23" w:name="_Hlt74730295"/>
      <w:bookmarkEnd w:id="23"/>
      <w:bookmarkStart w:id="24" w:name="_Hlt75236101"/>
      <w:bookmarkEnd w:id="24"/>
      <w:bookmarkStart w:id="25" w:name="_Hlt75236011"/>
      <w:bookmarkEnd w:id="25"/>
      <w:bookmarkStart w:id="26" w:name="_Hlt74707468"/>
      <w:bookmarkEnd w:id="26"/>
      <w:bookmarkStart w:id="27" w:name="_Hlt75236290"/>
      <w:bookmarkEnd w:id="27"/>
      <w:bookmarkStart w:id="28" w:name="_Hlt68403820"/>
      <w:bookmarkEnd w:id="28"/>
    </w:p>
    <w:bookmarkEnd w:id="13"/>
    <w:bookmarkEnd w:id="14"/>
    <w:p w14:paraId="72ED38C5">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6860881C">
      <w:pPr>
        <w:pStyle w:val="3"/>
        <w:numPr>
          <w:ilvl w:val="0"/>
          <w:numId w:val="2"/>
        </w:numPr>
        <w:ind w:left="360" w:hanging="360"/>
        <w:rPr>
          <w:rFonts w:ascii="宋体" w:hAnsi="宋体" w:eastAsia="宋体" w:cs="宋体"/>
          <w:color w:val="auto"/>
          <w:sz w:val="24"/>
          <w:szCs w:val="24"/>
          <w:highlight w:val="none"/>
        </w:rPr>
      </w:pPr>
      <w:bookmarkStart w:id="30" w:name="_Toc25476"/>
      <w:r>
        <w:rPr>
          <w:rFonts w:hint="eastAsia" w:ascii="宋体" w:hAnsi="宋体" w:eastAsia="宋体" w:cs="宋体"/>
          <w:color w:val="auto"/>
          <w:sz w:val="24"/>
          <w:szCs w:val="24"/>
          <w:highlight w:val="none"/>
        </w:rPr>
        <w:t>项目</w:t>
      </w:r>
      <w:bookmarkEnd w:id="30"/>
      <w:r>
        <w:rPr>
          <w:rFonts w:hint="eastAsia" w:ascii="宋体" w:hAnsi="宋体" w:eastAsia="宋体" w:cs="宋体"/>
          <w:color w:val="auto"/>
          <w:sz w:val="24"/>
          <w:szCs w:val="24"/>
          <w:highlight w:val="none"/>
        </w:rPr>
        <w:t>概况</w:t>
      </w:r>
    </w:p>
    <w:p w14:paraId="5A527AFA">
      <w:pPr>
        <w:pStyle w:val="85"/>
        <w:rPr>
          <w:rFonts w:cs="宋体"/>
          <w:color w:val="auto"/>
          <w:highlight w:val="none"/>
        </w:rPr>
      </w:pPr>
      <w:r>
        <w:rPr>
          <w:rFonts w:hint="eastAsia" w:cs="宋体"/>
          <w:color w:val="auto"/>
          <w:highlight w:val="none"/>
        </w:rPr>
        <w:t>2025年度卫健数字化改革项目驾驶舱日常运维保障项目具体服务内容如下：</w:t>
      </w:r>
    </w:p>
    <w:p w14:paraId="2944BCBC">
      <w:pPr>
        <w:pStyle w:val="85"/>
        <w:rPr>
          <w:rFonts w:cs="宋体"/>
          <w:color w:val="auto"/>
          <w:highlight w:val="none"/>
        </w:rPr>
      </w:pPr>
      <w:r>
        <w:rPr>
          <w:rFonts w:hint="eastAsia" w:cs="宋体"/>
          <w:color w:val="auto"/>
          <w:highlight w:val="none"/>
        </w:rPr>
        <w:t>保障杭州市卫健委“平安卫健”系统、杭州市婴育数字化应用系统、杭州市健康应用、杭州市中医药数据驾驶舱、城市大脑运维保障、脊柱侧弯和中医全链路溯源工作完善等六个系统的正常运维。</w:t>
      </w:r>
    </w:p>
    <w:p w14:paraId="4D09520F">
      <w:pPr>
        <w:pStyle w:val="3"/>
        <w:numPr>
          <w:ilvl w:val="0"/>
          <w:numId w:val="2"/>
        </w:numPr>
        <w:ind w:left="360" w:hanging="3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p w14:paraId="799DFA83">
      <w:pPr>
        <w:pStyle w:val="85"/>
        <w:rPr>
          <w:rFonts w:cs="宋体"/>
          <w:b/>
          <w:bCs/>
          <w:color w:val="auto"/>
          <w:highlight w:val="none"/>
        </w:rPr>
      </w:pPr>
      <w:r>
        <w:rPr>
          <w:rFonts w:hint="eastAsia" w:cs="宋体"/>
          <w:b/>
          <w:bCs/>
          <w:color w:val="auto"/>
          <w:highlight w:val="none"/>
        </w:rPr>
        <w:t>系统一：杭州市卫健委“平安卫健”系统运维服务</w:t>
      </w:r>
    </w:p>
    <w:p w14:paraId="3CA07777">
      <w:pPr>
        <w:pStyle w:val="85"/>
        <w:rPr>
          <w:color w:val="auto"/>
          <w:highlight w:val="none"/>
        </w:rPr>
      </w:pPr>
      <w:r>
        <w:rPr>
          <w:rFonts w:hint="eastAsia" w:cs="宋体"/>
          <w:color w:val="auto"/>
          <w:highlight w:val="none"/>
        </w:rPr>
        <w:t>为维护杭州市卫健委“平安卫健”一期系统中年度考核、在线动态、消防安全、安全生产、信访维稳、综治安保、疫情防控这七大模块，通过系统化、持续地运维服务保障本系统高效、安全、稳定、可靠运行。</w:t>
      </w:r>
    </w:p>
    <w:p w14:paraId="7313DE14">
      <w:pPr>
        <w:pStyle w:val="258"/>
        <w:ind w:firstLine="480"/>
        <w:rPr>
          <w:rFonts w:ascii="宋体" w:hAnsi="宋体" w:eastAsia="宋体"/>
          <w:color w:val="auto"/>
          <w:highlight w:val="none"/>
        </w:rPr>
      </w:pPr>
      <w:r>
        <w:rPr>
          <w:rFonts w:hint="eastAsia" w:ascii="宋体" w:hAnsi="宋体" w:eastAsia="宋体"/>
          <w:color w:val="auto"/>
          <w:highlight w:val="none"/>
        </w:rPr>
        <w:t>（一）运维服务内容</w:t>
      </w:r>
    </w:p>
    <w:p w14:paraId="5C3B9AE7">
      <w:pPr>
        <w:pStyle w:val="258"/>
        <w:numPr>
          <w:ilvl w:val="0"/>
          <w:numId w:val="3"/>
        </w:numPr>
        <w:adjustRightInd/>
        <w:ind w:left="0" w:firstLine="480"/>
        <w:rPr>
          <w:rFonts w:ascii="宋体" w:hAnsi="宋体" w:eastAsia="宋体"/>
          <w:color w:val="auto"/>
          <w:highlight w:val="none"/>
        </w:rPr>
      </w:pPr>
      <w:r>
        <w:rPr>
          <w:rFonts w:hint="eastAsia" w:ascii="宋体" w:hAnsi="宋体" w:eastAsia="宋体"/>
          <w:color w:val="auto"/>
          <w:highlight w:val="none"/>
        </w:rPr>
        <w:t>日常工单处理：提供5*8小时日常工单处理服务，通过邮件、QQ和电话等方式受理甲方派发的工单。</w:t>
      </w:r>
    </w:p>
    <w:p w14:paraId="75B270A6">
      <w:pPr>
        <w:pStyle w:val="258"/>
        <w:numPr>
          <w:ilvl w:val="0"/>
          <w:numId w:val="3"/>
        </w:numPr>
        <w:adjustRightInd/>
        <w:ind w:left="0" w:firstLine="480"/>
        <w:rPr>
          <w:rFonts w:ascii="宋体" w:hAnsi="宋体" w:eastAsia="宋体"/>
          <w:color w:val="auto"/>
          <w:highlight w:val="none"/>
        </w:rPr>
      </w:pPr>
      <w:r>
        <w:rPr>
          <w:rFonts w:hint="eastAsia" w:ascii="宋体" w:hAnsi="宋体" w:eastAsia="宋体"/>
          <w:color w:val="auto"/>
          <w:highlight w:val="none"/>
        </w:rPr>
        <w:t>变更管理：负责线上服务的变更、服务状态监控、服务容灾和数据备份等工作，对服务进行例行排查、故障应急处理等工作，保障平台7X24小时正常稳定的运行。</w:t>
      </w:r>
    </w:p>
    <w:p w14:paraId="59987D40">
      <w:pPr>
        <w:pStyle w:val="258"/>
        <w:numPr>
          <w:ilvl w:val="0"/>
          <w:numId w:val="3"/>
        </w:numPr>
        <w:adjustRightInd/>
        <w:ind w:left="0" w:firstLine="480"/>
        <w:rPr>
          <w:rFonts w:ascii="宋体" w:hAnsi="宋体" w:eastAsia="宋体"/>
          <w:color w:val="auto"/>
          <w:highlight w:val="none"/>
        </w:rPr>
      </w:pPr>
      <w:r>
        <w:rPr>
          <w:rFonts w:hint="eastAsia" w:ascii="宋体" w:hAnsi="宋体" w:eastAsia="宋体"/>
          <w:color w:val="auto"/>
          <w:highlight w:val="none"/>
        </w:rPr>
        <w:t>安全演练：负责跟进上级发起的安全相关的应急保障演练工作，实施并编写相关演练报告及总结。并对生产业务进行高可用演练，保障生产业务持续稳定的运行。</w:t>
      </w:r>
    </w:p>
    <w:p w14:paraId="4A09DE49">
      <w:pPr>
        <w:pStyle w:val="258"/>
        <w:numPr>
          <w:ilvl w:val="0"/>
          <w:numId w:val="3"/>
        </w:numPr>
        <w:adjustRightInd/>
        <w:ind w:left="0" w:firstLine="480"/>
        <w:rPr>
          <w:rFonts w:ascii="宋体" w:hAnsi="宋体" w:eastAsia="宋体"/>
          <w:color w:val="auto"/>
          <w:highlight w:val="none"/>
        </w:rPr>
      </w:pPr>
      <w:r>
        <w:rPr>
          <w:rFonts w:hint="eastAsia" w:ascii="宋体" w:hAnsi="宋体" w:eastAsia="宋体"/>
          <w:color w:val="auto"/>
          <w:highlight w:val="none"/>
        </w:rPr>
        <w:t>漏洞整改：对业务安全漏扫及隐私合规扫描出现的问题进行及时修复。</w:t>
      </w:r>
    </w:p>
    <w:p w14:paraId="77A16EC8">
      <w:pPr>
        <w:pStyle w:val="258"/>
        <w:numPr>
          <w:ilvl w:val="0"/>
          <w:numId w:val="3"/>
        </w:numPr>
        <w:adjustRightInd/>
        <w:ind w:left="0" w:firstLine="480"/>
        <w:rPr>
          <w:rFonts w:ascii="宋体" w:hAnsi="宋体" w:eastAsia="宋体"/>
          <w:color w:val="auto"/>
          <w:highlight w:val="none"/>
        </w:rPr>
      </w:pPr>
      <w:r>
        <w:rPr>
          <w:rFonts w:hint="eastAsia" w:ascii="宋体" w:hAnsi="宋体" w:eastAsia="宋体"/>
          <w:color w:val="auto"/>
          <w:highlight w:val="none"/>
        </w:rPr>
        <w:t>运维优化：基于业务系统不断深入Linux操作系统内核、各大中间件进行部署、维护、调优，及高可用方案的可行性研究，并通过一系列shell脚本，对生产服务器进行自动化巡检，监控、告警等功能。</w:t>
      </w:r>
    </w:p>
    <w:p w14:paraId="0723EDD0">
      <w:pPr>
        <w:pStyle w:val="258"/>
        <w:ind w:firstLine="480"/>
        <w:rPr>
          <w:rFonts w:ascii="宋体" w:hAnsi="宋体" w:eastAsia="宋体"/>
          <w:color w:val="auto"/>
          <w:highlight w:val="none"/>
        </w:rPr>
      </w:pPr>
      <w:r>
        <w:rPr>
          <w:rFonts w:hint="eastAsia" w:ascii="宋体" w:hAnsi="宋体" w:eastAsia="宋体"/>
          <w:color w:val="auto"/>
          <w:highlight w:val="none"/>
        </w:rPr>
        <w:t>（二）运维服务方式</w:t>
      </w:r>
    </w:p>
    <w:p w14:paraId="0867017C">
      <w:pPr>
        <w:pStyle w:val="258"/>
        <w:numPr>
          <w:ilvl w:val="0"/>
          <w:numId w:val="4"/>
        </w:numPr>
        <w:adjustRightInd/>
        <w:ind w:left="0" w:firstLine="480"/>
        <w:rPr>
          <w:rFonts w:ascii="宋体" w:hAnsi="宋体" w:eastAsia="宋体"/>
          <w:color w:val="auto"/>
          <w:highlight w:val="none"/>
        </w:rPr>
      </w:pPr>
      <w:r>
        <w:rPr>
          <w:rFonts w:hint="eastAsia" w:ascii="宋体" w:hAnsi="宋体" w:eastAsia="宋体"/>
          <w:color w:val="auto"/>
          <w:highlight w:val="none"/>
        </w:rPr>
        <w:t>现场支持</w:t>
      </w:r>
      <w:r>
        <w:rPr>
          <w:rFonts w:ascii="宋体" w:hAnsi="宋体" w:eastAsia="宋体"/>
          <w:color w:val="auto"/>
          <w:highlight w:val="none"/>
        </w:rPr>
        <w:t>服务</w:t>
      </w:r>
      <w:r>
        <w:rPr>
          <w:rFonts w:hint="eastAsia" w:ascii="宋体" w:hAnsi="宋体" w:eastAsia="宋体"/>
          <w:color w:val="auto"/>
          <w:highlight w:val="none"/>
        </w:rPr>
        <w:t>：</w:t>
      </w:r>
      <w:r>
        <w:rPr>
          <w:rFonts w:ascii="宋体" w:hAnsi="宋体" w:eastAsia="宋体"/>
          <w:color w:val="auto"/>
          <w:highlight w:val="none"/>
        </w:rPr>
        <w:t>公司为用户提供及时有效的支持服务。对于影响系统正常运行的严重故障</w:t>
      </w:r>
      <w:r>
        <w:rPr>
          <w:rFonts w:hint="eastAsia" w:ascii="宋体" w:hAnsi="宋体" w:eastAsia="宋体"/>
          <w:color w:val="auto"/>
          <w:highlight w:val="none"/>
        </w:rPr>
        <w:t>，将</w:t>
      </w:r>
      <w:r>
        <w:rPr>
          <w:rFonts w:ascii="宋体" w:hAnsi="宋体" w:eastAsia="宋体"/>
          <w:color w:val="auto"/>
          <w:highlight w:val="none"/>
        </w:rPr>
        <w:t>派相关技术人员在2小时内</w:t>
      </w:r>
      <w:r>
        <w:rPr>
          <w:rFonts w:hint="eastAsia" w:ascii="宋体" w:hAnsi="宋体" w:eastAsia="宋体"/>
          <w:color w:val="auto"/>
          <w:highlight w:val="none"/>
        </w:rPr>
        <w:t>远程</w:t>
      </w:r>
      <w:r>
        <w:rPr>
          <w:rFonts w:ascii="宋体" w:hAnsi="宋体" w:eastAsia="宋体"/>
          <w:color w:val="auto"/>
          <w:highlight w:val="none"/>
        </w:rPr>
        <w:t>查找原因，提出解决方案，并工作直至故障修妥完全恢复正常服务为止。</w:t>
      </w:r>
    </w:p>
    <w:p w14:paraId="72B09902">
      <w:pPr>
        <w:pStyle w:val="258"/>
        <w:numPr>
          <w:ilvl w:val="0"/>
          <w:numId w:val="4"/>
        </w:numPr>
        <w:adjustRightInd/>
        <w:ind w:left="0" w:firstLine="480"/>
        <w:rPr>
          <w:rFonts w:ascii="宋体" w:hAnsi="宋体" w:eastAsia="宋体"/>
          <w:color w:val="auto"/>
          <w:highlight w:val="none"/>
        </w:rPr>
      </w:pPr>
      <w:r>
        <w:rPr>
          <w:rFonts w:hint="eastAsia" w:ascii="宋体" w:hAnsi="宋体" w:eastAsia="宋体"/>
          <w:color w:val="auto"/>
          <w:highlight w:val="none"/>
        </w:rPr>
        <w:t>电话咨询及邮件</w:t>
      </w:r>
      <w:r>
        <w:rPr>
          <w:rFonts w:ascii="宋体" w:hAnsi="宋体" w:eastAsia="宋体"/>
          <w:color w:val="auto"/>
          <w:highlight w:val="none"/>
        </w:rPr>
        <w:t>服务</w:t>
      </w:r>
      <w:r>
        <w:rPr>
          <w:rFonts w:hint="eastAsia" w:ascii="宋体" w:hAnsi="宋体" w:eastAsia="宋体"/>
          <w:color w:val="auto"/>
          <w:highlight w:val="none"/>
        </w:rPr>
        <w:t>：</w:t>
      </w:r>
      <w:r>
        <w:rPr>
          <w:rFonts w:ascii="宋体" w:hAnsi="宋体" w:eastAsia="宋体"/>
          <w:color w:val="auto"/>
          <w:highlight w:val="none"/>
        </w:rPr>
        <w:t>提供每周7天/每天</w:t>
      </w:r>
      <w:r>
        <w:rPr>
          <w:rFonts w:hint="eastAsia" w:ascii="宋体" w:hAnsi="宋体" w:eastAsia="宋体"/>
          <w:color w:val="auto"/>
          <w:highlight w:val="none"/>
        </w:rPr>
        <w:t>24</w:t>
      </w:r>
      <w:r>
        <w:rPr>
          <w:rFonts w:ascii="宋体" w:hAnsi="宋体" w:eastAsia="宋体"/>
          <w:color w:val="auto"/>
          <w:highlight w:val="none"/>
        </w:rPr>
        <w:t>小时不间断的电话支持服务和电子邮件技术服务，解答用户在系统使用、维护过程中遇到的问题，及时提出解决问题的建议和操作方法。</w:t>
      </w:r>
    </w:p>
    <w:p w14:paraId="7BEACCF2">
      <w:pPr>
        <w:pStyle w:val="258"/>
        <w:numPr>
          <w:ilvl w:val="0"/>
          <w:numId w:val="4"/>
        </w:numPr>
        <w:adjustRightInd/>
        <w:ind w:left="0" w:firstLine="480"/>
        <w:rPr>
          <w:rFonts w:ascii="宋体" w:hAnsi="宋体" w:eastAsia="宋体"/>
          <w:color w:val="auto"/>
          <w:highlight w:val="none"/>
        </w:rPr>
      </w:pPr>
      <w:r>
        <w:rPr>
          <w:rFonts w:hint="eastAsia" w:ascii="宋体" w:hAnsi="宋体" w:eastAsia="宋体"/>
          <w:color w:val="auto"/>
          <w:highlight w:val="none"/>
        </w:rPr>
        <w:t>网上及远程在线诊断和故障排除：</w:t>
      </w:r>
      <w:r>
        <w:rPr>
          <w:rFonts w:ascii="宋体" w:hAnsi="宋体" w:eastAsia="宋体"/>
          <w:color w:val="auto"/>
          <w:highlight w:val="none"/>
        </w:rPr>
        <w:t>对于电话咨询无法解决的问题，工程师经用户授权可通过</w:t>
      </w:r>
      <w:r>
        <w:rPr>
          <w:rFonts w:hint="eastAsia" w:ascii="宋体" w:hAnsi="宋体" w:eastAsia="宋体"/>
          <w:color w:val="auto"/>
          <w:highlight w:val="none"/>
        </w:rPr>
        <w:t>政务云</w:t>
      </w:r>
      <w:r>
        <w:rPr>
          <w:rFonts w:ascii="宋体" w:hAnsi="宋体" w:eastAsia="宋体"/>
          <w:color w:val="auto"/>
          <w:highlight w:val="none"/>
        </w:rPr>
        <w:t>远程登录到用户网络系统进行免费的故障诊断和故障排除。</w:t>
      </w:r>
    </w:p>
    <w:p w14:paraId="79C55D6A">
      <w:pPr>
        <w:pStyle w:val="258"/>
        <w:numPr>
          <w:ilvl w:val="0"/>
          <w:numId w:val="4"/>
        </w:numPr>
        <w:adjustRightInd/>
        <w:ind w:left="0" w:firstLine="480"/>
        <w:rPr>
          <w:rFonts w:ascii="宋体" w:hAnsi="宋体" w:eastAsia="宋体"/>
          <w:color w:val="auto"/>
          <w:highlight w:val="none"/>
        </w:rPr>
      </w:pPr>
      <w:r>
        <w:rPr>
          <w:rFonts w:hint="eastAsia" w:ascii="宋体" w:hAnsi="宋体" w:eastAsia="宋体"/>
          <w:color w:val="auto"/>
          <w:highlight w:val="none"/>
        </w:rPr>
        <w:t>巡检服务：</w:t>
      </w:r>
      <w:r>
        <w:rPr>
          <w:rFonts w:ascii="宋体" w:hAnsi="宋体" w:eastAsia="宋体"/>
          <w:color w:val="auto"/>
          <w:highlight w:val="none"/>
        </w:rPr>
        <w:t>为了避免出现重大故障，在不干扰业务运行的前提下，按照每月一次的频率对系统进行常规巡检，对应用系统进行经常性的性能和效能分析，以便对故障征兆进行提前预防，保证系统在最优化的状态下稳定运行。</w:t>
      </w:r>
    </w:p>
    <w:p w14:paraId="239DB54E">
      <w:pPr>
        <w:pStyle w:val="258"/>
        <w:ind w:firstLine="480"/>
        <w:rPr>
          <w:rFonts w:ascii="宋体" w:hAnsi="宋体" w:eastAsia="宋体"/>
          <w:color w:val="auto"/>
          <w:highlight w:val="none"/>
        </w:rPr>
      </w:pPr>
      <w:r>
        <w:rPr>
          <w:rFonts w:hint="eastAsia" w:ascii="宋体" w:hAnsi="宋体" w:eastAsia="宋体"/>
          <w:color w:val="auto"/>
          <w:highlight w:val="none"/>
        </w:rPr>
        <w:t>（三）维护人员要求</w:t>
      </w:r>
    </w:p>
    <w:p w14:paraId="7441264F">
      <w:pPr>
        <w:pStyle w:val="258"/>
        <w:numPr>
          <w:ilvl w:val="0"/>
          <w:numId w:val="5"/>
        </w:numPr>
        <w:adjustRightInd/>
        <w:ind w:left="0" w:firstLine="480"/>
        <w:rPr>
          <w:rFonts w:ascii="宋体" w:hAnsi="宋体" w:eastAsia="宋体"/>
          <w:color w:val="auto"/>
          <w:highlight w:val="none"/>
        </w:rPr>
      </w:pPr>
      <w:r>
        <w:rPr>
          <w:rFonts w:hint="eastAsia" w:ascii="宋体" w:hAnsi="宋体" w:eastAsia="宋体"/>
          <w:color w:val="auto"/>
          <w:highlight w:val="none"/>
        </w:rPr>
        <w:t>具备很好的沟通能力，做事要积极主动，能协调各方资源并快速解决问题。</w:t>
      </w:r>
    </w:p>
    <w:p w14:paraId="02678EA7">
      <w:pPr>
        <w:pStyle w:val="258"/>
        <w:numPr>
          <w:ilvl w:val="0"/>
          <w:numId w:val="5"/>
        </w:numPr>
        <w:adjustRightInd/>
        <w:ind w:left="0" w:firstLine="480"/>
        <w:rPr>
          <w:rFonts w:ascii="宋体" w:hAnsi="宋体" w:eastAsia="宋体"/>
          <w:color w:val="auto"/>
          <w:highlight w:val="none"/>
        </w:rPr>
      </w:pPr>
      <w:r>
        <w:rPr>
          <w:rFonts w:hint="eastAsia" w:ascii="宋体" w:hAnsi="宋体" w:eastAsia="宋体"/>
          <w:color w:val="auto"/>
          <w:highlight w:val="none"/>
        </w:rPr>
        <w:t>要足够了解浙江省电子政务网，对其内部各业务也能在短期内做到了解熟悉。</w:t>
      </w:r>
    </w:p>
    <w:p w14:paraId="59D84A26">
      <w:pPr>
        <w:pStyle w:val="258"/>
        <w:numPr>
          <w:ilvl w:val="0"/>
          <w:numId w:val="5"/>
        </w:numPr>
        <w:adjustRightInd/>
        <w:ind w:left="0" w:firstLine="480"/>
        <w:rPr>
          <w:rFonts w:ascii="宋体" w:hAnsi="宋体" w:eastAsia="宋体"/>
          <w:color w:val="auto"/>
          <w:highlight w:val="none"/>
        </w:rPr>
      </w:pPr>
      <w:r>
        <w:rPr>
          <w:rFonts w:hint="eastAsia" w:ascii="宋体" w:hAnsi="宋体" w:eastAsia="宋体"/>
          <w:color w:val="auto"/>
          <w:highlight w:val="none"/>
        </w:rPr>
        <w:t>要求指派的运维人员服务态度好、效率高、沟通强。</w:t>
      </w:r>
    </w:p>
    <w:p w14:paraId="59A17776">
      <w:pPr>
        <w:pStyle w:val="258"/>
        <w:numPr>
          <w:ilvl w:val="0"/>
          <w:numId w:val="5"/>
        </w:numPr>
        <w:adjustRightInd/>
        <w:ind w:left="0" w:firstLine="480"/>
        <w:rPr>
          <w:rFonts w:ascii="宋体" w:hAnsi="宋体" w:eastAsia="宋体"/>
          <w:color w:val="auto"/>
          <w:highlight w:val="none"/>
        </w:rPr>
      </w:pPr>
      <w:r>
        <w:rPr>
          <w:rFonts w:hint="eastAsia" w:ascii="宋体" w:hAnsi="宋体" w:eastAsia="宋体"/>
          <w:color w:val="auto"/>
          <w:highlight w:val="none"/>
        </w:rPr>
        <w:t>要求指派的运维人员能主动发现工作不足，并主动完善。</w:t>
      </w:r>
    </w:p>
    <w:p w14:paraId="2270CAAD">
      <w:pPr>
        <w:pStyle w:val="258"/>
        <w:numPr>
          <w:ilvl w:val="0"/>
          <w:numId w:val="5"/>
        </w:numPr>
        <w:adjustRightInd/>
        <w:ind w:left="0" w:firstLine="480"/>
        <w:rPr>
          <w:rFonts w:ascii="宋体" w:hAnsi="宋体" w:eastAsia="宋体"/>
          <w:color w:val="auto"/>
          <w:highlight w:val="none"/>
        </w:rPr>
      </w:pPr>
      <w:r>
        <w:rPr>
          <w:rFonts w:hint="eastAsia" w:ascii="宋体" w:hAnsi="宋体" w:eastAsia="宋体"/>
          <w:color w:val="auto"/>
          <w:highlight w:val="none"/>
        </w:rPr>
        <w:t>具备相关技术专业知识，能够较快解决问题，熟悉病毒防范，熟悉防火墙、入侵检测等网络安全系统设备的配置和维护，熟悉主流网络操作系统、服务器的运维。</w:t>
      </w:r>
    </w:p>
    <w:p w14:paraId="5C1C1C66">
      <w:pPr>
        <w:pStyle w:val="85"/>
        <w:rPr>
          <w:rFonts w:cs="Lucida Sans"/>
          <w:b/>
          <w:bCs/>
          <w:color w:val="auto"/>
          <w:highlight w:val="none"/>
        </w:rPr>
      </w:pPr>
      <w:r>
        <w:rPr>
          <w:rFonts w:hint="eastAsia"/>
          <w:b/>
          <w:bCs/>
          <w:color w:val="auto"/>
          <w:highlight w:val="none"/>
        </w:rPr>
        <w:t>系统二：</w:t>
      </w:r>
      <w:r>
        <w:rPr>
          <w:rFonts w:hint="eastAsia" w:cs="Lucida Sans"/>
          <w:b/>
          <w:bCs/>
          <w:color w:val="auto"/>
          <w:highlight w:val="none"/>
        </w:rPr>
        <w:t>杭州市婴育数字化应用系统维护</w:t>
      </w:r>
    </w:p>
    <w:p w14:paraId="3D7A4ED2">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（一）项目背景</w:t>
      </w:r>
    </w:p>
    <w:p w14:paraId="182E98FF">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本项目需要运维的应用系统有</w:t>
      </w:r>
      <w:r>
        <w:rPr>
          <w:rFonts w:hint="eastAsia" w:ascii="宋体" w:hAnsi="宋体"/>
          <w:color w:val="auto"/>
          <w:sz w:val="24"/>
          <w:highlight w:val="none"/>
          <w:lang w:eastAsia="zh-Hans"/>
        </w:rPr>
        <w:t>杭州市婴育数字化市级管理平台</w:t>
      </w:r>
      <w:r>
        <w:rPr>
          <w:rFonts w:ascii="宋体" w:hAnsi="宋体"/>
          <w:color w:val="auto"/>
          <w:sz w:val="24"/>
          <w:highlight w:val="none"/>
          <w:lang w:eastAsia="zh-Hans"/>
        </w:rPr>
        <w:t>，</w:t>
      </w:r>
      <w:r>
        <w:rPr>
          <w:rFonts w:hint="eastAsia" w:ascii="宋体" w:hAnsi="宋体"/>
          <w:color w:val="auto"/>
          <w:sz w:val="24"/>
          <w:highlight w:val="none"/>
          <w:lang w:eastAsia="zh-Hans"/>
        </w:rPr>
        <w:t>杭州市婴育数字化市级数据驾驶舱系统</w:t>
      </w:r>
      <w:r>
        <w:rPr>
          <w:rFonts w:ascii="宋体" w:hAnsi="宋体"/>
          <w:color w:val="auto"/>
          <w:sz w:val="24"/>
          <w:highlight w:val="none"/>
          <w:lang w:eastAsia="zh-Hans"/>
        </w:rPr>
        <w:t>，</w:t>
      </w:r>
      <w:r>
        <w:rPr>
          <w:rFonts w:hint="eastAsia" w:ascii="宋体" w:hAnsi="宋体"/>
          <w:color w:val="auto"/>
          <w:sz w:val="24"/>
          <w:highlight w:val="none"/>
          <w:lang w:eastAsia="zh-Hans"/>
        </w:rPr>
        <w:t>杭州市婴育数字化各区县级数据驾驶舱系统</w:t>
      </w:r>
      <w:r>
        <w:rPr>
          <w:rFonts w:ascii="宋体" w:hAnsi="宋体"/>
          <w:color w:val="auto"/>
          <w:sz w:val="24"/>
          <w:highlight w:val="none"/>
          <w:lang w:eastAsia="zh-Hans"/>
        </w:rPr>
        <w:t>，</w:t>
      </w:r>
      <w:r>
        <w:rPr>
          <w:rFonts w:hint="eastAsia" w:ascii="宋体" w:hAnsi="宋体"/>
          <w:color w:val="auto"/>
          <w:sz w:val="24"/>
          <w:highlight w:val="none"/>
          <w:lang w:eastAsia="zh-Hans"/>
        </w:rPr>
        <w:t>杭州市婴育数字化各镇街数据驾驶舱系统</w:t>
      </w:r>
      <w:r>
        <w:rPr>
          <w:rFonts w:ascii="宋体" w:hAnsi="宋体"/>
          <w:color w:val="auto"/>
          <w:sz w:val="24"/>
          <w:highlight w:val="none"/>
          <w:lang w:eastAsia="zh-Hans"/>
        </w:rPr>
        <w:t>，</w:t>
      </w:r>
      <w:r>
        <w:rPr>
          <w:rFonts w:hint="eastAsia" w:ascii="宋体" w:hAnsi="宋体"/>
          <w:color w:val="auto"/>
          <w:sz w:val="24"/>
          <w:highlight w:val="none"/>
          <w:lang w:eastAsia="zh-Hans"/>
        </w:rPr>
        <w:t>杭州市各镇街</w:t>
      </w:r>
      <w:r>
        <w:rPr>
          <w:rFonts w:ascii="宋体" w:hAnsi="宋体"/>
          <w:color w:val="auto"/>
          <w:sz w:val="24"/>
          <w:highlight w:val="none"/>
          <w:lang w:eastAsia="zh-Hans"/>
        </w:rPr>
        <w:t>、</w:t>
      </w:r>
      <w:r>
        <w:rPr>
          <w:rFonts w:hint="eastAsia" w:ascii="宋体" w:hAnsi="宋体"/>
          <w:color w:val="auto"/>
          <w:sz w:val="24"/>
          <w:highlight w:val="none"/>
          <w:lang w:eastAsia="zh-Hans"/>
        </w:rPr>
        <w:t>区县视频监控接入</w:t>
      </w:r>
      <w:r>
        <w:rPr>
          <w:rFonts w:ascii="宋体" w:hAnsi="宋体"/>
          <w:color w:val="auto"/>
          <w:sz w:val="24"/>
          <w:highlight w:val="none"/>
          <w:lang w:eastAsia="zh-Hans"/>
        </w:rPr>
        <w:t>，</w:t>
      </w:r>
      <w:r>
        <w:rPr>
          <w:rFonts w:hint="eastAsia" w:ascii="宋体" w:hAnsi="宋体"/>
          <w:color w:val="auto"/>
          <w:sz w:val="24"/>
          <w:highlight w:val="none"/>
          <w:lang w:eastAsia="zh-Hans"/>
        </w:rPr>
        <w:t>托育一件事法人服务系统</w:t>
      </w:r>
      <w:r>
        <w:rPr>
          <w:rFonts w:ascii="宋体" w:hAnsi="宋体"/>
          <w:color w:val="auto"/>
          <w:sz w:val="24"/>
          <w:highlight w:val="none"/>
          <w:lang w:eastAsia="zh-Hans"/>
        </w:rPr>
        <w:t>，</w:t>
      </w:r>
      <w:r>
        <w:rPr>
          <w:rFonts w:hint="eastAsia" w:ascii="宋体" w:hAnsi="宋体"/>
          <w:color w:val="auto"/>
          <w:sz w:val="24"/>
          <w:highlight w:val="none"/>
          <w:lang w:eastAsia="zh-Hans"/>
        </w:rPr>
        <w:t>托育一件事个人用户服务系统</w:t>
      </w:r>
      <w:r>
        <w:rPr>
          <w:rFonts w:hint="eastAsia" w:ascii="宋体" w:hAnsi="宋体" w:cs="宋体"/>
          <w:color w:val="auto"/>
          <w:sz w:val="24"/>
          <w:highlight w:val="none"/>
        </w:rPr>
        <w:t>、</w:t>
      </w:r>
      <w:r>
        <w:rPr>
          <w:rFonts w:hint="eastAsia" w:ascii="宋体" w:hAnsi="宋体" w:cs="宋体"/>
          <w:color w:val="auto"/>
          <w:sz w:val="24"/>
          <w:highlight w:val="none"/>
          <w:lang w:eastAsia="zh-Hans"/>
        </w:rPr>
        <w:t>用户管理</w:t>
      </w:r>
      <w:r>
        <w:rPr>
          <w:rFonts w:hint="eastAsia" w:ascii="宋体" w:hAnsi="宋体" w:cs="宋体"/>
          <w:color w:val="auto"/>
          <w:sz w:val="24"/>
          <w:highlight w:val="none"/>
        </w:rPr>
        <w:t>系统等，以及其他少量需要运维的业务应用系统。</w:t>
      </w:r>
    </w:p>
    <w:p w14:paraId="4EB025C9">
      <w:pPr>
        <w:spacing w:line="360" w:lineRule="auto"/>
        <w:ind w:firstLine="600" w:firstLineChars="250"/>
        <w:rPr>
          <w:rFonts w:ascii="宋体" w:hAnsi="宋体"/>
          <w:color w:val="auto"/>
          <w:sz w:val="24"/>
          <w:highlight w:val="none"/>
        </w:rPr>
      </w:pPr>
      <w:r>
        <w:rPr>
          <w:rFonts w:hint="eastAsia" w:ascii="宋体" w:hAnsi="宋体" w:cs="宋体"/>
          <w:color w:val="auto"/>
          <w:sz w:val="24"/>
          <w:highlight w:val="none"/>
        </w:rPr>
        <w:t>这些应用系统涉及的操作系统有Linux、windows，涉及的数据库有MySql、Oracle，涉及的应用服务器有TOMCAT、</w:t>
      </w:r>
      <w:r>
        <w:rPr>
          <w:rFonts w:ascii="宋体" w:hAnsi="宋体" w:cs="宋体"/>
          <w:color w:val="auto"/>
          <w:sz w:val="24"/>
          <w:highlight w:val="none"/>
        </w:rPr>
        <w:t>nginx、</w:t>
      </w:r>
      <w:r>
        <w:rPr>
          <w:rFonts w:hint="eastAsia" w:ascii="宋体" w:hAnsi="宋体" w:cs="宋体"/>
          <w:color w:val="auto"/>
          <w:sz w:val="24"/>
          <w:highlight w:val="none"/>
          <w:lang w:eastAsia="zh-Hans"/>
        </w:rPr>
        <w:t>no</w:t>
      </w:r>
      <w:r>
        <w:rPr>
          <w:rFonts w:ascii="宋体" w:hAnsi="宋体" w:cs="宋体"/>
          <w:color w:val="auto"/>
          <w:sz w:val="24"/>
          <w:highlight w:val="none"/>
          <w:lang w:eastAsia="zh-Hans"/>
        </w:rPr>
        <w:t>dejs</w:t>
      </w:r>
      <w:r>
        <w:rPr>
          <w:rFonts w:hint="eastAsia" w:ascii="宋体" w:hAnsi="宋体" w:cs="宋体"/>
          <w:color w:val="auto"/>
          <w:sz w:val="24"/>
          <w:highlight w:val="none"/>
        </w:rPr>
        <w:t>，涉及的开发语言有Java、</w:t>
      </w:r>
      <w:r>
        <w:rPr>
          <w:rFonts w:ascii="宋体" w:hAnsi="宋体" w:cs="宋体"/>
          <w:color w:val="auto"/>
          <w:sz w:val="24"/>
          <w:highlight w:val="none"/>
        </w:rPr>
        <w:t>sql、</w:t>
      </w:r>
      <w:r>
        <w:rPr>
          <w:rFonts w:hint="eastAsia" w:ascii="宋体" w:hAnsi="宋体" w:cs="宋体"/>
          <w:color w:val="auto"/>
          <w:sz w:val="24"/>
          <w:highlight w:val="none"/>
          <w:lang w:eastAsia="zh-Hans"/>
        </w:rPr>
        <w:t>HTML/</w:t>
      </w:r>
      <w:r>
        <w:rPr>
          <w:rFonts w:ascii="宋体" w:hAnsi="宋体" w:cs="宋体"/>
          <w:color w:val="auto"/>
          <w:sz w:val="24"/>
          <w:highlight w:val="none"/>
          <w:lang w:eastAsia="zh-Hans"/>
        </w:rPr>
        <w:t>javascript/css</w:t>
      </w:r>
      <w:r>
        <w:rPr>
          <w:rFonts w:hint="eastAsia" w:ascii="宋体" w:hAnsi="宋体" w:cs="宋体"/>
          <w:color w:val="auto"/>
          <w:sz w:val="24"/>
          <w:highlight w:val="none"/>
        </w:rPr>
        <w:t>等。</w:t>
      </w:r>
    </w:p>
    <w:p w14:paraId="56A65DDE">
      <w:pPr>
        <w:spacing w:line="360" w:lineRule="auto"/>
        <w:rPr>
          <w:rFonts w:ascii="宋体" w:hAnsi="宋体"/>
          <w:color w:val="auto"/>
          <w:sz w:val="24"/>
          <w:highlight w:val="none"/>
        </w:rPr>
      </w:pPr>
      <w:r>
        <w:rPr>
          <w:rFonts w:hint="eastAsia" w:ascii="宋体" w:hAnsi="宋体" w:cs="宋体"/>
          <w:color w:val="auto"/>
          <w:sz w:val="24"/>
          <w:highlight w:val="none"/>
        </w:rPr>
        <w:t>网络环境为</w:t>
      </w:r>
      <w:r>
        <w:rPr>
          <w:rFonts w:hint="eastAsia" w:ascii="宋体" w:hAnsi="宋体" w:cs="宋体"/>
          <w:color w:val="auto"/>
          <w:sz w:val="24"/>
          <w:highlight w:val="none"/>
          <w:lang w:eastAsia="zh-Hans"/>
        </w:rPr>
        <w:t>杭州市政府卫生专网</w:t>
      </w:r>
      <w:r>
        <w:rPr>
          <w:rFonts w:hint="eastAsia" w:ascii="宋体" w:hAnsi="宋体" w:cs="宋体"/>
          <w:color w:val="auto"/>
          <w:sz w:val="24"/>
          <w:highlight w:val="none"/>
        </w:rPr>
        <w:t>、</w:t>
      </w:r>
      <w:r>
        <w:rPr>
          <w:rFonts w:hint="eastAsia" w:ascii="宋体" w:hAnsi="宋体" w:cs="宋体"/>
          <w:color w:val="auto"/>
          <w:sz w:val="24"/>
          <w:highlight w:val="none"/>
          <w:lang w:eastAsia="zh-Hans"/>
        </w:rPr>
        <w:t>杭州市政府政务网</w:t>
      </w:r>
      <w:r>
        <w:rPr>
          <w:rFonts w:ascii="宋体" w:hAnsi="宋体" w:cs="宋体"/>
          <w:color w:val="auto"/>
          <w:sz w:val="24"/>
          <w:highlight w:val="none"/>
          <w:lang w:eastAsia="zh-Hans"/>
        </w:rPr>
        <w:t>、</w:t>
      </w:r>
      <w:r>
        <w:rPr>
          <w:rFonts w:hint="eastAsia" w:ascii="宋体" w:hAnsi="宋体" w:cs="宋体"/>
          <w:color w:val="auto"/>
          <w:sz w:val="24"/>
          <w:highlight w:val="none"/>
        </w:rPr>
        <w:t>互联网。</w:t>
      </w:r>
    </w:p>
    <w:p w14:paraId="476C0349">
      <w:pPr>
        <w:spacing w:line="360" w:lineRule="auto"/>
        <w:rPr>
          <w:rFonts w:ascii="宋体" w:hAnsi="宋体"/>
          <w:color w:val="auto"/>
          <w:sz w:val="24"/>
          <w:highlight w:val="none"/>
        </w:rPr>
      </w:pPr>
      <w:r>
        <w:rPr>
          <w:rFonts w:hint="eastAsia" w:ascii="宋体" w:hAnsi="宋体" w:cs="宋体"/>
          <w:color w:val="auto"/>
          <w:sz w:val="24"/>
          <w:highlight w:val="none"/>
        </w:rPr>
        <w:t>为维护保障好已建各</w:t>
      </w:r>
      <w:r>
        <w:rPr>
          <w:rFonts w:hint="eastAsia" w:ascii="宋体" w:hAnsi="宋体" w:cs="宋体"/>
          <w:color w:val="auto"/>
          <w:sz w:val="24"/>
          <w:highlight w:val="none"/>
          <w:lang w:eastAsia="zh-Hans"/>
        </w:rPr>
        <w:t>管理系统</w:t>
      </w:r>
      <w:r>
        <w:rPr>
          <w:rFonts w:hint="eastAsia" w:ascii="宋体" w:hAnsi="宋体" w:cs="宋体"/>
          <w:color w:val="auto"/>
          <w:sz w:val="24"/>
          <w:highlight w:val="none"/>
        </w:rPr>
        <w:t>和应用系统，2025</w:t>
      </w:r>
      <w:r>
        <w:rPr>
          <w:rFonts w:hint="eastAsia" w:ascii="宋体" w:hAnsi="宋体" w:cs="宋体"/>
          <w:color w:val="auto"/>
          <w:sz w:val="24"/>
          <w:highlight w:val="none"/>
          <w:lang w:eastAsia="zh-Hans"/>
        </w:rPr>
        <w:t>年开始管理系统和</w:t>
      </w:r>
      <w:r>
        <w:rPr>
          <w:rFonts w:hint="eastAsia" w:ascii="宋体" w:hAnsi="宋体" w:cs="宋体"/>
          <w:color w:val="auto"/>
          <w:sz w:val="24"/>
          <w:highlight w:val="none"/>
        </w:rPr>
        <w:t>应用系统运维项目招标。</w:t>
      </w:r>
    </w:p>
    <w:p w14:paraId="15C6E81B">
      <w:pPr>
        <w:spacing w:line="360" w:lineRule="auto"/>
        <w:rPr>
          <w:rFonts w:ascii="宋体" w:hAnsi="宋体"/>
          <w:color w:val="auto"/>
          <w:sz w:val="24"/>
          <w:highlight w:val="none"/>
        </w:rPr>
      </w:pPr>
      <w:r>
        <w:rPr>
          <w:rFonts w:hint="eastAsia" w:ascii="宋体" w:hAnsi="宋体" w:cs="宋体"/>
          <w:color w:val="auto"/>
          <w:sz w:val="24"/>
          <w:highlight w:val="none"/>
        </w:rPr>
        <w:t>（二）项目目标</w:t>
      </w:r>
    </w:p>
    <w:p w14:paraId="0AC30C75">
      <w:pPr>
        <w:pStyle w:val="258"/>
        <w:numPr>
          <w:ilvl w:val="0"/>
          <w:numId w:val="6"/>
        </w:numPr>
        <w:ind w:left="0" w:leftChars="0" w:firstLine="420" w:firstLineChars="175"/>
        <w:rPr>
          <w:rFonts w:ascii="宋体" w:hAnsi="宋体" w:eastAsia="宋体"/>
          <w:color w:val="auto"/>
          <w:highlight w:val="none"/>
        </w:rPr>
      </w:pPr>
      <w:r>
        <w:rPr>
          <w:rFonts w:hint="eastAsia" w:ascii="宋体" w:hAnsi="宋体" w:eastAsia="宋体" w:cs="宋体"/>
          <w:color w:val="auto"/>
          <w:highlight w:val="none"/>
        </w:rPr>
        <w:t>增强维护能力，从人力资源及技术层面维护各应用系统，确保系统正常、高效、可靠、安全运行。</w:t>
      </w:r>
    </w:p>
    <w:p w14:paraId="77C1A444">
      <w:pPr>
        <w:pStyle w:val="258"/>
        <w:numPr>
          <w:ilvl w:val="0"/>
          <w:numId w:val="6"/>
        </w:numPr>
        <w:ind w:left="0" w:leftChars="0" w:firstLine="420" w:firstLineChars="175"/>
        <w:rPr>
          <w:rFonts w:ascii="宋体" w:hAnsi="宋体" w:eastAsia="宋体"/>
          <w:color w:val="auto"/>
          <w:highlight w:val="none"/>
        </w:rPr>
      </w:pPr>
      <w:r>
        <w:rPr>
          <w:rFonts w:hint="eastAsia" w:ascii="宋体" w:hAnsi="宋体" w:eastAsia="宋体" w:cs="宋体"/>
          <w:color w:val="auto"/>
          <w:highlight w:val="none"/>
        </w:rPr>
        <w:t>完善部分系统功能。</w:t>
      </w:r>
    </w:p>
    <w:p w14:paraId="5AC7B4A5">
      <w:pPr>
        <w:pStyle w:val="258"/>
        <w:numPr>
          <w:ilvl w:val="0"/>
          <w:numId w:val="6"/>
        </w:numPr>
        <w:ind w:left="0" w:leftChars="0" w:firstLine="420" w:firstLineChars="175"/>
        <w:rPr>
          <w:rFonts w:ascii="宋体" w:hAnsi="宋体" w:eastAsia="宋体" w:cs="宋体"/>
          <w:color w:val="auto"/>
          <w:highlight w:val="none"/>
        </w:rPr>
      </w:pPr>
      <w:r>
        <w:rPr>
          <w:rFonts w:hint="eastAsia" w:ascii="宋体" w:hAnsi="宋体" w:eastAsia="宋体" w:cs="宋体"/>
          <w:color w:val="auto"/>
          <w:highlight w:val="none"/>
        </w:rPr>
        <w:t>辅助提升环境信息化管理和应用水平。</w:t>
      </w:r>
    </w:p>
    <w:p w14:paraId="3A6A062B">
      <w:pPr>
        <w:spacing w:line="360" w:lineRule="auto"/>
        <w:rPr>
          <w:rFonts w:ascii="宋体" w:hAnsi="宋体"/>
          <w:color w:val="auto"/>
          <w:sz w:val="24"/>
          <w:highlight w:val="none"/>
        </w:rPr>
      </w:pPr>
      <w:r>
        <w:rPr>
          <w:rFonts w:hint="eastAsia" w:ascii="宋体" w:hAnsi="宋体" w:cs="宋体"/>
          <w:color w:val="auto"/>
          <w:sz w:val="24"/>
          <w:highlight w:val="none"/>
        </w:rPr>
        <w:t>（三）项目服务内容</w:t>
      </w:r>
    </w:p>
    <w:p w14:paraId="107B6C80">
      <w:pPr>
        <w:pStyle w:val="85"/>
        <w:rPr>
          <w:rFonts w:cs="宋体"/>
          <w:color w:val="auto"/>
          <w:highlight w:val="none"/>
        </w:rPr>
      </w:pPr>
      <w:r>
        <w:rPr>
          <w:rFonts w:hint="eastAsia" w:cs="宋体"/>
          <w:color w:val="auto"/>
          <w:highlight w:val="none"/>
        </w:rPr>
        <w:t>为服务期内需要本项目维护的所有管理系统和应用系统</w:t>
      </w:r>
      <w:r>
        <w:rPr>
          <w:rFonts w:cs="宋体"/>
          <w:color w:val="auto"/>
          <w:highlight w:val="none"/>
        </w:rPr>
        <w:t>（</w:t>
      </w:r>
      <w:r>
        <w:rPr>
          <w:rFonts w:hint="eastAsia" w:cs="宋体"/>
          <w:color w:val="auto"/>
          <w:highlight w:val="none"/>
        </w:rPr>
        <w:t>涉及到杭州市婴育数字化平台的所有管理系统和应用系统</w:t>
      </w:r>
      <w:r>
        <w:rPr>
          <w:rFonts w:cs="宋体"/>
          <w:color w:val="auto"/>
          <w:highlight w:val="none"/>
        </w:rPr>
        <w:t>。）</w:t>
      </w:r>
    </w:p>
    <w:p w14:paraId="69FE2BE9">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Hans"/>
        </w:rPr>
        <w:t>管理</w:t>
      </w:r>
      <w:r>
        <w:rPr>
          <w:rFonts w:hint="eastAsia" w:ascii="宋体" w:hAnsi="宋体" w:cs="宋体"/>
          <w:color w:val="auto"/>
          <w:sz w:val="24"/>
          <w:highlight w:val="none"/>
        </w:rPr>
        <w:t>系统运行维护</w:t>
      </w:r>
    </w:p>
    <w:p w14:paraId="56E77970">
      <w:pPr>
        <w:pStyle w:val="258"/>
        <w:numPr>
          <w:ilvl w:val="0"/>
          <w:numId w:val="7"/>
        </w:numPr>
        <w:ind w:firstLine="6" w:firstLineChars="0"/>
        <w:rPr>
          <w:rFonts w:ascii="宋体" w:hAnsi="宋体" w:eastAsia="宋体"/>
          <w:color w:val="auto"/>
          <w:highlight w:val="none"/>
        </w:rPr>
      </w:pPr>
      <w:r>
        <w:rPr>
          <w:rFonts w:hint="eastAsia" w:ascii="宋体" w:hAnsi="宋体" w:eastAsia="宋体" w:cs="宋体"/>
          <w:color w:val="auto"/>
          <w:highlight w:val="none"/>
          <w:lang w:eastAsia="zh-Hans"/>
        </w:rPr>
        <w:t>管理</w:t>
      </w:r>
      <w:r>
        <w:rPr>
          <w:rFonts w:hint="eastAsia" w:ascii="宋体" w:hAnsi="宋体" w:eastAsia="宋体" w:cs="宋体"/>
          <w:color w:val="auto"/>
          <w:highlight w:val="none"/>
        </w:rPr>
        <w:t>系统日常运行监控</w:t>
      </w:r>
    </w:p>
    <w:p w14:paraId="092A97D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日常监控各</w:t>
      </w:r>
      <w:r>
        <w:rPr>
          <w:rFonts w:hint="eastAsia" w:ascii="宋体" w:hAnsi="宋体" w:cs="宋体"/>
          <w:color w:val="auto"/>
          <w:sz w:val="24"/>
          <w:highlight w:val="none"/>
          <w:lang w:eastAsia="zh-Hans"/>
        </w:rPr>
        <w:t>管理</w:t>
      </w:r>
      <w:r>
        <w:rPr>
          <w:rFonts w:hint="eastAsia" w:ascii="宋体" w:hAnsi="宋体" w:cs="宋体"/>
          <w:color w:val="auto"/>
          <w:sz w:val="24"/>
          <w:highlight w:val="none"/>
        </w:rPr>
        <w:t>系统运行情况，保证正常运行，从运行环境情况、性能指标、补丁更新、日志记录、数据维护等方面检查，发现隐患苗头及时报告，出现故障及时配合恢复。</w:t>
      </w:r>
    </w:p>
    <w:p w14:paraId="420F6733">
      <w:pPr>
        <w:pStyle w:val="258"/>
        <w:numPr>
          <w:ilvl w:val="0"/>
          <w:numId w:val="7"/>
        </w:numPr>
        <w:ind w:firstLine="6" w:firstLineChars="0"/>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用户系统账号权限维护</w:t>
      </w:r>
    </w:p>
    <w:p w14:paraId="63F6D86E">
      <w:pPr>
        <w:spacing w:line="360" w:lineRule="auto"/>
        <w:ind w:firstLine="600" w:firstLineChars="250"/>
        <w:rPr>
          <w:rFonts w:ascii="宋体" w:hAnsi="宋体"/>
          <w:color w:val="auto"/>
          <w:sz w:val="24"/>
          <w:highlight w:val="none"/>
        </w:rPr>
      </w:pPr>
      <w:r>
        <w:rPr>
          <w:rFonts w:hint="eastAsia" w:ascii="宋体" w:hAnsi="宋体" w:cs="宋体"/>
          <w:color w:val="auto"/>
          <w:sz w:val="24"/>
          <w:highlight w:val="none"/>
        </w:rPr>
        <w:t>进行</w:t>
      </w:r>
      <w:r>
        <w:rPr>
          <w:rFonts w:hint="eastAsia" w:ascii="宋体" w:hAnsi="宋体" w:cs="宋体"/>
          <w:color w:val="auto"/>
          <w:sz w:val="24"/>
          <w:highlight w:val="none"/>
          <w:lang w:eastAsia="zh-Hans"/>
        </w:rPr>
        <w:t>用户系统账号权限</w:t>
      </w:r>
      <w:r>
        <w:rPr>
          <w:rFonts w:hint="eastAsia" w:ascii="宋体" w:hAnsi="宋体" w:cs="宋体"/>
          <w:color w:val="auto"/>
          <w:sz w:val="24"/>
          <w:highlight w:val="none"/>
        </w:rPr>
        <w:t>的日常巡检管理，开展如用户及权限管理、各项系统配置、后台管理配置、应用数据处理等工作，保障系统正常运行。</w:t>
      </w:r>
    </w:p>
    <w:p w14:paraId="0FD9EA0D">
      <w:pPr>
        <w:pStyle w:val="258"/>
        <w:numPr>
          <w:ilvl w:val="0"/>
          <w:numId w:val="7"/>
        </w:numPr>
        <w:ind w:firstLine="6" w:firstLineChars="0"/>
        <w:rPr>
          <w:rFonts w:ascii="宋体" w:hAnsi="宋体" w:eastAsia="宋体" w:cs="宋体"/>
          <w:color w:val="auto"/>
          <w:highlight w:val="none"/>
          <w:lang w:eastAsia="zh-Hans"/>
        </w:rPr>
      </w:pPr>
      <w:r>
        <w:rPr>
          <w:rFonts w:hint="eastAsia" w:ascii="宋体" w:hAnsi="宋体" w:eastAsia="宋体" w:cs="宋体"/>
          <w:color w:val="auto"/>
          <w:highlight w:val="none"/>
          <w:lang w:eastAsia="zh-Hans"/>
        </w:rPr>
        <w:t>管理系统的开发性维护</w:t>
      </w:r>
    </w:p>
    <w:p w14:paraId="35F4B264">
      <w:pPr>
        <w:spacing w:line="360" w:lineRule="auto"/>
        <w:ind w:firstLine="600" w:firstLineChars="250"/>
        <w:rPr>
          <w:rFonts w:ascii="宋体" w:hAnsi="宋体"/>
          <w:color w:val="auto"/>
          <w:sz w:val="24"/>
          <w:highlight w:val="none"/>
        </w:rPr>
      </w:pPr>
      <w:r>
        <w:rPr>
          <w:rFonts w:hint="eastAsia" w:ascii="宋体" w:hAnsi="宋体" w:cs="宋体"/>
          <w:color w:val="auto"/>
          <w:sz w:val="24"/>
          <w:highlight w:val="none"/>
        </w:rPr>
        <w:t>进行本项目相关</w:t>
      </w:r>
      <w:r>
        <w:rPr>
          <w:rFonts w:hint="eastAsia" w:ascii="宋体" w:hAnsi="宋体" w:cs="宋体"/>
          <w:color w:val="auto"/>
          <w:sz w:val="24"/>
          <w:highlight w:val="none"/>
          <w:lang w:eastAsia="zh-Hans"/>
        </w:rPr>
        <w:t>管理系</w:t>
      </w:r>
      <w:r>
        <w:rPr>
          <w:rFonts w:hint="eastAsia" w:ascii="宋体" w:hAnsi="宋体" w:cs="宋体"/>
          <w:color w:val="auto"/>
          <w:sz w:val="24"/>
          <w:highlight w:val="none"/>
        </w:rPr>
        <w:t>统的日常应用管理维护，如用户及权限管理、各项系统配置、</w:t>
      </w:r>
      <w:r>
        <w:rPr>
          <w:rFonts w:hint="eastAsia" w:ascii="宋体" w:hAnsi="宋体" w:cs="宋体"/>
          <w:color w:val="auto"/>
          <w:sz w:val="24"/>
          <w:highlight w:val="none"/>
          <w:lang w:eastAsia="zh-Hans"/>
        </w:rPr>
        <w:t>数据</w:t>
      </w:r>
      <w:r>
        <w:rPr>
          <w:rFonts w:hint="eastAsia" w:ascii="宋体" w:hAnsi="宋体" w:cs="宋体"/>
          <w:color w:val="auto"/>
          <w:sz w:val="24"/>
          <w:highlight w:val="none"/>
        </w:rPr>
        <w:t>统计等相关工作。</w:t>
      </w:r>
    </w:p>
    <w:p w14:paraId="076C6C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2、应用系统运行维护</w:t>
      </w:r>
    </w:p>
    <w:p w14:paraId="658F850C">
      <w:pPr>
        <w:pStyle w:val="258"/>
        <w:numPr>
          <w:ilvl w:val="0"/>
          <w:numId w:val="8"/>
        </w:numPr>
        <w:ind w:firstLine="6" w:firstLineChars="0"/>
        <w:rPr>
          <w:rFonts w:ascii="宋体" w:hAnsi="宋体" w:eastAsia="宋体"/>
          <w:color w:val="auto"/>
          <w:highlight w:val="none"/>
        </w:rPr>
      </w:pPr>
      <w:r>
        <w:rPr>
          <w:rFonts w:hint="eastAsia" w:ascii="宋体" w:hAnsi="宋体" w:eastAsia="宋体" w:cs="宋体"/>
          <w:color w:val="auto"/>
          <w:highlight w:val="none"/>
        </w:rPr>
        <w:t>应用系统软件日常运行监控</w:t>
      </w:r>
    </w:p>
    <w:p w14:paraId="4DEFF82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日常监控各应用系统运行情况</w:t>
      </w:r>
      <w:r>
        <w:rPr>
          <w:rFonts w:ascii="宋体" w:hAnsi="宋体" w:cs="宋体"/>
          <w:color w:val="auto"/>
          <w:sz w:val="24"/>
          <w:highlight w:val="none"/>
        </w:rPr>
        <w:t>（</w:t>
      </w:r>
      <w:r>
        <w:rPr>
          <w:rFonts w:hint="eastAsia" w:ascii="宋体" w:hAnsi="宋体" w:cs="宋体"/>
          <w:color w:val="auto"/>
          <w:sz w:val="24"/>
          <w:highlight w:val="none"/>
          <w:lang w:eastAsia="zh-Hans"/>
        </w:rPr>
        <w:t>杭州市级</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各区县级</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各镇街数据驾驶舱系统</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托育一件事法人</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个人用户服务系统等</w:t>
      </w:r>
      <w:r>
        <w:rPr>
          <w:rFonts w:ascii="宋体" w:hAnsi="宋体" w:cs="宋体"/>
          <w:color w:val="auto"/>
          <w:sz w:val="24"/>
          <w:highlight w:val="none"/>
        </w:rPr>
        <w:t>），</w:t>
      </w:r>
      <w:r>
        <w:rPr>
          <w:rFonts w:hint="eastAsia" w:ascii="宋体" w:hAnsi="宋体" w:cs="宋体"/>
          <w:color w:val="auto"/>
          <w:sz w:val="24"/>
          <w:highlight w:val="none"/>
        </w:rPr>
        <w:t>保证正常运行，从运行环境情况、性能指标、补丁更新、日志记录、应用数据维护等方面检查，发现隐患苗头及时报告，出现故障的及时配合恢复。</w:t>
      </w:r>
    </w:p>
    <w:p w14:paraId="0A108F86">
      <w:pPr>
        <w:spacing w:line="360" w:lineRule="auto"/>
        <w:rPr>
          <w:rFonts w:ascii="宋体" w:hAnsi="宋体"/>
          <w:color w:val="auto"/>
          <w:sz w:val="24"/>
          <w:highlight w:val="none"/>
        </w:rPr>
      </w:pPr>
      <w:r>
        <w:rPr>
          <w:rFonts w:hint="eastAsia" w:ascii="宋体" w:hAnsi="宋体" w:cs="宋体"/>
          <w:color w:val="auto"/>
          <w:sz w:val="24"/>
          <w:highlight w:val="none"/>
        </w:rPr>
        <w:t>运行环境情况检查包括可用存储空间检测、临时文件清理、操作系统健康巡检、应用程序健康巡检等。上述中运行环境情况、性能指标、可用存储空间检测、操作系统健康巡检、应用程序健康巡检须每日检查。</w:t>
      </w:r>
    </w:p>
    <w:p w14:paraId="385EAB7F">
      <w:pPr>
        <w:pStyle w:val="258"/>
        <w:numPr>
          <w:ilvl w:val="0"/>
          <w:numId w:val="8"/>
        </w:numPr>
        <w:ind w:firstLine="6" w:firstLineChars="0"/>
        <w:rPr>
          <w:rFonts w:ascii="宋体" w:hAnsi="宋体" w:eastAsia="宋体" w:cs="宋体"/>
          <w:color w:val="auto"/>
          <w:highlight w:val="none"/>
        </w:rPr>
      </w:pPr>
      <w:r>
        <w:rPr>
          <w:rFonts w:hint="eastAsia" w:ascii="宋体" w:hAnsi="宋体" w:eastAsia="宋体" w:cs="宋体"/>
          <w:color w:val="auto"/>
          <w:highlight w:val="none"/>
        </w:rPr>
        <w:t>统一身份认证系统维护</w:t>
      </w:r>
    </w:p>
    <w:p w14:paraId="22E5FA3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eastAsia="zh-Hans"/>
        </w:rPr>
        <w:t>杭州市级</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各区县级</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各镇街数据驾驶舱系统</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托育一件事法人</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个人用户服务系统等软件系统</w:t>
      </w:r>
      <w:r>
        <w:rPr>
          <w:rFonts w:hint="eastAsia" w:ascii="宋体" w:hAnsi="宋体" w:cs="宋体"/>
          <w:color w:val="auto"/>
          <w:sz w:val="24"/>
          <w:highlight w:val="none"/>
        </w:rPr>
        <w:t>进行身份认证系统的日常巡检和应用管理，开展如用户及权限管理、各项系统配置、各项信息统计、系统备份迁移、应用数据处理、故障检查分析等工作，保障系统正常运行。</w:t>
      </w:r>
    </w:p>
    <w:p w14:paraId="6BBD9421">
      <w:pPr>
        <w:pStyle w:val="258"/>
        <w:numPr>
          <w:ilvl w:val="0"/>
          <w:numId w:val="8"/>
        </w:numPr>
        <w:ind w:firstLine="6" w:firstLineChars="0"/>
        <w:rPr>
          <w:rFonts w:ascii="宋体" w:hAnsi="宋体" w:eastAsia="宋体" w:cs="宋体"/>
          <w:color w:val="auto"/>
          <w:highlight w:val="none"/>
        </w:rPr>
      </w:pPr>
      <w:r>
        <w:rPr>
          <w:rFonts w:hint="eastAsia" w:ascii="宋体" w:hAnsi="宋体" w:eastAsia="宋体" w:cs="宋体"/>
          <w:color w:val="auto"/>
          <w:highlight w:val="none"/>
        </w:rPr>
        <w:t>应用系统的开发性维护</w:t>
      </w:r>
    </w:p>
    <w:p w14:paraId="62E8A90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进行本项目相关应用系统的日常应用管理维护，如用户及权限管理、各项系统配置、各项信息统计</w:t>
      </w:r>
      <w:r>
        <w:rPr>
          <w:rFonts w:ascii="宋体" w:hAnsi="宋体" w:cs="宋体"/>
          <w:color w:val="auto"/>
          <w:sz w:val="24"/>
          <w:highlight w:val="none"/>
        </w:rPr>
        <w:t>、</w:t>
      </w:r>
      <w:r>
        <w:rPr>
          <w:rFonts w:hint="eastAsia" w:ascii="宋体" w:hAnsi="宋体" w:cs="宋体"/>
          <w:color w:val="auto"/>
          <w:sz w:val="24"/>
          <w:highlight w:val="none"/>
          <w:lang w:eastAsia="zh-Hans"/>
        </w:rPr>
        <w:t>分析</w:t>
      </w:r>
      <w:r>
        <w:rPr>
          <w:rFonts w:hint="eastAsia" w:ascii="宋体" w:hAnsi="宋体" w:cs="宋体"/>
          <w:color w:val="auto"/>
          <w:sz w:val="24"/>
          <w:highlight w:val="none"/>
        </w:rPr>
        <w:t>等相关工作。</w:t>
      </w:r>
    </w:p>
    <w:p w14:paraId="12A85E5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应用系统运行维护内容还包括系统备份迁移、应用数据处理、故障排除修复、少数功能开发完善等工作，主要解决如下几类：第一类是纠错性维护，即诊断和修正系统运行中遗留的错误；第二类为系统配置管理问题，如人员和权限的调整等；第三类为应用数据处理，如数据出错后的数据补救、文档丢失找回等等；第四类为系统功能完善开发，如需要进行流程完善、表单扩展以及部分功能完善开发等。</w:t>
      </w:r>
    </w:p>
    <w:p w14:paraId="6036D975">
      <w:pPr>
        <w:pStyle w:val="258"/>
        <w:numPr>
          <w:ilvl w:val="0"/>
          <w:numId w:val="8"/>
        </w:numPr>
        <w:ind w:firstLine="6" w:firstLineChars="0"/>
        <w:rPr>
          <w:rFonts w:ascii="宋体" w:hAnsi="宋体" w:eastAsia="宋体" w:cs="宋体"/>
          <w:color w:val="auto"/>
          <w:highlight w:val="none"/>
        </w:rPr>
      </w:pPr>
      <w:r>
        <w:rPr>
          <w:rFonts w:hint="eastAsia" w:ascii="宋体" w:hAnsi="宋体" w:eastAsia="宋体" w:cs="宋体"/>
          <w:color w:val="auto"/>
          <w:highlight w:val="none"/>
        </w:rPr>
        <w:t>应用杭州市婴育数字化系统有关软件系统</w:t>
      </w:r>
    </w:p>
    <w:p w14:paraId="334158C3">
      <w:pPr>
        <w:pStyle w:val="62"/>
        <w:spacing w:line="360" w:lineRule="auto"/>
        <w:ind w:left="0" w:leftChars="0" w:firstLine="480"/>
        <w:rPr>
          <w:color w:val="auto"/>
          <w:sz w:val="24"/>
          <w:highlight w:val="none"/>
        </w:rPr>
      </w:pPr>
      <w:r>
        <w:rPr>
          <w:rFonts w:hint="eastAsia" w:cs="宋体"/>
          <w:color w:val="auto"/>
          <w:sz w:val="24"/>
          <w:highlight w:val="none"/>
        </w:rPr>
        <w:t>通过</w:t>
      </w:r>
      <w:r>
        <w:rPr>
          <w:rFonts w:hint="eastAsia" w:cs="宋体"/>
          <w:color w:val="auto"/>
          <w:sz w:val="24"/>
          <w:highlight w:val="none"/>
          <w:lang w:eastAsia="zh-Hans"/>
        </w:rPr>
        <w:t>卫生专网</w:t>
      </w:r>
      <w:r>
        <w:rPr>
          <w:rFonts w:cs="宋体"/>
          <w:color w:val="auto"/>
          <w:sz w:val="24"/>
          <w:highlight w:val="none"/>
          <w:lang w:eastAsia="zh-Hans"/>
        </w:rPr>
        <w:t>、</w:t>
      </w:r>
      <w:r>
        <w:rPr>
          <w:rFonts w:hint="eastAsia" w:cs="宋体"/>
          <w:color w:val="auto"/>
          <w:sz w:val="24"/>
          <w:highlight w:val="none"/>
          <w:lang w:eastAsia="zh-Hans"/>
        </w:rPr>
        <w:t>杭州市政府政务网</w:t>
      </w:r>
      <w:r>
        <w:rPr>
          <w:rFonts w:hint="eastAsia" w:cs="宋体"/>
          <w:color w:val="auto"/>
          <w:sz w:val="24"/>
          <w:highlight w:val="none"/>
        </w:rPr>
        <w:t>查看</w:t>
      </w:r>
      <w:r>
        <w:rPr>
          <w:rFonts w:hint="eastAsia" w:cs="宋体"/>
          <w:color w:val="auto"/>
          <w:sz w:val="24"/>
          <w:highlight w:val="none"/>
          <w:lang w:eastAsia="zh-Hans"/>
        </w:rPr>
        <w:t>各区县婴幼儿照护服务机构数据</w:t>
      </w:r>
      <w:r>
        <w:rPr>
          <w:rFonts w:cs="宋体"/>
          <w:color w:val="auto"/>
          <w:sz w:val="24"/>
          <w:highlight w:val="none"/>
          <w:lang w:eastAsia="zh-Hans"/>
        </w:rPr>
        <w:t>、</w:t>
      </w:r>
      <w:r>
        <w:rPr>
          <w:rFonts w:hint="eastAsia" w:cs="宋体"/>
          <w:color w:val="auto"/>
          <w:sz w:val="24"/>
          <w:highlight w:val="none"/>
          <w:lang w:eastAsia="zh-Hans"/>
        </w:rPr>
        <w:t>儿童数据等信息</w:t>
      </w:r>
      <w:r>
        <w:rPr>
          <w:rFonts w:cs="宋体"/>
          <w:color w:val="auto"/>
          <w:sz w:val="24"/>
          <w:highlight w:val="none"/>
          <w:lang w:eastAsia="zh-Hans"/>
        </w:rPr>
        <w:t>，</w:t>
      </w:r>
      <w:r>
        <w:rPr>
          <w:rFonts w:hint="eastAsia" w:cs="宋体"/>
          <w:color w:val="auto"/>
          <w:sz w:val="24"/>
          <w:highlight w:val="none"/>
          <w:lang w:eastAsia="zh-Hans"/>
        </w:rPr>
        <w:t>发现与市级</w:t>
      </w:r>
      <w:r>
        <w:rPr>
          <w:rFonts w:cs="宋体"/>
          <w:color w:val="auto"/>
          <w:sz w:val="24"/>
          <w:highlight w:val="none"/>
          <w:lang w:eastAsia="zh-Hans"/>
        </w:rPr>
        <w:t>、</w:t>
      </w:r>
      <w:r>
        <w:rPr>
          <w:rFonts w:hint="eastAsia" w:cs="宋体"/>
          <w:color w:val="auto"/>
          <w:sz w:val="24"/>
          <w:highlight w:val="none"/>
          <w:lang w:eastAsia="zh-Hans"/>
        </w:rPr>
        <w:t>区级数据不一致现象</w:t>
      </w:r>
      <w:r>
        <w:rPr>
          <w:rFonts w:cs="宋体"/>
          <w:color w:val="auto"/>
          <w:sz w:val="24"/>
          <w:highlight w:val="none"/>
          <w:lang w:eastAsia="zh-Hans"/>
        </w:rPr>
        <w:t>，</w:t>
      </w:r>
      <w:r>
        <w:rPr>
          <w:rFonts w:hint="eastAsia" w:cs="宋体"/>
          <w:color w:val="auto"/>
          <w:sz w:val="24"/>
          <w:highlight w:val="none"/>
          <w:lang w:eastAsia="zh-Hans"/>
        </w:rPr>
        <w:t>及时调整</w:t>
      </w:r>
      <w:r>
        <w:rPr>
          <w:rFonts w:cs="宋体"/>
          <w:color w:val="auto"/>
          <w:sz w:val="24"/>
          <w:highlight w:val="none"/>
          <w:lang w:eastAsia="zh-Hans"/>
        </w:rPr>
        <w:t>。</w:t>
      </w:r>
    </w:p>
    <w:p w14:paraId="6CF702F5">
      <w:pPr>
        <w:spacing w:line="360" w:lineRule="auto"/>
        <w:ind w:firstLine="480" w:firstLineChars="200"/>
        <w:rPr>
          <w:rFonts w:ascii="宋体" w:hAnsi="宋体"/>
          <w:color w:val="auto"/>
          <w:sz w:val="24"/>
          <w:highlight w:val="none"/>
        </w:rPr>
      </w:pPr>
      <w:bookmarkStart w:id="31" w:name="_Toc206"/>
      <w:r>
        <w:rPr>
          <w:rFonts w:hint="eastAsia" w:ascii="宋体" w:hAnsi="宋体" w:cs="宋体"/>
          <w:color w:val="auto"/>
          <w:sz w:val="24"/>
          <w:highlight w:val="none"/>
        </w:rPr>
        <w:t>3、安全漏洞修复</w:t>
      </w:r>
      <w:bookmarkEnd w:id="31"/>
    </w:p>
    <w:p w14:paraId="5B39743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根据安全漏洞检</w:t>
      </w:r>
      <w:r>
        <w:rPr>
          <w:rFonts w:hint="eastAsia" w:ascii="宋体" w:hAnsi="宋体" w:cs="宋体"/>
          <w:color w:val="auto"/>
          <w:sz w:val="24"/>
          <w:highlight w:val="none"/>
          <w:lang w:eastAsia="zh-Hans"/>
        </w:rPr>
        <w:t>结果</w:t>
      </w:r>
      <w:r>
        <w:rPr>
          <w:rFonts w:hint="eastAsia" w:ascii="宋体" w:hAnsi="宋体" w:cs="宋体"/>
          <w:color w:val="auto"/>
          <w:sz w:val="24"/>
          <w:highlight w:val="none"/>
        </w:rPr>
        <w:t>，对本项目相关</w:t>
      </w:r>
      <w:r>
        <w:rPr>
          <w:rFonts w:hint="eastAsia" w:ascii="宋体" w:hAnsi="宋体" w:cs="宋体"/>
          <w:color w:val="auto"/>
          <w:sz w:val="24"/>
          <w:highlight w:val="none"/>
          <w:lang w:eastAsia="zh-Hans"/>
        </w:rPr>
        <w:t>管理系统</w:t>
      </w:r>
      <w:r>
        <w:rPr>
          <w:rFonts w:hint="eastAsia" w:ascii="宋体" w:hAnsi="宋体" w:cs="宋体"/>
          <w:color w:val="auto"/>
          <w:sz w:val="24"/>
          <w:highlight w:val="none"/>
        </w:rPr>
        <w:t>和应用系统</w:t>
      </w:r>
      <w:r>
        <w:rPr>
          <w:rFonts w:hint="eastAsia" w:ascii="宋体" w:hAnsi="宋体" w:cs="宋体"/>
          <w:color w:val="auto"/>
          <w:sz w:val="24"/>
          <w:highlight w:val="none"/>
          <w:lang w:eastAsia="zh-Hans"/>
        </w:rPr>
        <w:t>进行检查</w:t>
      </w:r>
      <w:r>
        <w:rPr>
          <w:rFonts w:ascii="宋体" w:hAnsi="宋体" w:cs="宋体"/>
          <w:color w:val="auto"/>
          <w:sz w:val="24"/>
          <w:highlight w:val="none"/>
          <w:lang w:eastAsia="zh-Hans"/>
        </w:rPr>
        <w:t>，</w:t>
      </w:r>
      <w:r>
        <w:rPr>
          <w:rFonts w:hint="eastAsia" w:ascii="宋体" w:hAnsi="宋体" w:cs="宋体"/>
          <w:color w:val="auto"/>
          <w:sz w:val="24"/>
          <w:highlight w:val="none"/>
        </w:rPr>
        <w:t>若检查中发现安全漏洞需要修复，本项目中标单位须负责及时修复，包括补丁安装等。</w:t>
      </w:r>
    </w:p>
    <w:p w14:paraId="462BCAD4">
      <w:pPr>
        <w:spacing w:line="360" w:lineRule="auto"/>
        <w:ind w:firstLine="480" w:firstLineChars="200"/>
        <w:rPr>
          <w:rFonts w:ascii="宋体" w:hAnsi="宋体" w:cs="宋体"/>
          <w:color w:val="auto"/>
          <w:sz w:val="24"/>
          <w:highlight w:val="none"/>
        </w:rPr>
      </w:pPr>
      <w:bookmarkStart w:id="32" w:name="_Toc26001"/>
      <w:r>
        <w:rPr>
          <w:rFonts w:hint="eastAsia" w:ascii="宋体" w:hAnsi="宋体" w:cs="宋体"/>
          <w:color w:val="auto"/>
          <w:sz w:val="24"/>
          <w:highlight w:val="none"/>
        </w:rPr>
        <w:t>4、其它</w:t>
      </w:r>
      <w:bookmarkEnd w:id="32"/>
    </w:p>
    <w:p w14:paraId="1910FBFD">
      <w:pPr>
        <w:pStyle w:val="85"/>
        <w:rPr>
          <w:rFonts w:cs="宋体"/>
          <w:color w:val="auto"/>
          <w:highlight w:val="none"/>
        </w:rPr>
      </w:pPr>
      <w:r>
        <w:rPr>
          <w:rFonts w:hint="eastAsia" w:cs="宋体"/>
          <w:color w:val="auto"/>
          <w:highlight w:val="none"/>
        </w:rPr>
        <w:t>采购人提出的其它相关的维护要求。</w:t>
      </w:r>
    </w:p>
    <w:p w14:paraId="3B9FCBA3">
      <w:pPr>
        <w:pStyle w:val="85"/>
        <w:rPr>
          <w:rFonts w:cs="宋体"/>
          <w:b/>
          <w:bCs/>
          <w:color w:val="auto"/>
          <w:highlight w:val="none"/>
        </w:rPr>
      </w:pPr>
      <w:r>
        <w:rPr>
          <w:rFonts w:hint="eastAsia" w:cs="宋体"/>
          <w:b/>
          <w:bCs/>
          <w:color w:val="auto"/>
          <w:highlight w:val="none"/>
        </w:rPr>
        <w:t>系统三：杭州市健康应用运维服务</w:t>
      </w:r>
    </w:p>
    <w:p w14:paraId="7C5404ED">
      <w:pPr>
        <w:numPr>
          <w:ilvl w:val="0"/>
          <w:numId w:val="9"/>
        </w:numPr>
        <w:snapToGrid w:val="0"/>
        <w:spacing w:line="360" w:lineRule="auto"/>
        <w:rPr>
          <w:rFonts w:ascii="宋体" w:hAnsi="宋体"/>
          <w:color w:val="auto"/>
          <w:sz w:val="24"/>
          <w:highlight w:val="none"/>
        </w:rPr>
      </w:pPr>
      <w:r>
        <w:rPr>
          <w:rFonts w:hint="eastAsia" w:ascii="宋体" w:hAnsi="宋体" w:cs="宋体"/>
          <w:color w:val="auto"/>
          <w:sz w:val="24"/>
          <w:highlight w:val="none"/>
        </w:rPr>
        <w:t>心理援助专区维护</w:t>
      </w:r>
    </w:p>
    <w:p w14:paraId="3E4DFAB3">
      <w:pPr>
        <w:widowControl/>
        <w:shd w:val="clear" w:color="auto" w:fill="FFFFFF"/>
        <w:snapToGrid w:val="0"/>
        <w:spacing w:line="360" w:lineRule="auto"/>
        <w:ind w:firstLine="420"/>
        <w:jc w:val="left"/>
        <w:rPr>
          <w:rFonts w:ascii="宋体" w:hAnsi="宋体" w:cs="仿宋_GB2312"/>
          <w:color w:val="auto"/>
          <w:sz w:val="24"/>
          <w:highlight w:val="none"/>
        </w:rPr>
      </w:pPr>
      <w:r>
        <w:rPr>
          <w:rFonts w:hint="eastAsia" w:ascii="宋体" w:hAnsi="宋体" w:cs="仿宋_GB2312"/>
          <w:color w:val="auto"/>
          <w:sz w:val="24"/>
          <w:highlight w:val="none"/>
        </w:rPr>
        <w:t xml:space="preserve"> “心理杭站”市级心理健康服务专区所有功能维护及日常按照业务需求进行功能迭代升级，并做好相关安全整改工作。</w:t>
      </w:r>
      <w:r>
        <w:rPr>
          <w:rFonts w:ascii="宋体" w:hAnsi="宋体" w:cs="仿宋_GB2312"/>
          <w:color w:val="auto"/>
          <w:sz w:val="24"/>
          <w:highlight w:val="none"/>
        </w:rPr>
        <w:t xml:space="preserve"> </w:t>
      </w:r>
    </w:p>
    <w:p w14:paraId="50976F95">
      <w:pPr>
        <w:numPr>
          <w:ilvl w:val="0"/>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互联网</w:t>
      </w:r>
      <w:r>
        <w:rPr>
          <w:rFonts w:ascii="宋体" w:hAnsi="宋体" w:cs="宋体"/>
          <w:color w:val="auto"/>
          <w:sz w:val="24"/>
          <w:highlight w:val="none"/>
        </w:rPr>
        <w:t>+</w:t>
      </w:r>
      <w:r>
        <w:rPr>
          <w:rFonts w:hint="eastAsia" w:ascii="宋体" w:hAnsi="宋体" w:cs="宋体"/>
          <w:color w:val="auto"/>
          <w:sz w:val="24"/>
          <w:highlight w:val="none"/>
        </w:rPr>
        <w:t>医疗健康平台维护及升级</w:t>
      </w:r>
    </w:p>
    <w:p w14:paraId="5CA076B4">
      <w:pPr>
        <w:widowControl/>
        <w:shd w:val="clear" w:color="auto" w:fill="FFFFFF"/>
        <w:snapToGrid w:val="0"/>
        <w:spacing w:line="360" w:lineRule="auto"/>
        <w:ind w:firstLine="420"/>
        <w:jc w:val="left"/>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根据省卫建委</w:t>
      </w:r>
      <w:r>
        <w:rPr>
          <w:rFonts w:hint="eastAsia" w:ascii="宋体" w:hAnsi="宋体" w:cs="仿宋_GB2312"/>
          <w:color w:val="auto"/>
          <w:sz w:val="24"/>
          <w:highlight w:val="none"/>
        </w:rPr>
        <w:t>His</w:t>
      </w:r>
      <w:r>
        <w:rPr>
          <w:rFonts w:hint="eastAsia" w:ascii="宋体" w:hAnsi="宋体" w:cs="仿宋_GB2312"/>
          <w:color w:val="auto"/>
          <w:sz w:val="24"/>
          <w:highlight w:val="none"/>
          <w:lang w:eastAsia="zh-Hans"/>
        </w:rPr>
        <w:t>贯通</w:t>
      </w:r>
      <w:r>
        <w:rPr>
          <w:rFonts w:hint="eastAsia" w:ascii="宋体" w:hAnsi="宋体" w:cs="仿宋_GB2312"/>
          <w:color w:val="auto"/>
          <w:sz w:val="24"/>
          <w:highlight w:val="none"/>
        </w:rPr>
        <w:t>2025</w:t>
      </w:r>
      <w:r>
        <w:rPr>
          <w:rFonts w:hint="eastAsia" w:ascii="宋体" w:hAnsi="宋体" w:cs="仿宋_GB2312"/>
          <w:color w:val="auto"/>
          <w:sz w:val="24"/>
          <w:highlight w:val="none"/>
          <w:lang w:eastAsia="zh-Hans"/>
        </w:rPr>
        <w:t>新标准的要求，完成原对接</w:t>
      </w:r>
      <w:r>
        <w:rPr>
          <w:rFonts w:hint="eastAsia" w:ascii="宋体" w:hAnsi="宋体" w:cs="仿宋_GB2312"/>
          <w:color w:val="auto"/>
          <w:sz w:val="24"/>
          <w:highlight w:val="none"/>
        </w:rPr>
        <w:t>符合条件的医疗机构的排队叫号</w:t>
      </w:r>
      <w:r>
        <w:rPr>
          <w:rFonts w:ascii="宋体" w:hAnsi="宋体" w:cs="仿宋_GB2312"/>
          <w:color w:val="auto"/>
          <w:sz w:val="24"/>
          <w:highlight w:val="none"/>
        </w:rPr>
        <w:t>、</w:t>
      </w:r>
      <w:r>
        <w:rPr>
          <w:rFonts w:hint="eastAsia" w:ascii="宋体" w:hAnsi="宋体" w:cs="仿宋_GB2312"/>
          <w:color w:val="auto"/>
          <w:sz w:val="24"/>
          <w:highlight w:val="none"/>
          <w:lang w:eastAsia="zh-Hans"/>
        </w:rPr>
        <w:t>在线取号及体检报告系统升级</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将医疗机构的相应服务接入市平台</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保障与省平台正常调用</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将接入的医疗机构相关服务在浙里办省排队叫号</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在线取号</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体检报告查询应用中透出</w:t>
      </w:r>
      <w:r>
        <w:rPr>
          <w:rFonts w:ascii="宋体" w:hAnsi="宋体" w:cs="仿宋_GB2312"/>
          <w:color w:val="auto"/>
          <w:sz w:val="24"/>
          <w:highlight w:val="none"/>
          <w:lang w:eastAsia="zh-Hans"/>
        </w:rPr>
        <w:t>。</w:t>
      </w:r>
    </w:p>
    <w:p w14:paraId="12F6AD7C">
      <w:pPr>
        <w:widowControl/>
        <w:shd w:val="clear" w:color="auto" w:fill="FFFFFF"/>
        <w:snapToGrid w:val="0"/>
        <w:spacing w:line="360" w:lineRule="auto"/>
        <w:ind w:firstLine="420"/>
        <w:jc w:val="left"/>
        <w:rPr>
          <w:rFonts w:ascii="宋体" w:hAnsi="宋体" w:cs="仿宋_GB2312"/>
          <w:color w:val="auto"/>
          <w:sz w:val="24"/>
          <w:highlight w:val="none"/>
        </w:rPr>
      </w:pPr>
      <w:r>
        <w:rPr>
          <w:rFonts w:hint="eastAsia" w:ascii="宋体" w:hAnsi="宋体" w:cs="宋体"/>
          <w:color w:val="auto"/>
          <w:sz w:val="24"/>
          <w:highlight w:val="none"/>
        </w:rPr>
        <w:t>1、</w:t>
      </w:r>
      <w:r>
        <w:rPr>
          <w:rFonts w:hint="eastAsia" w:ascii="宋体" w:hAnsi="宋体" w:cs="仿宋_GB2312"/>
          <w:color w:val="auto"/>
          <w:sz w:val="24"/>
          <w:highlight w:val="none"/>
        </w:rPr>
        <w:t>排队叫号</w:t>
      </w:r>
      <w:r>
        <w:rPr>
          <w:rFonts w:ascii="宋体" w:hAnsi="宋体" w:cs="仿宋_GB2312"/>
          <w:color w:val="auto"/>
          <w:sz w:val="24"/>
          <w:highlight w:val="none"/>
        </w:rPr>
        <w:t>，</w:t>
      </w:r>
      <w:r>
        <w:rPr>
          <w:rFonts w:hint="eastAsia" w:ascii="宋体" w:hAnsi="宋体" w:cs="仿宋_GB2312"/>
          <w:color w:val="auto"/>
          <w:sz w:val="24"/>
          <w:highlight w:val="none"/>
        </w:rPr>
        <w:t>对接全市区县符合条件的医疗机构的排队叫号系统，将排队叫号服务接入市平台，并与省平台打通，将服务接入浙里办省排队叫号应用。</w:t>
      </w:r>
    </w:p>
    <w:p w14:paraId="1C6A3C93">
      <w:pPr>
        <w:widowControl/>
        <w:shd w:val="clear" w:color="auto" w:fill="FFFFFF"/>
        <w:snapToGrid w:val="0"/>
        <w:spacing w:line="360" w:lineRule="auto"/>
        <w:ind w:firstLine="420"/>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在线取号</w:t>
      </w:r>
      <w:r>
        <w:rPr>
          <w:rFonts w:ascii="宋体" w:hAnsi="宋体" w:cs="仿宋_GB2312"/>
          <w:color w:val="auto"/>
          <w:sz w:val="24"/>
          <w:highlight w:val="none"/>
        </w:rPr>
        <w:t>，对接全市区县符合条件的医疗机构的在线取号系统，将在线取号服务接入市平台，并与省平台打通，将服务接入浙里办省在线取号应用。</w:t>
      </w:r>
    </w:p>
    <w:p w14:paraId="32A294AB">
      <w:pPr>
        <w:pStyle w:val="85"/>
        <w:rPr>
          <w:color w:val="auto"/>
          <w:highlight w:val="none"/>
          <w:lang w:eastAsia="zh-Hans"/>
        </w:rPr>
      </w:pPr>
      <w:r>
        <w:rPr>
          <w:rFonts w:cs="仿宋_GB2312"/>
          <w:color w:val="auto"/>
          <w:highlight w:val="none"/>
        </w:rPr>
        <w:t>3、体检报告，将全市区县符合条件的医疗机构的体检报告以PDF的形式上传至杭州市体检报告平台，而后通过市平台统一上传至浙江省体检报告平台</w:t>
      </w:r>
      <w:r>
        <w:rPr>
          <w:rFonts w:hint="eastAsia" w:cs="仿宋_GB2312"/>
          <w:color w:val="auto"/>
          <w:highlight w:val="none"/>
        </w:rPr>
        <w:t>。</w:t>
      </w:r>
    </w:p>
    <w:p w14:paraId="222E1F9E">
      <w:pPr>
        <w:numPr>
          <w:ilvl w:val="0"/>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业务保障及运维服务</w:t>
      </w:r>
    </w:p>
    <w:p w14:paraId="5E7FAC6A">
      <w:pPr>
        <w:widowControl/>
        <w:shd w:val="clear" w:color="auto" w:fill="FFFFFF"/>
        <w:snapToGrid w:val="0"/>
        <w:spacing w:line="360" w:lineRule="auto"/>
        <w:ind w:firstLine="420"/>
        <w:jc w:val="left"/>
        <w:rPr>
          <w:rFonts w:ascii="宋体" w:hAnsi="宋体" w:cs="仿宋_GB2312"/>
          <w:color w:val="auto"/>
          <w:sz w:val="24"/>
          <w:highlight w:val="none"/>
          <w:lang w:eastAsia="zh-Hans"/>
        </w:rPr>
      </w:pPr>
      <w:r>
        <w:rPr>
          <w:rFonts w:hint="eastAsia" w:ascii="宋体" w:hAnsi="宋体" w:cs="仿宋_GB2312"/>
          <w:color w:val="auto"/>
          <w:sz w:val="24"/>
          <w:highlight w:val="none"/>
          <w:lang w:eastAsia="zh-Hans"/>
        </w:rPr>
        <w:t>为保障系统的稳定运行</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提供必要的日常业务保障及运维服务</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包括预防性巡检</w:t>
      </w:r>
      <w:r>
        <w:rPr>
          <w:rFonts w:ascii="宋体" w:hAnsi="宋体" w:cs="仿宋_GB2312"/>
          <w:color w:val="auto"/>
          <w:sz w:val="24"/>
          <w:highlight w:val="none"/>
          <w:lang w:eastAsia="zh-Hans"/>
        </w:rPr>
        <w:t>、服务实时监测与告警、</w:t>
      </w:r>
      <w:r>
        <w:rPr>
          <w:rFonts w:hint="eastAsia" w:ascii="宋体" w:hAnsi="宋体" w:cs="宋体"/>
          <w:color w:val="auto"/>
          <w:sz w:val="24"/>
          <w:highlight w:val="none"/>
        </w:rPr>
        <w:t>系统</w:t>
      </w:r>
      <w:r>
        <w:rPr>
          <w:rFonts w:hint="eastAsia" w:ascii="宋体" w:hAnsi="宋体" w:cs="宋体"/>
          <w:color w:val="auto"/>
          <w:sz w:val="24"/>
          <w:highlight w:val="none"/>
          <w:lang w:eastAsia="zh-Hans"/>
        </w:rPr>
        <w:t>故障分析与维护</w:t>
      </w:r>
      <w:r>
        <w:rPr>
          <w:rFonts w:ascii="宋体" w:hAnsi="宋体" w:cs="宋体"/>
          <w:color w:val="auto"/>
          <w:sz w:val="24"/>
          <w:highlight w:val="none"/>
          <w:lang w:eastAsia="zh-Hans"/>
        </w:rPr>
        <w:t>、</w:t>
      </w:r>
      <w:r>
        <w:rPr>
          <w:rFonts w:hint="eastAsia" w:ascii="宋体" w:hAnsi="宋体" w:cs="仿宋_GB2312"/>
          <w:color w:val="auto"/>
          <w:sz w:val="24"/>
          <w:highlight w:val="none"/>
          <w:lang w:eastAsia="zh-Hans"/>
        </w:rPr>
        <w:t>技术支撑服务等</w:t>
      </w:r>
      <w:r>
        <w:rPr>
          <w:rFonts w:ascii="宋体" w:hAnsi="宋体" w:cs="仿宋_GB2312"/>
          <w:color w:val="auto"/>
          <w:sz w:val="24"/>
          <w:highlight w:val="none"/>
          <w:lang w:eastAsia="zh-Hans"/>
        </w:rPr>
        <w:t>。</w:t>
      </w:r>
    </w:p>
    <w:p w14:paraId="63064B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Hans"/>
        </w:rPr>
        <w:t>预防性</w:t>
      </w:r>
      <w:r>
        <w:rPr>
          <w:rFonts w:hint="eastAsia" w:ascii="宋体" w:hAnsi="宋体" w:cs="宋体"/>
          <w:color w:val="auto"/>
          <w:sz w:val="24"/>
          <w:highlight w:val="none"/>
        </w:rPr>
        <w:t>巡检：定期对信息化系统进行巡检，检查系统功能是否正常，每</w:t>
      </w:r>
      <w:r>
        <w:rPr>
          <w:rFonts w:hint="eastAsia" w:ascii="宋体" w:hAnsi="宋体" w:cs="宋体"/>
          <w:color w:val="auto"/>
          <w:sz w:val="24"/>
          <w:highlight w:val="none"/>
          <w:lang w:eastAsia="zh-Hans"/>
        </w:rPr>
        <w:t>季度</w:t>
      </w:r>
      <w:r>
        <w:rPr>
          <w:rFonts w:hint="eastAsia" w:ascii="宋体" w:hAnsi="宋体" w:cs="宋体"/>
          <w:color w:val="auto"/>
          <w:sz w:val="24"/>
          <w:highlight w:val="none"/>
        </w:rPr>
        <w:t>进行一次全面巡检。</w:t>
      </w:r>
    </w:p>
    <w:p w14:paraId="0383BF4A">
      <w:pPr>
        <w:spacing w:line="360" w:lineRule="auto"/>
        <w:ind w:firstLine="480" w:firstLineChars="200"/>
        <w:rPr>
          <w:rFonts w:ascii="宋体" w:hAnsi="宋体" w:cs="宋体"/>
          <w:color w:val="auto"/>
          <w:sz w:val="24"/>
          <w:highlight w:val="none"/>
          <w:lang w:eastAsia="zh-Hans"/>
        </w:rPr>
      </w:pPr>
      <w:r>
        <w:rPr>
          <w:rFonts w:ascii="宋体" w:hAnsi="宋体" w:cs="宋体"/>
          <w:color w:val="auto"/>
          <w:sz w:val="24"/>
          <w:highlight w:val="none"/>
          <w:lang w:eastAsia="zh-Hans"/>
        </w:rPr>
        <w:t>2、服务实时监测与告警：</w:t>
      </w:r>
      <w:r>
        <w:rPr>
          <w:rFonts w:hint="eastAsia" w:ascii="宋体" w:hAnsi="宋体" w:cs="宋体"/>
          <w:color w:val="auto"/>
          <w:sz w:val="24"/>
          <w:highlight w:val="none"/>
          <w:lang w:eastAsia="zh-Hans"/>
        </w:rPr>
        <w:t>针对应用服务接口及前端服务可用性进行实时监控与告警</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保障服务稳定性。</w:t>
      </w:r>
    </w:p>
    <w:p w14:paraId="704E26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、系统</w:t>
      </w:r>
      <w:r>
        <w:rPr>
          <w:rFonts w:hint="eastAsia" w:ascii="宋体" w:hAnsi="宋体" w:cs="宋体"/>
          <w:color w:val="auto"/>
          <w:sz w:val="24"/>
          <w:highlight w:val="none"/>
          <w:lang w:eastAsia="zh-Hans"/>
        </w:rPr>
        <w:t>故障分析与维护</w:t>
      </w:r>
      <w:r>
        <w:rPr>
          <w:rFonts w:hint="eastAsia" w:ascii="宋体" w:hAnsi="宋体" w:cs="宋体"/>
          <w:color w:val="auto"/>
          <w:sz w:val="24"/>
          <w:highlight w:val="none"/>
        </w:rPr>
        <w:t>：针对系统问题进行故障分析，用户单位报修后半小时响应，一小时内维修人员到达现场，对故障系统现场进行维修，尽快恢复其功能。遇经使用单位及中标单位双方共同判断当日确不能修复的故障，中标单位需提供可行的应急措施，并确定具体修复时间。遇有突发事件和重要时间段要求中标单位的相关人员现场待命。</w:t>
      </w:r>
    </w:p>
    <w:p w14:paraId="011820A4">
      <w:pPr>
        <w:pStyle w:val="85"/>
        <w:rPr>
          <w:color w:val="auto"/>
          <w:highlight w:val="none"/>
          <w:lang w:eastAsia="zh-Hans"/>
        </w:rPr>
      </w:pPr>
      <w:r>
        <w:rPr>
          <w:rFonts w:hint="eastAsia" w:cs="宋体"/>
          <w:color w:val="auto"/>
          <w:highlight w:val="none"/>
        </w:rPr>
        <w:t>4、技术支撑</w:t>
      </w:r>
      <w:r>
        <w:rPr>
          <w:rFonts w:hint="eastAsia" w:cs="宋体"/>
          <w:color w:val="auto"/>
          <w:highlight w:val="none"/>
          <w:lang w:eastAsia="zh-Hans"/>
        </w:rPr>
        <w:t>服务</w:t>
      </w:r>
      <w:r>
        <w:rPr>
          <w:rFonts w:hint="eastAsia" w:cs="宋体"/>
          <w:color w:val="auto"/>
          <w:highlight w:val="none"/>
        </w:rPr>
        <w:t>：提供24小时电话技术服务，对存在的问题随时响应并电话指导，解决信息化系统使用、操作、维护中遇到的问题；对电话</w:t>
      </w:r>
      <w:r>
        <w:rPr>
          <w:rFonts w:hint="eastAsia" w:cs="宋体"/>
          <w:color w:val="auto"/>
          <w:highlight w:val="none"/>
          <w:lang w:eastAsia="zh-Hans"/>
        </w:rPr>
        <w:t>或远程方式</w:t>
      </w:r>
      <w:r>
        <w:rPr>
          <w:rFonts w:hint="eastAsia" w:cs="宋体"/>
          <w:color w:val="auto"/>
          <w:highlight w:val="none"/>
        </w:rPr>
        <w:t>不能解决的问题，需提供现场支持服务。</w:t>
      </w:r>
    </w:p>
    <w:p w14:paraId="15A8F6CB">
      <w:pPr>
        <w:pStyle w:val="85"/>
        <w:ind w:firstLine="0"/>
        <w:rPr>
          <w:color w:val="auto"/>
          <w:highlight w:val="none"/>
        </w:rPr>
      </w:pPr>
      <w:r>
        <w:rPr>
          <w:rFonts w:hint="eastAsia"/>
          <w:color w:val="auto"/>
          <w:highlight w:val="none"/>
        </w:rPr>
        <w:t>（四）</w:t>
      </w:r>
      <w:r>
        <w:rPr>
          <w:rFonts w:hint="eastAsia"/>
          <w:color w:val="auto"/>
          <w:highlight w:val="none"/>
          <w:lang w:eastAsia="zh-Hans"/>
        </w:rPr>
        <w:t>标准规范</w:t>
      </w:r>
      <w:r>
        <w:rPr>
          <w:rFonts w:hint="eastAsia"/>
          <w:color w:val="auto"/>
          <w:highlight w:val="none"/>
        </w:rPr>
        <w:t>要求</w:t>
      </w:r>
    </w:p>
    <w:p w14:paraId="0E107A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在维保服务过程中，中标人应遵循现行中华人民共和国及省、市、行业的一切有关法规、规范的要求，如下述标准及规范要求有出入则以较严格者为准：</w:t>
      </w:r>
    </w:p>
    <w:p w14:paraId="293C3569">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国家基本公共卫生服务规范（第三版）</w:t>
      </w:r>
    </w:p>
    <w:p w14:paraId="05D9B59B">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浙江省基本公共卫生服务规范（第四版）</w:t>
      </w:r>
    </w:p>
    <w:p w14:paraId="0C18BCD6">
      <w:pPr>
        <w:numPr>
          <w:ilvl w:val="0"/>
          <w:numId w:val="10"/>
        </w:numPr>
        <w:spacing w:line="360" w:lineRule="auto"/>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卫生信息数据元值域代码规范</w:t>
      </w:r>
      <w:r>
        <w:rPr>
          <w:rFonts w:ascii="宋体" w:hAnsi="宋体" w:cs="宋体"/>
          <w:color w:val="auto"/>
          <w:sz w:val="24"/>
          <w:highlight w:val="none"/>
        </w:rPr>
        <w:t>》（</w:t>
      </w:r>
      <w:r>
        <w:rPr>
          <w:rFonts w:hint="eastAsia" w:ascii="宋体" w:hAnsi="宋体" w:cs="宋体"/>
          <w:color w:val="auto"/>
          <w:sz w:val="24"/>
          <w:highlight w:val="none"/>
        </w:rPr>
        <w:t>WS364-2011</w:t>
      </w:r>
      <w:r>
        <w:rPr>
          <w:rFonts w:ascii="宋体" w:hAnsi="宋体" w:cs="宋体"/>
          <w:color w:val="auto"/>
          <w:sz w:val="24"/>
          <w:highlight w:val="none"/>
        </w:rPr>
        <w:t>）</w:t>
      </w:r>
    </w:p>
    <w:p w14:paraId="2C111E72">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《信息技术互连国际标准》（ISO/IEC11801-95）</w:t>
      </w:r>
    </w:p>
    <w:p w14:paraId="27C9BC31">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《信息技术、软件包质量要求和测试》（GB/T 17544-1998）</w:t>
      </w:r>
    </w:p>
    <w:p w14:paraId="01456B8C">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《软件工程标准分类法》（GB/T 15538-1995）</w:t>
      </w:r>
    </w:p>
    <w:p w14:paraId="5F3B9D7B">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《软件开发规范》（GB 8566-88）</w:t>
      </w:r>
    </w:p>
    <w:p w14:paraId="0D15620D">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《计算机软件质量保证计划规范》（GB/T 12504-90）</w:t>
      </w:r>
    </w:p>
    <w:p w14:paraId="085F3257">
      <w:pPr>
        <w:pStyle w:val="85"/>
        <w:ind w:firstLine="0"/>
        <w:rPr>
          <w:color w:val="auto"/>
          <w:highlight w:val="none"/>
        </w:rPr>
      </w:pPr>
      <w:r>
        <w:rPr>
          <w:rFonts w:hint="eastAsia"/>
          <w:color w:val="auto"/>
          <w:highlight w:val="none"/>
        </w:rPr>
        <w:t>（五）服务团队要求</w:t>
      </w:r>
    </w:p>
    <w:p w14:paraId="471AEE20">
      <w:pPr>
        <w:pStyle w:val="85"/>
        <w:rPr>
          <w:rFonts w:cs="宋体"/>
          <w:color w:val="auto"/>
          <w:highlight w:val="none"/>
        </w:rPr>
      </w:pPr>
      <w:r>
        <w:rPr>
          <w:rFonts w:hint="eastAsia" w:cs="宋体"/>
          <w:color w:val="auto"/>
          <w:highlight w:val="none"/>
        </w:rPr>
        <w:t>1、要求中标人在合同期内组成</w:t>
      </w:r>
      <w:r>
        <w:rPr>
          <w:rFonts w:cs="宋体"/>
          <w:color w:val="auto"/>
          <w:highlight w:val="none"/>
        </w:rPr>
        <w:t>5</w:t>
      </w:r>
      <w:r>
        <w:rPr>
          <w:rFonts w:hint="eastAsia" w:cs="宋体"/>
          <w:color w:val="auto"/>
          <w:highlight w:val="none"/>
        </w:rPr>
        <w:t>名技术人员以上的服务小组，投标人应在投标文件中提供有关维护人员信息，介绍人员的情况，包括姓名、年龄、学历、职称、资格认证、从事类似项目经验、擅长技术、职责安排等情况，并附上相关证明文件。</w:t>
      </w:r>
    </w:p>
    <w:p w14:paraId="6F2E1624">
      <w:pPr>
        <w:pStyle w:val="85"/>
        <w:rPr>
          <w:rFonts w:cs="宋体"/>
          <w:color w:val="auto"/>
          <w:highlight w:val="none"/>
        </w:rPr>
      </w:pPr>
      <w:r>
        <w:rPr>
          <w:rFonts w:hint="eastAsia" w:cs="宋体"/>
          <w:color w:val="auto"/>
          <w:highlight w:val="none"/>
        </w:rPr>
        <w:t>2、服务人员总体素质要求：能够承担本项目的任务。服务小组须熟悉J2EE架构开发，MySql、Oracle等数据库使用，Linux操作系统配置，以及数据一致性检查等工作。对软件系统开发制作深入了解</w:t>
      </w:r>
      <w:r>
        <w:rPr>
          <w:rFonts w:cs="宋体"/>
          <w:color w:val="auto"/>
          <w:highlight w:val="none"/>
        </w:rPr>
        <w:t>，</w:t>
      </w:r>
      <w:r>
        <w:rPr>
          <w:rFonts w:hint="eastAsia" w:cs="宋体"/>
          <w:color w:val="auto"/>
          <w:highlight w:val="none"/>
        </w:rPr>
        <w:t>需熟悉Java</w:t>
      </w:r>
      <w:r>
        <w:rPr>
          <w:rFonts w:cs="宋体"/>
          <w:color w:val="auto"/>
          <w:highlight w:val="none"/>
        </w:rPr>
        <w:t>、</w:t>
      </w:r>
      <w:r>
        <w:rPr>
          <w:rFonts w:hint="eastAsia" w:cs="宋体"/>
          <w:color w:val="auto"/>
          <w:highlight w:val="none"/>
        </w:rPr>
        <w:t>SQL</w:t>
      </w:r>
      <w:r>
        <w:rPr>
          <w:rFonts w:cs="宋体"/>
          <w:color w:val="auto"/>
          <w:highlight w:val="none"/>
        </w:rPr>
        <w:t>、</w:t>
      </w:r>
      <w:r>
        <w:rPr>
          <w:rFonts w:hint="eastAsia" w:cs="宋体"/>
          <w:color w:val="auto"/>
          <w:highlight w:val="none"/>
        </w:rPr>
        <w:t>HTML、Javascript、CSS</w:t>
      </w:r>
      <w:r>
        <w:rPr>
          <w:rFonts w:cs="宋体"/>
          <w:color w:val="auto"/>
          <w:highlight w:val="none"/>
        </w:rPr>
        <w:t>、</w:t>
      </w:r>
      <w:r>
        <w:rPr>
          <w:rFonts w:hint="eastAsia" w:cs="宋体"/>
          <w:color w:val="auto"/>
          <w:highlight w:val="none"/>
        </w:rPr>
        <w:t>Linux</w:t>
      </w:r>
      <w:r>
        <w:rPr>
          <w:rFonts w:cs="宋体"/>
          <w:color w:val="auto"/>
          <w:highlight w:val="none"/>
        </w:rPr>
        <w:t xml:space="preserve"> </w:t>
      </w:r>
      <w:r>
        <w:rPr>
          <w:rFonts w:hint="eastAsia" w:cs="宋体"/>
          <w:color w:val="auto"/>
          <w:highlight w:val="none"/>
        </w:rPr>
        <w:t>Shell等语言，具有熟练的美工能力，其制作的成果需要采购人确认。</w:t>
      </w:r>
    </w:p>
    <w:p w14:paraId="56145F15">
      <w:pPr>
        <w:pStyle w:val="85"/>
        <w:rPr>
          <w:rFonts w:cs="宋体"/>
          <w:color w:val="auto"/>
          <w:highlight w:val="none"/>
        </w:rPr>
      </w:pPr>
      <w:r>
        <w:rPr>
          <w:rFonts w:hint="eastAsia" w:cs="宋体"/>
          <w:color w:val="auto"/>
          <w:highlight w:val="none"/>
        </w:rPr>
        <w:t>3、该平台运维服务需提供7×24电话或电子邮件服务，接到业主报修通知2小时内做出明确响应和安排，8小时内做出故障诊断报告。</w:t>
      </w:r>
    </w:p>
    <w:p w14:paraId="66909A25">
      <w:pPr>
        <w:pStyle w:val="85"/>
        <w:ind w:firstLine="0"/>
        <w:rPr>
          <w:color w:val="auto"/>
          <w:highlight w:val="none"/>
        </w:rPr>
      </w:pPr>
      <w:bookmarkStart w:id="33" w:name="_Toc30519"/>
      <w:r>
        <w:rPr>
          <w:rFonts w:hint="eastAsia"/>
          <w:color w:val="auto"/>
          <w:highlight w:val="none"/>
        </w:rPr>
        <w:t>（六）响应要求</w:t>
      </w:r>
      <w:bookmarkEnd w:id="33"/>
    </w:p>
    <w:p w14:paraId="54765E66">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1、工作日须每</w:t>
      </w:r>
      <w:r>
        <w:rPr>
          <w:rFonts w:hint="eastAsia" w:ascii="宋体" w:hAnsi="宋体" w:cs="宋体"/>
          <w:color w:val="auto"/>
          <w:sz w:val="24"/>
          <w:highlight w:val="none"/>
          <w:lang w:eastAsia="zh-Hans"/>
        </w:rPr>
        <w:t>天</w:t>
      </w:r>
      <w:r>
        <w:rPr>
          <w:rFonts w:hint="eastAsia" w:ascii="宋体" w:hAnsi="宋体" w:cs="宋体"/>
          <w:color w:val="auto"/>
          <w:sz w:val="24"/>
          <w:highlight w:val="none"/>
        </w:rPr>
        <w:t>定时开展，频次由采购人确定，双休、节假日期间或遇到紧急情况需要，中标方即时响应处理。</w:t>
      </w:r>
    </w:p>
    <w:p w14:paraId="5C104A8A">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2、日常维护：如人员注册、授权、系统配置、问题处理等，须在接到服务要求后即时响应。</w:t>
      </w:r>
    </w:p>
    <w:p w14:paraId="78088804">
      <w:pPr>
        <w:pStyle w:val="85"/>
        <w:rPr>
          <w:rFonts w:cs="宋体"/>
          <w:color w:val="auto"/>
          <w:highlight w:val="none"/>
        </w:rPr>
      </w:pPr>
      <w:r>
        <w:rPr>
          <w:rFonts w:hint="eastAsia" w:cs="宋体"/>
          <w:color w:val="auto"/>
          <w:highlight w:val="none"/>
        </w:rPr>
        <w:t>3、在服务期间，若发现超出服务能力范围的故障或问题，如网络设备</w:t>
      </w:r>
      <w:r>
        <w:rPr>
          <w:rFonts w:hint="eastAsia" w:cs="宋体"/>
          <w:color w:val="auto"/>
          <w:highlight w:val="none"/>
          <w:lang w:eastAsia="zh-Hans"/>
        </w:rPr>
        <w:t>硬件</w:t>
      </w:r>
      <w:r>
        <w:rPr>
          <w:rFonts w:hint="eastAsia" w:cs="宋体"/>
          <w:color w:val="auto"/>
          <w:highlight w:val="none"/>
        </w:rPr>
        <w:t>故障、需要采购人处理或应用系统本身存在缺陷等的，要求于发现当日及时告知采购人，并配合采购人及时处理。</w:t>
      </w:r>
    </w:p>
    <w:p w14:paraId="7A56F344">
      <w:pPr>
        <w:spacing w:line="360" w:lineRule="auto"/>
        <w:rPr>
          <w:rFonts w:ascii="宋体" w:hAnsi="宋体"/>
          <w:color w:val="auto"/>
          <w:sz w:val="24"/>
          <w:highlight w:val="none"/>
        </w:rPr>
      </w:pPr>
      <w:r>
        <w:rPr>
          <w:rFonts w:hint="eastAsia" w:ascii="宋体" w:hAnsi="宋体" w:cs="宋体"/>
          <w:color w:val="auto"/>
          <w:sz w:val="24"/>
          <w:highlight w:val="none"/>
        </w:rPr>
        <w:t>（七）保密要求</w:t>
      </w:r>
    </w:p>
    <w:p w14:paraId="74BF749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中标方须遵守有关保密规定，承诺且不限于以下保密要求：</w:t>
      </w:r>
    </w:p>
    <w:p w14:paraId="6FE956B7">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1、中标方对本项目涉及和所产生的数据、资料、信息等负有保密责任，未经采购人同意不得提供给任何第三方，包括中标方的分支机构、子公司、委托顾问方或接受咨询方。</w:t>
      </w:r>
    </w:p>
    <w:p w14:paraId="65B0A6C9">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2、中标方应妥善保管有关的文件和资料，未经采购人许可，不对其复制、仿造等。</w:t>
      </w:r>
    </w:p>
    <w:p w14:paraId="44FB540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3、中标方应对有关人员进行有效管理，包括制定规章制度，以确保本承诺书的履行。</w:t>
      </w:r>
    </w:p>
    <w:p w14:paraId="78D420D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4、中标方若违反本承诺的约定，应赔偿采购人由此遭受的一切损失。</w:t>
      </w:r>
    </w:p>
    <w:p w14:paraId="7CFC685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5、保密期限：中标方需对本项目的业务资料、技术信息等在软件生命周期内一直保密，直至采购人同意或该业务资料、技术信息在同行业中已成为公开信息后方可解除保密义务。</w:t>
      </w:r>
    </w:p>
    <w:p w14:paraId="7A3CA1A8">
      <w:pPr>
        <w:pStyle w:val="85"/>
        <w:rPr>
          <w:rFonts w:cs="宋体"/>
          <w:color w:val="auto"/>
          <w:highlight w:val="none"/>
        </w:rPr>
      </w:pPr>
      <w:r>
        <w:rPr>
          <w:rFonts w:hint="eastAsia" w:cs="宋体"/>
          <w:color w:val="auto"/>
          <w:highlight w:val="none"/>
        </w:rPr>
        <w:t>6、中标方须签订保密协议。</w:t>
      </w:r>
    </w:p>
    <w:p w14:paraId="03129D33">
      <w:pPr>
        <w:pStyle w:val="19"/>
        <w:spacing w:after="120" w:line="360" w:lineRule="auto"/>
        <w:ind w:firstLine="482" w:firstLineChars="200"/>
        <w:rPr>
          <w:rFonts w:ascii="宋体" w:hAnsi="宋体" w:cs="宋体"/>
          <w:b/>
          <w:bCs/>
          <w:color w:val="auto"/>
          <w:sz w:val="24"/>
          <w:highlight w:val="none"/>
        </w:rPr>
      </w:pPr>
      <w:r>
        <w:rPr>
          <w:rFonts w:hint="eastAsia" w:ascii="宋体" w:hAnsi="宋体"/>
          <w:b/>
          <w:bCs/>
          <w:color w:val="auto"/>
          <w:sz w:val="24"/>
          <w:highlight w:val="none"/>
        </w:rPr>
        <w:t>系统四：</w:t>
      </w:r>
      <w:r>
        <w:rPr>
          <w:rFonts w:hint="eastAsia" w:ascii="宋体" w:hAnsi="宋体" w:cs="宋体"/>
          <w:b/>
          <w:bCs/>
          <w:color w:val="auto"/>
          <w:sz w:val="24"/>
          <w:highlight w:val="none"/>
        </w:rPr>
        <w:t>杭州市中医药数据驾驶舱运维服务</w:t>
      </w:r>
    </w:p>
    <w:p w14:paraId="7C25680B">
      <w:pPr>
        <w:pStyle w:val="19"/>
        <w:spacing w:after="120" w:line="360" w:lineRule="auto"/>
        <w:ind w:firstLine="480" w:firstLineChars="200"/>
        <w:rPr>
          <w:rFonts w:ascii="宋体" w:hAnsi="宋体" w:cs="宋体"/>
          <w:color w:val="auto"/>
          <w:sz w:val="24"/>
          <w:highlight w:val="none"/>
        </w:rPr>
      </w:pPr>
      <w:r>
        <w:rPr>
          <w:rFonts w:hint="eastAsia" w:ascii="宋体" w:hAnsi="宋体"/>
          <w:color w:val="auto"/>
          <w:sz w:val="24"/>
          <w:highlight w:val="none"/>
          <w:lang w:val="zh-CN"/>
        </w:rPr>
        <w:t>为了确保</w:t>
      </w:r>
      <w:r>
        <w:rPr>
          <w:rFonts w:hint="eastAsia" w:ascii="宋体" w:hAnsi="宋体" w:cs="宋体"/>
          <w:color w:val="auto"/>
          <w:sz w:val="24"/>
          <w:highlight w:val="none"/>
        </w:rPr>
        <w:t>杭州市卫健更顺畅的使用杭州市中医药数据驾驶舱开展日常监管工作，提高工作效率，同时对软件系统进行良好的日常维护，保障系统安全稳定的运行。</w:t>
      </w:r>
    </w:p>
    <w:p w14:paraId="421568E2">
      <w:pPr>
        <w:snapToGrid w:val="0"/>
        <w:spacing w:line="360" w:lineRule="auto"/>
        <w:ind w:left="105" w:leftChars="50" w:firstLine="480" w:firstLineChars="200"/>
        <w:outlineLvl w:val="2"/>
        <w:rPr>
          <w:rFonts w:ascii="宋体" w:hAnsi="宋体" w:cs="宋体"/>
          <w:color w:val="auto"/>
          <w:sz w:val="24"/>
          <w:highlight w:val="none"/>
        </w:rPr>
      </w:pPr>
      <w:r>
        <w:rPr>
          <w:rFonts w:hint="eastAsia" w:ascii="宋体" w:hAnsi="宋体" w:cs="宋体"/>
          <w:color w:val="auto"/>
          <w:sz w:val="24"/>
          <w:highlight w:val="none"/>
        </w:rPr>
        <w:t>本项目的运维服务内容为中医药驾驶舱和中医药一张图的系统运维服务。</w:t>
      </w:r>
    </w:p>
    <w:p w14:paraId="4A656C75">
      <w:pPr>
        <w:snapToGrid w:val="0"/>
        <w:spacing w:line="360" w:lineRule="auto"/>
        <w:ind w:left="105" w:leftChars="50" w:firstLine="480" w:firstLineChars="200"/>
        <w:outlineLvl w:val="2"/>
        <w:rPr>
          <w:rFonts w:ascii="宋体" w:hAnsi="宋体" w:cs="宋体"/>
          <w:color w:val="auto"/>
          <w:sz w:val="24"/>
          <w:highlight w:val="none"/>
        </w:rPr>
      </w:pPr>
      <w:r>
        <w:rPr>
          <w:rFonts w:hint="eastAsia" w:ascii="宋体" w:hAnsi="宋体" w:cs="宋体"/>
          <w:color w:val="auto"/>
          <w:sz w:val="24"/>
          <w:highlight w:val="none"/>
        </w:rPr>
        <w:t>软件维保服务清单：</w:t>
      </w:r>
    </w:p>
    <w:tbl>
      <w:tblPr>
        <w:tblStyle w:val="63"/>
        <w:tblpPr w:leftFromText="180" w:rightFromText="180" w:vertAnchor="text" w:horzAnchor="page" w:tblpX="1829" w:tblpY="290"/>
        <w:tblOverlap w:val="never"/>
        <w:tblW w:w="821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9"/>
        <w:gridCol w:w="1564"/>
        <w:gridCol w:w="1903"/>
        <w:gridCol w:w="3947"/>
      </w:tblGrid>
      <w:tr w14:paraId="663A6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4" w:hRule="atLeast"/>
        </w:trPr>
        <w:tc>
          <w:tcPr>
            <w:tcW w:w="799" w:type="dxa"/>
            <w:tcBorders>
              <w:bottom w:val="single" w:color="000000" w:sz="8" w:space="0"/>
            </w:tcBorders>
            <w:vAlign w:val="center"/>
          </w:tcPr>
          <w:p w14:paraId="2FFEB3D9">
            <w:pPr>
              <w:pStyle w:val="957"/>
              <w:spacing w:before="2" w:line="360" w:lineRule="auto"/>
              <w:ind w:left="108"/>
              <w:rPr>
                <w:rFonts w:ascii="宋体" w:hAnsi="宋体" w:cs="仿宋"/>
                <w:b/>
                <w:color w:val="auto"/>
                <w:sz w:val="24"/>
                <w:szCs w:val="24"/>
                <w:highlight w:val="none"/>
              </w:rPr>
            </w:pPr>
            <w:r>
              <w:rPr>
                <w:rFonts w:hint="eastAsia" w:ascii="宋体" w:hAnsi="宋体" w:cs="仿宋"/>
                <w:b/>
                <w:color w:val="auto"/>
                <w:sz w:val="24"/>
                <w:szCs w:val="24"/>
                <w:highlight w:val="none"/>
              </w:rPr>
              <w:t>序号</w:t>
            </w:r>
          </w:p>
        </w:tc>
        <w:tc>
          <w:tcPr>
            <w:tcW w:w="1564" w:type="dxa"/>
            <w:tcBorders>
              <w:bottom w:val="single" w:color="000000" w:sz="8" w:space="0"/>
            </w:tcBorders>
            <w:vAlign w:val="center"/>
          </w:tcPr>
          <w:p w14:paraId="59466286">
            <w:pPr>
              <w:pStyle w:val="957"/>
              <w:spacing w:before="2" w:line="360" w:lineRule="auto"/>
              <w:ind w:left="108"/>
              <w:jc w:val="center"/>
              <w:rPr>
                <w:rFonts w:ascii="宋体" w:hAnsi="宋体" w:cs="仿宋"/>
                <w:b/>
                <w:color w:val="auto"/>
                <w:sz w:val="24"/>
                <w:szCs w:val="24"/>
                <w:highlight w:val="none"/>
              </w:rPr>
            </w:pPr>
            <w:r>
              <w:rPr>
                <w:rFonts w:hint="eastAsia" w:ascii="宋体" w:hAnsi="宋体" w:cs="仿宋"/>
                <w:b/>
                <w:color w:val="auto"/>
                <w:sz w:val="24"/>
                <w:szCs w:val="24"/>
                <w:highlight w:val="none"/>
              </w:rPr>
              <w:t>系统</w:t>
            </w:r>
          </w:p>
        </w:tc>
        <w:tc>
          <w:tcPr>
            <w:tcW w:w="1903" w:type="dxa"/>
            <w:vAlign w:val="center"/>
          </w:tcPr>
          <w:p w14:paraId="7C3E8E96">
            <w:pPr>
              <w:pStyle w:val="957"/>
              <w:spacing w:before="2" w:line="360" w:lineRule="auto"/>
              <w:ind w:left="107"/>
              <w:jc w:val="center"/>
              <w:rPr>
                <w:rFonts w:ascii="宋体" w:hAnsi="宋体" w:cs="仿宋"/>
                <w:b/>
                <w:color w:val="auto"/>
                <w:sz w:val="24"/>
                <w:szCs w:val="24"/>
                <w:highlight w:val="none"/>
              </w:rPr>
            </w:pPr>
            <w:r>
              <w:rPr>
                <w:rFonts w:hint="eastAsia" w:ascii="宋体" w:hAnsi="宋体" w:cs="仿宋"/>
                <w:b/>
                <w:color w:val="auto"/>
                <w:sz w:val="24"/>
                <w:szCs w:val="24"/>
                <w:highlight w:val="none"/>
              </w:rPr>
              <w:t>模块</w:t>
            </w:r>
          </w:p>
        </w:tc>
        <w:tc>
          <w:tcPr>
            <w:tcW w:w="3947" w:type="dxa"/>
            <w:tcBorders>
              <w:right w:val="single" w:color="000000" w:sz="4" w:space="0"/>
            </w:tcBorders>
            <w:vAlign w:val="center"/>
          </w:tcPr>
          <w:p w14:paraId="06F0FD84">
            <w:pPr>
              <w:pStyle w:val="957"/>
              <w:spacing w:before="2" w:line="360" w:lineRule="auto"/>
              <w:ind w:left="107"/>
              <w:jc w:val="center"/>
              <w:rPr>
                <w:rFonts w:ascii="宋体" w:hAnsi="宋体" w:cs="仿宋"/>
                <w:b/>
                <w:color w:val="auto"/>
                <w:sz w:val="24"/>
                <w:szCs w:val="24"/>
                <w:highlight w:val="none"/>
              </w:rPr>
            </w:pPr>
            <w:r>
              <w:rPr>
                <w:rFonts w:hint="eastAsia" w:ascii="宋体" w:hAnsi="宋体" w:cs="仿宋"/>
                <w:b/>
                <w:color w:val="auto"/>
                <w:sz w:val="24"/>
                <w:szCs w:val="24"/>
                <w:highlight w:val="none"/>
              </w:rPr>
              <w:t>描述</w:t>
            </w:r>
          </w:p>
        </w:tc>
      </w:tr>
      <w:tr w14:paraId="5D54C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2" w:hRule="atLeast"/>
        </w:trPr>
        <w:tc>
          <w:tcPr>
            <w:tcW w:w="799" w:type="dxa"/>
            <w:tcBorders>
              <w:bottom w:val="single" w:color="000000" w:sz="8" w:space="0"/>
            </w:tcBorders>
            <w:vAlign w:val="center"/>
          </w:tcPr>
          <w:p w14:paraId="6AD50E7E">
            <w:pPr>
              <w:pStyle w:val="957"/>
              <w:spacing w:line="360" w:lineRule="auto"/>
              <w:ind w:left="108"/>
              <w:jc w:val="center"/>
              <w:rPr>
                <w:rFonts w:ascii="宋体" w:hAnsi="宋体" w:cs="仿宋"/>
                <w:color w:val="auto"/>
                <w:sz w:val="24"/>
                <w:szCs w:val="24"/>
                <w:highlight w:val="none"/>
              </w:rPr>
            </w:pPr>
            <w:r>
              <w:rPr>
                <w:rFonts w:hint="eastAsia" w:ascii="宋体" w:hAnsi="宋体" w:cs="仿宋"/>
                <w:color w:val="auto"/>
                <w:w w:val="99"/>
                <w:sz w:val="24"/>
                <w:szCs w:val="24"/>
                <w:highlight w:val="none"/>
              </w:rPr>
              <w:t>1</w:t>
            </w:r>
          </w:p>
        </w:tc>
        <w:tc>
          <w:tcPr>
            <w:tcW w:w="1564" w:type="dxa"/>
            <w:vMerge w:val="restart"/>
            <w:tcBorders>
              <w:bottom w:val="single" w:color="000000" w:sz="8" w:space="0"/>
            </w:tcBorders>
            <w:vAlign w:val="center"/>
          </w:tcPr>
          <w:p w14:paraId="0A99D510">
            <w:pPr>
              <w:pStyle w:val="957"/>
              <w:spacing w:line="360" w:lineRule="auto"/>
              <w:ind w:right="88"/>
              <w:rPr>
                <w:rFonts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杭州市中医药数据驾驶舱</w:t>
            </w:r>
          </w:p>
        </w:tc>
        <w:tc>
          <w:tcPr>
            <w:tcW w:w="1903" w:type="dxa"/>
            <w:vAlign w:val="center"/>
          </w:tcPr>
          <w:p w14:paraId="4A8F7FD5">
            <w:pPr>
              <w:pStyle w:val="957"/>
              <w:spacing w:before="9" w:line="360" w:lineRule="auto"/>
              <w:rPr>
                <w:rFonts w:ascii="宋体" w:hAnsi="宋体" w:cs="仿宋"/>
                <w:color w:val="auto"/>
                <w:sz w:val="24"/>
                <w:szCs w:val="24"/>
                <w:highlight w:val="none"/>
              </w:rPr>
            </w:pPr>
            <w:r>
              <w:rPr>
                <w:rFonts w:hint="eastAsia" w:ascii="宋体" w:hAnsi="宋体" w:cs="仿宋"/>
                <w:color w:val="auto"/>
                <w:sz w:val="24"/>
                <w:szCs w:val="24"/>
                <w:highlight w:val="none"/>
              </w:rPr>
              <w:t>中医药驾驶舱</w:t>
            </w:r>
          </w:p>
        </w:tc>
        <w:tc>
          <w:tcPr>
            <w:tcW w:w="3947" w:type="dxa"/>
            <w:tcBorders>
              <w:right w:val="single" w:color="000000" w:sz="4" w:space="0"/>
            </w:tcBorders>
            <w:vAlign w:val="center"/>
          </w:tcPr>
          <w:p w14:paraId="7E27F0FB">
            <w:pPr>
              <w:pStyle w:val="957"/>
              <w:spacing w:line="360" w:lineRule="auto"/>
              <w:ind w:left="107"/>
              <w:rPr>
                <w:rFonts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用于统计汇总并展示杭州市各中医医院的关键业务指标</w:t>
            </w:r>
          </w:p>
        </w:tc>
      </w:tr>
      <w:tr w14:paraId="769AF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9" w:type="dxa"/>
            <w:tcBorders>
              <w:top w:val="single" w:color="000000" w:sz="8" w:space="0"/>
            </w:tcBorders>
            <w:vAlign w:val="center"/>
          </w:tcPr>
          <w:p w14:paraId="19919E21">
            <w:pPr>
              <w:pStyle w:val="957"/>
              <w:spacing w:line="360" w:lineRule="auto"/>
              <w:ind w:left="108"/>
              <w:jc w:val="center"/>
              <w:rPr>
                <w:rFonts w:ascii="宋体" w:hAnsi="宋体" w:cs="仿宋"/>
                <w:color w:val="auto"/>
                <w:sz w:val="24"/>
                <w:szCs w:val="24"/>
                <w:highlight w:val="none"/>
              </w:rPr>
            </w:pPr>
            <w:r>
              <w:rPr>
                <w:rFonts w:hint="eastAsia" w:ascii="宋体" w:hAnsi="宋体" w:cs="仿宋"/>
                <w:color w:val="auto"/>
                <w:w w:val="99"/>
                <w:sz w:val="24"/>
                <w:szCs w:val="24"/>
                <w:highlight w:val="none"/>
              </w:rPr>
              <w:t>2</w:t>
            </w:r>
          </w:p>
        </w:tc>
        <w:tc>
          <w:tcPr>
            <w:tcW w:w="1564" w:type="dxa"/>
            <w:vMerge w:val="continue"/>
            <w:tcBorders>
              <w:top w:val="nil"/>
              <w:bottom w:val="single" w:color="000000" w:sz="8" w:space="0"/>
            </w:tcBorders>
            <w:vAlign w:val="center"/>
          </w:tcPr>
          <w:p w14:paraId="026C0C4B">
            <w:pPr>
              <w:spacing w:line="360" w:lineRule="auto"/>
              <w:rPr>
                <w:rFonts w:ascii="宋体" w:hAnsi="宋体" w:cs="仿宋"/>
                <w:color w:val="auto"/>
                <w:sz w:val="24"/>
                <w:highlight w:val="none"/>
              </w:rPr>
            </w:pPr>
          </w:p>
        </w:tc>
        <w:tc>
          <w:tcPr>
            <w:tcW w:w="1903" w:type="dxa"/>
            <w:vAlign w:val="center"/>
          </w:tcPr>
          <w:p w14:paraId="0620447C">
            <w:pPr>
              <w:pStyle w:val="957"/>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中医药一张图</w:t>
            </w:r>
          </w:p>
        </w:tc>
        <w:tc>
          <w:tcPr>
            <w:tcW w:w="3947" w:type="dxa"/>
            <w:tcBorders>
              <w:right w:val="single" w:color="000000" w:sz="4" w:space="0"/>
            </w:tcBorders>
            <w:vAlign w:val="center"/>
          </w:tcPr>
          <w:p w14:paraId="1EEFF51C">
            <w:pPr>
              <w:pStyle w:val="957"/>
              <w:spacing w:line="360" w:lineRule="auto"/>
              <w:ind w:left="107"/>
              <w:rPr>
                <w:rFonts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用于展示杭州市中医药事业及产业资源的分布情况</w:t>
            </w:r>
          </w:p>
        </w:tc>
      </w:tr>
    </w:tbl>
    <w:p w14:paraId="31E1E93C">
      <w:pPr>
        <w:pStyle w:val="19"/>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（一）维保内容</w:t>
      </w:r>
    </w:p>
    <w:p w14:paraId="42BD615D">
      <w:pPr>
        <w:pStyle w:val="19"/>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杭州市中医药数据驾驶舱进行日常维护、巡检、数据质量控制、监测各外连系统接口和模块状态、处理系统突发应急事件、数据库常规备份、对各医院相关工作人员的软件操作培训和问题应答、对各医院信息科和县卫生健康局信息中心相关系统管理维护人员的管理培训等。</w:t>
      </w:r>
    </w:p>
    <w:p w14:paraId="764CF9F5">
      <w:pPr>
        <w:pStyle w:val="19"/>
        <w:spacing w:after="120"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（二）其他服务</w:t>
      </w:r>
      <w:r>
        <w:rPr>
          <w:rFonts w:ascii="宋体" w:hAnsi="宋体" w:cs="宋体"/>
          <w:b/>
          <w:bCs/>
          <w:color w:val="auto"/>
          <w:sz w:val="24"/>
          <w:highlight w:val="none"/>
        </w:rPr>
        <w:tab/>
      </w:r>
    </w:p>
    <w:p w14:paraId="021E2FA8">
      <w:pPr>
        <w:pStyle w:val="258"/>
        <w:numPr>
          <w:ilvl w:val="0"/>
          <w:numId w:val="11"/>
        </w:numPr>
        <w:snapToGrid w:val="0"/>
        <w:ind w:firstLineChars="0"/>
        <w:rPr>
          <w:rFonts w:ascii="宋体" w:hAnsi="宋体" w:eastAsia="宋体" w:cs="宋体"/>
          <w:color w:val="auto"/>
          <w:highlight w:val="none"/>
        </w:rPr>
      </w:pPr>
      <w:r>
        <w:rPr>
          <w:rFonts w:hint="eastAsia" w:ascii="宋体" w:hAnsi="宋体" w:eastAsia="宋体" w:cs="宋体"/>
          <w:color w:val="auto"/>
          <w:highlight w:val="none"/>
        </w:rPr>
        <w:t>软件系统的相关补丁升级和维护工作：</w:t>
      </w:r>
    </w:p>
    <w:p w14:paraId="5B16F90D">
      <w:pPr>
        <w:pStyle w:val="258"/>
        <w:numPr>
          <w:ilvl w:val="0"/>
          <w:numId w:val="11"/>
        </w:numPr>
        <w:snapToGrid w:val="0"/>
        <w:ind w:firstLineChars="0"/>
        <w:rPr>
          <w:rFonts w:ascii="宋体" w:hAnsi="宋体" w:eastAsia="宋体" w:cs="宋体"/>
          <w:color w:val="auto"/>
          <w:highlight w:val="none"/>
        </w:rPr>
      </w:pPr>
      <w:r>
        <w:rPr>
          <w:rFonts w:hint="eastAsia" w:ascii="宋体" w:hAnsi="宋体" w:eastAsia="宋体" w:cs="宋体"/>
          <w:color w:val="auto"/>
          <w:highlight w:val="none"/>
        </w:rPr>
        <w:t>提供一年不少于四次的系统巡检服务和系统维护。每周对数据备份服务进行查看，确保数据安全。每月对数据库服务器、应用服务器进行巡检，查看并记录CPU、内存、磁盘、网络指标是否正常，每季度出具巡检报告；遇国家重要节假日（春节、国庆等）的须进行特别巡检，并出具系统巡检报告。</w:t>
      </w:r>
    </w:p>
    <w:p w14:paraId="1B5D4A55">
      <w:pPr>
        <w:pStyle w:val="258"/>
        <w:numPr>
          <w:ilvl w:val="0"/>
          <w:numId w:val="11"/>
        </w:numPr>
        <w:snapToGrid w:val="0"/>
        <w:ind w:firstLineChars="0"/>
        <w:rPr>
          <w:rFonts w:ascii="宋体" w:hAnsi="宋体" w:eastAsia="宋体" w:cs="宋体"/>
          <w:color w:val="auto"/>
          <w:highlight w:val="none"/>
        </w:rPr>
      </w:pPr>
      <w:r>
        <w:rPr>
          <w:rFonts w:hint="eastAsia" w:ascii="宋体" w:hAnsi="宋体" w:eastAsia="宋体" w:cs="宋体"/>
          <w:color w:val="auto"/>
          <w:highlight w:val="none"/>
        </w:rPr>
        <w:t>根据要求，提供对应的软件系统操作培训。</w:t>
      </w:r>
    </w:p>
    <w:p w14:paraId="64F96ADB">
      <w:pPr>
        <w:pStyle w:val="19"/>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（三）维护期服务和备份方案</w:t>
      </w:r>
    </w:p>
    <w:p w14:paraId="4F853471">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由于医疗业务的特殊性，任何人为或自然因素所导致的系统或数据库中断，都会造成医院巨大的经济和名誉损伤及严重的后果。为了避免一些突发的意外情况造成对业务系统中断或者破坏，系统应该有快速灾难恢复的能力，同时，下面的数据库也不应该因上述故障导致本地数据丢失。可见，在某些不可抗拒的意外事件发生时，如何避免数据丢失，如何正常为用户提供服务，也是系统建设中一个必不可少的方面。  建立一个覆盖各中心全部操作平台的应用及数据库备份系统，实现在医院内部。备份的管理采用集中备份管理的方式，尽可能提高各主机数据的安全性和可管理性。 </w:t>
      </w:r>
    </w:p>
    <w:p w14:paraId="4439A792">
      <w:pPr>
        <w:pStyle w:val="258"/>
        <w:numPr>
          <w:ilvl w:val="0"/>
          <w:numId w:val="12"/>
        </w:numPr>
        <w:snapToGrid w:val="0"/>
        <w:ind w:firstLineChars="0"/>
        <w:rPr>
          <w:rFonts w:ascii="宋体" w:hAnsi="宋体" w:eastAsia="宋体" w:cs="宋体"/>
          <w:color w:val="auto"/>
          <w:highlight w:val="none"/>
        </w:rPr>
      </w:pPr>
      <w:r>
        <w:rPr>
          <w:rFonts w:hint="eastAsia" w:ascii="宋体" w:hAnsi="宋体" w:eastAsia="宋体" w:cs="宋体"/>
          <w:color w:val="auto"/>
          <w:highlight w:val="none"/>
        </w:rPr>
        <w:t>备份内容应包括</w:t>
      </w:r>
    </w:p>
    <w:p w14:paraId="72DE61AE">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⑴应用数据库备份</w:t>
      </w:r>
    </w:p>
    <w:p w14:paraId="585641A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⑵应用程序备份</w:t>
      </w:r>
    </w:p>
    <w:p w14:paraId="00217DD0">
      <w:pPr>
        <w:pStyle w:val="258"/>
        <w:numPr>
          <w:ilvl w:val="0"/>
          <w:numId w:val="12"/>
        </w:numPr>
        <w:snapToGrid w:val="0"/>
        <w:ind w:firstLineChars="0"/>
        <w:rPr>
          <w:rFonts w:ascii="宋体" w:hAnsi="宋体" w:eastAsia="宋体" w:cs="宋体"/>
          <w:color w:val="auto"/>
          <w:highlight w:val="none"/>
        </w:rPr>
      </w:pPr>
      <w:r>
        <w:rPr>
          <w:rFonts w:hint="eastAsia" w:ascii="宋体" w:hAnsi="宋体" w:eastAsia="宋体" w:cs="宋体"/>
          <w:color w:val="auto"/>
          <w:highlight w:val="none"/>
        </w:rPr>
        <w:t xml:space="preserve">主要采用备份方案 </w:t>
      </w:r>
    </w:p>
    <w:p w14:paraId="1FE4356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⑴冷备份：针对应用程序包等一些不变更数据采用冷备份技术，方便数据损毁后的及时恢复。</w:t>
      </w:r>
    </w:p>
    <w:p w14:paraId="10E0B98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⑵热备份：将一些经常变更数据，比如数据库进行数据导出备份，最大限度地保证业务系统工作的连续性、可恢复性。 </w:t>
      </w:r>
    </w:p>
    <w:p w14:paraId="18398E5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(3)数据备份按要求分为本地和异机备份。多处备份避免人为误操作、硬盘损坏、病毒及黑客造成关键数据的永久丢失，保证数据的可用性、一致性和完整性。</w:t>
      </w:r>
    </w:p>
    <w:p w14:paraId="73165879">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·定时自动备份：通过定时的备份程序操作，将IT系统管理从繁重、单调的备份操作中解脱出来，从事更有价值的工作，从而也避免人为的误操作而导致的备份数据的丢失；  </w:t>
      </w:r>
    </w:p>
    <w:p w14:paraId="3B4D14FD">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·通过数据库的代理程序，实现对数据库的在线备份；</w:t>
      </w:r>
    </w:p>
    <w:p w14:paraId="172B11A4">
      <w:pPr>
        <w:pStyle w:val="19"/>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·通过客户端的代理程序，能将其他平台上的数据拉到备份服务器上，实现跨平台的数据备份，所支持的平台包括了目前所有的驻留操作系统。</w:t>
      </w:r>
    </w:p>
    <w:p w14:paraId="6A509159">
      <w:pPr>
        <w:pStyle w:val="19"/>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（四）售后服务方案</w:t>
      </w:r>
    </w:p>
    <w:p w14:paraId="2FE4FC31">
      <w:pPr>
        <w:adjustRightInd/>
        <w:snapToGrid w:val="0"/>
        <w:spacing w:line="360" w:lineRule="auto"/>
        <w:ind w:left="630" w:firstLine="200"/>
        <w:rPr>
          <w:rFonts w:ascii="宋体" w:hAnsi="宋体" w:cs="宋体"/>
          <w:color w:val="auto"/>
          <w:sz w:val="24"/>
          <w:highlight w:val="none"/>
        </w:rPr>
      </w:pPr>
      <w:bookmarkStart w:id="34" w:name="_Toc43455416"/>
      <w:bookmarkStart w:id="35" w:name="_Toc3213"/>
      <w:bookmarkStart w:id="36" w:name="_Toc9158"/>
      <w:bookmarkStart w:id="37" w:name="_Toc32489"/>
      <w:bookmarkStart w:id="38" w:name="_Toc43455540"/>
      <w:bookmarkStart w:id="39" w:name="_Toc1867"/>
      <w:r>
        <w:rPr>
          <w:rFonts w:hint="eastAsia" w:ascii="宋体" w:hAnsi="宋体" w:cs="宋体"/>
          <w:color w:val="auto"/>
          <w:sz w:val="24"/>
          <w:highlight w:val="none"/>
        </w:rPr>
        <w:t>1、电话支持</w:t>
      </w:r>
      <w:bookmarkEnd w:id="34"/>
      <w:bookmarkEnd w:id="35"/>
      <w:bookmarkEnd w:id="36"/>
      <w:bookmarkEnd w:id="37"/>
      <w:bookmarkEnd w:id="38"/>
      <w:bookmarkEnd w:id="39"/>
    </w:p>
    <w:p w14:paraId="7EABBD1D">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话支持主要是在使用产品时遇到疑难或者软件出现不正常状态，通过电话、传真、电子邮件寻求技术支持和帮助，公司在确认用户的服务请求后，将安排技术服务专员在规定的响应时间通过电话或远程MODEM帮助用户进行故障定位，并提出解决方案，最终指导或帮助用户排除软件故障。</w:t>
      </w:r>
    </w:p>
    <w:p w14:paraId="1D82EF28">
      <w:pPr>
        <w:snapToGrid w:val="0"/>
        <w:spacing w:line="360" w:lineRule="auto"/>
        <w:ind w:firstLine="480"/>
        <w:rPr>
          <w:rFonts w:ascii="宋体" w:hAnsi="宋体" w:cs="仿宋"/>
          <w:color w:val="auto"/>
          <w:sz w:val="24"/>
          <w:highlight w:val="none"/>
        </w:rPr>
      </w:pPr>
      <w:r>
        <w:rPr>
          <w:rFonts w:hint="eastAsia" w:ascii="宋体" w:hAnsi="宋体" w:cs="宋体"/>
          <w:color w:val="auto"/>
          <w:sz w:val="24"/>
          <w:highlight w:val="none"/>
        </w:rPr>
        <w:t>用户在维护软件的过程中，软件系统出现技术故障的时候，应对故障现象进行仔细认真的调查与记录，然后通过服务热线、传真、电子邮件或FTP服务网络向客户服务中心提供软件故障的详细情况，服务请求时间，联系人、联系人电话等；</w:t>
      </w:r>
    </w:p>
    <w:p w14:paraId="431DA17B">
      <w:pPr>
        <w:adjustRightInd/>
        <w:snapToGrid w:val="0"/>
        <w:spacing w:line="360" w:lineRule="auto"/>
        <w:ind w:left="630"/>
        <w:rPr>
          <w:rFonts w:ascii="宋体" w:hAnsi="宋体" w:cs="宋体"/>
          <w:color w:val="auto"/>
          <w:sz w:val="24"/>
          <w:highlight w:val="none"/>
        </w:rPr>
      </w:pPr>
      <w:bookmarkStart w:id="40" w:name="_Toc1228"/>
      <w:bookmarkStart w:id="41" w:name="_Toc12662"/>
      <w:bookmarkStart w:id="42" w:name="_Toc2749"/>
      <w:bookmarkStart w:id="43" w:name="_Toc43455417"/>
      <w:bookmarkStart w:id="44" w:name="_Toc43455541"/>
      <w:bookmarkStart w:id="45" w:name="_Toc4983"/>
      <w:r>
        <w:rPr>
          <w:rFonts w:hint="eastAsia" w:ascii="宋体" w:hAnsi="宋体" w:cs="宋体"/>
          <w:color w:val="auto"/>
          <w:sz w:val="24"/>
          <w:highlight w:val="none"/>
        </w:rPr>
        <w:t>2、远程维护</w:t>
      </w:r>
      <w:bookmarkEnd w:id="40"/>
      <w:bookmarkEnd w:id="41"/>
      <w:bookmarkEnd w:id="42"/>
      <w:bookmarkEnd w:id="43"/>
      <w:bookmarkEnd w:id="44"/>
      <w:bookmarkEnd w:id="45"/>
    </w:p>
    <w:p w14:paraId="62C8BE41">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远程维护是指用户在使用软件时遇到疑难或软件不正常的情况下，公司请求服务支持，公司在确认用户的请求后，若需要连接客户端进行详细检查，公司的客户服务专员在征得用户的同意后，通过调制解调器进行电话拨入过程分析，以快速直接地面对软件运行中出现的故障问题，并对其进行诊断，给出解决方案，最终帮助用户排除软件运行出现的故障。</w:t>
      </w:r>
    </w:p>
    <w:p w14:paraId="4A37A3E5">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原则上客户服务专员远程登录进行故障诊断时，只可以查看数据，寻找故障原因，需要对数据进行修改时，需经得用户的同意。对于由于排除故障的需要暂时中断软件系统，应事先向客户提出申请。</w:t>
      </w:r>
    </w:p>
    <w:p w14:paraId="539771B1">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由于客户服务专员在诊断中需要客户提供必要的配合和协调以及最后的需求反馈的确认工作，客户拨号接入远程维护专线后，客户必须在客户终端现场。</w:t>
      </w:r>
    </w:p>
    <w:p w14:paraId="73F1638C">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客户应及时提出客户服务专员提供的解决方案的有效性，以便为您提供更有效的技术支持。</w:t>
      </w:r>
    </w:p>
    <w:p w14:paraId="0E84E04F">
      <w:pPr>
        <w:adjustRightInd/>
        <w:snapToGrid w:val="0"/>
        <w:spacing w:line="360" w:lineRule="auto"/>
        <w:ind w:left="630"/>
        <w:rPr>
          <w:rFonts w:ascii="宋体" w:hAnsi="宋体" w:cs="宋体"/>
          <w:color w:val="auto"/>
          <w:sz w:val="24"/>
          <w:highlight w:val="none"/>
        </w:rPr>
      </w:pPr>
      <w:bookmarkStart w:id="46" w:name="_Toc43455418"/>
      <w:bookmarkStart w:id="47" w:name="_Toc15557"/>
      <w:bookmarkStart w:id="48" w:name="_Toc4974"/>
      <w:bookmarkStart w:id="49" w:name="_Toc3771"/>
      <w:bookmarkStart w:id="50" w:name="_Toc11392"/>
      <w:bookmarkStart w:id="51" w:name="_Toc43455542"/>
      <w:r>
        <w:rPr>
          <w:rFonts w:hint="eastAsia" w:ascii="宋体" w:hAnsi="宋体" w:cs="宋体"/>
          <w:color w:val="auto"/>
          <w:sz w:val="24"/>
          <w:highlight w:val="none"/>
        </w:rPr>
        <w:t>3、技术支持服务</w:t>
      </w:r>
      <w:bookmarkEnd w:id="46"/>
      <w:bookmarkEnd w:id="47"/>
      <w:bookmarkEnd w:id="48"/>
      <w:bookmarkEnd w:id="49"/>
      <w:bookmarkEnd w:id="50"/>
      <w:bookmarkEnd w:id="51"/>
    </w:p>
    <w:p w14:paraId="1A9DE049">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技术团队提供5*8小时技术支撑服务。服务方应按照用户要求成立服务项目组，并指定专人进行日常主要的信息系统运维服务，供应商应提供技术团队支持。技术团队人员需要具备有实施经验，熟悉医疗业务，能处理常见问题，并有较强的沟通能力。</w:t>
      </w:r>
    </w:p>
    <w:p w14:paraId="35B2231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用户在使用软件时遇到疑难或者软件出现不正常状态，通过电话、传真、E-mail或FTP服务网络寻求技术支持和帮助，公司在确认用户的服务请求后，如果不能通过电话支持和远程维护解决软件的技术故障，在经过双方商议确定需要进行现场故障排除的情况下，将派客户服务专员赴现场分析故障原因，制定故障排除方案，并最终排除故障。</w:t>
      </w:r>
    </w:p>
    <w:p w14:paraId="0DF909A4">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提供的技术方案经过用户的批准后，由用户的技术人员具体实施，或者在用户的允许下，由客户服务专员进行具体实施。</w:t>
      </w:r>
    </w:p>
    <w:p w14:paraId="25F39BB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对于现场服务由于排除故障需要暂时中断软件系统，客户服务专员应该向客户提出申请。</w:t>
      </w:r>
    </w:p>
    <w:p w14:paraId="0DA98BBB">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现场故障排除，软件正常运行后，客户服务专员应向用户提交一份故障解决的书面分析报告。</w:t>
      </w:r>
    </w:p>
    <w:p w14:paraId="3C624D04">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对于不同级别的软件故障，服务响应时间及具体描述见下表（服务响应时间指：从公司确认用户服务请求到开始下一步操作的时间。下一步操作可能为：指导用户排除软件故障，更改软件排除故障或承诺在某一时间内到用户现场排除故障）。</w:t>
      </w:r>
    </w:p>
    <w:tbl>
      <w:tblPr>
        <w:tblStyle w:val="6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8"/>
        <w:gridCol w:w="2174"/>
        <w:gridCol w:w="1623"/>
      </w:tblGrid>
      <w:tr w14:paraId="299D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838" w:type="dxa"/>
            <w:tcBorders>
              <w:top w:val="single" w:color="auto" w:sz="4" w:space="0"/>
              <w:left w:val="single" w:color="auto" w:sz="4" w:space="0"/>
              <w:bottom w:val="single" w:color="auto" w:sz="4" w:space="0"/>
              <w:right w:val="single" w:color="auto" w:sz="4" w:space="0"/>
            </w:tcBorders>
            <w:shd w:val="clear" w:color="auto" w:fill="99CCFF"/>
            <w:vAlign w:val="center"/>
          </w:tcPr>
          <w:p w14:paraId="22316241">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故障级别</w:t>
            </w:r>
          </w:p>
        </w:tc>
        <w:tc>
          <w:tcPr>
            <w:tcW w:w="2174" w:type="dxa"/>
            <w:tcBorders>
              <w:top w:val="single" w:color="auto" w:sz="4" w:space="0"/>
              <w:left w:val="nil"/>
              <w:bottom w:val="single" w:color="auto" w:sz="4" w:space="0"/>
              <w:right w:val="single" w:color="auto" w:sz="4" w:space="0"/>
            </w:tcBorders>
            <w:shd w:val="clear" w:color="auto" w:fill="99CCFF"/>
            <w:vAlign w:val="center"/>
          </w:tcPr>
          <w:p w14:paraId="5B931C3F">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响应时间</w:t>
            </w:r>
          </w:p>
        </w:tc>
        <w:tc>
          <w:tcPr>
            <w:tcW w:w="1623" w:type="dxa"/>
            <w:tcBorders>
              <w:top w:val="single" w:color="auto" w:sz="4" w:space="0"/>
              <w:left w:val="nil"/>
              <w:bottom w:val="single" w:color="auto" w:sz="4" w:space="0"/>
              <w:right w:val="single" w:color="auto" w:sz="4" w:space="0"/>
            </w:tcBorders>
            <w:shd w:val="clear" w:color="auto" w:fill="99CCFF"/>
            <w:vAlign w:val="center"/>
          </w:tcPr>
          <w:p w14:paraId="35AF856A">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解决时间</w:t>
            </w:r>
          </w:p>
        </w:tc>
      </w:tr>
      <w:tr w14:paraId="46B4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14:paraId="2BEF297C">
            <w:pPr>
              <w:spacing w:line="360" w:lineRule="auto"/>
              <w:rPr>
                <w:rFonts w:ascii="宋体" w:hAnsi="宋体" w:cs="仿宋"/>
                <w:color w:val="auto"/>
                <w:sz w:val="24"/>
                <w:highlight w:val="none"/>
              </w:rPr>
            </w:pPr>
            <w:r>
              <w:rPr>
                <w:rFonts w:hint="eastAsia" w:ascii="宋体" w:hAnsi="宋体" w:cs="仿宋"/>
                <w:b/>
                <w:bCs/>
                <w:color w:val="auto"/>
                <w:sz w:val="24"/>
                <w:highlight w:val="none"/>
              </w:rPr>
              <w:fldChar w:fldCharType="begin"/>
            </w:r>
            <w:r>
              <w:rPr>
                <w:rFonts w:hint="eastAsia" w:ascii="宋体" w:hAnsi="宋体" w:cs="仿宋"/>
                <w:b/>
                <w:bCs/>
                <w:color w:val="auto"/>
                <w:sz w:val="24"/>
                <w:highlight w:val="none"/>
              </w:rPr>
              <w:instrText xml:space="preserve"> = 1 \* ROMAN \* MERGEFORMAT </w:instrText>
            </w:r>
            <w:r>
              <w:rPr>
                <w:rFonts w:hint="eastAsia" w:ascii="宋体" w:hAnsi="宋体" w:cs="仿宋"/>
                <w:b/>
                <w:bCs/>
                <w:color w:val="auto"/>
                <w:sz w:val="24"/>
                <w:highlight w:val="none"/>
              </w:rPr>
              <w:fldChar w:fldCharType="separate"/>
            </w:r>
            <w:r>
              <w:rPr>
                <w:rFonts w:ascii="宋体" w:hAnsi="宋体"/>
                <w:b/>
                <w:bCs/>
                <w:color w:val="auto"/>
                <w:sz w:val="24"/>
                <w:highlight w:val="none"/>
              </w:rPr>
              <w:t>I</w:t>
            </w:r>
            <w:r>
              <w:rPr>
                <w:rFonts w:hint="eastAsia" w:ascii="宋体" w:hAnsi="宋体" w:cs="仿宋"/>
                <w:b/>
                <w:bCs/>
                <w:color w:val="auto"/>
                <w:sz w:val="24"/>
                <w:highlight w:val="none"/>
              </w:rPr>
              <w:fldChar w:fldCharType="end"/>
            </w:r>
            <w:r>
              <w:rPr>
                <w:rFonts w:hint="eastAsia" w:ascii="宋体" w:hAnsi="宋体" w:cs="仿宋"/>
                <w:b/>
                <w:bCs/>
                <w:color w:val="auto"/>
                <w:sz w:val="24"/>
                <w:highlight w:val="none"/>
              </w:rPr>
              <w:t>级：</w:t>
            </w:r>
            <w:r>
              <w:rPr>
                <w:rFonts w:hint="eastAsia" w:ascii="宋体" w:hAnsi="宋体" w:cs="仿宋"/>
                <w:color w:val="auto"/>
                <w:sz w:val="24"/>
                <w:highlight w:val="none"/>
              </w:rPr>
              <w:t>属于紧急问题；具体描述：系统崩溃导致业务停止、数据丢失</w:t>
            </w:r>
          </w:p>
        </w:tc>
        <w:tc>
          <w:tcPr>
            <w:tcW w:w="2174" w:type="dxa"/>
            <w:tcBorders>
              <w:top w:val="single" w:color="auto" w:sz="4" w:space="0"/>
              <w:left w:val="nil"/>
              <w:bottom w:val="single" w:color="auto" w:sz="4" w:space="0"/>
              <w:right w:val="single" w:color="auto" w:sz="4" w:space="0"/>
            </w:tcBorders>
            <w:vAlign w:val="center"/>
          </w:tcPr>
          <w:p w14:paraId="111744FA">
            <w:pPr>
              <w:spacing w:line="360" w:lineRule="auto"/>
              <w:rPr>
                <w:rFonts w:ascii="宋体" w:hAnsi="宋体" w:cs="仿宋"/>
                <w:color w:val="auto"/>
                <w:sz w:val="24"/>
                <w:highlight w:val="none"/>
              </w:rPr>
            </w:pPr>
            <w:r>
              <w:rPr>
                <w:rFonts w:hint="eastAsia" w:ascii="宋体" w:hAnsi="宋体" w:cs="仿宋"/>
                <w:color w:val="auto"/>
                <w:sz w:val="24"/>
                <w:highlight w:val="none"/>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14:paraId="44BDF6DF">
            <w:pPr>
              <w:spacing w:line="360" w:lineRule="auto"/>
              <w:rPr>
                <w:rFonts w:ascii="宋体" w:hAnsi="宋体" w:cs="仿宋"/>
                <w:color w:val="auto"/>
                <w:sz w:val="24"/>
                <w:highlight w:val="none"/>
              </w:rPr>
            </w:pPr>
            <w:r>
              <w:rPr>
                <w:rFonts w:hint="eastAsia" w:ascii="宋体" w:hAnsi="宋体" w:cs="仿宋"/>
                <w:color w:val="auto"/>
                <w:sz w:val="24"/>
                <w:highlight w:val="none"/>
              </w:rPr>
              <w:t>3小时以内</w:t>
            </w:r>
          </w:p>
        </w:tc>
      </w:tr>
      <w:tr w14:paraId="1710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14:paraId="1CF1DEB0">
            <w:pPr>
              <w:spacing w:line="360" w:lineRule="auto"/>
              <w:rPr>
                <w:rFonts w:ascii="宋体" w:hAnsi="宋体" w:cs="仿宋"/>
                <w:color w:val="auto"/>
                <w:sz w:val="24"/>
                <w:highlight w:val="none"/>
              </w:rPr>
            </w:pPr>
            <w:r>
              <w:rPr>
                <w:rFonts w:hint="eastAsia" w:ascii="宋体" w:hAnsi="宋体" w:cs="仿宋"/>
                <w:b/>
                <w:bCs/>
                <w:color w:val="auto"/>
                <w:sz w:val="24"/>
                <w:highlight w:val="none"/>
              </w:rPr>
              <w:fldChar w:fldCharType="begin"/>
            </w:r>
            <w:r>
              <w:rPr>
                <w:rFonts w:hint="eastAsia" w:ascii="宋体" w:hAnsi="宋体" w:cs="仿宋"/>
                <w:b/>
                <w:bCs/>
                <w:color w:val="auto"/>
                <w:sz w:val="24"/>
                <w:highlight w:val="none"/>
              </w:rPr>
              <w:instrText xml:space="preserve"> = 2 \* ROMAN \* MERGEFORMAT </w:instrText>
            </w:r>
            <w:r>
              <w:rPr>
                <w:rFonts w:hint="eastAsia" w:ascii="宋体" w:hAnsi="宋体" w:cs="仿宋"/>
                <w:b/>
                <w:bCs/>
                <w:color w:val="auto"/>
                <w:sz w:val="24"/>
                <w:highlight w:val="none"/>
              </w:rPr>
              <w:fldChar w:fldCharType="separate"/>
            </w:r>
            <w:r>
              <w:rPr>
                <w:rFonts w:ascii="宋体" w:hAnsi="宋体"/>
                <w:b/>
                <w:bCs/>
                <w:color w:val="auto"/>
                <w:sz w:val="24"/>
                <w:highlight w:val="none"/>
              </w:rPr>
              <w:t>II</w:t>
            </w:r>
            <w:r>
              <w:rPr>
                <w:rFonts w:hint="eastAsia" w:ascii="宋体" w:hAnsi="宋体" w:cs="仿宋"/>
                <w:b/>
                <w:bCs/>
                <w:color w:val="auto"/>
                <w:sz w:val="24"/>
                <w:highlight w:val="none"/>
              </w:rPr>
              <w:fldChar w:fldCharType="end"/>
            </w:r>
            <w:r>
              <w:rPr>
                <w:rFonts w:hint="eastAsia" w:ascii="宋体" w:hAnsi="宋体" w:cs="仿宋"/>
                <w:b/>
                <w:bCs/>
                <w:color w:val="auto"/>
                <w:sz w:val="24"/>
                <w:highlight w:val="none"/>
              </w:rPr>
              <w:t>级：</w:t>
            </w:r>
            <w:r>
              <w:rPr>
                <w:rFonts w:hint="eastAsia" w:ascii="宋体" w:hAnsi="宋体" w:cs="仿宋"/>
                <w:color w:val="auto"/>
                <w:sz w:val="24"/>
                <w:highlight w:val="none"/>
              </w:rPr>
              <w:t>属于严重问题；具体描述：出现部分组件失效、系统性能下降但能正常运行，不影响正常业务运作。</w:t>
            </w:r>
          </w:p>
        </w:tc>
        <w:tc>
          <w:tcPr>
            <w:tcW w:w="2174" w:type="dxa"/>
            <w:tcBorders>
              <w:top w:val="single" w:color="auto" w:sz="4" w:space="0"/>
              <w:left w:val="nil"/>
              <w:bottom w:val="single" w:color="auto" w:sz="4" w:space="0"/>
              <w:right w:val="single" w:color="auto" w:sz="4" w:space="0"/>
            </w:tcBorders>
            <w:vAlign w:val="center"/>
          </w:tcPr>
          <w:p w14:paraId="05F8B599">
            <w:pPr>
              <w:spacing w:line="360" w:lineRule="auto"/>
              <w:rPr>
                <w:rFonts w:ascii="宋体" w:hAnsi="宋体" w:cs="仿宋"/>
                <w:color w:val="auto"/>
                <w:sz w:val="24"/>
                <w:highlight w:val="none"/>
              </w:rPr>
            </w:pPr>
            <w:r>
              <w:rPr>
                <w:rFonts w:hint="eastAsia" w:ascii="宋体" w:hAnsi="宋体" w:cs="仿宋"/>
                <w:color w:val="auto"/>
                <w:sz w:val="24"/>
                <w:highlight w:val="none"/>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14:paraId="315B4FC7">
            <w:pPr>
              <w:spacing w:line="360" w:lineRule="auto"/>
              <w:rPr>
                <w:rFonts w:ascii="宋体" w:hAnsi="宋体" w:cs="仿宋"/>
                <w:color w:val="auto"/>
                <w:sz w:val="24"/>
                <w:highlight w:val="none"/>
              </w:rPr>
            </w:pPr>
            <w:r>
              <w:rPr>
                <w:rFonts w:hint="eastAsia" w:ascii="宋体" w:hAnsi="宋体" w:cs="仿宋"/>
                <w:color w:val="auto"/>
                <w:sz w:val="24"/>
                <w:highlight w:val="none"/>
              </w:rPr>
              <w:t>6小时以内</w:t>
            </w:r>
          </w:p>
        </w:tc>
      </w:tr>
      <w:tr w14:paraId="1EB2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14:paraId="670DB054">
            <w:pPr>
              <w:spacing w:line="360" w:lineRule="auto"/>
              <w:rPr>
                <w:rFonts w:ascii="宋体" w:hAnsi="宋体" w:cs="仿宋"/>
                <w:color w:val="auto"/>
                <w:sz w:val="24"/>
                <w:highlight w:val="none"/>
              </w:rPr>
            </w:pPr>
            <w:r>
              <w:rPr>
                <w:rFonts w:hint="eastAsia" w:ascii="宋体" w:hAnsi="宋体" w:cs="仿宋"/>
                <w:b/>
                <w:bCs/>
                <w:color w:val="auto"/>
                <w:sz w:val="24"/>
                <w:highlight w:val="none"/>
              </w:rPr>
              <w:fldChar w:fldCharType="begin"/>
            </w:r>
            <w:r>
              <w:rPr>
                <w:rFonts w:hint="eastAsia" w:ascii="宋体" w:hAnsi="宋体" w:cs="仿宋"/>
                <w:b/>
                <w:bCs/>
                <w:color w:val="auto"/>
                <w:sz w:val="24"/>
                <w:highlight w:val="none"/>
              </w:rPr>
              <w:instrText xml:space="preserve"> = 3 \* ROMAN \* MERGEFORMAT </w:instrText>
            </w:r>
            <w:r>
              <w:rPr>
                <w:rFonts w:hint="eastAsia" w:ascii="宋体" w:hAnsi="宋体" w:cs="仿宋"/>
                <w:b/>
                <w:bCs/>
                <w:color w:val="auto"/>
                <w:sz w:val="24"/>
                <w:highlight w:val="none"/>
              </w:rPr>
              <w:fldChar w:fldCharType="separate"/>
            </w:r>
            <w:r>
              <w:rPr>
                <w:rFonts w:ascii="宋体" w:hAnsi="宋体"/>
                <w:b/>
                <w:bCs/>
                <w:color w:val="auto"/>
                <w:sz w:val="24"/>
                <w:highlight w:val="none"/>
              </w:rPr>
              <w:t>III</w:t>
            </w:r>
            <w:r>
              <w:rPr>
                <w:rFonts w:hint="eastAsia" w:ascii="宋体" w:hAnsi="宋体" w:cs="仿宋"/>
                <w:b/>
                <w:bCs/>
                <w:color w:val="auto"/>
                <w:sz w:val="24"/>
                <w:highlight w:val="none"/>
              </w:rPr>
              <w:fldChar w:fldCharType="end"/>
            </w:r>
            <w:r>
              <w:rPr>
                <w:rFonts w:hint="eastAsia" w:ascii="宋体" w:hAnsi="宋体" w:cs="仿宋"/>
                <w:b/>
                <w:bCs/>
                <w:color w:val="auto"/>
                <w:sz w:val="24"/>
                <w:highlight w:val="none"/>
              </w:rPr>
              <w:t>级：</w:t>
            </w:r>
            <w:r>
              <w:rPr>
                <w:rFonts w:hint="eastAsia" w:ascii="宋体" w:hAnsi="宋体" w:cs="仿宋"/>
                <w:color w:val="auto"/>
                <w:sz w:val="24"/>
                <w:highlight w:val="none"/>
              </w:rPr>
              <w:t>属于较严重问题；具体描述：出现系统报错或警告，但业务系统能继续运行且性能不受影响。</w:t>
            </w:r>
          </w:p>
        </w:tc>
        <w:tc>
          <w:tcPr>
            <w:tcW w:w="2174" w:type="dxa"/>
            <w:tcBorders>
              <w:top w:val="single" w:color="auto" w:sz="4" w:space="0"/>
              <w:left w:val="nil"/>
              <w:bottom w:val="single" w:color="auto" w:sz="4" w:space="0"/>
              <w:right w:val="single" w:color="auto" w:sz="4" w:space="0"/>
            </w:tcBorders>
            <w:vAlign w:val="center"/>
          </w:tcPr>
          <w:p w14:paraId="13326C6C">
            <w:pPr>
              <w:spacing w:line="360" w:lineRule="auto"/>
              <w:rPr>
                <w:rFonts w:ascii="宋体" w:hAnsi="宋体" w:cs="仿宋"/>
                <w:color w:val="auto"/>
                <w:sz w:val="24"/>
                <w:highlight w:val="none"/>
              </w:rPr>
            </w:pPr>
            <w:r>
              <w:rPr>
                <w:rFonts w:hint="eastAsia" w:ascii="宋体" w:hAnsi="宋体" w:cs="仿宋"/>
                <w:color w:val="auto"/>
                <w:sz w:val="24"/>
                <w:highlight w:val="none"/>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14:paraId="10761FEA">
            <w:pPr>
              <w:spacing w:line="360" w:lineRule="auto"/>
              <w:rPr>
                <w:rFonts w:ascii="宋体" w:hAnsi="宋体" w:cs="仿宋"/>
                <w:color w:val="auto"/>
                <w:sz w:val="24"/>
                <w:highlight w:val="none"/>
              </w:rPr>
            </w:pPr>
            <w:r>
              <w:rPr>
                <w:rFonts w:hint="eastAsia" w:ascii="宋体" w:hAnsi="宋体" w:cs="仿宋"/>
                <w:color w:val="auto"/>
                <w:sz w:val="24"/>
                <w:highlight w:val="none"/>
              </w:rPr>
              <w:t>12小时以内</w:t>
            </w:r>
          </w:p>
        </w:tc>
      </w:tr>
      <w:tr w14:paraId="755C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14:paraId="536FA606">
            <w:pPr>
              <w:spacing w:line="360" w:lineRule="auto"/>
              <w:rPr>
                <w:rFonts w:ascii="宋体" w:hAnsi="宋体" w:cs="仿宋"/>
                <w:color w:val="auto"/>
                <w:sz w:val="24"/>
                <w:highlight w:val="none"/>
              </w:rPr>
            </w:pPr>
            <w:r>
              <w:rPr>
                <w:rFonts w:hint="eastAsia" w:ascii="宋体" w:hAnsi="宋体" w:cs="仿宋"/>
                <w:b/>
                <w:bCs/>
                <w:color w:val="auto"/>
                <w:sz w:val="24"/>
                <w:highlight w:val="none"/>
              </w:rPr>
              <w:fldChar w:fldCharType="begin"/>
            </w:r>
            <w:r>
              <w:rPr>
                <w:rFonts w:hint="eastAsia" w:ascii="宋体" w:hAnsi="宋体" w:cs="仿宋"/>
                <w:b/>
                <w:bCs/>
                <w:color w:val="auto"/>
                <w:sz w:val="24"/>
                <w:highlight w:val="none"/>
              </w:rPr>
              <w:instrText xml:space="preserve"> = 4 \* ROMAN \* MERGEFORMAT </w:instrText>
            </w:r>
            <w:r>
              <w:rPr>
                <w:rFonts w:hint="eastAsia" w:ascii="宋体" w:hAnsi="宋体" w:cs="仿宋"/>
                <w:b/>
                <w:bCs/>
                <w:color w:val="auto"/>
                <w:sz w:val="24"/>
                <w:highlight w:val="none"/>
              </w:rPr>
              <w:fldChar w:fldCharType="separate"/>
            </w:r>
            <w:r>
              <w:rPr>
                <w:rFonts w:ascii="宋体" w:hAnsi="宋体"/>
                <w:b/>
                <w:bCs/>
                <w:color w:val="auto"/>
                <w:sz w:val="24"/>
                <w:highlight w:val="none"/>
              </w:rPr>
              <w:t>IV</w:t>
            </w:r>
            <w:r>
              <w:rPr>
                <w:rFonts w:hint="eastAsia" w:ascii="宋体" w:hAnsi="宋体" w:cs="仿宋"/>
                <w:b/>
                <w:bCs/>
                <w:color w:val="auto"/>
                <w:sz w:val="24"/>
                <w:highlight w:val="none"/>
              </w:rPr>
              <w:fldChar w:fldCharType="end"/>
            </w:r>
            <w:r>
              <w:rPr>
                <w:rFonts w:hint="eastAsia" w:ascii="宋体" w:hAnsi="宋体" w:cs="仿宋"/>
                <w:b/>
                <w:bCs/>
                <w:color w:val="auto"/>
                <w:sz w:val="24"/>
                <w:highlight w:val="none"/>
              </w:rPr>
              <w:t>级：</w:t>
            </w:r>
            <w:r>
              <w:rPr>
                <w:rFonts w:hint="eastAsia" w:ascii="宋体" w:hAnsi="宋体" w:cs="仿宋"/>
                <w:color w:val="auto"/>
                <w:sz w:val="24"/>
                <w:highlight w:val="none"/>
              </w:rPr>
              <w:t>属于普通问题；具体描述：系统技术功能、使用或配置咨询、或其他显然不影响业务的服务。</w:t>
            </w:r>
          </w:p>
        </w:tc>
        <w:tc>
          <w:tcPr>
            <w:tcW w:w="2174" w:type="dxa"/>
            <w:tcBorders>
              <w:top w:val="single" w:color="auto" w:sz="4" w:space="0"/>
              <w:left w:val="nil"/>
              <w:bottom w:val="single" w:color="auto" w:sz="4" w:space="0"/>
              <w:right w:val="single" w:color="auto" w:sz="4" w:space="0"/>
            </w:tcBorders>
            <w:vAlign w:val="center"/>
          </w:tcPr>
          <w:p w14:paraId="7D410865">
            <w:pPr>
              <w:spacing w:line="360" w:lineRule="auto"/>
              <w:rPr>
                <w:rFonts w:ascii="宋体" w:hAnsi="宋体" w:cs="仿宋"/>
                <w:color w:val="auto"/>
                <w:sz w:val="24"/>
                <w:highlight w:val="none"/>
              </w:rPr>
            </w:pPr>
            <w:r>
              <w:rPr>
                <w:rFonts w:hint="eastAsia" w:ascii="宋体" w:hAnsi="宋体" w:cs="仿宋"/>
                <w:color w:val="auto"/>
                <w:sz w:val="24"/>
                <w:highlight w:val="none"/>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14:paraId="42EC1130">
            <w:pPr>
              <w:spacing w:line="360" w:lineRule="auto"/>
              <w:rPr>
                <w:rFonts w:ascii="宋体" w:hAnsi="宋体" w:cs="仿宋"/>
                <w:color w:val="auto"/>
                <w:sz w:val="24"/>
                <w:highlight w:val="none"/>
              </w:rPr>
            </w:pPr>
            <w:r>
              <w:rPr>
                <w:rFonts w:hint="eastAsia" w:ascii="宋体" w:hAnsi="宋体" w:cs="仿宋"/>
                <w:color w:val="auto"/>
                <w:sz w:val="24"/>
                <w:highlight w:val="none"/>
              </w:rPr>
              <w:t>24小时以内</w:t>
            </w:r>
          </w:p>
        </w:tc>
      </w:tr>
    </w:tbl>
    <w:p w14:paraId="6E2CCA5C">
      <w:pPr>
        <w:pStyle w:val="19"/>
        <w:spacing w:after="12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系统五：城市大脑运维保障服务</w:t>
      </w:r>
    </w:p>
    <w:p w14:paraId="475C1525">
      <w:pPr>
        <w:pStyle w:val="19"/>
        <w:spacing w:after="120" w:line="360" w:lineRule="auto"/>
        <w:ind w:firstLine="504" w:firstLineChars="200"/>
        <w:rPr>
          <w:rFonts w:ascii="宋体" w:hAnsi="宋体" w:cs="宋体"/>
          <w:color w:val="auto"/>
          <w:sz w:val="24"/>
          <w:highlight w:val="none"/>
        </w:rPr>
      </w:pPr>
      <w:r>
        <w:rPr>
          <w:rFonts w:hint="eastAsia" w:ascii="宋体" w:hAnsi="宋体" w:cs="宋体"/>
          <w:color w:val="auto"/>
          <w:spacing w:val="6"/>
          <w:sz w:val="24"/>
          <w:highlight w:val="none"/>
        </w:rPr>
        <w:t>（一）建设内容</w:t>
      </w:r>
    </w:p>
    <w:p w14:paraId="32A411AC">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1、提供城市大脑-舒心就医基础系统的运维保障工作。根据需要，提供具备相关技术能力的维护人员，提供远程维护和信息化技术咨询服务，保障整个舒心就医平台的平稳运行，以及实时数据展示的大屏和数据接口的正常使用。</w:t>
      </w:r>
    </w:p>
    <w:p w14:paraId="5B46B62B">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2、支持从第三方软件、系统小规模收集统计数据。舒心就医平台同时也以通道的形式，支持其他系统和平台传递数据，并对数据进行筛选、清洗、整理、归类码，根据采集数据的不同特性记录到不同的数据表，同时做好数据灾备，最终进行相关数据的统计展示，另外我们也提供此类数据的查询接口，并作为标准指标接入不同平台中，供相关部门和单位进行数据对接和使用。</w:t>
      </w:r>
    </w:p>
    <w:p w14:paraId="42C782C9">
      <w:pPr>
        <w:snapToGrid w:val="0"/>
        <w:spacing w:line="360" w:lineRule="auto"/>
        <w:ind w:left="105" w:leftChars="50"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为保障数据直观性，提供基础的舒心就医数据日、周和月度报表，同时根据上级需求，若是已经存在的数据及时提供相关数据支持，若为新需求，则新增其他数据统计报表的推送，制定快速而安全的开发方式，提供准确数据的同时保证数据的安全性。</w:t>
      </w:r>
    </w:p>
    <w:p w14:paraId="7AF139D3">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4、根据政府政策调整程序，积极参与配合数据、接口的迁移，推进相关程序迭代和进行各种小功能的开发，如接口从中枢平台迁移至公共数据平台、舒心就医数据统计展示页面在浙政钉等应用中的数据埋点、数据查询接口新增参数、一些数据指标统计逻辑的修改、舒心就医展示大屏UI调整等程序微调以及其余的小功能开发等。此外，支援数字社会相关建设，提供必要的接口咨询和舒心就医相关的接口指标服务，并额外提供对应内容的大屏开发。</w:t>
      </w:r>
    </w:p>
    <w:p w14:paraId="13444792">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5、为满足各个医疗相关部门和系统查询、展示、统计等要求，提供大量舒心就医数据调阅接口，积极参与配合与其他平台接口对接，提供相关数据详细的接口文档、并积极配合其余平台调用和进行接口联调以及查错工作等。</w:t>
      </w:r>
    </w:p>
    <w:p w14:paraId="3D7A5F84">
      <w:pPr>
        <w:snapToGrid w:val="0"/>
        <w:spacing w:line="360" w:lineRule="auto"/>
        <w:ind w:left="105" w:leftChars="50"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6、由于杭州区划变更，平台全盘统计维度按照新的区划进行调整，以适配新的统计需求。</w:t>
      </w:r>
    </w:p>
    <w:p w14:paraId="1AAF1CA1">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w:t>
      </w:r>
      <w:r>
        <w:rPr>
          <w:rFonts w:hint="eastAsia" w:ascii="宋体" w:hAnsi="宋体" w:cs="宋体"/>
          <w:color w:val="auto"/>
          <w:sz w:val="24"/>
          <w:highlight w:val="none"/>
        </w:rPr>
        <w:t>配合杭州公安对发热人员的特殊监管需要，开发定时推送医疗机构发热就诊数据服务，通过接口形式定时将杭州各个医疗机构每日发热就诊数据上传到监管平台，满足相关部门对发热人员的监管需要，保障新冠疫情的防控工作。同时针对相应年度的新冠数据予以展示。</w:t>
      </w:r>
    </w:p>
    <w:p w14:paraId="4AE9FF84">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w:t>
      </w:r>
      <w:r>
        <w:rPr>
          <w:rFonts w:hint="eastAsia" w:ascii="宋体" w:hAnsi="宋体" w:cs="宋体"/>
          <w:color w:val="auto"/>
          <w:sz w:val="24"/>
          <w:highlight w:val="none"/>
        </w:rPr>
        <w:t>硬件资源供应商，提供全年的舒心就医软件网络信息安全保障服务，包括且不限制于重要时段网络信息安全专项保障，如亚运会、亚残运会等重要时段的网络信息安全加固、针对性安全排查、网络信息安全服务等。</w:t>
      </w:r>
    </w:p>
    <w:p w14:paraId="7C9FA95E">
      <w:pPr>
        <w:pStyle w:val="19"/>
        <w:spacing w:after="12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系统六：脊柱侧弯和中医全链路溯源工作完善</w:t>
      </w:r>
    </w:p>
    <w:p w14:paraId="377D83B7">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在脊柱侧弯的诊疗领域，中医全链路溯源信息化工作的完善正展现出巨大的潜力与价值。传统中医对于脊柱侧弯的诊疗依赖于医生的经验与技能，但在信息记录、整合和分析上存在局限性。如今，借助信息化手段，在数据采集方面，可以将患者的基本信息、症状表现、舌象脉象等以数字化形式精准录入。通过高清影像设备与信息系统的对接，脊柱的侧弯程度、具体形态等数据能被完整存储，构建起全面的患者初始数据库。在诊断环节，信息化平台能够依据大量已有的脊柱侧弯中医诊断案例数据，运用智能算法辅助医生进行更精准的辨证分型，提高诊断的准确性和效率。例如，通过对患者症状数据与过往成功治愈案例的匹配分析，快速确定其所属证型及可能的病因根源，如肝肾亏虚、气血瘀滞等。</w:t>
      </w:r>
    </w:p>
    <w:p w14:paraId="3FC9F139">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治疗过程中，信息化系统可对针灸穴位选取、推拿手法力度与频次、中药方剂的调配等治疗信息详细记录。同时，能实时跟踪治疗效果，根据患者每次复诊的数据变化，智能调整治疗方案，实现个性化、动态化的治疗。</w:t>
      </w:r>
    </w:p>
    <w:p w14:paraId="4137ED93">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对于预防与康复指导，利用移动应用程序向患者推送中医养生功法视频、正确姿势纠正提醒等信息。并且可以建立医患互动平台，患者及时反馈康复过程中的情况，医生远程给予指导建议。</w:t>
      </w:r>
    </w:p>
    <w:p w14:paraId="4902A144">
      <w:pPr>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脊柱侧弯中医全链路溯源信息化工作的完善以上业务逻辑，促进了中医诊疗的规范化、精准化与高效化，推动了中医在脊柱侧弯防治领域的现代化进程，为患者带来更优质、便捷的医疗服务，也为中医传承创新开辟了新的路径。</w:t>
      </w:r>
    </w:p>
    <w:p w14:paraId="4398B242">
      <w:pPr>
        <w:snapToGrid w:val="0"/>
        <w:spacing w:line="360" w:lineRule="auto"/>
        <w:ind w:left="105" w:leftChars="50" w:firstLine="480" w:firstLineChars="200"/>
        <w:rPr>
          <w:rFonts w:ascii="宋体" w:hAnsi="宋体" w:cs="宋体"/>
          <w:color w:val="auto"/>
          <w:sz w:val="24"/>
          <w:highlight w:val="none"/>
        </w:rPr>
      </w:pPr>
    </w:p>
    <w:p w14:paraId="0DFC392F">
      <w:pPr>
        <w:spacing w:line="360" w:lineRule="auto"/>
        <w:rPr>
          <w:rFonts w:ascii="宋体" w:hAnsi="宋体"/>
          <w:b/>
          <w:bCs/>
          <w:color w:val="auto"/>
          <w:sz w:val="24"/>
          <w:highlight w:val="none"/>
        </w:rPr>
      </w:pPr>
      <w:r>
        <w:rPr>
          <w:rFonts w:hint="eastAsia" w:ascii="宋体" w:hAnsi="宋体"/>
          <w:b/>
          <w:bCs/>
          <w:color w:val="auto"/>
          <w:sz w:val="24"/>
          <w:highlight w:val="none"/>
        </w:rPr>
        <w:t>三、投标人及人员要求</w:t>
      </w:r>
    </w:p>
    <w:p w14:paraId="202A6577">
      <w:pPr>
        <w:pStyle w:val="25"/>
        <w:spacing w:line="360" w:lineRule="auto"/>
        <w:rPr>
          <w:color w:val="auto"/>
          <w:highlight w:val="none"/>
        </w:rPr>
      </w:pPr>
      <w:r>
        <w:rPr>
          <w:rFonts w:hint="eastAsia"/>
          <w:color w:val="auto"/>
          <w:highlight w:val="none"/>
        </w:rPr>
        <w:t>（1）</w:t>
      </w:r>
      <w:r>
        <w:rPr>
          <w:rFonts w:hint="eastAsia" w:cs="宋体"/>
          <w:color w:val="auto"/>
          <w:kern w:val="0"/>
          <w:highlight w:val="none"/>
        </w:rPr>
        <w:t>投标单位具有类似项目经验</w:t>
      </w:r>
      <w:r>
        <w:rPr>
          <w:rFonts w:hint="eastAsia"/>
          <w:color w:val="auto"/>
          <w:highlight w:val="none"/>
        </w:rPr>
        <w:t>。</w:t>
      </w:r>
    </w:p>
    <w:p w14:paraId="0E73BF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ascii="宋体" w:hAnsi="宋体"/>
          <w:color w:val="auto"/>
          <w:sz w:val="24"/>
          <w:highlight w:val="none"/>
        </w:rPr>
        <w:t>）</w:t>
      </w:r>
      <w:r>
        <w:rPr>
          <w:rStyle w:val="373"/>
          <w:rFonts w:hint="default" w:ascii="宋体" w:hAnsi="宋体" w:eastAsia="宋体" w:cs="宋体"/>
          <w:color w:val="auto"/>
          <w:sz w:val="24"/>
          <w:szCs w:val="24"/>
          <w:highlight w:val="none"/>
        </w:rPr>
        <w:t>项目经理具备高级信息安全工程师和高级项目经理认证</w:t>
      </w:r>
      <w:r>
        <w:rPr>
          <w:rFonts w:hint="eastAsia" w:ascii="宋体" w:hAnsi="宋体"/>
          <w:color w:val="auto"/>
          <w:sz w:val="24"/>
          <w:highlight w:val="none"/>
        </w:rPr>
        <w:t>。</w:t>
      </w:r>
    </w:p>
    <w:p w14:paraId="7D4158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w:t>
      </w:r>
      <w:r>
        <w:rPr>
          <w:rStyle w:val="373"/>
          <w:rFonts w:hint="default" w:ascii="宋体" w:hAnsi="宋体" w:eastAsia="宋体" w:cs="宋体"/>
          <w:color w:val="auto"/>
          <w:sz w:val="24"/>
          <w:szCs w:val="24"/>
          <w:highlight w:val="none"/>
        </w:rPr>
        <w:t>投标人技术团队中具有系统集成管理工程师证书</w:t>
      </w:r>
      <w:r>
        <w:rPr>
          <w:rFonts w:hint="eastAsia" w:ascii="宋体" w:hAnsi="宋体"/>
          <w:color w:val="auto"/>
          <w:sz w:val="24"/>
          <w:highlight w:val="none"/>
        </w:rPr>
        <w:t>。</w:t>
      </w:r>
    </w:p>
    <w:p w14:paraId="4EDEC3FA">
      <w:pPr>
        <w:spacing w:line="360" w:lineRule="auto"/>
        <w:ind w:firstLine="482"/>
        <w:rPr>
          <w:b/>
          <w:bCs/>
          <w:color w:val="auto"/>
          <w:highlight w:val="none"/>
        </w:rPr>
      </w:pPr>
      <w:r>
        <w:rPr>
          <w:rFonts w:hint="eastAsia" w:ascii="宋体" w:hAnsi="宋体"/>
          <w:b/>
          <w:bCs/>
          <w:color w:val="auto"/>
          <w:sz w:val="24"/>
          <w:highlight w:val="none"/>
        </w:rPr>
        <w:t>四、验收</w:t>
      </w:r>
    </w:p>
    <w:p w14:paraId="53112D81">
      <w:pPr>
        <w:pStyle w:val="967"/>
        <w:ind w:firstLine="480"/>
        <w:rPr>
          <w:rFonts w:ascii="宋体" w:hAnsi="宋体" w:cs="仿宋"/>
          <w:color w:val="auto"/>
          <w:highlight w:val="none"/>
        </w:rPr>
      </w:pPr>
      <w:bookmarkStart w:id="52" w:name="_Toc9028"/>
      <w:bookmarkStart w:id="53" w:name="_Hlk102914293"/>
      <w:r>
        <w:rPr>
          <w:rFonts w:ascii="宋体" w:hAnsi="宋体" w:cs="仿宋"/>
          <w:color w:val="auto"/>
          <w:highlight w:val="none"/>
        </w:rPr>
        <w:t>1.</w:t>
      </w:r>
      <w:r>
        <w:rPr>
          <w:rFonts w:hint="eastAsia" w:ascii="宋体" w:hAnsi="宋体" w:cs="仿宋"/>
          <w:color w:val="auto"/>
          <w:highlight w:val="none"/>
        </w:rPr>
        <w:t>验收组织和程序</w:t>
      </w:r>
      <w:bookmarkEnd w:id="52"/>
    </w:p>
    <w:p w14:paraId="550B85FA">
      <w:pPr>
        <w:pStyle w:val="967"/>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1）根据《中华人民共和国政府采购法》、《中华人民共和国民法典》、《中华</w:t>
      </w:r>
      <w:r>
        <w:rPr>
          <w:rFonts w:hint="eastAsia" w:ascii="宋体" w:hAnsi="宋体" w:cs="仿宋"/>
          <w:color w:val="auto"/>
          <w:highlight w:val="none"/>
        </w:rPr>
        <w:t>人民共和国政府采购法实施条例》、财政部《财政部关于进一步加强政府采购需求和履约验收管理的指导意见》（财库</w:t>
      </w:r>
      <w:r>
        <w:rPr>
          <w:rFonts w:ascii="宋体" w:hAnsi="宋体" w:cs="仿宋"/>
          <w:color w:val="auto"/>
          <w:highlight w:val="none"/>
        </w:rPr>
        <w:t>[2016]205号）、杭州市财政局《杭州市政府采购履约验收暂行办法》（</w:t>
      </w:r>
      <w:r>
        <w:rPr>
          <w:rFonts w:hint="eastAsia" w:ascii="宋体" w:hAnsi="宋体" w:cs="仿宋"/>
          <w:color w:val="auto"/>
          <w:highlight w:val="none"/>
        </w:rPr>
        <w:t>杭财采监</w:t>
      </w:r>
      <w:r>
        <w:rPr>
          <w:rFonts w:ascii="宋体" w:hAnsi="宋体" w:cs="仿宋"/>
          <w:color w:val="auto"/>
          <w:highlight w:val="none"/>
        </w:rPr>
        <w:t>[2019]10号）等相关法律、法规、规范性文件要求组织验收。</w:t>
      </w:r>
    </w:p>
    <w:p w14:paraId="361FB90A">
      <w:pPr>
        <w:pStyle w:val="967"/>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2）验收方法：验收小组验收。</w:t>
      </w:r>
    </w:p>
    <w:p w14:paraId="7A0A79B7">
      <w:pPr>
        <w:pStyle w:val="967"/>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3）验收小组组建方式：</w:t>
      </w:r>
      <w:r>
        <w:rPr>
          <w:rFonts w:hint="eastAsia" w:ascii="宋体" w:hAnsi="宋体" w:cs="仿宋"/>
          <w:color w:val="auto"/>
          <w:highlight w:val="none"/>
        </w:rPr>
        <w:t>项目验收负责人组织</w:t>
      </w:r>
      <w:r>
        <w:rPr>
          <w:rFonts w:ascii="宋体" w:hAnsi="宋体" w:cs="仿宋"/>
          <w:color w:val="auto"/>
          <w:highlight w:val="none"/>
        </w:rPr>
        <w:t>验收小组，验收小组由</w:t>
      </w:r>
      <w:r>
        <w:rPr>
          <w:rFonts w:hint="eastAsia" w:ascii="宋体" w:hAnsi="宋体" w:cs="仿宋"/>
          <w:color w:val="auto"/>
          <w:highlight w:val="none"/>
        </w:rPr>
        <w:t>相关</w:t>
      </w:r>
      <w:r>
        <w:rPr>
          <w:rFonts w:ascii="宋体" w:hAnsi="宋体" w:cs="仿宋"/>
          <w:color w:val="auto"/>
          <w:highlight w:val="none"/>
        </w:rPr>
        <w:t>专家和用户代表</w:t>
      </w:r>
      <w:r>
        <w:rPr>
          <w:rFonts w:hint="eastAsia" w:ascii="宋体" w:hAnsi="宋体" w:cs="仿宋"/>
          <w:color w:val="auto"/>
          <w:highlight w:val="none"/>
        </w:rPr>
        <w:t>按相关规定</w:t>
      </w:r>
      <w:r>
        <w:rPr>
          <w:rFonts w:ascii="宋体" w:hAnsi="宋体" w:cs="仿宋"/>
          <w:color w:val="auto"/>
          <w:highlight w:val="none"/>
        </w:rPr>
        <w:t>组成。验收小组负责实施具体的验收活动。采购人可以邀请其他单位的相关专业人员参加验收小组。验收小组推选一名组长，主持验收小组的工作。</w:t>
      </w:r>
    </w:p>
    <w:p w14:paraId="7EEC4D73">
      <w:pPr>
        <w:pStyle w:val="967"/>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4）验收流程：</w:t>
      </w:r>
    </w:p>
    <w:p w14:paraId="4A642B3D">
      <w:pPr>
        <w:pStyle w:val="967"/>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项目验收负责人</w:t>
      </w:r>
      <w:r>
        <w:rPr>
          <w:rFonts w:ascii="宋体" w:hAnsi="宋体" w:cs="仿宋"/>
          <w:color w:val="auto"/>
          <w:highlight w:val="none"/>
        </w:rPr>
        <w:t>根据验收方案组织验收小组现场验收，并准备验收材料并通知各验收参与方在指定时间指定地点联合验收，包括采购人、供应商、验收小组、其他验收参与方等。</w:t>
      </w:r>
    </w:p>
    <w:p w14:paraId="7FDBA3BD">
      <w:pPr>
        <w:pStyle w:val="967"/>
        <w:ind w:firstLine="480"/>
        <w:rPr>
          <w:rFonts w:ascii="宋体" w:hAnsi="宋体" w:cs="仿宋"/>
          <w:color w:val="auto"/>
          <w:highlight w:val="none"/>
        </w:rPr>
      </w:pPr>
      <w:r>
        <w:rPr>
          <w:rFonts w:ascii="宋体" w:hAnsi="宋体"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highlight w:val="none"/>
        </w:rPr>
        <w:t>作出实质性修改的，应当报经采购人同意。</w:t>
      </w:r>
    </w:p>
    <w:p w14:paraId="28258F09">
      <w:pPr>
        <w:pStyle w:val="967"/>
        <w:ind w:firstLine="480"/>
        <w:rPr>
          <w:rFonts w:ascii="宋体" w:hAnsi="宋体" w:cs="仿宋"/>
          <w:color w:val="auto"/>
          <w:highlight w:val="none"/>
        </w:rPr>
      </w:pPr>
      <w:r>
        <w:rPr>
          <w:rFonts w:ascii="宋体" w:hAnsi="宋体"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43ED0C09">
      <w:pPr>
        <w:pStyle w:val="967"/>
        <w:ind w:firstLine="480"/>
        <w:rPr>
          <w:rFonts w:ascii="宋体" w:hAnsi="宋体" w:cs="仿宋"/>
          <w:color w:val="auto"/>
          <w:highlight w:val="none"/>
        </w:rPr>
      </w:pPr>
      <w:r>
        <w:rPr>
          <w:rFonts w:ascii="宋体" w:hAnsi="宋体" w:cs="仿宋"/>
          <w:color w:val="auto"/>
          <w:highlight w:val="none"/>
        </w:rPr>
        <w:t>4）出具验收报告。验收结束后，验收小组应当出具验收报告，报告采购人。验收报告应当根据验收方案制作，以书面形式</w:t>
      </w:r>
      <w:r>
        <w:rPr>
          <w:rFonts w:hint="eastAsia" w:ascii="宋体" w:hAnsi="宋体" w:cs="仿宋"/>
          <w:color w:val="auto"/>
          <w:highlight w:val="none"/>
        </w:rPr>
        <w:t>作出结论性意见，并经验收小组全体成员签字。验收小组成员对验收报告载明的结论有异议的，应当在验收报告上签署不同意并说明理由，否则视为同意验收结论。</w:t>
      </w:r>
    </w:p>
    <w:p w14:paraId="77F37ED9">
      <w:pPr>
        <w:pStyle w:val="967"/>
        <w:ind w:firstLine="480"/>
        <w:rPr>
          <w:rFonts w:ascii="宋体" w:hAnsi="宋体" w:cs="仿宋"/>
          <w:color w:val="auto"/>
          <w:highlight w:val="none"/>
        </w:rPr>
      </w:pPr>
      <w:r>
        <w:rPr>
          <w:rFonts w:ascii="宋体" w:hAnsi="宋体" w:cs="仿宋"/>
          <w:color w:val="auto"/>
          <w:highlight w:val="none"/>
        </w:rPr>
        <w:t>5）验收不合格的，采购人应责令供应商采取补救措施，向供应商发出整改通知书，并依法及时处理。整改结束后，由供应商通知采购人或其委托的验收组织机构重新验收。</w:t>
      </w:r>
    </w:p>
    <w:p w14:paraId="535632E8">
      <w:pPr>
        <w:pStyle w:val="25"/>
        <w:spacing w:line="360" w:lineRule="auto"/>
        <w:rPr>
          <w:rFonts w:cs="宋体"/>
          <w:color w:val="auto"/>
          <w:highlight w:val="none"/>
        </w:rPr>
      </w:pPr>
      <w:bookmarkStart w:id="54" w:name="_Toc8526"/>
      <w:r>
        <w:rPr>
          <w:rFonts w:hint="eastAsia" w:cs="宋体"/>
          <w:color w:val="auto"/>
          <w:highlight w:val="none"/>
        </w:rPr>
        <w:t>2</w:t>
      </w:r>
      <w:r>
        <w:rPr>
          <w:rFonts w:cs="宋体"/>
          <w:color w:val="auto"/>
          <w:highlight w:val="none"/>
        </w:rPr>
        <w:t>.</w:t>
      </w:r>
      <w:r>
        <w:rPr>
          <w:rFonts w:hint="eastAsia" w:cs="宋体"/>
          <w:color w:val="auto"/>
          <w:highlight w:val="none"/>
        </w:rPr>
        <w:t>履约验收内容</w:t>
      </w:r>
      <w:bookmarkEnd w:id="54"/>
    </w:p>
    <w:p w14:paraId="2CEBD3A9">
      <w:pPr>
        <w:pStyle w:val="967"/>
        <w:ind w:firstLine="480"/>
        <w:rPr>
          <w:rFonts w:ascii="宋体" w:hAnsi="宋体" w:cs="仿宋"/>
          <w:color w:val="auto"/>
          <w:highlight w:val="none"/>
        </w:rPr>
      </w:pPr>
      <w:bookmarkStart w:id="55" w:name="_Toc354"/>
      <w:r>
        <w:rPr>
          <w:rFonts w:hint="eastAsia" w:ascii="宋体" w:hAnsi="宋体" w:cs="仿宋"/>
          <w:color w:val="auto"/>
          <w:highlight w:val="none"/>
        </w:rPr>
        <w:t>1</w:t>
      </w:r>
      <w:r>
        <w:rPr>
          <w:rFonts w:ascii="宋体" w:hAnsi="宋体" w:cs="仿宋"/>
          <w:color w:val="auto"/>
          <w:highlight w:val="none"/>
        </w:rPr>
        <w:t>.</w:t>
      </w:r>
      <w:r>
        <w:rPr>
          <w:rFonts w:hint="eastAsia" w:ascii="宋体" w:hAnsi="宋体" w:cs="仿宋"/>
          <w:color w:val="auto"/>
          <w:highlight w:val="none"/>
        </w:rPr>
        <w:t>技术履约内容</w:t>
      </w:r>
    </w:p>
    <w:p w14:paraId="6E23CB04">
      <w:pPr>
        <w:pStyle w:val="25"/>
        <w:spacing w:after="120" w:line="360" w:lineRule="auto"/>
        <w:rPr>
          <w:rFonts w:cs="仿宋"/>
          <w:color w:val="auto"/>
          <w:highlight w:val="none"/>
        </w:rPr>
      </w:pPr>
      <w:r>
        <w:rPr>
          <w:rFonts w:cs="仿宋"/>
          <w:color w:val="auto"/>
          <w:highlight w:val="none"/>
        </w:rPr>
        <w:t>1</w:t>
      </w:r>
      <w:r>
        <w:rPr>
          <w:rFonts w:hint="eastAsia" w:cs="仿宋"/>
          <w:color w:val="auto"/>
          <w:highlight w:val="none"/>
        </w:rPr>
        <w:t>）满足所有采购需求及响应文件承诺；</w:t>
      </w:r>
    </w:p>
    <w:p w14:paraId="6E304360">
      <w:pPr>
        <w:pStyle w:val="25"/>
        <w:spacing w:line="360" w:lineRule="auto"/>
        <w:rPr>
          <w:rFonts w:cs="宋体"/>
          <w:color w:val="auto"/>
          <w:highlight w:val="none"/>
        </w:rPr>
      </w:pPr>
      <w:r>
        <w:rPr>
          <w:rFonts w:hint="eastAsia" w:cs="仿宋"/>
          <w:color w:val="auto"/>
          <w:highlight w:val="none"/>
        </w:rPr>
        <w:t>2</w:t>
      </w:r>
      <w:r>
        <w:rPr>
          <w:rFonts w:hint="eastAsia" w:cs="宋体"/>
          <w:color w:val="auto"/>
          <w:highlight w:val="none"/>
        </w:rPr>
        <w:t>）</w:t>
      </w:r>
      <w:r>
        <w:rPr>
          <w:rFonts w:cs="宋体"/>
          <w:color w:val="auto"/>
          <w:highlight w:val="none"/>
        </w:rPr>
        <w:t>拟投服务团队人员全部到位</w:t>
      </w:r>
      <w:r>
        <w:rPr>
          <w:rFonts w:hint="eastAsia" w:cs="宋体"/>
          <w:color w:val="auto"/>
          <w:highlight w:val="none"/>
        </w:rPr>
        <w:t>。</w:t>
      </w:r>
    </w:p>
    <w:p w14:paraId="4C959B82">
      <w:pPr>
        <w:pStyle w:val="967"/>
        <w:ind w:firstLine="480"/>
        <w:rPr>
          <w:rFonts w:ascii="宋体" w:hAnsi="宋体" w:cs="仿宋"/>
          <w:color w:val="auto"/>
          <w:highlight w:val="none"/>
        </w:rPr>
      </w:pPr>
      <w:r>
        <w:rPr>
          <w:rFonts w:hint="eastAsia" w:ascii="宋体" w:hAnsi="宋体" w:cs="仿宋"/>
          <w:color w:val="auto"/>
          <w:highlight w:val="none"/>
        </w:rPr>
        <w:t>2.商务履约内容</w:t>
      </w:r>
    </w:p>
    <w:p w14:paraId="227B97C8">
      <w:pPr>
        <w:pStyle w:val="968"/>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）服务周期满足采购要求。</w:t>
      </w:r>
    </w:p>
    <w:p w14:paraId="7A7A870E">
      <w:pPr>
        <w:pStyle w:val="968"/>
        <w:spacing w:after="120"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验收标准</w:t>
      </w:r>
      <w:bookmarkEnd w:id="55"/>
    </w:p>
    <w:p w14:paraId="499C1527">
      <w:pPr>
        <w:pStyle w:val="25"/>
        <w:spacing w:after="120" w:line="360" w:lineRule="auto"/>
        <w:rPr>
          <w:rFonts w:cs="仿宋"/>
          <w:color w:val="auto"/>
          <w:highlight w:val="none"/>
        </w:rPr>
      </w:pPr>
      <w:r>
        <w:rPr>
          <w:rFonts w:cs="仿宋"/>
          <w:color w:val="auto"/>
          <w:highlight w:val="none"/>
        </w:rPr>
        <w:t>1</w:t>
      </w:r>
      <w:r>
        <w:rPr>
          <w:rFonts w:hint="eastAsia" w:cs="仿宋"/>
          <w:color w:val="auto"/>
          <w:highlight w:val="none"/>
        </w:rPr>
        <w:t>）满足所有采购需求及响应文件承诺；</w:t>
      </w:r>
    </w:p>
    <w:p w14:paraId="03E456C2">
      <w:pPr>
        <w:pStyle w:val="25"/>
        <w:spacing w:after="120" w:line="360" w:lineRule="auto"/>
        <w:rPr>
          <w:rFonts w:cs="仿宋"/>
          <w:color w:val="auto"/>
          <w:highlight w:val="none"/>
        </w:rPr>
      </w:pPr>
      <w:r>
        <w:rPr>
          <w:rFonts w:hint="eastAsia" w:cs="仿宋"/>
          <w:color w:val="auto"/>
          <w:highlight w:val="none"/>
        </w:rPr>
        <w:t>2）</w:t>
      </w:r>
      <w:r>
        <w:rPr>
          <w:rFonts w:cs="仿宋"/>
          <w:color w:val="auto"/>
          <w:highlight w:val="none"/>
        </w:rPr>
        <w:t>拟投服务团队人员全部到位；</w:t>
      </w:r>
    </w:p>
    <w:p w14:paraId="69E0FEEE">
      <w:pPr>
        <w:pStyle w:val="25"/>
        <w:spacing w:after="120" w:line="360" w:lineRule="auto"/>
        <w:rPr>
          <w:rFonts w:cs="仿宋"/>
          <w:color w:val="auto"/>
          <w:highlight w:val="none"/>
        </w:rPr>
      </w:pPr>
      <w:r>
        <w:rPr>
          <w:rFonts w:cs="仿宋"/>
          <w:color w:val="auto"/>
          <w:highlight w:val="none"/>
        </w:rPr>
        <w:t>3</w:t>
      </w:r>
      <w:r>
        <w:rPr>
          <w:rFonts w:hint="eastAsia" w:cs="仿宋"/>
          <w:color w:val="auto"/>
          <w:highlight w:val="none"/>
        </w:rPr>
        <w:t>）项目验收资料齐全；</w:t>
      </w:r>
    </w:p>
    <w:p w14:paraId="77A0E1F9">
      <w:pPr>
        <w:spacing w:line="360" w:lineRule="auto"/>
        <w:ind w:firstLine="480" w:firstLineChars="200"/>
        <w:jc w:val="left"/>
        <w:rPr>
          <w:rFonts w:ascii="宋体" w:hAnsi="宋体" w:cs="仿宋"/>
          <w:color w:val="auto"/>
          <w:sz w:val="24"/>
          <w:highlight w:val="none"/>
        </w:rPr>
      </w:pPr>
      <w:bookmarkStart w:id="56" w:name="_Toc24191"/>
      <w:bookmarkStart w:id="57" w:name="_Toc100838239"/>
      <w:r>
        <w:rPr>
          <w:rFonts w:hint="eastAsia" w:ascii="宋体" w:hAnsi="宋体" w:cs="仿宋"/>
          <w:color w:val="auto"/>
          <w:sz w:val="24"/>
          <w:highlight w:val="none"/>
        </w:rPr>
        <w:t>4</w:t>
      </w:r>
      <w:r>
        <w:rPr>
          <w:rFonts w:ascii="宋体" w:hAnsi="宋体" w:cs="仿宋"/>
          <w:color w:val="auto"/>
          <w:sz w:val="24"/>
          <w:highlight w:val="none"/>
        </w:rPr>
        <w:t>.</w:t>
      </w:r>
      <w:r>
        <w:rPr>
          <w:rFonts w:hint="eastAsia" w:ascii="宋体" w:hAnsi="宋体" w:cs="仿宋"/>
          <w:color w:val="auto"/>
          <w:sz w:val="24"/>
          <w:highlight w:val="none"/>
        </w:rPr>
        <w:t>履约验收其他事项</w:t>
      </w:r>
      <w:bookmarkEnd w:id="56"/>
      <w:bookmarkEnd w:id="57"/>
    </w:p>
    <w:p w14:paraId="720A14C6">
      <w:pPr>
        <w:pStyle w:val="968"/>
        <w:spacing w:after="120" w:line="360" w:lineRule="auto"/>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宋体" w:hAnsi="宋体" w:eastAsia="宋体" w:cs="仿宋"/>
          <w:color w:val="auto"/>
          <w:sz w:val="24"/>
          <w:szCs w:val="24"/>
          <w:highlight w:val="none"/>
        </w:rPr>
        <w:t>要求整改的，采购人有权拒绝验收，供应商应承担相应的违约责任。</w:t>
      </w:r>
    </w:p>
    <w:p w14:paraId="07CBF1EF">
      <w:pPr>
        <w:pStyle w:val="968"/>
        <w:spacing w:after="120" w:line="360" w:lineRule="auto"/>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r>
        <w:rPr>
          <w:rFonts w:ascii="宋体" w:hAnsi="宋体" w:eastAsia="宋体" w:cs="仿宋"/>
          <w:color w:val="auto"/>
          <w:sz w:val="24"/>
          <w:szCs w:val="24"/>
          <w:highlight w:val="none"/>
        </w:rPr>
        <w:t>供应商服务成果未通过采购人验收，采购人有权要求供应商进行整改，相关费用</w:t>
      </w:r>
      <w:r>
        <w:rPr>
          <w:rFonts w:hint="eastAsia" w:ascii="宋体" w:hAnsi="宋体" w:eastAsia="宋体" w:cs="仿宋"/>
          <w:color w:val="auto"/>
          <w:sz w:val="24"/>
          <w:szCs w:val="24"/>
          <w:highlight w:val="none"/>
        </w:rPr>
        <w:t>（包括但不限于重新组织验收等费用）</w:t>
      </w:r>
      <w:r>
        <w:rPr>
          <w:rFonts w:ascii="宋体" w:hAnsi="宋体" w:eastAsia="宋体" w:cs="仿宋"/>
          <w:color w:val="auto"/>
          <w:sz w:val="24"/>
          <w:szCs w:val="24"/>
          <w:highlight w:val="none"/>
        </w:rPr>
        <w:t>由供应商承担；如供应商</w:t>
      </w:r>
      <w:r>
        <w:rPr>
          <w:rFonts w:hint="eastAsia" w:ascii="宋体" w:hAnsi="宋体" w:eastAsia="宋体" w:cs="仿宋"/>
          <w:color w:val="auto"/>
          <w:sz w:val="24"/>
          <w:szCs w:val="24"/>
          <w:highlight w:val="none"/>
        </w:rPr>
        <w:t>未在采购人要求期限内整改或整改后仍不合格或已经无法整改的，采购人有权要求供应商承担相应的违约责任。</w:t>
      </w:r>
    </w:p>
    <w:bookmarkEnd w:id="53"/>
    <w:p w14:paraId="0BF53D84">
      <w:pPr>
        <w:spacing w:line="360" w:lineRule="auto"/>
        <w:outlineLvl w:val="1"/>
        <w:rPr>
          <w:rFonts w:ascii="宋体" w:hAnsi="宋体"/>
          <w:b/>
          <w:color w:val="auto"/>
          <w:sz w:val="24"/>
          <w:highlight w:val="none"/>
        </w:rPr>
      </w:pPr>
      <w:r>
        <w:rPr>
          <w:rFonts w:hint="eastAsia" w:ascii="宋体" w:hAnsi="宋体"/>
          <w:b/>
          <w:color w:val="auto"/>
          <w:sz w:val="24"/>
          <w:highlight w:val="none"/>
        </w:rPr>
        <w:t>八、商务要求</w:t>
      </w:r>
    </w:p>
    <w:tbl>
      <w:tblPr>
        <w:tblStyle w:val="63"/>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6883"/>
      </w:tblGrid>
      <w:tr w14:paraId="5E04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76" w:type="dxa"/>
            <w:vAlign w:val="center"/>
          </w:tcPr>
          <w:p w14:paraId="243F986C">
            <w:pPr>
              <w:snapToGrid w:val="0"/>
              <w:jc w:val="center"/>
              <w:rPr>
                <w:rFonts w:ascii="宋体" w:hAnsi="宋体" w:cs="宋体"/>
                <w:color w:val="auto"/>
                <w:sz w:val="24"/>
                <w:highlight w:val="none"/>
              </w:rPr>
            </w:pPr>
            <w:bookmarkStart w:id="58" w:name="_Toc370397390"/>
            <w:r>
              <w:rPr>
                <w:rFonts w:hint="eastAsia" w:ascii="宋体" w:hAnsi="宋体" w:cs="宋体"/>
                <w:color w:val="auto"/>
                <w:sz w:val="24"/>
                <w:highlight w:val="none"/>
              </w:rPr>
              <w:t>履约期限</w:t>
            </w:r>
          </w:p>
        </w:tc>
        <w:tc>
          <w:tcPr>
            <w:tcW w:w="6883" w:type="dxa"/>
            <w:vAlign w:val="center"/>
          </w:tcPr>
          <w:p w14:paraId="7B27C02E">
            <w:pPr>
              <w:tabs>
                <w:tab w:val="left" w:pos="0"/>
              </w:tabs>
              <w:snapToGrid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本次服务期限为12个月，2025年01月01日至2025年12月31日</w:t>
            </w:r>
            <w:r>
              <w:rPr>
                <w:rFonts w:hint="eastAsia" w:ascii="宋体" w:hAnsi="宋体" w:cs="宋体"/>
                <w:bCs/>
                <w:color w:val="auto"/>
                <w:sz w:val="24"/>
                <w:highlight w:val="none"/>
              </w:rPr>
              <w:t>。</w:t>
            </w:r>
          </w:p>
        </w:tc>
      </w:tr>
      <w:tr w14:paraId="035A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76" w:type="dxa"/>
            <w:vAlign w:val="center"/>
          </w:tcPr>
          <w:p w14:paraId="5FA3023D">
            <w:pPr>
              <w:tabs>
                <w:tab w:val="left" w:pos="1440"/>
              </w:tabs>
              <w:snapToGrid w:val="0"/>
              <w:jc w:val="center"/>
              <w:rPr>
                <w:rFonts w:ascii="宋体" w:hAnsi="宋体" w:cs="宋体"/>
                <w:color w:val="auto"/>
                <w:sz w:val="24"/>
                <w:highlight w:val="none"/>
              </w:rPr>
            </w:pPr>
            <w:r>
              <w:rPr>
                <w:rFonts w:hint="eastAsia" w:ascii="宋体" w:hAnsi="宋体" w:cs="宋体"/>
                <w:color w:val="auto"/>
                <w:sz w:val="24"/>
                <w:highlight w:val="none"/>
              </w:rPr>
              <w:t>履约地点</w:t>
            </w:r>
          </w:p>
        </w:tc>
        <w:tc>
          <w:tcPr>
            <w:tcW w:w="6883" w:type="dxa"/>
            <w:vAlign w:val="center"/>
          </w:tcPr>
          <w:p w14:paraId="14E497EA">
            <w:pPr>
              <w:pStyle w:val="574"/>
              <w:snapToGrid w:val="0"/>
              <w:spacing w:before="46" w:after="46"/>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763D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676" w:type="dxa"/>
            <w:vAlign w:val="center"/>
          </w:tcPr>
          <w:p w14:paraId="0696A713">
            <w:pPr>
              <w:tabs>
                <w:tab w:val="left" w:pos="1440"/>
              </w:tabs>
              <w:snapToGrid w:val="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6883" w:type="dxa"/>
            <w:vAlign w:val="center"/>
          </w:tcPr>
          <w:p w14:paraId="610405B1">
            <w:pPr>
              <w:pStyle w:val="61"/>
              <w:spacing w:line="240" w:lineRule="auto"/>
              <w:ind w:firstLine="0"/>
              <w:rPr>
                <w:rFonts w:hAnsi="宋体" w:cs="宋体"/>
                <w:color w:val="auto"/>
                <w:szCs w:val="24"/>
                <w:highlight w:val="none"/>
              </w:rPr>
            </w:pPr>
            <w:bookmarkStart w:id="59" w:name="_Hlk166139557"/>
            <w:r>
              <w:rPr>
                <w:rFonts w:hint="eastAsia" w:hAnsi="宋体" w:cs="宋体"/>
                <w:color w:val="auto"/>
                <w:szCs w:val="24"/>
                <w:highlight w:val="none"/>
              </w:rPr>
              <w:t>（1）服务款采用分期付款方式结算，共分两次支付，具体付款方式如下：</w:t>
            </w:r>
          </w:p>
          <w:p w14:paraId="3BD6D27C">
            <w:pPr>
              <w:pStyle w:val="61"/>
              <w:spacing w:line="240" w:lineRule="auto"/>
              <w:ind w:firstLine="0"/>
              <w:rPr>
                <w:rFonts w:hAnsi="宋体" w:cs="宋体"/>
                <w:color w:val="auto"/>
                <w:szCs w:val="24"/>
                <w:highlight w:val="none"/>
              </w:rPr>
            </w:pPr>
            <w:r>
              <w:rPr>
                <w:rFonts w:hint="eastAsia" w:hAnsi="宋体" w:cs="宋体"/>
                <w:color w:val="auto"/>
                <w:szCs w:val="24"/>
                <w:highlight w:val="none"/>
              </w:rPr>
              <w:t>1）第一期:合同生效并具备实施条件财政资金到位的情况后</w:t>
            </w:r>
            <w:r>
              <w:rPr>
                <w:rFonts w:hint="eastAsia" w:hAnsi="宋体" w:cs="宋体"/>
                <w:color w:val="auto"/>
                <w:szCs w:val="24"/>
                <w:highlight w:val="none"/>
                <w:lang w:val="en-US"/>
              </w:rPr>
              <w:t>5</w:t>
            </w:r>
            <w:r>
              <w:rPr>
                <w:rFonts w:hint="eastAsia" w:hAnsi="宋体" w:cs="宋体"/>
                <w:color w:val="auto"/>
                <w:szCs w:val="24"/>
                <w:highlight w:val="none"/>
              </w:rPr>
              <w:t>个工作日内，采购人向成交供应商支付2025年服务周期合同金额</w:t>
            </w:r>
            <w:r>
              <w:rPr>
                <w:rFonts w:hAnsi="宋体" w:cs="宋体"/>
                <w:color w:val="auto"/>
                <w:szCs w:val="24"/>
                <w:highlight w:val="none"/>
              </w:rPr>
              <w:t>50</w:t>
            </w:r>
            <w:r>
              <w:rPr>
                <w:rFonts w:hint="eastAsia" w:hAnsi="宋体" w:cs="宋体"/>
                <w:color w:val="auto"/>
                <w:szCs w:val="24"/>
                <w:highlight w:val="none"/>
              </w:rPr>
              <w:t>％作为预付款，</w:t>
            </w:r>
          </w:p>
          <w:p w14:paraId="47FC37B5">
            <w:pPr>
              <w:pStyle w:val="61"/>
              <w:spacing w:line="240" w:lineRule="auto"/>
              <w:ind w:firstLine="0"/>
              <w:rPr>
                <w:rFonts w:hAnsi="宋体" w:cs="宋体"/>
                <w:color w:val="auto"/>
                <w:szCs w:val="24"/>
                <w:highlight w:val="none"/>
              </w:rPr>
            </w:pPr>
            <w:r>
              <w:rPr>
                <w:rFonts w:hint="eastAsia" w:hAnsi="宋体" w:cs="宋体"/>
                <w:color w:val="auto"/>
                <w:szCs w:val="24"/>
                <w:highlight w:val="none"/>
              </w:rPr>
              <w:t>2）2025年11月3</w:t>
            </w:r>
            <w:r>
              <w:rPr>
                <w:rFonts w:hAnsi="宋体" w:cs="宋体"/>
                <w:color w:val="auto"/>
                <w:szCs w:val="24"/>
                <w:highlight w:val="none"/>
              </w:rPr>
              <w:t>0</w:t>
            </w:r>
            <w:r>
              <w:rPr>
                <w:rFonts w:hint="eastAsia" w:hAnsi="宋体" w:cs="宋体"/>
                <w:color w:val="auto"/>
                <w:szCs w:val="24"/>
                <w:highlight w:val="none"/>
              </w:rPr>
              <w:t>日前，中心对本项目服务按照《信息化维保服务质量考核表》进行考核，根据年度考核得分计算2025年服务周期剩余维护服务款(2025年服务周期合同金额30%和2025年服务周期合同金额20%的年度考核分数的百分比的金额总和)，中标人凭采购人签字盖章的支付通知书和全额发票向采购人办理2025年服务周期剩余维护服务款结算手续。</w:t>
            </w:r>
          </w:p>
          <w:p w14:paraId="2E0B7FB0">
            <w:pPr>
              <w:pStyle w:val="61"/>
              <w:spacing w:line="240" w:lineRule="auto"/>
              <w:ind w:firstLine="0"/>
              <w:rPr>
                <w:rFonts w:hAnsi="宋体" w:cs="宋体"/>
                <w:color w:val="auto"/>
                <w:szCs w:val="24"/>
                <w:highlight w:val="none"/>
              </w:rPr>
            </w:pPr>
            <w:r>
              <w:rPr>
                <w:rFonts w:hint="eastAsia" w:hAnsi="宋体" w:cs="宋体"/>
                <w:color w:val="auto"/>
                <w:szCs w:val="24"/>
                <w:highlight w:val="none"/>
              </w:rPr>
              <w:t>（2）合同生效后15个工作日内，中标人按照合同生效日期，和上一年度运维厂商进行逾期结算（如有）。</w:t>
            </w:r>
          </w:p>
          <w:p w14:paraId="1E11E6DA">
            <w:pPr>
              <w:pStyle w:val="61"/>
              <w:spacing w:line="240" w:lineRule="auto"/>
              <w:ind w:firstLine="0"/>
              <w:rPr>
                <w:rFonts w:hAnsi="宋体" w:cs="宋体"/>
                <w:color w:val="auto"/>
                <w:szCs w:val="24"/>
                <w:highlight w:val="none"/>
              </w:rPr>
            </w:pPr>
            <w:r>
              <w:rPr>
                <w:rFonts w:hint="eastAsia" w:hAnsi="宋体" w:cs="宋体"/>
                <w:color w:val="auto"/>
                <w:szCs w:val="24"/>
                <w:highlight w:val="none"/>
              </w:rPr>
              <w:t>（3）逾期结算及义务：</w:t>
            </w:r>
          </w:p>
          <w:p w14:paraId="7C992922">
            <w:pPr>
              <w:pStyle w:val="61"/>
              <w:spacing w:line="240" w:lineRule="auto"/>
              <w:ind w:firstLine="0"/>
              <w:rPr>
                <w:rFonts w:hAnsi="宋体" w:cs="宋体"/>
                <w:color w:val="auto"/>
                <w:szCs w:val="24"/>
                <w:highlight w:val="none"/>
              </w:rPr>
            </w:pPr>
            <w:r>
              <w:rPr>
                <w:rFonts w:hint="eastAsia" w:hAnsi="宋体" w:cs="宋体"/>
                <w:color w:val="auto"/>
                <w:szCs w:val="24"/>
                <w:highlight w:val="none"/>
              </w:rPr>
              <w:t>如果中标人和上一年度运维厂商不是同一中标人，并且本合同签订日由于某些客观原因在上一年度运维期之后的，中标人按照上一年度运维合同金额，折算逾期运维费用，结算给上一年度运维厂商。如果本合同运维到期后，还未签订新的运维合同，中标人将无条件按照本合同继续履行运维工作，直到下一年度中标厂商和中标人进行逾期结算。</w:t>
            </w:r>
          </w:p>
          <w:bookmarkEnd w:id="59"/>
          <w:p w14:paraId="0CB6E488">
            <w:pPr>
              <w:pStyle w:val="61"/>
              <w:spacing w:line="240" w:lineRule="auto"/>
              <w:ind w:firstLine="0"/>
              <w:rPr>
                <w:rFonts w:hAnsi="宋体" w:cs="宋体"/>
                <w:color w:val="auto"/>
                <w:szCs w:val="24"/>
                <w:highlight w:val="none"/>
              </w:rPr>
            </w:pPr>
          </w:p>
        </w:tc>
      </w:tr>
      <w:tr w14:paraId="0CDA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76" w:type="dxa"/>
            <w:vAlign w:val="center"/>
          </w:tcPr>
          <w:p w14:paraId="5FDBEDBF">
            <w:pPr>
              <w:snapToGrid w:val="0"/>
              <w:jc w:val="center"/>
              <w:rPr>
                <w:rFonts w:ascii="宋体" w:hAnsi="宋体" w:cs="宋体"/>
                <w:color w:val="auto"/>
                <w:sz w:val="24"/>
                <w:highlight w:val="none"/>
              </w:rPr>
            </w:pPr>
            <w:r>
              <w:rPr>
                <w:rFonts w:hint="eastAsia" w:ascii="宋体" w:hAnsi="宋体" w:cs="宋体"/>
                <w:color w:val="auto"/>
                <w:sz w:val="24"/>
                <w:highlight w:val="none"/>
              </w:rPr>
              <w:t>备注</w:t>
            </w:r>
          </w:p>
        </w:tc>
        <w:tc>
          <w:tcPr>
            <w:tcW w:w="6883" w:type="dxa"/>
            <w:vAlign w:val="center"/>
          </w:tcPr>
          <w:p w14:paraId="475298C1">
            <w:pPr>
              <w:pStyle w:val="61"/>
              <w:spacing w:line="240" w:lineRule="auto"/>
              <w:ind w:firstLine="0"/>
              <w:rPr>
                <w:rFonts w:hAnsi="宋体" w:cs="宋体"/>
                <w:color w:val="auto"/>
                <w:szCs w:val="24"/>
                <w:highlight w:val="none"/>
              </w:rPr>
            </w:pPr>
            <w:r>
              <w:rPr>
                <w:rFonts w:hint="eastAsia" w:hAnsi="宋体" w:cs="宋体"/>
                <w:color w:val="auto"/>
                <w:szCs w:val="24"/>
                <w:highlight w:val="none"/>
              </w:rPr>
              <w:t>请</w:t>
            </w:r>
            <w:r>
              <w:rPr>
                <w:rFonts w:hint="eastAsia" w:hAnsi="宋体" w:cs="宋体"/>
                <w:color w:val="auto"/>
                <w:szCs w:val="24"/>
                <w:highlight w:val="none"/>
                <w:lang w:val="en-US"/>
              </w:rPr>
              <w:t>投标人</w:t>
            </w:r>
            <w:r>
              <w:rPr>
                <w:rFonts w:hint="eastAsia" w:hAnsi="宋体" w:cs="宋体"/>
                <w:color w:val="auto"/>
                <w:szCs w:val="24"/>
                <w:highlight w:val="none"/>
              </w:rPr>
              <w:t>将有关本项目所需的所有费用在报价中充分考虑，合理、理性、谨慎地报价，中标后采购人不再另行支付，</w:t>
            </w:r>
            <w:r>
              <w:rPr>
                <w:rFonts w:hint="eastAsia" w:hAnsi="宋体" w:cs="宋体"/>
                <w:color w:val="auto"/>
                <w:szCs w:val="24"/>
                <w:highlight w:val="none"/>
                <w:lang w:val="en-US"/>
              </w:rPr>
              <w:t>投标人</w:t>
            </w:r>
            <w:r>
              <w:rPr>
                <w:rFonts w:hint="eastAsia" w:hAnsi="宋体" w:cs="宋体"/>
                <w:color w:val="auto"/>
                <w:szCs w:val="24"/>
                <w:highlight w:val="none"/>
              </w:rPr>
              <w:t>亦不得以任何理由要求增加费用。</w:t>
            </w:r>
          </w:p>
        </w:tc>
      </w:tr>
      <w:bookmarkEnd w:id="58"/>
    </w:tbl>
    <w:p w14:paraId="7C5EFAE5">
      <w:pPr>
        <w:adjustRightInd/>
        <w:spacing w:line="360" w:lineRule="auto"/>
        <w:rPr>
          <w:b/>
          <w:bCs/>
          <w:color w:val="auto"/>
          <w:sz w:val="24"/>
          <w:highlight w:val="none"/>
        </w:rPr>
      </w:pPr>
    </w:p>
    <w:p w14:paraId="55E0DE93">
      <w:pPr>
        <w:spacing w:line="360" w:lineRule="auto"/>
        <w:outlineLvl w:val="1"/>
        <w:rPr>
          <w:rFonts w:ascii="宋体" w:hAnsi="宋体"/>
          <w:b/>
          <w:color w:val="auto"/>
          <w:sz w:val="24"/>
          <w:highlight w:val="none"/>
        </w:rPr>
      </w:pPr>
      <w:r>
        <w:rPr>
          <w:rFonts w:hint="eastAsia" w:ascii="宋体" w:hAnsi="宋体"/>
          <w:b/>
          <w:color w:val="auto"/>
          <w:sz w:val="24"/>
          <w:highlight w:val="none"/>
        </w:rPr>
        <w:t>九</w:t>
      </w:r>
      <w:r>
        <w:rPr>
          <w:rFonts w:ascii="宋体" w:hAnsi="宋体"/>
          <w:b/>
          <w:color w:val="auto"/>
          <w:sz w:val="24"/>
          <w:highlight w:val="none"/>
        </w:rPr>
        <w:t>、其它要求：详见招标文件第五部分合同条款。</w:t>
      </w:r>
    </w:p>
    <w:p w14:paraId="3F89AF28">
      <w:pPr>
        <w:spacing w:line="360" w:lineRule="auto"/>
        <w:outlineLvl w:val="1"/>
        <w:rPr>
          <w:rFonts w:ascii="宋体" w:hAnsi="宋体"/>
          <w:b/>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511D20">
      <w:pPr>
        <w:spacing w:line="360" w:lineRule="auto"/>
        <w:ind w:firstLine="723" w:firstLineChars="2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0" w:name="_Toc184310317"/>
      <w:bookmarkEnd w:id="60"/>
      <w:bookmarkStart w:id="61" w:name="_Toc184310297"/>
      <w:bookmarkEnd w:id="61"/>
      <w:bookmarkStart w:id="62" w:name="_Toc184312139"/>
      <w:bookmarkEnd w:id="62"/>
      <w:bookmarkStart w:id="63" w:name="_Toc184313304"/>
      <w:bookmarkEnd w:id="63"/>
      <w:bookmarkStart w:id="64" w:name="_Toc184314431"/>
      <w:bookmarkEnd w:id="64"/>
      <w:bookmarkStart w:id="65" w:name="_Toc184310315"/>
      <w:bookmarkEnd w:id="65"/>
      <w:bookmarkStart w:id="66" w:name="_Toc184313261"/>
      <w:bookmarkEnd w:id="66"/>
      <w:bookmarkStart w:id="67" w:name="_Toc184312073"/>
      <w:bookmarkEnd w:id="67"/>
      <w:bookmarkStart w:id="68" w:name="_Toc184312099"/>
      <w:bookmarkEnd w:id="68"/>
      <w:bookmarkStart w:id="69" w:name="_Toc184310334"/>
      <w:bookmarkEnd w:id="69"/>
      <w:bookmarkStart w:id="70" w:name="_Toc184312076"/>
      <w:bookmarkEnd w:id="70"/>
      <w:bookmarkStart w:id="71" w:name="_Toc184310314"/>
      <w:bookmarkEnd w:id="71"/>
      <w:bookmarkStart w:id="72" w:name="_Toc184313260"/>
      <w:bookmarkEnd w:id="72"/>
      <w:bookmarkStart w:id="73" w:name="_Toc184314466"/>
      <w:bookmarkEnd w:id="73"/>
      <w:bookmarkStart w:id="74" w:name="_Toc184314454"/>
      <w:bookmarkEnd w:id="74"/>
      <w:bookmarkStart w:id="75" w:name="_Toc184312098"/>
      <w:bookmarkEnd w:id="75"/>
      <w:bookmarkStart w:id="76" w:name="_Toc184310329"/>
      <w:bookmarkEnd w:id="76"/>
      <w:bookmarkStart w:id="77" w:name="_Toc184314436"/>
      <w:bookmarkEnd w:id="77"/>
      <w:bookmarkStart w:id="78" w:name="_Toc184313243"/>
      <w:bookmarkEnd w:id="78"/>
      <w:bookmarkStart w:id="79" w:name="_Toc184313292"/>
      <w:bookmarkEnd w:id="79"/>
      <w:bookmarkStart w:id="80" w:name="_Toc184308057"/>
      <w:bookmarkEnd w:id="80"/>
      <w:bookmarkStart w:id="81" w:name="_Toc184312092"/>
      <w:bookmarkEnd w:id="81"/>
      <w:bookmarkStart w:id="82" w:name="_Toc184308072"/>
      <w:bookmarkEnd w:id="82"/>
      <w:bookmarkStart w:id="83" w:name="_Toc184310275"/>
      <w:bookmarkEnd w:id="83"/>
      <w:bookmarkStart w:id="84" w:name="_Toc184313302"/>
      <w:bookmarkEnd w:id="84"/>
      <w:bookmarkStart w:id="85" w:name="_Toc184312127"/>
      <w:bookmarkEnd w:id="85"/>
      <w:bookmarkStart w:id="86" w:name="_Toc184314449"/>
      <w:bookmarkEnd w:id="86"/>
      <w:bookmarkStart w:id="87" w:name="_Toc184308052"/>
      <w:bookmarkEnd w:id="87"/>
      <w:bookmarkStart w:id="88" w:name="_Toc184312123"/>
      <w:bookmarkEnd w:id="88"/>
      <w:bookmarkStart w:id="89" w:name="_Toc184310283"/>
      <w:bookmarkEnd w:id="89"/>
      <w:bookmarkStart w:id="90" w:name="_Toc184308097"/>
      <w:bookmarkEnd w:id="90"/>
      <w:bookmarkStart w:id="91" w:name="_Toc184310289"/>
      <w:bookmarkEnd w:id="91"/>
      <w:bookmarkStart w:id="92" w:name="_Toc184314443"/>
      <w:bookmarkEnd w:id="92"/>
      <w:bookmarkStart w:id="93" w:name="_Toc184308041"/>
      <w:bookmarkEnd w:id="93"/>
      <w:bookmarkStart w:id="94" w:name="_Toc184314422"/>
      <w:bookmarkEnd w:id="94"/>
      <w:bookmarkStart w:id="95" w:name="_Toc184308073"/>
      <w:bookmarkEnd w:id="95"/>
      <w:bookmarkStart w:id="96" w:name="_Toc184310337"/>
      <w:bookmarkEnd w:id="96"/>
      <w:bookmarkStart w:id="97" w:name="_Toc184312077"/>
      <w:bookmarkEnd w:id="97"/>
      <w:bookmarkStart w:id="98" w:name="_Toc184310339"/>
      <w:bookmarkEnd w:id="98"/>
      <w:bookmarkStart w:id="99" w:name="_Toc184312128"/>
      <w:bookmarkEnd w:id="99"/>
      <w:bookmarkStart w:id="100" w:name="_Toc184308070"/>
      <w:bookmarkEnd w:id="100"/>
      <w:bookmarkStart w:id="101" w:name="_Toc184312137"/>
      <w:bookmarkEnd w:id="101"/>
      <w:bookmarkStart w:id="102" w:name="_Toc184314472"/>
      <w:bookmarkEnd w:id="102"/>
      <w:bookmarkStart w:id="103" w:name="_Toc184308056"/>
      <w:bookmarkEnd w:id="103"/>
      <w:bookmarkStart w:id="104" w:name="_Toc184308092"/>
      <w:bookmarkEnd w:id="104"/>
      <w:bookmarkStart w:id="105" w:name="_Toc184314462"/>
      <w:bookmarkEnd w:id="105"/>
      <w:bookmarkStart w:id="106" w:name="_Toc184308044"/>
      <w:bookmarkEnd w:id="106"/>
      <w:bookmarkStart w:id="107" w:name="_Toc184314459"/>
      <w:bookmarkEnd w:id="107"/>
      <w:bookmarkStart w:id="108" w:name="_Toc184310342"/>
      <w:bookmarkEnd w:id="108"/>
      <w:bookmarkStart w:id="109" w:name="_Toc184310324"/>
      <w:bookmarkEnd w:id="109"/>
      <w:bookmarkStart w:id="110" w:name="_Toc184308077"/>
      <w:bookmarkEnd w:id="110"/>
      <w:bookmarkStart w:id="111" w:name="_Toc184313271"/>
      <w:bookmarkEnd w:id="111"/>
      <w:bookmarkStart w:id="112" w:name="_Toc184314464"/>
      <w:bookmarkEnd w:id="112"/>
      <w:bookmarkStart w:id="113" w:name="_Toc184314445"/>
      <w:bookmarkEnd w:id="113"/>
      <w:bookmarkStart w:id="114" w:name="_Toc184314467"/>
      <w:bookmarkEnd w:id="114"/>
      <w:bookmarkStart w:id="115" w:name="_Toc184314438"/>
      <w:bookmarkEnd w:id="115"/>
      <w:bookmarkStart w:id="116" w:name="_Toc184312090"/>
      <w:bookmarkEnd w:id="116"/>
      <w:bookmarkStart w:id="117" w:name="_Toc184310301"/>
      <w:bookmarkEnd w:id="117"/>
      <w:bookmarkStart w:id="118" w:name="_Toc184313300"/>
      <w:bookmarkEnd w:id="118"/>
      <w:bookmarkStart w:id="119" w:name="_Toc184313296"/>
      <w:bookmarkEnd w:id="119"/>
      <w:bookmarkStart w:id="120" w:name="_Toc184312071"/>
      <w:bookmarkEnd w:id="120"/>
      <w:bookmarkStart w:id="121" w:name="_Toc184312134"/>
      <w:bookmarkEnd w:id="121"/>
      <w:bookmarkStart w:id="122" w:name="_Toc184308099"/>
      <w:bookmarkEnd w:id="122"/>
      <w:bookmarkStart w:id="123" w:name="_Toc184310332"/>
      <w:bookmarkEnd w:id="123"/>
      <w:bookmarkStart w:id="124" w:name="_Toc184308079"/>
      <w:bookmarkEnd w:id="124"/>
      <w:bookmarkStart w:id="125" w:name="_Toc184310316"/>
      <w:bookmarkEnd w:id="125"/>
      <w:bookmarkStart w:id="126" w:name="_Toc184312115"/>
      <w:bookmarkEnd w:id="126"/>
      <w:bookmarkStart w:id="127" w:name="_Toc184313272"/>
      <w:bookmarkEnd w:id="127"/>
      <w:bookmarkStart w:id="128" w:name="_Toc184314451"/>
      <w:bookmarkEnd w:id="128"/>
      <w:bookmarkStart w:id="129" w:name="_Toc184313288"/>
      <w:bookmarkEnd w:id="129"/>
      <w:bookmarkStart w:id="130" w:name="_Toc184312093"/>
      <w:bookmarkEnd w:id="130"/>
      <w:bookmarkStart w:id="131" w:name="_Toc184313241"/>
      <w:bookmarkEnd w:id="131"/>
      <w:bookmarkStart w:id="132" w:name="_Toc184310310"/>
      <w:bookmarkEnd w:id="132"/>
      <w:bookmarkStart w:id="133" w:name="_Toc184313301"/>
      <w:bookmarkEnd w:id="133"/>
      <w:bookmarkStart w:id="134" w:name="_Toc184313308"/>
      <w:bookmarkEnd w:id="134"/>
      <w:bookmarkStart w:id="135" w:name="_Toc184314433"/>
      <w:bookmarkEnd w:id="135"/>
      <w:bookmarkStart w:id="136" w:name="_Toc184312113"/>
      <w:bookmarkEnd w:id="136"/>
      <w:bookmarkStart w:id="137" w:name="_Toc184308080"/>
      <w:bookmarkEnd w:id="137"/>
      <w:bookmarkStart w:id="138" w:name="_Toc184313298"/>
      <w:bookmarkEnd w:id="138"/>
      <w:bookmarkStart w:id="139" w:name="_Toc184314427"/>
      <w:bookmarkEnd w:id="139"/>
      <w:bookmarkStart w:id="140" w:name="_Toc184312110"/>
      <w:bookmarkEnd w:id="140"/>
      <w:bookmarkStart w:id="141" w:name="_Toc184310298"/>
      <w:bookmarkEnd w:id="141"/>
      <w:bookmarkStart w:id="142" w:name="_Toc184313252"/>
      <w:bookmarkEnd w:id="142"/>
      <w:bookmarkStart w:id="143" w:name="_Toc184312120"/>
      <w:bookmarkEnd w:id="143"/>
      <w:bookmarkStart w:id="144" w:name="_Toc184313278"/>
      <w:bookmarkEnd w:id="144"/>
      <w:bookmarkStart w:id="145" w:name="_Toc184308046"/>
      <w:bookmarkEnd w:id="145"/>
      <w:bookmarkStart w:id="146" w:name="_Toc184310302"/>
      <w:bookmarkEnd w:id="146"/>
      <w:bookmarkStart w:id="147" w:name="_Toc184310286"/>
      <w:bookmarkEnd w:id="147"/>
      <w:bookmarkStart w:id="148" w:name="_Toc184313250"/>
      <w:bookmarkEnd w:id="148"/>
      <w:bookmarkStart w:id="149" w:name="_Toc184313270"/>
      <w:bookmarkEnd w:id="149"/>
      <w:bookmarkStart w:id="150" w:name="_Toc184314430"/>
      <w:bookmarkEnd w:id="150"/>
      <w:bookmarkStart w:id="151" w:name="_Toc184313247"/>
      <w:bookmarkEnd w:id="151"/>
      <w:bookmarkStart w:id="152" w:name="_Toc184310312"/>
      <w:bookmarkEnd w:id="152"/>
      <w:bookmarkStart w:id="153" w:name="_Toc184310322"/>
      <w:bookmarkEnd w:id="153"/>
      <w:bookmarkStart w:id="154" w:name="_Toc184312097"/>
      <w:bookmarkEnd w:id="154"/>
      <w:bookmarkStart w:id="155" w:name="_Toc184308101"/>
      <w:bookmarkEnd w:id="155"/>
      <w:bookmarkStart w:id="156" w:name="_Toc184312114"/>
      <w:bookmarkEnd w:id="156"/>
      <w:bookmarkStart w:id="157" w:name="_Toc184310294"/>
      <w:bookmarkEnd w:id="157"/>
      <w:bookmarkStart w:id="158" w:name="_Toc184312084"/>
      <w:bookmarkEnd w:id="158"/>
      <w:bookmarkStart w:id="159" w:name="_Toc184312109"/>
      <w:bookmarkEnd w:id="159"/>
      <w:bookmarkStart w:id="160" w:name="_Toc184310282"/>
      <w:bookmarkEnd w:id="160"/>
      <w:bookmarkStart w:id="161" w:name="_Toc184310277"/>
      <w:bookmarkEnd w:id="161"/>
      <w:bookmarkStart w:id="162" w:name="_Toc184312135"/>
      <w:bookmarkEnd w:id="162"/>
      <w:bookmarkStart w:id="163" w:name="_Toc184314461"/>
      <w:bookmarkEnd w:id="163"/>
      <w:bookmarkStart w:id="164" w:name="_Toc184313274"/>
      <w:bookmarkEnd w:id="164"/>
      <w:bookmarkStart w:id="165" w:name="_Toc184313283"/>
      <w:bookmarkEnd w:id="165"/>
      <w:bookmarkStart w:id="166" w:name="_Toc184313254"/>
      <w:bookmarkEnd w:id="166"/>
      <w:bookmarkStart w:id="167" w:name="_Toc184314439"/>
      <w:bookmarkEnd w:id="167"/>
      <w:bookmarkStart w:id="168" w:name="_Toc184310311"/>
      <w:bookmarkEnd w:id="168"/>
      <w:bookmarkStart w:id="169" w:name="_Toc184313303"/>
      <w:bookmarkEnd w:id="169"/>
      <w:bookmarkStart w:id="170" w:name="_Toc184314419"/>
      <w:bookmarkEnd w:id="170"/>
      <w:bookmarkStart w:id="171" w:name="_Toc184313244"/>
      <w:bookmarkEnd w:id="171"/>
      <w:bookmarkStart w:id="172" w:name="_Toc184310288"/>
      <w:bookmarkEnd w:id="172"/>
      <w:bookmarkStart w:id="173" w:name="_Toc184314432"/>
      <w:bookmarkEnd w:id="173"/>
      <w:bookmarkStart w:id="174" w:name="_Toc184310285"/>
      <w:bookmarkEnd w:id="174"/>
      <w:bookmarkStart w:id="175" w:name="_Toc184313239"/>
      <w:bookmarkEnd w:id="175"/>
      <w:bookmarkStart w:id="176" w:name="_Toc184313265"/>
      <w:bookmarkEnd w:id="176"/>
      <w:bookmarkStart w:id="177" w:name="_Toc184314452"/>
      <w:bookmarkEnd w:id="177"/>
      <w:bookmarkStart w:id="178" w:name="_Toc184312138"/>
      <w:bookmarkEnd w:id="178"/>
      <w:bookmarkStart w:id="179" w:name="_Toc184310287"/>
      <w:bookmarkEnd w:id="179"/>
      <w:bookmarkStart w:id="180" w:name="_Toc184308098"/>
      <w:bookmarkEnd w:id="180"/>
      <w:bookmarkStart w:id="181" w:name="_Toc184310328"/>
      <w:bookmarkEnd w:id="181"/>
      <w:bookmarkStart w:id="182" w:name="_Toc184313256"/>
      <w:bookmarkEnd w:id="182"/>
      <w:bookmarkStart w:id="183" w:name="_Toc184312111"/>
      <w:bookmarkEnd w:id="183"/>
      <w:bookmarkStart w:id="184" w:name="_Toc184312087"/>
      <w:bookmarkEnd w:id="184"/>
      <w:bookmarkStart w:id="185" w:name="_Toc184308075"/>
      <w:bookmarkEnd w:id="185"/>
      <w:bookmarkStart w:id="186" w:name="_Toc184313280"/>
      <w:bookmarkEnd w:id="186"/>
      <w:bookmarkStart w:id="187" w:name="_Toc184314474"/>
      <w:bookmarkEnd w:id="187"/>
      <w:bookmarkStart w:id="188" w:name="_Toc184314477"/>
      <w:bookmarkEnd w:id="188"/>
      <w:bookmarkStart w:id="189" w:name="_Toc184313242"/>
      <w:bookmarkEnd w:id="189"/>
      <w:bookmarkStart w:id="190" w:name="_Toc184312122"/>
      <w:bookmarkEnd w:id="190"/>
      <w:bookmarkStart w:id="191" w:name="_Toc184313282"/>
      <w:bookmarkEnd w:id="191"/>
      <w:bookmarkStart w:id="192" w:name="_Toc184314463"/>
      <w:bookmarkEnd w:id="192"/>
      <w:bookmarkStart w:id="193" w:name="_Toc184312083"/>
      <w:bookmarkEnd w:id="193"/>
      <w:bookmarkStart w:id="194" w:name="_Toc184310331"/>
      <w:bookmarkEnd w:id="194"/>
      <w:bookmarkStart w:id="195" w:name="_Toc184313259"/>
      <w:bookmarkEnd w:id="195"/>
      <w:bookmarkStart w:id="196" w:name="_Toc184310280"/>
      <w:bookmarkEnd w:id="196"/>
      <w:bookmarkStart w:id="197" w:name="_Toc184310303"/>
      <w:bookmarkEnd w:id="197"/>
      <w:bookmarkStart w:id="198" w:name="_Toc184310296"/>
      <w:bookmarkEnd w:id="198"/>
      <w:bookmarkStart w:id="199" w:name="_Toc184313273"/>
      <w:bookmarkEnd w:id="199"/>
      <w:bookmarkStart w:id="200" w:name="_Toc184314455"/>
      <w:bookmarkEnd w:id="200"/>
      <w:bookmarkStart w:id="201" w:name="_Toc184312131"/>
      <w:bookmarkEnd w:id="201"/>
      <w:bookmarkStart w:id="202" w:name="_Toc184314468"/>
      <w:bookmarkEnd w:id="202"/>
      <w:bookmarkStart w:id="203" w:name="_Toc184312108"/>
      <w:bookmarkEnd w:id="203"/>
      <w:bookmarkStart w:id="204" w:name="_Toc184314411"/>
      <w:bookmarkEnd w:id="204"/>
      <w:bookmarkStart w:id="205" w:name="_Toc184313309"/>
      <w:bookmarkEnd w:id="205"/>
      <w:bookmarkStart w:id="206" w:name="_Toc184308088"/>
      <w:bookmarkEnd w:id="206"/>
      <w:bookmarkStart w:id="207" w:name="_Toc184312085"/>
      <w:bookmarkEnd w:id="207"/>
      <w:bookmarkStart w:id="208" w:name="_Toc184308086"/>
      <w:bookmarkEnd w:id="208"/>
      <w:bookmarkStart w:id="209" w:name="_Toc184308085"/>
      <w:bookmarkEnd w:id="209"/>
      <w:bookmarkStart w:id="210" w:name="_Toc184308040"/>
      <w:bookmarkEnd w:id="210"/>
      <w:bookmarkStart w:id="211" w:name="_Toc184314418"/>
      <w:bookmarkEnd w:id="211"/>
      <w:bookmarkStart w:id="212" w:name="_Toc184314441"/>
      <w:bookmarkEnd w:id="212"/>
      <w:bookmarkStart w:id="213" w:name="_Toc184314458"/>
      <w:bookmarkEnd w:id="213"/>
      <w:bookmarkStart w:id="214" w:name="_Toc184312088"/>
      <w:bookmarkEnd w:id="214"/>
      <w:bookmarkStart w:id="215" w:name="_Toc184314478"/>
      <w:bookmarkEnd w:id="215"/>
      <w:bookmarkStart w:id="216" w:name="_Toc184308069"/>
      <w:bookmarkEnd w:id="216"/>
      <w:bookmarkStart w:id="217" w:name="_Toc184312104"/>
      <w:bookmarkEnd w:id="217"/>
      <w:bookmarkStart w:id="218" w:name="_Toc184308050"/>
      <w:bookmarkEnd w:id="218"/>
      <w:bookmarkStart w:id="219" w:name="_Toc184312118"/>
      <w:bookmarkEnd w:id="219"/>
      <w:bookmarkStart w:id="220" w:name="_Toc184312096"/>
      <w:bookmarkEnd w:id="220"/>
      <w:bookmarkStart w:id="221" w:name="_Toc184310276"/>
      <w:bookmarkEnd w:id="221"/>
      <w:bookmarkStart w:id="222" w:name="_Toc184314415"/>
      <w:bookmarkEnd w:id="222"/>
      <w:bookmarkStart w:id="223" w:name="_Toc184313266"/>
      <w:bookmarkEnd w:id="223"/>
      <w:bookmarkStart w:id="224" w:name="_Toc184314440"/>
      <w:bookmarkEnd w:id="224"/>
      <w:bookmarkStart w:id="225" w:name="_Toc184313253"/>
      <w:bookmarkEnd w:id="225"/>
      <w:bookmarkStart w:id="226" w:name="_Toc184312075"/>
      <w:bookmarkEnd w:id="226"/>
      <w:bookmarkStart w:id="227" w:name="_Toc184314453"/>
      <w:bookmarkEnd w:id="227"/>
      <w:bookmarkStart w:id="228" w:name="_Toc184308065"/>
      <w:bookmarkEnd w:id="228"/>
      <w:bookmarkStart w:id="229" w:name="_Toc184310323"/>
      <w:bookmarkEnd w:id="229"/>
      <w:bookmarkStart w:id="230" w:name="_Toc184308054"/>
      <w:bookmarkEnd w:id="230"/>
      <w:bookmarkStart w:id="231" w:name="_Toc184314481"/>
      <w:bookmarkEnd w:id="231"/>
      <w:bookmarkStart w:id="232" w:name="_Toc184313248"/>
      <w:bookmarkEnd w:id="232"/>
      <w:bookmarkStart w:id="233" w:name="_Toc184312119"/>
      <w:bookmarkEnd w:id="233"/>
      <w:bookmarkStart w:id="234" w:name="_Toc184308104"/>
      <w:bookmarkEnd w:id="234"/>
      <w:bookmarkStart w:id="235" w:name="_Toc184314457"/>
      <w:bookmarkEnd w:id="235"/>
      <w:bookmarkStart w:id="236" w:name="_Toc184314456"/>
      <w:bookmarkEnd w:id="236"/>
      <w:bookmarkStart w:id="237" w:name="_Toc184310284"/>
      <w:bookmarkEnd w:id="237"/>
      <w:bookmarkStart w:id="238" w:name="_Toc184314423"/>
      <w:bookmarkEnd w:id="238"/>
      <w:bookmarkStart w:id="239" w:name="_Toc184314460"/>
      <w:bookmarkEnd w:id="239"/>
      <w:bookmarkStart w:id="240" w:name="_Toc184310308"/>
      <w:bookmarkEnd w:id="240"/>
      <w:bookmarkStart w:id="241" w:name="_Toc184314424"/>
      <w:bookmarkEnd w:id="241"/>
      <w:bookmarkStart w:id="242" w:name="_Toc184312106"/>
      <w:bookmarkEnd w:id="242"/>
      <w:bookmarkStart w:id="243" w:name="_Toc184313291"/>
      <w:bookmarkEnd w:id="243"/>
      <w:bookmarkStart w:id="244" w:name="_Toc184312082"/>
      <w:bookmarkEnd w:id="244"/>
      <w:bookmarkStart w:id="245" w:name="_Toc184310333"/>
      <w:bookmarkEnd w:id="245"/>
      <w:bookmarkStart w:id="246" w:name="_Toc184312074"/>
      <w:bookmarkEnd w:id="246"/>
      <w:bookmarkStart w:id="247" w:name="_Toc184308090"/>
      <w:bookmarkEnd w:id="247"/>
      <w:bookmarkStart w:id="248" w:name="_Toc184312125"/>
      <w:bookmarkEnd w:id="248"/>
      <w:bookmarkStart w:id="249" w:name="_Toc184308068"/>
      <w:bookmarkEnd w:id="249"/>
      <w:bookmarkStart w:id="250" w:name="_Toc184310292"/>
      <w:bookmarkEnd w:id="250"/>
      <w:bookmarkStart w:id="251" w:name="_Toc184308049"/>
      <w:bookmarkEnd w:id="251"/>
      <w:bookmarkStart w:id="252" w:name="_Toc184310340"/>
      <w:bookmarkEnd w:id="252"/>
      <w:bookmarkStart w:id="253" w:name="_Toc184310338"/>
      <w:bookmarkEnd w:id="253"/>
      <w:bookmarkStart w:id="254" w:name="_Toc184313295"/>
      <w:bookmarkEnd w:id="254"/>
      <w:bookmarkStart w:id="255" w:name="_Toc184310309"/>
      <w:bookmarkEnd w:id="255"/>
      <w:bookmarkStart w:id="256" w:name="_Toc184314446"/>
      <w:bookmarkEnd w:id="256"/>
      <w:bookmarkStart w:id="257" w:name="_Toc184308037"/>
      <w:bookmarkEnd w:id="257"/>
      <w:bookmarkStart w:id="258" w:name="_Toc184312079"/>
      <w:bookmarkEnd w:id="258"/>
      <w:bookmarkStart w:id="259" w:name="_Toc184312094"/>
      <w:bookmarkEnd w:id="259"/>
      <w:bookmarkStart w:id="260" w:name="_Toc184310330"/>
      <w:bookmarkEnd w:id="260"/>
      <w:bookmarkStart w:id="261" w:name="_Toc184312095"/>
      <w:bookmarkEnd w:id="261"/>
      <w:bookmarkStart w:id="262" w:name="_Toc184314420"/>
      <w:bookmarkEnd w:id="262"/>
      <w:bookmarkStart w:id="263" w:name="_Toc184312107"/>
      <w:bookmarkEnd w:id="263"/>
      <w:bookmarkStart w:id="264" w:name="_Toc184313305"/>
      <w:bookmarkEnd w:id="264"/>
      <w:bookmarkStart w:id="265" w:name="_Toc184308042"/>
      <w:bookmarkEnd w:id="265"/>
      <w:bookmarkStart w:id="266" w:name="_Toc184313246"/>
      <w:bookmarkEnd w:id="266"/>
      <w:bookmarkStart w:id="267" w:name="_Toc184310307"/>
      <w:bookmarkEnd w:id="267"/>
      <w:bookmarkStart w:id="268" w:name="_Toc184308087"/>
      <w:bookmarkEnd w:id="268"/>
      <w:bookmarkStart w:id="269" w:name="_Toc184312116"/>
      <w:bookmarkEnd w:id="269"/>
      <w:bookmarkStart w:id="270" w:name="_Toc184308084"/>
      <w:bookmarkEnd w:id="270"/>
      <w:bookmarkStart w:id="271" w:name="_Toc184313284"/>
      <w:bookmarkEnd w:id="271"/>
      <w:bookmarkStart w:id="272" w:name="_Toc184314417"/>
      <w:bookmarkEnd w:id="272"/>
      <w:bookmarkStart w:id="273" w:name="_Toc184310344"/>
      <w:bookmarkEnd w:id="273"/>
      <w:bookmarkStart w:id="274" w:name="_Toc184308062"/>
      <w:bookmarkEnd w:id="274"/>
      <w:bookmarkStart w:id="275" w:name="_Toc184308051"/>
      <w:bookmarkEnd w:id="275"/>
      <w:bookmarkStart w:id="276" w:name="_Toc184314469"/>
      <w:bookmarkEnd w:id="276"/>
      <w:bookmarkStart w:id="277" w:name="_Toc184308082"/>
      <w:bookmarkEnd w:id="277"/>
      <w:bookmarkStart w:id="278" w:name="_Toc184308091"/>
      <w:bookmarkEnd w:id="278"/>
      <w:bookmarkStart w:id="279" w:name="_Toc184310272"/>
      <w:bookmarkEnd w:id="279"/>
      <w:bookmarkStart w:id="280" w:name="_Toc184310291"/>
      <w:bookmarkEnd w:id="280"/>
      <w:bookmarkStart w:id="281" w:name="_Toc184308039"/>
      <w:bookmarkEnd w:id="281"/>
      <w:bookmarkStart w:id="282" w:name="_Toc184314470"/>
      <w:bookmarkEnd w:id="282"/>
      <w:bookmarkStart w:id="283" w:name="_Toc184313279"/>
      <w:bookmarkEnd w:id="283"/>
      <w:bookmarkStart w:id="284" w:name="_Toc184314426"/>
      <w:bookmarkEnd w:id="284"/>
      <w:bookmarkStart w:id="285" w:name="_Toc184313310"/>
      <w:bookmarkEnd w:id="285"/>
      <w:bookmarkStart w:id="286" w:name="_Toc184314414"/>
      <w:bookmarkEnd w:id="286"/>
      <w:bookmarkStart w:id="287" w:name="_Toc184308055"/>
      <w:bookmarkEnd w:id="287"/>
      <w:bookmarkStart w:id="288" w:name="_Toc184313249"/>
      <w:bookmarkEnd w:id="288"/>
      <w:bookmarkStart w:id="289" w:name="_Toc184310319"/>
      <w:bookmarkEnd w:id="289"/>
      <w:bookmarkStart w:id="290" w:name="_Toc184314475"/>
      <w:bookmarkEnd w:id="290"/>
      <w:bookmarkStart w:id="291" w:name="_Toc184308102"/>
      <w:bookmarkEnd w:id="291"/>
      <w:bookmarkStart w:id="292" w:name="_Toc184314435"/>
      <w:bookmarkEnd w:id="292"/>
      <w:bookmarkStart w:id="293" w:name="_Toc184308053"/>
      <w:bookmarkEnd w:id="293"/>
      <w:bookmarkStart w:id="294" w:name="_Toc184312126"/>
      <w:bookmarkEnd w:id="294"/>
      <w:bookmarkStart w:id="295" w:name="_Toc184308093"/>
      <w:bookmarkEnd w:id="295"/>
      <w:bookmarkStart w:id="296" w:name="_Toc184308107"/>
      <w:bookmarkEnd w:id="296"/>
      <w:bookmarkStart w:id="297" w:name="_Toc184310318"/>
      <w:bookmarkEnd w:id="297"/>
      <w:bookmarkStart w:id="298" w:name="_Toc184312132"/>
      <w:bookmarkEnd w:id="298"/>
      <w:bookmarkStart w:id="299" w:name="_Toc184310320"/>
      <w:bookmarkEnd w:id="299"/>
      <w:bookmarkStart w:id="300" w:name="_Toc184310278"/>
      <w:bookmarkEnd w:id="300"/>
      <w:bookmarkStart w:id="301" w:name="_Toc184313258"/>
      <w:bookmarkEnd w:id="301"/>
      <w:bookmarkStart w:id="302" w:name="_Toc184308047"/>
      <w:bookmarkEnd w:id="302"/>
      <w:bookmarkStart w:id="303" w:name="_Toc184310341"/>
      <w:bookmarkEnd w:id="303"/>
      <w:bookmarkStart w:id="304" w:name="_Toc184313269"/>
      <w:bookmarkEnd w:id="304"/>
      <w:bookmarkStart w:id="305" w:name="_Toc184310336"/>
      <w:bookmarkEnd w:id="305"/>
      <w:bookmarkStart w:id="306" w:name="_Toc184313306"/>
      <w:bookmarkEnd w:id="306"/>
      <w:bookmarkStart w:id="307" w:name="_Toc184314450"/>
      <w:bookmarkEnd w:id="307"/>
      <w:bookmarkStart w:id="308" w:name="_Toc184312136"/>
      <w:bookmarkEnd w:id="308"/>
      <w:bookmarkStart w:id="309" w:name="_Toc184310304"/>
      <w:bookmarkEnd w:id="309"/>
      <w:bookmarkStart w:id="310" w:name="_Toc184308059"/>
      <w:bookmarkEnd w:id="310"/>
      <w:bookmarkStart w:id="311" w:name="_Toc184312100"/>
      <w:bookmarkEnd w:id="311"/>
      <w:bookmarkStart w:id="312" w:name="_Toc184310327"/>
      <w:bookmarkEnd w:id="312"/>
      <w:bookmarkStart w:id="313" w:name="_Toc184312072"/>
      <w:bookmarkEnd w:id="313"/>
      <w:bookmarkStart w:id="314" w:name="_Toc184313275"/>
      <w:bookmarkEnd w:id="314"/>
      <w:bookmarkStart w:id="315" w:name="_Toc184313287"/>
      <w:bookmarkEnd w:id="315"/>
      <w:bookmarkStart w:id="316" w:name="_Toc184308036"/>
      <w:bookmarkEnd w:id="316"/>
      <w:bookmarkStart w:id="317" w:name="_Toc184310299"/>
      <w:bookmarkEnd w:id="317"/>
      <w:bookmarkStart w:id="318" w:name="_Toc184313289"/>
      <w:bookmarkEnd w:id="318"/>
      <w:bookmarkStart w:id="319" w:name="_Toc184313264"/>
      <w:bookmarkEnd w:id="319"/>
      <w:bookmarkStart w:id="320" w:name="_Toc184314416"/>
      <w:bookmarkEnd w:id="320"/>
      <w:bookmarkStart w:id="321" w:name="_Toc184310274"/>
      <w:bookmarkEnd w:id="321"/>
      <w:bookmarkStart w:id="322" w:name="_Toc184312068"/>
      <w:bookmarkEnd w:id="322"/>
      <w:bookmarkStart w:id="323" w:name="_Toc184314413"/>
      <w:bookmarkEnd w:id="323"/>
      <w:bookmarkStart w:id="324" w:name="_Toc184308066"/>
      <w:bookmarkEnd w:id="324"/>
      <w:bookmarkStart w:id="325" w:name="_Toc184314437"/>
      <w:bookmarkEnd w:id="325"/>
      <w:bookmarkStart w:id="326" w:name="_Toc184312070"/>
      <w:bookmarkEnd w:id="326"/>
      <w:bookmarkStart w:id="327" w:name="_Toc184308074"/>
      <w:bookmarkEnd w:id="327"/>
      <w:bookmarkStart w:id="328" w:name="_Toc184312129"/>
      <w:bookmarkEnd w:id="328"/>
      <w:bookmarkStart w:id="329" w:name="_Toc184313297"/>
      <w:bookmarkEnd w:id="329"/>
      <w:bookmarkStart w:id="330" w:name="_Toc184310325"/>
      <w:bookmarkEnd w:id="330"/>
      <w:bookmarkStart w:id="331" w:name="_Toc184313245"/>
      <w:bookmarkEnd w:id="331"/>
      <w:bookmarkStart w:id="332" w:name="_Toc184310313"/>
      <w:bookmarkEnd w:id="332"/>
      <w:bookmarkStart w:id="333" w:name="_Toc184312124"/>
      <w:bookmarkEnd w:id="333"/>
      <w:bookmarkStart w:id="334" w:name="_Toc184314476"/>
      <w:bookmarkEnd w:id="334"/>
      <w:bookmarkStart w:id="335" w:name="_Toc184308060"/>
      <w:bookmarkEnd w:id="335"/>
      <w:bookmarkStart w:id="336" w:name="_Toc184308061"/>
      <w:bookmarkEnd w:id="336"/>
      <w:bookmarkStart w:id="337" w:name="_Toc184308081"/>
      <w:bookmarkEnd w:id="337"/>
      <w:bookmarkStart w:id="338" w:name="_Toc184314447"/>
      <w:bookmarkEnd w:id="338"/>
      <w:bookmarkStart w:id="339" w:name="_Toc184314448"/>
      <w:bookmarkEnd w:id="339"/>
      <w:bookmarkStart w:id="340" w:name="_Toc184313238"/>
      <w:bookmarkEnd w:id="340"/>
      <w:bookmarkStart w:id="341" w:name="_Toc184313285"/>
      <w:bookmarkEnd w:id="341"/>
      <w:bookmarkStart w:id="342" w:name="_Toc184310335"/>
      <w:bookmarkEnd w:id="342"/>
      <w:bookmarkStart w:id="343" w:name="_Toc184312086"/>
      <w:bookmarkEnd w:id="343"/>
      <w:bookmarkStart w:id="344" w:name="_Toc184314442"/>
      <w:bookmarkEnd w:id="344"/>
      <w:bookmarkStart w:id="345" w:name="_Toc184308103"/>
      <w:bookmarkEnd w:id="345"/>
      <w:bookmarkStart w:id="346" w:name="_Toc184314465"/>
      <w:bookmarkEnd w:id="346"/>
      <w:bookmarkStart w:id="347" w:name="_Toc184308038"/>
      <w:bookmarkEnd w:id="347"/>
      <w:bookmarkStart w:id="348" w:name="_Toc184312105"/>
      <w:bookmarkEnd w:id="348"/>
      <w:bookmarkStart w:id="349" w:name="_Toc184312103"/>
      <w:bookmarkEnd w:id="349"/>
      <w:bookmarkStart w:id="350" w:name="_Toc184308078"/>
      <w:bookmarkEnd w:id="350"/>
      <w:bookmarkStart w:id="351" w:name="_Toc184308108"/>
      <w:bookmarkEnd w:id="351"/>
      <w:bookmarkStart w:id="352" w:name="_Toc184310273"/>
      <w:bookmarkEnd w:id="352"/>
      <w:bookmarkStart w:id="353" w:name="_Toc184314429"/>
      <w:bookmarkEnd w:id="353"/>
      <w:bookmarkStart w:id="354" w:name="_Toc184308071"/>
      <w:bookmarkEnd w:id="354"/>
      <w:bookmarkStart w:id="355" w:name="_Toc184313290"/>
      <w:bookmarkEnd w:id="355"/>
      <w:bookmarkStart w:id="356" w:name="_Toc184313276"/>
      <w:bookmarkEnd w:id="356"/>
      <w:bookmarkStart w:id="357" w:name="_Toc184310321"/>
      <w:bookmarkEnd w:id="357"/>
      <w:bookmarkStart w:id="358" w:name="_Toc184310326"/>
      <w:bookmarkEnd w:id="358"/>
      <w:bookmarkStart w:id="359" w:name="_Toc184314444"/>
      <w:bookmarkEnd w:id="359"/>
      <w:bookmarkStart w:id="360" w:name="_Toc184312130"/>
      <w:bookmarkEnd w:id="360"/>
      <w:bookmarkStart w:id="361" w:name="_Toc184308045"/>
      <w:bookmarkEnd w:id="361"/>
      <w:bookmarkStart w:id="362" w:name="_Toc184310343"/>
      <w:bookmarkEnd w:id="362"/>
      <w:bookmarkStart w:id="363" w:name="_Toc184312121"/>
      <w:bookmarkEnd w:id="363"/>
      <w:bookmarkStart w:id="364" w:name="_Toc184314479"/>
      <w:bookmarkEnd w:id="364"/>
      <w:bookmarkStart w:id="365" w:name="_Toc184312089"/>
      <w:bookmarkEnd w:id="365"/>
      <w:bookmarkStart w:id="366" w:name="_Toc184314410"/>
      <w:bookmarkEnd w:id="366"/>
      <w:bookmarkStart w:id="367" w:name="_Toc184313294"/>
      <w:bookmarkEnd w:id="367"/>
      <w:bookmarkStart w:id="368" w:name="_Toc184310300"/>
      <w:bookmarkEnd w:id="368"/>
      <w:bookmarkStart w:id="369" w:name="_Toc184313299"/>
      <w:bookmarkEnd w:id="369"/>
      <w:bookmarkStart w:id="370" w:name="_Toc184312112"/>
      <w:bookmarkEnd w:id="370"/>
      <w:bookmarkStart w:id="371" w:name="_Toc184314421"/>
      <w:bookmarkEnd w:id="371"/>
      <w:bookmarkStart w:id="372" w:name="_Toc184312101"/>
      <w:bookmarkEnd w:id="372"/>
      <w:bookmarkStart w:id="373" w:name="_Toc184314471"/>
      <w:bookmarkEnd w:id="373"/>
      <w:bookmarkStart w:id="374" w:name="_Toc184308058"/>
      <w:bookmarkEnd w:id="374"/>
      <w:bookmarkStart w:id="375" w:name="_Toc184314428"/>
      <w:bookmarkEnd w:id="375"/>
      <w:bookmarkStart w:id="376" w:name="_Toc184308048"/>
      <w:bookmarkEnd w:id="376"/>
      <w:bookmarkStart w:id="377" w:name="_Toc184313277"/>
      <w:bookmarkEnd w:id="377"/>
      <w:bookmarkStart w:id="378" w:name="_Toc184308064"/>
      <w:bookmarkEnd w:id="378"/>
      <w:bookmarkStart w:id="379" w:name="_Toc184310293"/>
      <w:bookmarkEnd w:id="379"/>
      <w:bookmarkStart w:id="380" w:name="_Toc184313293"/>
      <w:bookmarkEnd w:id="380"/>
      <w:bookmarkStart w:id="381" w:name="_Toc184314412"/>
      <w:bookmarkEnd w:id="381"/>
      <w:bookmarkStart w:id="382" w:name="_Toc184312117"/>
      <w:bookmarkEnd w:id="382"/>
      <w:bookmarkStart w:id="383" w:name="_Toc184314482"/>
      <w:bookmarkEnd w:id="383"/>
      <w:bookmarkStart w:id="384" w:name="_Toc184313267"/>
      <w:bookmarkEnd w:id="384"/>
      <w:bookmarkStart w:id="385" w:name="_Toc184312102"/>
      <w:bookmarkEnd w:id="385"/>
      <w:bookmarkStart w:id="386" w:name="_Toc184310290"/>
      <w:bookmarkEnd w:id="386"/>
      <w:bookmarkStart w:id="387" w:name="_Toc184312078"/>
      <w:bookmarkEnd w:id="387"/>
      <w:bookmarkStart w:id="388" w:name="_Toc184313257"/>
      <w:bookmarkEnd w:id="388"/>
      <w:bookmarkStart w:id="389" w:name="_Toc184308095"/>
      <w:bookmarkEnd w:id="389"/>
      <w:bookmarkStart w:id="390" w:name="_Toc184314473"/>
      <w:bookmarkEnd w:id="390"/>
      <w:bookmarkStart w:id="391" w:name="_Toc184313281"/>
      <w:bookmarkEnd w:id="391"/>
      <w:bookmarkStart w:id="392" w:name="_Toc184312069"/>
      <w:bookmarkEnd w:id="392"/>
      <w:bookmarkStart w:id="393" w:name="_Toc184308076"/>
      <w:bookmarkEnd w:id="393"/>
      <w:bookmarkStart w:id="394" w:name="_Toc184314434"/>
      <w:bookmarkEnd w:id="394"/>
      <w:bookmarkStart w:id="395" w:name="_Toc184310306"/>
      <w:bookmarkEnd w:id="395"/>
      <w:bookmarkStart w:id="396" w:name="_Toc184313286"/>
      <w:bookmarkEnd w:id="396"/>
      <w:bookmarkStart w:id="397" w:name="_Toc184310295"/>
      <w:bookmarkEnd w:id="397"/>
      <w:bookmarkStart w:id="398" w:name="_Toc184312091"/>
      <w:bookmarkEnd w:id="398"/>
      <w:bookmarkStart w:id="399" w:name="_Toc184308100"/>
      <w:bookmarkEnd w:id="399"/>
      <w:bookmarkStart w:id="400" w:name="_Toc184308067"/>
      <w:bookmarkEnd w:id="400"/>
      <w:bookmarkStart w:id="401" w:name="_Toc184308063"/>
      <w:bookmarkEnd w:id="401"/>
      <w:bookmarkStart w:id="402" w:name="_Toc184308043"/>
      <w:bookmarkEnd w:id="402"/>
      <w:bookmarkStart w:id="403" w:name="_Toc184308096"/>
      <w:bookmarkEnd w:id="403"/>
      <w:bookmarkStart w:id="404" w:name="_Toc184310305"/>
      <w:bookmarkEnd w:id="404"/>
      <w:bookmarkStart w:id="405" w:name="_Toc184308083"/>
      <w:bookmarkEnd w:id="405"/>
      <w:bookmarkStart w:id="406" w:name="_Toc184308089"/>
      <w:bookmarkEnd w:id="406"/>
      <w:bookmarkStart w:id="407" w:name="_Toc184312080"/>
      <w:bookmarkEnd w:id="407"/>
      <w:bookmarkStart w:id="408" w:name="_Toc184314480"/>
      <w:bookmarkEnd w:id="408"/>
      <w:bookmarkStart w:id="409" w:name="_Toc184308094"/>
      <w:bookmarkEnd w:id="409"/>
      <w:bookmarkStart w:id="410" w:name="_Toc184313251"/>
      <w:bookmarkEnd w:id="410"/>
      <w:bookmarkStart w:id="411" w:name="_Toc184313268"/>
      <w:bookmarkEnd w:id="411"/>
      <w:bookmarkStart w:id="412" w:name="_Toc184312133"/>
      <w:bookmarkEnd w:id="412"/>
      <w:bookmarkStart w:id="413" w:name="_Toc184312067"/>
      <w:bookmarkEnd w:id="413"/>
      <w:bookmarkStart w:id="414" w:name="_Toc184308106"/>
      <w:bookmarkEnd w:id="414"/>
      <w:bookmarkStart w:id="415" w:name="_Toc184313240"/>
      <w:bookmarkEnd w:id="415"/>
      <w:bookmarkStart w:id="416" w:name="_Toc184310281"/>
      <w:bookmarkEnd w:id="416"/>
      <w:bookmarkStart w:id="417" w:name="_Toc184313255"/>
      <w:bookmarkEnd w:id="417"/>
      <w:bookmarkStart w:id="418" w:name="_Toc184308105"/>
      <w:bookmarkEnd w:id="418"/>
      <w:bookmarkStart w:id="419" w:name="_Toc184314425"/>
      <w:bookmarkEnd w:id="419"/>
      <w:bookmarkStart w:id="420" w:name="_Toc184312081"/>
      <w:bookmarkEnd w:id="420"/>
      <w:bookmarkStart w:id="421" w:name="_Toc184313307"/>
      <w:bookmarkEnd w:id="421"/>
      <w:bookmarkStart w:id="422" w:name="_Toc184313262"/>
      <w:bookmarkEnd w:id="422"/>
      <w:bookmarkStart w:id="423" w:name="_Toc184313263"/>
      <w:bookmarkEnd w:id="423"/>
      <w:bookmarkStart w:id="424" w:name="_Toc184310279"/>
      <w:bookmarkEnd w:id="424"/>
      <w:r>
        <w:rPr>
          <w:rFonts w:hint="eastAsia" w:ascii="宋体" w:hAnsi="宋体" w:cs="宋体"/>
          <w:b/>
          <w:color w:val="auto"/>
          <w:sz w:val="36"/>
          <w:szCs w:val="36"/>
          <w:highlight w:val="none"/>
        </w:rPr>
        <w:t>评标办法</w:t>
      </w:r>
    </w:p>
    <w:p w14:paraId="49AA775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5668"/>
        <w:gridCol w:w="535"/>
        <w:gridCol w:w="960"/>
        <w:gridCol w:w="1556"/>
      </w:tblGrid>
      <w:tr w14:paraId="50C6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14:paraId="4FA4E4E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53" w:type="pct"/>
            <w:vAlign w:val="center"/>
          </w:tcPr>
          <w:p w14:paraId="3240B19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评标标准</w:t>
            </w:r>
          </w:p>
        </w:tc>
        <w:tc>
          <w:tcPr>
            <w:tcW w:w="288" w:type="pct"/>
            <w:vAlign w:val="center"/>
          </w:tcPr>
          <w:p w14:paraId="5CDCF96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517" w:type="pct"/>
            <w:vAlign w:val="center"/>
          </w:tcPr>
          <w:p w14:paraId="4D415370">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838" w:type="pct"/>
          </w:tcPr>
          <w:p w14:paraId="61938735">
            <w:pPr>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投标文件中评标标准相应的商务技术资料目录*</w:t>
            </w:r>
          </w:p>
        </w:tc>
      </w:tr>
      <w:tr w14:paraId="7EBA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14:paraId="6B4EE719">
            <w:pPr>
              <w:pStyle w:val="33"/>
              <w:snapToGrid w:val="0"/>
              <w:spacing w:line="360" w:lineRule="auto"/>
              <w:jc w:val="center"/>
              <w:rPr>
                <w:rFonts w:hAnsi="宋体" w:cs="宋体"/>
                <w:color w:val="auto"/>
                <w:highlight w:val="none"/>
              </w:rPr>
            </w:pPr>
            <w:r>
              <w:rPr>
                <w:rFonts w:hint="eastAsia" w:hAnsi="宋体" w:cs="宋体"/>
                <w:color w:val="auto"/>
                <w:highlight w:val="none"/>
              </w:rPr>
              <w:t>1</w:t>
            </w:r>
          </w:p>
        </w:tc>
        <w:tc>
          <w:tcPr>
            <w:tcW w:w="3053" w:type="pct"/>
            <w:vAlign w:val="center"/>
          </w:tcPr>
          <w:p w14:paraId="1B70680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2021年1月1日起（以合同签订时间为准），供应商具有同类项目（软件运维）业绩情况：每提供一个业绩证明材料得1分，</w:t>
            </w:r>
            <w:r>
              <w:rPr>
                <w:rFonts w:hint="eastAsia" w:ascii="宋体" w:hAnsi="宋体" w:cs="宋体"/>
                <w:bCs/>
                <w:color w:val="auto"/>
                <w:szCs w:val="21"/>
                <w:highlight w:val="none"/>
              </w:rPr>
              <w:t>最高得2分</w:t>
            </w:r>
            <w:r>
              <w:rPr>
                <w:rFonts w:hint="eastAsia" w:ascii="宋体" w:hAnsi="宋体" w:cs="宋体"/>
                <w:color w:val="auto"/>
                <w:szCs w:val="21"/>
                <w:highlight w:val="none"/>
              </w:rPr>
              <w:t>。</w:t>
            </w:r>
          </w:p>
          <w:p w14:paraId="765793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（业绩证明材料：提供合同扫描件加盖公章）</w:t>
            </w:r>
          </w:p>
        </w:tc>
        <w:tc>
          <w:tcPr>
            <w:tcW w:w="288" w:type="pct"/>
            <w:vAlign w:val="center"/>
          </w:tcPr>
          <w:p w14:paraId="60DE8A1C">
            <w:pPr>
              <w:pStyle w:val="33"/>
              <w:snapToGrid w:val="0"/>
              <w:spacing w:line="360" w:lineRule="auto"/>
              <w:jc w:val="center"/>
              <w:rPr>
                <w:rFonts w:hAnsi="宋体" w:cs="宋体"/>
                <w:color w:val="auto"/>
                <w:kern w:val="0"/>
                <w:highlight w:val="none"/>
              </w:rPr>
            </w:pPr>
            <w:r>
              <w:rPr>
                <w:rFonts w:hint="eastAsia" w:hAnsi="宋体" w:cs="宋体"/>
                <w:color w:val="auto"/>
                <w:kern w:val="0"/>
                <w:highlight w:val="none"/>
              </w:rPr>
              <w:t>2</w:t>
            </w:r>
          </w:p>
        </w:tc>
        <w:tc>
          <w:tcPr>
            <w:tcW w:w="517" w:type="pct"/>
            <w:vAlign w:val="center"/>
          </w:tcPr>
          <w:p w14:paraId="388C24C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838" w:type="pct"/>
            <w:vAlign w:val="center"/>
          </w:tcPr>
          <w:p w14:paraId="6F7F729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业绩</w:t>
            </w:r>
          </w:p>
        </w:tc>
      </w:tr>
      <w:tr w14:paraId="01ED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14:paraId="12775C6C">
            <w:pPr>
              <w:pStyle w:val="33"/>
              <w:snapToGrid w:val="0"/>
              <w:spacing w:line="360" w:lineRule="auto"/>
              <w:jc w:val="center"/>
              <w:rPr>
                <w:rFonts w:hAnsi="宋体" w:cs="宋体"/>
                <w:color w:val="auto"/>
                <w:kern w:val="0"/>
                <w:highlight w:val="none"/>
              </w:rPr>
            </w:pPr>
            <w:r>
              <w:rPr>
                <w:rFonts w:hint="eastAsia" w:hAnsi="宋体" w:cs="宋体"/>
                <w:color w:val="auto"/>
                <w:highlight w:val="none"/>
              </w:rPr>
              <w:t>2</w:t>
            </w:r>
          </w:p>
        </w:tc>
        <w:tc>
          <w:tcPr>
            <w:tcW w:w="3053" w:type="pct"/>
            <w:vAlign w:val="center"/>
          </w:tcPr>
          <w:p w14:paraId="69E5A69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具有有效期内的ISO9001质量管理体系证书、ISO14001环境管理体系认证、ISO45001职业健康安全管理体系认证、ISO27001信息安全管理体系认证、ISO20000信息技术服务管理体系认证证书。每提供一个证书得1分，满分5分。提供证书扫描件，加盖公章，不符合要求不得分。</w:t>
            </w:r>
          </w:p>
        </w:tc>
        <w:tc>
          <w:tcPr>
            <w:tcW w:w="288" w:type="pct"/>
            <w:vAlign w:val="center"/>
          </w:tcPr>
          <w:p w14:paraId="0C98E641">
            <w:pPr>
              <w:pStyle w:val="33"/>
              <w:snapToGrid w:val="0"/>
              <w:spacing w:line="360" w:lineRule="auto"/>
              <w:jc w:val="center"/>
              <w:rPr>
                <w:rFonts w:hAnsi="宋体" w:cs="宋体"/>
                <w:color w:val="auto"/>
                <w:kern w:val="0"/>
                <w:highlight w:val="none"/>
              </w:rPr>
            </w:pPr>
            <w:r>
              <w:rPr>
                <w:rFonts w:hint="eastAsia" w:hAnsi="宋体" w:cs="宋体"/>
                <w:bCs/>
                <w:color w:val="auto"/>
                <w:highlight w:val="none"/>
              </w:rPr>
              <w:t>5</w:t>
            </w:r>
          </w:p>
        </w:tc>
        <w:tc>
          <w:tcPr>
            <w:tcW w:w="517" w:type="pct"/>
            <w:vAlign w:val="center"/>
          </w:tcPr>
          <w:p w14:paraId="054E7A7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838" w:type="pct"/>
            <w:vAlign w:val="center"/>
          </w:tcPr>
          <w:p w14:paraId="5394D37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认证证书</w:t>
            </w:r>
          </w:p>
        </w:tc>
      </w:tr>
      <w:tr w14:paraId="1818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14:paraId="62C3C33E">
            <w:pPr>
              <w:pStyle w:val="33"/>
              <w:snapToGrid w:val="0"/>
              <w:spacing w:line="360" w:lineRule="auto"/>
              <w:jc w:val="center"/>
              <w:rPr>
                <w:rFonts w:hAnsi="宋体" w:cs="宋体"/>
                <w:color w:val="auto"/>
                <w:highlight w:val="none"/>
              </w:rPr>
            </w:pPr>
            <w:r>
              <w:rPr>
                <w:rFonts w:hint="eastAsia" w:hAnsi="宋体" w:cs="宋体"/>
                <w:color w:val="auto"/>
                <w:highlight w:val="none"/>
              </w:rPr>
              <w:t>3</w:t>
            </w:r>
          </w:p>
        </w:tc>
        <w:tc>
          <w:tcPr>
            <w:tcW w:w="3053" w:type="pct"/>
            <w:vAlign w:val="center"/>
          </w:tcPr>
          <w:p w14:paraId="1AFBC2B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投标人具有数据可视化平台相关软件著作权证书，提供证书扫描件，加盖公章，不符合要求不得分。</w:t>
            </w:r>
          </w:p>
        </w:tc>
        <w:tc>
          <w:tcPr>
            <w:tcW w:w="288" w:type="pct"/>
            <w:vAlign w:val="center"/>
          </w:tcPr>
          <w:p w14:paraId="028D9E81">
            <w:pPr>
              <w:pStyle w:val="33"/>
              <w:snapToGrid w:val="0"/>
              <w:spacing w:line="360" w:lineRule="auto"/>
              <w:jc w:val="center"/>
              <w:rPr>
                <w:rFonts w:hAnsi="宋体" w:cs="宋体"/>
                <w:bCs/>
                <w:color w:val="auto"/>
                <w:highlight w:val="none"/>
              </w:rPr>
            </w:pPr>
            <w:r>
              <w:rPr>
                <w:rFonts w:hint="eastAsia" w:hAnsi="宋体" w:cs="宋体"/>
                <w:color w:val="auto"/>
                <w:kern w:val="0"/>
                <w:highlight w:val="none"/>
              </w:rPr>
              <w:t>3</w:t>
            </w:r>
          </w:p>
        </w:tc>
        <w:tc>
          <w:tcPr>
            <w:tcW w:w="517" w:type="pct"/>
            <w:vAlign w:val="center"/>
          </w:tcPr>
          <w:p w14:paraId="124A303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838" w:type="pct"/>
            <w:vAlign w:val="center"/>
          </w:tcPr>
          <w:p w14:paraId="4CBA005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著作权登记</w:t>
            </w:r>
          </w:p>
        </w:tc>
      </w:tr>
      <w:tr w14:paraId="6C05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146C72DD">
            <w:pPr>
              <w:pStyle w:val="33"/>
              <w:snapToGrid w:val="0"/>
              <w:spacing w:line="360" w:lineRule="auto"/>
              <w:jc w:val="center"/>
              <w:rPr>
                <w:rFonts w:hAnsi="宋体" w:cs="宋体"/>
                <w:color w:val="auto"/>
                <w:highlight w:val="none"/>
              </w:rPr>
            </w:pPr>
            <w:r>
              <w:rPr>
                <w:rFonts w:hint="eastAsia" w:hAnsi="宋体" w:cs="宋体"/>
                <w:color w:val="auto"/>
                <w:highlight w:val="none"/>
              </w:rPr>
              <w:t>4</w:t>
            </w:r>
          </w:p>
        </w:tc>
        <w:tc>
          <w:tcPr>
            <w:tcW w:w="3053" w:type="pct"/>
            <w:vAlign w:val="center"/>
          </w:tcPr>
          <w:p w14:paraId="60EAE16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投标人对于现状的理解及对于项目的整体理解、实际需求以及关键技术的理解等。（评分范围：5，4，3，2，1，0）</w:t>
            </w:r>
          </w:p>
        </w:tc>
        <w:tc>
          <w:tcPr>
            <w:tcW w:w="288" w:type="pct"/>
            <w:vAlign w:val="center"/>
          </w:tcPr>
          <w:p w14:paraId="66F9FADA">
            <w:pPr>
              <w:pStyle w:val="33"/>
              <w:snapToGrid w:val="0"/>
              <w:spacing w:line="360" w:lineRule="auto"/>
              <w:jc w:val="center"/>
              <w:rPr>
                <w:rFonts w:hAnsi="宋体" w:cs="宋体"/>
                <w:bCs/>
                <w:color w:val="auto"/>
                <w:highlight w:val="none"/>
              </w:rPr>
            </w:pPr>
            <w:r>
              <w:rPr>
                <w:rFonts w:hint="eastAsia" w:hAnsi="宋体" w:cs="宋体"/>
                <w:bCs/>
                <w:color w:val="auto"/>
                <w:highlight w:val="none"/>
              </w:rPr>
              <w:t>5</w:t>
            </w:r>
          </w:p>
        </w:tc>
        <w:tc>
          <w:tcPr>
            <w:tcW w:w="517" w:type="pct"/>
            <w:vAlign w:val="center"/>
          </w:tcPr>
          <w:p w14:paraId="64AE88D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restart"/>
            <w:vAlign w:val="center"/>
          </w:tcPr>
          <w:p w14:paraId="65DB866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技术方案</w:t>
            </w:r>
          </w:p>
        </w:tc>
      </w:tr>
      <w:tr w14:paraId="6606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6FB42216">
            <w:pPr>
              <w:pStyle w:val="33"/>
              <w:snapToGrid w:val="0"/>
              <w:spacing w:line="360" w:lineRule="auto"/>
              <w:jc w:val="center"/>
              <w:rPr>
                <w:rFonts w:hAnsi="宋体" w:cs="宋体"/>
                <w:color w:val="auto"/>
                <w:highlight w:val="none"/>
              </w:rPr>
            </w:pPr>
            <w:r>
              <w:rPr>
                <w:rFonts w:hint="eastAsia" w:hAnsi="宋体" w:cs="宋体"/>
                <w:color w:val="auto"/>
                <w:highlight w:val="none"/>
              </w:rPr>
              <w:t>5</w:t>
            </w:r>
          </w:p>
        </w:tc>
        <w:tc>
          <w:tcPr>
            <w:tcW w:w="3053" w:type="pct"/>
            <w:vAlign w:val="center"/>
          </w:tcPr>
          <w:p w14:paraId="00193263">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kern w:val="0"/>
                <w:szCs w:val="21"/>
                <w:highlight w:val="none"/>
              </w:rPr>
              <w:t>运维服务方案详细周全，逻辑清晰合理，方案执行具备过程可控性</w:t>
            </w:r>
            <w:r>
              <w:rPr>
                <w:rFonts w:hint="eastAsia" w:ascii="宋体" w:hAnsi="宋体" w:cs="宋体"/>
                <w:color w:val="auto"/>
                <w:szCs w:val="21"/>
                <w:highlight w:val="none"/>
              </w:rPr>
              <w:t>：</w:t>
            </w:r>
          </w:p>
          <w:p w14:paraId="2D5ECBC1">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（1）日常运维服务方案。</w:t>
            </w:r>
          </w:p>
          <w:p w14:paraId="2BA08CF8">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（2）网上及远程在线诊断和故障排除方案。</w:t>
            </w:r>
          </w:p>
          <w:p w14:paraId="766CD07F">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（3）安全演练方案</w:t>
            </w:r>
          </w:p>
          <w:p w14:paraId="742FD775">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（4）安全漏洞修复、整改方案</w:t>
            </w:r>
          </w:p>
          <w:p w14:paraId="6F61EF76">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（5）运维优化方案</w:t>
            </w:r>
          </w:p>
          <w:p w14:paraId="675468CD">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（6）定期巡检方案，在规定时间完成相应检查，并出具系统巡检报告（包含巡检结果、巡检建议等），对发现的问题及时予以处理。</w:t>
            </w:r>
          </w:p>
          <w:p w14:paraId="0C9294BA">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每项0-4分（评分范围：4，3，2，1，0）</w:t>
            </w:r>
          </w:p>
        </w:tc>
        <w:tc>
          <w:tcPr>
            <w:tcW w:w="288" w:type="pct"/>
            <w:vAlign w:val="center"/>
          </w:tcPr>
          <w:p w14:paraId="76BDDCEE">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517" w:type="pct"/>
            <w:vAlign w:val="center"/>
          </w:tcPr>
          <w:p w14:paraId="2AC05F8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continue"/>
            <w:vAlign w:val="center"/>
          </w:tcPr>
          <w:p w14:paraId="4630C40D">
            <w:pPr>
              <w:snapToGrid w:val="0"/>
              <w:spacing w:line="360" w:lineRule="auto"/>
              <w:jc w:val="center"/>
              <w:rPr>
                <w:rFonts w:ascii="宋体" w:hAnsi="宋体" w:cs="宋体"/>
                <w:color w:val="auto"/>
                <w:szCs w:val="21"/>
                <w:highlight w:val="none"/>
              </w:rPr>
            </w:pPr>
          </w:p>
        </w:tc>
      </w:tr>
      <w:tr w14:paraId="5F38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4F97FB90">
            <w:pPr>
              <w:pStyle w:val="33"/>
              <w:snapToGrid w:val="0"/>
              <w:spacing w:line="360" w:lineRule="auto"/>
              <w:jc w:val="center"/>
              <w:rPr>
                <w:rFonts w:hAnsi="宋体" w:cs="宋体"/>
                <w:color w:val="auto"/>
                <w:highlight w:val="none"/>
              </w:rPr>
            </w:pPr>
            <w:r>
              <w:rPr>
                <w:rFonts w:hint="eastAsia" w:hAnsi="宋体" w:cs="宋体"/>
                <w:color w:val="auto"/>
                <w:highlight w:val="none"/>
              </w:rPr>
              <w:t>6</w:t>
            </w:r>
          </w:p>
        </w:tc>
        <w:tc>
          <w:tcPr>
            <w:tcW w:w="3053" w:type="pct"/>
            <w:vAlign w:val="center"/>
          </w:tcPr>
          <w:p w14:paraId="74C96996">
            <w:pPr>
              <w:widowControl/>
              <w:snapToGrid w:val="0"/>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重要时段网络信息安全保障：投标人对政府部门重要时段网络信息安全保障需求有精准分析研判能力，能准确把握住其中不同于一般社会团体的部分，并个性化提出合理技术保障方案的（评分范围：5，4，3，2，1，0）</w:t>
            </w:r>
          </w:p>
        </w:tc>
        <w:tc>
          <w:tcPr>
            <w:tcW w:w="288" w:type="pct"/>
            <w:vAlign w:val="center"/>
          </w:tcPr>
          <w:p w14:paraId="6D805C6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517" w:type="pct"/>
            <w:vAlign w:val="center"/>
          </w:tcPr>
          <w:p w14:paraId="082C18A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continue"/>
            <w:vAlign w:val="center"/>
          </w:tcPr>
          <w:p w14:paraId="18401FAE">
            <w:pPr>
              <w:snapToGrid w:val="0"/>
              <w:spacing w:line="360" w:lineRule="auto"/>
              <w:jc w:val="center"/>
              <w:rPr>
                <w:rFonts w:ascii="宋体" w:hAnsi="宋体" w:cs="宋体"/>
                <w:color w:val="auto"/>
                <w:szCs w:val="21"/>
                <w:highlight w:val="none"/>
              </w:rPr>
            </w:pPr>
          </w:p>
        </w:tc>
      </w:tr>
      <w:tr w14:paraId="0E59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2871F111">
            <w:pPr>
              <w:pStyle w:val="33"/>
              <w:snapToGrid w:val="0"/>
              <w:spacing w:line="360" w:lineRule="auto"/>
              <w:jc w:val="center"/>
              <w:rPr>
                <w:rFonts w:hAnsi="宋体" w:cs="宋体"/>
                <w:color w:val="auto"/>
                <w:highlight w:val="none"/>
              </w:rPr>
            </w:pPr>
            <w:r>
              <w:rPr>
                <w:rFonts w:hint="eastAsia" w:hAnsi="宋体" w:cs="宋体"/>
                <w:color w:val="auto"/>
                <w:highlight w:val="none"/>
              </w:rPr>
              <w:t>7</w:t>
            </w:r>
          </w:p>
        </w:tc>
        <w:tc>
          <w:tcPr>
            <w:tcW w:w="3053" w:type="pct"/>
            <w:shd w:val="clear" w:color="auto" w:fill="auto"/>
            <w:vAlign w:val="center"/>
          </w:tcPr>
          <w:p w14:paraId="5CEA45B5">
            <w:pPr>
              <w:widowControl/>
              <w:snapToGrid w:val="0"/>
              <w:spacing w:line="360" w:lineRule="auto"/>
              <w:jc w:val="left"/>
              <w:textAlignment w:val="center"/>
              <w:rPr>
                <w:rFonts w:ascii="宋体" w:hAnsi="宋体" w:cs="宋体"/>
                <w:snapToGrid w:val="0"/>
                <w:color w:val="auto"/>
                <w:kern w:val="28"/>
                <w:szCs w:val="21"/>
                <w:highlight w:val="none"/>
              </w:rPr>
            </w:pPr>
            <w:r>
              <w:rPr>
                <w:rFonts w:hint="eastAsia" w:ascii="宋体" w:hAnsi="宋体" w:cs="宋体"/>
                <w:color w:val="auto"/>
                <w:kern w:val="0"/>
                <w:szCs w:val="21"/>
                <w:highlight w:val="none"/>
              </w:rPr>
              <w:t>服务质量保障：具有成熟可靠的项目服务标准规范、具有完善的质量管理体系，包括但不限于文档管理、风险控制、质量保障、沟通计划等方案，每项0-1分</w:t>
            </w:r>
            <w:r>
              <w:rPr>
                <w:rFonts w:hint="eastAsia" w:ascii="宋体" w:hAnsi="宋体" w:cs="宋体"/>
                <w:color w:val="auto"/>
                <w:szCs w:val="21"/>
                <w:highlight w:val="none"/>
              </w:rPr>
              <w:t>（评分范围：1，0.5，0）</w:t>
            </w:r>
          </w:p>
        </w:tc>
        <w:tc>
          <w:tcPr>
            <w:tcW w:w="288" w:type="pct"/>
            <w:shd w:val="clear" w:color="auto" w:fill="auto"/>
            <w:vAlign w:val="center"/>
          </w:tcPr>
          <w:p w14:paraId="3024DF20">
            <w:pPr>
              <w:snapToGrid w:val="0"/>
              <w:spacing w:line="360" w:lineRule="auto"/>
              <w:jc w:val="center"/>
              <w:rPr>
                <w:rFonts w:ascii="宋体" w:hAnsi="宋体" w:cs="宋体"/>
                <w:snapToGrid w:val="0"/>
                <w:color w:val="auto"/>
                <w:kern w:val="0"/>
                <w:szCs w:val="21"/>
                <w:highlight w:val="none"/>
              </w:rPr>
            </w:pPr>
            <w:r>
              <w:rPr>
                <w:rFonts w:hint="eastAsia" w:ascii="宋体" w:hAnsi="宋体" w:cs="宋体"/>
                <w:color w:val="auto"/>
                <w:szCs w:val="21"/>
                <w:highlight w:val="none"/>
              </w:rPr>
              <w:t>4</w:t>
            </w:r>
          </w:p>
        </w:tc>
        <w:tc>
          <w:tcPr>
            <w:tcW w:w="517" w:type="pct"/>
            <w:shd w:val="clear" w:color="auto" w:fill="auto"/>
            <w:vAlign w:val="center"/>
          </w:tcPr>
          <w:p w14:paraId="73FBC72C">
            <w:pPr>
              <w:snapToGrid w:val="0"/>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continue"/>
            <w:vAlign w:val="center"/>
          </w:tcPr>
          <w:p w14:paraId="5A3F1BFD">
            <w:pPr>
              <w:snapToGrid w:val="0"/>
              <w:spacing w:line="360" w:lineRule="auto"/>
              <w:jc w:val="center"/>
              <w:rPr>
                <w:rFonts w:ascii="宋体" w:hAnsi="宋体" w:cs="宋体"/>
                <w:color w:val="auto"/>
                <w:szCs w:val="21"/>
                <w:highlight w:val="none"/>
              </w:rPr>
            </w:pPr>
          </w:p>
        </w:tc>
      </w:tr>
      <w:tr w14:paraId="76EA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6CECB01A">
            <w:pPr>
              <w:pStyle w:val="33"/>
              <w:snapToGrid w:val="0"/>
              <w:spacing w:line="360" w:lineRule="auto"/>
              <w:jc w:val="center"/>
              <w:rPr>
                <w:rFonts w:hAnsi="宋体" w:cs="宋体"/>
                <w:color w:val="auto"/>
                <w:highlight w:val="none"/>
              </w:rPr>
            </w:pPr>
            <w:r>
              <w:rPr>
                <w:rFonts w:hint="eastAsia" w:hAnsi="宋体" w:cs="宋体"/>
                <w:color w:val="auto"/>
                <w:highlight w:val="none"/>
              </w:rPr>
              <w:t>8</w:t>
            </w:r>
          </w:p>
        </w:tc>
        <w:tc>
          <w:tcPr>
            <w:tcW w:w="3053" w:type="pct"/>
            <w:shd w:val="clear" w:color="auto" w:fill="auto"/>
            <w:vAlign w:val="center"/>
          </w:tcPr>
          <w:p w14:paraId="320A5311">
            <w:pPr>
              <w:widowControl/>
              <w:snapToGrid w:val="0"/>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投标人建立服务档案和解决方案资料库等工作台帐，方案完整可行</w:t>
            </w:r>
            <w:r>
              <w:rPr>
                <w:rFonts w:hint="eastAsia" w:ascii="宋体" w:hAnsi="宋体" w:cs="宋体"/>
                <w:color w:val="auto"/>
                <w:szCs w:val="21"/>
                <w:highlight w:val="none"/>
              </w:rPr>
              <w:t>（评分范围：3，2，1，0）</w:t>
            </w:r>
          </w:p>
        </w:tc>
        <w:tc>
          <w:tcPr>
            <w:tcW w:w="288" w:type="pct"/>
            <w:shd w:val="clear" w:color="auto" w:fill="auto"/>
            <w:vAlign w:val="center"/>
          </w:tcPr>
          <w:p w14:paraId="4C2046E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517" w:type="pct"/>
            <w:shd w:val="clear" w:color="auto" w:fill="auto"/>
            <w:vAlign w:val="center"/>
          </w:tcPr>
          <w:p w14:paraId="34DA7126">
            <w:pPr>
              <w:snapToGrid w:val="0"/>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continue"/>
            <w:vAlign w:val="center"/>
          </w:tcPr>
          <w:p w14:paraId="4F823A29">
            <w:pPr>
              <w:snapToGrid w:val="0"/>
              <w:spacing w:line="360" w:lineRule="auto"/>
              <w:jc w:val="center"/>
              <w:rPr>
                <w:rFonts w:ascii="宋体" w:hAnsi="宋体" w:cs="宋体"/>
                <w:color w:val="auto"/>
                <w:szCs w:val="21"/>
                <w:highlight w:val="none"/>
              </w:rPr>
            </w:pPr>
          </w:p>
        </w:tc>
      </w:tr>
      <w:tr w14:paraId="77AC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67CFA5F9">
            <w:pPr>
              <w:pStyle w:val="33"/>
              <w:snapToGrid w:val="0"/>
              <w:spacing w:line="360" w:lineRule="auto"/>
              <w:jc w:val="center"/>
              <w:rPr>
                <w:rFonts w:hAnsi="宋体" w:cs="宋体"/>
                <w:color w:val="auto"/>
                <w:highlight w:val="none"/>
              </w:rPr>
            </w:pPr>
            <w:r>
              <w:rPr>
                <w:rFonts w:hint="eastAsia" w:hAnsi="宋体" w:cs="宋体"/>
                <w:color w:val="auto"/>
                <w:highlight w:val="none"/>
              </w:rPr>
              <w:t>9</w:t>
            </w:r>
          </w:p>
        </w:tc>
        <w:tc>
          <w:tcPr>
            <w:tcW w:w="3053" w:type="pct"/>
            <w:shd w:val="clear" w:color="auto" w:fill="auto"/>
            <w:vAlign w:val="center"/>
          </w:tcPr>
          <w:p w14:paraId="62DB9E62">
            <w:pPr>
              <w:widowControl/>
              <w:snapToGrid w:val="0"/>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培训和验收：投标人提供完善的培训和验收计划，包括但不限于培训教员、培训课程、培训质控，验收标准、验收程序及交付成果，具有针对性且符合项目特点，时间安排合理，验收程序科学合理</w:t>
            </w:r>
            <w:r>
              <w:rPr>
                <w:rFonts w:hint="eastAsia" w:ascii="宋体" w:hAnsi="宋体" w:cs="宋体"/>
                <w:color w:val="auto"/>
                <w:szCs w:val="21"/>
                <w:highlight w:val="none"/>
              </w:rPr>
              <w:t>（评分范围：3，2，1，0）</w:t>
            </w:r>
          </w:p>
        </w:tc>
        <w:tc>
          <w:tcPr>
            <w:tcW w:w="288" w:type="pct"/>
            <w:shd w:val="clear" w:color="auto" w:fill="auto"/>
            <w:vAlign w:val="center"/>
          </w:tcPr>
          <w:p w14:paraId="5F711BE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517" w:type="pct"/>
            <w:shd w:val="clear" w:color="auto" w:fill="auto"/>
            <w:vAlign w:val="center"/>
          </w:tcPr>
          <w:p w14:paraId="0421074F">
            <w:pPr>
              <w:snapToGrid w:val="0"/>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continue"/>
            <w:vAlign w:val="center"/>
          </w:tcPr>
          <w:p w14:paraId="4D190E1A">
            <w:pPr>
              <w:snapToGrid w:val="0"/>
              <w:spacing w:line="360" w:lineRule="auto"/>
              <w:jc w:val="center"/>
              <w:rPr>
                <w:rFonts w:ascii="宋体" w:hAnsi="宋体" w:cs="宋体"/>
                <w:color w:val="auto"/>
                <w:szCs w:val="21"/>
                <w:highlight w:val="none"/>
              </w:rPr>
            </w:pPr>
          </w:p>
        </w:tc>
      </w:tr>
      <w:tr w14:paraId="2C22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63478C86">
            <w:pPr>
              <w:pStyle w:val="33"/>
              <w:snapToGrid w:val="0"/>
              <w:spacing w:line="360" w:lineRule="auto"/>
              <w:jc w:val="center"/>
              <w:rPr>
                <w:rFonts w:hAnsi="宋体" w:cs="宋体"/>
                <w:color w:val="auto"/>
                <w:highlight w:val="none"/>
              </w:rPr>
            </w:pPr>
            <w:r>
              <w:rPr>
                <w:rFonts w:hint="eastAsia" w:hAnsi="宋体" w:cs="宋体"/>
                <w:color w:val="auto"/>
                <w:highlight w:val="none"/>
              </w:rPr>
              <w:t>10</w:t>
            </w:r>
          </w:p>
        </w:tc>
        <w:tc>
          <w:tcPr>
            <w:tcW w:w="3053" w:type="pct"/>
            <w:shd w:val="clear" w:color="auto" w:fill="auto"/>
            <w:vAlign w:val="center"/>
          </w:tcPr>
          <w:p w14:paraId="5EAB8FF7">
            <w:pPr>
              <w:widowControl/>
              <w:snapToGrid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提供运行服务保障应急预案，方案对可能遇到的问题及其应对措施的考虑情况，要点内容完整、完全符合采购需求，（评分范围：4，3，2，1，0）</w:t>
            </w:r>
          </w:p>
        </w:tc>
        <w:tc>
          <w:tcPr>
            <w:tcW w:w="288" w:type="pct"/>
            <w:shd w:val="clear" w:color="auto" w:fill="auto"/>
            <w:vAlign w:val="center"/>
          </w:tcPr>
          <w:p w14:paraId="4C088111">
            <w:pPr>
              <w:snapToGrid w:val="0"/>
              <w:spacing w:line="360" w:lineRule="auto"/>
              <w:jc w:val="center"/>
              <w:rPr>
                <w:rFonts w:ascii="宋体" w:hAnsi="宋体" w:cs="宋体"/>
                <w:snapToGrid w:val="0"/>
                <w:color w:val="auto"/>
                <w:kern w:val="0"/>
                <w:szCs w:val="21"/>
                <w:highlight w:val="none"/>
              </w:rPr>
            </w:pPr>
            <w:r>
              <w:rPr>
                <w:rFonts w:hint="eastAsia" w:ascii="宋体" w:hAnsi="宋体" w:cs="宋体"/>
                <w:color w:val="auto"/>
                <w:szCs w:val="21"/>
                <w:highlight w:val="none"/>
              </w:rPr>
              <w:t>4</w:t>
            </w:r>
          </w:p>
        </w:tc>
        <w:tc>
          <w:tcPr>
            <w:tcW w:w="517" w:type="pct"/>
            <w:shd w:val="clear" w:color="auto" w:fill="auto"/>
            <w:vAlign w:val="center"/>
          </w:tcPr>
          <w:p w14:paraId="4231C9F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restart"/>
            <w:vAlign w:val="center"/>
          </w:tcPr>
          <w:p w14:paraId="60DE600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售后服务</w:t>
            </w:r>
          </w:p>
        </w:tc>
      </w:tr>
      <w:tr w14:paraId="4F60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36B9EFF3">
            <w:pPr>
              <w:pStyle w:val="33"/>
              <w:snapToGrid w:val="0"/>
              <w:spacing w:line="360" w:lineRule="auto"/>
              <w:jc w:val="center"/>
              <w:rPr>
                <w:rFonts w:hAnsi="宋体" w:cs="宋体"/>
                <w:color w:val="auto"/>
                <w:highlight w:val="none"/>
              </w:rPr>
            </w:pPr>
            <w:r>
              <w:rPr>
                <w:rFonts w:hint="eastAsia" w:hAnsi="宋体" w:cs="宋体"/>
                <w:color w:val="auto"/>
                <w:highlight w:val="none"/>
              </w:rPr>
              <w:t>11</w:t>
            </w:r>
          </w:p>
        </w:tc>
        <w:tc>
          <w:tcPr>
            <w:tcW w:w="3053" w:type="pct"/>
            <w:shd w:val="clear" w:color="auto" w:fill="auto"/>
            <w:vAlign w:val="center"/>
          </w:tcPr>
          <w:p w14:paraId="40C12632">
            <w:pPr>
              <w:widowControl/>
              <w:snapToGrid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对“故障级别的响应时间及修复时间”（详见采购文件第三部分 《采购需求》）进行承诺，</w:t>
            </w:r>
            <w:r>
              <w:rPr>
                <w:rFonts w:hint="eastAsia" w:ascii="宋体" w:hAnsi="宋体" w:cs="宋体"/>
                <w:color w:val="auto"/>
                <w:szCs w:val="21"/>
                <w:highlight w:val="none"/>
                <w:lang w:val="en-US" w:eastAsia="zh-CN"/>
              </w:rPr>
              <w:t>响应快速，工程师技术好、经验丰富，修复快速</w:t>
            </w:r>
            <w:r>
              <w:rPr>
                <w:rFonts w:hint="eastAsia" w:ascii="宋体" w:hAnsi="宋体" w:cs="宋体"/>
                <w:color w:val="auto"/>
                <w:szCs w:val="21"/>
                <w:highlight w:val="none"/>
              </w:rPr>
              <w:t>（评分范围：5，4，3，2，1，0）（需提供承诺函，明确具体内容和时间，格式自</w:t>
            </w:r>
            <w:bookmarkStart w:id="551" w:name="_GoBack"/>
            <w:bookmarkEnd w:id="551"/>
            <w:r>
              <w:rPr>
                <w:rFonts w:hint="eastAsia" w:ascii="宋体" w:hAnsi="宋体" w:cs="宋体"/>
                <w:color w:val="auto"/>
                <w:szCs w:val="21"/>
                <w:highlight w:val="none"/>
              </w:rPr>
              <w:t>拟，不提供或提供不完整不明确的不得分）</w:t>
            </w:r>
          </w:p>
        </w:tc>
        <w:tc>
          <w:tcPr>
            <w:tcW w:w="288" w:type="pct"/>
            <w:shd w:val="clear" w:color="auto" w:fill="auto"/>
            <w:vAlign w:val="center"/>
          </w:tcPr>
          <w:p w14:paraId="086461DA">
            <w:pPr>
              <w:widowControl/>
              <w:snapToGrid w:val="0"/>
              <w:spacing w:line="360" w:lineRule="auto"/>
              <w:jc w:val="center"/>
              <w:textAlignment w:val="center"/>
              <w:rPr>
                <w:rFonts w:ascii="宋体" w:hAnsi="宋体" w:cs="宋体"/>
                <w:snapToGrid w:val="0"/>
                <w:color w:val="auto"/>
                <w:kern w:val="0"/>
                <w:szCs w:val="21"/>
                <w:highlight w:val="none"/>
              </w:rPr>
            </w:pPr>
            <w:r>
              <w:rPr>
                <w:rFonts w:hint="eastAsia" w:ascii="宋体" w:hAnsi="宋体" w:cs="宋体"/>
                <w:color w:val="auto"/>
                <w:szCs w:val="21"/>
                <w:highlight w:val="none"/>
              </w:rPr>
              <w:t>5</w:t>
            </w:r>
          </w:p>
        </w:tc>
        <w:tc>
          <w:tcPr>
            <w:tcW w:w="517" w:type="pct"/>
            <w:shd w:val="clear" w:color="auto" w:fill="auto"/>
            <w:vAlign w:val="center"/>
          </w:tcPr>
          <w:p w14:paraId="7C3377C6">
            <w:pPr>
              <w:widowControl/>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continue"/>
            <w:vAlign w:val="center"/>
          </w:tcPr>
          <w:p w14:paraId="5653DA0E">
            <w:pPr>
              <w:snapToGrid w:val="0"/>
              <w:spacing w:line="360" w:lineRule="auto"/>
              <w:jc w:val="center"/>
              <w:rPr>
                <w:rFonts w:ascii="宋体" w:hAnsi="宋体" w:cs="宋体"/>
                <w:color w:val="auto"/>
                <w:szCs w:val="21"/>
                <w:highlight w:val="none"/>
              </w:rPr>
            </w:pPr>
          </w:p>
        </w:tc>
      </w:tr>
      <w:tr w14:paraId="3B84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74420673">
            <w:pPr>
              <w:pStyle w:val="33"/>
              <w:snapToGrid w:val="0"/>
              <w:spacing w:line="360" w:lineRule="auto"/>
              <w:jc w:val="center"/>
              <w:rPr>
                <w:rFonts w:hAnsi="宋体" w:cs="宋体"/>
                <w:color w:val="auto"/>
                <w:highlight w:val="none"/>
              </w:rPr>
            </w:pPr>
            <w:r>
              <w:rPr>
                <w:rFonts w:hint="eastAsia" w:hAnsi="宋体" w:cs="宋体"/>
                <w:color w:val="auto"/>
                <w:highlight w:val="none"/>
              </w:rPr>
              <w:t>12</w:t>
            </w:r>
          </w:p>
        </w:tc>
        <w:tc>
          <w:tcPr>
            <w:tcW w:w="3053" w:type="pct"/>
            <w:shd w:val="clear" w:color="auto" w:fill="auto"/>
            <w:vAlign w:val="center"/>
          </w:tcPr>
          <w:p w14:paraId="5B3F88AD">
            <w:pPr>
              <w:widowControl/>
              <w:snapToGrid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投标人具有售后报修的运维服务管理软件手机APP或服务公众号的得3分，没有不得分。（提供截图证明）</w:t>
            </w:r>
          </w:p>
        </w:tc>
        <w:tc>
          <w:tcPr>
            <w:tcW w:w="288" w:type="pct"/>
            <w:shd w:val="clear" w:color="auto" w:fill="auto"/>
            <w:vAlign w:val="center"/>
          </w:tcPr>
          <w:p w14:paraId="749AF46F">
            <w:pPr>
              <w:widowControl/>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517" w:type="pct"/>
            <w:shd w:val="clear" w:color="auto" w:fill="auto"/>
            <w:vAlign w:val="center"/>
          </w:tcPr>
          <w:p w14:paraId="73724BEB">
            <w:pPr>
              <w:widowControl/>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838" w:type="pct"/>
            <w:vMerge w:val="continue"/>
            <w:vAlign w:val="center"/>
          </w:tcPr>
          <w:p w14:paraId="27F2E433">
            <w:pPr>
              <w:snapToGrid w:val="0"/>
              <w:spacing w:line="360" w:lineRule="auto"/>
              <w:jc w:val="center"/>
              <w:rPr>
                <w:rFonts w:ascii="宋体" w:hAnsi="宋体" w:cs="宋体"/>
                <w:color w:val="auto"/>
                <w:szCs w:val="21"/>
                <w:highlight w:val="none"/>
              </w:rPr>
            </w:pPr>
          </w:p>
        </w:tc>
      </w:tr>
      <w:tr w14:paraId="6441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593CB7C4">
            <w:pPr>
              <w:pStyle w:val="33"/>
              <w:snapToGrid w:val="0"/>
              <w:spacing w:line="360" w:lineRule="auto"/>
              <w:jc w:val="center"/>
              <w:rPr>
                <w:rFonts w:hAnsi="宋体" w:cs="宋体"/>
                <w:color w:val="auto"/>
                <w:kern w:val="0"/>
                <w:highlight w:val="none"/>
              </w:rPr>
            </w:pPr>
            <w:r>
              <w:rPr>
                <w:rFonts w:hint="eastAsia" w:hAnsi="宋体" w:cs="宋体"/>
                <w:color w:val="auto"/>
                <w:highlight w:val="none"/>
              </w:rPr>
              <w:t>13</w:t>
            </w:r>
          </w:p>
        </w:tc>
        <w:tc>
          <w:tcPr>
            <w:tcW w:w="3053" w:type="pct"/>
            <w:vAlign w:val="center"/>
          </w:tcPr>
          <w:p w14:paraId="37473B67">
            <w:pPr>
              <w:pStyle w:val="15"/>
              <w:spacing w:line="360" w:lineRule="auto"/>
              <w:ind w:firstLine="0"/>
              <w:rPr>
                <w:rFonts w:hAnsi="宋体" w:cs="宋体"/>
                <w:color w:val="auto"/>
                <w:sz w:val="21"/>
                <w:szCs w:val="21"/>
                <w:highlight w:val="none"/>
              </w:rPr>
            </w:pPr>
            <w:r>
              <w:rPr>
                <w:rFonts w:hint="eastAsia" w:hAnsi="宋体" w:cs="宋体"/>
                <w:color w:val="auto"/>
                <w:kern w:val="0"/>
                <w:sz w:val="21"/>
                <w:szCs w:val="21"/>
                <w:highlight w:val="none"/>
              </w:rPr>
              <w:t>投标人</w:t>
            </w:r>
            <w:r>
              <w:rPr>
                <w:rFonts w:hint="eastAsia" w:hAnsi="宋体" w:cs="宋体"/>
                <w:color w:val="auto"/>
                <w:sz w:val="21"/>
                <w:szCs w:val="21"/>
                <w:highlight w:val="none"/>
              </w:rPr>
              <w:t>提供的售后维护机构和人员等情况：工程师能快速到达项目地点，且工程师具有丰富的售后服务经验（需提供资质证书、业绩（能显示人员姓名或提供业主证明的项目合同）等相关证明材料）（评分范围：4，3，2，1，0）</w:t>
            </w:r>
          </w:p>
        </w:tc>
        <w:tc>
          <w:tcPr>
            <w:tcW w:w="288" w:type="pct"/>
            <w:vAlign w:val="center"/>
          </w:tcPr>
          <w:p w14:paraId="1F6B85EE">
            <w:pPr>
              <w:snapToGrid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4</w:t>
            </w:r>
          </w:p>
        </w:tc>
        <w:tc>
          <w:tcPr>
            <w:tcW w:w="517" w:type="pct"/>
            <w:vAlign w:val="center"/>
          </w:tcPr>
          <w:p w14:paraId="7823CA4D">
            <w:pPr>
              <w:snapToGrid w:val="0"/>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c>
          <w:tcPr>
            <w:tcW w:w="838" w:type="pct"/>
            <w:vMerge w:val="continue"/>
            <w:vAlign w:val="center"/>
          </w:tcPr>
          <w:p w14:paraId="75FE5329">
            <w:pPr>
              <w:snapToGrid w:val="0"/>
              <w:spacing w:line="360" w:lineRule="auto"/>
              <w:jc w:val="center"/>
              <w:rPr>
                <w:rFonts w:ascii="宋体" w:hAnsi="宋体" w:cs="宋体"/>
                <w:color w:val="auto"/>
                <w:szCs w:val="21"/>
                <w:highlight w:val="none"/>
              </w:rPr>
            </w:pPr>
          </w:p>
        </w:tc>
      </w:tr>
      <w:tr w14:paraId="68CF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shd w:val="clear" w:color="auto" w:fill="auto"/>
            <w:vAlign w:val="center"/>
          </w:tcPr>
          <w:p w14:paraId="6D4B9D04">
            <w:pPr>
              <w:pStyle w:val="33"/>
              <w:snapToGrid w:val="0"/>
              <w:spacing w:line="360" w:lineRule="auto"/>
              <w:jc w:val="center"/>
              <w:rPr>
                <w:rFonts w:hAnsi="宋体" w:cs="宋体"/>
                <w:color w:val="auto"/>
                <w:kern w:val="0"/>
                <w:highlight w:val="none"/>
              </w:rPr>
            </w:pPr>
            <w:r>
              <w:rPr>
                <w:rFonts w:hint="eastAsia" w:hAnsi="宋体" w:cs="宋体"/>
                <w:color w:val="auto"/>
                <w:kern w:val="0"/>
                <w:highlight w:val="none"/>
              </w:rPr>
              <w:t>14</w:t>
            </w:r>
          </w:p>
        </w:tc>
        <w:tc>
          <w:tcPr>
            <w:tcW w:w="3053" w:type="pct"/>
            <w:vAlign w:val="center"/>
          </w:tcPr>
          <w:p w14:paraId="11E0697A">
            <w:pPr>
              <w:pStyle w:val="784"/>
              <w:widowControl w:val="0"/>
              <w:numPr>
                <w:ilvl w:val="0"/>
                <w:numId w:val="13"/>
              </w:numPr>
              <w:spacing w:line="360" w:lineRule="auto"/>
              <w:rPr>
                <w:rFonts w:ascii="宋体" w:hAnsi="宋体" w:cs="宋体"/>
                <w:color w:val="auto"/>
                <w:highlight w:val="none"/>
              </w:rPr>
            </w:pPr>
            <w:r>
              <w:rPr>
                <w:rFonts w:hint="eastAsia" w:ascii="宋体" w:hAnsi="宋体" w:cs="宋体"/>
                <w:color w:val="auto"/>
                <w:highlight w:val="none"/>
              </w:rPr>
              <w:t>项目经理：具备高级信息安全工程师和高级项目经理认证的，每项得2分，最高得4分。</w:t>
            </w:r>
          </w:p>
          <w:p w14:paraId="5EDA7722">
            <w:pPr>
              <w:pStyle w:val="784"/>
              <w:widowControl w:val="0"/>
              <w:numPr>
                <w:ilvl w:val="0"/>
                <w:numId w:val="13"/>
              </w:numPr>
              <w:spacing w:line="360" w:lineRule="auto"/>
              <w:rPr>
                <w:rFonts w:ascii="宋体" w:hAnsi="宋体" w:cs="宋体"/>
                <w:color w:val="auto"/>
                <w:highlight w:val="none"/>
              </w:rPr>
            </w:pPr>
            <w:r>
              <w:rPr>
                <w:rFonts w:hint="eastAsia" w:ascii="宋体" w:hAnsi="宋体" w:cs="宋体"/>
                <w:color w:val="auto"/>
                <w:highlight w:val="none"/>
              </w:rPr>
              <w:t>投标人技术团队中具有CISP安全专家的，每个得2分，最高得4分。</w:t>
            </w:r>
          </w:p>
          <w:p w14:paraId="13AF6C95">
            <w:pPr>
              <w:pStyle w:val="784"/>
              <w:widowControl w:val="0"/>
              <w:numPr>
                <w:ilvl w:val="0"/>
                <w:numId w:val="13"/>
              </w:numPr>
              <w:spacing w:line="360" w:lineRule="auto"/>
              <w:rPr>
                <w:rFonts w:ascii="宋体" w:hAnsi="宋体" w:cs="宋体"/>
                <w:color w:val="auto"/>
                <w:highlight w:val="none"/>
              </w:rPr>
            </w:pPr>
            <w:r>
              <w:rPr>
                <w:rFonts w:hint="eastAsia" w:ascii="宋体" w:hAnsi="宋体" w:cs="宋体"/>
                <w:color w:val="auto"/>
                <w:highlight w:val="none"/>
              </w:rPr>
              <w:t>投标人技术团队中具有系统集成管理工程师证书的得2分。</w:t>
            </w:r>
          </w:p>
          <w:p w14:paraId="4C1FCF49">
            <w:pPr>
              <w:pStyle w:val="15"/>
              <w:spacing w:line="360" w:lineRule="auto"/>
              <w:ind w:firstLine="0"/>
              <w:rPr>
                <w:rFonts w:hAnsi="宋体" w:cs="宋体"/>
                <w:color w:val="auto"/>
                <w:sz w:val="21"/>
                <w:szCs w:val="21"/>
                <w:highlight w:val="none"/>
              </w:rPr>
            </w:pPr>
            <w:r>
              <w:rPr>
                <w:rFonts w:hint="eastAsia" w:hAnsi="宋体" w:cs="宋体"/>
                <w:color w:val="auto"/>
                <w:sz w:val="21"/>
                <w:szCs w:val="21"/>
                <w:highlight w:val="none"/>
              </w:rPr>
              <w:t>（提供提供人员名单及简历、证书扫描件加盖公章、近三个月内任意一个月的社保证明，不提供不得分）</w:t>
            </w:r>
          </w:p>
        </w:tc>
        <w:tc>
          <w:tcPr>
            <w:tcW w:w="288" w:type="pct"/>
            <w:vAlign w:val="center"/>
          </w:tcPr>
          <w:p w14:paraId="0BFA2012">
            <w:pPr>
              <w:pStyle w:val="33"/>
              <w:snapToGrid w:val="0"/>
              <w:spacing w:line="360" w:lineRule="auto"/>
              <w:jc w:val="center"/>
              <w:rPr>
                <w:rFonts w:hint="default" w:hAnsi="宋体" w:eastAsia="宋体" w:cs="宋体"/>
                <w:color w:val="auto"/>
                <w:kern w:val="0"/>
                <w:highlight w:val="none"/>
                <w:lang w:val="en-US" w:eastAsia="zh-CN"/>
              </w:rPr>
            </w:pPr>
            <w:r>
              <w:rPr>
                <w:rFonts w:hint="eastAsia" w:hAnsi="宋体" w:cs="宋体"/>
                <w:bCs/>
                <w:color w:val="auto"/>
                <w:highlight w:val="none"/>
                <w:lang w:val="en-US" w:eastAsia="zh-CN"/>
              </w:rPr>
              <w:t>10</w:t>
            </w:r>
          </w:p>
        </w:tc>
        <w:tc>
          <w:tcPr>
            <w:tcW w:w="517" w:type="pct"/>
            <w:vAlign w:val="center"/>
          </w:tcPr>
          <w:p w14:paraId="5C4B10B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838" w:type="pct"/>
            <w:vAlign w:val="center"/>
          </w:tcPr>
          <w:p w14:paraId="294634F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人员安排</w:t>
            </w:r>
          </w:p>
        </w:tc>
      </w:tr>
      <w:tr w14:paraId="547A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14:paraId="4FDD9351">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053" w:type="pct"/>
          </w:tcPr>
          <w:p w14:paraId="016F5949">
            <w:pPr>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有效投标报价的最低价作为评标基准价，其最低报价为满分；按［投标报价得分=（评标基准价/投标报价）*权重］的计算公式计算。</w:t>
            </w:r>
          </w:p>
          <w:p w14:paraId="68E5E86D">
            <w:pPr>
              <w:widowControl/>
              <w:shd w:val="clear" w:color="auto" w:fill="FFFFFF"/>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tc>
        <w:tc>
          <w:tcPr>
            <w:tcW w:w="288" w:type="pct"/>
            <w:vAlign w:val="center"/>
          </w:tcPr>
          <w:p w14:paraId="40C3BF41">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517" w:type="pct"/>
            <w:vAlign w:val="center"/>
          </w:tcPr>
          <w:p w14:paraId="2E8A84B8">
            <w:pPr>
              <w:snapToGrid w:val="0"/>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w:t>
            </w:r>
          </w:p>
        </w:tc>
        <w:tc>
          <w:tcPr>
            <w:tcW w:w="838" w:type="pct"/>
            <w:vAlign w:val="center"/>
          </w:tcPr>
          <w:p w14:paraId="672E9F0A">
            <w:pPr>
              <w:snapToGrid w:val="0"/>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w:t>
            </w:r>
          </w:p>
        </w:tc>
      </w:tr>
    </w:tbl>
    <w:p w14:paraId="1B7D4E1E">
      <w:pPr>
        <w:rPr>
          <w:color w:val="auto"/>
          <w:highlight w:val="none"/>
        </w:rPr>
      </w:pPr>
    </w:p>
    <w:p w14:paraId="2B2B3B6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6B81D8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114CF8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DC5CFD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26ACE9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A31882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C3DE9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A77B7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93A06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AEE621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8E31C27">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288080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7DB139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331BA8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539AA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221CA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9D4121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BA8D4A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B87654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B8C21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AEB0BE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E8709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C04F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3A54D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88829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69CC7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FF6B0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1E6FB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1E318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4FD24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CF00E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12A120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BD695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4D2E7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40A6B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5AEF9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7876C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FAAD1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7202159">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1D146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FD004A6">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F97BB0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D8A903A">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966F48C">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0B5AE7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610C6A3">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98C377F">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A0328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9E32CB3">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C1161E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98AF3D2">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E269C17">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A438848">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6972E0B7">
      <w:pPr>
        <w:bidi w:val="0"/>
        <w:rPr>
          <w:color w:val="auto"/>
          <w:highlight w:val="none"/>
        </w:rPr>
      </w:pPr>
      <w:bookmarkStart w:id="425" w:name="第五部分"/>
      <w:bookmarkStart w:id="426" w:name="_Toc86217003"/>
    </w:p>
    <w:p w14:paraId="3A94F6AB">
      <w:pPr>
        <w:spacing w:line="360" w:lineRule="auto"/>
        <w:outlineLvl w:val="0"/>
        <w:rPr>
          <w:rFonts w:ascii="宋体" w:hAnsi="宋体" w:cs="宋体"/>
          <w:b/>
          <w:color w:val="auto"/>
          <w:sz w:val="36"/>
          <w:szCs w:val="36"/>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B1AE4D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7F5225">
      <w:pPr>
        <w:spacing w:line="360" w:lineRule="auto"/>
        <w:ind w:firstLine="477" w:firstLineChars="198"/>
        <w:rPr>
          <w:b/>
          <w:bCs/>
          <w:color w:val="auto"/>
          <w:sz w:val="24"/>
          <w:highlight w:val="none"/>
        </w:rPr>
      </w:pPr>
      <w:r>
        <w:rPr>
          <w:b/>
          <w:bCs/>
          <w:color w:val="auto"/>
          <w:sz w:val="24"/>
          <w:highlight w:val="none"/>
        </w:rPr>
        <w:t>特别提示：以下为合同范本，仅供参考，不宜照搬。合同条款的具体内容应严格按照招标文件、投标文件、评标结果及中标人的承诺来拟订。</w:t>
      </w:r>
    </w:p>
    <w:p w14:paraId="4A1726C0">
      <w:pPr>
        <w:spacing w:line="360" w:lineRule="auto"/>
        <w:rPr>
          <w:b/>
          <w:color w:val="auto"/>
          <w:sz w:val="24"/>
          <w:highlight w:val="none"/>
        </w:rPr>
      </w:pPr>
    </w:p>
    <w:p w14:paraId="5A031EBA">
      <w:pPr>
        <w:pageBreakBefore w:val="0"/>
        <w:kinsoku/>
        <w:wordWrap/>
        <w:overflowPunct/>
        <w:topLinePunct w:val="0"/>
        <w:bidi w:val="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4BEA015">
      <w:pPr>
        <w:pageBreakBefore w:val="0"/>
        <w:kinsoku/>
        <w:wordWrap/>
        <w:overflowPunct/>
        <w:topLinePunct w:val="0"/>
        <w:bidi w:val="0"/>
        <w:spacing w:line="480" w:lineRule="auto"/>
        <w:jc w:val="center"/>
        <w:textAlignment w:val="auto"/>
        <w:outlineLvl w:val="9"/>
        <w:rPr>
          <w:rFonts w:ascii="宋体" w:hAnsi="宋体" w:cs="宋体"/>
          <w:b/>
          <w:color w:val="auto"/>
          <w:sz w:val="28"/>
          <w:szCs w:val="28"/>
          <w:highlight w:val="none"/>
        </w:rPr>
      </w:pPr>
    </w:p>
    <w:p w14:paraId="60102FA7">
      <w:pPr>
        <w:pageBreakBefore w:val="0"/>
        <w:kinsoku/>
        <w:wordWrap/>
        <w:overflowPunct/>
        <w:topLinePunct w:val="0"/>
        <w:bidi w:val="0"/>
        <w:spacing w:line="480" w:lineRule="auto"/>
        <w:jc w:val="center"/>
        <w:textAlignment w:val="auto"/>
        <w:outlineLvl w:val="9"/>
        <w:rPr>
          <w:rFonts w:ascii="宋体" w:hAnsi="宋体" w:cs="宋体"/>
          <w:b/>
          <w:color w:val="auto"/>
          <w:sz w:val="24"/>
          <w:highlight w:val="none"/>
        </w:rPr>
      </w:pPr>
    </w:p>
    <w:p w14:paraId="6800F454">
      <w:pPr>
        <w:pageBreakBefore w:val="0"/>
        <w:kinsoku/>
        <w:wordWrap/>
        <w:overflowPunct/>
        <w:topLinePunct w:val="0"/>
        <w:bidi w:val="0"/>
        <w:spacing w:line="480" w:lineRule="auto"/>
        <w:jc w:val="center"/>
        <w:textAlignment w:val="auto"/>
        <w:outlineLvl w:val="9"/>
        <w:rPr>
          <w:rFonts w:ascii="宋体" w:hAnsi="宋体" w:cs="宋体"/>
          <w:b/>
          <w:color w:val="auto"/>
          <w:sz w:val="24"/>
          <w:highlight w:val="none"/>
        </w:rPr>
      </w:pPr>
    </w:p>
    <w:p w14:paraId="07AA327B">
      <w:pPr>
        <w:pageBreakBefore w:val="0"/>
        <w:kinsoku/>
        <w:wordWrap/>
        <w:overflowPunct/>
        <w:topLinePunct w:val="0"/>
        <w:bidi w:val="0"/>
        <w:spacing w:line="48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75F44BE">
      <w:pPr>
        <w:pageBreakBefore w:val="0"/>
        <w:kinsoku/>
        <w:wordWrap/>
        <w:overflowPunct/>
        <w:topLinePunct w:val="0"/>
        <w:bidi w:val="0"/>
        <w:spacing w:line="48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CDCFF60">
      <w:pPr>
        <w:pStyle w:val="702"/>
        <w:pageBreakBefore w:val="0"/>
        <w:kinsoku/>
        <w:wordWrap/>
        <w:overflowPunct/>
        <w:topLinePunct w:val="0"/>
        <w:bidi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53DAAE4">
      <w:pPr>
        <w:pageBreakBefore w:val="0"/>
        <w:kinsoku/>
        <w:wordWrap/>
        <w:overflowPunct/>
        <w:topLinePunct w:val="0"/>
        <w:bidi w:val="0"/>
        <w:spacing w:before="120" w:line="22" w:lineRule="atLeast"/>
        <w:textAlignment w:val="auto"/>
        <w:outlineLvl w:val="9"/>
        <w:rPr>
          <w:rFonts w:ascii="宋体" w:hAnsi="宋体" w:cs="宋体"/>
          <w:color w:val="auto"/>
          <w:sz w:val="24"/>
          <w:highlight w:val="none"/>
        </w:rPr>
      </w:pPr>
    </w:p>
    <w:p w14:paraId="79D1BC53">
      <w:pPr>
        <w:pageBreakBefore w:val="0"/>
        <w:tabs>
          <w:tab w:val="left" w:pos="432"/>
        </w:tabs>
        <w:kinsoku/>
        <w:wordWrap/>
        <w:overflowPunct/>
        <w:topLinePunct w:val="0"/>
        <w:bidi w:val="0"/>
        <w:textAlignment w:val="auto"/>
        <w:outlineLvl w:val="9"/>
        <w:rPr>
          <w:rFonts w:ascii="宋体" w:hAnsi="宋体" w:eastAsia="宋体"/>
          <w:color w:val="auto"/>
          <w:highlight w:val="none"/>
        </w:rPr>
      </w:pPr>
    </w:p>
    <w:p w14:paraId="7E32B1A3">
      <w:pPr>
        <w:pageBreakBefore w:val="0"/>
        <w:kinsoku/>
        <w:wordWrap/>
        <w:overflowPunct/>
        <w:topLinePunct w:val="0"/>
        <w:bidi w:val="0"/>
        <w:spacing w:before="120" w:line="22" w:lineRule="atLeast"/>
        <w:ind w:left="960"/>
        <w:textAlignment w:val="auto"/>
        <w:outlineLvl w:val="9"/>
        <w:rPr>
          <w:rFonts w:ascii="宋体" w:hAnsi="宋体" w:cs="宋体"/>
          <w:color w:val="auto"/>
          <w:sz w:val="24"/>
          <w:highlight w:val="none"/>
        </w:rPr>
      </w:pPr>
      <w:r>
        <w:rPr>
          <w:rFonts w:hint="eastAsia" w:ascii="宋体" w:hAnsi="宋体" w:cs="宋体"/>
          <w:color w:val="auto"/>
          <w:sz w:val="24"/>
          <w:highlight w:val="none"/>
        </w:rPr>
        <w:t>项目名称：卫健数字化改革项目驾驶舱日常运维保障项目（2025年度）</w:t>
      </w:r>
    </w:p>
    <w:p w14:paraId="79D5B339">
      <w:pPr>
        <w:pStyle w:val="599"/>
        <w:pageBreakBefore w:val="0"/>
        <w:kinsoku/>
        <w:wordWrap/>
        <w:overflowPunct/>
        <w:topLinePunct w:val="0"/>
        <w:bidi w:val="0"/>
        <w:spacing w:before="120" w:line="22" w:lineRule="atLeast"/>
        <w:textAlignment w:val="auto"/>
        <w:outlineLvl w:val="9"/>
        <w:rPr>
          <w:rFonts w:ascii="宋体" w:hAnsi="宋体" w:eastAsia="宋体" w:cs="宋体"/>
          <w:color w:val="auto"/>
          <w:szCs w:val="24"/>
          <w:highlight w:val="none"/>
        </w:rPr>
      </w:pPr>
    </w:p>
    <w:p w14:paraId="16497909">
      <w:pPr>
        <w:pStyle w:val="599"/>
        <w:pageBreakBefore w:val="0"/>
        <w:kinsoku/>
        <w:wordWrap/>
        <w:overflowPunct/>
        <w:topLinePunct w:val="0"/>
        <w:bidi w:val="0"/>
        <w:spacing w:before="120" w:line="22" w:lineRule="atLeast"/>
        <w:textAlignment w:val="auto"/>
        <w:outlineLvl w:val="9"/>
        <w:rPr>
          <w:rFonts w:ascii="宋体" w:hAnsi="宋体" w:eastAsia="宋体" w:cs="宋体"/>
          <w:color w:val="auto"/>
          <w:szCs w:val="24"/>
          <w:highlight w:val="none"/>
        </w:rPr>
      </w:pPr>
    </w:p>
    <w:p w14:paraId="1BB51454">
      <w:pPr>
        <w:pageBreakBefore w:val="0"/>
        <w:kinsoku/>
        <w:wordWrap/>
        <w:overflowPunct/>
        <w:topLinePunct w:val="0"/>
        <w:bidi w:val="0"/>
        <w:textAlignment w:val="auto"/>
        <w:outlineLvl w:val="9"/>
        <w:rPr>
          <w:rFonts w:ascii="宋体" w:hAnsi="宋体" w:cs="宋体"/>
          <w:color w:val="auto"/>
          <w:sz w:val="24"/>
          <w:highlight w:val="none"/>
        </w:rPr>
      </w:pPr>
    </w:p>
    <w:p w14:paraId="0CD9ADFD">
      <w:pPr>
        <w:pageBreakBefore w:val="0"/>
        <w:kinsoku/>
        <w:wordWrap/>
        <w:overflowPunct/>
        <w:topLinePunct w:val="0"/>
        <w:bidi w:val="0"/>
        <w:spacing w:before="120" w:line="22" w:lineRule="atLeast"/>
        <w:ind w:left="96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甲方：杭州市卫生健康事业发展中心</w:t>
      </w:r>
    </w:p>
    <w:p w14:paraId="15F483BA">
      <w:pPr>
        <w:pageBreakBefore w:val="0"/>
        <w:kinsoku/>
        <w:wordWrap/>
        <w:overflowPunct/>
        <w:topLinePunct w:val="0"/>
        <w:bidi w:val="0"/>
        <w:spacing w:before="120" w:line="22" w:lineRule="atLeast"/>
        <w:textAlignment w:val="auto"/>
        <w:outlineLvl w:val="9"/>
        <w:rPr>
          <w:rFonts w:ascii="宋体" w:hAnsi="宋体" w:cs="宋体"/>
          <w:color w:val="auto"/>
          <w:sz w:val="24"/>
          <w:highlight w:val="none"/>
        </w:rPr>
      </w:pPr>
    </w:p>
    <w:p w14:paraId="606E2E9D">
      <w:pPr>
        <w:pageBreakBefore w:val="0"/>
        <w:kinsoku/>
        <w:wordWrap/>
        <w:overflowPunct/>
        <w:topLinePunct w:val="0"/>
        <w:bidi w:val="0"/>
        <w:spacing w:before="120" w:line="22" w:lineRule="atLeast"/>
        <w:ind w:left="96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DFF3824">
      <w:pPr>
        <w:pageBreakBefore w:val="0"/>
        <w:kinsoku/>
        <w:wordWrap/>
        <w:overflowPunct/>
        <w:topLinePunct w:val="0"/>
        <w:bidi w:val="0"/>
        <w:spacing w:before="120" w:line="22" w:lineRule="atLeast"/>
        <w:textAlignment w:val="auto"/>
        <w:outlineLvl w:val="9"/>
        <w:rPr>
          <w:rFonts w:ascii="宋体" w:hAnsi="宋体" w:cs="宋体"/>
          <w:color w:val="auto"/>
          <w:sz w:val="24"/>
          <w:highlight w:val="none"/>
        </w:rPr>
      </w:pPr>
    </w:p>
    <w:p w14:paraId="4319A7A0">
      <w:pPr>
        <w:pageBreakBefore w:val="0"/>
        <w:kinsoku/>
        <w:wordWrap/>
        <w:overflowPunct/>
        <w:topLinePunct w:val="0"/>
        <w:bidi w:val="0"/>
        <w:spacing w:before="120" w:line="22" w:lineRule="atLeast"/>
        <w:ind w:firstLine="960" w:firstLineChars="4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A408A5A">
      <w:pPr>
        <w:pageBreakBefore w:val="0"/>
        <w:kinsoku/>
        <w:wordWrap/>
        <w:overflowPunct/>
        <w:topLinePunct w:val="0"/>
        <w:bidi w:val="0"/>
        <w:spacing w:before="120" w:line="22" w:lineRule="atLeast"/>
        <w:textAlignment w:val="auto"/>
        <w:outlineLvl w:val="9"/>
        <w:rPr>
          <w:rFonts w:ascii="宋体" w:hAnsi="宋体" w:cs="宋体"/>
          <w:color w:val="auto"/>
          <w:sz w:val="24"/>
          <w:highlight w:val="none"/>
        </w:rPr>
      </w:pPr>
    </w:p>
    <w:p w14:paraId="290887BF">
      <w:pPr>
        <w:pageBreakBefore w:val="0"/>
        <w:kinsoku/>
        <w:wordWrap/>
        <w:overflowPunct/>
        <w:topLinePunct w:val="0"/>
        <w:bidi w:val="0"/>
        <w:spacing w:before="120" w:line="22" w:lineRule="atLeast"/>
        <w:ind w:firstLine="960" w:firstLineChars="4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7354ECE">
      <w:pPr>
        <w:pageBreakBefore w:val="0"/>
        <w:widowControl/>
        <w:kinsoku/>
        <w:wordWrap/>
        <w:overflowPunct/>
        <w:topLinePunct w:val="0"/>
        <w:bidi w:val="0"/>
        <w:jc w:val="left"/>
        <w:textAlignment w:val="auto"/>
        <w:outlineLvl w:val="9"/>
        <w:rPr>
          <w:rFonts w:ascii="宋体" w:hAnsi="宋体" w:cs="宋体"/>
          <w:color w:val="auto"/>
          <w:kern w:val="0"/>
          <w:sz w:val="24"/>
          <w:highlight w:val="none"/>
        </w:rPr>
        <w:sectPr>
          <w:pgSz w:w="11907" w:h="16840"/>
          <w:pgMar w:top="1474" w:right="1814" w:bottom="1474" w:left="1814" w:header="851" w:footer="851" w:gutter="0"/>
          <w:cols w:space="720" w:num="1"/>
        </w:sectPr>
      </w:pPr>
    </w:p>
    <w:p w14:paraId="5B854D3E">
      <w:pPr>
        <w:pageBreakBefore w:val="0"/>
        <w:kinsoku/>
        <w:wordWrap/>
        <w:overflowPunct/>
        <w:topLinePunct w:val="0"/>
        <w:bidi w:val="0"/>
        <w:textAlignment w:val="auto"/>
        <w:outlineLvl w:val="9"/>
        <w:rPr>
          <w:rFonts w:ascii="宋体" w:hAnsi="宋体" w:cs="宋体"/>
          <w:b/>
          <w:color w:val="auto"/>
          <w:sz w:val="24"/>
          <w:highlight w:val="none"/>
        </w:rPr>
      </w:pPr>
    </w:p>
    <w:p w14:paraId="23F13771">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杭州市卫生健康事业发展中心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卫健数字化改革项目驾驶舱日常运维保障项目（2025年度）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7E89D73">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杭州市卫生健康事业发展中心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1ED35D8">
      <w:pPr>
        <w:pageBreakBefore w:val="0"/>
        <w:kinsoku/>
        <w:wordWrap/>
        <w:overflowPunct/>
        <w:topLinePunct w:val="0"/>
        <w:bidi w:val="0"/>
        <w:spacing w:line="560" w:lineRule="exact"/>
        <w:ind w:firstLine="482" w:firstLineChars="200"/>
        <w:textAlignment w:val="auto"/>
        <w:outlineLvl w:val="9"/>
        <w:rPr>
          <w:rFonts w:ascii="宋体" w:hAnsi="宋体"/>
          <w:color w:val="auto"/>
          <w:sz w:val="24"/>
          <w:highlight w:val="none"/>
        </w:rPr>
      </w:pPr>
      <w:bookmarkStart w:id="427" w:name="_Toc28855"/>
      <w:bookmarkStart w:id="428" w:name="_Toc15367"/>
      <w:bookmarkStart w:id="429" w:name="_Toc22967"/>
      <w:bookmarkStart w:id="430" w:name="_Toc20421"/>
      <w:bookmarkStart w:id="43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7"/>
      <w:bookmarkEnd w:id="428"/>
      <w:bookmarkEnd w:id="429"/>
      <w:bookmarkEnd w:id="430"/>
      <w:bookmarkEnd w:id="431"/>
    </w:p>
    <w:p w14:paraId="74377D0D">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C556E8">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0A3CD70">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70CFC48">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83731A4">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8785876">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BE698B0">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32" w:name="_Toc6311"/>
      <w:bookmarkStart w:id="433" w:name="_Toc18585"/>
      <w:bookmarkStart w:id="434" w:name="_Toc2918"/>
      <w:bookmarkStart w:id="435" w:name="_Toc6773"/>
      <w:bookmarkStart w:id="43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32"/>
      <w:bookmarkEnd w:id="433"/>
      <w:bookmarkEnd w:id="434"/>
      <w:bookmarkEnd w:id="435"/>
      <w:bookmarkEnd w:id="436"/>
    </w:p>
    <w:p w14:paraId="787C480A">
      <w:pPr>
        <w:pageBreakBefore w:val="0"/>
        <w:kinsoku/>
        <w:wordWrap/>
        <w:overflowPunct/>
        <w:topLinePunct w:val="0"/>
        <w:bidi w:val="0"/>
        <w:spacing w:line="360" w:lineRule="auto"/>
        <w:ind w:firstLine="420"/>
        <w:textAlignment w:val="auto"/>
        <w:outlineLvl w:val="9"/>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rPr>
        <w:t>购买系统维保服务，保障杭州市卫健委“平安卫健”系统、杭州市婴育数字化应用系统、杭州市健康应用、杭州市中医药数据驾驶舱、城市大脑运维保障等五个系统的正常运维。乙方承诺对甲方整个项目的运行和维护进行总包揽工作，并承担与本建设任务以外的子系统之间的协调解决的工作；</w:t>
      </w:r>
    </w:p>
    <w:p w14:paraId="52E49900">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详见招标文件、投标文件</w:t>
      </w:r>
      <w:r>
        <w:rPr>
          <w:rFonts w:ascii="宋体" w:hAnsi="宋体"/>
          <w:color w:val="auto"/>
          <w:sz w:val="24"/>
          <w:highlight w:val="none"/>
          <w:u w:val="single"/>
        </w:rPr>
        <w:t xml:space="preserve">     </w:t>
      </w:r>
      <w:r>
        <w:rPr>
          <w:rFonts w:hint="eastAsia" w:ascii="宋体" w:hAnsi="宋体"/>
          <w:color w:val="auto"/>
          <w:sz w:val="24"/>
          <w:highlight w:val="none"/>
        </w:rPr>
        <w:t>；</w:t>
      </w:r>
    </w:p>
    <w:p w14:paraId="26CE6819">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rPr>
        <w:t>详见招标文件、投标文件</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77C4B6A">
      <w:pPr>
        <w:pageBreakBefore w:val="0"/>
        <w:kinsoku/>
        <w:wordWrap/>
        <w:overflowPunct/>
        <w:topLinePunct w:val="0"/>
        <w:bidi w:val="0"/>
        <w:spacing w:line="560" w:lineRule="exact"/>
        <w:ind w:firstLine="480" w:firstLineChars="200"/>
        <w:jc w:val="left"/>
        <w:textAlignment w:val="auto"/>
        <w:outlineLvl w:val="9"/>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rPr>
        <w:t>详见招标文件、投标文件</w:t>
      </w:r>
      <w:r>
        <w:rPr>
          <w:rFonts w:ascii="宋体" w:hAnsi="宋体"/>
          <w:color w:val="auto"/>
          <w:sz w:val="24"/>
          <w:highlight w:val="none"/>
          <w:u w:val="single"/>
        </w:rPr>
        <w:t xml:space="preserve">    </w:t>
      </w:r>
      <w:r>
        <w:rPr>
          <w:rFonts w:hint="eastAsia" w:ascii="宋体" w:hAnsi="宋体"/>
          <w:color w:val="auto"/>
          <w:sz w:val="24"/>
          <w:highlight w:val="none"/>
        </w:rPr>
        <w:t>；</w:t>
      </w:r>
    </w:p>
    <w:p w14:paraId="56661486">
      <w:pPr>
        <w:pStyle w:val="960"/>
        <w:pageBreakBefore w:val="0"/>
        <w:kinsoku/>
        <w:wordWrap/>
        <w:overflowPunct/>
        <w:topLinePunct w:val="0"/>
        <w:bidi w:val="0"/>
        <w:spacing w:before="0" w:beforeAutospacing="0" w:after="0" w:afterAutospacing="0" w:line="360" w:lineRule="auto"/>
        <w:ind w:firstLine="480"/>
        <w:textAlignment w:val="auto"/>
        <w:outlineLvl w:val="9"/>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cs="仿宋"/>
          <w:color w:val="auto"/>
          <w:highlight w:val="none"/>
        </w:rPr>
        <w:t>/</w:t>
      </w:r>
      <w:r>
        <w:rPr>
          <w:rFonts w:hint="eastAsia"/>
          <w:color w:val="auto"/>
          <w:highlight w:val="none"/>
        </w:rPr>
        <w:t>否）涉及货物。若涉及货物的的，则：</w:t>
      </w:r>
    </w:p>
    <w:p w14:paraId="252E2B8D">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u w:val="single"/>
        </w:rPr>
      </w:pPr>
      <w:bookmarkStart w:id="437" w:name="_Toc5635"/>
      <w:bookmarkStart w:id="438" w:name="_Toc21124"/>
      <w:bookmarkStart w:id="439" w:name="_Toc13918"/>
      <w:bookmarkStart w:id="440" w:name="_Toc4929"/>
      <w:bookmarkStart w:id="441"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499603">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0CF077">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71FD57">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r>
        <w:rPr>
          <w:rFonts w:ascii="宋体" w:hAnsi="宋体"/>
          <w:b/>
          <w:color w:val="auto"/>
          <w:sz w:val="24"/>
          <w:highlight w:val="none"/>
        </w:rPr>
        <w:t>1.3 价款</w:t>
      </w:r>
      <w:bookmarkEnd w:id="437"/>
      <w:bookmarkEnd w:id="438"/>
      <w:bookmarkEnd w:id="439"/>
      <w:bookmarkEnd w:id="440"/>
      <w:bookmarkEnd w:id="441"/>
    </w:p>
    <w:p w14:paraId="3410D2F7">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47A17D7">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4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F138DE">
            <w:pPr>
              <w:pStyle w:val="320"/>
              <w:pageBreakBefore w:val="0"/>
              <w:kinsoku/>
              <w:wordWrap/>
              <w:overflowPunct/>
              <w:topLinePunct w:val="0"/>
              <w:bidi w:val="0"/>
              <w:spacing w:line="560" w:lineRule="exact"/>
              <w:jc w:val="center"/>
              <w:textAlignment w:val="auto"/>
              <w:outlineLvl w:val="9"/>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31F8B77">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C3646E0">
            <w:pPr>
              <w:pStyle w:val="320"/>
              <w:pageBreakBefore w:val="0"/>
              <w:kinsoku/>
              <w:wordWrap/>
              <w:overflowPunct/>
              <w:topLinePunct w:val="0"/>
              <w:bidi w:val="0"/>
              <w:spacing w:line="560" w:lineRule="exact"/>
              <w:jc w:val="center"/>
              <w:textAlignment w:val="auto"/>
              <w:outlineLvl w:val="9"/>
              <w:rPr>
                <w:rFonts w:hAnsi="宋体"/>
                <w:color w:val="auto"/>
                <w:sz w:val="24"/>
                <w:szCs w:val="24"/>
                <w:highlight w:val="none"/>
              </w:rPr>
            </w:pPr>
            <w:r>
              <w:rPr>
                <w:rFonts w:hAnsi="宋体"/>
                <w:color w:val="auto"/>
                <w:sz w:val="24"/>
                <w:szCs w:val="24"/>
                <w:highlight w:val="none"/>
              </w:rPr>
              <w:t>分项价格</w:t>
            </w:r>
          </w:p>
        </w:tc>
      </w:tr>
      <w:tr w14:paraId="5110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E0AC8F">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3402" w:type="dxa"/>
            <w:vAlign w:val="center"/>
          </w:tcPr>
          <w:p w14:paraId="2848B8DA">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2552" w:type="dxa"/>
            <w:vAlign w:val="center"/>
          </w:tcPr>
          <w:p w14:paraId="08E840F1">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r>
      <w:tr w14:paraId="382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720F0">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3402" w:type="dxa"/>
            <w:vAlign w:val="center"/>
          </w:tcPr>
          <w:p w14:paraId="510798BD">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2552" w:type="dxa"/>
            <w:vAlign w:val="center"/>
          </w:tcPr>
          <w:p w14:paraId="2B7B66C0">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r>
      <w:tr w14:paraId="076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A95E17">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3402" w:type="dxa"/>
            <w:vAlign w:val="center"/>
          </w:tcPr>
          <w:p w14:paraId="4E8B982F">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2552" w:type="dxa"/>
            <w:vAlign w:val="center"/>
          </w:tcPr>
          <w:p w14:paraId="5C5A186B">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r>
      <w:tr w14:paraId="2318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03312A">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3402" w:type="dxa"/>
            <w:vAlign w:val="center"/>
          </w:tcPr>
          <w:p w14:paraId="1181D002">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c>
          <w:tcPr>
            <w:tcW w:w="2552" w:type="dxa"/>
            <w:vAlign w:val="center"/>
          </w:tcPr>
          <w:p w14:paraId="3C159599">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r>
      <w:tr w14:paraId="38B0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CD2F1D5">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3943B38">
            <w:pPr>
              <w:pStyle w:val="320"/>
              <w:pageBreakBefore w:val="0"/>
              <w:kinsoku/>
              <w:wordWrap/>
              <w:overflowPunct/>
              <w:topLinePunct w:val="0"/>
              <w:bidi w:val="0"/>
              <w:spacing w:line="560" w:lineRule="exact"/>
              <w:ind w:firstLine="200"/>
              <w:jc w:val="center"/>
              <w:textAlignment w:val="auto"/>
              <w:outlineLvl w:val="9"/>
              <w:rPr>
                <w:rFonts w:hAnsi="宋体"/>
                <w:color w:val="auto"/>
                <w:sz w:val="24"/>
                <w:szCs w:val="24"/>
                <w:highlight w:val="none"/>
              </w:rPr>
            </w:pPr>
          </w:p>
        </w:tc>
      </w:tr>
    </w:tbl>
    <w:p w14:paraId="67537668">
      <w:pPr>
        <w:pStyle w:val="960"/>
        <w:pageBreakBefore w:val="0"/>
        <w:kinsoku/>
        <w:wordWrap/>
        <w:overflowPunct/>
        <w:topLinePunct w:val="0"/>
        <w:bidi w:val="0"/>
        <w:spacing w:before="0" w:beforeAutospacing="0" w:after="0" w:afterAutospacing="0" w:line="360" w:lineRule="auto"/>
        <w:ind w:firstLine="480"/>
        <w:textAlignment w:val="auto"/>
        <w:outlineLvl w:val="9"/>
        <w:rPr>
          <w:b/>
          <w:color w:val="auto"/>
          <w:highlight w:val="none"/>
        </w:rPr>
      </w:pPr>
      <w:bookmarkStart w:id="442" w:name="_Toc1814"/>
      <w:bookmarkStart w:id="443" w:name="_Toc10340"/>
      <w:bookmarkStart w:id="444" w:name="_Toc22618"/>
      <w:bookmarkStart w:id="445" w:name="_Toc3625"/>
      <w:bookmarkStart w:id="446" w:name="_Toc4760"/>
      <w:bookmarkStart w:id="447" w:name="_Toc8772"/>
      <w:bookmarkStart w:id="448" w:name="_Toc31421"/>
      <w:bookmarkStart w:id="449" w:name="_Toc11108"/>
      <w:r>
        <w:rPr>
          <w:rFonts w:hint="eastAsia"/>
          <w:b/>
          <w:color w:val="auto"/>
          <w:highlight w:val="none"/>
        </w:rPr>
        <w:t>1.4履约保证金</w:t>
      </w:r>
    </w:p>
    <w:p w14:paraId="07F26873">
      <w:pPr>
        <w:pStyle w:val="960"/>
        <w:pageBreakBefore w:val="0"/>
        <w:kinsoku/>
        <w:wordWrap/>
        <w:overflowPunct/>
        <w:topLinePunct w:val="0"/>
        <w:bidi w:val="0"/>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cs="仿宋"/>
          <w:color w:val="auto"/>
          <w:highlight w:val="none"/>
        </w:rPr>
        <w:t>/</w:t>
      </w:r>
      <w:r>
        <w:rPr>
          <w:rFonts w:hint="eastAsia"/>
          <w:color w:val="auto"/>
          <w:highlight w:val="none"/>
        </w:rPr>
        <w:t>否）需要支付履约保证金。若需要支付履约保证金的，则：</w:t>
      </w:r>
    </w:p>
    <w:p w14:paraId="799DB022">
      <w:pPr>
        <w:pageBreakBefore w:val="0"/>
        <w:kinsoku/>
        <w:wordWrap/>
        <w:overflowPunct/>
        <w:topLinePunct w:val="0"/>
        <w:bidi w:val="0"/>
        <w:spacing w:line="560" w:lineRule="exact"/>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7AF693">
      <w:pPr>
        <w:pageBreakBefore w:val="0"/>
        <w:kinsoku/>
        <w:wordWrap/>
        <w:overflowPunct/>
        <w:topLinePunct w:val="0"/>
        <w:bidi w:val="0"/>
        <w:spacing w:line="560" w:lineRule="exact"/>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552205F">
      <w:pPr>
        <w:pageBreakBefore w:val="0"/>
        <w:tabs>
          <w:tab w:val="left" w:pos="0"/>
          <w:tab w:val="left" w:pos="432"/>
        </w:tabs>
        <w:kinsoku/>
        <w:wordWrap/>
        <w:overflowPunct/>
        <w:topLinePunct w:val="0"/>
        <w:bidi w:val="0"/>
        <w:spacing w:line="560" w:lineRule="exact"/>
        <w:ind w:left="0" w:firstLine="480" w:firstLineChars="200"/>
        <w:textAlignment w:val="auto"/>
        <w:outlineLvl w:val="9"/>
        <w:rPr>
          <w:rFonts w:ascii="宋体" w:hAnsi="宋体"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B0B47A">
      <w:pPr>
        <w:pageBreakBefore w:val="0"/>
        <w:kinsoku/>
        <w:wordWrap/>
        <w:overflowPunct/>
        <w:topLinePunct w:val="0"/>
        <w:bidi w:val="0"/>
        <w:spacing w:line="560" w:lineRule="exact"/>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8088F99">
      <w:pPr>
        <w:pageBreakBefore w:val="0"/>
        <w:kinsoku/>
        <w:wordWrap/>
        <w:overflowPunct/>
        <w:topLinePunct w:val="0"/>
        <w:bidi w:val="0"/>
        <w:spacing w:line="560" w:lineRule="exact"/>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1.5</w:t>
      </w:r>
      <w:bookmarkEnd w:id="442"/>
      <w:bookmarkEnd w:id="443"/>
      <w:bookmarkEnd w:id="444"/>
      <w:r>
        <w:rPr>
          <w:rFonts w:hint="eastAsia" w:ascii="宋体" w:hAnsi="宋体" w:cs="宋体"/>
          <w:b/>
          <w:color w:val="auto"/>
          <w:sz w:val="24"/>
          <w:highlight w:val="none"/>
        </w:rPr>
        <w:t>预付款</w:t>
      </w:r>
    </w:p>
    <w:p w14:paraId="7B79D445">
      <w:pPr>
        <w:pStyle w:val="960"/>
        <w:pageBreakBefore w:val="0"/>
        <w:kinsoku/>
        <w:wordWrap/>
        <w:overflowPunct/>
        <w:topLinePunct w:val="0"/>
        <w:bidi w:val="0"/>
        <w:spacing w:before="0" w:beforeAutospacing="0" w:after="0" w:afterAutospacing="0" w:line="360" w:lineRule="auto"/>
        <w:ind w:firstLine="480"/>
        <w:textAlignment w:val="auto"/>
        <w:outlineLvl w:val="9"/>
        <w:rPr>
          <w:color w:val="auto"/>
          <w:highlight w:val="none"/>
        </w:rPr>
      </w:pPr>
      <w:r>
        <w:rPr>
          <w:rFonts w:hint="eastAsia"/>
          <w:color w:val="auto"/>
          <w:highlight w:val="none"/>
        </w:rPr>
        <w:t>甲方</w:t>
      </w:r>
      <w:r>
        <w:rPr>
          <w:rFonts w:hint="eastAsia"/>
          <w:color w:val="auto"/>
          <w:highlight w:val="none"/>
          <w:u w:val="single"/>
        </w:rPr>
        <w:t>是</w:t>
      </w:r>
      <w:r>
        <w:rPr>
          <w:rFonts w:hint="eastAsia"/>
          <w:color w:val="auto"/>
          <w:highlight w:val="none"/>
        </w:rPr>
        <w:t>（是</w:t>
      </w:r>
      <w:r>
        <w:rPr>
          <w:rFonts w:hint="eastAsia" w:cs="仿宋"/>
          <w:color w:val="auto"/>
          <w:highlight w:val="none"/>
        </w:rPr>
        <w:t>/</w:t>
      </w:r>
      <w:r>
        <w:rPr>
          <w:rFonts w:hint="eastAsia"/>
          <w:color w:val="auto"/>
          <w:highlight w:val="none"/>
        </w:rPr>
        <w:t>否）需要支付预付款。若需要支付预付款的，则：</w:t>
      </w:r>
    </w:p>
    <w:p w14:paraId="0BD1464B">
      <w:pPr>
        <w:pageBreakBefore w:val="0"/>
        <w:kinsoku/>
        <w:wordWrap/>
        <w:overflowPunct/>
        <w:topLinePunct w:val="0"/>
        <w:bidi w:val="0"/>
        <w:spacing w:line="560" w:lineRule="exact"/>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825C05">
      <w:pPr>
        <w:pStyle w:val="960"/>
        <w:pageBreakBefore w:val="0"/>
        <w:kinsoku/>
        <w:wordWrap/>
        <w:overflowPunct/>
        <w:topLinePunct w:val="0"/>
        <w:bidi w:val="0"/>
        <w:spacing w:before="0" w:beforeAutospacing="0" w:after="0" w:afterAutospacing="0" w:line="360" w:lineRule="auto"/>
        <w:ind w:firstLine="480"/>
        <w:textAlignment w:val="auto"/>
        <w:outlineLvl w:val="9"/>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211358A">
      <w:pPr>
        <w:pStyle w:val="960"/>
        <w:pageBreakBefore w:val="0"/>
        <w:kinsoku/>
        <w:wordWrap/>
        <w:overflowPunct/>
        <w:topLinePunct w:val="0"/>
        <w:bidi w:val="0"/>
        <w:spacing w:before="0" w:beforeAutospacing="0" w:after="0" w:afterAutospacing="0" w:line="360" w:lineRule="auto"/>
        <w:ind w:firstLine="480"/>
        <w:textAlignment w:val="auto"/>
        <w:outlineLvl w:val="9"/>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93F9D36">
      <w:pPr>
        <w:pStyle w:val="960"/>
        <w:pageBreakBefore w:val="0"/>
        <w:kinsoku/>
        <w:wordWrap/>
        <w:overflowPunct/>
        <w:topLinePunct w:val="0"/>
        <w:bidi w:val="0"/>
        <w:spacing w:before="0" w:beforeAutospacing="0" w:after="0" w:afterAutospacing="0" w:line="360" w:lineRule="auto"/>
        <w:ind w:firstLine="480"/>
        <w:textAlignment w:val="auto"/>
        <w:outlineLvl w:val="9"/>
        <w:rPr>
          <w:b/>
          <w:bCs/>
          <w:color w:val="auto"/>
          <w:highlight w:val="none"/>
        </w:rPr>
      </w:pPr>
      <w:r>
        <w:rPr>
          <w:rFonts w:hint="eastAsia"/>
          <w:b/>
          <w:bCs/>
          <w:color w:val="auto"/>
          <w:highlight w:val="none"/>
        </w:rPr>
        <w:t>1.6资金支付</w:t>
      </w:r>
    </w:p>
    <w:p w14:paraId="487F15A8">
      <w:pPr>
        <w:pStyle w:val="960"/>
        <w:pageBreakBefore w:val="0"/>
        <w:kinsoku/>
        <w:wordWrap/>
        <w:overflowPunct/>
        <w:topLinePunct w:val="0"/>
        <w:bidi w:val="0"/>
        <w:spacing w:before="0" w:beforeAutospacing="0" w:after="0" w:afterAutospacing="0" w:line="360" w:lineRule="auto"/>
        <w:ind w:firstLine="480"/>
        <w:textAlignment w:val="auto"/>
        <w:outlineLvl w:val="9"/>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6EB43C">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053259">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45"/>
      <w:bookmarkEnd w:id="446"/>
      <w:bookmarkEnd w:id="447"/>
      <w:bookmarkEnd w:id="448"/>
      <w:bookmarkEnd w:id="449"/>
    </w:p>
    <w:p w14:paraId="4A693DEC">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796C6A">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40E4A4">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F904205">
      <w:pPr>
        <w:pageBreakBefore w:val="0"/>
        <w:kinsoku/>
        <w:wordWrap/>
        <w:overflowPunct/>
        <w:topLinePunct w:val="0"/>
        <w:bidi w:val="0"/>
        <w:spacing w:line="560" w:lineRule="exact"/>
        <w:ind w:firstLine="480" w:firstLineChars="200"/>
        <w:textAlignment w:val="auto"/>
        <w:outlineLvl w:val="9"/>
        <w:rPr>
          <w:rFonts w:ascii="宋体" w:hAnsi="宋体"/>
          <w:bCs/>
          <w:color w:val="auto"/>
          <w:sz w:val="24"/>
          <w:highlight w:val="none"/>
        </w:rPr>
      </w:pPr>
      <w:bookmarkStart w:id="450" w:name="_Toc3079"/>
      <w:bookmarkStart w:id="451" w:name="_Toc5698"/>
      <w:bookmarkStart w:id="452" w:name="_Toc8586"/>
      <w:bookmarkStart w:id="453" w:name="_Toc24662"/>
      <w:bookmarkStart w:id="454" w:name="_Toc2375"/>
      <w:r>
        <w:rPr>
          <w:rFonts w:hint="eastAsia" w:ascii="宋体" w:hAnsi="宋体"/>
          <w:bCs/>
          <w:color w:val="auto"/>
          <w:sz w:val="24"/>
          <w:highlight w:val="none"/>
        </w:rPr>
        <w:t>1.7.4若服务涉及货物的，则货物的：</w:t>
      </w:r>
    </w:p>
    <w:p w14:paraId="7C417681">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66C3802">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AD9C63">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555EF4">
      <w:pPr>
        <w:pageBreakBefore w:val="0"/>
        <w:kinsoku/>
        <w:wordWrap/>
        <w:overflowPunct/>
        <w:topLinePunct w:val="0"/>
        <w:bidi w:val="0"/>
        <w:spacing w:line="560" w:lineRule="exact"/>
        <w:ind w:firstLine="482" w:firstLineChars="200"/>
        <w:textAlignment w:val="auto"/>
        <w:outlineLvl w:val="9"/>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0"/>
      <w:bookmarkEnd w:id="451"/>
      <w:bookmarkEnd w:id="452"/>
      <w:bookmarkEnd w:id="453"/>
      <w:bookmarkEnd w:id="454"/>
    </w:p>
    <w:p w14:paraId="59287A13">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bookmarkStart w:id="455" w:name="_Hlk129533809"/>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0E01707">
      <w:pPr>
        <w:pageBreakBefore w:val="0"/>
        <w:tabs>
          <w:tab w:val="left" w:pos="432"/>
        </w:tabs>
        <w:kinsoku/>
        <w:wordWrap/>
        <w:overflowPunct/>
        <w:topLinePunct w:val="0"/>
        <w:bidi w:val="0"/>
        <w:ind w:left="0" w:firstLine="480" w:firstLineChars="200"/>
        <w:textAlignment w:val="auto"/>
        <w:outlineLvl w:val="9"/>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FE01F24">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4177960">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rPr>
      </w:pPr>
      <w:bookmarkStart w:id="456" w:name="_Toc30329"/>
      <w:bookmarkStart w:id="457" w:name="_Toc18683"/>
      <w:bookmarkStart w:id="458" w:name="_Toc9497"/>
      <w:bookmarkStart w:id="459" w:name="_Toc26807"/>
      <w:bookmarkStart w:id="460"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984049">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E721F7">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55"/>
    <w:p w14:paraId="480EB45B">
      <w:pPr>
        <w:pageBreakBefore w:val="0"/>
        <w:kinsoku/>
        <w:wordWrap/>
        <w:overflowPunct/>
        <w:topLinePunct w:val="0"/>
        <w:bidi w:val="0"/>
        <w:spacing w:line="560" w:lineRule="exact"/>
        <w:ind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56"/>
    <w:bookmarkEnd w:id="457"/>
    <w:bookmarkEnd w:id="458"/>
    <w:bookmarkEnd w:id="459"/>
    <w:bookmarkEnd w:id="460"/>
    <w:p w14:paraId="7729E6AA">
      <w:pPr>
        <w:pageBreakBefore w:val="0"/>
        <w:kinsoku/>
        <w:wordWrap/>
        <w:overflowPunct/>
        <w:topLinePunct w:val="0"/>
        <w:bidi w:val="0"/>
        <w:spacing w:line="560" w:lineRule="exact"/>
        <w:ind w:firstLine="482" w:firstLineChars="200"/>
        <w:textAlignment w:val="auto"/>
        <w:outlineLvl w:val="9"/>
        <w:rPr>
          <w:rFonts w:ascii="宋体" w:hAnsi="宋体" w:cs="宋体"/>
          <w:b/>
          <w:color w:val="auto"/>
          <w:sz w:val="24"/>
          <w:highlight w:val="none"/>
        </w:rPr>
      </w:pPr>
      <w:bookmarkStart w:id="461" w:name="_Toc16021"/>
      <w:bookmarkStart w:id="462" w:name="_Toc28375"/>
      <w:bookmarkStart w:id="463" w:name="_Toc15583"/>
      <w:r>
        <w:rPr>
          <w:rFonts w:hint="eastAsia" w:ascii="宋体" w:hAnsi="宋体" w:cs="宋体"/>
          <w:b/>
          <w:color w:val="auto"/>
          <w:sz w:val="24"/>
          <w:highlight w:val="none"/>
        </w:rPr>
        <w:t>1.9合同争议的解决</w:t>
      </w:r>
      <w:bookmarkEnd w:id="461"/>
      <w:bookmarkEnd w:id="462"/>
      <w:bookmarkEnd w:id="463"/>
    </w:p>
    <w:p w14:paraId="1D82FF45">
      <w:pPr>
        <w:pageBreakBefore w:val="0"/>
        <w:kinsoku/>
        <w:wordWrap/>
        <w:overflowPunct/>
        <w:topLinePunct w:val="0"/>
        <w:bidi w:val="0"/>
        <w:spacing w:line="560" w:lineRule="exact"/>
        <w:ind w:left="-61" w:leftChars="-29" w:right="-420" w:rightChars="-200"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bookmarkStart w:id="464" w:name="_Hlk129533857"/>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587C91E">
      <w:pPr>
        <w:pageBreakBefore w:val="0"/>
        <w:kinsoku/>
        <w:wordWrap/>
        <w:overflowPunct/>
        <w:topLinePunct w:val="0"/>
        <w:bidi w:val="0"/>
        <w:spacing w:line="560" w:lineRule="exact"/>
        <w:ind w:left="-420" w:leftChars="-200" w:right="-420" w:rightChars="-200" w:firstLine="600" w:firstLineChars="250"/>
        <w:textAlignment w:val="auto"/>
        <w:outlineLvl w:val="9"/>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53B4F94">
      <w:pPr>
        <w:pageBreakBefore w:val="0"/>
        <w:kinsoku/>
        <w:wordWrap/>
        <w:overflowPunct/>
        <w:topLinePunct w:val="0"/>
        <w:bidi w:val="0"/>
        <w:spacing w:line="560" w:lineRule="exact"/>
        <w:ind w:left="-420" w:leftChars="-200" w:right="-420" w:rightChars="-200" w:firstLine="600" w:firstLineChars="250"/>
        <w:textAlignment w:val="auto"/>
        <w:outlineLvl w:val="9"/>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bookmarkEnd w:id="464"/>
    <w:p w14:paraId="4F68A5C6">
      <w:pPr>
        <w:pageBreakBefore w:val="0"/>
        <w:kinsoku/>
        <w:wordWrap/>
        <w:overflowPunct/>
        <w:topLinePunct w:val="0"/>
        <w:bidi w:val="0"/>
        <w:spacing w:line="560" w:lineRule="exact"/>
        <w:ind w:firstLine="482" w:firstLineChars="200"/>
        <w:textAlignment w:val="auto"/>
        <w:outlineLvl w:val="9"/>
        <w:rPr>
          <w:rFonts w:ascii="宋体" w:hAnsi="宋体" w:cs="宋体"/>
          <w:b/>
          <w:color w:val="auto"/>
          <w:sz w:val="24"/>
          <w:highlight w:val="none"/>
        </w:rPr>
      </w:pPr>
      <w:bookmarkStart w:id="465" w:name="_Toc11173"/>
      <w:bookmarkStart w:id="466" w:name="_Toc15322"/>
      <w:bookmarkStart w:id="467" w:name="_Toc7245"/>
      <w:r>
        <w:rPr>
          <w:rFonts w:hint="eastAsia" w:ascii="宋体" w:hAnsi="宋体" w:cs="宋体"/>
          <w:b/>
          <w:color w:val="auto"/>
          <w:sz w:val="24"/>
          <w:highlight w:val="none"/>
        </w:rPr>
        <w:t>2.0 合同生效</w:t>
      </w:r>
      <w:bookmarkEnd w:id="465"/>
      <w:bookmarkEnd w:id="466"/>
      <w:bookmarkEnd w:id="467"/>
    </w:p>
    <w:p w14:paraId="7CAC81EE">
      <w:pPr>
        <w:pageBreakBefore w:val="0"/>
        <w:kinsoku/>
        <w:wordWrap/>
        <w:overflowPunct/>
        <w:topLinePunct w:val="0"/>
        <w:bidi w:val="0"/>
        <w:spacing w:line="560" w:lineRule="exact"/>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10181F9">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p>
    <w:p w14:paraId="31E3E056">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E220389">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9EE57E7">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p>
    <w:p w14:paraId="57AF12CB">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270DE0B">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F034634">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BA91C9E">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1BBD09C">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D3ECA36">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CE055C7">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5479D2B">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7654759">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36EFB2D">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3A698A9">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93B3E6C">
      <w:pPr>
        <w:pageBreakBefore w:val="0"/>
        <w:kinsoku/>
        <w:wordWrap/>
        <w:overflowPunct/>
        <w:topLinePunct w:val="0"/>
        <w:autoSpaceDE w:val="0"/>
        <w:autoSpaceDN w:val="0"/>
        <w:bidi w:val="0"/>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0D68377">
      <w:pPr>
        <w:pageBreakBefore w:val="0"/>
        <w:widowControl/>
        <w:kinsoku/>
        <w:wordWrap/>
        <w:overflowPunct/>
        <w:topLinePunct w:val="0"/>
        <w:bidi w:val="0"/>
        <w:spacing w:line="560" w:lineRule="exact"/>
        <w:jc w:val="left"/>
        <w:textAlignment w:val="auto"/>
        <w:outlineLvl w:val="9"/>
        <w:rPr>
          <w:rFonts w:ascii="宋体" w:hAnsi="宋体"/>
          <w:b/>
          <w:color w:val="auto"/>
          <w:sz w:val="24"/>
          <w:highlight w:val="none"/>
        </w:rPr>
      </w:pPr>
    </w:p>
    <w:p w14:paraId="407E119F">
      <w:pPr>
        <w:pageBreakBefore w:val="0"/>
        <w:widowControl/>
        <w:kinsoku/>
        <w:wordWrap/>
        <w:overflowPunct/>
        <w:topLinePunct w:val="0"/>
        <w:bidi w:val="0"/>
        <w:adjustRightInd/>
        <w:jc w:val="left"/>
        <w:textAlignment w:val="auto"/>
        <w:outlineLvl w:val="9"/>
        <w:rPr>
          <w:rFonts w:ascii="宋体" w:hAnsi="宋体"/>
          <w:b/>
          <w:color w:val="auto"/>
          <w:sz w:val="24"/>
          <w:highlight w:val="none"/>
        </w:rPr>
      </w:pPr>
      <w:r>
        <w:rPr>
          <w:rFonts w:ascii="宋体" w:hAnsi="宋体"/>
          <w:b/>
          <w:color w:val="auto"/>
          <w:highlight w:val="none"/>
        </w:rPr>
        <w:br w:type="page"/>
      </w:r>
    </w:p>
    <w:p w14:paraId="3F76CCBE">
      <w:pPr>
        <w:pStyle w:val="702"/>
        <w:pageBreakBefore w:val="0"/>
        <w:kinsoku/>
        <w:wordWrap/>
        <w:overflowPunct/>
        <w:topLinePunct w:val="0"/>
        <w:bidi w:val="0"/>
        <w:spacing w:line="560" w:lineRule="exact"/>
        <w:ind w:firstLine="482"/>
        <w:jc w:val="center"/>
        <w:textAlignment w:val="auto"/>
        <w:outlineLvl w:val="9"/>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B995B02">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68" w:name="_Toc31297"/>
      <w:bookmarkStart w:id="469" w:name="_Toc5228"/>
      <w:bookmarkStart w:id="470" w:name="_Toc25079"/>
      <w:bookmarkStart w:id="471" w:name="_Toc19680"/>
      <w:bookmarkStart w:id="472" w:name="_Toc14021"/>
      <w:r>
        <w:rPr>
          <w:rFonts w:ascii="宋体" w:hAnsi="宋体"/>
          <w:b/>
          <w:color w:val="auto"/>
          <w:sz w:val="24"/>
          <w:highlight w:val="none"/>
        </w:rPr>
        <w:t>2.1 定义</w:t>
      </w:r>
      <w:bookmarkEnd w:id="468"/>
      <w:bookmarkEnd w:id="469"/>
      <w:bookmarkEnd w:id="470"/>
      <w:bookmarkEnd w:id="471"/>
      <w:bookmarkEnd w:id="472"/>
    </w:p>
    <w:p w14:paraId="5545283A">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925245E">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0F10830">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9D3CB57">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2CA166">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4388E5D">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BA4421">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2.1.6 “现场”系指合同约定提供服务的地点。</w:t>
      </w:r>
    </w:p>
    <w:p w14:paraId="6CD45E42">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73" w:name="_Toc16752"/>
      <w:bookmarkStart w:id="474" w:name="_Toc19539"/>
      <w:bookmarkStart w:id="475" w:name="_Toc31402"/>
      <w:bookmarkStart w:id="476" w:name="_Toc23289"/>
      <w:bookmarkStart w:id="477" w:name="_Toc3769"/>
      <w:r>
        <w:rPr>
          <w:rFonts w:ascii="宋体" w:hAnsi="宋体"/>
          <w:b/>
          <w:color w:val="auto"/>
          <w:sz w:val="24"/>
          <w:highlight w:val="none"/>
        </w:rPr>
        <w:t>2.2 技术规范</w:t>
      </w:r>
      <w:bookmarkEnd w:id="473"/>
      <w:bookmarkEnd w:id="474"/>
      <w:bookmarkEnd w:id="475"/>
      <w:bookmarkEnd w:id="476"/>
      <w:bookmarkEnd w:id="477"/>
    </w:p>
    <w:p w14:paraId="2A30F3A1">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2FF1F76">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78" w:name="_Toc13673"/>
      <w:bookmarkStart w:id="479" w:name="_Toc9161"/>
      <w:bookmarkStart w:id="480" w:name="_Toc4133"/>
      <w:bookmarkStart w:id="481" w:name="_Toc12412"/>
      <w:bookmarkStart w:id="482" w:name="_Toc27945"/>
      <w:r>
        <w:rPr>
          <w:rFonts w:ascii="宋体" w:hAnsi="宋体"/>
          <w:b/>
          <w:color w:val="auto"/>
          <w:sz w:val="24"/>
          <w:highlight w:val="none"/>
        </w:rPr>
        <w:t>2.3 知识产权</w:t>
      </w:r>
      <w:bookmarkEnd w:id="478"/>
      <w:bookmarkEnd w:id="479"/>
      <w:bookmarkEnd w:id="480"/>
      <w:bookmarkEnd w:id="481"/>
      <w:bookmarkEnd w:id="482"/>
    </w:p>
    <w:p w14:paraId="0066BFA6">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0D2E540">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5B18698">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6853BDC">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05666BF">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DB0A918">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83" w:name="_Toc26555"/>
      <w:bookmarkStart w:id="484" w:name="_Toc32670"/>
      <w:bookmarkStart w:id="485" w:name="_Toc31233"/>
      <w:bookmarkStart w:id="486" w:name="_Toc22011"/>
      <w:bookmarkStart w:id="487" w:name="_Toc15447"/>
      <w:r>
        <w:rPr>
          <w:rFonts w:ascii="宋体" w:hAnsi="宋体"/>
          <w:b/>
          <w:color w:val="auto"/>
          <w:sz w:val="24"/>
          <w:highlight w:val="none"/>
        </w:rPr>
        <w:t>2.5 结算方式和付款条件</w:t>
      </w:r>
      <w:bookmarkEnd w:id="483"/>
      <w:bookmarkEnd w:id="484"/>
      <w:bookmarkEnd w:id="485"/>
      <w:bookmarkEnd w:id="486"/>
      <w:bookmarkEnd w:id="487"/>
    </w:p>
    <w:p w14:paraId="3D53D35D">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3E061DD">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88" w:name="_Toc13467"/>
      <w:bookmarkStart w:id="489" w:name="_Toc13154"/>
      <w:bookmarkStart w:id="490" w:name="_Toc16163"/>
      <w:bookmarkStart w:id="491" w:name="_Toc18990"/>
      <w:bookmarkStart w:id="492" w:name="_Toc30507"/>
      <w:r>
        <w:rPr>
          <w:rFonts w:ascii="宋体" w:hAnsi="宋体"/>
          <w:b/>
          <w:color w:val="auto"/>
          <w:sz w:val="24"/>
          <w:highlight w:val="none"/>
        </w:rPr>
        <w:t>2.6 技术资料和保密义务</w:t>
      </w:r>
      <w:bookmarkEnd w:id="488"/>
      <w:bookmarkEnd w:id="489"/>
      <w:bookmarkEnd w:id="490"/>
      <w:bookmarkEnd w:id="491"/>
      <w:bookmarkEnd w:id="492"/>
    </w:p>
    <w:p w14:paraId="62173546">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F639E0A">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BB2B6C8">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21AE5A2">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9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3"/>
    </w:p>
    <w:p w14:paraId="4CE83C8F">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4682972">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B0AB8AE">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9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4"/>
    </w:p>
    <w:p w14:paraId="555BC2E0">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C4FF925">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9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5"/>
    </w:p>
    <w:p w14:paraId="6315DE40">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FC26F9">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496" w:name="_Toc42"/>
      <w:bookmarkStart w:id="497" w:name="_Toc23368"/>
      <w:bookmarkStart w:id="498" w:name="_Toc26689"/>
      <w:bookmarkStart w:id="499" w:name="_Toc21830"/>
      <w:bookmarkStart w:id="500" w:name="_Toc10663"/>
      <w:r>
        <w:rPr>
          <w:rFonts w:ascii="宋体" w:hAnsi="宋体"/>
          <w:b/>
          <w:color w:val="auto"/>
          <w:sz w:val="24"/>
          <w:highlight w:val="none"/>
        </w:rPr>
        <w:t>2.10 合同转让和分包</w:t>
      </w:r>
      <w:bookmarkEnd w:id="496"/>
      <w:bookmarkEnd w:id="497"/>
      <w:bookmarkEnd w:id="498"/>
      <w:bookmarkEnd w:id="499"/>
      <w:bookmarkEnd w:id="500"/>
    </w:p>
    <w:p w14:paraId="5C70039C">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04759C1">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501" w:name="_Toc26633"/>
      <w:bookmarkStart w:id="502" w:name="_Toc4720"/>
      <w:bookmarkStart w:id="503" w:name="_Toc14371"/>
      <w:bookmarkStart w:id="504" w:name="_Toc25571"/>
      <w:bookmarkStart w:id="505" w:name="_Toc32494"/>
      <w:r>
        <w:rPr>
          <w:rFonts w:ascii="宋体" w:hAnsi="宋体"/>
          <w:b/>
          <w:color w:val="auto"/>
          <w:sz w:val="24"/>
          <w:highlight w:val="none"/>
        </w:rPr>
        <w:t>2.11 不可抗力</w:t>
      </w:r>
      <w:bookmarkEnd w:id="501"/>
      <w:bookmarkEnd w:id="502"/>
      <w:bookmarkEnd w:id="503"/>
      <w:bookmarkEnd w:id="504"/>
      <w:bookmarkEnd w:id="505"/>
    </w:p>
    <w:p w14:paraId="5C4B1209">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6FFC3B4">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D03A176">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F561A3C">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5395EFD">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506" w:name="_Toc23854"/>
      <w:bookmarkStart w:id="507" w:name="_Toc3638"/>
      <w:bookmarkStart w:id="508" w:name="_Toc14115"/>
      <w:bookmarkStart w:id="509" w:name="_Toc24465"/>
      <w:bookmarkStart w:id="510" w:name="_Toc25783"/>
      <w:r>
        <w:rPr>
          <w:rFonts w:ascii="宋体" w:hAnsi="宋体"/>
          <w:b/>
          <w:color w:val="auto"/>
          <w:sz w:val="24"/>
          <w:highlight w:val="none"/>
        </w:rPr>
        <w:t>2.12 税费</w:t>
      </w:r>
      <w:bookmarkEnd w:id="506"/>
      <w:bookmarkEnd w:id="507"/>
      <w:bookmarkEnd w:id="508"/>
      <w:bookmarkEnd w:id="509"/>
      <w:bookmarkEnd w:id="510"/>
    </w:p>
    <w:p w14:paraId="14FDFF08">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F2D97B1">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511" w:name="_Toc30105"/>
      <w:bookmarkStart w:id="512" w:name="_Toc25525"/>
      <w:bookmarkStart w:id="513" w:name="_Toc14814"/>
      <w:bookmarkStart w:id="514" w:name="_Toc7315"/>
      <w:bookmarkStart w:id="515" w:name="_Toc26883"/>
      <w:r>
        <w:rPr>
          <w:rFonts w:ascii="宋体" w:hAnsi="宋体"/>
          <w:b/>
          <w:color w:val="auto"/>
          <w:sz w:val="24"/>
          <w:highlight w:val="none"/>
        </w:rPr>
        <w:t>2.13 乙方破产</w:t>
      </w:r>
      <w:bookmarkEnd w:id="511"/>
      <w:bookmarkEnd w:id="512"/>
      <w:bookmarkEnd w:id="513"/>
      <w:bookmarkEnd w:id="514"/>
      <w:bookmarkEnd w:id="515"/>
    </w:p>
    <w:p w14:paraId="43214D93">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FA9C602">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516" w:name="_Toc2016"/>
      <w:bookmarkStart w:id="517" w:name="_Toc23323"/>
      <w:bookmarkStart w:id="518" w:name="_Toc1123"/>
      <w:r>
        <w:rPr>
          <w:rFonts w:ascii="宋体" w:hAnsi="宋体"/>
          <w:b/>
          <w:color w:val="auto"/>
          <w:sz w:val="24"/>
          <w:highlight w:val="none"/>
        </w:rPr>
        <w:t>2.14 合同中止、终止</w:t>
      </w:r>
      <w:bookmarkEnd w:id="516"/>
      <w:bookmarkEnd w:id="517"/>
      <w:bookmarkEnd w:id="518"/>
    </w:p>
    <w:p w14:paraId="5F1E311D">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44EFF14">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59C5811">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519" w:name="_Toc17363"/>
      <w:bookmarkStart w:id="520" w:name="_Toc14525"/>
      <w:bookmarkStart w:id="521" w:name="_Toc1969"/>
      <w:r>
        <w:rPr>
          <w:rFonts w:ascii="宋体" w:hAnsi="宋体"/>
          <w:b/>
          <w:color w:val="auto"/>
          <w:sz w:val="24"/>
          <w:highlight w:val="none"/>
        </w:rPr>
        <w:t>2.15 检验和验收</w:t>
      </w:r>
      <w:bookmarkEnd w:id="519"/>
      <w:bookmarkEnd w:id="520"/>
      <w:bookmarkEnd w:id="521"/>
    </w:p>
    <w:p w14:paraId="59EB47AF">
      <w:pPr>
        <w:pageBreakBefore w:val="0"/>
        <w:tabs>
          <w:tab w:val="left" w:pos="360"/>
          <w:tab w:val="left" w:pos="540"/>
          <w:tab w:val="left" w:pos="1080"/>
        </w:tabs>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229F7AA">
      <w:pPr>
        <w:pageBreakBefore w:val="0"/>
        <w:tabs>
          <w:tab w:val="left" w:pos="360"/>
          <w:tab w:val="left" w:pos="540"/>
          <w:tab w:val="left" w:pos="1080"/>
        </w:tabs>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0F0E9A">
      <w:pPr>
        <w:pageBreakBefore w:val="0"/>
        <w:tabs>
          <w:tab w:val="left" w:pos="360"/>
          <w:tab w:val="left" w:pos="540"/>
          <w:tab w:val="left" w:pos="1080"/>
        </w:tabs>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FAFD541">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522" w:name="_Toc25198"/>
      <w:bookmarkStart w:id="523" w:name="_Toc12666"/>
      <w:bookmarkStart w:id="524" w:name="_Toc31892"/>
      <w:bookmarkStart w:id="525" w:name="_Toc2308"/>
      <w:bookmarkStart w:id="526" w:name="_Toc9808"/>
      <w:r>
        <w:rPr>
          <w:rFonts w:ascii="宋体" w:hAnsi="宋体"/>
          <w:b/>
          <w:color w:val="auto"/>
          <w:sz w:val="24"/>
          <w:highlight w:val="none"/>
        </w:rPr>
        <w:t>2.16 通知和送达</w:t>
      </w:r>
      <w:bookmarkEnd w:id="522"/>
      <w:bookmarkEnd w:id="523"/>
      <w:bookmarkEnd w:id="524"/>
      <w:bookmarkEnd w:id="525"/>
      <w:bookmarkEnd w:id="526"/>
    </w:p>
    <w:p w14:paraId="2794F801">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bookmarkStart w:id="527" w:name="_Toc18401"/>
      <w:bookmarkStart w:id="528" w:name="_Toc27674"/>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8FB0C97">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7"/>
      <w:bookmarkEnd w:id="528"/>
    </w:p>
    <w:p w14:paraId="721EC89B">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bookmarkStart w:id="529" w:name="_Toc12254"/>
      <w:bookmarkStart w:id="530" w:name="_Toc20808"/>
      <w:bookmarkStart w:id="531" w:name="_Toc5063"/>
      <w:bookmarkStart w:id="532" w:name="_Toc28906"/>
      <w:bookmarkStart w:id="533"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29"/>
      <w:bookmarkEnd w:id="530"/>
      <w:bookmarkEnd w:id="531"/>
      <w:bookmarkEnd w:id="532"/>
      <w:bookmarkEnd w:id="533"/>
    </w:p>
    <w:p w14:paraId="2202D4A7">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1A4C556">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93356B4">
      <w:pPr>
        <w:pageBreakBefore w:val="0"/>
        <w:kinsoku/>
        <w:wordWrap/>
        <w:overflowPunct/>
        <w:topLinePunct w:val="0"/>
        <w:bidi w:val="0"/>
        <w:spacing w:line="560" w:lineRule="exact"/>
        <w:ind w:firstLine="482" w:firstLineChars="200"/>
        <w:textAlignment w:val="auto"/>
        <w:outlineLvl w:val="9"/>
        <w:rPr>
          <w:rFonts w:ascii="宋体" w:hAnsi="宋体" w:cs="宋体"/>
          <w:b/>
          <w:color w:val="auto"/>
          <w:sz w:val="24"/>
          <w:highlight w:val="none"/>
        </w:rPr>
      </w:pPr>
      <w:bookmarkStart w:id="534" w:name="_Toc30599"/>
      <w:bookmarkStart w:id="535" w:name="_Toc4355"/>
      <w:bookmarkStart w:id="536" w:name="_Toc18540"/>
      <w:r>
        <w:rPr>
          <w:rFonts w:hint="eastAsia" w:ascii="宋体" w:hAnsi="宋体" w:cs="宋体"/>
          <w:b/>
          <w:color w:val="auto"/>
          <w:sz w:val="24"/>
          <w:highlight w:val="none"/>
        </w:rPr>
        <w:t>2.18 计量单位</w:t>
      </w:r>
      <w:bookmarkEnd w:id="534"/>
      <w:bookmarkEnd w:id="535"/>
      <w:bookmarkEnd w:id="536"/>
    </w:p>
    <w:p w14:paraId="1191DE6E">
      <w:pPr>
        <w:pageBreakBefore w:val="0"/>
        <w:kinsoku/>
        <w:wordWrap/>
        <w:overflowPunct/>
        <w:topLinePunct w:val="0"/>
        <w:bidi w:val="0"/>
        <w:spacing w:line="56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40EEDCA">
      <w:pPr>
        <w:pageBreakBefore w:val="0"/>
        <w:kinsoku/>
        <w:wordWrap/>
        <w:overflowPunct/>
        <w:topLinePunct w:val="0"/>
        <w:bidi w:val="0"/>
        <w:spacing w:line="560" w:lineRule="exact"/>
        <w:ind w:firstLine="482" w:firstLineChars="200"/>
        <w:textAlignment w:val="auto"/>
        <w:outlineLvl w:val="9"/>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BC53153">
      <w:pPr>
        <w:pageBreakBefore w:val="0"/>
        <w:kinsoku/>
        <w:wordWrap/>
        <w:overflowPunct/>
        <w:topLinePunct w:val="0"/>
        <w:bidi w:val="0"/>
        <w:spacing w:line="560" w:lineRule="exact"/>
        <w:ind w:firstLine="480" w:firstLineChars="200"/>
        <w:textAlignment w:val="auto"/>
        <w:outlineLvl w:val="9"/>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702404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37" w:name="_Toc331685784"/>
      <w:r>
        <w:rPr>
          <w:rFonts w:hint="eastAsia" w:ascii="宋体" w:hAnsi="宋体" w:cs="宋体"/>
          <w:b/>
          <w:color w:val="auto"/>
          <w:sz w:val="24"/>
          <w:highlight w:val="none"/>
        </w:rPr>
        <w:t xml:space="preserve"> </w:t>
      </w:r>
      <w:bookmarkEnd w:id="537"/>
      <w:r>
        <w:rPr>
          <w:rFonts w:hint="eastAsia" w:ascii="宋体" w:hAnsi="宋体" w:cs="宋体"/>
          <w:b/>
          <w:color w:val="auto"/>
          <w:sz w:val="24"/>
          <w:highlight w:val="none"/>
        </w:rPr>
        <w:t>第三部分  合同专用条款</w:t>
      </w:r>
    </w:p>
    <w:p w14:paraId="5887C9C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86"/>
        <w:gridCol w:w="8140"/>
      </w:tblGrid>
      <w:tr w14:paraId="3FBA4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40" w:type="pct"/>
            <w:tcBorders>
              <w:left w:val="single" w:color="auto" w:sz="4" w:space="0"/>
            </w:tcBorders>
            <w:vAlign w:val="center"/>
          </w:tcPr>
          <w:p w14:paraId="6C559237">
            <w:pPr>
              <w:keepNext w:val="0"/>
              <w:keepLines w:val="0"/>
              <w:pageBreakBefore w:val="0"/>
              <w:kinsoku/>
              <w:wordWrap/>
              <w:overflowPunct/>
              <w:topLinePunct w:val="0"/>
              <w:autoSpaceDE/>
              <w:autoSpaceDN/>
              <w:bidi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460" w:type="pct"/>
            <w:vAlign w:val="center"/>
          </w:tcPr>
          <w:p w14:paraId="29D73288">
            <w:pPr>
              <w:keepNext w:val="0"/>
              <w:keepLines w:val="0"/>
              <w:pageBreakBefore w:val="0"/>
              <w:kinsoku/>
              <w:wordWrap/>
              <w:overflowPunct/>
              <w:topLinePunct w:val="0"/>
              <w:autoSpaceDE/>
              <w:autoSpaceDN/>
              <w:bidi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14:paraId="7786A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68C0221D">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1.3.2</w:t>
            </w:r>
          </w:p>
        </w:tc>
        <w:tc>
          <w:tcPr>
            <w:tcW w:w="4460" w:type="pct"/>
            <w:vAlign w:val="center"/>
          </w:tcPr>
          <w:p w14:paraId="2DE9A5B4">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0FD9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036E734C">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460" w:type="pct"/>
            <w:vAlign w:val="center"/>
          </w:tcPr>
          <w:p w14:paraId="3F49DE16">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61BD7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30342A26">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0" w:type="pct"/>
            <w:vAlign w:val="center"/>
          </w:tcPr>
          <w:p w14:paraId="5C41C207">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kern w:val="0"/>
                <w:sz w:val="24"/>
                <w:highlight w:val="none"/>
              </w:rPr>
              <w:t>合同生效并具备实施条件财政资金到位的情况后</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个工作日内，</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支付2025年服务周期合同金额50％作为预付款。</w:t>
            </w:r>
          </w:p>
        </w:tc>
      </w:tr>
      <w:tr w14:paraId="67882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3CCAB75F">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1.5.2</w:t>
            </w:r>
          </w:p>
        </w:tc>
        <w:tc>
          <w:tcPr>
            <w:tcW w:w="4460" w:type="pct"/>
            <w:vAlign w:val="center"/>
          </w:tcPr>
          <w:p w14:paraId="47E99865">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06CE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6E88004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0" w:type="pct"/>
            <w:vAlign w:val="center"/>
          </w:tcPr>
          <w:p w14:paraId="727ED56A">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3814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3213EE59">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460" w:type="pct"/>
            <w:vAlign w:val="center"/>
          </w:tcPr>
          <w:p w14:paraId="41AB9C35">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1、服务款采用分期付款方式结算，共分两次支付，具体付款方式如下：</w:t>
            </w:r>
          </w:p>
          <w:p w14:paraId="6F9468DB">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（1）第一期:合同生效并具备实施条件财政资金到位的情况后</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个工作日内，</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支付2025年服务周期合同金额50％作为预付款，</w:t>
            </w:r>
          </w:p>
          <w:p w14:paraId="2B877DF7">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（2）第二期:2025年11月3</w:t>
            </w:r>
            <w:r>
              <w:rPr>
                <w:rFonts w:ascii="宋体" w:hAnsi="宋体" w:cs="宋体"/>
                <w:color w:val="auto"/>
                <w:kern w:val="0"/>
                <w:sz w:val="24"/>
                <w:highlight w:val="none"/>
              </w:rPr>
              <w:t>0</w:t>
            </w:r>
            <w:r>
              <w:rPr>
                <w:rFonts w:hint="eastAsia" w:ascii="宋体" w:hAnsi="宋体" w:cs="宋体"/>
                <w:color w:val="auto"/>
                <w:kern w:val="0"/>
                <w:sz w:val="24"/>
                <w:highlight w:val="none"/>
              </w:rPr>
              <w:t>日前，中心对本项目服务按照《信息化维保服务质量考核表》进行考核，根据年度考核得分计算2025年服务周期剩余维护服务款(2025年服务周期合同金额30%和2025年服务周期合同金额20%的年度考核分数的百分比的金额总和)，乙方凭甲方签字盖章的支付通知书和全额发票向甲方办理2025年服务周期剩余维护服务款结算手续。</w:t>
            </w:r>
          </w:p>
          <w:p w14:paraId="07F82F7F">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2、合同生效后15个工作日内，乙方按照合同生效日期，和上一年度运维厂商进行逾期结算（如有）</w:t>
            </w:r>
          </w:p>
          <w:p w14:paraId="5742C88B">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逾期结算及义务：如果中标人和上一年度运维厂商不是同一中标人，并且本合同签订日由于某些客观原因在上一年度运维期之后的，中标人按照上一年度运维合同金额，折算逾期运维费用，结算给上一年度运维厂商。如果本合同运维到期后，还未签订新的运维合同，</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将无条件按照本合同继续履行运维工作，直到下一年度中标厂商和</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进行逾期结算。</w:t>
            </w:r>
          </w:p>
        </w:tc>
      </w:tr>
      <w:tr w14:paraId="003C0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7FAE2DFF">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460" w:type="pct"/>
            <w:vAlign w:val="center"/>
          </w:tcPr>
          <w:p w14:paraId="58278C3E">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2025年</w:t>
            </w:r>
            <w:r>
              <w:rPr>
                <w:rFonts w:ascii="宋体" w:hAnsi="宋体" w:cs="宋体"/>
                <w:b/>
                <w:color w:val="auto"/>
                <w:sz w:val="24"/>
                <w:highlight w:val="none"/>
              </w:rPr>
              <w:t>01</w:t>
            </w:r>
            <w:r>
              <w:rPr>
                <w:rFonts w:hint="eastAsia" w:ascii="宋体" w:hAnsi="宋体" w:cs="宋体"/>
                <w:b/>
                <w:color w:val="auto"/>
                <w:sz w:val="24"/>
                <w:highlight w:val="none"/>
              </w:rPr>
              <w:t>月</w:t>
            </w:r>
            <w:r>
              <w:rPr>
                <w:rFonts w:ascii="宋体" w:hAnsi="宋体" w:cs="宋体"/>
                <w:b/>
                <w:color w:val="auto"/>
                <w:sz w:val="24"/>
                <w:highlight w:val="none"/>
              </w:rPr>
              <w:t>01</w:t>
            </w:r>
            <w:r>
              <w:rPr>
                <w:rFonts w:hint="eastAsia" w:ascii="宋体" w:hAnsi="宋体" w:cs="宋体"/>
                <w:b/>
                <w:color w:val="auto"/>
                <w:sz w:val="24"/>
                <w:highlight w:val="none"/>
              </w:rPr>
              <w:t>日至2025年1</w:t>
            </w:r>
            <w:r>
              <w:rPr>
                <w:rFonts w:ascii="宋体" w:hAnsi="宋体" w:cs="宋体"/>
                <w:b/>
                <w:color w:val="auto"/>
                <w:sz w:val="24"/>
                <w:highlight w:val="none"/>
              </w:rPr>
              <w:t>2</w:t>
            </w:r>
            <w:r>
              <w:rPr>
                <w:rFonts w:hint="eastAsia" w:ascii="宋体" w:hAnsi="宋体" w:cs="宋体"/>
                <w:b/>
                <w:color w:val="auto"/>
                <w:sz w:val="24"/>
                <w:highlight w:val="none"/>
              </w:rPr>
              <w:t>月3</w:t>
            </w:r>
            <w:r>
              <w:rPr>
                <w:rFonts w:ascii="宋体" w:hAnsi="宋体" w:cs="宋体"/>
                <w:b/>
                <w:color w:val="auto"/>
                <w:sz w:val="24"/>
                <w:highlight w:val="none"/>
              </w:rPr>
              <w:t>1</w:t>
            </w:r>
            <w:r>
              <w:rPr>
                <w:rFonts w:hint="eastAsia" w:ascii="宋体" w:hAnsi="宋体" w:cs="宋体"/>
                <w:b/>
                <w:color w:val="auto"/>
                <w:sz w:val="24"/>
                <w:highlight w:val="none"/>
              </w:rPr>
              <w:t>日</w:t>
            </w:r>
          </w:p>
        </w:tc>
      </w:tr>
      <w:tr w14:paraId="57043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194E3CCE">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1.7.2</w:t>
            </w:r>
          </w:p>
        </w:tc>
        <w:tc>
          <w:tcPr>
            <w:tcW w:w="4460" w:type="pct"/>
            <w:vAlign w:val="center"/>
          </w:tcPr>
          <w:p w14:paraId="697F62F5">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杭州市卫生健康事业发展中心及指定地点</w:t>
            </w:r>
          </w:p>
        </w:tc>
      </w:tr>
      <w:tr w14:paraId="01315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585B7E20">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460" w:type="pct"/>
            <w:vAlign w:val="center"/>
          </w:tcPr>
          <w:p w14:paraId="4902883C">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现场服务</w:t>
            </w:r>
          </w:p>
        </w:tc>
      </w:tr>
      <w:tr w14:paraId="782E0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5C799E5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1.7.4.1</w:t>
            </w:r>
          </w:p>
        </w:tc>
        <w:tc>
          <w:tcPr>
            <w:tcW w:w="4460" w:type="pct"/>
          </w:tcPr>
          <w:p w14:paraId="40BB9ACA">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70EE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1882FE76">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1.7.4.2</w:t>
            </w:r>
          </w:p>
        </w:tc>
        <w:tc>
          <w:tcPr>
            <w:tcW w:w="4460" w:type="pct"/>
          </w:tcPr>
          <w:p w14:paraId="7468BB86">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39E8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185B9621">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1.7.4.3</w:t>
            </w:r>
          </w:p>
        </w:tc>
        <w:tc>
          <w:tcPr>
            <w:tcW w:w="4460" w:type="pct"/>
          </w:tcPr>
          <w:p w14:paraId="0C9B390C">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1D93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1CD260D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1.8.7</w:t>
            </w:r>
          </w:p>
        </w:tc>
        <w:tc>
          <w:tcPr>
            <w:tcW w:w="4460" w:type="pct"/>
            <w:vAlign w:val="center"/>
          </w:tcPr>
          <w:p w14:paraId="4DD91F5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7EBE5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3BF4733A">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1.9.1</w:t>
            </w:r>
          </w:p>
        </w:tc>
        <w:tc>
          <w:tcPr>
            <w:tcW w:w="4460" w:type="pct"/>
            <w:vAlign w:val="center"/>
          </w:tcPr>
          <w:p w14:paraId="2BF55B5A">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045D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676A0009">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1.9.2</w:t>
            </w:r>
          </w:p>
        </w:tc>
        <w:tc>
          <w:tcPr>
            <w:tcW w:w="4460" w:type="pct"/>
            <w:vAlign w:val="center"/>
          </w:tcPr>
          <w:p w14:paraId="689056C6">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bookmarkStart w:id="538"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38"/>
          </w:p>
        </w:tc>
      </w:tr>
      <w:tr w14:paraId="672E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1D993DD1">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460" w:type="pct"/>
            <w:vAlign w:val="center"/>
          </w:tcPr>
          <w:p w14:paraId="1AE53BAB">
            <w:pPr>
              <w:keepNext w:val="0"/>
              <w:keepLines w:val="0"/>
              <w:pageBreakBefore w:val="0"/>
              <w:kinsoku/>
              <w:wordWrap/>
              <w:overflowPunct/>
              <w:topLinePunct w:val="0"/>
              <w:autoSpaceDE/>
              <w:autoSpaceDN/>
              <w:bidi w:val="0"/>
              <w:snapToGrid w:val="0"/>
              <w:spacing w:line="360" w:lineRule="auto"/>
              <w:ind w:left="-420" w:leftChars="-200" w:right="-420" w:righ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2A5D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07903D65">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0" w:type="pct"/>
            <w:vAlign w:val="center"/>
          </w:tcPr>
          <w:p w14:paraId="43900F80">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1、服务款采用分期付款方式结算，共分两次支付，具体付款方式如下：</w:t>
            </w:r>
          </w:p>
          <w:p w14:paraId="08AF8A1B">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（1）第一期:合同生效并具备实施条件财政资金到位的情况后</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个工作日内，</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支付2025年服务周期合同金额50％作为预付款，</w:t>
            </w:r>
          </w:p>
          <w:p w14:paraId="5151D0CD">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（2）第二期:2025年11月3</w:t>
            </w:r>
            <w:r>
              <w:rPr>
                <w:rFonts w:ascii="宋体" w:hAnsi="宋体" w:cs="宋体"/>
                <w:color w:val="auto"/>
                <w:kern w:val="0"/>
                <w:sz w:val="24"/>
                <w:highlight w:val="none"/>
              </w:rPr>
              <w:t>0</w:t>
            </w:r>
            <w:r>
              <w:rPr>
                <w:rFonts w:hint="eastAsia" w:ascii="宋体" w:hAnsi="宋体" w:cs="宋体"/>
                <w:color w:val="auto"/>
                <w:kern w:val="0"/>
                <w:sz w:val="24"/>
                <w:highlight w:val="none"/>
              </w:rPr>
              <w:t>日前，中心对本项目服务按照《信息化维保服务质量考核表》进行考核，根据年度考核得分计算2025年服务周期剩余维护服务款(2025年服务周期合同金额30%和2025年服务周期合同金额20%的年度考核分数的百分比的金额总和)，乙方凭甲方签字盖章的支付通知书和全额发票向甲方办理2025年服务周期剩余维护服务款结算手续。</w:t>
            </w:r>
          </w:p>
          <w:p w14:paraId="4AC41BA5">
            <w:pPr>
              <w:keepNext w:val="0"/>
              <w:keepLines w:val="0"/>
              <w:pageBreakBefore w:val="0"/>
              <w:widowControl/>
              <w:kinsoku/>
              <w:wordWrap/>
              <w:overflowPunct/>
              <w:topLinePunct w:val="0"/>
              <w:autoSpaceDE/>
              <w:autoSpaceDN/>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2、合同生效后15个工作日内，乙方按照合同生效日期，和上一年度运维厂商进行逾期结算（如有）</w:t>
            </w:r>
          </w:p>
          <w:p w14:paraId="6065543E">
            <w:pPr>
              <w:keepNext w:val="0"/>
              <w:keepLines w:val="0"/>
              <w:pageBreakBefore w:val="0"/>
              <w:kinsoku/>
              <w:wordWrap/>
              <w:overflowPunct/>
              <w:topLinePunct w:val="0"/>
              <w:autoSpaceDE/>
              <w:autoSpaceDN/>
              <w:bidi w:val="0"/>
              <w:snapToGrid w:val="0"/>
              <w:spacing w:line="360" w:lineRule="auto"/>
              <w:textAlignment w:val="auto"/>
              <w:rPr>
                <w:rFonts w:ascii="宋体" w:hAnsi="宋体"/>
                <w:iCs/>
                <w:color w:val="auto"/>
                <w:sz w:val="24"/>
                <w:highlight w:val="none"/>
              </w:rPr>
            </w:pPr>
            <w:r>
              <w:rPr>
                <w:rFonts w:hint="eastAsia" w:ascii="宋体" w:hAnsi="宋体" w:cs="宋体"/>
                <w:color w:val="auto"/>
                <w:kern w:val="0"/>
                <w:sz w:val="24"/>
                <w:highlight w:val="none"/>
              </w:rPr>
              <w:t>3、逾期结算及义务：如果中标人和上一年度运维厂商不是同一中标人，并且本合同签订日由于某些客观原因在上一年度运维期之后的，中标人按照上一年度运维合同金额，折算逾期运维费用，结算给上一年度运维厂商。如果本合同运维到期后，还未签订新的运维合同，</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将无条件按照本合同继续履行运维工作，直到下一年度中标厂商和</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进行逾期结算。</w:t>
            </w:r>
          </w:p>
        </w:tc>
      </w:tr>
      <w:tr w14:paraId="14F5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6938851D">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0" w:type="pct"/>
            <w:vAlign w:val="center"/>
          </w:tcPr>
          <w:p w14:paraId="3857A22C">
            <w:pPr>
              <w:keepNext w:val="0"/>
              <w:keepLines w:val="0"/>
              <w:pageBreakBefore w:val="0"/>
              <w:kinsoku/>
              <w:wordWrap/>
              <w:overflowPunct/>
              <w:topLinePunct w:val="0"/>
              <w:autoSpaceDE/>
              <w:autoSpaceDN/>
              <w:bidi w:val="0"/>
              <w:snapToGrid w:val="0"/>
              <w:spacing w:line="360" w:lineRule="auto"/>
              <w:textAlignment w:val="auto"/>
              <w:rPr>
                <w:rFonts w:ascii="宋体" w:hAnsi="宋体"/>
                <w:iCs/>
                <w:color w:val="auto"/>
                <w:sz w:val="24"/>
                <w:highlight w:val="none"/>
              </w:rPr>
            </w:pPr>
            <w:r>
              <w:rPr>
                <w:rFonts w:hint="eastAsia" w:ascii="宋体" w:hAnsi="宋体"/>
                <w:iCs/>
                <w:color w:val="auto"/>
                <w:sz w:val="24"/>
                <w:highlight w:val="none"/>
              </w:rPr>
              <w:t>因不可抗力致使合同有变更必要的，双方当事人应在15日内以书面形式变更合同。</w:t>
            </w:r>
          </w:p>
        </w:tc>
      </w:tr>
      <w:tr w14:paraId="15DB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tcPr>
          <w:p w14:paraId="1E349450">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0" w:type="pct"/>
          </w:tcPr>
          <w:p w14:paraId="622A8FCF">
            <w:pPr>
              <w:keepNext w:val="0"/>
              <w:keepLines w:val="0"/>
              <w:pageBreakBefore w:val="0"/>
              <w:kinsoku/>
              <w:wordWrap/>
              <w:overflowPunct/>
              <w:topLinePunct w:val="0"/>
              <w:autoSpaceDE/>
              <w:autoSpaceDN/>
              <w:bidi w:val="0"/>
              <w:snapToGrid w:val="0"/>
              <w:spacing w:line="360" w:lineRule="auto"/>
              <w:textAlignment w:val="auto"/>
              <w:rPr>
                <w:rFonts w:ascii="宋体" w:hAnsi="宋体"/>
                <w:iCs/>
                <w:color w:val="auto"/>
                <w:sz w:val="24"/>
                <w:highlight w:val="none"/>
              </w:rPr>
            </w:pPr>
            <w:r>
              <w:rPr>
                <w:rFonts w:hint="eastAsia" w:ascii="宋体" w:hAnsi="宋体"/>
                <w:iCs/>
                <w:color w:val="auto"/>
                <w:sz w:val="24"/>
                <w:highlight w:val="none"/>
              </w:rPr>
              <w:t>受不可抗力影响的一方在不可抗力发生后，应在15日内以书面形式通知对方当事人，并在15日内，将有关部门出具的证明文件送达对方当事人。</w:t>
            </w:r>
          </w:p>
        </w:tc>
      </w:tr>
      <w:tr w14:paraId="45DB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32487F6E">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0" w:type="pct"/>
            <w:vAlign w:val="center"/>
          </w:tcPr>
          <w:p w14:paraId="224D5C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iCs/>
                <w:color w:val="auto"/>
                <w:sz w:val="24"/>
                <w:highlight w:val="none"/>
              </w:rPr>
            </w:pPr>
            <w:r>
              <w:rPr>
                <w:rFonts w:hint="eastAsia" w:ascii="宋体" w:hAnsi="宋体"/>
                <w:iCs/>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0CD333A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iCs/>
                <w:color w:val="auto"/>
                <w:sz w:val="24"/>
                <w:highlight w:val="none"/>
              </w:rPr>
            </w:pPr>
            <w:r>
              <w:rPr>
                <w:rFonts w:hint="eastAsia" w:ascii="宋体" w:hAnsi="宋体"/>
                <w:iCs/>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p w14:paraId="1D7252B6">
            <w:pPr>
              <w:keepNext w:val="0"/>
              <w:keepLines w:val="0"/>
              <w:pageBreakBefore w:val="0"/>
              <w:kinsoku/>
              <w:wordWrap/>
              <w:overflowPunct/>
              <w:topLinePunct w:val="0"/>
              <w:autoSpaceDE/>
              <w:autoSpaceDN/>
              <w:bidi w:val="0"/>
              <w:snapToGrid w:val="0"/>
              <w:spacing w:line="360" w:lineRule="auto"/>
              <w:ind w:firstLine="480" w:firstLineChars="200"/>
              <w:textAlignment w:val="auto"/>
              <w:rPr>
                <w:color w:val="auto"/>
                <w:highlight w:val="none"/>
              </w:rPr>
            </w:pPr>
            <w:bookmarkStart w:id="539" w:name="_Hlk166052783"/>
            <w:r>
              <w:rPr>
                <w:rFonts w:hint="eastAsia" w:ascii="宋体" w:hAnsi="宋体" w:cs="Helvetica"/>
                <w:color w:val="auto"/>
                <w:kern w:val="0"/>
                <w:sz w:val="24"/>
                <w:highlight w:val="none"/>
              </w:rPr>
              <w:t>运维期结束前，中心将对该运维项目服务进行考核，形成《</w:t>
            </w:r>
            <w:r>
              <w:rPr>
                <w:rFonts w:hint="eastAsia" w:ascii="宋体" w:hAnsi="宋体"/>
                <w:color w:val="auto"/>
                <w:kern w:val="0"/>
                <w:sz w:val="24"/>
                <w:highlight w:val="none"/>
                <w:lang w:val="zh-CN"/>
              </w:rPr>
              <w:t>信息化维保服务质量考核表</w:t>
            </w:r>
            <w:r>
              <w:rPr>
                <w:rFonts w:hint="eastAsia" w:ascii="宋体" w:hAnsi="宋体" w:cs="Helvetica"/>
                <w:color w:val="auto"/>
                <w:kern w:val="0"/>
                <w:sz w:val="24"/>
                <w:highlight w:val="none"/>
              </w:rPr>
              <w:t>》（见附件）</w:t>
            </w:r>
            <w:r>
              <w:rPr>
                <w:rFonts w:hint="eastAsia" w:ascii="宋体" w:hAnsi="宋体"/>
                <w:color w:val="auto"/>
                <w:kern w:val="0"/>
                <w:sz w:val="24"/>
                <w:highlight w:val="none"/>
                <w:lang w:val="zh-CN"/>
              </w:rPr>
              <w:t>，根据考核总分对本项目划分等级，按照《杭州市卫生健康事业发展中心信息化项目全流程管理办法》 对应办法，调整下一年度该项目运维经费。</w:t>
            </w:r>
            <w:bookmarkEnd w:id="539"/>
          </w:p>
        </w:tc>
      </w:tr>
      <w:tr w14:paraId="3DF9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14:paraId="1AAC32BD">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0" w:type="pct"/>
            <w:vAlign w:val="center"/>
          </w:tcPr>
          <w:p w14:paraId="5B233D9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）采用本行业通用标准；满足所有采购需求及投标文件承诺；项目验收资料齐全。</w:t>
            </w:r>
          </w:p>
          <w:p w14:paraId="71FFE91B">
            <w:pPr>
              <w:pStyle w:val="62"/>
              <w:keepNext w:val="0"/>
              <w:keepLines w:val="0"/>
              <w:pageBreakBefore w:val="0"/>
              <w:kinsoku/>
              <w:wordWrap/>
              <w:overflowPunct/>
              <w:topLinePunct w:val="0"/>
              <w:autoSpaceDE/>
              <w:autoSpaceDN/>
              <w:bidi w:val="0"/>
              <w:snapToGrid w:val="0"/>
              <w:spacing w:after="0" w:line="360" w:lineRule="auto"/>
              <w:ind w:left="0" w:leftChars="0" w:firstLine="480" w:firstLineChars="0"/>
              <w:textAlignment w:val="auto"/>
              <w:rPr>
                <w:color w:val="auto"/>
                <w:sz w:val="24"/>
                <w:highlight w:val="none"/>
              </w:rPr>
            </w:pPr>
            <w:r>
              <w:rPr>
                <w:color w:val="auto"/>
                <w:sz w:val="24"/>
                <w:highlight w:val="none"/>
              </w:rPr>
              <w:t>2</w:t>
            </w:r>
            <w:r>
              <w:rPr>
                <w:rFonts w:hint="eastAsia"/>
                <w:color w:val="auto"/>
                <w:sz w:val="24"/>
                <w:highlight w:val="none"/>
              </w:rPr>
              <w:t>）采用一次性验收方式。</w:t>
            </w:r>
          </w:p>
          <w:p w14:paraId="019EA3A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rPr>
              <w:t>3）履约验收产生的费用，属于首次验收过程中产生的，由</w:t>
            </w:r>
            <w:r>
              <w:rPr>
                <w:rFonts w:hint="eastAsia" w:ascii="宋体" w:hAnsi="宋体"/>
                <w:color w:val="auto"/>
                <w:sz w:val="24"/>
                <w:highlight w:val="none"/>
                <w:lang w:eastAsia="zh-CN"/>
              </w:rPr>
              <w:t>甲方</w:t>
            </w:r>
            <w:r>
              <w:rPr>
                <w:rFonts w:hint="eastAsia" w:ascii="宋体" w:hAnsi="宋体"/>
                <w:color w:val="auto"/>
                <w:sz w:val="24"/>
                <w:highlight w:val="none"/>
              </w:rPr>
              <w:t>承担；属于首次验收不合格，重新验收过程中产生的，如采购合同有约定按照约定执行，如无约定，由</w:t>
            </w:r>
            <w:r>
              <w:rPr>
                <w:rFonts w:hint="eastAsia" w:ascii="宋体" w:hAnsi="宋体"/>
                <w:color w:val="auto"/>
                <w:sz w:val="24"/>
                <w:highlight w:val="none"/>
                <w:lang w:eastAsia="zh-CN"/>
              </w:rPr>
              <w:t>甲方</w:t>
            </w:r>
            <w:r>
              <w:rPr>
                <w:rFonts w:hint="eastAsia" w:ascii="宋体" w:hAnsi="宋体"/>
                <w:color w:val="auto"/>
                <w:sz w:val="24"/>
                <w:highlight w:val="none"/>
              </w:rPr>
              <w:t>承担。</w:t>
            </w:r>
          </w:p>
        </w:tc>
      </w:tr>
      <w:tr w14:paraId="1F29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40" w:type="pct"/>
            <w:tcBorders>
              <w:left w:val="single" w:color="auto" w:sz="4" w:space="0"/>
            </w:tcBorders>
          </w:tcPr>
          <w:p w14:paraId="3766FE90">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2.19</w:t>
            </w:r>
          </w:p>
        </w:tc>
        <w:tc>
          <w:tcPr>
            <w:tcW w:w="4460" w:type="pct"/>
          </w:tcPr>
          <w:p w14:paraId="0540B9ED">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bookmarkStart w:id="540" w:name="_Hlk124179984"/>
            <w:r>
              <w:rPr>
                <w:rFonts w:hint="eastAsia" w:ascii="宋体" w:hAnsi="宋体" w:cs="仿宋"/>
                <w:color w:val="auto"/>
                <w:sz w:val="24"/>
                <w:highlight w:val="none"/>
              </w:rPr>
              <w:t>本合同壹式四份，甲方执二份，乙方执二份。每份均具有同等法律效力。</w:t>
            </w:r>
            <w:bookmarkEnd w:id="540"/>
          </w:p>
        </w:tc>
      </w:tr>
    </w:tbl>
    <w:p w14:paraId="25DBC835">
      <w:pPr>
        <w:rPr>
          <w:rFonts w:ascii="宋体" w:hAnsi="宋体"/>
          <w:color w:val="auto"/>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tbl>
      <w:tblPr>
        <w:tblStyle w:val="63"/>
        <w:tblpPr w:leftFromText="180" w:rightFromText="180" w:vertAnchor="page" w:horzAnchor="page" w:tblpX="701" w:tblpY="1345"/>
        <w:tblW w:w="1555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93"/>
        <w:gridCol w:w="658"/>
        <w:gridCol w:w="687"/>
        <w:gridCol w:w="1189"/>
        <w:gridCol w:w="5157"/>
      </w:tblGrid>
      <w:tr w14:paraId="5ED380E8">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559" w:type="dxa"/>
            <w:gridSpan w:val="6"/>
            <w:tcBorders>
              <w:top w:val="nil"/>
              <w:bottom w:val="single" w:color="auto" w:sz="4" w:space="0"/>
            </w:tcBorders>
            <w:shd w:val="clear" w:color="000000" w:fill="FFFFFF"/>
            <w:vAlign w:val="center"/>
          </w:tcPr>
          <w:p w14:paraId="4B4857F9">
            <w:pPr>
              <w:jc w:val="center"/>
              <w:rPr>
                <w:rFonts w:ascii="宋体" w:hAnsi="宋体" w:cs="宋体"/>
                <w:b/>
                <w:color w:val="auto"/>
                <w:szCs w:val="21"/>
                <w:highlight w:val="none"/>
              </w:rPr>
            </w:pPr>
            <w:r>
              <w:rPr>
                <w:rFonts w:hint="eastAsia" w:ascii="宋体" w:hAnsi="宋体" w:cs="宋体"/>
                <w:b/>
                <w:color w:val="auto"/>
                <w:szCs w:val="21"/>
                <w:highlight w:val="none"/>
              </w:rPr>
              <w:t>信息化维保项目服务质量考核表</w:t>
            </w:r>
          </w:p>
          <w:p w14:paraId="3163DAF4">
            <w:pPr>
              <w:rPr>
                <w:rFonts w:ascii="黑体" w:eastAsia="黑体"/>
                <w:b/>
                <w:color w:val="auto"/>
                <w:szCs w:val="21"/>
                <w:highlight w:val="none"/>
              </w:rPr>
            </w:pPr>
            <w:r>
              <w:rPr>
                <w:rFonts w:hint="eastAsia" w:ascii="宋体" w:hAnsi="宋体" w:cs="宋体"/>
                <w:b/>
                <w:color w:val="auto"/>
                <w:szCs w:val="21"/>
                <w:highlight w:val="none"/>
              </w:rPr>
              <w:t>项目名称：                                              公司名称：                                           考核时间：        年      月      日</w:t>
            </w:r>
          </w:p>
        </w:tc>
      </w:tr>
      <w:tr w14:paraId="02A0B477">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75" w:type="dxa"/>
            <w:tcBorders>
              <w:top w:val="single" w:color="auto" w:sz="4" w:space="0"/>
              <w:left w:val="single" w:color="auto" w:sz="4" w:space="0"/>
            </w:tcBorders>
            <w:shd w:val="clear" w:color="000000" w:fill="FFFFFF"/>
            <w:vAlign w:val="center"/>
          </w:tcPr>
          <w:p w14:paraId="73051BF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193" w:type="dxa"/>
            <w:tcBorders>
              <w:top w:val="single" w:color="auto" w:sz="4" w:space="0"/>
            </w:tcBorders>
            <w:shd w:val="clear" w:color="000000" w:fill="FFFFFF"/>
            <w:vAlign w:val="center"/>
          </w:tcPr>
          <w:p w14:paraId="260E00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考核内容</w:t>
            </w:r>
          </w:p>
        </w:tc>
        <w:tc>
          <w:tcPr>
            <w:tcW w:w="658" w:type="dxa"/>
            <w:tcBorders>
              <w:top w:val="single" w:color="auto" w:sz="4" w:space="0"/>
            </w:tcBorders>
            <w:shd w:val="clear" w:color="000000" w:fill="FFFFFF"/>
            <w:vAlign w:val="center"/>
          </w:tcPr>
          <w:p w14:paraId="023D177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687" w:type="dxa"/>
            <w:tcBorders>
              <w:top w:val="single" w:color="auto" w:sz="4" w:space="0"/>
            </w:tcBorders>
            <w:shd w:val="clear" w:color="000000" w:fill="FFFFFF"/>
            <w:vAlign w:val="center"/>
          </w:tcPr>
          <w:p w14:paraId="7CB9D43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得分</w:t>
            </w:r>
          </w:p>
        </w:tc>
        <w:tc>
          <w:tcPr>
            <w:tcW w:w="1189" w:type="dxa"/>
            <w:tcBorders>
              <w:top w:val="single" w:color="auto" w:sz="4" w:space="0"/>
            </w:tcBorders>
            <w:shd w:val="clear" w:color="000000" w:fill="FFFFFF"/>
            <w:vAlign w:val="center"/>
          </w:tcPr>
          <w:p w14:paraId="000E633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扣分事由</w:t>
            </w:r>
          </w:p>
        </w:tc>
        <w:tc>
          <w:tcPr>
            <w:tcW w:w="5157" w:type="dxa"/>
            <w:tcBorders>
              <w:top w:val="single" w:color="auto" w:sz="4" w:space="0"/>
              <w:right w:val="single" w:color="auto" w:sz="4" w:space="0"/>
            </w:tcBorders>
            <w:shd w:val="clear" w:color="000000" w:fill="FFFFFF"/>
            <w:vAlign w:val="center"/>
          </w:tcPr>
          <w:p w14:paraId="43006E9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扣分说明</w:t>
            </w:r>
          </w:p>
        </w:tc>
      </w:tr>
      <w:tr w14:paraId="0D9C9D8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tcBorders>
              <w:top w:val="single" w:color="auto" w:sz="4" w:space="0"/>
              <w:left w:val="single" w:color="auto" w:sz="4" w:space="0"/>
            </w:tcBorders>
            <w:shd w:val="clear" w:color="auto" w:fill="FFFFFF"/>
            <w:noWrap/>
            <w:vAlign w:val="center"/>
          </w:tcPr>
          <w:p w14:paraId="6A37ED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193" w:type="dxa"/>
            <w:tcBorders>
              <w:top w:val="single" w:color="auto" w:sz="4" w:space="0"/>
            </w:tcBorders>
            <w:shd w:val="clear" w:color="auto" w:fill="FFFFFF"/>
            <w:noWrap/>
            <w:vAlign w:val="center"/>
          </w:tcPr>
          <w:p w14:paraId="7E91ECA6">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维保人员遵守中心和信息处各项规章制度，主动配合和服从信息处统一安排。</w:t>
            </w:r>
          </w:p>
        </w:tc>
        <w:tc>
          <w:tcPr>
            <w:tcW w:w="658" w:type="dxa"/>
            <w:tcBorders>
              <w:top w:val="single" w:color="auto" w:sz="4" w:space="0"/>
            </w:tcBorders>
            <w:shd w:val="clear" w:color="auto" w:fill="FFFFFF"/>
            <w:noWrap/>
            <w:vAlign w:val="center"/>
          </w:tcPr>
          <w:p w14:paraId="3F309A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469D9CCC">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279529DC">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2073980B">
            <w:pPr>
              <w:widowControl/>
              <w:rPr>
                <w:rFonts w:ascii="宋体" w:hAnsi="宋体" w:cs="宋体"/>
                <w:color w:val="auto"/>
                <w:kern w:val="0"/>
                <w:szCs w:val="21"/>
                <w:highlight w:val="none"/>
              </w:rPr>
            </w:pPr>
            <w:r>
              <w:rPr>
                <w:rFonts w:hint="eastAsia" w:ascii="宋体" w:hAnsi="宋体" w:cs="宋体"/>
                <w:color w:val="auto"/>
                <w:kern w:val="0"/>
                <w:szCs w:val="21"/>
                <w:highlight w:val="none"/>
              </w:rPr>
              <w:t>视情况扣1-8分。</w:t>
            </w:r>
          </w:p>
        </w:tc>
      </w:tr>
      <w:tr w14:paraId="1B0833F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tcBorders>
            <w:shd w:val="clear" w:color="auto" w:fill="FFFFFF"/>
            <w:noWrap/>
            <w:vAlign w:val="center"/>
          </w:tcPr>
          <w:p w14:paraId="4C546B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193" w:type="dxa"/>
            <w:tcBorders>
              <w:top w:val="single" w:color="auto" w:sz="4" w:space="0"/>
            </w:tcBorders>
            <w:shd w:val="clear" w:color="auto" w:fill="FFFFFF"/>
            <w:noWrap/>
            <w:vAlign w:val="center"/>
          </w:tcPr>
          <w:p w14:paraId="5DB8B246">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维保人员应具备维保工作所需的专业技术。（</w:t>
            </w:r>
            <w:r>
              <w:rPr>
                <w:rFonts w:hint="eastAsia" w:ascii="宋体" w:hAnsi="宋体" w:cs="宋体"/>
                <w:color w:val="auto"/>
                <w:szCs w:val="21"/>
                <w:highlight w:val="none"/>
              </w:rPr>
              <w:t>未有专业资质该项不得分。</w:t>
            </w:r>
            <w:r>
              <w:rPr>
                <w:rFonts w:hint="eastAsia" w:ascii="宋体" w:hAnsi="宋体" w:cs="宋体"/>
                <w:color w:val="auto"/>
                <w:kern w:val="0"/>
                <w:szCs w:val="21"/>
                <w:highlight w:val="none"/>
              </w:rPr>
              <w:t>）</w:t>
            </w:r>
          </w:p>
        </w:tc>
        <w:tc>
          <w:tcPr>
            <w:tcW w:w="658" w:type="dxa"/>
            <w:tcBorders>
              <w:top w:val="single" w:color="auto" w:sz="4" w:space="0"/>
            </w:tcBorders>
            <w:shd w:val="clear" w:color="auto" w:fill="FFFFFF"/>
            <w:noWrap/>
            <w:vAlign w:val="center"/>
          </w:tcPr>
          <w:p w14:paraId="119C0B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2A7633E5">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13B191F7">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1E3965EF">
            <w:pPr>
              <w:rPr>
                <w:rFonts w:ascii="宋体" w:hAnsi="宋体" w:cs="宋体"/>
                <w:color w:val="auto"/>
                <w:szCs w:val="21"/>
                <w:highlight w:val="none"/>
              </w:rPr>
            </w:pPr>
            <w:r>
              <w:rPr>
                <w:rFonts w:hint="eastAsia" w:ascii="宋体" w:hAnsi="宋体" w:cs="宋体"/>
                <w:color w:val="auto"/>
                <w:kern w:val="0"/>
                <w:szCs w:val="21"/>
                <w:highlight w:val="none"/>
              </w:rPr>
              <w:t>视情况扣1-8分，</w:t>
            </w:r>
            <w:r>
              <w:rPr>
                <w:rFonts w:hint="eastAsia" w:ascii="宋体" w:hAnsi="宋体" w:cs="宋体"/>
                <w:color w:val="auto"/>
                <w:szCs w:val="21"/>
                <w:highlight w:val="none"/>
              </w:rPr>
              <w:t xml:space="preserve"> </w:t>
            </w:r>
          </w:p>
        </w:tc>
      </w:tr>
      <w:tr w14:paraId="4E75271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5" w:type="dxa"/>
            <w:tcBorders>
              <w:top w:val="single" w:color="auto" w:sz="4" w:space="0"/>
              <w:left w:val="single" w:color="auto" w:sz="4" w:space="0"/>
            </w:tcBorders>
            <w:shd w:val="clear" w:color="auto" w:fill="FFFFFF"/>
            <w:noWrap/>
            <w:vAlign w:val="center"/>
          </w:tcPr>
          <w:p w14:paraId="24BDDE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193" w:type="dxa"/>
            <w:tcBorders>
              <w:top w:val="single" w:color="auto" w:sz="4" w:space="0"/>
            </w:tcBorders>
            <w:shd w:val="clear" w:color="auto" w:fill="FFFFFF"/>
            <w:noWrap/>
            <w:vAlign w:val="center"/>
          </w:tcPr>
          <w:p w14:paraId="231FCD4D">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维保人员文明施工，施工期间，因违纪、不文明等行为造成有效投诉的。</w:t>
            </w:r>
          </w:p>
        </w:tc>
        <w:tc>
          <w:tcPr>
            <w:tcW w:w="658" w:type="dxa"/>
            <w:tcBorders>
              <w:top w:val="single" w:color="auto" w:sz="4" w:space="0"/>
            </w:tcBorders>
            <w:shd w:val="clear" w:color="auto" w:fill="FFFFFF"/>
            <w:noWrap/>
            <w:vAlign w:val="center"/>
          </w:tcPr>
          <w:p w14:paraId="1613C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104AA8EC">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1B3F24FA">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607A49FC">
            <w:pPr>
              <w:rPr>
                <w:rFonts w:ascii="宋体" w:hAnsi="宋体" w:cs="宋体"/>
                <w:color w:val="auto"/>
                <w:szCs w:val="21"/>
                <w:highlight w:val="none"/>
              </w:rPr>
            </w:pPr>
            <w:r>
              <w:rPr>
                <w:rFonts w:hint="eastAsia" w:ascii="宋体" w:hAnsi="宋体" w:cs="宋体"/>
                <w:color w:val="auto"/>
                <w:szCs w:val="21"/>
                <w:highlight w:val="none"/>
              </w:rPr>
              <w:t>投诉一次扣2分。</w:t>
            </w:r>
          </w:p>
        </w:tc>
      </w:tr>
      <w:tr w14:paraId="74841AA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tcBorders>
              <w:top w:val="single" w:color="auto" w:sz="4" w:space="0"/>
              <w:left w:val="single" w:color="auto" w:sz="4" w:space="0"/>
            </w:tcBorders>
            <w:shd w:val="clear" w:color="auto" w:fill="FFFFFF"/>
            <w:noWrap/>
            <w:vAlign w:val="center"/>
          </w:tcPr>
          <w:p w14:paraId="7F6A19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193" w:type="dxa"/>
            <w:tcBorders>
              <w:top w:val="single" w:color="auto" w:sz="4" w:space="0"/>
            </w:tcBorders>
            <w:shd w:val="clear" w:color="auto" w:fill="FFFFFF"/>
            <w:vAlign w:val="center"/>
          </w:tcPr>
          <w:p w14:paraId="2460B2B8">
            <w:pPr>
              <w:widowControl/>
              <w:rPr>
                <w:rFonts w:ascii="宋体" w:hAnsi="宋体" w:cs="宋体"/>
                <w:color w:val="auto"/>
                <w:kern w:val="0"/>
                <w:szCs w:val="21"/>
                <w:highlight w:val="none"/>
              </w:rPr>
            </w:pPr>
            <w:r>
              <w:rPr>
                <w:rFonts w:hint="eastAsia" w:ascii="宋体" w:hAnsi="宋体" w:cs="宋体"/>
                <w:color w:val="auto"/>
                <w:kern w:val="0"/>
                <w:szCs w:val="21"/>
                <w:highlight w:val="none"/>
              </w:rPr>
              <w:t>严格按合同要求执行维保计划，按期、按质、按量完成维保任务。</w:t>
            </w:r>
          </w:p>
        </w:tc>
        <w:tc>
          <w:tcPr>
            <w:tcW w:w="658" w:type="dxa"/>
            <w:tcBorders>
              <w:top w:val="single" w:color="auto" w:sz="4" w:space="0"/>
            </w:tcBorders>
            <w:shd w:val="clear" w:color="auto" w:fill="FFFFFF"/>
            <w:noWrap/>
            <w:vAlign w:val="center"/>
          </w:tcPr>
          <w:p w14:paraId="2CB4FC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364036C5">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5881F5C3">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0CBE1DA6">
            <w:pPr>
              <w:rPr>
                <w:rFonts w:ascii="宋体" w:hAnsi="宋体" w:cs="宋体"/>
                <w:color w:val="auto"/>
                <w:szCs w:val="21"/>
                <w:highlight w:val="none"/>
              </w:rPr>
            </w:pPr>
            <w:r>
              <w:rPr>
                <w:rFonts w:hint="eastAsia" w:ascii="宋体" w:hAnsi="宋体" w:cs="宋体"/>
                <w:color w:val="auto"/>
                <w:kern w:val="0"/>
                <w:szCs w:val="21"/>
                <w:highlight w:val="none"/>
              </w:rPr>
              <w:t>违规一次扣2分。</w:t>
            </w:r>
          </w:p>
        </w:tc>
      </w:tr>
      <w:tr w14:paraId="74BDDDC6">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tcBorders>
              <w:top w:val="single" w:color="auto" w:sz="4" w:space="0"/>
              <w:left w:val="single" w:color="auto" w:sz="4" w:space="0"/>
            </w:tcBorders>
            <w:shd w:val="clear" w:color="auto" w:fill="FFFFFF"/>
            <w:vAlign w:val="center"/>
          </w:tcPr>
          <w:p w14:paraId="0B0079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193" w:type="dxa"/>
            <w:tcBorders>
              <w:top w:val="single" w:color="auto" w:sz="4" w:space="0"/>
            </w:tcBorders>
            <w:shd w:val="clear" w:color="auto" w:fill="FFFFFF"/>
            <w:noWrap/>
            <w:vAlign w:val="center"/>
          </w:tcPr>
          <w:p w14:paraId="2C53391E">
            <w:pPr>
              <w:widowControl/>
              <w:rPr>
                <w:rFonts w:ascii="宋体" w:hAnsi="宋体" w:cs="宋体"/>
                <w:color w:val="auto"/>
                <w:kern w:val="0"/>
                <w:szCs w:val="21"/>
                <w:highlight w:val="none"/>
              </w:rPr>
            </w:pPr>
            <w:r>
              <w:rPr>
                <w:rFonts w:hint="eastAsia" w:ascii="宋体" w:hAnsi="宋体" w:cs="宋体"/>
                <w:color w:val="auto"/>
                <w:kern w:val="0"/>
                <w:szCs w:val="21"/>
                <w:highlight w:val="none"/>
              </w:rPr>
              <w:t>经过与维保单位沟通确定能改的项目需求，完成率应达100%。</w:t>
            </w:r>
          </w:p>
        </w:tc>
        <w:tc>
          <w:tcPr>
            <w:tcW w:w="658" w:type="dxa"/>
            <w:tcBorders>
              <w:top w:val="single" w:color="auto" w:sz="4" w:space="0"/>
            </w:tcBorders>
            <w:shd w:val="clear" w:color="auto" w:fill="FFFFFF"/>
            <w:vAlign w:val="center"/>
          </w:tcPr>
          <w:p w14:paraId="0FC305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vAlign w:val="center"/>
          </w:tcPr>
          <w:p w14:paraId="47B98B6E">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3426C930">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4F010230">
            <w:pPr>
              <w:rPr>
                <w:rFonts w:ascii="宋体" w:hAnsi="宋体" w:cs="宋体"/>
                <w:color w:val="auto"/>
                <w:szCs w:val="21"/>
                <w:highlight w:val="none"/>
              </w:rPr>
            </w:pPr>
            <w:r>
              <w:rPr>
                <w:rFonts w:hint="eastAsia" w:ascii="宋体" w:hAnsi="宋体" w:cs="宋体"/>
                <w:color w:val="auto"/>
                <w:kern w:val="0"/>
                <w:szCs w:val="21"/>
                <w:highlight w:val="none"/>
              </w:rPr>
              <w:t>小于60%不得分，区间内完成率得分，得分按8*完成率。</w:t>
            </w:r>
          </w:p>
        </w:tc>
      </w:tr>
      <w:tr w14:paraId="294E69F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tcBorders>
              <w:top w:val="single" w:color="auto" w:sz="4" w:space="0"/>
              <w:left w:val="single" w:color="auto" w:sz="4" w:space="0"/>
            </w:tcBorders>
            <w:shd w:val="clear" w:color="auto" w:fill="FFFFFF"/>
            <w:noWrap/>
            <w:vAlign w:val="center"/>
          </w:tcPr>
          <w:p w14:paraId="32F1FC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193" w:type="dxa"/>
            <w:tcBorders>
              <w:top w:val="single" w:color="auto" w:sz="4" w:space="0"/>
            </w:tcBorders>
            <w:shd w:val="clear" w:color="auto" w:fill="FFFFFF"/>
            <w:vAlign w:val="center"/>
          </w:tcPr>
          <w:p w14:paraId="08641EF2">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维保单位应按照维保期内的巡检周期主动联系信息处进行巡检工作，在规定的巡检周期内主动提交书面巡检报告。</w:t>
            </w:r>
          </w:p>
        </w:tc>
        <w:tc>
          <w:tcPr>
            <w:tcW w:w="658" w:type="dxa"/>
            <w:tcBorders>
              <w:top w:val="single" w:color="auto" w:sz="4" w:space="0"/>
            </w:tcBorders>
            <w:shd w:val="clear" w:color="auto" w:fill="FFFFFF"/>
            <w:noWrap/>
            <w:vAlign w:val="center"/>
          </w:tcPr>
          <w:p w14:paraId="0403E0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23BB7238">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69198258">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12AA460F">
            <w:pPr>
              <w:rPr>
                <w:rFonts w:ascii="宋体" w:hAnsi="宋体" w:cs="宋体"/>
                <w:color w:val="auto"/>
                <w:kern w:val="0"/>
                <w:szCs w:val="21"/>
                <w:highlight w:val="none"/>
              </w:rPr>
            </w:pPr>
            <w:r>
              <w:rPr>
                <w:rFonts w:hint="eastAsia" w:ascii="宋体" w:hAnsi="宋体" w:cs="宋体"/>
                <w:color w:val="auto"/>
                <w:szCs w:val="21"/>
                <w:highlight w:val="none"/>
              </w:rPr>
              <w:t>延迟一次，扣2分。</w:t>
            </w:r>
          </w:p>
        </w:tc>
      </w:tr>
      <w:tr w14:paraId="532FFFB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tcBorders>
            <w:shd w:val="clear" w:color="auto" w:fill="FFFFFF"/>
            <w:noWrap/>
            <w:vAlign w:val="center"/>
          </w:tcPr>
          <w:p w14:paraId="404506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7193" w:type="dxa"/>
            <w:tcBorders>
              <w:top w:val="single" w:color="auto" w:sz="4" w:space="0"/>
            </w:tcBorders>
            <w:shd w:val="clear" w:color="auto" w:fill="FFFFFF"/>
            <w:vAlign w:val="center"/>
          </w:tcPr>
          <w:p w14:paraId="3308ACBA">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维保单位根据巡检报告每月向信息处进行汇报，说明存在的风险、后期建议。</w:t>
            </w:r>
          </w:p>
        </w:tc>
        <w:tc>
          <w:tcPr>
            <w:tcW w:w="658" w:type="dxa"/>
            <w:tcBorders>
              <w:top w:val="single" w:color="auto" w:sz="4" w:space="0"/>
            </w:tcBorders>
            <w:shd w:val="clear" w:color="auto" w:fill="FFFFFF"/>
            <w:noWrap/>
            <w:vAlign w:val="center"/>
          </w:tcPr>
          <w:p w14:paraId="6ED730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507696D5">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70855C17">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472AE214">
            <w:pPr>
              <w:rPr>
                <w:rFonts w:ascii="宋体" w:hAnsi="宋体" w:cs="宋体"/>
                <w:color w:val="auto"/>
                <w:szCs w:val="21"/>
                <w:highlight w:val="none"/>
              </w:rPr>
            </w:pPr>
            <w:r>
              <w:rPr>
                <w:rFonts w:hint="eastAsia" w:ascii="宋体" w:hAnsi="宋体" w:cs="宋体"/>
                <w:color w:val="auto"/>
                <w:szCs w:val="21"/>
                <w:highlight w:val="none"/>
              </w:rPr>
              <w:t>延迟一次，扣2分。</w:t>
            </w:r>
          </w:p>
        </w:tc>
      </w:tr>
      <w:tr w14:paraId="224EC61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tcBorders>
            <w:shd w:val="clear" w:color="auto" w:fill="FFFFFF"/>
            <w:noWrap/>
            <w:vAlign w:val="center"/>
          </w:tcPr>
          <w:p w14:paraId="73710E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193" w:type="dxa"/>
            <w:tcBorders>
              <w:top w:val="single" w:color="auto" w:sz="4" w:space="0"/>
            </w:tcBorders>
            <w:shd w:val="clear" w:color="auto" w:fill="FFFFFF"/>
            <w:vAlign w:val="center"/>
          </w:tcPr>
          <w:p w14:paraId="534FD9B4">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维保单位在巡检报告中出现明显错误，影响信息处后期规划操作判断的。</w:t>
            </w:r>
          </w:p>
        </w:tc>
        <w:tc>
          <w:tcPr>
            <w:tcW w:w="658" w:type="dxa"/>
            <w:tcBorders>
              <w:top w:val="single" w:color="auto" w:sz="4" w:space="0"/>
            </w:tcBorders>
            <w:shd w:val="clear" w:color="auto" w:fill="FFFFFF"/>
            <w:noWrap/>
            <w:vAlign w:val="center"/>
          </w:tcPr>
          <w:p w14:paraId="395FB5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27B9DA9B">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20042B2D">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5AF92008">
            <w:pPr>
              <w:rPr>
                <w:rFonts w:ascii="宋体" w:hAnsi="宋体" w:cs="宋体"/>
                <w:color w:val="auto"/>
                <w:szCs w:val="21"/>
                <w:highlight w:val="none"/>
              </w:rPr>
            </w:pPr>
            <w:r>
              <w:rPr>
                <w:rFonts w:hint="eastAsia" w:ascii="宋体" w:hAnsi="宋体" w:cs="宋体"/>
                <w:color w:val="auto"/>
                <w:szCs w:val="21"/>
                <w:highlight w:val="none"/>
              </w:rPr>
              <w:t>出现一次，扣2分。</w:t>
            </w:r>
          </w:p>
        </w:tc>
      </w:tr>
      <w:tr w14:paraId="02E59A16">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tcBorders>
              <w:top w:val="single" w:color="auto" w:sz="4" w:space="0"/>
              <w:left w:val="single" w:color="auto" w:sz="4" w:space="0"/>
            </w:tcBorders>
            <w:shd w:val="clear" w:color="auto" w:fill="FFFFFF"/>
            <w:noWrap/>
            <w:vAlign w:val="center"/>
          </w:tcPr>
          <w:p w14:paraId="431181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7193" w:type="dxa"/>
            <w:tcBorders>
              <w:top w:val="single" w:color="auto" w:sz="4" w:space="0"/>
            </w:tcBorders>
            <w:shd w:val="clear" w:color="auto" w:fill="FFFFFF"/>
            <w:vAlign w:val="center"/>
          </w:tcPr>
          <w:p w14:paraId="119C00E3">
            <w:pPr>
              <w:widowControl/>
              <w:rPr>
                <w:rFonts w:ascii="宋体" w:hAnsi="宋体" w:cs="宋体"/>
                <w:color w:val="auto"/>
                <w:kern w:val="0"/>
                <w:szCs w:val="21"/>
                <w:highlight w:val="none"/>
              </w:rPr>
            </w:pPr>
            <w:r>
              <w:rPr>
                <w:rFonts w:hint="eastAsia" w:ascii="宋体" w:hAnsi="宋体" w:cs="宋体"/>
                <w:color w:val="auto"/>
                <w:kern w:val="0"/>
                <w:szCs w:val="21"/>
                <w:highlight w:val="none"/>
              </w:rPr>
              <w:t>当出现故障或遇紧急问题时，维保单位响应及时率应达100%。如需维保人员到现场维修的，需在要求的时间内到达现场。</w:t>
            </w:r>
          </w:p>
        </w:tc>
        <w:tc>
          <w:tcPr>
            <w:tcW w:w="658" w:type="dxa"/>
            <w:tcBorders>
              <w:top w:val="single" w:color="auto" w:sz="4" w:space="0"/>
            </w:tcBorders>
            <w:shd w:val="clear" w:color="auto" w:fill="FFFFFF"/>
            <w:noWrap/>
            <w:vAlign w:val="center"/>
          </w:tcPr>
          <w:p w14:paraId="28DAB7DE">
            <w:pPr>
              <w:widowControl/>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69CC8A5A">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66E47C34">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667DCB1A">
            <w:pPr>
              <w:rPr>
                <w:rFonts w:ascii="宋体" w:hAnsi="宋体" w:cs="宋体"/>
                <w:color w:val="auto"/>
                <w:szCs w:val="21"/>
                <w:highlight w:val="none"/>
              </w:rPr>
            </w:pPr>
            <w:r>
              <w:rPr>
                <w:rFonts w:hint="eastAsia" w:ascii="宋体" w:hAnsi="宋体" w:cs="宋体"/>
                <w:color w:val="auto"/>
                <w:szCs w:val="21"/>
                <w:highlight w:val="none"/>
              </w:rPr>
              <w:t>出现一次，扣2分。</w:t>
            </w:r>
          </w:p>
        </w:tc>
      </w:tr>
      <w:tr w14:paraId="6DB4FB7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tcBorders>
              <w:top w:val="single" w:color="auto" w:sz="4" w:space="0"/>
              <w:left w:val="single" w:color="auto" w:sz="4" w:space="0"/>
            </w:tcBorders>
            <w:shd w:val="clear" w:color="auto" w:fill="FFFFFF"/>
            <w:noWrap/>
            <w:vAlign w:val="center"/>
          </w:tcPr>
          <w:p w14:paraId="3D54F8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193" w:type="dxa"/>
            <w:tcBorders>
              <w:top w:val="single" w:color="auto" w:sz="4" w:space="0"/>
            </w:tcBorders>
            <w:shd w:val="clear" w:color="auto" w:fill="FFFFFF"/>
            <w:vAlign w:val="center"/>
          </w:tcPr>
          <w:p w14:paraId="7FC30EA0">
            <w:pPr>
              <w:widowControl/>
              <w:rPr>
                <w:rFonts w:ascii="宋体" w:hAnsi="宋体" w:cs="宋体"/>
                <w:color w:val="auto"/>
                <w:kern w:val="0"/>
                <w:szCs w:val="21"/>
                <w:highlight w:val="none"/>
              </w:rPr>
            </w:pPr>
            <w:r>
              <w:rPr>
                <w:rFonts w:hint="eastAsia" w:ascii="宋体" w:hAnsi="宋体" w:cs="宋体"/>
                <w:color w:val="auto"/>
                <w:kern w:val="0"/>
                <w:szCs w:val="21"/>
                <w:highlight w:val="none"/>
              </w:rPr>
              <w:t>所有维保问题处理，均要有问题处理书面结果反馈，超时未修复的问题均要主动书面说明原因，提供书面后续解决方案。</w:t>
            </w:r>
          </w:p>
        </w:tc>
        <w:tc>
          <w:tcPr>
            <w:tcW w:w="658" w:type="dxa"/>
            <w:tcBorders>
              <w:top w:val="single" w:color="auto" w:sz="4" w:space="0"/>
            </w:tcBorders>
            <w:shd w:val="clear" w:color="auto" w:fill="FFFFFF"/>
            <w:noWrap/>
            <w:vAlign w:val="center"/>
          </w:tcPr>
          <w:p w14:paraId="79150D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87" w:type="dxa"/>
            <w:tcBorders>
              <w:top w:val="single" w:color="auto" w:sz="4" w:space="0"/>
            </w:tcBorders>
            <w:shd w:val="clear" w:color="auto" w:fill="FFFFFF"/>
            <w:noWrap/>
            <w:vAlign w:val="center"/>
          </w:tcPr>
          <w:p w14:paraId="37AA5DA4">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1DD72D21">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62EB0894">
            <w:pPr>
              <w:rPr>
                <w:rFonts w:ascii="宋体" w:hAnsi="宋体" w:cs="宋体"/>
                <w:color w:val="auto"/>
                <w:kern w:val="0"/>
                <w:szCs w:val="21"/>
                <w:highlight w:val="none"/>
              </w:rPr>
            </w:pPr>
            <w:r>
              <w:rPr>
                <w:rFonts w:hint="eastAsia" w:ascii="宋体" w:hAnsi="宋体" w:cs="宋体"/>
                <w:color w:val="auto"/>
                <w:szCs w:val="21"/>
                <w:highlight w:val="none"/>
              </w:rPr>
              <w:t>出现一次，扣2分。</w:t>
            </w:r>
          </w:p>
        </w:tc>
      </w:tr>
      <w:tr w14:paraId="23E563F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tcBorders>
              <w:top w:val="single" w:color="auto" w:sz="4" w:space="0"/>
              <w:left w:val="single" w:color="auto" w:sz="4" w:space="0"/>
            </w:tcBorders>
            <w:shd w:val="clear" w:color="auto" w:fill="FFFFFF"/>
            <w:noWrap/>
            <w:vAlign w:val="center"/>
          </w:tcPr>
          <w:p w14:paraId="531F0A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7193" w:type="dxa"/>
            <w:tcBorders>
              <w:top w:val="single" w:color="auto" w:sz="4" w:space="0"/>
            </w:tcBorders>
            <w:shd w:val="clear" w:color="auto" w:fill="FFFFFF"/>
            <w:vAlign w:val="center"/>
          </w:tcPr>
          <w:p w14:paraId="68E4774C">
            <w:pPr>
              <w:widowControl/>
              <w:rPr>
                <w:rFonts w:ascii="宋体" w:hAnsi="宋体" w:cs="宋体"/>
                <w:color w:val="auto"/>
                <w:kern w:val="0"/>
                <w:szCs w:val="21"/>
                <w:highlight w:val="none"/>
              </w:rPr>
            </w:pPr>
            <w:r>
              <w:rPr>
                <w:rFonts w:hint="eastAsia" w:ascii="宋体" w:hAnsi="宋体" w:cs="宋体"/>
                <w:color w:val="auto"/>
                <w:kern w:val="0"/>
                <w:szCs w:val="21"/>
                <w:highlight w:val="none"/>
              </w:rPr>
              <w:t>当出现故障或遇紧急问题时，维保单位应在信息处要求的规定时间内对问题修复完毕，如果超时未修复、排查问题不仔细，导致业务受影响的。</w:t>
            </w:r>
          </w:p>
        </w:tc>
        <w:tc>
          <w:tcPr>
            <w:tcW w:w="658" w:type="dxa"/>
            <w:tcBorders>
              <w:top w:val="single" w:color="auto" w:sz="4" w:space="0"/>
            </w:tcBorders>
            <w:shd w:val="clear" w:color="auto" w:fill="FFFFFF"/>
            <w:noWrap/>
            <w:vAlign w:val="center"/>
          </w:tcPr>
          <w:p w14:paraId="1FC181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87" w:type="dxa"/>
            <w:tcBorders>
              <w:top w:val="single" w:color="auto" w:sz="4" w:space="0"/>
            </w:tcBorders>
            <w:shd w:val="clear" w:color="auto" w:fill="FFFFFF"/>
            <w:noWrap/>
            <w:vAlign w:val="center"/>
          </w:tcPr>
          <w:p w14:paraId="5D98358A">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334AE6B8">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5B81F6C9">
            <w:pPr>
              <w:rPr>
                <w:rFonts w:ascii="宋体" w:hAnsi="宋体" w:cs="宋体"/>
                <w:color w:val="auto"/>
                <w:kern w:val="0"/>
                <w:szCs w:val="21"/>
                <w:highlight w:val="none"/>
              </w:rPr>
            </w:pPr>
            <w:r>
              <w:rPr>
                <w:rFonts w:hint="eastAsia" w:ascii="宋体" w:hAnsi="宋体" w:cs="宋体"/>
                <w:color w:val="auto"/>
                <w:kern w:val="0"/>
                <w:szCs w:val="21"/>
                <w:highlight w:val="none"/>
              </w:rPr>
              <w:t>出现一次扣5分。</w:t>
            </w:r>
          </w:p>
        </w:tc>
      </w:tr>
      <w:tr w14:paraId="0B45670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tcBorders>
              <w:top w:val="single" w:color="auto" w:sz="4" w:space="0"/>
              <w:left w:val="single" w:color="auto" w:sz="4" w:space="0"/>
            </w:tcBorders>
            <w:shd w:val="clear" w:color="auto" w:fill="FFFFFF"/>
            <w:noWrap/>
            <w:vAlign w:val="center"/>
          </w:tcPr>
          <w:p w14:paraId="323910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7193" w:type="dxa"/>
            <w:tcBorders>
              <w:top w:val="single" w:color="auto" w:sz="4" w:space="0"/>
            </w:tcBorders>
            <w:shd w:val="clear" w:color="auto" w:fill="FFFFFF"/>
            <w:vAlign w:val="center"/>
          </w:tcPr>
          <w:p w14:paraId="524C8E79">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维保人员实施过程中，应保证对应业务的网络及信息系统安全，如因维保人员态度懒散、工作粗心、不专业引起安全事故的，按情节轻重程度扣分。</w:t>
            </w:r>
          </w:p>
        </w:tc>
        <w:tc>
          <w:tcPr>
            <w:tcW w:w="658" w:type="dxa"/>
            <w:tcBorders>
              <w:top w:val="single" w:color="auto" w:sz="4" w:space="0"/>
            </w:tcBorders>
            <w:shd w:val="clear" w:color="auto" w:fill="FFFFFF"/>
            <w:noWrap/>
            <w:vAlign w:val="center"/>
          </w:tcPr>
          <w:p w14:paraId="5E02A1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87" w:type="dxa"/>
            <w:tcBorders>
              <w:top w:val="single" w:color="auto" w:sz="4" w:space="0"/>
            </w:tcBorders>
            <w:shd w:val="clear" w:color="auto" w:fill="FFFFFF"/>
            <w:noWrap/>
            <w:vAlign w:val="center"/>
          </w:tcPr>
          <w:p w14:paraId="25F5F5E2">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67E6AB4D">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17469EC3">
            <w:pPr>
              <w:widowControl/>
              <w:rPr>
                <w:rFonts w:ascii="宋体" w:hAnsi="宋体" w:cs="宋体"/>
                <w:color w:val="auto"/>
                <w:kern w:val="0"/>
                <w:szCs w:val="21"/>
                <w:highlight w:val="none"/>
              </w:rPr>
            </w:pPr>
            <w:r>
              <w:rPr>
                <w:rFonts w:hint="eastAsia" w:ascii="宋体" w:hAnsi="宋体" w:cs="宋体"/>
                <w:color w:val="auto"/>
                <w:kern w:val="0"/>
                <w:szCs w:val="21"/>
                <w:highlight w:val="none"/>
              </w:rPr>
              <w:t>出现一次扣5分。</w:t>
            </w:r>
          </w:p>
        </w:tc>
      </w:tr>
      <w:tr w14:paraId="32094AD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5" w:type="dxa"/>
            <w:tcBorders>
              <w:top w:val="single" w:color="auto" w:sz="4" w:space="0"/>
              <w:left w:val="single" w:color="auto" w:sz="4" w:space="0"/>
            </w:tcBorders>
            <w:shd w:val="clear" w:color="auto" w:fill="FFFFFF"/>
            <w:noWrap/>
            <w:vAlign w:val="center"/>
          </w:tcPr>
          <w:p w14:paraId="008D1B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7193" w:type="dxa"/>
            <w:tcBorders>
              <w:top w:val="single" w:color="auto" w:sz="4" w:space="0"/>
            </w:tcBorders>
            <w:shd w:val="clear" w:color="auto" w:fill="FFFFFF"/>
            <w:vAlign w:val="center"/>
          </w:tcPr>
          <w:p w14:paraId="4061254B">
            <w:pPr>
              <w:widowControl/>
              <w:rPr>
                <w:rFonts w:ascii="宋体" w:hAnsi="宋体" w:cs="宋体"/>
                <w:color w:val="auto"/>
                <w:kern w:val="0"/>
                <w:szCs w:val="21"/>
                <w:highlight w:val="none"/>
              </w:rPr>
            </w:pPr>
            <w:r>
              <w:rPr>
                <w:rFonts w:hint="eastAsia" w:ascii="宋体" w:hAnsi="宋体" w:cs="宋体"/>
                <w:color w:val="auto"/>
                <w:kern w:val="0"/>
                <w:szCs w:val="21"/>
                <w:highlight w:val="none"/>
              </w:rPr>
              <w:t>维保人员不得泄漏中心要求的保密文件、数据信息等。</w:t>
            </w:r>
          </w:p>
        </w:tc>
        <w:tc>
          <w:tcPr>
            <w:tcW w:w="658" w:type="dxa"/>
            <w:tcBorders>
              <w:top w:val="single" w:color="auto" w:sz="4" w:space="0"/>
            </w:tcBorders>
            <w:shd w:val="clear" w:color="auto" w:fill="FFFFFF"/>
            <w:noWrap/>
            <w:vAlign w:val="center"/>
          </w:tcPr>
          <w:p w14:paraId="69E097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倒扣分</w:t>
            </w:r>
          </w:p>
        </w:tc>
        <w:tc>
          <w:tcPr>
            <w:tcW w:w="687" w:type="dxa"/>
            <w:tcBorders>
              <w:top w:val="single" w:color="auto" w:sz="4" w:space="0"/>
            </w:tcBorders>
            <w:shd w:val="clear" w:color="auto" w:fill="FFFFFF"/>
            <w:noWrap/>
            <w:vAlign w:val="center"/>
          </w:tcPr>
          <w:p w14:paraId="68135722">
            <w:pPr>
              <w:widowControl/>
              <w:jc w:val="center"/>
              <w:rPr>
                <w:rFonts w:ascii="宋体" w:hAnsi="宋体" w:cs="宋体"/>
                <w:color w:val="auto"/>
                <w:kern w:val="0"/>
                <w:szCs w:val="21"/>
                <w:highlight w:val="none"/>
              </w:rPr>
            </w:pPr>
          </w:p>
        </w:tc>
        <w:tc>
          <w:tcPr>
            <w:tcW w:w="1189" w:type="dxa"/>
            <w:tcBorders>
              <w:top w:val="single" w:color="auto" w:sz="4" w:space="0"/>
            </w:tcBorders>
            <w:shd w:val="clear" w:color="auto" w:fill="FFFFFF"/>
            <w:noWrap/>
            <w:vAlign w:val="center"/>
          </w:tcPr>
          <w:p w14:paraId="49029462">
            <w:pPr>
              <w:widowControl/>
              <w:jc w:val="center"/>
              <w:rPr>
                <w:rFonts w:ascii="宋体" w:hAnsi="宋体" w:cs="宋体"/>
                <w:color w:val="auto"/>
                <w:kern w:val="0"/>
                <w:szCs w:val="21"/>
                <w:highlight w:val="none"/>
              </w:rPr>
            </w:pPr>
          </w:p>
        </w:tc>
        <w:tc>
          <w:tcPr>
            <w:tcW w:w="5157" w:type="dxa"/>
            <w:tcBorders>
              <w:top w:val="single" w:color="auto" w:sz="4" w:space="0"/>
              <w:right w:val="single" w:color="auto" w:sz="4" w:space="0"/>
            </w:tcBorders>
            <w:shd w:val="clear" w:color="auto" w:fill="FFFFFF"/>
            <w:noWrap/>
            <w:vAlign w:val="center"/>
          </w:tcPr>
          <w:p w14:paraId="03035610">
            <w:pPr>
              <w:rPr>
                <w:rFonts w:ascii="宋体" w:hAnsi="宋体" w:cs="宋体"/>
                <w:color w:val="auto"/>
                <w:szCs w:val="21"/>
                <w:highlight w:val="none"/>
              </w:rPr>
            </w:pPr>
            <w:r>
              <w:rPr>
                <w:rFonts w:hint="eastAsia" w:ascii="宋体" w:hAnsi="宋体" w:cs="宋体"/>
                <w:color w:val="auto"/>
                <w:szCs w:val="21"/>
                <w:highlight w:val="none"/>
              </w:rPr>
              <w:t>出现一次扣20分，若造成严重后果的，本次考核0分。</w:t>
            </w:r>
          </w:p>
        </w:tc>
      </w:tr>
      <w:tr w14:paraId="1A885B1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tcBorders>
              <w:top w:val="single" w:color="auto" w:sz="4" w:space="0"/>
              <w:left w:val="single" w:color="auto" w:sz="4" w:space="0"/>
              <w:bottom w:val="single" w:color="auto" w:sz="4" w:space="0"/>
            </w:tcBorders>
            <w:shd w:val="clear" w:color="auto" w:fill="FFFFFF"/>
            <w:noWrap/>
            <w:vAlign w:val="center"/>
          </w:tcPr>
          <w:p w14:paraId="29895907">
            <w:pPr>
              <w:widowControl/>
              <w:jc w:val="center"/>
              <w:rPr>
                <w:rFonts w:ascii="宋体" w:hAnsi="宋体" w:cs="宋体"/>
                <w:color w:val="auto"/>
                <w:kern w:val="0"/>
                <w:szCs w:val="21"/>
                <w:highlight w:val="none"/>
              </w:rPr>
            </w:pPr>
          </w:p>
        </w:tc>
        <w:tc>
          <w:tcPr>
            <w:tcW w:w="7851" w:type="dxa"/>
            <w:gridSpan w:val="2"/>
            <w:tcBorders>
              <w:top w:val="single" w:color="auto" w:sz="4" w:space="0"/>
              <w:bottom w:val="single" w:color="auto" w:sz="4" w:space="0"/>
            </w:tcBorders>
            <w:shd w:val="clear" w:color="auto" w:fill="FFFFFF"/>
            <w:vAlign w:val="center"/>
          </w:tcPr>
          <w:p w14:paraId="15292522">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总    分</w:t>
            </w:r>
          </w:p>
        </w:tc>
        <w:tc>
          <w:tcPr>
            <w:tcW w:w="687" w:type="dxa"/>
            <w:tcBorders>
              <w:top w:val="single" w:color="auto" w:sz="4" w:space="0"/>
              <w:bottom w:val="single" w:color="auto" w:sz="4" w:space="0"/>
            </w:tcBorders>
            <w:shd w:val="clear" w:color="auto" w:fill="FFFFFF"/>
            <w:noWrap/>
            <w:vAlign w:val="center"/>
          </w:tcPr>
          <w:p w14:paraId="668236AE">
            <w:pPr>
              <w:widowControl/>
              <w:jc w:val="center"/>
              <w:rPr>
                <w:rFonts w:ascii="宋体" w:hAnsi="宋体" w:cs="宋体"/>
                <w:b/>
                <w:color w:val="auto"/>
                <w:kern w:val="0"/>
                <w:szCs w:val="21"/>
                <w:highlight w:val="none"/>
              </w:rPr>
            </w:pPr>
          </w:p>
        </w:tc>
        <w:tc>
          <w:tcPr>
            <w:tcW w:w="1189" w:type="dxa"/>
            <w:tcBorders>
              <w:top w:val="single" w:color="auto" w:sz="4" w:space="0"/>
              <w:bottom w:val="single" w:color="auto" w:sz="4" w:space="0"/>
            </w:tcBorders>
            <w:shd w:val="clear" w:color="auto" w:fill="FFFFFF"/>
            <w:noWrap/>
            <w:vAlign w:val="center"/>
          </w:tcPr>
          <w:p w14:paraId="2C78AD4B">
            <w:pPr>
              <w:widowControl/>
              <w:jc w:val="center"/>
              <w:rPr>
                <w:rFonts w:ascii="宋体" w:hAnsi="宋体" w:cs="宋体"/>
                <w:b/>
                <w:color w:val="auto"/>
                <w:kern w:val="0"/>
                <w:szCs w:val="21"/>
                <w:highlight w:val="none"/>
              </w:rPr>
            </w:pPr>
          </w:p>
        </w:tc>
        <w:tc>
          <w:tcPr>
            <w:tcW w:w="5157" w:type="dxa"/>
            <w:tcBorders>
              <w:top w:val="single" w:color="auto" w:sz="4" w:space="0"/>
              <w:bottom w:val="single" w:color="auto" w:sz="4" w:space="0"/>
              <w:right w:val="single" w:color="auto" w:sz="4" w:space="0"/>
            </w:tcBorders>
            <w:shd w:val="clear" w:color="auto" w:fill="FFFFFF"/>
            <w:noWrap/>
            <w:vAlign w:val="center"/>
          </w:tcPr>
          <w:p w14:paraId="2C9CE84B">
            <w:pPr>
              <w:rPr>
                <w:rFonts w:ascii="宋体" w:hAnsi="宋体" w:cs="宋体"/>
                <w:color w:val="auto"/>
                <w:kern w:val="0"/>
                <w:szCs w:val="21"/>
                <w:highlight w:val="none"/>
              </w:rPr>
            </w:pPr>
          </w:p>
        </w:tc>
      </w:tr>
      <w:tr w14:paraId="63F086F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559" w:type="dxa"/>
            <w:gridSpan w:val="6"/>
            <w:tcBorders>
              <w:top w:val="single" w:color="auto" w:sz="4" w:space="0"/>
              <w:left w:val="single" w:color="auto" w:sz="4" w:space="0"/>
              <w:right w:val="single" w:color="auto" w:sz="4" w:space="0"/>
            </w:tcBorders>
            <w:shd w:val="clear" w:color="auto" w:fill="FFFFFF"/>
            <w:noWrap/>
            <w:vAlign w:val="center"/>
          </w:tcPr>
          <w:p w14:paraId="7C1C4784">
            <w:pPr>
              <w:rPr>
                <w:rFonts w:ascii="宋体" w:hAnsi="宋体" w:cs="宋体"/>
                <w:b/>
                <w:bCs/>
                <w:color w:val="auto"/>
                <w:kern w:val="0"/>
                <w:szCs w:val="21"/>
                <w:highlight w:val="none"/>
              </w:rPr>
            </w:pPr>
            <w:r>
              <w:rPr>
                <w:rFonts w:hint="eastAsia" w:ascii="宋体" w:hAnsi="宋体" w:cs="宋体"/>
                <w:b/>
                <w:bCs/>
                <w:color w:val="auto"/>
                <w:kern w:val="0"/>
                <w:szCs w:val="21"/>
                <w:highlight w:val="none"/>
              </w:rPr>
              <w:t>考核人（签字）：                                                                                                    杭州市卫生健康事业发展中心</w:t>
            </w:r>
          </w:p>
        </w:tc>
      </w:tr>
    </w:tbl>
    <w:p w14:paraId="33BC81C0">
      <w:pPr>
        <w:pStyle w:val="25"/>
        <w:rPr>
          <w:color w:val="auto"/>
          <w:highlight w:val="none"/>
        </w:rPr>
        <w:sectPr>
          <w:pgSz w:w="16838" w:h="11906" w:orient="landscape"/>
          <w:pgMar w:top="1418" w:right="1276" w:bottom="1418" w:left="1247" w:header="851" w:footer="992" w:gutter="0"/>
          <w:cols w:space="720" w:num="1"/>
          <w:titlePg/>
          <w:docGrid w:linePitch="312" w:charSpace="0"/>
        </w:sectPr>
      </w:pPr>
    </w:p>
    <w:p w14:paraId="392A060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5"/>
      <w:r>
        <w:rPr>
          <w:rFonts w:hint="eastAsia" w:ascii="宋体" w:hAnsi="宋体" w:cs="宋体"/>
          <w:b/>
          <w:color w:val="auto"/>
          <w:sz w:val="36"/>
          <w:szCs w:val="20"/>
          <w:highlight w:val="none"/>
        </w:rPr>
        <w:t xml:space="preserve"> </w:t>
      </w:r>
      <w:bookmarkEnd w:id="426"/>
      <w:r>
        <w:rPr>
          <w:rFonts w:hint="eastAsia" w:ascii="宋体" w:hAnsi="宋体" w:cs="宋体"/>
          <w:b/>
          <w:color w:val="auto"/>
          <w:sz w:val="36"/>
          <w:szCs w:val="20"/>
          <w:highlight w:val="none"/>
        </w:rPr>
        <w:t>应提交的有关格式范例</w:t>
      </w:r>
    </w:p>
    <w:p w14:paraId="5AD25DDA">
      <w:pPr>
        <w:bidi w:val="0"/>
        <w:rPr>
          <w:color w:val="auto"/>
          <w:highlight w:val="none"/>
        </w:rPr>
      </w:pPr>
    </w:p>
    <w:p w14:paraId="0405DF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BDF9C9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095D6C">
      <w:pPr>
        <w:bidi w:val="0"/>
        <w:rPr>
          <w:color w:val="auto"/>
          <w:highlight w:val="none"/>
        </w:rPr>
      </w:pPr>
    </w:p>
    <w:p w14:paraId="485BE1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97872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4254D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A3F4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F34FC8D">
      <w:pPr>
        <w:snapToGrid w:val="0"/>
        <w:spacing w:line="360" w:lineRule="auto"/>
        <w:ind w:firstLine="480" w:firstLineChars="200"/>
        <w:rPr>
          <w:rFonts w:ascii="宋体" w:hAnsi="宋体" w:cs="宋体"/>
          <w:color w:val="auto"/>
          <w:sz w:val="24"/>
          <w:highlight w:val="none"/>
        </w:rPr>
      </w:pPr>
    </w:p>
    <w:p w14:paraId="14087DA5">
      <w:pPr>
        <w:spacing w:line="360" w:lineRule="auto"/>
        <w:ind w:firstLine="480" w:firstLineChars="200"/>
        <w:rPr>
          <w:rFonts w:ascii="宋体" w:hAnsi="宋体" w:cs="宋体"/>
          <w:color w:val="auto"/>
          <w:sz w:val="24"/>
          <w:highlight w:val="none"/>
        </w:rPr>
      </w:pPr>
    </w:p>
    <w:p w14:paraId="02D479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76A0E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3D298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D15030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24ECA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0DF4B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2F03A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CA545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F1FD2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7C45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F049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3A0C18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0579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7D9EA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711A9A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5C8C1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D1F50B">
      <w:pPr>
        <w:snapToGrid w:val="0"/>
        <w:spacing w:line="360" w:lineRule="auto"/>
        <w:ind w:right="480"/>
        <w:jc w:val="center"/>
        <w:rPr>
          <w:rFonts w:ascii="宋体" w:hAnsi="宋体" w:cs="宋体"/>
          <w:b/>
          <w:color w:val="auto"/>
          <w:kern w:val="0"/>
          <w:sz w:val="32"/>
          <w:szCs w:val="32"/>
          <w:highlight w:val="none"/>
        </w:rPr>
      </w:pPr>
    </w:p>
    <w:p w14:paraId="41082AB5">
      <w:pPr>
        <w:snapToGrid w:val="0"/>
        <w:spacing w:line="360" w:lineRule="auto"/>
        <w:ind w:right="480"/>
        <w:jc w:val="center"/>
        <w:rPr>
          <w:rFonts w:ascii="宋体" w:hAnsi="宋体" w:cs="宋体"/>
          <w:b/>
          <w:color w:val="auto"/>
          <w:kern w:val="0"/>
          <w:sz w:val="32"/>
          <w:szCs w:val="32"/>
          <w:highlight w:val="none"/>
        </w:rPr>
      </w:pPr>
    </w:p>
    <w:p w14:paraId="0DF8400D">
      <w:pPr>
        <w:snapToGrid w:val="0"/>
        <w:spacing w:line="360" w:lineRule="auto"/>
        <w:ind w:right="480"/>
        <w:jc w:val="center"/>
        <w:rPr>
          <w:rFonts w:ascii="宋体" w:hAnsi="宋体" w:cs="宋体"/>
          <w:b/>
          <w:color w:val="auto"/>
          <w:kern w:val="0"/>
          <w:sz w:val="32"/>
          <w:szCs w:val="32"/>
          <w:highlight w:val="none"/>
        </w:rPr>
      </w:pPr>
    </w:p>
    <w:p w14:paraId="3CE78B17">
      <w:pPr>
        <w:rPr>
          <w:rFonts w:ascii="宋体" w:hAnsi="宋体" w:cs="宋体"/>
          <w:color w:val="auto"/>
          <w:highlight w:val="none"/>
        </w:rPr>
      </w:pPr>
    </w:p>
    <w:p w14:paraId="59B4FCDA">
      <w:pPr>
        <w:snapToGrid w:val="0"/>
        <w:spacing w:line="360" w:lineRule="auto"/>
        <w:ind w:right="480"/>
        <w:jc w:val="center"/>
        <w:rPr>
          <w:rFonts w:ascii="宋体" w:hAnsi="宋体" w:cs="宋体"/>
          <w:b/>
          <w:color w:val="auto"/>
          <w:kern w:val="0"/>
          <w:sz w:val="32"/>
          <w:szCs w:val="32"/>
          <w:highlight w:val="none"/>
        </w:rPr>
      </w:pPr>
    </w:p>
    <w:p w14:paraId="0BB54466">
      <w:pPr>
        <w:snapToGrid w:val="0"/>
        <w:spacing w:line="360" w:lineRule="auto"/>
        <w:ind w:right="480"/>
        <w:jc w:val="center"/>
        <w:rPr>
          <w:rFonts w:ascii="宋体" w:hAnsi="宋体" w:cs="宋体"/>
          <w:b/>
          <w:color w:val="auto"/>
          <w:kern w:val="0"/>
          <w:sz w:val="32"/>
          <w:szCs w:val="32"/>
          <w:highlight w:val="none"/>
        </w:rPr>
      </w:pPr>
    </w:p>
    <w:p w14:paraId="74940BD9">
      <w:pPr>
        <w:snapToGrid w:val="0"/>
        <w:spacing w:line="360" w:lineRule="auto"/>
        <w:ind w:right="480"/>
        <w:jc w:val="center"/>
        <w:rPr>
          <w:rFonts w:ascii="宋体" w:hAnsi="宋体" w:cs="宋体"/>
          <w:b/>
          <w:color w:val="auto"/>
          <w:kern w:val="0"/>
          <w:sz w:val="32"/>
          <w:szCs w:val="32"/>
          <w:highlight w:val="none"/>
        </w:rPr>
      </w:pPr>
    </w:p>
    <w:p w14:paraId="6EB906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B94D9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AD2FB0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54F0984">
      <w:pPr>
        <w:snapToGrid w:val="0"/>
        <w:spacing w:line="360" w:lineRule="auto"/>
        <w:ind w:right="480"/>
        <w:jc w:val="center"/>
        <w:rPr>
          <w:rFonts w:ascii="宋体" w:hAnsi="宋体" w:cs="宋体"/>
          <w:b/>
          <w:color w:val="auto"/>
          <w:kern w:val="0"/>
          <w:sz w:val="32"/>
          <w:szCs w:val="32"/>
          <w:highlight w:val="none"/>
        </w:rPr>
      </w:pPr>
    </w:p>
    <w:p w14:paraId="234910DB">
      <w:pPr>
        <w:snapToGrid w:val="0"/>
        <w:spacing w:line="360" w:lineRule="auto"/>
        <w:ind w:right="480"/>
        <w:jc w:val="center"/>
        <w:rPr>
          <w:rFonts w:ascii="宋体" w:hAnsi="宋体" w:cs="宋体"/>
          <w:b/>
          <w:color w:val="auto"/>
          <w:kern w:val="0"/>
          <w:sz w:val="32"/>
          <w:szCs w:val="32"/>
          <w:highlight w:val="none"/>
        </w:rPr>
      </w:pPr>
    </w:p>
    <w:p w14:paraId="53CC887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2935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8B62EE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C95D5E4">
      <w:pPr>
        <w:widowControl/>
        <w:spacing w:line="360" w:lineRule="auto"/>
        <w:ind w:firstLine="480"/>
        <w:jc w:val="left"/>
        <w:rPr>
          <w:rFonts w:ascii="宋体" w:hAnsi="宋体" w:cs="宋体"/>
          <w:color w:val="auto"/>
          <w:sz w:val="24"/>
          <w:highlight w:val="none"/>
        </w:rPr>
      </w:pPr>
    </w:p>
    <w:p w14:paraId="591FA80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C8D820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116E36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18A399C">
      <w:pPr>
        <w:widowControl/>
        <w:spacing w:line="360" w:lineRule="auto"/>
        <w:ind w:left="150"/>
        <w:jc w:val="center"/>
        <w:rPr>
          <w:rFonts w:ascii="宋体" w:hAnsi="宋体" w:cs="宋体"/>
          <w:b/>
          <w:color w:val="auto"/>
          <w:kern w:val="0"/>
          <w:sz w:val="32"/>
          <w:szCs w:val="32"/>
          <w:highlight w:val="none"/>
        </w:rPr>
      </w:pPr>
    </w:p>
    <w:p w14:paraId="46B66B6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D9790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8C1107C">
      <w:pPr>
        <w:rPr>
          <w:rFonts w:ascii="宋体" w:hAnsi="宋体" w:cs="宋体"/>
          <w:color w:val="auto"/>
          <w:highlight w:val="none"/>
        </w:rPr>
      </w:pPr>
    </w:p>
    <w:p w14:paraId="5777F06E">
      <w:pPr>
        <w:snapToGrid w:val="0"/>
        <w:spacing w:line="360" w:lineRule="auto"/>
        <w:ind w:right="480"/>
        <w:jc w:val="center"/>
        <w:rPr>
          <w:rFonts w:ascii="宋体" w:hAnsi="宋体" w:cs="宋体"/>
          <w:b/>
          <w:color w:val="auto"/>
          <w:kern w:val="0"/>
          <w:sz w:val="32"/>
          <w:szCs w:val="32"/>
          <w:highlight w:val="none"/>
        </w:rPr>
      </w:pPr>
    </w:p>
    <w:p w14:paraId="074FF2C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6C223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DDE16F8">
      <w:pPr>
        <w:bidi w:val="0"/>
        <w:rPr>
          <w:color w:val="auto"/>
          <w:highlight w:val="none"/>
        </w:rPr>
      </w:pPr>
    </w:p>
    <w:p w14:paraId="4F326EC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8AABFA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EF9B0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81307E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37BC2C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62D52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9492402">
      <w:pPr>
        <w:snapToGrid w:val="0"/>
        <w:spacing w:line="360" w:lineRule="auto"/>
        <w:jc w:val="center"/>
        <w:rPr>
          <w:rFonts w:ascii="宋体" w:hAnsi="宋体" w:cs="宋体"/>
          <w:b/>
          <w:color w:val="auto"/>
          <w:kern w:val="0"/>
          <w:sz w:val="32"/>
          <w:szCs w:val="32"/>
          <w:highlight w:val="none"/>
          <w:lang w:val="zh-CN"/>
        </w:rPr>
      </w:pPr>
    </w:p>
    <w:p w14:paraId="2D39FAA3">
      <w:pPr>
        <w:snapToGrid w:val="0"/>
        <w:spacing w:line="360" w:lineRule="auto"/>
        <w:jc w:val="center"/>
        <w:rPr>
          <w:rFonts w:ascii="宋体" w:hAnsi="宋体" w:cs="宋体"/>
          <w:b/>
          <w:color w:val="auto"/>
          <w:kern w:val="0"/>
          <w:sz w:val="32"/>
          <w:szCs w:val="32"/>
          <w:highlight w:val="none"/>
          <w:lang w:val="zh-CN"/>
        </w:rPr>
      </w:pPr>
    </w:p>
    <w:p w14:paraId="42BB1CAD">
      <w:pPr>
        <w:snapToGrid w:val="0"/>
        <w:spacing w:line="360" w:lineRule="auto"/>
        <w:jc w:val="center"/>
        <w:rPr>
          <w:rFonts w:ascii="宋体" w:hAnsi="宋体" w:cs="宋体"/>
          <w:b/>
          <w:color w:val="auto"/>
          <w:kern w:val="0"/>
          <w:sz w:val="32"/>
          <w:szCs w:val="32"/>
          <w:highlight w:val="none"/>
          <w:lang w:val="zh-CN"/>
        </w:rPr>
      </w:pPr>
    </w:p>
    <w:p w14:paraId="1E534C7D">
      <w:pPr>
        <w:snapToGrid w:val="0"/>
        <w:spacing w:line="360" w:lineRule="auto"/>
        <w:jc w:val="center"/>
        <w:rPr>
          <w:rFonts w:ascii="宋体" w:hAnsi="宋体" w:cs="宋体"/>
          <w:b/>
          <w:color w:val="auto"/>
          <w:kern w:val="0"/>
          <w:sz w:val="32"/>
          <w:szCs w:val="32"/>
          <w:highlight w:val="none"/>
          <w:lang w:val="zh-CN"/>
        </w:rPr>
      </w:pPr>
    </w:p>
    <w:p w14:paraId="52E33480">
      <w:pPr>
        <w:snapToGrid w:val="0"/>
        <w:spacing w:line="360" w:lineRule="auto"/>
        <w:jc w:val="center"/>
        <w:rPr>
          <w:rFonts w:ascii="宋体" w:hAnsi="宋体" w:cs="宋体"/>
          <w:b/>
          <w:color w:val="auto"/>
          <w:kern w:val="0"/>
          <w:sz w:val="32"/>
          <w:szCs w:val="32"/>
          <w:highlight w:val="none"/>
          <w:lang w:val="zh-CN"/>
        </w:rPr>
      </w:pPr>
    </w:p>
    <w:p w14:paraId="62A5D4EB">
      <w:pPr>
        <w:snapToGrid w:val="0"/>
        <w:spacing w:line="360" w:lineRule="auto"/>
        <w:jc w:val="center"/>
        <w:rPr>
          <w:rFonts w:ascii="宋体" w:hAnsi="宋体" w:cs="宋体"/>
          <w:b/>
          <w:color w:val="auto"/>
          <w:kern w:val="0"/>
          <w:sz w:val="32"/>
          <w:szCs w:val="32"/>
          <w:highlight w:val="none"/>
          <w:lang w:val="zh-CN"/>
        </w:rPr>
      </w:pPr>
    </w:p>
    <w:p w14:paraId="04690081">
      <w:pPr>
        <w:snapToGrid w:val="0"/>
        <w:spacing w:line="360" w:lineRule="auto"/>
        <w:jc w:val="center"/>
        <w:rPr>
          <w:rFonts w:ascii="宋体" w:hAnsi="宋体" w:cs="宋体"/>
          <w:b/>
          <w:color w:val="auto"/>
          <w:kern w:val="0"/>
          <w:sz w:val="32"/>
          <w:szCs w:val="32"/>
          <w:highlight w:val="none"/>
          <w:lang w:val="zh-CN"/>
        </w:rPr>
      </w:pPr>
    </w:p>
    <w:p w14:paraId="1C6D65EB">
      <w:pPr>
        <w:snapToGrid w:val="0"/>
        <w:spacing w:line="360" w:lineRule="auto"/>
        <w:jc w:val="center"/>
        <w:rPr>
          <w:rFonts w:ascii="宋体" w:hAnsi="宋体" w:cs="宋体"/>
          <w:b/>
          <w:color w:val="auto"/>
          <w:kern w:val="0"/>
          <w:sz w:val="32"/>
          <w:szCs w:val="32"/>
          <w:highlight w:val="none"/>
          <w:lang w:val="zh-CN"/>
        </w:rPr>
      </w:pPr>
    </w:p>
    <w:p w14:paraId="334B6821">
      <w:pPr>
        <w:snapToGrid w:val="0"/>
        <w:spacing w:line="360" w:lineRule="auto"/>
        <w:jc w:val="center"/>
        <w:rPr>
          <w:rFonts w:ascii="宋体" w:hAnsi="宋体" w:cs="宋体"/>
          <w:b/>
          <w:color w:val="auto"/>
          <w:kern w:val="0"/>
          <w:sz w:val="32"/>
          <w:szCs w:val="32"/>
          <w:highlight w:val="none"/>
          <w:lang w:val="zh-CN"/>
        </w:rPr>
      </w:pPr>
    </w:p>
    <w:p w14:paraId="6E1847D7">
      <w:pPr>
        <w:snapToGrid w:val="0"/>
        <w:spacing w:line="360" w:lineRule="auto"/>
        <w:jc w:val="center"/>
        <w:rPr>
          <w:rFonts w:ascii="宋体" w:hAnsi="宋体" w:cs="宋体"/>
          <w:b/>
          <w:color w:val="auto"/>
          <w:kern w:val="0"/>
          <w:sz w:val="32"/>
          <w:szCs w:val="32"/>
          <w:highlight w:val="none"/>
          <w:lang w:val="zh-CN"/>
        </w:rPr>
      </w:pPr>
    </w:p>
    <w:p w14:paraId="606F0CE3">
      <w:pPr>
        <w:snapToGrid w:val="0"/>
        <w:spacing w:line="360" w:lineRule="auto"/>
        <w:jc w:val="center"/>
        <w:rPr>
          <w:rFonts w:ascii="宋体" w:hAnsi="宋体" w:cs="宋体"/>
          <w:b/>
          <w:color w:val="auto"/>
          <w:kern w:val="0"/>
          <w:sz w:val="32"/>
          <w:szCs w:val="32"/>
          <w:highlight w:val="none"/>
          <w:lang w:val="zh-CN"/>
        </w:rPr>
      </w:pPr>
    </w:p>
    <w:p w14:paraId="11ABCE78">
      <w:pPr>
        <w:snapToGrid w:val="0"/>
        <w:spacing w:line="360" w:lineRule="auto"/>
        <w:jc w:val="center"/>
        <w:rPr>
          <w:rFonts w:ascii="宋体" w:hAnsi="宋体" w:cs="宋体"/>
          <w:b/>
          <w:color w:val="auto"/>
          <w:kern w:val="0"/>
          <w:sz w:val="32"/>
          <w:szCs w:val="32"/>
          <w:highlight w:val="none"/>
          <w:lang w:val="zh-CN"/>
        </w:rPr>
      </w:pPr>
    </w:p>
    <w:p w14:paraId="0C4BCB09">
      <w:pPr>
        <w:rPr>
          <w:rFonts w:ascii="宋体" w:hAnsi="宋体" w:cs="宋体"/>
          <w:b/>
          <w:color w:val="auto"/>
          <w:kern w:val="0"/>
          <w:sz w:val="32"/>
          <w:szCs w:val="32"/>
          <w:highlight w:val="none"/>
          <w:lang w:val="zh-CN"/>
        </w:rPr>
      </w:pPr>
    </w:p>
    <w:p w14:paraId="1924171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C2A729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6D0FC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DF7AC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D61EA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CF4F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64A9C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737FF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C76D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1" w:name="_Hlk101257010"/>
      <w:r>
        <w:rPr>
          <w:rFonts w:hint="eastAsia" w:ascii="宋体" w:hAnsi="宋体" w:cs="宋体"/>
          <w:color w:val="auto"/>
          <w:sz w:val="24"/>
          <w:highlight w:val="none"/>
        </w:rPr>
        <w:t>（如果有)</w:t>
      </w:r>
      <w:bookmarkEnd w:id="541"/>
      <w:r>
        <w:rPr>
          <w:rFonts w:hint="eastAsia" w:ascii="宋体" w:hAnsi="宋体" w:cs="宋体"/>
          <w:snapToGrid w:val="0"/>
          <w:color w:val="auto"/>
          <w:kern w:val="28"/>
          <w:sz w:val="24"/>
          <w:szCs w:val="20"/>
          <w:highlight w:val="none"/>
        </w:rPr>
        <w:t>；</w:t>
      </w:r>
    </w:p>
    <w:p w14:paraId="4D1B75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55331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BC4ECD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387F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5158D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3A5C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01F4D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93E3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6C8A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90FFA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3A1388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5733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B261A0D">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3A0CA2D">
      <w:pPr>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4292BF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166A486">
      <w:pPr>
        <w:pStyle w:val="80"/>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B8B0C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CC7B5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336B5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E3416A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0515C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1DF6C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38D86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1B2B9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DC89FC">
      <w:pPr>
        <w:snapToGrid w:val="0"/>
        <w:spacing w:line="360" w:lineRule="auto"/>
        <w:ind w:left="420" w:leftChars="200" w:firstLine="4200" w:firstLineChars="1750"/>
        <w:rPr>
          <w:rFonts w:ascii="宋体" w:hAnsi="宋体" w:cs="宋体"/>
          <w:color w:val="auto"/>
          <w:kern w:val="0"/>
          <w:sz w:val="24"/>
          <w:highlight w:val="none"/>
          <w:u w:val="single"/>
        </w:rPr>
      </w:pPr>
    </w:p>
    <w:p w14:paraId="245A46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CF4C2">
      <w:pPr>
        <w:snapToGrid w:val="0"/>
        <w:spacing w:line="360" w:lineRule="auto"/>
        <w:jc w:val="center"/>
        <w:rPr>
          <w:rFonts w:ascii="宋体" w:hAnsi="宋体" w:cs="宋体"/>
          <w:b/>
          <w:color w:val="auto"/>
          <w:kern w:val="0"/>
          <w:sz w:val="32"/>
          <w:szCs w:val="32"/>
          <w:highlight w:val="none"/>
        </w:rPr>
      </w:pPr>
    </w:p>
    <w:p w14:paraId="41CAFB9F">
      <w:pPr>
        <w:snapToGrid w:val="0"/>
        <w:spacing w:line="360" w:lineRule="auto"/>
        <w:rPr>
          <w:rFonts w:ascii="宋体" w:hAnsi="宋体" w:cs="宋体"/>
          <w:color w:val="auto"/>
          <w:sz w:val="24"/>
          <w:highlight w:val="none"/>
        </w:rPr>
      </w:pPr>
    </w:p>
    <w:p w14:paraId="1CE25392">
      <w:pPr>
        <w:jc w:val="center"/>
        <w:rPr>
          <w:rFonts w:ascii="宋体" w:hAnsi="宋体" w:cs="宋体"/>
          <w:b/>
          <w:color w:val="auto"/>
          <w:kern w:val="0"/>
          <w:sz w:val="32"/>
          <w:szCs w:val="32"/>
          <w:highlight w:val="none"/>
        </w:rPr>
      </w:pPr>
    </w:p>
    <w:p w14:paraId="2DAD8424">
      <w:pPr>
        <w:jc w:val="center"/>
        <w:rPr>
          <w:rFonts w:ascii="宋体" w:hAnsi="宋体" w:cs="宋体"/>
          <w:b/>
          <w:color w:val="auto"/>
          <w:kern w:val="0"/>
          <w:sz w:val="32"/>
          <w:szCs w:val="32"/>
          <w:highlight w:val="none"/>
        </w:rPr>
      </w:pPr>
    </w:p>
    <w:p w14:paraId="27E31357">
      <w:pPr>
        <w:jc w:val="center"/>
        <w:rPr>
          <w:rFonts w:ascii="宋体" w:hAnsi="宋体" w:cs="宋体"/>
          <w:b/>
          <w:color w:val="auto"/>
          <w:kern w:val="0"/>
          <w:sz w:val="32"/>
          <w:szCs w:val="32"/>
          <w:highlight w:val="none"/>
        </w:rPr>
      </w:pPr>
    </w:p>
    <w:p w14:paraId="720C0F36">
      <w:pPr>
        <w:jc w:val="center"/>
        <w:rPr>
          <w:rFonts w:ascii="宋体" w:hAnsi="宋体" w:cs="宋体"/>
          <w:b/>
          <w:color w:val="auto"/>
          <w:kern w:val="0"/>
          <w:sz w:val="32"/>
          <w:szCs w:val="32"/>
          <w:highlight w:val="none"/>
        </w:rPr>
      </w:pPr>
    </w:p>
    <w:p w14:paraId="0F8FD4C5">
      <w:pPr>
        <w:jc w:val="center"/>
        <w:rPr>
          <w:rFonts w:ascii="宋体" w:hAnsi="宋体" w:cs="宋体"/>
          <w:b/>
          <w:color w:val="auto"/>
          <w:kern w:val="0"/>
          <w:sz w:val="32"/>
          <w:szCs w:val="32"/>
          <w:highlight w:val="none"/>
        </w:rPr>
      </w:pPr>
    </w:p>
    <w:p w14:paraId="0DA94D17">
      <w:pPr>
        <w:jc w:val="center"/>
        <w:rPr>
          <w:rFonts w:ascii="宋体" w:hAnsi="宋体" w:cs="宋体"/>
          <w:b/>
          <w:color w:val="auto"/>
          <w:kern w:val="0"/>
          <w:sz w:val="32"/>
          <w:szCs w:val="32"/>
          <w:highlight w:val="none"/>
        </w:rPr>
      </w:pPr>
    </w:p>
    <w:p w14:paraId="0D3C481F">
      <w:pPr>
        <w:jc w:val="center"/>
        <w:rPr>
          <w:rFonts w:ascii="宋体" w:hAnsi="宋体" w:cs="宋体"/>
          <w:b/>
          <w:color w:val="auto"/>
          <w:kern w:val="0"/>
          <w:sz w:val="32"/>
          <w:szCs w:val="32"/>
          <w:highlight w:val="none"/>
        </w:rPr>
      </w:pPr>
    </w:p>
    <w:p w14:paraId="1605B34E">
      <w:pPr>
        <w:jc w:val="center"/>
        <w:rPr>
          <w:rFonts w:ascii="宋体" w:hAnsi="宋体" w:cs="宋体"/>
          <w:b/>
          <w:color w:val="auto"/>
          <w:kern w:val="0"/>
          <w:sz w:val="32"/>
          <w:szCs w:val="32"/>
          <w:highlight w:val="none"/>
        </w:rPr>
      </w:pPr>
    </w:p>
    <w:p w14:paraId="58CCF4E5">
      <w:pPr>
        <w:jc w:val="center"/>
        <w:rPr>
          <w:rFonts w:ascii="宋体" w:hAnsi="宋体" w:cs="宋体"/>
          <w:b/>
          <w:color w:val="auto"/>
          <w:kern w:val="0"/>
          <w:sz w:val="32"/>
          <w:szCs w:val="32"/>
          <w:highlight w:val="none"/>
        </w:rPr>
      </w:pPr>
    </w:p>
    <w:p w14:paraId="5A24ECE1">
      <w:pPr>
        <w:jc w:val="center"/>
        <w:rPr>
          <w:rFonts w:ascii="宋体" w:hAnsi="宋体" w:cs="宋体"/>
          <w:b/>
          <w:color w:val="auto"/>
          <w:kern w:val="0"/>
          <w:sz w:val="32"/>
          <w:szCs w:val="32"/>
          <w:highlight w:val="none"/>
        </w:rPr>
      </w:pPr>
    </w:p>
    <w:p w14:paraId="3122215F">
      <w:pPr>
        <w:jc w:val="center"/>
        <w:rPr>
          <w:rFonts w:ascii="宋体" w:hAnsi="宋体" w:cs="宋体"/>
          <w:b/>
          <w:color w:val="auto"/>
          <w:kern w:val="0"/>
          <w:sz w:val="32"/>
          <w:szCs w:val="32"/>
          <w:highlight w:val="none"/>
        </w:rPr>
      </w:pPr>
    </w:p>
    <w:p w14:paraId="44198C2D">
      <w:pPr>
        <w:jc w:val="center"/>
        <w:rPr>
          <w:rFonts w:ascii="宋体" w:hAnsi="宋体" w:cs="宋体"/>
          <w:b/>
          <w:color w:val="auto"/>
          <w:kern w:val="0"/>
          <w:sz w:val="32"/>
          <w:szCs w:val="32"/>
          <w:highlight w:val="none"/>
        </w:rPr>
      </w:pPr>
    </w:p>
    <w:p w14:paraId="624AA633">
      <w:pPr>
        <w:jc w:val="center"/>
        <w:rPr>
          <w:rFonts w:ascii="宋体" w:hAnsi="宋体" w:cs="宋体"/>
          <w:b/>
          <w:color w:val="auto"/>
          <w:kern w:val="0"/>
          <w:sz w:val="32"/>
          <w:szCs w:val="32"/>
          <w:highlight w:val="none"/>
        </w:rPr>
      </w:pPr>
    </w:p>
    <w:p w14:paraId="4B9FB4C6">
      <w:pPr>
        <w:jc w:val="center"/>
        <w:rPr>
          <w:rFonts w:ascii="宋体" w:hAnsi="宋体" w:cs="宋体"/>
          <w:b/>
          <w:color w:val="auto"/>
          <w:kern w:val="0"/>
          <w:sz w:val="32"/>
          <w:szCs w:val="32"/>
          <w:highlight w:val="none"/>
        </w:rPr>
      </w:pPr>
    </w:p>
    <w:p w14:paraId="76458EEC">
      <w:pPr>
        <w:jc w:val="center"/>
        <w:rPr>
          <w:rFonts w:ascii="宋体" w:hAnsi="宋体" w:cs="宋体"/>
          <w:b/>
          <w:color w:val="auto"/>
          <w:kern w:val="0"/>
          <w:sz w:val="32"/>
          <w:szCs w:val="32"/>
          <w:highlight w:val="none"/>
        </w:rPr>
      </w:pPr>
    </w:p>
    <w:p w14:paraId="5F99CF17">
      <w:pPr>
        <w:jc w:val="center"/>
        <w:rPr>
          <w:rFonts w:ascii="宋体" w:hAnsi="宋体" w:cs="宋体"/>
          <w:b/>
          <w:color w:val="auto"/>
          <w:kern w:val="0"/>
          <w:sz w:val="32"/>
          <w:szCs w:val="32"/>
          <w:highlight w:val="none"/>
        </w:rPr>
      </w:pPr>
    </w:p>
    <w:p w14:paraId="2DD95ED2">
      <w:pPr>
        <w:jc w:val="center"/>
        <w:rPr>
          <w:rFonts w:ascii="宋体" w:hAnsi="宋体" w:cs="宋体"/>
          <w:b/>
          <w:color w:val="auto"/>
          <w:kern w:val="0"/>
          <w:sz w:val="32"/>
          <w:szCs w:val="32"/>
          <w:highlight w:val="none"/>
        </w:rPr>
      </w:pPr>
    </w:p>
    <w:p w14:paraId="21B8F4DF">
      <w:pPr>
        <w:jc w:val="center"/>
        <w:rPr>
          <w:rFonts w:ascii="宋体" w:hAnsi="宋体" w:cs="宋体"/>
          <w:b/>
          <w:color w:val="auto"/>
          <w:kern w:val="0"/>
          <w:sz w:val="32"/>
          <w:szCs w:val="32"/>
          <w:highlight w:val="none"/>
        </w:rPr>
      </w:pPr>
    </w:p>
    <w:p w14:paraId="44BB5DB0">
      <w:pPr>
        <w:jc w:val="center"/>
        <w:rPr>
          <w:rFonts w:ascii="宋体" w:hAnsi="宋体" w:cs="宋体"/>
          <w:b/>
          <w:color w:val="auto"/>
          <w:kern w:val="0"/>
          <w:sz w:val="32"/>
          <w:szCs w:val="32"/>
          <w:highlight w:val="none"/>
        </w:rPr>
      </w:pPr>
    </w:p>
    <w:p w14:paraId="6E98C419">
      <w:pPr>
        <w:jc w:val="center"/>
        <w:rPr>
          <w:rFonts w:ascii="宋体" w:hAnsi="宋体" w:cs="宋体"/>
          <w:b/>
          <w:color w:val="auto"/>
          <w:kern w:val="0"/>
          <w:sz w:val="32"/>
          <w:szCs w:val="32"/>
          <w:highlight w:val="none"/>
        </w:rPr>
      </w:pPr>
    </w:p>
    <w:p w14:paraId="6ADC70B9">
      <w:pPr>
        <w:jc w:val="center"/>
        <w:rPr>
          <w:rFonts w:ascii="宋体" w:hAnsi="宋体" w:cs="宋体"/>
          <w:b/>
          <w:color w:val="auto"/>
          <w:kern w:val="0"/>
          <w:sz w:val="32"/>
          <w:szCs w:val="32"/>
          <w:highlight w:val="none"/>
        </w:rPr>
      </w:pPr>
    </w:p>
    <w:p w14:paraId="1E73C95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FF9AB2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51E7A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5D80E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C67A7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AFB04E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1EC13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41884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114D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5CB34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3A0BF12">
      <w:pPr>
        <w:snapToGrid w:val="0"/>
        <w:spacing w:line="360" w:lineRule="auto"/>
        <w:rPr>
          <w:rFonts w:ascii="宋体" w:hAnsi="宋体" w:cs="宋体"/>
          <w:color w:val="auto"/>
          <w:sz w:val="24"/>
          <w:highlight w:val="none"/>
        </w:rPr>
      </w:pPr>
    </w:p>
    <w:p w14:paraId="5E81AD7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97DC2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14E9E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82044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5A9C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91128FC">
      <w:pPr>
        <w:jc w:val="center"/>
        <w:rPr>
          <w:rFonts w:ascii="宋体" w:hAnsi="宋体" w:cs="宋体"/>
          <w:b/>
          <w:color w:val="auto"/>
          <w:kern w:val="0"/>
          <w:sz w:val="32"/>
          <w:szCs w:val="32"/>
          <w:highlight w:val="none"/>
        </w:rPr>
      </w:pPr>
    </w:p>
    <w:p w14:paraId="6E07FB31">
      <w:pPr>
        <w:rPr>
          <w:rFonts w:ascii="宋体" w:hAnsi="宋体" w:cs="宋体"/>
          <w:color w:val="auto"/>
          <w:highlight w:val="none"/>
        </w:rPr>
      </w:pPr>
    </w:p>
    <w:p w14:paraId="3E9BD1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83BE2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579EB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164AA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19403C">
      <w:pPr>
        <w:autoSpaceDE w:val="0"/>
        <w:autoSpaceDN w:val="0"/>
        <w:spacing w:line="360" w:lineRule="auto"/>
        <w:jc w:val="center"/>
        <w:rPr>
          <w:rFonts w:ascii="宋体" w:hAnsi="宋体" w:cs="宋体"/>
          <w:b/>
          <w:color w:val="auto"/>
          <w:kern w:val="0"/>
          <w:sz w:val="32"/>
          <w:szCs w:val="32"/>
          <w:highlight w:val="none"/>
          <w:lang w:val="zh-CN"/>
        </w:rPr>
      </w:pPr>
    </w:p>
    <w:p w14:paraId="6FBBEEFB">
      <w:pPr>
        <w:autoSpaceDE w:val="0"/>
        <w:autoSpaceDN w:val="0"/>
        <w:spacing w:line="360" w:lineRule="auto"/>
        <w:jc w:val="center"/>
        <w:rPr>
          <w:rFonts w:ascii="宋体" w:hAnsi="宋体" w:cs="宋体"/>
          <w:b/>
          <w:color w:val="auto"/>
          <w:kern w:val="0"/>
          <w:sz w:val="32"/>
          <w:szCs w:val="32"/>
          <w:highlight w:val="none"/>
          <w:lang w:val="zh-CN"/>
        </w:rPr>
      </w:pPr>
    </w:p>
    <w:p w14:paraId="4E87E666">
      <w:pPr>
        <w:autoSpaceDE w:val="0"/>
        <w:autoSpaceDN w:val="0"/>
        <w:spacing w:line="360" w:lineRule="auto"/>
        <w:jc w:val="center"/>
        <w:rPr>
          <w:rFonts w:ascii="宋体" w:hAnsi="宋体" w:cs="宋体"/>
          <w:b/>
          <w:color w:val="auto"/>
          <w:kern w:val="0"/>
          <w:sz w:val="32"/>
          <w:szCs w:val="32"/>
          <w:highlight w:val="none"/>
          <w:lang w:val="zh-CN"/>
        </w:rPr>
      </w:pPr>
    </w:p>
    <w:p w14:paraId="5A1B564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CD82F9E">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90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0DDA0A">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06F1201">
            <w:pPr>
              <w:pStyle w:val="149"/>
              <w:adjustRightInd w:val="0"/>
              <w:spacing w:line="360" w:lineRule="auto"/>
              <w:rPr>
                <w:rFonts w:hAnsi="宋体" w:cs="宋体"/>
                <w:bCs/>
                <w:color w:val="auto"/>
                <w:sz w:val="24"/>
                <w:highlight w:val="none"/>
              </w:rPr>
            </w:pPr>
          </w:p>
        </w:tc>
      </w:tr>
    </w:tbl>
    <w:p w14:paraId="45F3540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4C05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9838D7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3796EE">
      <w:pPr>
        <w:jc w:val="center"/>
        <w:rPr>
          <w:rFonts w:ascii="宋体" w:hAnsi="宋体" w:cs="宋体"/>
          <w:b/>
          <w:color w:val="auto"/>
          <w:kern w:val="0"/>
          <w:sz w:val="32"/>
          <w:szCs w:val="32"/>
          <w:highlight w:val="none"/>
        </w:rPr>
      </w:pPr>
    </w:p>
    <w:p w14:paraId="15C5B452">
      <w:pPr>
        <w:jc w:val="center"/>
        <w:rPr>
          <w:rFonts w:ascii="宋体" w:hAnsi="宋体" w:cs="宋体"/>
          <w:b/>
          <w:color w:val="auto"/>
          <w:kern w:val="0"/>
          <w:sz w:val="32"/>
          <w:szCs w:val="32"/>
          <w:highlight w:val="none"/>
        </w:rPr>
      </w:pPr>
    </w:p>
    <w:p w14:paraId="78A4F211">
      <w:pPr>
        <w:jc w:val="center"/>
        <w:rPr>
          <w:rFonts w:ascii="宋体" w:hAnsi="宋体" w:cs="宋体"/>
          <w:b/>
          <w:color w:val="auto"/>
          <w:kern w:val="0"/>
          <w:sz w:val="32"/>
          <w:szCs w:val="32"/>
          <w:highlight w:val="none"/>
        </w:rPr>
      </w:pPr>
    </w:p>
    <w:p w14:paraId="4807C2A3">
      <w:pPr>
        <w:jc w:val="center"/>
        <w:rPr>
          <w:rFonts w:ascii="宋体" w:hAnsi="宋体" w:cs="宋体"/>
          <w:b/>
          <w:color w:val="auto"/>
          <w:kern w:val="0"/>
          <w:sz w:val="32"/>
          <w:szCs w:val="32"/>
          <w:highlight w:val="none"/>
        </w:rPr>
      </w:pPr>
    </w:p>
    <w:p w14:paraId="5F3FB310">
      <w:pPr>
        <w:jc w:val="center"/>
        <w:rPr>
          <w:rFonts w:ascii="宋体" w:hAnsi="宋体" w:cs="宋体"/>
          <w:b/>
          <w:color w:val="auto"/>
          <w:kern w:val="0"/>
          <w:sz w:val="32"/>
          <w:szCs w:val="32"/>
          <w:highlight w:val="none"/>
        </w:rPr>
      </w:pPr>
    </w:p>
    <w:p w14:paraId="5BFE6CDF">
      <w:pPr>
        <w:jc w:val="center"/>
        <w:rPr>
          <w:rFonts w:ascii="宋体" w:hAnsi="宋体" w:cs="宋体"/>
          <w:b/>
          <w:color w:val="auto"/>
          <w:kern w:val="0"/>
          <w:sz w:val="32"/>
          <w:szCs w:val="32"/>
          <w:highlight w:val="none"/>
        </w:rPr>
      </w:pPr>
    </w:p>
    <w:p w14:paraId="25A6454E">
      <w:pPr>
        <w:jc w:val="center"/>
        <w:rPr>
          <w:rFonts w:ascii="宋体" w:hAnsi="宋体" w:cs="宋体"/>
          <w:b/>
          <w:color w:val="auto"/>
          <w:kern w:val="0"/>
          <w:sz w:val="32"/>
          <w:szCs w:val="32"/>
          <w:highlight w:val="none"/>
        </w:rPr>
      </w:pPr>
    </w:p>
    <w:p w14:paraId="21E239B8">
      <w:pPr>
        <w:jc w:val="center"/>
        <w:rPr>
          <w:rFonts w:ascii="宋体" w:hAnsi="宋体" w:cs="宋体"/>
          <w:b/>
          <w:color w:val="auto"/>
          <w:kern w:val="0"/>
          <w:sz w:val="32"/>
          <w:szCs w:val="32"/>
          <w:highlight w:val="none"/>
        </w:rPr>
      </w:pPr>
    </w:p>
    <w:p w14:paraId="6226F76C">
      <w:pPr>
        <w:jc w:val="center"/>
        <w:rPr>
          <w:rFonts w:ascii="宋体" w:hAnsi="宋体" w:cs="宋体"/>
          <w:b/>
          <w:color w:val="auto"/>
          <w:kern w:val="0"/>
          <w:sz w:val="32"/>
          <w:szCs w:val="32"/>
          <w:highlight w:val="none"/>
        </w:rPr>
      </w:pPr>
    </w:p>
    <w:p w14:paraId="3322FE17">
      <w:pPr>
        <w:jc w:val="center"/>
        <w:rPr>
          <w:rFonts w:ascii="宋体" w:hAnsi="宋体" w:cs="宋体"/>
          <w:b/>
          <w:color w:val="auto"/>
          <w:kern w:val="0"/>
          <w:sz w:val="32"/>
          <w:szCs w:val="32"/>
          <w:highlight w:val="none"/>
        </w:rPr>
      </w:pPr>
    </w:p>
    <w:p w14:paraId="6814527B">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53A5E7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834E43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C68286A">
      <w:pPr>
        <w:snapToGrid w:val="0"/>
        <w:spacing w:line="360" w:lineRule="auto"/>
        <w:rPr>
          <w:rFonts w:ascii="宋体" w:hAnsi="宋体" w:cs="宋体"/>
          <w:color w:val="auto"/>
          <w:kern w:val="0"/>
          <w:sz w:val="24"/>
          <w:highlight w:val="none"/>
        </w:rPr>
      </w:pPr>
    </w:p>
    <w:p w14:paraId="13D6C9D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C351D90">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AF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32567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47719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BAE92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E761E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5E17A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D8A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1120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7FAB5E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AE9E1C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E236893">
            <w:pPr>
              <w:rPr>
                <w:rFonts w:ascii="宋体" w:hAnsi="宋体" w:cs="宋体"/>
                <w:color w:val="auto"/>
                <w:sz w:val="24"/>
                <w:highlight w:val="none"/>
              </w:rPr>
            </w:pPr>
          </w:p>
          <w:p w14:paraId="1264C131">
            <w:pPr>
              <w:rPr>
                <w:rFonts w:ascii="宋体" w:hAnsi="宋体" w:cs="宋体"/>
                <w:color w:val="auto"/>
                <w:sz w:val="24"/>
                <w:highlight w:val="none"/>
              </w:rPr>
            </w:pPr>
            <w:r>
              <w:rPr>
                <w:rFonts w:hint="eastAsia" w:ascii="宋体" w:hAnsi="宋体" w:cs="宋体"/>
                <w:color w:val="auto"/>
                <w:sz w:val="24"/>
                <w:highlight w:val="none"/>
              </w:rPr>
              <w:t>见投标文件</w:t>
            </w:r>
          </w:p>
          <w:p w14:paraId="73BA9EB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A76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EB1A5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964A7B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82F34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0A31C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8E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FE1EF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ECEB01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53767A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A365AB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F664F6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8C0A05">
      <w:pPr>
        <w:jc w:val="center"/>
        <w:rPr>
          <w:rFonts w:ascii="宋体" w:hAnsi="宋体" w:cs="宋体"/>
          <w:b/>
          <w:color w:val="auto"/>
          <w:kern w:val="0"/>
          <w:sz w:val="32"/>
          <w:szCs w:val="32"/>
          <w:highlight w:val="none"/>
        </w:rPr>
      </w:pPr>
    </w:p>
    <w:p w14:paraId="2739C24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76B56D6">
      <w:pPr>
        <w:jc w:val="center"/>
        <w:rPr>
          <w:rFonts w:ascii="宋体" w:hAnsi="宋体" w:cs="宋体"/>
          <w:b/>
          <w:color w:val="auto"/>
          <w:kern w:val="0"/>
          <w:sz w:val="32"/>
          <w:szCs w:val="32"/>
          <w:highlight w:val="none"/>
        </w:rPr>
      </w:pPr>
    </w:p>
    <w:p w14:paraId="4F7C12D6">
      <w:pPr>
        <w:jc w:val="center"/>
        <w:rPr>
          <w:rFonts w:ascii="宋体" w:hAnsi="宋体" w:cs="宋体"/>
          <w:b/>
          <w:color w:val="auto"/>
          <w:kern w:val="0"/>
          <w:sz w:val="32"/>
          <w:szCs w:val="32"/>
          <w:highlight w:val="none"/>
        </w:rPr>
      </w:pPr>
    </w:p>
    <w:p w14:paraId="2186D8A4">
      <w:pPr>
        <w:jc w:val="center"/>
        <w:rPr>
          <w:rFonts w:ascii="宋体" w:hAnsi="宋体" w:cs="宋体"/>
          <w:b/>
          <w:color w:val="auto"/>
          <w:kern w:val="0"/>
          <w:sz w:val="32"/>
          <w:szCs w:val="32"/>
          <w:highlight w:val="none"/>
        </w:rPr>
      </w:pPr>
    </w:p>
    <w:p w14:paraId="4E52EEE7">
      <w:pPr>
        <w:jc w:val="center"/>
        <w:rPr>
          <w:rFonts w:ascii="宋体" w:hAnsi="宋体" w:cs="宋体"/>
          <w:b/>
          <w:color w:val="auto"/>
          <w:kern w:val="0"/>
          <w:sz w:val="32"/>
          <w:szCs w:val="32"/>
          <w:highlight w:val="none"/>
        </w:rPr>
      </w:pPr>
    </w:p>
    <w:p w14:paraId="527257D7">
      <w:pPr>
        <w:jc w:val="center"/>
        <w:rPr>
          <w:rFonts w:ascii="宋体" w:hAnsi="宋体" w:cs="宋体"/>
          <w:b/>
          <w:color w:val="auto"/>
          <w:kern w:val="0"/>
          <w:sz w:val="32"/>
          <w:szCs w:val="32"/>
          <w:highlight w:val="none"/>
        </w:rPr>
      </w:pPr>
    </w:p>
    <w:p w14:paraId="29B41FFD">
      <w:pPr>
        <w:jc w:val="center"/>
        <w:rPr>
          <w:rFonts w:ascii="宋体" w:hAnsi="宋体" w:cs="宋体"/>
          <w:b/>
          <w:color w:val="auto"/>
          <w:kern w:val="0"/>
          <w:sz w:val="32"/>
          <w:szCs w:val="32"/>
          <w:highlight w:val="none"/>
        </w:rPr>
      </w:pPr>
    </w:p>
    <w:p w14:paraId="77C14E1E">
      <w:pPr>
        <w:jc w:val="center"/>
        <w:rPr>
          <w:rFonts w:ascii="宋体" w:hAnsi="宋体" w:cs="宋体"/>
          <w:b/>
          <w:color w:val="auto"/>
          <w:kern w:val="0"/>
          <w:sz w:val="32"/>
          <w:szCs w:val="32"/>
          <w:highlight w:val="none"/>
        </w:rPr>
      </w:pPr>
    </w:p>
    <w:p w14:paraId="3E9123B1">
      <w:pPr>
        <w:jc w:val="center"/>
        <w:rPr>
          <w:rFonts w:ascii="宋体" w:hAnsi="宋体" w:cs="宋体"/>
          <w:b/>
          <w:color w:val="auto"/>
          <w:kern w:val="0"/>
          <w:sz w:val="32"/>
          <w:szCs w:val="32"/>
          <w:highlight w:val="none"/>
        </w:rPr>
      </w:pPr>
    </w:p>
    <w:p w14:paraId="6EF29B38">
      <w:pPr>
        <w:jc w:val="center"/>
        <w:rPr>
          <w:rFonts w:ascii="宋体" w:hAnsi="宋体" w:cs="宋体"/>
          <w:b/>
          <w:color w:val="auto"/>
          <w:kern w:val="0"/>
          <w:sz w:val="32"/>
          <w:szCs w:val="32"/>
          <w:highlight w:val="none"/>
        </w:rPr>
      </w:pPr>
    </w:p>
    <w:p w14:paraId="6B65E146">
      <w:pPr>
        <w:jc w:val="center"/>
        <w:rPr>
          <w:rFonts w:ascii="宋体" w:hAnsi="宋体" w:cs="宋体"/>
          <w:b/>
          <w:color w:val="auto"/>
          <w:kern w:val="0"/>
          <w:sz w:val="32"/>
          <w:szCs w:val="32"/>
          <w:highlight w:val="none"/>
        </w:rPr>
      </w:pPr>
    </w:p>
    <w:p w14:paraId="473E74F8">
      <w:pPr>
        <w:jc w:val="center"/>
        <w:rPr>
          <w:rFonts w:ascii="宋体" w:hAnsi="宋体" w:cs="宋体"/>
          <w:b/>
          <w:color w:val="auto"/>
          <w:kern w:val="0"/>
          <w:sz w:val="32"/>
          <w:szCs w:val="32"/>
          <w:highlight w:val="none"/>
        </w:rPr>
      </w:pPr>
    </w:p>
    <w:p w14:paraId="6D98FA47">
      <w:pPr>
        <w:jc w:val="center"/>
        <w:rPr>
          <w:rFonts w:ascii="宋体" w:hAnsi="宋体" w:cs="宋体"/>
          <w:b/>
          <w:color w:val="auto"/>
          <w:kern w:val="0"/>
          <w:sz w:val="32"/>
          <w:szCs w:val="32"/>
          <w:highlight w:val="none"/>
        </w:rPr>
      </w:pPr>
    </w:p>
    <w:p w14:paraId="39B6F92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52823F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3A2EBBD">
      <w:pPr>
        <w:jc w:val="center"/>
        <w:rPr>
          <w:rFonts w:ascii="宋体" w:hAnsi="宋体" w:cs="宋体"/>
          <w:b/>
          <w:color w:val="auto"/>
          <w:kern w:val="0"/>
          <w:sz w:val="32"/>
          <w:szCs w:val="32"/>
          <w:highlight w:val="none"/>
        </w:rPr>
      </w:pPr>
    </w:p>
    <w:p w14:paraId="3AE57D0C">
      <w:pPr>
        <w:jc w:val="center"/>
        <w:rPr>
          <w:rFonts w:ascii="宋体" w:hAnsi="宋体" w:cs="宋体"/>
          <w:b/>
          <w:color w:val="auto"/>
          <w:kern w:val="0"/>
          <w:sz w:val="32"/>
          <w:szCs w:val="32"/>
          <w:highlight w:val="none"/>
        </w:rPr>
      </w:pPr>
    </w:p>
    <w:p w14:paraId="53CEC058">
      <w:pPr>
        <w:jc w:val="center"/>
        <w:rPr>
          <w:rFonts w:ascii="宋体" w:hAnsi="宋体" w:cs="宋体"/>
          <w:b/>
          <w:color w:val="auto"/>
          <w:kern w:val="0"/>
          <w:sz w:val="32"/>
          <w:szCs w:val="32"/>
          <w:highlight w:val="none"/>
        </w:rPr>
      </w:pPr>
    </w:p>
    <w:p w14:paraId="01ED923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06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15C3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01D46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6E4BD5">
            <w:pPr>
              <w:spacing w:line="360" w:lineRule="auto"/>
              <w:jc w:val="center"/>
              <w:rPr>
                <w:rFonts w:ascii="宋体" w:hAnsi="宋体" w:cs="宋体"/>
                <w:b/>
                <w:color w:val="auto"/>
                <w:sz w:val="24"/>
                <w:highlight w:val="none"/>
              </w:rPr>
            </w:pPr>
          </w:p>
          <w:p w14:paraId="41873D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082C1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3EAD7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FFF89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8E757F">
            <w:pPr>
              <w:spacing w:line="360" w:lineRule="auto"/>
              <w:jc w:val="center"/>
              <w:rPr>
                <w:rFonts w:ascii="宋体" w:hAnsi="宋体" w:cs="宋体"/>
                <w:b/>
                <w:color w:val="auto"/>
                <w:sz w:val="24"/>
                <w:highlight w:val="none"/>
              </w:rPr>
            </w:pPr>
          </w:p>
          <w:p w14:paraId="27EC0F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0E07FE5">
            <w:pPr>
              <w:spacing w:line="360" w:lineRule="auto"/>
              <w:jc w:val="center"/>
              <w:rPr>
                <w:rFonts w:ascii="宋体" w:hAnsi="宋体" w:cs="宋体"/>
                <w:b/>
                <w:color w:val="auto"/>
                <w:sz w:val="24"/>
                <w:highlight w:val="none"/>
              </w:rPr>
            </w:pPr>
          </w:p>
        </w:tc>
      </w:tr>
      <w:tr w14:paraId="1EBE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FE86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2AA24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01318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60BEB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0641B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075B4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E0D421">
            <w:pPr>
              <w:spacing w:line="360" w:lineRule="auto"/>
              <w:jc w:val="center"/>
              <w:rPr>
                <w:rFonts w:ascii="宋体" w:hAnsi="宋体" w:cs="宋体"/>
                <w:color w:val="auto"/>
                <w:sz w:val="24"/>
                <w:highlight w:val="none"/>
              </w:rPr>
            </w:pPr>
          </w:p>
        </w:tc>
      </w:tr>
      <w:tr w14:paraId="0E34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3080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A3EAD0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B814A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D2256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94C2C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0087F5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5A4D21">
            <w:pPr>
              <w:spacing w:line="360" w:lineRule="auto"/>
              <w:jc w:val="center"/>
              <w:rPr>
                <w:rFonts w:ascii="宋体" w:hAnsi="宋体" w:cs="宋体"/>
                <w:color w:val="auto"/>
                <w:sz w:val="24"/>
                <w:highlight w:val="none"/>
              </w:rPr>
            </w:pPr>
          </w:p>
        </w:tc>
      </w:tr>
      <w:tr w14:paraId="202A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8B8D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D82E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943DB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7FA7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1F092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83D151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396F8B">
            <w:pPr>
              <w:spacing w:line="360" w:lineRule="auto"/>
              <w:jc w:val="center"/>
              <w:rPr>
                <w:rFonts w:ascii="宋体" w:hAnsi="宋体" w:cs="宋体"/>
                <w:color w:val="auto"/>
                <w:sz w:val="24"/>
                <w:highlight w:val="none"/>
              </w:rPr>
            </w:pPr>
          </w:p>
        </w:tc>
      </w:tr>
    </w:tbl>
    <w:p w14:paraId="2FAAA96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D08728">
      <w:pPr>
        <w:jc w:val="center"/>
        <w:rPr>
          <w:rFonts w:ascii="宋体" w:hAnsi="宋体" w:cs="宋体"/>
          <w:b/>
          <w:color w:val="auto"/>
          <w:kern w:val="0"/>
          <w:sz w:val="32"/>
          <w:szCs w:val="32"/>
          <w:highlight w:val="none"/>
        </w:rPr>
      </w:pPr>
    </w:p>
    <w:p w14:paraId="3CB73906">
      <w:pPr>
        <w:jc w:val="center"/>
        <w:rPr>
          <w:rFonts w:ascii="宋体" w:hAnsi="宋体" w:cs="宋体"/>
          <w:b/>
          <w:color w:val="auto"/>
          <w:kern w:val="0"/>
          <w:sz w:val="32"/>
          <w:szCs w:val="32"/>
          <w:highlight w:val="none"/>
        </w:rPr>
      </w:pPr>
    </w:p>
    <w:p w14:paraId="43E1442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41F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CBF38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BDA69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497BE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3B2F73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F43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EDC3B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D04A5ED">
            <w:pPr>
              <w:jc w:val="center"/>
              <w:rPr>
                <w:rFonts w:ascii="宋体" w:hAnsi="宋体" w:cs="宋体"/>
                <w:b/>
                <w:color w:val="auto"/>
                <w:kern w:val="0"/>
                <w:sz w:val="32"/>
                <w:szCs w:val="32"/>
                <w:highlight w:val="none"/>
              </w:rPr>
            </w:pPr>
          </w:p>
        </w:tc>
        <w:tc>
          <w:tcPr>
            <w:tcW w:w="3546" w:type="dxa"/>
          </w:tcPr>
          <w:p w14:paraId="233448AD">
            <w:pPr>
              <w:jc w:val="center"/>
              <w:rPr>
                <w:rFonts w:ascii="宋体" w:hAnsi="宋体" w:cs="宋体"/>
                <w:b/>
                <w:color w:val="auto"/>
                <w:kern w:val="0"/>
                <w:sz w:val="32"/>
                <w:szCs w:val="32"/>
                <w:highlight w:val="none"/>
              </w:rPr>
            </w:pPr>
          </w:p>
        </w:tc>
        <w:tc>
          <w:tcPr>
            <w:tcW w:w="1276" w:type="dxa"/>
          </w:tcPr>
          <w:p w14:paraId="2198E666">
            <w:pPr>
              <w:jc w:val="center"/>
              <w:rPr>
                <w:rFonts w:ascii="宋体" w:hAnsi="宋体" w:cs="宋体"/>
                <w:b/>
                <w:color w:val="auto"/>
                <w:kern w:val="0"/>
                <w:sz w:val="32"/>
                <w:szCs w:val="32"/>
                <w:highlight w:val="none"/>
              </w:rPr>
            </w:pPr>
          </w:p>
        </w:tc>
      </w:tr>
      <w:tr w14:paraId="2832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5503C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E41B983">
            <w:pPr>
              <w:jc w:val="center"/>
              <w:rPr>
                <w:rFonts w:ascii="宋体" w:hAnsi="宋体" w:cs="宋体"/>
                <w:b/>
                <w:color w:val="auto"/>
                <w:kern w:val="0"/>
                <w:sz w:val="32"/>
                <w:szCs w:val="32"/>
                <w:highlight w:val="none"/>
              </w:rPr>
            </w:pPr>
          </w:p>
        </w:tc>
        <w:tc>
          <w:tcPr>
            <w:tcW w:w="3546" w:type="dxa"/>
          </w:tcPr>
          <w:p w14:paraId="7EB497F3">
            <w:pPr>
              <w:jc w:val="center"/>
              <w:rPr>
                <w:rFonts w:ascii="宋体" w:hAnsi="宋体" w:cs="宋体"/>
                <w:b/>
                <w:color w:val="auto"/>
                <w:kern w:val="0"/>
                <w:sz w:val="32"/>
                <w:szCs w:val="32"/>
                <w:highlight w:val="none"/>
              </w:rPr>
            </w:pPr>
          </w:p>
        </w:tc>
        <w:tc>
          <w:tcPr>
            <w:tcW w:w="1276" w:type="dxa"/>
          </w:tcPr>
          <w:p w14:paraId="3188FC80">
            <w:pPr>
              <w:jc w:val="center"/>
              <w:rPr>
                <w:rFonts w:ascii="宋体" w:hAnsi="宋体" w:cs="宋体"/>
                <w:b/>
                <w:color w:val="auto"/>
                <w:kern w:val="0"/>
                <w:sz w:val="32"/>
                <w:szCs w:val="32"/>
                <w:highlight w:val="none"/>
              </w:rPr>
            </w:pPr>
          </w:p>
        </w:tc>
      </w:tr>
      <w:tr w14:paraId="03B6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FA05A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D662C7C">
            <w:pPr>
              <w:jc w:val="center"/>
              <w:rPr>
                <w:rFonts w:ascii="宋体" w:hAnsi="宋体" w:cs="宋体"/>
                <w:b/>
                <w:color w:val="auto"/>
                <w:kern w:val="0"/>
                <w:sz w:val="32"/>
                <w:szCs w:val="32"/>
                <w:highlight w:val="none"/>
              </w:rPr>
            </w:pPr>
          </w:p>
        </w:tc>
        <w:tc>
          <w:tcPr>
            <w:tcW w:w="3546" w:type="dxa"/>
          </w:tcPr>
          <w:p w14:paraId="64D47D26">
            <w:pPr>
              <w:jc w:val="center"/>
              <w:rPr>
                <w:rFonts w:ascii="宋体" w:hAnsi="宋体" w:cs="宋体"/>
                <w:b/>
                <w:color w:val="auto"/>
                <w:kern w:val="0"/>
                <w:sz w:val="32"/>
                <w:szCs w:val="32"/>
                <w:highlight w:val="none"/>
              </w:rPr>
            </w:pPr>
          </w:p>
        </w:tc>
        <w:tc>
          <w:tcPr>
            <w:tcW w:w="1276" w:type="dxa"/>
          </w:tcPr>
          <w:p w14:paraId="1BAFCFFC">
            <w:pPr>
              <w:jc w:val="center"/>
              <w:rPr>
                <w:rFonts w:ascii="宋体" w:hAnsi="宋体" w:cs="宋体"/>
                <w:b/>
                <w:color w:val="auto"/>
                <w:kern w:val="0"/>
                <w:sz w:val="32"/>
                <w:szCs w:val="32"/>
                <w:highlight w:val="none"/>
              </w:rPr>
            </w:pPr>
          </w:p>
        </w:tc>
      </w:tr>
    </w:tbl>
    <w:p w14:paraId="7114FBF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C8207DE">
      <w:pPr>
        <w:jc w:val="center"/>
        <w:rPr>
          <w:rFonts w:ascii="宋体" w:hAnsi="宋体" w:cs="宋体"/>
          <w:b/>
          <w:color w:val="auto"/>
          <w:kern w:val="0"/>
          <w:sz w:val="32"/>
          <w:szCs w:val="32"/>
          <w:highlight w:val="none"/>
        </w:rPr>
      </w:pPr>
    </w:p>
    <w:p w14:paraId="239E917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D5C928">
      <w:pPr>
        <w:ind w:firstLine="1911" w:firstLineChars="595"/>
        <w:rPr>
          <w:rFonts w:ascii="宋体" w:hAnsi="宋体" w:cs="宋体"/>
          <w:b/>
          <w:bCs/>
          <w:color w:val="auto"/>
          <w:sz w:val="32"/>
          <w:szCs w:val="32"/>
          <w:highlight w:val="none"/>
        </w:rPr>
      </w:pPr>
    </w:p>
    <w:p w14:paraId="05609698">
      <w:pPr>
        <w:ind w:firstLine="1911" w:firstLineChars="595"/>
        <w:rPr>
          <w:rFonts w:ascii="宋体" w:hAnsi="宋体" w:cs="宋体"/>
          <w:b/>
          <w:bCs/>
          <w:color w:val="auto"/>
          <w:sz w:val="32"/>
          <w:szCs w:val="32"/>
          <w:highlight w:val="none"/>
        </w:rPr>
      </w:pPr>
    </w:p>
    <w:p w14:paraId="309546DE">
      <w:pPr>
        <w:ind w:firstLine="1911" w:firstLineChars="595"/>
        <w:rPr>
          <w:rFonts w:ascii="宋体" w:hAnsi="宋体" w:cs="宋体"/>
          <w:b/>
          <w:bCs/>
          <w:color w:val="auto"/>
          <w:sz w:val="32"/>
          <w:szCs w:val="32"/>
          <w:highlight w:val="none"/>
        </w:rPr>
      </w:pPr>
    </w:p>
    <w:p w14:paraId="65370C2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29799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4B69355">
      <w:pPr>
        <w:snapToGrid w:val="0"/>
        <w:spacing w:line="360" w:lineRule="auto"/>
        <w:rPr>
          <w:rFonts w:ascii="宋体" w:hAnsi="宋体" w:cs="宋体"/>
          <w:color w:val="auto"/>
          <w:sz w:val="24"/>
          <w:highlight w:val="none"/>
        </w:rPr>
      </w:pPr>
    </w:p>
    <w:p w14:paraId="0739587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63F1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A4E4B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2BE36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76D01B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0AD51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EF13E0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F7C1B4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90A307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E9FA10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83C1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8F448EE">
      <w:pPr>
        <w:autoSpaceDE w:val="0"/>
        <w:autoSpaceDN w:val="0"/>
        <w:spacing w:line="360" w:lineRule="auto"/>
        <w:ind w:left="2"/>
        <w:jc w:val="left"/>
        <w:rPr>
          <w:rFonts w:ascii="宋体" w:hAnsi="宋体" w:cs="宋体"/>
          <w:color w:val="auto"/>
          <w:kern w:val="0"/>
          <w:sz w:val="24"/>
          <w:highlight w:val="none"/>
          <w:lang w:val="zh-CN"/>
        </w:rPr>
      </w:pPr>
    </w:p>
    <w:p w14:paraId="37287DD4">
      <w:pPr>
        <w:autoSpaceDE w:val="0"/>
        <w:autoSpaceDN w:val="0"/>
        <w:spacing w:line="360" w:lineRule="auto"/>
        <w:ind w:left="2"/>
        <w:jc w:val="left"/>
        <w:rPr>
          <w:rFonts w:ascii="宋体" w:hAnsi="宋体" w:cs="宋体"/>
          <w:color w:val="auto"/>
          <w:kern w:val="0"/>
          <w:sz w:val="24"/>
          <w:highlight w:val="none"/>
          <w:lang w:val="zh-CN"/>
        </w:rPr>
      </w:pPr>
    </w:p>
    <w:p w14:paraId="5180D3F9">
      <w:pPr>
        <w:autoSpaceDE w:val="0"/>
        <w:autoSpaceDN w:val="0"/>
        <w:spacing w:line="360" w:lineRule="auto"/>
        <w:ind w:left="2"/>
        <w:jc w:val="left"/>
        <w:rPr>
          <w:rFonts w:ascii="宋体" w:hAnsi="宋体" w:cs="宋体"/>
          <w:color w:val="auto"/>
          <w:kern w:val="0"/>
          <w:sz w:val="24"/>
          <w:highlight w:val="none"/>
          <w:lang w:val="zh-CN"/>
        </w:rPr>
      </w:pPr>
    </w:p>
    <w:p w14:paraId="5184EA8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30135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EB4C3EE">
      <w:pPr>
        <w:spacing w:line="360" w:lineRule="auto"/>
        <w:jc w:val="center"/>
        <w:rPr>
          <w:rFonts w:ascii="宋体" w:hAnsi="宋体" w:cs="宋体"/>
          <w:b/>
          <w:bCs/>
          <w:color w:val="auto"/>
          <w:sz w:val="24"/>
          <w:highlight w:val="none"/>
        </w:rPr>
      </w:pPr>
    </w:p>
    <w:p w14:paraId="1FCDE4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445038">
      <w:pPr>
        <w:spacing w:line="360" w:lineRule="auto"/>
        <w:jc w:val="center"/>
        <w:rPr>
          <w:rFonts w:ascii="宋体" w:hAnsi="宋体" w:cs="宋体"/>
          <w:b/>
          <w:bCs/>
          <w:color w:val="auto"/>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3B35D6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3FD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75C935">
      <w:pPr>
        <w:bidi w:val="0"/>
        <w:rPr>
          <w:color w:val="auto"/>
          <w:highlight w:val="none"/>
        </w:rPr>
      </w:pPr>
    </w:p>
    <w:p w14:paraId="70D8B2D0">
      <w:pPr>
        <w:numPr>
          <w:ilvl w:val="0"/>
          <w:numId w:val="1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7BA8C702">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474FB5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2C4497B2">
      <w:pPr>
        <w:pStyle w:val="80"/>
        <w:rPr>
          <w:color w:val="auto"/>
          <w:highlight w:val="none"/>
        </w:rPr>
      </w:pPr>
    </w:p>
    <w:p w14:paraId="0E819CA0">
      <w:pPr>
        <w:pStyle w:val="80"/>
        <w:rPr>
          <w:color w:val="auto"/>
          <w:highlight w:val="none"/>
        </w:rPr>
      </w:pPr>
    </w:p>
    <w:p w14:paraId="13598FBC">
      <w:pPr>
        <w:snapToGrid w:val="0"/>
        <w:spacing w:line="360" w:lineRule="auto"/>
        <w:ind w:right="480"/>
        <w:jc w:val="center"/>
        <w:rPr>
          <w:rFonts w:ascii="宋体" w:hAnsi="宋体" w:cs="宋体"/>
          <w:b/>
          <w:color w:val="auto"/>
          <w:kern w:val="0"/>
          <w:sz w:val="32"/>
          <w:szCs w:val="32"/>
          <w:highlight w:val="none"/>
        </w:rPr>
      </w:pPr>
    </w:p>
    <w:p w14:paraId="13234565">
      <w:pPr>
        <w:snapToGrid w:val="0"/>
        <w:spacing w:line="360" w:lineRule="auto"/>
        <w:ind w:right="480"/>
        <w:jc w:val="center"/>
        <w:rPr>
          <w:rFonts w:ascii="宋体" w:hAnsi="宋体" w:cs="宋体"/>
          <w:b/>
          <w:color w:val="auto"/>
          <w:kern w:val="0"/>
          <w:sz w:val="32"/>
          <w:szCs w:val="32"/>
          <w:highlight w:val="none"/>
        </w:rPr>
      </w:pPr>
    </w:p>
    <w:p w14:paraId="09D69E37">
      <w:pPr>
        <w:snapToGrid w:val="0"/>
        <w:spacing w:line="360" w:lineRule="auto"/>
        <w:ind w:right="480"/>
        <w:jc w:val="center"/>
        <w:rPr>
          <w:rFonts w:ascii="宋体" w:hAnsi="宋体" w:cs="宋体"/>
          <w:b/>
          <w:color w:val="auto"/>
          <w:kern w:val="0"/>
          <w:sz w:val="32"/>
          <w:szCs w:val="32"/>
          <w:highlight w:val="none"/>
        </w:rPr>
      </w:pPr>
    </w:p>
    <w:p w14:paraId="30BDDA13">
      <w:pPr>
        <w:snapToGrid w:val="0"/>
        <w:spacing w:line="360" w:lineRule="auto"/>
        <w:ind w:right="480"/>
        <w:jc w:val="center"/>
        <w:rPr>
          <w:rFonts w:ascii="宋体" w:hAnsi="宋体" w:cs="宋体"/>
          <w:b/>
          <w:color w:val="auto"/>
          <w:kern w:val="0"/>
          <w:sz w:val="32"/>
          <w:szCs w:val="32"/>
          <w:highlight w:val="none"/>
        </w:rPr>
      </w:pPr>
    </w:p>
    <w:p w14:paraId="17E10F57">
      <w:pPr>
        <w:snapToGrid w:val="0"/>
        <w:spacing w:line="360" w:lineRule="auto"/>
        <w:ind w:right="480"/>
        <w:jc w:val="center"/>
        <w:rPr>
          <w:rFonts w:ascii="宋体" w:hAnsi="宋体" w:cs="宋体"/>
          <w:b/>
          <w:color w:val="auto"/>
          <w:kern w:val="0"/>
          <w:sz w:val="32"/>
          <w:szCs w:val="32"/>
          <w:highlight w:val="none"/>
        </w:rPr>
      </w:pPr>
    </w:p>
    <w:p w14:paraId="1CE97D9D">
      <w:pPr>
        <w:snapToGrid w:val="0"/>
        <w:spacing w:line="360" w:lineRule="auto"/>
        <w:ind w:right="480"/>
        <w:jc w:val="center"/>
        <w:rPr>
          <w:rFonts w:ascii="宋体" w:hAnsi="宋体" w:cs="宋体"/>
          <w:b/>
          <w:color w:val="auto"/>
          <w:kern w:val="0"/>
          <w:sz w:val="32"/>
          <w:szCs w:val="32"/>
          <w:highlight w:val="none"/>
        </w:rPr>
      </w:pPr>
    </w:p>
    <w:p w14:paraId="3671F398">
      <w:pPr>
        <w:snapToGrid w:val="0"/>
        <w:spacing w:line="360" w:lineRule="auto"/>
        <w:ind w:right="480"/>
        <w:jc w:val="center"/>
        <w:rPr>
          <w:rFonts w:ascii="宋体" w:hAnsi="宋体" w:cs="宋体"/>
          <w:b/>
          <w:color w:val="auto"/>
          <w:kern w:val="0"/>
          <w:sz w:val="32"/>
          <w:szCs w:val="32"/>
          <w:highlight w:val="none"/>
        </w:rPr>
      </w:pPr>
    </w:p>
    <w:p w14:paraId="0CC92294">
      <w:pPr>
        <w:snapToGrid w:val="0"/>
        <w:spacing w:line="360" w:lineRule="auto"/>
        <w:ind w:right="480"/>
        <w:jc w:val="center"/>
        <w:rPr>
          <w:rFonts w:ascii="宋体" w:hAnsi="宋体" w:cs="宋体"/>
          <w:b/>
          <w:color w:val="auto"/>
          <w:kern w:val="0"/>
          <w:sz w:val="32"/>
          <w:szCs w:val="32"/>
          <w:highlight w:val="none"/>
        </w:rPr>
      </w:pPr>
    </w:p>
    <w:p w14:paraId="054BA2CB">
      <w:pPr>
        <w:snapToGrid w:val="0"/>
        <w:spacing w:line="360" w:lineRule="auto"/>
        <w:ind w:right="480"/>
        <w:jc w:val="center"/>
        <w:rPr>
          <w:rFonts w:ascii="宋体" w:hAnsi="宋体" w:cs="宋体"/>
          <w:b/>
          <w:color w:val="auto"/>
          <w:kern w:val="0"/>
          <w:sz w:val="32"/>
          <w:szCs w:val="32"/>
          <w:highlight w:val="none"/>
        </w:rPr>
      </w:pPr>
    </w:p>
    <w:p w14:paraId="69207685">
      <w:pPr>
        <w:snapToGrid w:val="0"/>
        <w:spacing w:line="360" w:lineRule="auto"/>
        <w:ind w:right="480"/>
        <w:jc w:val="center"/>
        <w:rPr>
          <w:rFonts w:ascii="宋体" w:hAnsi="宋体" w:cs="宋体"/>
          <w:b/>
          <w:color w:val="auto"/>
          <w:kern w:val="0"/>
          <w:sz w:val="32"/>
          <w:szCs w:val="32"/>
          <w:highlight w:val="none"/>
        </w:rPr>
      </w:pPr>
    </w:p>
    <w:p w14:paraId="47374F29">
      <w:pPr>
        <w:snapToGrid w:val="0"/>
        <w:spacing w:line="360" w:lineRule="auto"/>
        <w:ind w:right="480"/>
        <w:jc w:val="center"/>
        <w:rPr>
          <w:rFonts w:ascii="宋体" w:hAnsi="宋体" w:cs="宋体"/>
          <w:b/>
          <w:color w:val="auto"/>
          <w:kern w:val="0"/>
          <w:sz w:val="32"/>
          <w:szCs w:val="32"/>
          <w:highlight w:val="none"/>
        </w:rPr>
      </w:pPr>
    </w:p>
    <w:p w14:paraId="3E5A1F7D">
      <w:pPr>
        <w:snapToGrid w:val="0"/>
        <w:spacing w:line="360" w:lineRule="auto"/>
        <w:ind w:right="480"/>
        <w:jc w:val="center"/>
        <w:rPr>
          <w:rFonts w:ascii="宋体" w:hAnsi="宋体" w:cs="宋体"/>
          <w:b/>
          <w:color w:val="auto"/>
          <w:kern w:val="0"/>
          <w:sz w:val="32"/>
          <w:szCs w:val="32"/>
          <w:highlight w:val="none"/>
        </w:rPr>
      </w:pPr>
    </w:p>
    <w:p w14:paraId="42E5BCA4">
      <w:pPr>
        <w:snapToGrid w:val="0"/>
        <w:spacing w:line="360" w:lineRule="auto"/>
        <w:ind w:right="480"/>
        <w:jc w:val="center"/>
        <w:rPr>
          <w:rFonts w:ascii="宋体" w:hAnsi="宋体" w:cs="宋体"/>
          <w:b/>
          <w:color w:val="auto"/>
          <w:kern w:val="0"/>
          <w:sz w:val="32"/>
          <w:szCs w:val="32"/>
          <w:highlight w:val="none"/>
        </w:rPr>
      </w:pPr>
    </w:p>
    <w:p w14:paraId="7D676A00">
      <w:pPr>
        <w:snapToGrid w:val="0"/>
        <w:spacing w:line="360" w:lineRule="auto"/>
        <w:ind w:right="480"/>
        <w:jc w:val="center"/>
        <w:rPr>
          <w:rFonts w:ascii="宋体" w:hAnsi="宋体" w:cs="宋体"/>
          <w:b/>
          <w:color w:val="auto"/>
          <w:kern w:val="0"/>
          <w:sz w:val="32"/>
          <w:szCs w:val="32"/>
          <w:highlight w:val="none"/>
        </w:rPr>
      </w:pPr>
    </w:p>
    <w:p w14:paraId="10848EC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760DEA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3D1DE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BDC3E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9EEB91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D42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ED7C8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83311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BFA0132">
            <w:pPr>
              <w:spacing w:line="360" w:lineRule="auto"/>
              <w:jc w:val="center"/>
              <w:rPr>
                <w:rFonts w:ascii="宋体" w:hAnsi="宋体" w:cs="宋体"/>
                <w:b/>
                <w:color w:val="auto"/>
                <w:sz w:val="24"/>
                <w:highlight w:val="none"/>
              </w:rPr>
            </w:pPr>
          </w:p>
          <w:p w14:paraId="660B9A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3E0E5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3A22E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39FE3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52767E9">
            <w:pPr>
              <w:spacing w:line="360" w:lineRule="auto"/>
              <w:jc w:val="center"/>
              <w:rPr>
                <w:rFonts w:ascii="宋体" w:hAnsi="宋体" w:cs="宋体"/>
                <w:b/>
                <w:color w:val="auto"/>
                <w:sz w:val="24"/>
                <w:highlight w:val="none"/>
              </w:rPr>
            </w:pPr>
          </w:p>
          <w:p w14:paraId="0C4E3E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076BE8D">
            <w:pPr>
              <w:spacing w:line="360" w:lineRule="auto"/>
              <w:jc w:val="center"/>
              <w:rPr>
                <w:rFonts w:ascii="宋体" w:hAnsi="宋体" w:cs="宋体"/>
                <w:b/>
                <w:color w:val="auto"/>
                <w:sz w:val="24"/>
                <w:highlight w:val="none"/>
              </w:rPr>
            </w:pPr>
          </w:p>
          <w:p w14:paraId="5D753A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D544287">
            <w:pPr>
              <w:spacing w:line="360" w:lineRule="auto"/>
              <w:jc w:val="center"/>
              <w:rPr>
                <w:rFonts w:ascii="宋体" w:hAnsi="宋体" w:cs="宋体"/>
                <w:b/>
                <w:color w:val="auto"/>
                <w:sz w:val="24"/>
                <w:highlight w:val="none"/>
              </w:rPr>
            </w:pPr>
          </w:p>
        </w:tc>
      </w:tr>
      <w:tr w14:paraId="3DB8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B0087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DA50C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268" w:type="dxa"/>
            <w:vAlign w:val="center"/>
          </w:tcPr>
          <w:p w14:paraId="2B5FD9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410" w:type="dxa"/>
            <w:vAlign w:val="center"/>
          </w:tcPr>
          <w:p w14:paraId="3369B8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268" w:type="dxa"/>
            <w:vAlign w:val="center"/>
          </w:tcPr>
          <w:p w14:paraId="7EE8EB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1年</w:t>
            </w:r>
          </w:p>
        </w:tc>
        <w:tc>
          <w:tcPr>
            <w:tcW w:w="2126" w:type="dxa"/>
            <w:vAlign w:val="center"/>
          </w:tcPr>
          <w:p w14:paraId="41DD41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127" w:type="dxa"/>
          </w:tcPr>
          <w:p w14:paraId="2C5026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126" w:type="dxa"/>
            <w:vAlign w:val="center"/>
          </w:tcPr>
          <w:p w14:paraId="7EB87E4F">
            <w:pPr>
              <w:spacing w:line="360" w:lineRule="auto"/>
              <w:jc w:val="center"/>
              <w:rPr>
                <w:rFonts w:ascii="宋体" w:hAnsi="宋体" w:cs="宋体"/>
                <w:color w:val="auto"/>
                <w:sz w:val="24"/>
                <w:highlight w:val="none"/>
              </w:rPr>
            </w:pPr>
          </w:p>
        </w:tc>
      </w:tr>
      <w:tr w14:paraId="238F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FDD63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8984587">
            <w:pPr>
              <w:snapToGrid w:val="0"/>
              <w:spacing w:line="360" w:lineRule="auto"/>
              <w:jc w:val="center"/>
              <w:rPr>
                <w:rFonts w:ascii="宋体" w:hAnsi="宋体" w:cs="宋体"/>
                <w:color w:val="auto"/>
                <w:sz w:val="24"/>
                <w:highlight w:val="none"/>
              </w:rPr>
            </w:pPr>
          </w:p>
        </w:tc>
        <w:tc>
          <w:tcPr>
            <w:tcW w:w="2268" w:type="dxa"/>
            <w:vAlign w:val="center"/>
          </w:tcPr>
          <w:p w14:paraId="1E579F11">
            <w:pPr>
              <w:snapToGrid w:val="0"/>
              <w:spacing w:line="360" w:lineRule="auto"/>
              <w:jc w:val="center"/>
              <w:rPr>
                <w:rFonts w:ascii="宋体" w:hAnsi="宋体" w:cs="宋体"/>
                <w:color w:val="auto"/>
                <w:sz w:val="24"/>
                <w:highlight w:val="none"/>
              </w:rPr>
            </w:pPr>
          </w:p>
        </w:tc>
        <w:tc>
          <w:tcPr>
            <w:tcW w:w="2410" w:type="dxa"/>
            <w:vAlign w:val="center"/>
          </w:tcPr>
          <w:p w14:paraId="0528EDA1">
            <w:pPr>
              <w:snapToGrid w:val="0"/>
              <w:spacing w:line="360" w:lineRule="auto"/>
              <w:jc w:val="center"/>
              <w:rPr>
                <w:rFonts w:ascii="宋体" w:hAnsi="宋体" w:cs="宋体"/>
                <w:color w:val="auto"/>
                <w:sz w:val="24"/>
                <w:highlight w:val="none"/>
              </w:rPr>
            </w:pPr>
          </w:p>
        </w:tc>
        <w:tc>
          <w:tcPr>
            <w:tcW w:w="2268" w:type="dxa"/>
            <w:vAlign w:val="center"/>
          </w:tcPr>
          <w:p w14:paraId="10E5FFF1">
            <w:pPr>
              <w:snapToGrid w:val="0"/>
              <w:spacing w:line="360" w:lineRule="auto"/>
              <w:jc w:val="center"/>
              <w:rPr>
                <w:rFonts w:ascii="宋体" w:hAnsi="宋体" w:cs="宋体"/>
                <w:color w:val="auto"/>
                <w:sz w:val="24"/>
                <w:highlight w:val="none"/>
              </w:rPr>
            </w:pPr>
          </w:p>
        </w:tc>
        <w:tc>
          <w:tcPr>
            <w:tcW w:w="2126" w:type="dxa"/>
            <w:vAlign w:val="center"/>
          </w:tcPr>
          <w:p w14:paraId="7934C8CF">
            <w:pPr>
              <w:spacing w:line="360" w:lineRule="auto"/>
              <w:jc w:val="center"/>
              <w:rPr>
                <w:rFonts w:ascii="宋体" w:hAnsi="宋体" w:cs="宋体"/>
                <w:color w:val="auto"/>
                <w:sz w:val="24"/>
                <w:highlight w:val="none"/>
              </w:rPr>
            </w:pPr>
          </w:p>
        </w:tc>
        <w:tc>
          <w:tcPr>
            <w:tcW w:w="2127" w:type="dxa"/>
          </w:tcPr>
          <w:p w14:paraId="2996B96A">
            <w:pPr>
              <w:spacing w:line="360" w:lineRule="auto"/>
              <w:jc w:val="center"/>
              <w:rPr>
                <w:rFonts w:ascii="宋体" w:hAnsi="宋体" w:cs="宋体"/>
                <w:color w:val="auto"/>
                <w:sz w:val="24"/>
                <w:highlight w:val="none"/>
              </w:rPr>
            </w:pPr>
          </w:p>
        </w:tc>
        <w:tc>
          <w:tcPr>
            <w:tcW w:w="2126" w:type="dxa"/>
            <w:vAlign w:val="center"/>
          </w:tcPr>
          <w:p w14:paraId="20B0D28F">
            <w:pPr>
              <w:spacing w:line="360" w:lineRule="auto"/>
              <w:jc w:val="center"/>
              <w:rPr>
                <w:rFonts w:ascii="宋体" w:hAnsi="宋体" w:cs="宋体"/>
                <w:color w:val="auto"/>
                <w:sz w:val="24"/>
                <w:highlight w:val="none"/>
              </w:rPr>
            </w:pPr>
          </w:p>
        </w:tc>
      </w:tr>
      <w:tr w14:paraId="4C31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5278D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CCC0E66">
            <w:pPr>
              <w:snapToGrid w:val="0"/>
              <w:spacing w:line="360" w:lineRule="auto"/>
              <w:jc w:val="center"/>
              <w:rPr>
                <w:rFonts w:ascii="宋体" w:hAnsi="宋体" w:cs="宋体"/>
                <w:color w:val="auto"/>
                <w:sz w:val="24"/>
                <w:highlight w:val="none"/>
              </w:rPr>
            </w:pPr>
          </w:p>
        </w:tc>
        <w:tc>
          <w:tcPr>
            <w:tcW w:w="2268" w:type="dxa"/>
            <w:vAlign w:val="center"/>
          </w:tcPr>
          <w:p w14:paraId="14666D81">
            <w:pPr>
              <w:snapToGrid w:val="0"/>
              <w:spacing w:line="360" w:lineRule="auto"/>
              <w:jc w:val="center"/>
              <w:rPr>
                <w:rFonts w:ascii="宋体" w:hAnsi="宋体" w:cs="宋体"/>
                <w:color w:val="auto"/>
                <w:sz w:val="24"/>
                <w:highlight w:val="none"/>
              </w:rPr>
            </w:pPr>
          </w:p>
        </w:tc>
        <w:tc>
          <w:tcPr>
            <w:tcW w:w="2410" w:type="dxa"/>
            <w:vAlign w:val="center"/>
          </w:tcPr>
          <w:p w14:paraId="4545536E">
            <w:pPr>
              <w:snapToGrid w:val="0"/>
              <w:spacing w:line="360" w:lineRule="auto"/>
              <w:jc w:val="center"/>
              <w:rPr>
                <w:rFonts w:ascii="宋体" w:hAnsi="宋体" w:cs="宋体"/>
                <w:color w:val="auto"/>
                <w:sz w:val="24"/>
                <w:highlight w:val="none"/>
              </w:rPr>
            </w:pPr>
          </w:p>
        </w:tc>
        <w:tc>
          <w:tcPr>
            <w:tcW w:w="2268" w:type="dxa"/>
            <w:vAlign w:val="center"/>
          </w:tcPr>
          <w:p w14:paraId="76490529">
            <w:pPr>
              <w:snapToGrid w:val="0"/>
              <w:spacing w:line="360" w:lineRule="auto"/>
              <w:jc w:val="center"/>
              <w:rPr>
                <w:rFonts w:ascii="宋体" w:hAnsi="宋体" w:cs="宋体"/>
                <w:color w:val="auto"/>
                <w:sz w:val="24"/>
                <w:highlight w:val="none"/>
              </w:rPr>
            </w:pPr>
          </w:p>
        </w:tc>
        <w:tc>
          <w:tcPr>
            <w:tcW w:w="2126" w:type="dxa"/>
            <w:vAlign w:val="center"/>
          </w:tcPr>
          <w:p w14:paraId="547B6C57">
            <w:pPr>
              <w:spacing w:line="360" w:lineRule="auto"/>
              <w:jc w:val="center"/>
              <w:rPr>
                <w:rFonts w:ascii="宋体" w:hAnsi="宋体" w:cs="宋体"/>
                <w:color w:val="auto"/>
                <w:sz w:val="24"/>
                <w:highlight w:val="none"/>
              </w:rPr>
            </w:pPr>
          </w:p>
        </w:tc>
        <w:tc>
          <w:tcPr>
            <w:tcW w:w="2127" w:type="dxa"/>
          </w:tcPr>
          <w:p w14:paraId="4EEBFFAC">
            <w:pPr>
              <w:spacing w:line="360" w:lineRule="auto"/>
              <w:jc w:val="center"/>
              <w:rPr>
                <w:rFonts w:ascii="宋体" w:hAnsi="宋体" w:cs="宋体"/>
                <w:color w:val="auto"/>
                <w:sz w:val="24"/>
                <w:highlight w:val="none"/>
              </w:rPr>
            </w:pPr>
          </w:p>
        </w:tc>
        <w:tc>
          <w:tcPr>
            <w:tcW w:w="2126" w:type="dxa"/>
            <w:vAlign w:val="center"/>
          </w:tcPr>
          <w:p w14:paraId="418D3DE1">
            <w:pPr>
              <w:spacing w:line="360" w:lineRule="auto"/>
              <w:jc w:val="center"/>
              <w:rPr>
                <w:rFonts w:ascii="宋体" w:hAnsi="宋体" w:cs="宋体"/>
                <w:color w:val="auto"/>
                <w:sz w:val="24"/>
                <w:highlight w:val="none"/>
              </w:rPr>
            </w:pPr>
          </w:p>
        </w:tc>
      </w:tr>
      <w:tr w14:paraId="450A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7" w:type="dxa"/>
            <w:gridSpan w:val="4"/>
            <w:vAlign w:val="center"/>
          </w:tcPr>
          <w:p w14:paraId="64E17FA9">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投标报价（小写）</w:t>
            </w:r>
          </w:p>
        </w:tc>
        <w:tc>
          <w:tcPr>
            <w:tcW w:w="8647" w:type="dxa"/>
            <w:gridSpan w:val="4"/>
          </w:tcPr>
          <w:p w14:paraId="7AA910A3">
            <w:pPr>
              <w:spacing w:line="360" w:lineRule="auto"/>
              <w:jc w:val="center"/>
              <w:rPr>
                <w:rFonts w:ascii="宋体" w:hAnsi="宋体" w:cs="宋体"/>
                <w:color w:val="auto"/>
                <w:sz w:val="24"/>
                <w:highlight w:val="none"/>
              </w:rPr>
            </w:pPr>
          </w:p>
        </w:tc>
      </w:tr>
      <w:tr w14:paraId="645F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487" w:type="dxa"/>
            <w:gridSpan w:val="4"/>
            <w:vAlign w:val="center"/>
          </w:tcPr>
          <w:p w14:paraId="72D37E1A">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投标报价（大写）</w:t>
            </w:r>
          </w:p>
        </w:tc>
        <w:tc>
          <w:tcPr>
            <w:tcW w:w="8647" w:type="dxa"/>
            <w:gridSpan w:val="4"/>
          </w:tcPr>
          <w:p w14:paraId="767A64E2">
            <w:pPr>
              <w:spacing w:line="360" w:lineRule="auto"/>
              <w:jc w:val="center"/>
              <w:rPr>
                <w:rFonts w:ascii="宋体" w:hAnsi="宋体" w:cs="宋体"/>
                <w:color w:val="auto"/>
                <w:sz w:val="24"/>
                <w:highlight w:val="none"/>
              </w:rPr>
            </w:pPr>
          </w:p>
        </w:tc>
      </w:tr>
    </w:tbl>
    <w:p w14:paraId="7E448BE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8DA3E6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3B44BB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CB5900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8DDF990">
      <w:pPr>
        <w:snapToGrid w:val="0"/>
        <w:spacing w:line="360" w:lineRule="auto"/>
        <w:ind w:firstLine="480" w:firstLineChars="200"/>
        <w:jc w:val="left"/>
        <w:rPr>
          <w:rFonts w:ascii="宋体" w:hAnsi="宋体" w:cs="宋体"/>
          <w:b/>
          <w:bCs/>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宋体" w:hAnsi="宋体" w:cs="宋体"/>
          <w:color w:val="auto"/>
          <w:kern w:val="0"/>
          <w:sz w:val="24"/>
          <w:highlight w:val="none"/>
        </w:rPr>
        <w:t>。</w:t>
      </w:r>
    </w:p>
    <w:p w14:paraId="5DB76347">
      <w:pPr>
        <w:pStyle w:val="693"/>
        <w:keepNext w:val="0"/>
        <w:numPr>
          <w:ilvl w:val="0"/>
          <w:numId w:val="1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7870E412">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E3A9E1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C9DCD50">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66B95B6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2925C6C">
      <w:pPr>
        <w:pStyle w:val="80"/>
        <w:ind w:firstLine="482"/>
        <w:rPr>
          <w:rFonts w:ascii="宋体" w:hAnsi="宋体" w:cs="宋体"/>
          <w:b/>
          <w:color w:val="auto"/>
          <w:sz w:val="24"/>
          <w:highlight w:val="none"/>
        </w:rPr>
      </w:pPr>
    </w:p>
    <w:p w14:paraId="7003F5CA">
      <w:pPr>
        <w:pStyle w:val="80"/>
        <w:ind w:firstLine="482"/>
        <w:rPr>
          <w:rFonts w:ascii="宋体" w:hAnsi="宋体" w:cs="宋体"/>
          <w:b/>
          <w:color w:val="auto"/>
          <w:sz w:val="24"/>
          <w:highlight w:val="none"/>
        </w:rPr>
      </w:pPr>
    </w:p>
    <w:p w14:paraId="281C2CE1">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2ECCF8F">
      <w:pPr>
        <w:spacing w:line="360" w:lineRule="auto"/>
        <w:ind w:right="420" w:firstLine="3614" w:firstLineChars="1000"/>
        <w:rPr>
          <w:rFonts w:ascii="宋体" w:hAnsi="宋体" w:cs="宋体"/>
          <w:b/>
          <w:color w:val="auto"/>
          <w:kern w:val="0"/>
          <w:sz w:val="36"/>
          <w:szCs w:val="36"/>
          <w:highlight w:val="none"/>
        </w:rPr>
      </w:pPr>
    </w:p>
    <w:p w14:paraId="4A3D5E1B">
      <w:pPr>
        <w:spacing w:line="360" w:lineRule="auto"/>
        <w:ind w:right="420" w:firstLine="3614" w:firstLineChars="1000"/>
        <w:rPr>
          <w:rFonts w:ascii="宋体" w:hAnsi="宋体" w:cs="宋体"/>
          <w:b/>
          <w:color w:val="auto"/>
          <w:kern w:val="0"/>
          <w:sz w:val="36"/>
          <w:szCs w:val="36"/>
          <w:highlight w:val="none"/>
        </w:rPr>
      </w:pPr>
    </w:p>
    <w:p w14:paraId="1CEA10F8">
      <w:pPr>
        <w:spacing w:line="360" w:lineRule="auto"/>
        <w:ind w:right="420" w:firstLine="3614" w:firstLineChars="1000"/>
        <w:rPr>
          <w:rFonts w:ascii="宋体" w:hAnsi="宋体" w:cs="宋体"/>
          <w:b/>
          <w:color w:val="auto"/>
          <w:kern w:val="0"/>
          <w:sz w:val="36"/>
          <w:szCs w:val="36"/>
          <w:highlight w:val="none"/>
        </w:rPr>
      </w:pPr>
    </w:p>
    <w:p w14:paraId="7F508B7E">
      <w:pPr>
        <w:spacing w:line="360" w:lineRule="auto"/>
        <w:ind w:right="420" w:firstLine="3614" w:firstLineChars="1000"/>
        <w:rPr>
          <w:rFonts w:ascii="宋体" w:hAnsi="宋体" w:cs="宋体"/>
          <w:b/>
          <w:color w:val="auto"/>
          <w:kern w:val="0"/>
          <w:sz w:val="36"/>
          <w:szCs w:val="36"/>
          <w:highlight w:val="none"/>
        </w:rPr>
      </w:pPr>
    </w:p>
    <w:p w14:paraId="6D9CB11C">
      <w:pPr>
        <w:spacing w:line="360" w:lineRule="auto"/>
        <w:ind w:right="420" w:firstLine="3614" w:firstLineChars="1000"/>
        <w:rPr>
          <w:rFonts w:ascii="宋体" w:hAnsi="宋体" w:cs="宋体"/>
          <w:b/>
          <w:color w:val="auto"/>
          <w:kern w:val="0"/>
          <w:sz w:val="36"/>
          <w:szCs w:val="36"/>
          <w:highlight w:val="none"/>
        </w:rPr>
      </w:pPr>
    </w:p>
    <w:p w14:paraId="255D45C7">
      <w:pPr>
        <w:spacing w:line="360" w:lineRule="auto"/>
        <w:ind w:right="420" w:firstLine="3614" w:firstLineChars="1000"/>
        <w:rPr>
          <w:rFonts w:ascii="宋体" w:hAnsi="宋体" w:cs="宋体"/>
          <w:b/>
          <w:color w:val="auto"/>
          <w:kern w:val="0"/>
          <w:sz w:val="36"/>
          <w:szCs w:val="36"/>
          <w:highlight w:val="none"/>
        </w:rPr>
      </w:pPr>
    </w:p>
    <w:p w14:paraId="776ED1FC">
      <w:pPr>
        <w:spacing w:line="360" w:lineRule="auto"/>
        <w:ind w:right="420" w:firstLine="3614" w:firstLineChars="1000"/>
        <w:rPr>
          <w:rFonts w:ascii="宋体" w:hAnsi="宋体" w:cs="宋体"/>
          <w:b/>
          <w:color w:val="auto"/>
          <w:kern w:val="0"/>
          <w:sz w:val="36"/>
          <w:szCs w:val="36"/>
          <w:highlight w:val="none"/>
        </w:rPr>
      </w:pPr>
    </w:p>
    <w:p w14:paraId="631D295F">
      <w:pPr>
        <w:spacing w:line="360" w:lineRule="auto"/>
        <w:ind w:right="420" w:firstLine="3614" w:firstLineChars="1000"/>
        <w:rPr>
          <w:rFonts w:ascii="宋体" w:hAnsi="宋体" w:cs="宋体"/>
          <w:b/>
          <w:color w:val="auto"/>
          <w:kern w:val="0"/>
          <w:sz w:val="36"/>
          <w:szCs w:val="36"/>
          <w:highlight w:val="none"/>
        </w:rPr>
      </w:pPr>
    </w:p>
    <w:p w14:paraId="178016A7">
      <w:pPr>
        <w:spacing w:line="360" w:lineRule="auto"/>
        <w:ind w:right="420" w:firstLine="3614" w:firstLineChars="1000"/>
        <w:rPr>
          <w:rFonts w:ascii="宋体" w:hAnsi="宋体" w:cs="宋体"/>
          <w:b/>
          <w:color w:val="auto"/>
          <w:kern w:val="0"/>
          <w:sz w:val="36"/>
          <w:szCs w:val="36"/>
          <w:highlight w:val="none"/>
        </w:rPr>
      </w:pPr>
    </w:p>
    <w:p w14:paraId="67BCA4B6">
      <w:pPr>
        <w:spacing w:line="360" w:lineRule="auto"/>
        <w:ind w:right="420" w:firstLine="3614" w:firstLineChars="1000"/>
        <w:rPr>
          <w:rFonts w:ascii="宋体" w:hAnsi="宋体" w:cs="宋体"/>
          <w:b/>
          <w:color w:val="auto"/>
          <w:kern w:val="0"/>
          <w:sz w:val="36"/>
          <w:szCs w:val="36"/>
          <w:highlight w:val="none"/>
        </w:rPr>
      </w:pPr>
    </w:p>
    <w:p w14:paraId="576C0A64">
      <w:pPr>
        <w:spacing w:line="360" w:lineRule="auto"/>
        <w:ind w:right="420" w:firstLine="3614" w:firstLineChars="1000"/>
        <w:rPr>
          <w:rFonts w:ascii="宋体" w:hAnsi="宋体" w:cs="宋体"/>
          <w:b/>
          <w:color w:val="auto"/>
          <w:kern w:val="0"/>
          <w:sz w:val="36"/>
          <w:szCs w:val="36"/>
          <w:highlight w:val="none"/>
        </w:rPr>
      </w:pPr>
    </w:p>
    <w:p w14:paraId="48C990C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3C93A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4F3CFD2">
      <w:pPr>
        <w:spacing w:line="360" w:lineRule="auto"/>
        <w:jc w:val="center"/>
        <w:rPr>
          <w:rFonts w:ascii="宋体" w:hAnsi="宋体" w:cs="宋体"/>
          <w:b/>
          <w:color w:val="auto"/>
          <w:spacing w:val="6"/>
          <w:sz w:val="32"/>
          <w:szCs w:val="32"/>
          <w:highlight w:val="none"/>
        </w:rPr>
      </w:pPr>
      <w:bookmarkStart w:id="542" w:name="OLE_LINK13"/>
      <w:bookmarkStart w:id="543" w:name="OLE_LINK14"/>
      <w:r>
        <w:rPr>
          <w:rFonts w:hint="eastAsia" w:ascii="宋体" w:hAnsi="宋体" w:cs="宋体"/>
          <w:b/>
          <w:color w:val="auto"/>
          <w:spacing w:val="6"/>
          <w:sz w:val="32"/>
          <w:szCs w:val="32"/>
          <w:highlight w:val="none"/>
        </w:rPr>
        <w:t>残疾人福利性单位声明函</w:t>
      </w:r>
    </w:p>
    <w:bookmarkEnd w:id="542"/>
    <w:bookmarkEnd w:id="543"/>
    <w:p w14:paraId="4CA0F795">
      <w:pPr>
        <w:spacing w:line="360" w:lineRule="auto"/>
        <w:rPr>
          <w:rFonts w:ascii="宋体" w:hAnsi="宋体" w:cs="宋体"/>
          <w:b/>
          <w:color w:val="auto"/>
          <w:spacing w:val="6"/>
          <w:sz w:val="30"/>
          <w:szCs w:val="30"/>
          <w:highlight w:val="none"/>
        </w:rPr>
      </w:pPr>
    </w:p>
    <w:p w14:paraId="5C837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98EFC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EEB5B9">
      <w:pPr>
        <w:spacing w:line="360" w:lineRule="auto"/>
        <w:ind w:firstLine="480" w:firstLineChars="200"/>
        <w:rPr>
          <w:rFonts w:ascii="宋体" w:hAnsi="宋体" w:cs="宋体"/>
          <w:color w:val="auto"/>
          <w:sz w:val="24"/>
          <w:highlight w:val="none"/>
        </w:rPr>
      </w:pPr>
    </w:p>
    <w:p w14:paraId="46E58E05">
      <w:pPr>
        <w:spacing w:line="360" w:lineRule="auto"/>
        <w:ind w:firstLine="480" w:firstLineChars="200"/>
        <w:rPr>
          <w:rFonts w:ascii="宋体" w:hAnsi="宋体" w:cs="宋体"/>
          <w:color w:val="auto"/>
          <w:sz w:val="24"/>
          <w:highlight w:val="none"/>
        </w:rPr>
      </w:pPr>
    </w:p>
    <w:p w14:paraId="1774D40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D93C94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D7A4CFC">
      <w:pPr>
        <w:spacing w:line="360" w:lineRule="auto"/>
        <w:ind w:firstLine="480" w:firstLineChars="200"/>
        <w:rPr>
          <w:rFonts w:ascii="宋体" w:hAnsi="宋体" w:cs="宋体"/>
          <w:color w:val="auto"/>
          <w:sz w:val="24"/>
          <w:highlight w:val="none"/>
        </w:rPr>
      </w:pPr>
    </w:p>
    <w:p w14:paraId="59279D52">
      <w:pPr>
        <w:spacing w:line="360" w:lineRule="auto"/>
        <w:ind w:firstLine="420" w:firstLineChars="200"/>
        <w:rPr>
          <w:rFonts w:ascii="宋体" w:hAnsi="宋体" w:cs="宋体"/>
          <w:color w:val="auto"/>
          <w:highlight w:val="none"/>
        </w:rPr>
      </w:pPr>
    </w:p>
    <w:p w14:paraId="4C411A81">
      <w:pPr>
        <w:spacing w:line="360" w:lineRule="auto"/>
        <w:ind w:firstLine="420" w:firstLineChars="200"/>
        <w:rPr>
          <w:rFonts w:ascii="宋体" w:hAnsi="宋体" w:cs="宋体"/>
          <w:color w:val="auto"/>
          <w:highlight w:val="none"/>
        </w:rPr>
      </w:pPr>
    </w:p>
    <w:p w14:paraId="47D3F30C">
      <w:pPr>
        <w:spacing w:line="360" w:lineRule="auto"/>
        <w:ind w:firstLine="420" w:firstLineChars="200"/>
        <w:rPr>
          <w:rFonts w:ascii="宋体" w:hAnsi="宋体" w:cs="宋体"/>
          <w:color w:val="auto"/>
          <w:highlight w:val="none"/>
        </w:rPr>
      </w:pPr>
    </w:p>
    <w:p w14:paraId="15F455DF">
      <w:pPr>
        <w:spacing w:line="360" w:lineRule="auto"/>
        <w:ind w:firstLine="420" w:firstLineChars="200"/>
        <w:rPr>
          <w:rFonts w:ascii="宋体" w:hAnsi="宋体" w:cs="宋体"/>
          <w:color w:val="auto"/>
          <w:highlight w:val="none"/>
        </w:rPr>
      </w:pPr>
    </w:p>
    <w:p w14:paraId="601EDB56">
      <w:pPr>
        <w:spacing w:line="360" w:lineRule="auto"/>
        <w:rPr>
          <w:rFonts w:ascii="宋体" w:hAnsi="宋体" w:cs="宋体"/>
          <w:b/>
          <w:color w:val="auto"/>
          <w:sz w:val="24"/>
          <w:highlight w:val="none"/>
        </w:rPr>
      </w:pPr>
    </w:p>
    <w:p w14:paraId="7A27B4A4">
      <w:pPr>
        <w:spacing w:line="360" w:lineRule="auto"/>
        <w:rPr>
          <w:rFonts w:ascii="宋体" w:hAnsi="宋体" w:cs="宋体"/>
          <w:b/>
          <w:color w:val="auto"/>
          <w:sz w:val="24"/>
          <w:highlight w:val="none"/>
        </w:rPr>
      </w:pPr>
    </w:p>
    <w:p w14:paraId="00053956">
      <w:pPr>
        <w:spacing w:line="360" w:lineRule="auto"/>
        <w:rPr>
          <w:rFonts w:ascii="宋体" w:hAnsi="宋体" w:cs="宋体"/>
          <w:b/>
          <w:color w:val="auto"/>
          <w:sz w:val="24"/>
          <w:highlight w:val="none"/>
        </w:rPr>
      </w:pPr>
    </w:p>
    <w:p w14:paraId="6D89A32C">
      <w:pPr>
        <w:spacing w:line="360" w:lineRule="auto"/>
        <w:rPr>
          <w:rFonts w:ascii="宋体" w:hAnsi="宋体" w:cs="宋体"/>
          <w:b/>
          <w:color w:val="auto"/>
          <w:sz w:val="24"/>
          <w:highlight w:val="none"/>
        </w:rPr>
      </w:pPr>
    </w:p>
    <w:p w14:paraId="10DB455F">
      <w:pPr>
        <w:spacing w:line="360" w:lineRule="auto"/>
        <w:rPr>
          <w:rFonts w:ascii="宋体" w:hAnsi="宋体" w:cs="宋体"/>
          <w:b/>
          <w:color w:val="auto"/>
          <w:sz w:val="24"/>
          <w:highlight w:val="none"/>
        </w:rPr>
      </w:pPr>
    </w:p>
    <w:p w14:paraId="2D8AE9EB">
      <w:pPr>
        <w:spacing w:line="360" w:lineRule="auto"/>
        <w:rPr>
          <w:rFonts w:ascii="宋体" w:hAnsi="宋体" w:cs="宋体"/>
          <w:b/>
          <w:color w:val="auto"/>
          <w:sz w:val="24"/>
          <w:highlight w:val="none"/>
        </w:rPr>
      </w:pPr>
    </w:p>
    <w:p w14:paraId="3EF2FB23">
      <w:pPr>
        <w:spacing w:line="360" w:lineRule="auto"/>
        <w:rPr>
          <w:rFonts w:ascii="宋体" w:hAnsi="宋体" w:cs="宋体"/>
          <w:b/>
          <w:color w:val="auto"/>
          <w:sz w:val="24"/>
          <w:highlight w:val="none"/>
        </w:rPr>
      </w:pPr>
    </w:p>
    <w:p w14:paraId="08EB04F6">
      <w:pPr>
        <w:spacing w:line="360" w:lineRule="auto"/>
        <w:rPr>
          <w:rFonts w:ascii="宋体" w:hAnsi="宋体" w:cs="宋体"/>
          <w:b/>
          <w:color w:val="auto"/>
          <w:sz w:val="24"/>
          <w:highlight w:val="none"/>
        </w:rPr>
      </w:pPr>
    </w:p>
    <w:p w14:paraId="436D5B99">
      <w:pPr>
        <w:spacing w:line="360" w:lineRule="auto"/>
        <w:rPr>
          <w:rFonts w:ascii="宋体" w:hAnsi="宋体" w:cs="宋体"/>
          <w:b/>
          <w:color w:val="auto"/>
          <w:sz w:val="24"/>
          <w:highlight w:val="none"/>
        </w:rPr>
      </w:pPr>
    </w:p>
    <w:p w14:paraId="225889F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2E19A6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86100B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EFE1A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7240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9C63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AE5C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66A18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996D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FAB7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B0CB1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47681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8D0C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DF83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52EFE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E3DFD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11A28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5BA16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FB7C1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0BD7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BEF2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40D93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CF30E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6DB49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29AEA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2B27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170F7A">
      <w:pPr>
        <w:spacing w:line="360" w:lineRule="auto"/>
        <w:jc w:val="center"/>
        <w:rPr>
          <w:rFonts w:ascii="宋体" w:hAnsi="宋体" w:cs="宋体"/>
          <w:b/>
          <w:bCs/>
          <w:color w:val="auto"/>
          <w:sz w:val="24"/>
          <w:highlight w:val="none"/>
        </w:rPr>
      </w:pPr>
    </w:p>
    <w:p w14:paraId="24A71DB9">
      <w:pPr>
        <w:spacing w:line="360" w:lineRule="auto"/>
        <w:rPr>
          <w:rFonts w:ascii="宋体" w:hAnsi="宋体" w:cs="宋体"/>
          <w:b/>
          <w:color w:val="auto"/>
          <w:sz w:val="24"/>
          <w:highlight w:val="none"/>
        </w:rPr>
      </w:pPr>
    </w:p>
    <w:p w14:paraId="072FAB0B">
      <w:pPr>
        <w:spacing w:line="360" w:lineRule="auto"/>
        <w:rPr>
          <w:rFonts w:ascii="宋体" w:hAnsi="宋体" w:cs="宋体"/>
          <w:b/>
          <w:color w:val="auto"/>
          <w:sz w:val="24"/>
          <w:highlight w:val="none"/>
        </w:rPr>
      </w:pPr>
    </w:p>
    <w:p w14:paraId="22A93965">
      <w:pPr>
        <w:spacing w:line="360" w:lineRule="auto"/>
        <w:rPr>
          <w:rFonts w:ascii="宋体" w:hAnsi="宋体" w:cs="宋体"/>
          <w:b/>
          <w:color w:val="auto"/>
          <w:sz w:val="24"/>
          <w:highlight w:val="none"/>
        </w:rPr>
      </w:pPr>
    </w:p>
    <w:p w14:paraId="50CEC36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88513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C1C54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B83BB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A811A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7514C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6D81F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5343E3">
      <w:pPr>
        <w:widowControl/>
        <w:spacing w:line="360" w:lineRule="auto"/>
        <w:ind w:firstLine="600" w:firstLineChars="200"/>
        <w:jc w:val="left"/>
        <w:rPr>
          <w:rFonts w:ascii="宋体" w:hAnsi="宋体" w:cs="宋体"/>
          <w:color w:val="auto"/>
          <w:sz w:val="30"/>
          <w:szCs w:val="30"/>
          <w:highlight w:val="none"/>
        </w:rPr>
      </w:pPr>
    </w:p>
    <w:p w14:paraId="1754C08A">
      <w:pPr>
        <w:spacing w:line="360" w:lineRule="auto"/>
        <w:jc w:val="center"/>
        <w:rPr>
          <w:rFonts w:ascii="宋体" w:hAnsi="宋体" w:cs="宋体"/>
          <w:b/>
          <w:color w:val="auto"/>
          <w:spacing w:val="6"/>
          <w:sz w:val="32"/>
          <w:szCs w:val="32"/>
          <w:highlight w:val="none"/>
        </w:rPr>
      </w:pPr>
    </w:p>
    <w:p w14:paraId="1D399438">
      <w:pPr>
        <w:spacing w:line="360" w:lineRule="auto"/>
        <w:jc w:val="center"/>
        <w:rPr>
          <w:rFonts w:ascii="宋体" w:hAnsi="宋体" w:cs="宋体"/>
          <w:b/>
          <w:color w:val="auto"/>
          <w:spacing w:val="6"/>
          <w:sz w:val="32"/>
          <w:szCs w:val="32"/>
          <w:highlight w:val="none"/>
        </w:rPr>
      </w:pPr>
    </w:p>
    <w:p w14:paraId="1A125D73">
      <w:pPr>
        <w:spacing w:line="360" w:lineRule="auto"/>
        <w:jc w:val="center"/>
        <w:rPr>
          <w:rFonts w:ascii="宋体" w:hAnsi="宋体" w:cs="宋体"/>
          <w:b/>
          <w:color w:val="auto"/>
          <w:spacing w:val="6"/>
          <w:sz w:val="32"/>
          <w:szCs w:val="32"/>
          <w:highlight w:val="none"/>
        </w:rPr>
      </w:pPr>
    </w:p>
    <w:p w14:paraId="5407A315">
      <w:pPr>
        <w:spacing w:line="360" w:lineRule="auto"/>
        <w:jc w:val="center"/>
        <w:rPr>
          <w:rFonts w:ascii="宋体" w:hAnsi="宋体" w:cs="宋体"/>
          <w:b/>
          <w:color w:val="auto"/>
          <w:spacing w:val="6"/>
          <w:sz w:val="32"/>
          <w:szCs w:val="32"/>
          <w:highlight w:val="none"/>
        </w:rPr>
      </w:pPr>
    </w:p>
    <w:p w14:paraId="1D5608C6">
      <w:pPr>
        <w:spacing w:line="360" w:lineRule="auto"/>
        <w:jc w:val="center"/>
        <w:rPr>
          <w:rFonts w:ascii="宋体" w:hAnsi="宋体" w:cs="宋体"/>
          <w:b/>
          <w:color w:val="auto"/>
          <w:spacing w:val="6"/>
          <w:sz w:val="32"/>
          <w:szCs w:val="32"/>
          <w:highlight w:val="none"/>
        </w:rPr>
      </w:pPr>
    </w:p>
    <w:p w14:paraId="121B7ADD">
      <w:pPr>
        <w:spacing w:line="360" w:lineRule="auto"/>
        <w:jc w:val="center"/>
        <w:rPr>
          <w:rFonts w:ascii="宋体" w:hAnsi="宋体" w:cs="宋体"/>
          <w:b/>
          <w:color w:val="auto"/>
          <w:spacing w:val="6"/>
          <w:sz w:val="32"/>
          <w:szCs w:val="32"/>
          <w:highlight w:val="none"/>
        </w:rPr>
      </w:pPr>
    </w:p>
    <w:p w14:paraId="30EB949F">
      <w:pPr>
        <w:spacing w:line="360" w:lineRule="auto"/>
        <w:jc w:val="center"/>
        <w:rPr>
          <w:rFonts w:ascii="宋体" w:hAnsi="宋体" w:cs="宋体"/>
          <w:b/>
          <w:color w:val="auto"/>
          <w:spacing w:val="6"/>
          <w:sz w:val="32"/>
          <w:szCs w:val="32"/>
          <w:highlight w:val="none"/>
        </w:rPr>
      </w:pPr>
    </w:p>
    <w:p w14:paraId="001AEB0C">
      <w:pPr>
        <w:spacing w:line="360" w:lineRule="auto"/>
        <w:jc w:val="center"/>
        <w:rPr>
          <w:rFonts w:ascii="宋体" w:hAnsi="宋体" w:cs="宋体"/>
          <w:b/>
          <w:color w:val="auto"/>
          <w:spacing w:val="6"/>
          <w:sz w:val="32"/>
          <w:szCs w:val="32"/>
          <w:highlight w:val="none"/>
        </w:rPr>
      </w:pPr>
    </w:p>
    <w:p w14:paraId="21C59688">
      <w:pPr>
        <w:spacing w:line="360" w:lineRule="auto"/>
        <w:jc w:val="center"/>
        <w:rPr>
          <w:rFonts w:ascii="宋体" w:hAnsi="宋体" w:cs="宋体"/>
          <w:b/>
          <w:color w:val="auto"/>
          <w:spacing w:val="6"/>
          <w:sz w:val="32"/>
          <w:szCs w:val="32"/>
          <w:highlight w:val="none"/>
        </w:rPr>
      </w:pPr>
    </w:p>
    <w:p w14:paraId="1AA01761">
      <w:pPr>
        <w:spacing w:line="360" w:lineRule="auto"/>
        <w:jc w:val="center"/>
        <w:rPr>
          <w:rFonts w:ascii="宋体" w:hAnsi="宋体" w:cs="宋体"/>
          <w:b/>
          <w:color w:val="auto"/>
          <w:spacing w:val="6"/>
          <w:sz w:val="32"/>
          <w:szCs w:val="32"/>
          <w:highlight w:val="none"/>
        </w:rPr>
      </w:pPr>
    </w:p>
    <w:p w14:paraId="738D6FC4">
      <w:pPr>
        <w:spacing w:line="360" w:lineRule="auto"/>
        <w:jc w:val="center"/>
        <w:rPr>
          <w:rFonts w:ascii="宋体" w:hAnsi="宋体" w:cs="宋体"/>
          <w:b/>
          <w:color w:val="auto"/>
          <w:spacing w:val="6"/>
          <w:sz w:val="32"/>
          <w:szCs w:val="32"/>
          <w:highlight w:val="none"/>
        </w:rPr>
      </w:pPr>
    </w:p>
    <w:p w14:paraId="7E80FC73">
      <w:pPr>
        <w:spacing w:line="360" w:lineRule="auto"/>
        <w:jc w:val="center"/>
        <w:rPr>
          <w:rFonts w:ascii="宋体" w:hAnsi="宋体" w:cs="宋体"/>
          <w:b/>
          <w:color w:val="auto"/>
          <w:spacing w:val="6"/>
          <w:sz w:val="32"/>
          <w:szCs w:val="32"/>
          <w:highlight w:val="none"/>
        </w:rPr>
      </w:pPr>
    </w:p>
    <w:p w14:paraId="096DAEC8">
      <w:pPr>
        <w:spacing w:line="360" w:lineRule="auto"/>
        <w:jc w:val="left"/>
        <w:rPr>
          <w:rFonts w:ascii="宋体" w:hAnsi="宋体" w:cs="宋体"/>
          <w:b/>
          <w:color w:val="auto"/>
          <w:spacing w:val="6"/>
          <w:sz w:val="32"/>
          <w:szCs w:val="32"/>
          <w:highlight w:val="none"/>
        </w:rPr>
      </w:pPr>
    </w:p>
    <w:p w14:paraId="0613FDAD">
      <w:pPr>
        <w:spacing w:line="360" w:lineRule="auto"/>
        <w:jc w:val="left"/>
        <w:rPr>
          <w:rFonts w:ascii="宋体" w:hAnsi="宋体" w:cs="宋体"/>
          <w:b/>
          <w:color w:val="auto"/>
          <w:spacing w:val="6"/>
          <w:sz w:val="32"/>
          <w:szCs w:val="32"/>
          <w:highlight w:val="none"/>
        </w:rPr>
      </w:pPr>
    </w:p>
    <w:p w14:paraId="00FB87A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CB72664">
      <w:pPr>
        <w:spacing w:line="360" w:lineRule="auto"/>
        <w:jc w:val="center"/>
        <w:rPr>
          <w:rFonts w:ascii="宋体" w:hAnsi="宋体" w:cs="宋体"/>
          <w:b/>
          <w:color w:val="auto"/>
          <w:sz w:val="24"/>
          <w:highlight w:val="none"/>
        </w:rPr>
      </w:pPr>
    </w:p>
    <w:p w14:paraId="7F330BE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23AB2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C4EF91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85552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FDB44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72C67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E460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219D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7AB67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7BD2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B964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4561F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3930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4377E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158E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F436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C7EFD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1F930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EE58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09229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3D5D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107E4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3097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E48C7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604D0C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9015EB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E1680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04B79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87FD2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A96C30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8E52A6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7FA87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164072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C2E85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A9DB6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164A6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BC4974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37B8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CED69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A29D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CDE6629">
      <w:pPr>
        <w:spacing w:line="360" w:lineRule="auto"/>
        <w:rPr>
          <w:rFonts w:ascii="宋体" w:hAnsi="宋体" w:cs="宋体"/>
          <w:b/>
          <w:color w:val="auto"/>
          <w:sz w:val="24"/>
          <w:highlight w:val="none"/>
        </w:rPr>
      </w:pPr>
    </w:p>
    <w:p w14:paraId="6BB7E8D3">
      <w:pPr>
        <w:spacing w:line="360" w:lineRule="auto"/>
        <w:rPr>
          <w:rFonts w:ascii="宋体" w:hAnsi="宋体" w:cs="宋体"/>
          <w:b/>
          <w:color w:val="auto"/>
          <w:sz w:val="24"/>
          <w:highlight w:val="none"/>
        </w:rPr>
      </w:pPr>
    </w:p>
    <w:p w14:paraId="0DBF13F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7F4917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AD9D35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64754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DD509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643B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146D7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45217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3AAB5C">
      <w:pPr>
        <w:spacing w:line="360" w:lineRule="auto"/>
        <w:rPr>
          <w:rFonts w:ascii="宋体" w:hAnsi="宋体" w:cs="宋体"/>
          <w:b/>
          <w:color w:val="auto"/>
          <w:sz w:val="24"/>
          <w:highlight w:val="none"/>
        </w:rPr>
      </w:pPr>
    </w:p>
    <w:p w14:paraId="6679F62E">
      <w:pPr>
        <w:autoSpaceDE w:val="0"/>
        <w:autoSpaceDN w:val="0"/>
        <w:jc w:val="center"/>
        <w:rPr>
          <w:rFonts w:ascii="宋体" w:hAnsi="宋体" w:cs="宋体"/>
          <w:b/>
          <w:color w:val="auto"/>
          <w:spacing w:val="6"/>
          <w:sz w:val="32"/>
          <w:szCs w:val="32"/>
          <w:highlight w:val="none"/>
        </w:rPr>
      </w:pPr>
    </w:p>
    <w:p w14:paraId="7B0C0505">
      <w:pPr>
        <w:autoSpaceDE w:val="0"/>
        <w:autoSpaceDN w:val="0"/>
        <w:jc w:val="center"/>
        <w:rPr>
          <w:rFonts w:ascii="宋体" w:hAnsi="宋体" w:cs="宋体"/>
          <w:b/>
          <w:color w:val="auto"/>
          <w:spacing w:val="6"/>
          <w:sz w:val="32"/>
          <w:szCs w:val="32"/>
          <w:highlight w:val="none"/>
        </w:rPr>
      </w:pPr>
    </w:p>
    <w:p w14:paraId="31487EA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D9740B5">
      <w:pPr>
        <w:spacing w:line="360" w:lineRule="auto"/>
        <w:rPr>
          <w:rFonts w:ascii="宋体" w:hAnsi="宋体" w:cs="宋体"/>
          <w:color w:val="auto"/>
          <w:sz w:val="24"/>
          <w:highlight w:val="none"/>
          <w:u w:val="single"/>
        </w:rPr>
      </w:pPr>
    </w:p>
    <w:p w14:paraId="4A1635D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1920AB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6CB6A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33A917D">
      <w:pPr>
        <w:spacing w:line="360" w:lineRule="auto"/>
        <w:ind w:firstLine="494"/>
        <w:rPr>
          <w:rFonts w:ascii="宋体" w:hAnsi="宋体" w:cs="宋体"/>
          <w:color w:val="auto"/>
          <w:sz w:val="24"/>
          <w:highlight w:val="none"/>
        </w:rPr>
      </w:pPr>
    </w:p>
    <w:p w14:paraId="0015FDAB">
      <w:pPr>
        <w:spacing w:line="360" w:lineRule="auto"/>
        <w:ind w:firstLine="494"/>
        <w:rPr>
          <w:rFonts w:ascii="宋体" w:hAnsi="宋体" w:cs="宋体"/>
          <w:color w:val="auto"/>
          <w:sz w:val="24"/>
          <w:highlight w:val="none"/>
        </w:rPr>
      </w:pPr>
    </w:p>
    <w:p w14:paraId="468AF955">
      <w:pPr>
        <w:spacing w:line="360" w:lineRule="auto"/>
        <w:ind w:firstLine="494"/>
        <w:rPr>
          <w:rFonts w:ascii="宋体" w:hAnsi="宋体" w:cs="宋体"/>
          <w:color w:val="auto"/>
          <w:sz w:val="24"/>
          <w:highlight w:val="none"/>
        </w:rPr>
      </w:pPr>
    </w:p>
    <w:p w14:paraId="72822431">
      <w:pPr>
        <w:spacing w:line="360" w:lineRule="auto"/>
        <w:ind w:firstLine="494"/>
        <w:rPr>
          <w:rFonts w:ascii="宋体" w:hAnsi="宋体" w:cs="宋体"/>
          <w:color w:val="auto"/>
          <w:sz w:val="24"/>
          <w:highlight w:val="none"/>
        </w:rPr>
      </w:pPr>
    </w:p>
    <w:p w14:paraId="6945C35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20B1A4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0F96150">
      <w:pPr>
        <w:rPr>
          <w:rFonts w:ascii="宋体" w:hAnsi="宋体" w:cs="宋体"/>
          <w:color w:val="auto"/>
          <w:sz w:val="24"/>
          <w:highlight w:val="none"/>
        </w:rPr>
      </w:pPr>
      <w:r>
        <w:rPr>
          <w:rFonts w:hint="eastAsia" w:ascii="宋体" w:hAnsi="宋体" w:cs="宋体"/>
          <w:b/>
          <w:bCs/>
          <w:color w:val="auto"/>
          <w:sz w:val="24"/>
          <w:highlight w:val="none"/>
        </w:rPr>
        <w:t>附：</w:t>
      </w:r>
    </w:p>
    <w:p w14:paraId="6222460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54C2F4B">
      <w:pPr>
        <w:autoSpaceDE w:val="0"/>
        <w:autoSpaceDN w:val="0"/>
        <w:jc w:val="center"/>
        <w:rPr>
          <w:rFonts w:ascii="宋体" w:hAnsi="宋体" w:cs="宋体"/>
          <w:b/>
          <w:color w:val="auto"/>
          <w:spacing w:val="6"/>
          <w:sz w:val="32"/>
          <w:szCs w:val="32"/>
          <w:highlight w:val="none"/>
        </w:rPr>
      </w:pPr>
    </w:p>
    <w:p w14:paraId="02AB02F0">
      <w:pPr>
        <w:autoSpaceDE w:val="0"/>
        <w:autoSpaceDN w:val="0"/>
        <w:jc w:val="center"/>
        <w:rPr>
          <w:rFonts w:ascii="宋体" w:hAnsi="宋体" w:cs="宋体"/>
          <w:b/>
          <w:color w:val="auto"/>
          <w:spacing w:val="6"/>
          <w:sz w:val="32"/>
          <w:szCs w:val="32"/>
          <w:highlight w:val="none"/>
        </w:rPr>
      </w:pPr>
    </w:p>
    <w:p w14:paraId="4362251D">
      <w:pPr>
        <w:autoSpaceDE w:val="0"/>
        <w:autoSpaceDN w:val="0"/>
        <w:jc w:val="center"/>
        <w:rPr>
          <w:rFonts w:ascii="宋体" w:hAnsi="宋体" w:cs="宋体"/>
          <w:b/>
          <w:color w:val="auto"/>
          <w:spacing w:val="6"/>
          <w:sz w:val="32"/>
          <w:szCs w:val="32"/>
          <w:highlight w:val="none"/>
        </w:rPr>
      </w:pPr>
    </w:p>
    <w:p w14:paraId="326F5B55">
      <w:pPr>
        <w:autoSpaceDE w:val="0"/>
        <w:autoSpaceDN w:val="0"/>
        <w:jc w:val="center"/>
        <w:rPr>
          <w:rFonts w:ascii="宋体" w:hAnsi="宋体" w:cs="宋体"/>
          <w:b/>
          <w:color w:val="auto"/>
          <w:spacing w:val="6"/>
          <w:sz w:val="32"/>
          <w:szCs w:val="32"/>
          <w:highlight w:val="none"/>
        </w:rPr>
      </w:pPr>
    </w:p>
    <w:p w14:paraId="5CEDEF62">
      <w:pPr>
        <w:autoSpaceDE w:val="0"/>
        <w:autoSpaceDN w:val="0"/>
        <w:jc w:val="center"/>
        <w:rPr>
          <w:rFonts w:ascii="宋体" w:hAnsi="宋体" w:cs="宋体"/>
          <w:b/>
          <w:color w:val="auto"/>
          <w:spacing w:val="6"/>
          <w:sz w:val="32"/>
          <w:szCs w:val="32"/>
          <w:highlight w:val="none"/>
        </w:rPr>
      </w:pPr>
    </w:p>
    <w:p w14:paraId="508FE93D">
      <w:pPr>
        <w:autoSpaceDE w:val="0"/>
        <w:autoSpaceDN w:val="0"/>
        <w:jc w:val="center"/>
        <w:rPr>
          <w:rFonts w:ascii="宋体" w:hAnsi="宋体" w:cs="宋体"/>
          <w:b/>
          <w:color w:val="auto"/>
          <w:spacing w:val="6"/>
          <w:sz w:val="32"/>
          <w:szCs w:val="32"/>
          <w:highlight w:val="none"/>
        </w:rPr>
      </w:pPr>
    </w:p>
    <w:p w14:paraId="154B63C0">
      <w:pPr>
        <w:autoSpaceDE w:val="0"/>
        <w:autoSpaceDN w:val="0"/>
        <w:jc w:val="center"/>
        <w:rPr>
          <w:rFonts w:ascii="宋体" w:hAnsi="宋体" w:cs="宋体"/>
          <w:b/>
          <w:color w:val="auto"/>
          <w:spacing w:val="6"/>
          <w:sz w:val="32"/>
          <w:szCs w:val="32"/>
          <w:highlight w:val="none"/>
        </w:rPr>
      </w:pPr>
    </w:p>
    <w:p w14:paraId="2E21973F">
      <w:pPr>
        <w:autoSpaceDE w:val="0"/>
        <w:autoSpaceDN w:val="0"/>
        <w:jc w:val="center"/>
        <w:rPr>
          <w:rFonts w:ascii="宋体" w:hAnsi="宋体" w:cs="宋体"/>
          <w:b/>
          <w:color w:val="auto"/>
          <w:spacing w:val="6"/>
          <w:sz w:val="32"/>
          <w:szCs w:val="32"/>
          <w:highlight w:val="none"/>
        </w:rPr>
      </w:pPr>
    </w:p>
    <w:p w14:paraId="44D75536">
      <w:pPr>
        <w:autoSpaceDE w:val="0"/>
        <w:autoSpaceDN w:val="0"/>
        <w:jc w:val="center"/>
        <w:rPr>
          <w:rFonts w:ascii="宋体" w:hAnsi="宋体" w:cs="宋体"/>
          <w:b/>
          <w:color w:val="auto"/>
          <w:spacing w:val="6"/>
          <w:sz w:val="32"/>
          <w:szCs w:val="32"/>
          <w:highlight w:val="none"/>
        </w:rPr>
      </w:pPr>
    </w:p>
    <w:p w14:paraId="0D88AC2B">
      <w:pPr>
        <w:autoSpaceDE w:val="0"/>
        <w:autoSpaceDN w:val="0"/>
        <w:jc w:val="center"/>
        <w:rPr>
          <w:rFonts w:ascii="宋体" w:hAnsi="宋体" w:cs="宋体"/>
          <w:b/>
          <w:color w:val="auto"/>
          <w:spacing w:val="6"/>
          <w:sz w:val="32"/>
          <w:szCs w:val="32"/>
          <w:highlight w:val="none"/>
        </w:rPr>
      </w:pPr>
    </w:p>
    <w:p w14:paraId="55B26A42">
      <w:pPr>
        <w:autoSpaceDE w:val="0"/>
        <w:autoSpaceDN w:val="0"/>
        <w:jc w:val="center"/>
        <w:rPr>
          <w:rFonts w:ascii="宋体" w:hAnsi="宋体" w:cs="宋体"/>
          <w:b/>
          <w:color w:val="auto"/>
          <w:spacing w:val="6"/>
          <w:sz w:val="32"/>
          <w:szCs w:val="32"/>
          <w:highlight w:val="none"/>
        </w:rPr>
      </w:pPr>
    </w:p>
    <w:p w14:paraId="600A6CB1">
      <w:pPr>
        <w:autoSpaceDE w:val="0"/>
        <w:autoSpaceDN w:val="0"/>
        <w:jc w:val="center"/>
        <w:rPr>
          <w:rFonts w:ascii="宋体" w:hAnsi="宋体" w:cs="宋体"/>
          <w:b/>
          <w:color w:val="auto"/>
          <w:spacing w:val="6"/>
          <w:sz w:val="32"/>
          <w:szCs w:val="32"/>
          <w:highlight w:val="none"/>
        </w:rPr>
      </w:pPr>
    </w:p>
    <w:p w14:paraId="440C21BF">
      <w:pPr>
        <w:autoSpaceDE w:val="0"/>
        <w:autoSpaceDN w:val="0"/>
        <w:jc w:val="center"/>
        <w:rPr>
          <w:rFonts w:ascii="宋体" w:hAnsi="宋体" w:cs="宋体"/>
          <w:b/>
          <w:color w:val="auto"/>
          <w:spacing w:val="6"/>
          <w:sz w:val="32"/>
          <w:szCs w:val="32"/>
          <w:highlight w:val="none"/>
        </w:rPr>
      </w:pPr>
    </w:p>
    <w:p w14:paraId="701C4E52">
      <w:pPr>
        <w:autoSpaceDE w:val="0"/>
        <w:autoSpaceDN w:val="0"/>
        <w:jc w:val="center"/>
        <w:rPr>
          <w:rFonts w:ascii="宋体" w:hAnsi="宋体" w:cs="宋体"/>
          <w:b/>
          <w:color w:val="auto"/>
          <w:spacing w:val="6"/>
          <w:sz w:val="32"/>
          <w:szCs w:val="32"/>
          <w:highlight w:val="none"/>
        </w:rPr>
      </w:pPr>
    </w:p>
    <w:p w14:paraId="745C00DA">
      <w:pPr>
        <w:autoSpaceDE w:val="0"/>
        <w:autoSpaceDN w:val="0"/>
        <w:jc w:val="center"/>
        <w:rPr>
          <w:rFonts w:ascii="宋体" w:hAnsi="宋体" w:cs="宋体"/>
          <w:b/>
          <w:color w:val="auto"/>
          <w:spacing w:val="6"/>
          <w:sz w:val="32"/>
          <w:szCs w:val="32"/>
          <w:highlight w:val="none"/>
        </w:rPr>
      </w:pPr>
    </w:p>
    <w:p w14:paraId="635550DE">
      <w:pPr>
        <w:autoSpaceDE w:val="0"/>
        <w:autoSpaceDN w:val="0"/>
        <w:jc w:val="center"/>
        <w:rPr>
          <w:rFonts w:ascii="宋体" w:hAnsi="宋体" w:cs="宋体"/>
          <w:b/>
          <w:color w:val="auto"/>
          <w:spacing w:val="6"/>
          <w:sz w:val="32"/>
          <w:szCs w:val="32"/>
          <w:highlight w:val="none"/>
        </w:rPr>
      </w:pPr>
    </w:p>
    <w:p w14:paraId="70DCF215">
      <w:pPr>
        <w:autoSpaceDE w:val="0"/>
        <w:autoSpaceDN w:val="0"/>
        <w:jc w:val="center"/>
        <w:rPr>
          <w:rFonts w:ascii="宋体" w:hAnsi="宋体" w:cs="宋体"/>
          <w:b/>
          <w:color w:val="auto"/>
          <w:spacing w:val="6"/>
          <w:sz w:val="32"/>
          <w:szCs w:val="32"/>
          <w:highlight w:val="none"/>
        </w:rPr>
      </w:pPr>
    </w:p>
    <w:p w14:paraId="72FB839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211486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C494F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A7ACB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58BB3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0E7AA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DDC0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0ED3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6928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6E1B3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65C6E9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5"/>
      <w:r>
        <w:rPr>
          <w:rFonts w:hint="eastAsia" w:ascii="宋体" w:hAnsi="宋体" w:cs="宋体"/>
          <w:b/>
          <w:color w:val="auto"/>
          <w:kern w:val="0"/>
          <w:sz w:val="24"/>
          <w:highlight w:val="none"/>
          <w:lang w:val="zh-CN"/>
        </w:rPr>
        <w:t>）</w:t>
      </w:r>
    </w:p>
    <w:p w14:paraId="497CB50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6"/>
    </w:p>
    <w:p w14:paraId="79E0CA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5ECC4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4E4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B8D8E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61B7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56E09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0271B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0441C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666731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48180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8751B">
      <w:pPr>
        <w:autoSpaceDE w:val="0"/>
        <w:autoSpaceDN w:val="0"/>
        <w:jc w:val="center"/>
        <w:rPr>
          <w:rFonts w:ascii="宋体" w:hAnsi="宋体" w:cs="宋体"/>
          <w:b/>
          <w:color w:val="auto"/>
          <w:spacing w:val="6"/>
          <w:sz w:val="32"/>
          <w:szCs w:val="32"/>
          <w:highlight w:val="none"/>
        </w:rPr>
      </w:pPr>
    </w:p>
    <w:p w14:paraId="6E00BD9F">
      <w:pPr>
        <w:autoSpaceDE w:val="0"/>
        <w:autoSpaceDN w:val="0"/>
        <w:jc w:val="center"/>
        <w:rPr>
          <w:rFonts w:ascii="宋体" w:hAnsi="宋体" w:cs="宋体"/>
          <w:b/>
          <w:color w:val="auto"/>
          <w:spacing w:val="6"/>
          <w:sz w:val="32"/>
          <w:szCs w:val="32"/>
          <w:highlight w:val="none"/>
        </w:rPr>
      </w:pPr>
    </w:p>
    <w:p w14:paraId="1DCB0F23">
      <w:pPr>
        <w:autoSpaceDE w:val="0"/>
        <w:autoSpaceDN w:val="0"/>
        <w:jc w:val="center"/>
        <w:rPr>
          <w:rFonts w:ascii="宋体" w:hAnsi="宋体" w:cs="宋体"/>
          <w:b/>
          <w:color w:val="auto"/>
          <w:spacing w:val="6"/>
          <w:sz w:val="32"/>
          <w:szCs w:val="32"/>
          <w:highlight w:val="none"/>
        </w:rPr>
      </w:pPr>
    </w:p>
    <w:p w14:paraId="7E94F858">
      <w:pPr>
        <w:autoSpaceDE w:val="0"/>
        <w:autoSpaceDN w:val="0"/>
        <w:jc w:val="center"/>
        <w:rPr>
          <w:rFonts w:ascii="宋体" w:hAnsi="宋体" w:cs="宋体"/>
          <w:b/>
          <w:color w:val="auto"/>
          <w:spacing w:val="6"/>
          <w:sz w:val="32"/>
          <w:szCs w:val="32"/>
          <w:highlight w:val="none"/>
        </w:rPr>
      </w:pPr>
    </w:p>
    <w:p w14:paraId="423CED64">
      <w:pPr>
        <w:autoSpaceDE w:val="0"/>
        <w:autoSpaceDN w:val="0"/>
        <w:jc w:val="center"/>
        <w:rPr>
          <w:rFonts w:ascii="宋体" w:hAnsi="宋体" w:cs="宋体"/>
          <w:b/>
          <w:color w:val="auto"/>
          <w:spacing w:val="6"/>
          <w:sz w:val="32"/>
          <w:szCs w:val="32"/>
          <w:highlight w:val="none"/>
        </w:rPr>
      </w:pPr>
    </w:p>
    <w:p w14:paraId="1A661584">
      <w:pPr>
        <w:autoSpaceDE w:val="0"/>
        <w:autoSpaceDN w:val="0"/>
        <w:jc w:val="center"/>
        <w:rPr>
          <w:rFonts w:ascii="宋体" w:hAnsi="宋体" w:cs="宋体"/>
          <w:b/>
          <w:color w:val="auto"/>
          <w:spacing w:val="6"/>
          <w:sz w:val="32"/>
          <w:szCs w:val="32"/>
          <w:highlight w:val="none"/>
        </w:rPr>
      </w:pPr>
    </w:p>
    <w:p w14:paraId="00443C6C">
      <w:pPr>
        <w:autoSpaceDE w:val="0"/>
        <w:autoSpaceDN w:val="0"/>
        <w:jc w:val="center"/>
        <w:rPr>
          <w:rFonts w:ascii="宋体" w:hAnsi="宋体" w:cs="宋体"/>
          <w:b/>
          <w:color w:val="auto"/>
          <w:spacing w:val="6"/>
          <w:sz w:val="32"/>
          <w:szCs w:val="32"/>
          <w:highlight w:val="none"/>
        </w:rPr>
      </w:pPr>
    </w:p>
    <w:p w14:paraId="5D356D91">
      <w:pPr>
        <w:autoSpaceDE w:val="0"/>
        <w:autoSpaceDN w:val="0"/>
        <w:jc w:val="center"/>
        <w:rPr>
          <w:rFonts w:ascii="宋体" w:hAnsi="宋体" w:cs="宋体"/>
          <w:b/>
          <w:color w:val="auto"/>
          <w:spacing w:val="6"/>
          <w:sz w:val="32"/>
          <w:szCs w:val="32"/>
          <w:highlight w:val="none"/>
        </w:rPr>
      </w:pPr>
    </w:p>
    <w:p w14:paraId="4B6B6F2F">
      <w:pPr>
        <w:autoSpaceDE w:val="0"/>
        <w:autoSpaceDN w:val="0"/>
        <w:jc w:val="center"/>
        <w:rPr>
          <w:rFonts w:ascii="宋体" w:hAnsi="宋体" w:cs="宋体"/>
          <w:b/>
          <w:color w:val="auto"/>
          <w:spacing w:val="6"/>
          <w:sz w:val="32"/>
          <w:szCs w:val="32"/>
          <w:highlight w:val="none"/>
        </w:rPr>
      </w:pPr>
    </w:p>
    <w:p w14:paraId="25D11FE8">
      <w:pPr>
        <w:autoSpaceDE w:val="0"/>
        <w:autoSpaceDN w:val="0"/>
        <w:jc w:val="center"/>
        <w:rPr>
          <w:rFonts w:ascii="宋体" w:hAnsi="宋体" w:cs="宋体"/>
          <w:b/>
          <w:color w:val="auto"/>
          <w:spacing w:val="6"/>
          <w:sz w:val="32"/>
          <w:szCs w:val="32"/>
          <w:highlight w:val="none"/>
        </w:rPr>
      </w:pPr>
    </w:p>
    <w:p w14:paraId="4ADF82FF">
      <w:pPr>
        <w:autoSpaceDE w:val="0"/>
        <w:autoSpaceDN w:val="0"/>
        <w:jc w:val="center"/>
        <w:rPr>
          <w:rFonts w:ascii="宋体" w:hAnsi="宋体" w:cs="宋体"/>
          <w:b/>
          <w:color w:val="auto"/>
          <w:spacing w:val="6"/>
          <w:sz w:val="32"/>
          <w:szCs w:val="32"/>
          <w:highlight w:val="none"/>
        </w:rPr>
      </w:pPr>
    </w:p>
    <w:p w14:paraId="050CB204">
      <w:pPr>
        <w:autoSpaceDE w:val="0"/>
        <w:autoSpaceDN w:val="0"/>
        <w:jc w:val="center"/>
        <w:rPr>
          <w:rFonts w:ascii="宋体" w:hAnsi="宋体" w:cs="宋体"/>
          <w:b/>
          <w:color w:val="auto"/>
          <w:spacing w:val="6"/>
          <w:sz w:val="32"/>
          <w:szCs w:val="32"/>
          <w:highlight w:val="none"/>
        </w:rPr>
      </w:pPr>
    </w:p>
    <w:p w14:paraId="3BDEBB5D">
      <w:pPr>
        <w:autoSpaceDE w:val="0"/>
        <w:autoSpaceDN w:val="0"/>
        <w:jc w:val="center"/>
        <w:rPr>
          <w:rFonts w:ascii="宋体" w:hAnsi="宋体" w:cs="宋体"/>
          <w:b/>
          <w:color w:val="auto"/>
          <w:spacing w:val="6"/>
          <w:sz w:val="32"/>
          <w:szCs w:val="32"/>
          <w:highlight w:val="none"/>
        </w:rPr>
      </w:pPr>
    </w:p>
    <w:p w14:paraId="696F1A93">
      <w:pPr>
        <w:autoSpaceDE w:val="0"/>
        <w:autoSpaceDN w:val="0"/>
        <w:jc w:val="center"/>
        <w:rPr>
          <w:rFonts w:ascii="宋体" w:hAnsi="宋体" w:cs="宋体"/>
          <w:b/>
          <w:color w:val="auto"/>
          <w:spacing w:val="6"/>
          <w:sz w:val="32"/>
          <w:szCs w:val="32"/>
          <w:highlight w:val="none"/>
        </w:rPr>
      </w:pPr>
    </w:p>
    <w:p w14:paraId="760AA856">
      <w:pPr>
        <w:autoSpaceDE w:val="0"/>
        <w:autoSpaceDN w:val="0"/>
        <w:jc w:val="center"/>
        <w:rPr>
          <w:rFonts w:ascii="宋体" w:hAnsi="宋体" w:cs="宋体"/>
          <w:b/>
          <w:color w:val="auto"/>
          <w:spacing w:val="6"/>
          <w:sz w:val="32"/>
          <w:szCs w:val="32"/>
          <w:highlight w:val="none"/>
        </w:rPr>
      </w:pPr>
    </w:p>
    <w:p w14:paraId="3271F1A6">
      <w:pPr>
        <w:autoSpaceDE w:val="0"/>
        <w:autoSpaceDN w:val="0"/>
        <w:jc w:val="center"/>
        <w:rPr>
          <w:rFonts w:ascii="宋体" w:hAnsi="宋体" w:cs="宋体"/>
          <w:b/>
          <w:color w:val="auto"/>
          <w:spacing w:val="6"/>
          <w:sz w:val="32"/>
          <w:szCs w:val="32"/>
          <w:highlight w:val="none"/>
        </w:rPr>
      </w:pPr>
    </w:p>
    <w:p w14:paraId="5F6BB5A6">
      <w:pPr>
        <w:autoSpaceDE w:val="0"/>
        <w:autoSpaceDN w:val="0"/>
        <w:jc w:val="center"/>
        <w:rPr>
          <w:rFonts w:ascii="宋体" w:hAnsi="宋体" w:cs="宋体"/>
          <w:b/>
          <w:color w:val="auto"/>
          <w:spacing w:val="6"/>
          <w:sz w:val="32"/>
          <w:szCs w:val="32"/>
          <w:highlight w:val="none"/>
        </w:rPr>
      </w:pPr>
    </w:p>
    <w:p w14:paraId="28D514C5">
      <w:pPr>
        <w:autoSpaceDE w:val="0"/>
        <w:autoSpaceDN w:val="0"/>
        <w:jc w:val="center"/>
        <w:rPr>
          <w:rFonts w:ascii="宋体" w:hAnsi="宋体" w:cs="宋体"/>
          <w:b/>
          <w:color w:val="auto"/>
          <w:spacing w:val="6"/>
          <w:sz w:val="32"/>
          <w:szCs w:val="32"/>
          <w:highlight w:val="none"/>
        </w:rPr>
      </w:pPr>
    </w:p>
    <w:p w14:paraId="34BC8D6A">
      <w:pPr>
        <w:autoSpaceDE w:val="0"/>
        <w:autoSpaceDN w:val="0"/>
        <w:jc w:val="center"/>
        <w:rPr>
          <w:rFonts w:ascii="宋体" w:hAnsi="宋体" w:cs="宋体"/>
          <w:b/>
          <w:color w:val="auto"/>
          <w:spacing w:val="6"/>
          <w:sz w:val="32"/>
          <w:szCs w:val="32"/>
          <w:highlight w:val="none"/>
        </w:rPr>
      </w:pPr>
    </w:p>
    <w:p w14:paraId="34897D7E">
      <w:pPr>
        <w:autoSpaceDE w:val="0"/>
        <w:autoSpaceDN w:val="0"/>
        <w:jc w:val="center"/>
        <w:rPr>
          <w:rFonts w:ascii="宋体" w:hAnsi="宋体" w:cs="宋体"/>
          <w:b/>
          <w:color w:val="auto"/>
          <w:spacing w:val="6"/>
          <w:sz w:val="32"/>
          <w:szCs w:val="32"/>
          <w:highlight w:val="none"/>
        </w:rPr>
      </w:pPr>
    </w:p>
    <w:p w14:paraId="22F52919">
      <w:pPr>
        <w:autoSpaceDE w:val="0"/>
        <w:autoSpaceDN w:val="0"/>
        <w:jc w:val="center"/>
        <w:rPr>
          <w:rFonts w:ascii="宋体" w:hAnsi="宋体" w:cs="宋体"/>
          <w:b/>
          <w:color w:val="auto"/>
          <w:spacing w:val="6"/>
          <w:sz w:val="32"/>
          <w:szCs w:val="32"/>
          <w:highlight w:val="none"/>
        </w:rPr>
      </w:pPr>
    </w:p>
    <w:p w14:paraId="2B48C4DA">
      <w:pPr>
        <w:autoSpaceDE w:val="0"/>
        <w:autoSpaceDN w:val="0"/>
        <w:jc w:val="center"/>
        <w:rPr>
          <w:rFonts w:ascii="宋体" w:hAnsi="宋体" w:cs="宋体"/>
          <w:b/>
          <w:color w:val="auto"/>
          <w:spacing w:val="6"/>
          <w:sz w:val="32"/>
          <w:szCs w:val="32"/>
          <w:highlight w:val="none"/>
        </w:rPr>
      </w:pPr>
    </w:p>
    <w:p w14:paraId="0C888406">
      <w:pPr>
        <w:autoSpaceDE w:val="0"/>
        <w:autoSpaceDN w:val="0"/>
        <w:jc w:val="center"/>
        <w:rPr>
          <w:rFonts w:ascii="宋体" w:hAnsi="宋体" w:cs="宋体"/>
          <w:b/>
          <w:color w:val="auto"/>
          <w:spacing w:val="6"/>
          <w:sz w:val="32"/>
          <w:szCs w:val="32"/>
          <w:highlight w:val="none"/>
        </w:rPr>
      </w:pPr>
    </w:p>
    <w:p w14:paraId="13E9CD21">
      <w:pPr>
        <w:snapToGrid w:val="0"/>
        <w:spacing w:line="360" w:lineRule="auto"/>
        <w:ind w:firstLine="3666" w:firstLineChars="1100"/>
        <w:rPr>
          <w:rFonts w:ascii="宋体" w:hAnsi="宋体" w:cs="宋体"/>
          <w:b/>
          <w:color w:val="auto"/>
          <w:spacing w:val="6"/>
          <w:sz w:val="32"/>
          <w:szCs w:val="32"/>
          <w:highlight w:val="none"/>
        </w:rPr>
      </w:pPr>
    </w:p>
    <w:p w14:paraId="531A4A3A">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B5D820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8C6456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B0606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E5F95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D062B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6C0F02A">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C362959">
      <w:pPr>
        <w:rPr>
          <w:color w:val="auto"/>
          <w:highlight w:val="none"/>
        </w:rPr>
      </w:pPr>
      <w:r>
        <w:rPr>
          <w:rFonts w:hint="eastAsia"/>
          <w:color w:val="auto"/>
          <w:highlight w:val="none"/>
          <w:lang w:val="zh-CN"/>
        </w:rPr>
        <w:t xml:space="preserve"> </w:t>
      </w:r>
    </w:p>
    <w:p w14:paraId="664B1C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A090A2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AECC9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591F6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E510A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05FB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00541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67C1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43DC5A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C55C5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CEDF4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6F26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97CF4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693C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181781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AE29BA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5D57A4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0A245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9A5F1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F56439">
      <w:pPr>
        <w:autoSpaceDE w:val="0"/>
        <w:autoSpaceDN w:val="0"/>
        <w:jc w:val="center"/>
        <w:rPr>
          <w:rFonts w:ascii="宋体" w:hAnsi="宋体" w:cs="宋体"/>
          <w:b/>
          <w:color w:val="auto"/>
          <w:spacing w:val="6"/>
          <w:sz w:val="32"/>
          <w:szCs w:val="32"/>
          <w:highlight w:val="none"/>
        </w:rPr>
      </w:pPr>
    </w:p>
    <w:p w14:paraId="49E12D10">
      <w:pPr>
        <w:autoSpaceDE w:val="0"/>
        <w:autoSpaceDN w:val="0"/>
        <w:jc w:val="center"/>
        <w:rPr>
          <w:rFonts w:ascii="宋体" w:hAnsi="宋体" w:cs="宋体"/>
          <w:b/>
          <w:color w:val="auto"/>
          <w:spacing w:val="6"/>
          <w:sz w:val="32"/>
          <w:szCs w:val="32"/>
          <w:highlight w:val="none"/>
        </w:rPr>
      </w:pPr>
    </w:p>
    <w:p w14:paraId="40B358FA">
      <w:pPr>
        <w:autoSpaceDE w:val="0"/>
        <w:autoSpaceDN w:val="0"/>
        <w:jc w:val="center"/>
        <w:rPr>
          <w:rFonts w:ascii="宋体" w:hAnsi="宋体" w:cs="宋体"/>
          <w:b/>
          <w:color w:val="auto"/>
          <w:spacing w:val="6"/>
          <w:sz w:val="32"/>
          <w:szCs w:val="32"/>
          <w:highlight w:val="none"/>
        </w:rPr>
      </w:pPr>
    </w:p>
    <w:p w14:paraId="1D588D14">
      <w:pPr>
        <w:autoSpaceDE w:val="0"/>
        <w:autoSpaceDN w:val="0"/>
        <w:jc w:val="center"/>
        <w:rPr>
          <w:rFonts w:ascii="宋体" w:hAnsi="宋体" w:cs="宋体"/>
          <w:b/>
          <w:color w:val="auto"/>
          <w:spacing w:val="6"/>
          <w:sz w:val="32"/>
          <w:szCs w:val="32"/>
          <w:highlight w:val="none"/>
        </w:rPr>
      </w:pPr>
    </w:p>
    <w:p w14:paraId="170F3CE9">
      <w:pPr>
        <w:autoSpaceDE w:val="0"/>
        <w:autoSpaceDN w:val="0"/>
        <w:jc w:val="center"/>
        <w:rPr>
          <w:rFonts w:ascii="宋体" w:hAnsi="宋体" w:cs="宋体"/>
          <w:b/>
          <w:color w:val="auto"/>
          <w:spacing w:val="6"/>
          <w:sz w:val="32"/>
          <w:szCs w:val="32"/>
          <w:highlight w:val="none"/>
        </w:rPr>
      </w:pPr>
    </w:p>
    <w:p w14:paraId="7FED9613">
      <w:pPr>
        <w:autoSpaceDE w:val="0"/>
        <w:autoSpaceDN w:val="0"/>
        <w:jc w:val="center"/>
        <w:rPr>
          <w:rFonts w:ascii="宋体" w:hAnsi="宋体" w:cs="宋体"/>
          <w:b/>
          <w:color w:val="auto"/>
          <w:spacing w:val="6"/>
          <w:sz w:val="32"/>
          <w:szCs w:val="32"/>
          <w:highlight w:val="none"/>
        </w:rPr>
      </w:pPr>
    </w:p>
    <w:p w14:paraId="08BA55D0">
      <w:pPr>
        <w:autoSpaceDE w:val="0"/>
        <w:autoSpaceDN w:val="0"/>
        <w:jc w:val="center"/>
        <w:rPr>
          <w:rFonts w:ascii="宋体" w:hAnsi="宋体" w:cs="宋体"/>
          <w:b/>
          <w:color w:val="auto"/>
          <w:spacing w:val="6"/>
          <w:sz w:val="32"/>
          <w:szCs w:val="32"/>
          <w:highlight w:val="none"/>
        </w:rPr>
      </w:pPr>
    </w:p>
    <w:p w14:paraId="25841E0E">
      <w:pPr>
        <w:autoSpaceDE w:val="0"/>
        <w:autoSpaceDN w:val="0"/>
        <w:jc w:val="center"/>
        <w:rPr>
          <w:rFonts w:ascii="宋体" w:hAnsi="宋体" w:cs="宋体"/>
          <w:b/>
          <w:color w:val="auto"/>
          <w:spacing w:val="6"/>
          <w:sz w:val="32"/>
          <w:szCs w:val="32"/>
          <w:highlight w:val="none"/>
        </w:rPr>
      </w:pPr>
    </w:p>
    <w:p w14:paraId="4F543765">
      <w:pPr>
        <w:autoSpaceDE w:val="0"/>
        <w:autoSpaceDN w:val="0"/>
        <w:jc w:val="center"/>
        <w:rPr>
          <w:rFonts w:ascii="宋体" w:hAnsi="宋体" w:cs="宋体"/>
          <w:b/>
          <w:color w:val="auto"/>
          <w:spacing w:val="6"/>
          <w:sz w:val="32"/>
          <w:szCs w:val="32"/>
          <w:highlight w:val="none"/>
        </w:rPr>
      </w:pPr>
    </w:p>
    <w:p w14:paraId="7425A7BD">
      <w:pPr>
        <w:autoSpaceDE w:val="0"/>
        <w:autoSpaceDN w:val="0"/>
        <w:jc w:val="center"/>
        <w:rPr>
          <w:rFonts w:ascii="宋体" w:hAnsi="宋体" w:cs="宋体"/>
          <w:b/>
          <w:color w:val="auto"/>
          <w:spacing w:val="6"/>
          <w:sz w:val="32"/>
          <w:szCs w:val="32"/>
          <w:highlight w:val="none"/>
        </w:rPr>
      </w:pPr>
    </w:p>
    <w:p w14:paraId="47F5C1DF">
      <w:pPr>
        <w:autoSpaceDE w:val="0"/>
        <w:autoSpaceDN w:val="0"/>
        <w:jc w:val="center"/>
        <w:rPr>
          <w:rFonts w:ascii="宋体" w:hAnsi="宋体" w:cs="宋体"/>
          <w:b/>
          <w:color w:val="auto"/>
          <w:spacing w:val="6"/>
          <w:sz w:val="32"/>
          <w:szCs w:val="32"/>
          <w:highlight w:val="none"/>
        </w:rPr>
      </w:pPr>
    </w:p>
    <w:p w14:paraId="0C1E2B2C">
      <w:pPr>
        <w:autoSpaceDE w:val="0"/>
        <w:autoSpaceDN w:val="0"/>
        <w:jc w:val="center"/>
        <w:rPr>
          <w:rFonts w:ascii="宋体" w:hAnsi="宋体" w:cs="宋体"/>
          <w:b/>
          <w:color w:val="auto"/>
          <w:spacing w:val="6"/>
          <w:sz w:val="32"/>
          <w:szCs w:val="32"/>
          <w:highlight w:val="none"/>
        </w:rPr>
      </w:pPr>
    </w:p>
    <w:p w14:paraId="27747152">
      <w:pPr>
        <w:autoSpaceDE w:val="0"/>
        <w:autoSpaceDN w:val="0"/>
        <w:jc w:val="center"/>
        <w:rPr>
          <w:rFonts w:ascii="宋体" w:hAnsi="宋体" w:cs="宋体"/>
          <w:b/>
          <w:color w:val="auto"/>
          <w:spacing w:val="6"/>
          <w:sz w:val="32"/>
          <w:szCs w:val="32"/>
          <w:highlight w:val="none"/>
        </w:rPr>
      </w:pPr>
    </w:p>
    <w:p w14:paraId="7B4C8271">
      <w:pPr>
        <w:autoSpaceDE w:val="0"/>
        <w:autoSpaceDN w:val="0"/>
        <w:jc w:val="center"/>
        <w:rPr>
          <w:rFonts w:ascii="宋体" w:hAnsi="宋体" w:cs="宋体"/>
          <w:b/>
          <w:color w:val="auto"/>
          <w:spacing w:val="6"/>
          <w:sz w:val="32"/>
          <w:szCs w:val="32"/>
          <w:highlight w:val="none"/>
        </w:rPr>
      </w:pPr>
    </w:p>
    <w:p w14:paraId="775AD0C2">
      <w:pPr>
        <w:autoSpaceDE w:val="0"/>
        <w:autoSpaceDN w:val="0"/>
        <w:jc w:val="center"/>
        <w:rPr>
          <w:rFonts w:ascii="宋体" w:hAnsi="宋体" w:cs="宋体"/>
          <w:b/>
          <w:color w:val="auto"/>
          <w:spacing w:val="6"/>
          <w:sz w:val="32"/>
          <w:szCs w:val="32"/>
          <w:highlight w:val="none"/>
        </w:rPr>
      </w:pPr>
    </w:p>
    <w:p w14:paraId="691ADB90">
      <w:pPr>
        <w:autoSpaceDE w:val="0"/>
        <w:autoSpaceDN w:val="0"/>
        <w:jc w:val="center"/>
        <w:rPr>
          <w:rFonts w:ascii="宋体" w:hAnsi="宋体" w:cs="宋体"/>
          <w:b/>
          <w:color w:val="auto"/>
          <w:spacing w:val="6"/>
          <w:sz w:val="32"/>
          <w:szCs w:val="32"/>
          <w:highlight w:val="none"/>
        </w:rPr>
      </w:pPr>
    </w:p>
    <w:p w14:paraId="4807618F">
      <w:pPr>
        <w:autoSpaceDE w:val="0"/>
        <w:autoSpaceDN w:val="0"/>
        <w:jc w:val="center"/>
        <w:rPr>
          <w:rFonts w:ascii="宋体" w:hAnsi="宋体" w:cs="宋体"/>
          <w:b/>
          <w:color w:val="auto"/>
          <w:spacing w:val="6"/>
          <w:sz w:val="32"/>
          <w:szCs w:val="32"/>
          <w:highlight w:val="none"/>
        </w:rPr>
      </w:pPr>
    </w:p>
    <w:p w14:paraId="01DF4740">
      <w:pPr>
        <w:autoSpaceDE w:val="0"/>
        <w:autoSpaceDN w:val="0"/>
        <w:jc w:val="center"/>
        <w:rPr>
          <w:rFonts w:ascii="宋体" w:hAnsi="宋体" w:cs="宋体"/>
          <w:b/>
          <w:color w:val="auto"/>
          <w:spacing w:val="6"/>
          <w:sz w:val="32"/>
          <w:szCs w:val="32"/>
          <w:highlight w:val="none"/>
        </w:rPr>
      </w:pPr>
    </w:p>
    <w:p w14:paraId="4D6A86FD">
      <w:pPr>
        <w:autoSpaceDE w:val="0"/>
        <w:autoSpaceDN w:val="0"/>
        <w:jc w:val="center"/>
        <w:rPr>
          <w:rFonts w:ascii="宋体" w:hAnsi="宋体" w:cs="宋体"/>
          <w:b/>
          <w:color w:val="auto"/>
          <w:spacing w:val="6"/>
          <w:sz w:val="32"/>
          <w:szCs w:val="32"/>
          <w:highlight w:val="none"/>
        </w:rPr>
      </w:pPr>
    </w:p>
    <w:p w14:paraId="705BA491">
      <w:pPr>
        <w:autoSpaceDE w:val="0"/>
        <w:autoSpaceDN w:val="0"/>
        <w:jc w:val="center"/>
        <w:rPr>
          <w:rFonts w:ascii="宋体" w:hAnsi="宋体" w:cs="宋体"/>
          <w:b/>
          <w:color w:val="auto"/>
          <w:spacing w:val="6"/>
          <w:sz w:val="32"/>
          <w:szCs w:val="32"/>
          <w:highlight w:val="none"/>
        </w:rPr>
      </w:pPr>
    </w:p>
    <w:p w14:paraId="06EA1919">
      <w:pPr>
        <w:autoSpaceDE w:val="0"/>
        <w:autoSpaceDN w:val="0"/>
        <w:jc w:val="center"/>
        <w:rPr>
          <w:rFonts w:ascii="宋体" w:hAnsi="宋体" w:cs="宋体"/>
          <w:b/>
          <w:color w:val="auto"/>
          <w:spacing w:val="6"/>
          <w:sz w:val="32"/>
          <w:szCs w:val="32"/>
          <w:highlight w:val="none"/>
        </w:rPr>
      </w:pPr>
    </w:p>
    <w:p w14:paraId="2A485B5A">
      <w:pPr>
        <w:autoSpaceDE w:val="0"/>
        <w:autoSpaceDN w:val="0"/>
        <w:jc w:val="center"/>
        <w:rPr>
          <w:rFonts w:ascii="宋体" w:hAnsi="宋体" w:cs="宋体"/>
          <w:b/>
          <w:color w:val="auto"/>
          <w:spacing w:val="6"/>
          <w:sz w:val="32"/>
          <w:szCs w:val="32"/>
          <w:highlight w:val="none"/>
        </w:rPr>
      </w:pPr>
    </w:p>
    <w:p w14:paraId="62BE9C5E">
      <w:pPr>
        <w:autoSpaceDE w:val="0"/>
        <w:autoSpaceDN w:val="0"/>
        <w:jc w:val="center"/>
        <w:rPr>
          <w:rFonts w:ascii="宋体" w:hAnsi="宋体" w:cs="宋体"/>
          <w:b/>
          <w:color w:val="auto"/>
          <w:spacing w:val="6"/>
          <w:sz w:val="32"/>
          <w:szCs w:val="32"/>
          <w:highlight w:val="none"/>
        </w:rPr>
      </w:pPr>
    </w:p>
    <w:p w14:paraId="289B7654">
      <w:pPr>
        <w:autoSpaceDE w:val="0"/>
        <w:autoSpaceDN w:val="0"/>
        <w:jc w:val="center"/>
        <w:rPr>
          <w:rFonts w:ascii="宋体" w:hAnsi="宋体" w:cs="宋体"/>
          <w:b/>
          <w:color w:val="auto"/>
          <w:spacing w:val="6"/>
          <w:sz w:val="32"/>
          <w:szCs w:val="32"/>
          <w:highlight w:val="none"/>
        </w:rPr>
      </w:pPr>
    </w:p>
    <w:p w14:paraId="6DB0D225">
      <w:pPr>
        <w:autoSpaceDE w:val="0"/>
        <w:autoSpaceDN w:val="0"/>
        <w:jc w:val="center"/>
        <w:rPr>
          <w:rFonts w:ascii="宋体" w:hAnsi="宋体" w:cs="宋体"/>
          <w:b/>
          <w:color w:val="auto"/>
          <w:spacing w:val="6"/>
          <w:sz w:val="32"/>
          <w:szCs w:val="32"/>
          <w:highlight w:val="none"/>
        </w:rPr>
      </w:pPr>
    </w:p>
    <w:p w14:paraId="7E1039DD">
      <w:pPr>
        <w:autoSpaceDE w:val="0"/>
        <w:autoSpaceDN w:val="0"/>
        <w:jc w:val="center"/>
        <w:rPr>
          <w:rFonts w:ascii="宋体" w:hAnsi="宋体" w:cs="宋体"/>
          <w:b/>
          <w:color w:val="auto"/>
          <w:spacing w:val="6"/>
          <w:sz w:val="32"/>
          <w:szCs w:val="32"/>
          <w:highlight w:val="none"/>
        </w:rPr>
      </w:pPr>
    </w:p>
    <w:p w14:paraId="4295D66A">
      <w:pPr>
        <w:autoSpaceDE w:val="0"/>
        <w:autoSpaceDN w:val="0"/>
        <w:jc w:val="center"/>
        <w:rPr>
          <w:rFonts w:ascii="宋体" w:hAnsi="宋体" w:cs="宋体"/>
          <w:b/>
          <w:color w:val="auto"/>
          <w:spacing w:val="6"/>
          <w:sz w:val="32"/>
          <w:szCs w:val="32"/>
          <w:highlight w:val="none"/>
        </w:rPr>
      </w:pPr>
    </w:p>
    <w:p w14:paraId="20BE049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5952142">
      <w:pPr>
        <w:spacing w:line="360" w:lineRule="auto"/>
        <w:jc w:val="center"/>
        <w:rPr>
          <w:rFonts w:ascii="宋体" w:hAnsi="宋体" w:cs="宋体"/>
          <w:color w:val="auto"/>
          <w:sz w:val="24"/>
          <w:highlight w:val="none"/>
          <w:u w:val="single"/>
        </w:rPr>
      </w:pPr>
    </w:p>
    <w:p w14:paraId="350D94C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5EBA7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8179BD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9D7A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2C73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1152B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B8F98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554504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7D589E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D56DCA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C06E119">
      <w:pPr>
        <w:spacing w:line="360" w:lineRule="auto"/>
        <w:ind w:right="420"/>
        <w:rPr>
          <w:rFonts w:ascii="宋体" w:hAnsi="宋体" w:cs="宋体"/>
          <w:color w:val="auto"/>
          <w:sz w:val="24"/>
          <w:highlight w:val="none"/>
        </w:rPr>
      </w:pPr>
    </w:p>
    <w:p w14:paraId="0A221E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2377CD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951F1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4C48DB">
      <w:pPr>
        <w:pStyle w:val="3"/>
        <w:rPr>
          <w:rFonts w:ascii="宋体" w:hAnsi="宋体" w:eastAsia="宋体" w:cs="宋体"/>
          <w:color w:val="auto"/>
          <w:highlight w:val="none"/>
          <w:lang w:val="en-US"/>
        </w:rPr>
      </w:pPr>
    </w:p>
    <w:p w14:paraId="4F7B9397">
      <w:pPr>
        <w:spacing w:line="360" w:lineRule="auto"/>
        <w:ind w:right="420"/>
        <w:rPr>
          <w:rFonts w:ascii="宋体" w:hAnsi="宋体" w:cs="宋体"/>
          <w:color w:val="auto"/>
          <w:highlight w:val="none"/>
        </w:rPr>
      </w:pPr>
    </w:p>
    <w:p w14:paraId="533A5175">
      <w:pPr>
        <w:spacing w:line="360" w:lineRule="auto"/>
        <w:rPr>
          <w:rFonts w:ascii="宋体" w:hAnsi="宋体" w:cs="宋体"/>
          <w:bCs/>
          <w:color w:val="auto"/>
          <w:sz w:val="24"/>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0F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8E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73863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EF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DE699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CD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1A96008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97D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398A6EF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F895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7198A">
    <w:pPr>
      <w:pStyle w:val="39"/>
      <w:framePr w:wrap="around" w:vAnchor="text" w:hAnchor="margin" w:xAlign="right" w:y="1"/>
      <w:rPr>
        <w:rStyle w:val="73"/>
      </w:rPr>
    </w:pPr>
    <w:r>
      <w:fldChar w:fldCharType="begin"/>
    </w:r>
    <w:r>
      <w:rPr>
        <w:rStyle w:val="73"/>
      </w:rPr>
      <w:instrText xml:space="preserve">PAGE  </w:instrText>
    </w:r>
    <w:r>
      <w:fldChar w:fldCharType="end"/>
    </w:r>
  </w:p>
  <w:p w14:paraId="567473BB">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F82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7" w:name="_Toc91899912"/>
    <w:bookmarkStart w:id="548" w:name="_Toc36110187"/>
    <w:bookmarkStart w:id="549" w:name="_Toc131845147"/>
    <w:bookmarkStart w:id="550" w:name="_Toc164085800"/>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02F7">
    <w:pPr>
      <w:pStyle w:val="39"/>
      <w:framePr w:wrap="around" w:vAnchor="text" w:hAnchor="margin" w:xAlign="right" w:y="1"/>
      <w:rPr>
        <w:rStyle w:val="73"/>
      </w:rPr>
    </w:pPr>
    <w:r>
      <w:fldChar w:fldCharType="begin"/>
    </w:r>
    <w:r>
      <w:rPr>
        <w:rStyle w:val="73"/>
      </w:rPr>
      <w:instrText xml:space="preserve">PAGE  </w:instrText>
    </w:r>
    <w:r>
      <w:fldChar w:fldCharType="end"/>
    </w:r>
  </w:p>
  <w:p w14:paraId="17AE596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22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1B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0A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F4B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71EA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60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20205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CF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0E9E7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75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2AA5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F693">
    <w:pPr>
      <w:pStyle w:val="41"/>
      <w:pBdr>
        <w:bottom w:val="single" w:color="auto" w:sz="6" w:space="4"/>
      </w:pBdr>
      <w:jc w:val="right"/>
    </w:pPr>
    <w:r>
      <w:t></w:t>
    </w:r>
    <w:r>
      <w:rPr>
        <w:rFonts w:hint="eastAsia"/>
      </w:rPr>
      <w:t xml:space="preserve">             </w:t>
    </w:r>
    <w:r>
      <w:t>杭州市政府采购公开招标文件</w:t>
    </w:r>
  </w:p>
  <w:p w14:paraId="686BEC5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679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1935">
    <w:pPr>
      <w:pStyle w:val="41"/>
      <w:jc w:val="right"/>
      <w:rPr>
        <w:rFonts w:ascii="仿宋_GB2312" w:eastAsia="仿宋_GB2312"/>
        <w:b/>
        <w:i/>
        <w:u w:val="single"/>
      </w:rPr>
    </w:pPr>
    <w:r>
      <w:t>杭州市政府采购公开招标文件</w:t>
    </w:r>
  </w:p>
  <w:p w14:paraId="2EB11C90">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A7C4C">
    <w:pPr>
      <w:pStyle w:val="41"/>
      <w:jc w:val="right"/>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A5C1">
    <w:pPr>
      <w:pStyle w:val="41"/>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450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C10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64AA">
    <w:pPr>
      <w:pStyle w:val="41"/>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766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CAD4">
    <w:pPr>
      <w:pStyle w:val="41"/>
      <w:rPr>
        <w:rFonts w:ascii="仿宋_GB2312" w:eastAsia="仿宋_GB2312"/>
        <w:b/>
        <w:i/>
        <w:u w:val="single"/>
      </w:rPr>
    </w:pPr>
    <w:r>
      <w:t></w:t>
    </w:r>
    <w:r>
      <w:rPr>
        <w:rFonts w:hint="eastAsia"/>
      </w:rPr>
      <w:t xml:space="preserve">                                                  </w:t>
    </w:r>
    <w:r>
      <w:t xml:space="preserve">             杭州市政府采购公开招标文件</w:t>
    </w:r>
  </w:p>
  <w:p w14:paraId="495DEDB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685D">
    <w:pPr>
      <w:pStyle w:val="41"/>
    </w:pPr>
    <w:r>
      <w:t></w:t>
    </w:r>
    <w:r>
      <w:rPr>
        <w:rFonts w:hint="eastAsia"/>
      </w:rPr>
      <w:t xml:space="preserve">         </w:t>
    </w:r>
  </w:p>
  <w:p w14:paraId="78B9B1F4">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CA87">
    <w:pPr>
      <w:pStyle w:val="41"/>
      <w:rPr>
        <w:rFonts w:ascii="仿宋_GB2312" w:eastAsia="仿宋_GB2312"/>
        <w:b/>
        <w:i/>
        <w:u w:val="single"/>
      </w:rPr>
    </w:pPr>
    <w:r>
      <w:t></w:t>
    </w:r>
    <w:r>
      <w:rPr>
        <w:rFonts w:hint="eastAsia"/>
      </w:rPr>
      <w:t xml:space="preserve">                                                  </w:t>
    </w:r>
    <w:r>
      <w:t xml:space="preserve">             杭州市政府采购公开招标文件</w:t>
    </w:r>
  </w:p>
  <w:p w14:paraId="21C672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D708">
    <w:pPr>
      <w:pStyle w:val="41"/>
    </w:pPr>
    <w:r>
      <w:t></w:t>
    </w:r>
    <w:r>
      <w:rPr>
        <w:rFonts w:hint="eastAsia"/>
      </w:rPr>
      <w:t xml:space="preserve">         </w:t>
    </w:r>
  </w:p>
  <w:p w14:paraId="091037A2">
    <w:pPr>
      <w:pStyle w:val="41"/>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21AD">
    <w:pPr>
      <w:pStyle w:val="41"/>
      <w:rPr>
        <w:rFonts w:ascii="仿宋_GB2312" w:eastAsia="仿宋_GB2312"/>
        <w:b/>
        <w:i/>
        <w:u w:val="single"/>
      </w:rPr>
    </w:pPr>
    <w:r>
      <w:t></w:t>
    </w:r>
    <w:r>
      <w:rPr>
        <w:rFonts w:hint="eastAsia"/>
      </w:rPr>
      <w:t xml:space="preserve">                                                  </w:t>
    </w:r>
    <w:r>
      <w:t>杭州市政府采购公开招标文件</w:t>
    </w:r>
  </w:p>
  <w:p w14:paraId="18CA68C7">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85A21"/>
    <w:multiLevelType w:val="singleLevel"/>
    <w:tmpl w:val="98085A21"/>
    <w:lvl w:ilvl="0" w:tentative="0">
      <w:start w:val="1"/>
      <w:numFmt w:val="decimal"/>
      <w:suff w:val="nothing"/>
      <w:lvlText w:val="（%1）"/>
      <w:lvlJc w:val="left"/>
    </w:lvl>
  </w:abstractNum>
  <w:abstractNum w:abstractNumId="1">
    <w:nsid w:val="02BD2E26"/>
    <w:multiLevelType w:val="multilevel"/>
    <w:tmpl w:val="02BD2E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B22900"/>
    <w:multiLevelType w:val="multilevel"/>
    <w:tmpl w:val="05B229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DB2837"/>
    <w:multiLevelType w:val="multilevel"/>
    <w:tmpl w:val="11DB28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F2092D"/>
    <w:multiLevelType w:val="multilevel"/>
    <w:tmpl w:val="12F2092D"/>
    <w:lvl w:ilvl="0" w:tentative="0">
      <w:start w:val="1"/>
      <w:numFmt w:val="decimal"/>
      <w:lvlText w:val="%1、"/>
      <w:lvlJc w:val="left"/>
      <w:pPr>
        <w:ind w:left="840"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10E60DC"/>
    <w:multiLevelType w:val="multilevel"/>
    <w:tmpl w:val="210E60DC"/>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264E17"/>
    <w:multiLevelType w:val="multilevel"/>
    <w:tmpl w:val="31264E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E47735"/>
    <w:multiLevelType w:val="multilevel"/>
    <w:tmpl w:val="33E47735"/>
    <w:lvl w:ilvl="0" w:tentative="0">
      <w:start w:val="1"/>
      <w:numFmt w:val="decimal"/>
      <w:lvlText w:val="%1、"/>
      <w:lvlJc w:val="left"/>
      <w:pPr>
        <w:ind w:left="1005" w:hanging="420"/>
      </w:pPr>
      <w:rPr>
        <w:rFonts w:hint="default" w:ascii="宋体" w:hAnsi="宋体" w:eastAsia="宋体"/>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8">
    <w:nsid w:val="35D71722"/>
    <w:multiLevelType w:val="singleLevel"/>
    <w:tmpl w:val="35D71722"/>
    <w:lvl w:ilvl="0" w:tentative="0">
      <w:start w:val="2"/>
      <w:numFmt w:val="chineseCounting"/>
      <w:suff w:val="nothing"/>
      <w:lvlText w:val="%1、"/>
      <w:lvlJc w:val="left"/>
      <w:rPr>
        <w:rFonts w:hint="eastAsia"/>
      </w:rPr>
    </w:lvl>
  </w:abstractNum>
  <w:abstractNum w:abstractNumId="9">
    <w:nsid w:val="41892D21"/>
    <w:multiLevelType w:val="singleLevel"/>
    <w:tmpl w:val="41892D21"/>
    <w:lvl w:ilvl="0" w:tentative="0">
      <w:start w:val="1"/>
      <w:numFmt w:val="decimal"/>
      <w:suff w:val="nothing"/>
      <w:lvlText w:val="（%1）"/>
      <w:lvlJc w:val="left"/>
    </w:lvl>
  </w:abstractNum>
  <w:abstractNum w:abstractNumId="10">
    <w:nsid w:val="47A41440"/>
    <w:multiLevelType w:val="multilevel"/>
    <w:tmpl w:val="47A4144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398EA4"/>
    <w:multiLevelType w:val="singleLevel"/>
    <w:tmpl w:val="4F398EA4"/>
    <w:lvl w:ilvl="0" w:tentative="0">
      <w:start w:val="1"/>
      <w:numFmt w:val="decimal"/>
      <w:lvlText w:val="%1."/>
      <w:lvlJc w:val="left"/>
      <w:pPr>
        <w:tabs>
          <w:tab w:val="left" w:pos="312"/>
        </w:tabs>
      </w:pPr>
    </w:lvl>
  </w:abstractNum>
  <w:abstractNum w:abstractNumId="12">
    <w:nsid w:val="5E3C729D"/>
    <w:multiLevelType w:val="multilevel"/>
    <w:tmpl w:val="5E3C729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CD1549"/>
    <w:multiLevelType w:val="multilevel"/>
    <w:tmpl w:val="78CD1549"/>
    <w:lvl w:ilvl="0" w:tentative="0">
      <w:start w:val="1"/>
      <w:numFmt w:val="decimal"/>
      <w:lvlText w:val="%1、"/>
      <w:lvlJc w:val="left"/>
      <w:pPr>
        <w:ind w:left="1200" w:hanging="360"/>
      </w:pPr>
      <w:rPr>
        <w:rFonts w:hint="default" w:ascii="宋体" w:hAnsi="宋体" w:eastAsia="宋体"/>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7F5FE485"/>
    <w:multiLevelType w:val="singleLevel"/>
    <w:tmpl w:val="7F5FE485"/>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5"/>
  </w:num>
  <w:num w:numId="3">
    <w:abstractNumId w:val="3"/>
  </w:num>
  <w:num w:numId="4">
    <w:abstractNumId w:val="1"/>
  </w:num>
  <w:num w:numId="5">
    <w:abstractNumId w:val="6"/>
  </w:num>
  <w:num w:numId="6">
    <w:abstractNumId w:val="13"/>
  </w:num>
  <w:num w:numId="7">
    <w:abstractNumId w:val="12"/>
  </w:num>
  <w:num w:numId="8">
    <w:abstractNumId w:val="2"/>
  </w:num>
  <w:num w:numId="9">
    <w:abstractNumId w:val="10"/>
  </w:num>
  <w:num w:numId="10">
    <w:abstractNumId w:val="14"/>
  </w:num>
  <w:num w:numId="11">
    <w:abstractNumId w:val="7"/>
  </w:num>
  <w:num w:numId="12">
    <w:abstractNumId w:val="4"/>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E"/>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D7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00C"/>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BE"/>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B5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36F"/>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4E"/>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A9"/>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7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FFE"/>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8B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9AA"/>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3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15F"/>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5814"/>
    <w:rsid w:val="010651D9"/>
    <w:rsid w:val="011F6449"/>
    <w:rsid w:val="01236AFB"/>
    <w:rsid w:val="01770BE5"/>
    <w:rsid w:val="019F7441"/>
    <w:rsid w:val="01B37585"/>
    <w:rsid w:val="01D55165"/>
    <w:rsid w:val="01DF6BF8"/>
    <w:rsid w:val="01E062DA"/>
    <w:rsid w:val="01EC2C57"/>
    <w:rsid w:val="0223495A"/>
    <w:rsid w:val="025F0711"/>
    <w:rsid w:val="026B2E25"/>
    <w:rsid w:val="02824D4D"/>
    <w:rsid w:val="02DC4B10"/>
    <w:rsid w:val="02DD76CE"/>
    <w:rsid w:val="02F36323"/>
    <w:rsid w:val="02F5619C"/>
    <w:rsid w:val="0326446A"/>
    <w:rsid w:val="032D5555"/>
    <w:rsid w:val="034C4FDD"/>
    <w:rsid w:val="036634D2"/>
    <w:rsid w:val="037A38B6"/>
    <w:rsid w:val="03DD35E4"/>
    <w:rsid w:val="04076900"/>
    <w:rsid w:val="040C577C"/>
    <w:rsid w:val="041A5A3B"/>
    <w:rsid w:val="042311BA"/>
    <w:rsid w:val="042B157A"/>
    <w:rsid w:val="04444A58"/>
    <w:rsid w:val="045F0112"/>
    <w:rsid w:val="04671EF4"/>
    <w:rsid w:val="048F763B"/>
    <w:rsid w:val="049F330E"/>
    <w:rsid w:val="04A97F37"/>
    <w:rsid w:val="04AA775C"/>
    <w:rsid w:val="04AF1889"/>
    <w:rsid w:val="04F66F48"/>
    <w:rsid w:val="05251E14"/>
    <w:rsid w:val="053E676B"/>
    <w:rsid w:val="053E6F82"/>
    <w:rsid w:val="0591635B"/>
    <w:rsid w:val="05A16594"/>
    <w:rsid w:val="05A7762D"/>
    <w:rsid w:val="060C7D61"/>
    <w:rsid w:val="060E5941"/>
    <w:rsid w:val="06110FAF"/>
    <w:rsid w:val="06192F53"/>
    <w:rsid w:val="06493CA7"/>
    <w:rsid w:val="065A6178"/>
    <w:rsid w:val="066F1CF3"/>
    <w:rsid w:val="068F4AE6"/>
    <w:rsid w:val="06930BB8"/>
    <w:rsid w:val="06DE46EF"/>
    <w:rsid w:val="07245D42"/>
    <w:rsid w:val="07264C62"/>
    <w:rsid w:val="0779354C"/>
    <w:rsid w:val="07B31491"/>
    <w:rsid w:val="08061376"/>
    <w:rsid w:val="08452D77"/>
    <w:rsid w:val="086401F8"/>
    <w:rsid w:val="08751CAA"/>
    <w:rsid w:val="087E4C40"/>
    <w:rsid w:val="08A74DB3"/>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7FAB"/>
    <w:rsid w:val="09E04166"/>
    <w:rsid w:val="0A1C0718"/>
    <w:rsid w:val="0A3E7710"/>
    <w:rsid w:val="0A4E70E3"/>
    <w:rsid w:val="0A5B7E63"/>
    <w:rsid w:val="0A992F3D"/>
    <w:rsid w:val="0AA374A5"/>
    <w:rsid w:val="0AAB7649"/>
    <w:rsid w:val="0ABC5606"/>
    <w:rsid w:val="0AE9023E"/>
    <w:rsid w:val="0AFA5870"/>
    <w:rsid w:val="0B30404E"/>
    <w:rsid w:val="0B4C6C14"/>
    <w:rsid w:val="0B547599"/>
    <w:rsid w:val="0B631A88"/>
    <w:rsid w:val="0B683D45"/>
    <w:rsid w:val="0B7F3F11"/>
    <w:rsid w:val="0B884417"/>
    <w:rsid w:val="0BAC05C4"/>
    <w:rsid w:val="0BF6188C"/>
    <w:rsid w:val="0BF670F3"/>
    <w:rsid w:val="0BF73C91"/>
    <w:rsid w:val="0C170175"/>
    <w:rsid w:val="0C42280E"/>
    <w:rsid w:val="0C571A41"/>
    <w:rsid w:val="0C5C1171"/>
    <w:rsid w:val="0C5E1CBC"/>
    <w:rsid w:val="0C5F1D30"/>
    <w:rsid w:val="0C615B50"/>
    <w:rsid w:val="0C8445DA"/>
    <w:rsid w:val="0C87121B"/>
    <w:rsid w:val="0C8F5095"/>
    <w:rsid w:val="0CC007F7"/>
    <w:rsid w:val="0CC617AC"/>
    <w:rsid w:val="0CE618DF"/>
    <w:rsid w:val="0CFE707A"/>
    <w:rsid w:val="0D063BDA"/>
    <w:rsid w:val="0D08375F"/>
    <w:rsid w:val="0D184CFB"/>
    <w:rsid w:val="0D4A7419"/>
    <w:rsid w:val="0D5E0013"/>
    <w:rsid w:val="0D827401"/>
    <w:rsid w:val="0D84094E"/>
    <w:rsid w:val="0D8A00E9"/>
    <w:rsid w:val="0D8D589E"/>
    <w:rsid w:val="0DA01C73"/>
    <w:rsid w:val="0DD63300"/>
    <w:rsid w:val="0DF50604"/>
    <w:rsid w:val="0DF702FE"/>
    <w:rsid w:val="0E060E51"/>
    <w:rsid w:val="0E5604B2"/>
    <w:rsid w:val="0E6C4BF2"/>
    <w:rsid w:val="0E6D5D79"/>
    <w:rsid w:val="0E736CF8"/>
    <w:rsid w:val="0E9D0089"/>
    <w:rsid w:val="0EB803EE"/>
    <w:rsid w:val="0EF94D4B"/>
    <w:rsid w:val="0F4958DC"/>
    <w:rsid w:val="0F515DF7"/>
    <w:rsid w:val="0F596BA8"/>
    <w:rsid w:val="0F6248D2"/>
    <w:rsid w:val="0F693536"/>
    <w:rsid w:val="0F7B0511"/>
    <w:rsid w:val="0F7B76D9"/>
    <w:rsid w:val="0F816ACD"/>
    <w:rsid w:val="0F9832DB"/>
    <w:rsid w:val="0FA544B1"/>
    <w:rsid w:val="0FBF3FD2"/>
    <w:rsid w:val="0FBF7FF3"/>
    <w:rsid w:val="0FEE3E24"/>
    <w:rsid w:val="1017261B"/>
    <w:rsid w:val="10646583"/>
    <w:rsid w:val="107D4B15"/>
    <w:rsid w:val="108A3C80"/>
    <w:rsid w:val="10C26171"/>
    <w:rsid w:val="10F33360"/>
    <w:rsid w:val="10FC16EA"/>
    <w:rsid w:val="110F1D40"/>
    <w:rsid w:val="11266F33"/>
    <w:rsid w:val="118963A1"/>
    <w:rsid w:val="11C6522A"/>
    <w:rsid w:val="11E104CC"/>
    <w:rsid w:val="11E20309"/>
    <w:rsid w:val="11EC57E6"/>
    <w:rsid w:val="11F146C7"/>
    <w:rsid w:val="12255233"/>
    <w:rsid w:val="12530213"/>
    <w:rsid w:val="127723A9"/>
    <w:rsid w:val="12781B19"/>
    <w:rsid w:val="12862074"/>
    <w:rsid w:val="12883966"/>
    <w:rsid w:val="129E45B4"/>
    <w:rsid w:val="12D81596"/>
    <w:rsid w:val="13072A44"/>
    <w:rsid w:val="135F4BE2"/>
    <w:rsid w:val="138F102D"/>
    <w:rsid w:val="13991C3A"/>
    <w:rsid w:val="139B1A0A"/>
    <w:rsid w:val="139D25C7"/>
    <w:rsid w:val="13BF3CE4"/>
    <w:rsid w:val="141008D8"/>
    <w:rsid w:val="14125FE6"/>
    <w:rsid w:val="146D271E"/>
    <w:rsid w:val="149604CF"/>
    <w:rsid w:val="14982588"/>
    <w:rsid w:val="149A5AD9"/>
    <w:rsid w:val="14A7619D"/>
    <w:rsid w:val="14BA63BA"/>
    <w:rsid w:val="150536C3"/>
    <w:rsid w:val="150C1963"/>
    <w:rsid w:val="151447A0"/>
    <w:rsid w:val="154A6454"/>
    <w:rsid w:val="15762120"/>
    <w:rsid w:val="15951AF4"/>
    <w:rsid w:val="15B85844"/>
    <w:rsid w:val="15D36BAF"/>
    <w:rsid w:val="16142EF9"/>
    <w:rsid w:val="162437A1"/>
    <w:rsid w:val="162C08A7"/>
    <w:rsid w:val="16A8729C"/>
    <w:rsid w:val="16B33777"/>
    <w:rsid w:val="16BC70A7"/>
    <w:rsid w:val="16C6339E"/>
    <w:rsid w:val="17095787"/>
    <w:rsid w:val="172F2D79"/>
    <w:rsid w:val="17557BEF"/>
    <w:rsid w:val="17BF54C2"/>
    <w:rsid w:val="17D349C1"/>
    <w:rsid w:val="1801216D"/>
    <w:rsid w:val="1830729E"/>
    <w:rsid w:val="1870062C"/>
    <w:rsid w:val="18817102"/>
    <w:rsid w:val="18830A15"/>
    <w:rsid w:val="18852B28"/>
    <w:rsid w:val="188B5321"/>
    <w:rsid w:val="190D52B9"/>
    <w:rsid w:val="19932372"/>
    <w:rsid w:val="19A20DD5"/>
    <w:rsid w:val="19AE03F1"/>
    <w:rsid w:val="19B73CA4"/>
    <w:rsid w:val="1A071A03"/>
    <w:rsid w:val="1A0C4F34"/>
    <w:rsid w:val="1A1F16AE"/>
    <w:rsid w:val="1A3B5C77"/>
    <w:rsid w:val="1A984BAD"/>
    <w:rsid w:val="1AAB1AE4"/>
    <w:rsid w:val="1AB8220E"/>
    <w:rsid w:val="1AE4166C"/>
    <w:rsid w:val="1AF06CFB"/>
    <w:rsid w:val="1AF11B8D"/>
    <w:rsid w:val="1B11359C"/>
    <w:rsid w:val="1B2A271F"/>
    <w:rsid w:val="1B4D379A"/>
    <w:rsid w:val="1B530544"/>
    <w:rsid w:val="1B713184"/>
    <w:rsid w:val="1BA209CF"/>
    <w:rsid w:val="1BB4777D"/>
    <w:rsid w:val="1BD75AB8"/>
    <w:rsid w:val="1BDC6C0C"/>
    <w:rsid w:val="1C0459C2"/>
    <w:rsid w:val="1C1B3B4A"/>
    <w:rsid w:val="1C69015F"/>
    <w:rsid w:val="1C69642C"/>
    <w:rsid w:val="1C88086E"/>
    <w:rsid w:val="1CDF6BA5"/>
    <w:rsid w:val="1D266CE1"/>
    <w:rsid w:val="1D3963AF"/>
    <w:rsid w:val="1D6A673C"/>
    <w:rsid w:val="1D743326"/>
    <w:rsid w:val="1D7F664B"/>
    <w:rsid w:val="1D9247AE"/>
    <w:rsid w:val="1DB567EC"/>
    <w:rsid w:val="1DF51A98"/>
    <w:rsid w:val="1E3D060F"/>
    <w:rsid w:val="1E3F7D2E"/>
    <w:rsid w:val="1E4134E4"/>
    <w:rsid w:val="1E4B0A1C"/>
    <w:rsid w:val="1E5062B3"/>
    <w:rsid w:val="1E523514"/>
    <w:rsid w:val="1E714A66"/>
    <w:rsid w:val="1E802593"/>
    <w:rsid w:val="1E8B6156"/>
    <w:rsid w:val="1EA703CC"/>
    <w:rsid w:val="1EB7330C"/>
    <w:rsid w:val="1EDB03EF"/>
    <w:rsid w:val="1F0A0FF3"/>
    <w:rsid w:val="1F1200F0"/>
    <w:rsid w:val="1F5771FF"/>
    <w:rsid w:val="1F6B68E4"/>
    <w:rsid w:val="1F751511"/>
    <w:rsid w:val="1F7C3220"/>
    <w:rsid w:val="1FD52DD5"/>
    <w:rsid w:val="1FE868A9"/>
    <w:rsid w:val="20034907"/>
    <w:rsid w:val="20173E4B"/>
    <w:rsid w:val="204E48BC"/>
    <w:rsid w:val="208921B3"/>
    <w:rsid w:val="20973DEB"/>
    <w:rsid w:val="20B26522"/>
    <w:rsid w:val="20B44310"/>
    <w:rsid w:val="211116EB"/>
    <w:rsid w:val="213B60F9"/>
    <w:rsid w:val="216133FC"/>
    <w:rsid w:val="217031E3"/>
    <w:rsid w:val="21D56769"/>
    <w:rsid w:val="21E52EF3"/>
    <w:rsid w:val="21FB5D7B"/>
    <w:rsid w:val="22015E94"/>
    <w:rsid w:val="220B1C3D"/>
    <w:rsid w:val="221D1D20"/>
    <w:rsid w:val="22334A87"/>
    <w:rsid w:val="22432B86"/>
    <w:rsid w:val="224668E9"/>
    <w:rsid w:val="226D06CE"/>
    <w:rsid w:val="229D4C44"/>
    <w:rsid w:val="22BE6801"/>
    <w:rsid w:val="231F31B9"/>
    <w:rsid w:val="233500BF"/>
    <w:rsid w:val="23377FF7"/>
    <w:rsid w:val="236B425F"/>
    <w:rsid w:val="23836192"/>
    <w:rsid w:val="23901F29"/>
    <w:rsid w:val="239C0061"/>
    <w:rsid w:val="23B908A4"/>
    <w:rsid w:val="23E95BEF"/>
    <w:rsid w:val="23FD0064"/>
    <w:rsid w:val="245115A1"/>
    <w:rsid w:val="245375B0"/>
    <w:rsid w:val="24642C0A"/>
    <w:rsid w:val="24AA72FC"/>
    <w:rsid w:val="24B22173"/>
    <w:rsid w:val="24B95AD9"/>
    <w:rsid w:val="24BE24DA"/>
    <w:rsid w:val="24C41BA9"/>
    <w:rsid w:val="24CF5825"/>
    <w:rsid w:val="24D663E6"/>
    <w:rsid w:val="24D77F2B"/>
    <w:rsid w:val="24DD6DCA"/>
    <w:rsid w:val="256A4F48"/>
    <w:rsid w:val="258B00E2"/>
    <w:rsid w:val="25A917A6"/>
    <w:rsid w:val="25BE27CC"/>
    <w:rsid w:val="25F74A5C"/>
    <w:rsid w:val="26075479"/>
    <w:rsid w:val="2628662C"/>
    <w:rsid w:val="262D45DE"/>
    <w:rsid w:val="263874D5"/>
    <w:rsid w:val="26871DC8"/>
    <w:rsid w:val="26A53EF9"/>
    <w:rsid w:val="26A94201"/>
    <w:rsid w:val="26AC274F"/>
    <w:rsid w:val="27044A29"/>
    <w:rsid w:val="271D34C8"/>
    <w:rsid w:val="276142BF"/>
    <w:rsid w:val="277161B0"/>
    <w:rsid w:val="27783712"/>
    <w:rsid w:val="27907362"/>
    <w:rsid w:val="28333E1D"/>
    <w:rsid w:val="28454BD6"/>
    <w:rsid w:val="28455253"/>
    <w:rsid w:val="284D4281"/>
    <w:rsid w:val="28551971"/>
    <w:rsid w:val="285B1C53"/>
    <w:rsid w:val="28817B2E"/>
    <w:rsid w:val="289F7086"/>
    <w:rsid w:val="28C32028"/>
    <w:rsid w:val="28C6171D"/>
    <w:rsid w:val="28CC490F"/>
    <w:rsid w:val="28DE40AA"/>
    <w:rsid w:val="29345E77"/>
    <w:rsid w:val="294C65AD"/>
    <w:rsid w:val="29697FBD"/>
    <w:rsid w:val="29806583"/>
    <w:rsid w:val="298B3C4C"/>
    <w:rsid w:val="29F26D24"/>
    <w:rsid w:val="2A15033F"/>
    <w:rsid w:val="2A1662C1"/>
    <w:rsid w:val="2A1C7367"/>
    <w:rsid w:val="2A2815FA"/>
    <w:rsid w:val="2A6D6092"/>
    <w:rsid w:val="2A7D76B4"/>
    <w:rsid w:val="2A8F41A9"/>
    <w:rsid w:val="2ABA4569"/>
    <w:rsid w:val="2AFA4F97"/>
    <w:rsid w:val="2B437463"/>
    <w:rsid w:val="2B7807EE"/>
    <w:rsid w:val="2B9D7F2B"/>
    <w:rsid w:val="2BA50BF7"/>
    <w:rsid w:val="2BBF00EC"/>
    <w:rsid w:val="2BC37CFD"/>
    <w:rsid w:val="2BD5237F"/>
    <w:rsid w:val="2BE536CE"/>
    <w:rsid w:val="2BE758D9"/>
    <w:rsid w:val="2C09049E"/>
    <w:rsid w:val="2C0A653C"/>
    <w:rsid w:val="2C191F85"/>
    <w:rsid w:val="2C8E13B8"/>
    <w:rsid w:val="2CE82D6F"/>
    <w:rsid w:val="2D343236"/>
    <w:rsid w:val="2D76092E"/>
    <w:rsid w:val="2DAD7C94"/>
    <w:rsid w:val="2DD15014"/>
    <w:rsid w:val="2DF72DE4"/>
    <w:rsid w:val="2E0220AF"/>
    <w:rsid w:val="2E3B679B"/>
    <w:rsid w:val="2E4B082A"/>
    <w:rsid w:val="2E5D4E86"/>
    <w:rsid w:val="2E5D790B"/>
    <w:rsid w:val="2E9A3C18"/>
    <w:rsid w:val="2EBB0FEE"/>
    <w:rsid w:val="2EC63002"/>
    <w:rsid w:val="2F0A6B38"/>
    <w:rsid w:val="2F233137"/>
    <w:rsid w:val="2F2D3E5B"/>
    <w:rsid w:val="2F305F9D"/>
    <w:rsid w:val="2F436F36"/>
    <w:rsid w:val="2F946CCB"/>
    <w:rsid w:val="2F9C2783"/>
    <w:rsid w:val="2FD25781"/>
    <w:rsid w:val="2FDC745C"/>
    <w:rsid w:val="2FFD7934"/>
    <w:rsid w:val="30430644"/>
    <w:rsid w:val="30733ACD"/>
    <w:rsid w:val="308C3862"/>
    <w:rsid w:val="309379D8"/>
    <w:rsid w:val="309B028F"/>
    <w:rsid w:val="30A270F7"/>
    <w:rsid w:val="30DF1478"/>
    <w:rsid w:val="30EC586F"/>
    <w:rsid w:val="310402C4"/>
    <w:rsid w:val="314550B7"/>
    <w:rsid w:val="3159659D"/>
    <w:rsid w:val="319C6071"/>
    <w:rsid w:val="31A22367"/>
    <w:rsid w:val="31A572D3"/>
    <w:rsid w:val="31AC537E"/>
    <w:rsid w:val="31B32978"/>
    <w:rsid w:val="31D87805"/>
    <w:rsid w:val="31E3679B"/>
    <w:rsid w:val="31E623A7"/>
    <w:rsid w:val="31E732FD"/>
    <w:rsid w:val="31F44517"/>
    <w:rsid w:val="31F73262"/>
    <w:rsid w:val="32517576"/>
    <w:rsid w:val="32BE5C2C"/>
    <w:rsid w:val="32C37A7B"/>
    <w:rsid w:val="32FB6478"/>
    <w:rsid w:val="33263B3F"/>
    <w:rsid w:val="33264770"/>
    <w:rsid w:val="336412AD"/>
    <w:rsid w:val="33650D05"/>
    <w:rsid w:val="336963EB"/>
    <w:rsid w:val="33816EEB"/>
    <w:rsid w:val="338D56D6"/>
    <w:rsid w:val="33D628DE"/>
    <w:rsid w:val="33E4599C"/>
    <w:rsid w:val="33EB55CD"/>
    <w:rsid w:val="33EC4C02"/>
    <w:rsid w:val="340D2360"/>
    <w:rsid w:val="3410665D"/>
    <w:rsid w:val="341D5FA7"/>
    <w:rsid w:val="34211214"/>
    <w:rsid w:val="342E63AB"/>
    <w:rsid w:val="34950E68"/>
    <w:rsid w:val="34986E94"/>
    <w:rsid w:val="34AF62C9"/>
    <w:rsid w:val="34B54432"/>
    <w:rsid w:val="34CB4388"/>
    <w:rsid w:val="34D04AFF"/>
    <w:rsid w:val="34FA6E12"/>
    <w:rsid w:val="350C7659"/>
    <w:rsid w:val="354D7158"/>
    <w:rsid w:val="35754927"/>
    <w:rsid w:val="358D5588"/>
    <w:rsid w:val="35962299"/>
    <w:rsid w:val="363A3B40"/>
    <w:rsid w:val="365302AE"/>
    <w:rsid w:val="36607A0A"/>
    <w:rsid w:val="366C6B83"/>
    <w:rsid w:val="366E227C"/>
    <w:rsid w:val="366F2E0D"/>
    <w:rsid w:val="367B6A5C"/>
    <w:rsid w:val="36A74ADA"/>
    <w:rsid w:val="36A75FFC"/>
    <w:rsid w:val="36AD60D5"/>
    <w:rsid w:val="36B224F9"/>
    <w:rsid w:val="36C15832"/>
    <w:rsid w:val="36EC0CC9"/>
    <w:rsid w:val="373F410B"/>
    <w:rsid w:val="374665F0"/>
    <w:rsid w:val="37EE7094"/>
    <w:rsid w:val="38296C89"/>
    <w:rsid w:val="383002EB"/>
    <w:rsid w:val="38586797"/>
    <w:rsid w:val="38713BA5"/>
    <w:rsid w:val="38BC0149"/>
    <w:rsid w:val="38D87D1C"/>
    <w:rsid w:val="392E4524"/>
    <w:rsid w:val="39636459"/>
    <w:rsid w:val="396B7F6C"/>
    <w:rsid w:val="39B417A9"/>
    <w:rsid w:val="39D42649"/>
    <w:rsid w:val="39FC5695"/>
    <w:rsid w:val="3A006D8E"/>
    <w:rsid w:val="3A2C77DE"/>
    <w:rsid w:val="3A3651E5"/>
    <w:rsid w:val="3A744481"/>
    <w:rsid w:val="3A8C7BEF"/>
    <w:rsid w:val="3A906246"/>
    <w:rsid w:val="3A913AF9"/>
    <w:rsid w:val="3AD454FD"/>
    <w:rsid w:val="3B0477CA"/>
    <w:rsid w:val="3B1654FE"/>
    <w:rsid w:val="3B2349B7"/>
    <w:rsid w:val="3B616CFF"/>
    <w:rsid w:val="3B6259F6"/>
    <w:rsid w:val="3B7A7949"/>
    <w:rsid w:val="3B976654"/>
    <w:rsid w:val="3BB54D17"/>
    <w:rsid w:val="3BC01EFC"/>
    <w:rsid w:val="3BCA786A"/>
    <w:rsid w:val="3BD31E2F"/>
    <w:rsid w:val="3BF15831"/>
    <w:rsid w:val="3C105946"/>
    <w:rsid w:val="3C471448"/>
    <w:rsid w:val="3C5F759A"/>
    <w:rsid w:val="3C6C525A"/>
    <w:rsid w:val="3CAC4122"/>
    <w:rsid w:val="3CCE23CB"/>
    <w:rsid w:val="3CD17D17"/>
    <w:rsid w:val="3D3C7F39"/>
    <w:rsid w:val="3D440F09"/>
    <w:rsid w:val="3D4504A0"/>
    <w:rsid w:val="3D7D503A"/>
    <w:rsid w:val="3D8734BB"/>
    <w:rsid w:val="3D9A11D4"/>
    <w:rsid w:val="3DA16D89"/>
    <w:rsid w:val="3DA364BE"/>
    <w:rsid w:val="3DBA6615"/>
    <w:rsid w:val="3DE041CB"/>
    <w:rsid w:val="3DE25B6C"/>
    <w:rsid w:val="3E0D48F6"/>
    <w:rsid w:val="3E1868B4"/>
    <w:rsid w:val="3E377251"/>
    <w:rsid w:val="3E42664B"/>
    <w:rsid w:val="3E5A7334"/>
    <w:rsid w:val="3E7B5D6B"/>
    <w:rsid w:val="3E843E66"/>
    <w:rsid w:val="3E8F51FE"/>
    <w:rsid w:val="3E926F87"/>
    <w:rsid w:val="3E9A59DE"/>
    <w:rsid w:val="3EAF4836"/>
    <w:rsid w:val="3EC33DFA"/>
    <w:rsid w:val="3ECA3C16"/>
    <w:rsid w:val="3ECF696C"/>
    <w:rsid w:val="3F060E16"/>
    <w:rsid w:val="3F1D1096"/>
    <w:rsid w:val="3F2F0234"/>
    <w:rsid w:val="3F603A0E"/>
    <w:rsid w:val="3F6363FE"/>
    <w:rsid w:val="3F703CB4"/>
    <w:rsid w:val="3F756B8F"/>
    <w:rsid w:val="3F7F5DB9"/>
    <w:rsid w:val="3F95482B"/>
    <w:rsid w:val="4019356B"/>
    <w:rsid w:val="40592157"/>
    <w:rsid w:val="406E1CAE"/>
    <w:rsid w:val="408B24EB"/>
    <w:rsid w:val="40A0133A"/>
    <w:rsid w:val="40C31A53"/>
    <w:rsid w:val="40DD7D7F"/>
    <w:rsid w:val="40FF545D"/>
    <w:rsid w:val="410067C8"/>
    <w:rsid w:val="418F0D2A"/>
    <w:rsid w:val="41BE575B"/>
    <w:rsid w:val="41D01505"/>
    <w:rsid w:val="420041E5"/>
    <w:rsid w:val="42474939"/>
    <w:rsid w:val="424C3C57"/>
    <w:rsid w:val="42613FF3"/>
    <w:rsid w:val="42660D96"/>
    <w:rsid w:val="4284574D"/>
    <w:rsid w:val="428667D2"/>
    <w:rsid w:val="42CD1CE0"/>
    <w:rsid w:val="42E1381E"/>
    <w:rsid w:val="42ED6459"/>
    <w:rsid w:val="42FE58DD"/>
    <w:rsid w:val="42FF6B09"/>
    <w:rsid w:val="43174B3D"/>
    <w:rsid w:val="434B790E"/>
    <w:rsid w:val="4360274F"/>
    <w:rsid w:val="43977AB6"/>
    <w:rsid w:val="43A3342B"/>
    <w:rsid w:val="43C77C27"/>
    <w:rsid w:val="43DE09EE"/>
    <w:rsid w:val="43F313DA"/>
    <w:rsid w:val="44002FAD"/>
    <w:rsid w:val="440679B4"/>
    <w:rsid w:val="441B1DD7"/>
    <w:rsid w:val="449101DD"/>
    <w:rsid w:val="44DE1391"/>
    <w:rsid w:val="44EE3048"/>
    <w:rsid w:val="44FB7529"/>
    <w:rsid w:val="451B225C"/>
    <w:rsid w:val="452410C9"/>
    <w:rsid w:val="45317DFB"/>
    <w:rsid w:val="456D3CE4"/>
    <w:rsid w:val="4579042C"/>
    <w:rsid w:val="457F0571"/>
    <w:rsid w:val="45851176"/>
    <w:rsid w:val="45A20341"/>
    <w:rsid w:val="45C63B94"/>
    <w:rsid w:val="460E7DA5"/>
    <w:rsid w:val="46422483"/>
    <w:rsid w:val="4659254A"/>
    <w:rsid w:val="465B0637"/>
    <w:rsid w:val="465E3F0D"/>
    <w:rsid w:val="466A16E6"/>
    <w:rsid w:val="46893F2B"/>
    <w:rsid w:val="46C4686E"/>
    <w:rsid w:val="477B778F"/>
    <w:rsid w:val="478203EC"/>
    <w:rsid w:val="478975D0"/>
    <w:rsid w:val="479742A9"/>
    <w:rsid w:val="47B025FA"/>
    <w:rsid w:val="47CD5197"/>
    <w:rsid w:val="47DB3D58"/>
    <w:rsid w:val="4809698F"/>
    <w:rsid w:val="4811697D"/>
    <w:rsid w:val="487A3E25"/>
    <w:rsid w:val="488B5503"/>
    <w:rsid w:val="48937E21"/>
    <w:rsid w:val="489A0361"/>
    <w:rsid w:val="48B94FF3"/>
    <w:rsid w:val="48BE3C47"/>
    <w:rsid w:val="48E37AAB"/>
    <w:rsid w:val="48FD4B4C"/>
    <w:rsid w:val="490A68E0"/>
    <w:rsid w:val="491055FE"/>
    <w:rsid w:val="49343252"/>
    <w:rsid w:val="49352934"/>
    <w:rsid w:val="495F5B3E"/>
    <w:rsid w:val="496F77D7"/>
    <w:rsid w:val="497654FD"/>
    <w:rsid w:val="49B64211"/>
    <w:rsid w:val="49E56AF9"/>
    <w:rsid w:val="49F6167F"/>
    <w:rsid w:val="4A064FA0"/>
    <w:rsid w:val="4A0D2D7F"/>
    <w:rsid w:val="4A16615C"/>
    <w:rsid w:val="4A4424D7"/>
    <w:rsid w:val="4AB82D0F"/>
    <w:rsid w:val="4AEB7664"/>
    <w:rsid w:val="4AFD7C19"/>
    <w:rsid w:val="4B0567D1"/>
    <w:rsid w:val="4B236AAE"/>
    <w:rsid w:val="4B65492A"/>
    <w:rsid w:val="4B707271"/>
    <w:rsid w:val="4B9739F7"/>
    <w:rsid w:val="4BEE2503"/>
    <w:rsid w:val="4C0F52CE"/>
    <w:rsid w:val="4C245A30"/>
    <w:rsid w:val="4CB6685F"/>
    <w:rsid w:val="4CC367FE"/>
    <w:rsid w:val="4CF56CB8"/>
    <w:rsid w:val="4D077F3C"/>
    <w:rsid w:val="4D123355"/>
    <w:rsid w:val="4D2A3B31"/>
    <w:rsid w:val="4D312C52"/>
    <w:rsid w:val="4D317F76"/>
    <w:rsid w:val="4D6660AE"/>
    <w:rsid w:val="4D8409ED"/>
    <w:rsid w:val="4D905305"/>
    <w:rsid w:val="4D964A72"/>
    <w:rsid w:val="4D9C1254"/>
    <w:rsid w:val="4DC34337"/>
    <w:rsid w:val="4DEC49CE"/>
    <w:rsid w:val="4DF94157"/>
    <w:rsid w:val="4E75559D"/>
    <w:rsid w:val="4E793892"/>
    <w:rsid w:val="4E800872"/>
    <w:rsid w:val="4EC569ED"/>
    <w:rsid w:val="4ED50EA1"/>
    <w:rsid w:val="4EEC050C"/>
    <w:rsid w:val="4F104EC3"/>
    <w:rsid w:val="4F47354A"/>
    <w:rsid w:val="4F6D4A83"/>
    <w:rsid w:val="4F911C54"/>
    <w:rsid w:val="4F94016E"/>
    <w:rsid w:val="4FE625E0"/>
    <w:rsid w:val="5021480F"/>
    <w:rsid w:val="50962ECB"/>
    <w:rsid w:val="50A42E38"/>
    <w:rsid w:val="50A4577F"/>
    <w:rsid w:val="50B73D1F"/>
    <w:rsid w:val="50BD5BC9"/>
    <w:rsid w:val="50C11EEE"/>
    <w:rsid w:val="50E97CFC"/>
    <w:rsid w:val="50FA4028"/>
    <w:rsid w:val="510D65B7"/>
    <w:rsid w:val="511157AB"/>
    <w:rsid w:val="512A0B7F"/>
    <w:rsid w:val="5142540C"/>
    <w:rsid w:val="5180209C"/>
    <w:rsid w:val="518832C8"/>
    <w:rsid w:val="519D3C50"/>
    <w:rsid w:val="51A0432A"/>
    <w:rsid w:val="51A86090"/>
    <w:rsid w:val="51B7396D"/>
    <w:rsid w:val="522E4CC3"/>
    <w:rsid w:val="52383635"/>
    <w:rsid w:val="5244713B"/>
    <w:rsid w:val="524C7BA8"/>
    <w:rsid w:val="52615633"/>
    <w:rsid w:val="526F4DE4"/>
    <w:rsid w:val="527C1EF3"/>
    <w:rsid w:val="52977FD4"/>
    <w:rsid w:val="52A25790"/>
    <w:rsid w:val="52A96B6F"/>
    <w:rsid w:val="52B45975"/>
    <w:rsid w:val="52C84ED8"/>
    <w:rsid w:val="52D94AA4"/>
    <w:rsid w:val="52EA3A62"/>
    <w:rsid w:val="52F50BB8"/>
    <w:rsid w:val="53097272"/>
    <w:rsid w:val="53192F96"/>
    <w:rsid w:val="532A001F"/>
    <w:rsid w:val="53544462"/>
    <w:rsid w:val="5397158E"/>
    <w:rsid w:val="54013861"/>
    <w:rsid w:val="54234D02"/>
    <w:rsid w:val="543A0C4C"/>
    <w:rsid w:val="54487265"/>
    <w:rsid w:val="544D6070"/>
    <w:rsid w:val="54605E1E"/>
    <w:rsid w:val="547F157E"/>
    <w:rsid w:val="54B3506A"/>
    <w:rsid w:val="54CA0D16"/>
    <w:rsid w:val="54DD4057"/>
    <w:rsid w:val="54E7490F"/>
    <w:rsid w:val="54F46459"/>
    <w:rsid w:val="550764A4"/>
    <w:rsid w:val="550B2BF6"/>
    <w:rsid w:val="55214EB5"/>
    <w:rsid w:val="55364EFD"/>
    <w:rsid w:val="555D4828"/>
    <w:rsid w:val="557A4C8B"/>
    <w:rsid w:val="558931E1"/>
    <w:rsid w:val="55923347"/>
    <w:rsid w:val="55925180"/>
    <w:rsid w:val="55937798"/>
    <w:rsid w:val="55983B1B"/>
    <w:rsid w:val="559D0773"/>
    <w:rsid w:val="55A8376B"/>
    <w:rsid w:val="55DC29B6"/>
    <w:rsid w:val="55DD4241"/>
    <w:rsid w:val="55FC7C9A"/>
    <w:rsid w:val="566B6D1E"/>
    <w:rsid w:val="5699007F"/>
    <w:rsid w:val="57032A2C"/>
    <w:rsid w:val="570F5219"/>
    <w:rsid w:val="575D12B5"/>
    <w:rsid w:val="57610A87"/>
    <w:rsid w:val="577562DD"/>
    <w:rsid w:val="577A0392"/>
    <w:rsid w:val="577B1140"/>
    <w:rsid w:val="577B7F21"/>
    <w:rsid w:val="577F181B"/>
    <w:rsid w:val="57921984"/>
    <w:rsid w:val="579737F0"/>
    <w:rsid w:val="57AB7B30"/>
    <w:rsid w:val="57AF5251"/>
    <w:rsid w:val="57B26373"/>
    <w:rsid w:val="57B63F04"/>
    <w:rsid w:val="57CD20C2"/>
    <w:rsid w:val="57D675AB"/>
    <w:rsid w:val="57D95FDD"/>
    <w:rsid w:val="587850B6"/>
    <w:rsid w:val="58917D2F"/>
    <w:rsid w:val="5894085C"/>
    <w:rsid w:val="58AE4F0C"/>
    <w:rsid w:val="58B85899"/>
    <w:rsid w:val="58E363A9"/>
    <w:rsid w:val="594A4899"/>
    <w:rsid w:val="595E1678"/>
    <w:rsid w:val="596D5BD4"/>
    <w:rsid w:val="597E3DD8"/>
    <w:rsid w:val="59F80043"/>
    <w:rsid w:val="5A09252F"/>
    <w:rsid w:val="5A0B2778"/>
    <w:rsid w:val="5A2A7C7B"/>
    <w:rsid w:val="5A38010A"/>
    <w:rsid w:val="5A3E2560"/>
    <w:rsid w:val="5A5D3B6E"/>
    <w:rsid w:val="5A637A76"/>
    <w:rsid w:val="5A64200A"/>
    <w:rsid w:val="5A6D33BA"/>
    <w:rsid w:val="5A792B1F"/>
    <w:rsid w:val="5A874767"/>
    <w:rsid w:val="5AA85BE2"/>
    <w:rsid w:val="5AAD6F28"/>
    <w:rsid w:val="5AD63A24"/>
    <w:rsid w:val="5B2E1A1D"/>
    <w:rsid w:val="5B726329"/>
    <w:rsid w:val="5B843A1C"/>
    <w:rsid w:val="5B873E3F"/>
    <w:rsid w:val="5C02690E"/>
    <w:rsid w:val="5C196DA7"/>
    <w:rsid w:val="5C2A048C"/>
    <w:rsid w:val="5C2C66E3"/>
    <w:rsid w:val="5C612F3B"/>
    <w:rsid w:val="5C80234E"/>
    <w:rsid w:val="5C8A680C"/>
    <w:rsid w:val="5CD16B1C"/>
    <w:rsid w:val="5D0C4701"/>
    <w:rsid w:val="5D0F0395"/>
    <w:rsid w:val="5D221076"/>
    <w:rsid w:val="5D397964"/>
    <w:rsid w:val="5D5A391C"/>
    <w:rsid w:val="5D5F10C0"/>
    <w:rsid w:val="5D891B7B"/>
    <w:rsid w:val="5DAD38EE"/>
    <w:rsid w:val="5E006862"/>
    <w:rsid w:val="5E0207B9"/>
    <w:rsid w:val="5E1834A1"/>
    <w:rsid w:val="5E261785"/>
    <w:rsid w:val="5E2D6537"/>
    <w:rsid w:val="5E4A7017"/>
    <w:rsid w:val="5E552BBA"/>
    <w:rsid w:val="5E611C10"/>
    <w:rsid w:val="5E725E63"/>
    <w:rsid w:val="5E7A0F3F"/>
    <w:rsid w:val="5E8E75D2"/>
    <w:rsid w:val="5EFC7377"/>
    <w:rsid w:val="5F06174D"/>
    <w:rsid w:val="5F3A3602"/>
    <w:rsid w:val="5F45733B"/>
    <w:rsid w:val="5F6277C6"/>
    <w:rsid w:val="5F6D0B1D"/>
    <w:rsid w:val="5F8D0B82"/>
    <w:rsid w:val="5FCC5339"/>
    <w:rsid w:val="5FE34A5B"/>
    <w:rsid w:val="5FFE1E36"/>
    <w:rsid w:val="60232584"/>
    <w:rsid w:val="607330CE"/>
    <w:rsid w:val="607524C7"/>
    <w:rsid w:val="60825176"/>
    <w:rsid w:val="609F2AC4"/>
    <w:rsid w:val="60A87C3C"/>
    <w:rsid w:val="60FA2EE8"/>
    <w:rsid w:val="60FC0DF8"/>
    <w:rsid w:val="61054A27"/>
    <w:rsid w:val="610A52BC"/>
    <w:rsid w:val="610E08A2"/>
    <w:rsid w:val="611D2366"/>
    <w:rsid w:val="61421856"/>
    <w:rsid w:val="615227C4"/>
    <w:rsid w:val="61654E3F"/>
    <w:rsid w:val="6182292A"/>
    <w:rsid w:val="619F7F92"/>
    <w:rsid w:val="61F94C26"/>
    <w:rsid w:val="62000E56"/>
    <w:rsid w:val="62155407"/>
    <w:rsid w:val="624F3E49"/>
    <w:rsid w:val="62632286"/>
    <w:rsid w:val="62885958"/>
    <w:rsid w:val="62B5259D"/>
    <w:rsid w:val="62F40B65"/>
    <w:rsid w:val="62FC2CFE"/>
    <w:rsid w:val="63024505"/>
    <w:rsid w:val="634B193A"/>
    <w:rsid w:val="635600A5"/>
    <w:rsid w:val="635B1DB5"/>
    <w:rsid w:val="63711FED"/>
    <w:rsid w:val="63880DDC"/>
    <w:rsid w:val="638D750D"/>
    <w:rsid w:val="63972DD1"/>
    <w:rsid w:val="63AC6CC0"/>
    <w:rsid w:val="63E5113D"/>
    <w:rsid w:val="64055776"/>
    <w:rsid w:val="64240056"/>
    <w:rsid w:val="643E143A"/>
    <w:rsid w:val="64491666"/>
    <w:rsid w:val="64684DAF"/>
    <w:rsid w:val="648B6EEF"/>
    <w:rsid w:val="64C158BF"/>
    <w:rsid w:val="64CE2EAA"/>
    <w:rsid w:val="653C3090"/>
    <w:rsid w:val="655373A1"/>
    <w:rsid w:val="65854376"/>
    <w:rsid w:val="658767BE"/>
    <w:rsid w:val="65892531"/>
    <w:rsid w:val="66195831"/>
    <w:rsid w:val="662E75B1"/>
    <w:rsid w:val="66342C2E"/>
    <w:rsid w:val="663E784C"/>
    <w:rsid w:val="668B6A45"/>
    <w:rsid w:val="67011F07"/>
    <w:rsid w:val="672F3F24"/>
    <w:rsid w:val="673E055F"/>
    <w:rsid w:val="67485C3E"/>
    <w:rsid w:val="67551CE3"/>
    <w:rsid w:val="6762460A"/>
    <w:rsid w:val="67A22552"/>
    <w:rsid w:val="67AB6E4B"/>
    <w:rsid w:val="67B22DCC"/>
    <w:rsid w:val="67B971F6"/>
    <w:rsid w:val="67BE71AA"/>
    <w:rsid w:val="67D90273"/>
    <w:rsid w:val="67DE5875"/>
    <w:rsid w:val="67E55852"/>
    <w:rsid w:val="67EB1AB4"/>
    <w:rsid w:val="67FA1285"/>
    <w:rsid w:val="68551F4F"/>
    <w:rsid w:val="686B412C"/>
    <w:rsid w:val="68701E42"/>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012EB"/>
    <w:rsid w:val="6AE94F70"/>
    <w:rsid w:val="6AE96859"/>
    <w:rsid w:val="6AF03295"/>
    <w:rsid w:val="6B0F3B19"/>
    <w:rsid w:val="6B147746"/>
    <w:rsid w:val="6B24787C"/>
    <w:rsid w:val="6B573233"/>
    <w:rsid w:val="6B5B6274"/>
    <w:rsid w:val="6B935D53"/>
    <w:rsid w:val="6BA51E03"/>
    <w:rsid w:val="6C196F71"/>
    <w:rsid w:val="6C226FCB"/>
    <w:rsid w:val="6C31226F"/>
    <w:rsid w:val="6C4A4D2C"/>
    <w:rsid w:val="6C552F0B"/>
    <w:rsid w:val="6C8C67B7"/>
    <w:rsid w:val="6C9077E6"/>
    <w:rsid w:val="6C9D744C"/>
    <w:rsid w:val="6CA31DFF"/>
    <w:rsid w:val="6D167928"/>
    <w:rsid w:val="6D26299B"/>
    <w:rsid w:val="6D3625AB"/>
    <w:rsid w:val="6D4772EC"/>
    <w:rsid w:val="6D9078AF"/>
    <w:rsid w:val="6DAA3FEF"/>
    <w:rsid w:val="6DC0172B"/>
    <w:rsid w:val="6DCB690C"/>
    <w:rsid w:val="6DD41A5B"/>
    <w:rsid w:val="6DF43C2E"/>
    <w:rsid w:val="6DF51CA3"/>
    <w:rsid w:val="6E8335BD"/>
    <w:rsid w:val="6E8E12EF"/>
    <w:rsid w:val="6E972936"/>
    <w:rsid w:val="6ED446C5"/>
    <w:rsid w:val="6EF93A3A"/>
    <w:rsid w:val="6F113554"/>
    <w:rsid w:val="6F2A7D94"/>
    <w:rsid w:val="6F560B51"/>
    <w:rsid w:val="6F8331F1"/>
    <w:rsid w:val="6FAE1A09"/>
    <w:rsid w:val="6FD75BF8"/>
    <w:rsid w:val="704B4683"/>
    <w:rsid w:val="707723D0"/>
    <w:rsid w:val="70F5661B"/>
    <w:rsid w:val="71360107"/>
    <w:rsid w:val="713B688E"/>
    <w:rsid w:val="714F11C3"/>
    <w:rsid w:val="71532A25"/>
    <w:rsid w:val="71D43752"/>
    <w:rsid w:val="71F1796A"/>
    <w:rsid w:val="720E3E0B"/>
    <w:rsid w:val="72154626"/>
    <w:rsid w:val="72262B5D"/>
    <w:rsid w:val="72283FF7"/>
    <w:rsid w:val="722E7212"/>
    <w:rsid w:val="723A0474"/>
    <w:rsid w:val="725923E4"/>
    <w:rsid w:val="72864BF7"/>
    <w:rsid w:val="729023FC"/>
    <w:rsid w:val="73C0646E"/>
    <w:rsid w:val="742222F5"/>
    <w:rsid w:val="74404AF1"/>
    <w:rsid w:val="74476126"/>
    <w:rsid w:val="74706664"/>
    <w:rsid w:val="747F3682"/>
    <w:rsid w:val="749C4185"/>
    <w:rsid w:val="74DC2A86"/>
    <w:rsid w:val="75067759"/>
    <w:rsid w:val="75086ADE"/>
    <w:rsid w:val="7527575F"/>
    <w:rsid w:val="752E6DCD"/>
    <w:rsid w:val="7551380D"/>
    <w:rsid w:val="75600BE5"/>
    <w:rsid w:val="75622B13"/>
    <w:rsid w:val="7564475C"/>
    <w:rsid w:val="757D463E"/>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83149"/>
    <w:rsid w:val="777F31F2"/>
    <w:rsid w:val="77C0102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8C1506"/>
    <w:rsid w:val="79A97383"/>
    <w:rsid w:val="79E27E8B"/>
    <w:rsid w:val="79F850CE"/>
    <w:rsid w:val="79FD443C"/>
    <w:rsid w:val="7A1D1975"/>
    <w:rsid w:val="7A3E5150"/>
    <w:rsid w:val="7A4670D6"/>
    <w:rsid w:val="7A534B63"/>
    <w:rsid w:val="7A5F59B6"/>
    <w:rsid w:val="7A615382"/>
    <w:rsid w:val="7A627BAF"/>
    <w:rsid w:val="7A67303B"/>
    <w:rsid w:val="7AAB1D04"/>
    <w:rsid w:val="7ABA4368"/>
    <w:rsid w:val="7AD05746"/>
    <w:rsid w:val="7AD90348"/>
    <w:rsid w:val="7B252650"/>
    <w:rsid w:val="7B257FFD"/>
    <w:rsid w:val="7B273D20"/>
    <w:rsid w:val="7B343476"/>
    <w:rsid w:val="7B5A2978"/>
    <w:rsid w:val="7B5A7E4C"/>
    <w:rsid w:val="7B667AF9"/>
    <w:rsid w:val="7B7468F8"/>
    <w:rsid w:val="7BA12DDC"/>
    <w:rsid w:val="7BA9702E"/>
    <w:rsid w:val="7BEE0103"/>
    <w:rsid w:val="7C0A0FE4"/>
    <w:rsid w:val="7C254906"/>
    <w:rsid w:val="7C590818"/>
    <w:rsid w:val="7C5B09E8"/>
    <w:rsid w:val="7C5B16CC"/>
    <w:rsid w:val="7C7C10F6"/>
    <w:rsid w:val="7C853BEA"/>
    <w:rsid w:val="7C881368"/>
    <w:rsid w:val="7CE27788"/>
    <w:rsid w:val="7CF3625E"/>
    <w:rsid w:val="7D0C32F1"/>
    <w:rsid w:val="7D0F408D"/>
    <w:rsid w:val="7D491C6C"/>
    <w:rsid w:val="7D5429C0"/>
    <w:rsid w:val="7D593B7E"/>
    <w:rsid w:val="7D6E6D43"/>
    <w:rsid w:val="7DB57A34"/>
    <w:rsid w:val="7DB914CF"/>
    <w:rsid w:val="7DE60973"/>
    <w:rsid w:val="7DEF0916"/>
    <w:rsid w:val="7E1E5218"/>
    <w:rsid w:val="7E611AD0"/>
    <w:rsid w:val="7E9A4E1F"/>
    <w:rsid w:val="7EA7723A"/>
    <w:rsid w:val="7EB47596"/>
    <w:rsid w:val="7EEA449A"/>
    <w:rsid w:val="7EF56FBB"/>
    <w:rsid w:val="7F0768EB"/>
    <w:rsid w:val="7F0E62A4"/>
    <w:rsid w:val="7F143BEC"/>
    <w:rsid w:val="7F4029D4"/>
    <w:rsid w:val="7F715AF2"/>
    <w:rsid w:val="7F886E69"/>
    <w:rsid w:val="7FE40CF4"/>
    <w:rsid w:val="BB7FA927"/>
    <w:rsid w:val="DFFFE639"/>
    <w:rsid w:val="F5FFD31F"/>
    <w:rsid w:val="F6E7BC79"/>
    <w:rsid w:val="FC5357E6"/>
    <w:rsid w:val="FF6FB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Date"/>
    <w:basedOn w:val="1"/>
    <w:next w:val="1"/>
    <w:link w:val="181"/>
    <w:qFormat/>
    <w:uiPriority w:val="0"/>
    <w:pPr>
      <w:ind w:left="100" w:leftChars="2500"/>
    </w:pPr>
    <w:rPr>
      <w:rFonts w:ascii="宋体"/>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51"/>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24"/>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_正文"/>
    <w:basedOn w:val="1"/>
    <w:qFormat/>
    <w:uiPriority w:val="0"/>
    <w:pPr>
      <w:tabs>
        <w:tab w:val="left" w:pos="840"/>
      </w:tabs>
      <w:spacing w:line="360" w:lineRule="auto"/>
      <w:ind w:firstLine="200" w:firstLineChars="200"/>
    </w:pPr>
    <w:rPr>
      <w:sz w:val="24"/>
    </w:rPr>
  </w:style>
  <w:style w:type="paragraph" w:customStyle="1" w:styleId="968">
    <w:name w:val="正文（上会）"/>
    <w:basedOn w:val="1"/>
    <w:qFormat/>
    <w:uiPriority w:val="0"/>
    <w:pPr>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15331</Words>
  <Characters>16491</Characters>
  <Lines>399</Lines>
  <Paragraphs>112</Paragraphs>
  <TotalTime>1</TotalTime>
  <ScaleCrop>false</ScaleCrop>
  <LinksUpToDate>false</LinksUpToDate>
  <CharactersWithSpaces>16921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HSZRJ</cp:lastModifiedBy>
  <cp:lastPrinted>2021-12-28T11:06:00Z</cp:lastPrinted>
  <dcterms:modified xsi:type="dcterms:W3CDTF">2025-01-14T10:00:40Z</dcterms:modified>
  <dc:title>杭州市市民卡扩大发卡工程</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7499CCEA3B7F4FBE9F487AF764A43A9B_13</vt:lpwstr>
  </property>
  <property fmtid="{D5CDD505-2E9C-101B-9397-08002B2CF9AE}" pid="5" name="KSOTemplateDocerSaveRecord">
    <vt:lpwstr>eyJoZGlkIjoiMzEwNTM5NzYwMDRjMzkwZTVkZjY2ODkwMGIxNGU0OTUiLCJ1c2VySWQiOiI0MTA3OTMzOTQifQ==</vt:lpwstr>
  </property>
</Properties>
</file>