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347041">
      <w:pPr>
        <w:spacing w:line="360" w:lineRule="auto"/>
        <w:jc w:val="center"/>
        <w:rPr>
          <w:rFonts w:hint="eastAsia" w:ascii="宋体" w:hAnsi="宋体" w:eastAsia="宋体" w:cs="宋体"/>
          <w:b/>
          <w:color w:val="auto"/>
          <w:sz w:val="24"/>
          <w:highlight w:val="none"/>
        </w:rPr>
      </w:pPr>
    </w:p>
    <w:p w14:paraId="3117BD98">
      <w:pPr>
        <w:spacing w:line="360" w:lineRule="auto"/>
        <w:jc w:val="center"/>
        <w:rPr>
          <w:rFonts w:hint="eastAsia" w:ascii="宋体" w:hAnsi="宋体" w:eastAsia="宋体" w:cs="宋体"/>
          <w:b/>
          <w:color w:val="auto"/>
          <w:sz w:val="24"/>
          <w:highlight w:val="none"/>
        </w:rPr>
      </w:pPr>
    </w:p>
    <w:p w14:paraId="52A17ACA">
      <w:pPr>
        <w:adjustRightInd/>
        <w:spacing w:line="360" w:lineRule="auto"/>
        <w:jc w:val="center"/>
        <w:rPr>
          <w:rFonts w:hint="eastAsia" w:ascii="宋体" w:hAnsi="宋体" w:eastAsia="宋体" w:cs="宋体"/>
          <w:b/>
          <w:color w:val="auto"/>
          <w:sz w:val="44"/>
          <w:szCs w:val="44"/>
          <w:highlight w:val="none"/>
        </w:rPr>
      </w:pPr>
    </w:p>
    <w:p w14:paraId="06A00E47">
      <w:pPr>
        <w:spacing w:line="360" w:lineRule="auto"/>
        <w:jc w:val="center"/>
        <w:rPr>
          <w:rFonts w:hint="eastAsia" w:ascii="宋体" w:hAnsi="宋体" w:eastAsia="宋体" w:cs="宋体"/>
          <w:b/>
          <w:color w:val="auto"/>
          <w:sz w:val="44"/>
          <w:szCs w:val="44"/>
          <w:highlight w:val="none"/>
        </w:rPr>
      </w:pPr>
    </w:p>
    <w:p w14:paraId="19507306">
      <w:pPr>
        <w:adjustRightInd/>
        <w:spacing w:line="360" w:lineRule="auto"/>
        <w:jc w:val="center"/>
        <w:rPr>
          <w:rFonts w:hint="eastAsia" w:ascii="宋体" w:hAnsi="宋体" w:eastAsia="宋体" w:cs="宋体"/>
          <w:b/>
          <w:color w:val="auto"/>
          <w:sz w:val="48"/>
          <w:szCs w:val="48"/>
          <w:highlight w:val="none"/>
        </w:rPr>
      </w:pPr>
    </w:p>
    <w:p w14:paraId="2C8C073A">
      <w:pPr>
        <w:adjustRightInd/>
        <w:spacing w:line="360" w:lineRule="auto"/>
        <w:jc w:val="center"/>
        <w:rPr>
          <w:rFonts w:hint="eastAsia" w:ascii="宋体" w:hAnsi="宋体" w:eastAsia="宋体" w:cs="宋体"/>
          <w:color w:val="auto"/>
          <w:sz w:val="48"/>
          <w:szCs w:val="48"/>
          <w:highlight w:val="none"/>
          <w:lang w:eastAsia="zh-CN"/>
        </w:rPr>
      </w:pPr>
      <w:r>
        <w:rPr>
          <w:rFonts w:hint="eastAsia" w:ascii="宋体" w:hAnsi="宋体" w:eastAsia="宋体" w:cs="宋体"/>
          <w:color w:val="auto"/>
          <w:sz w:val="48"/>
          <w:szCs w:val="48"/>
          <w:highlight w:val="none"/>
          <w:lang w:eastAsia="zh-CN"/>
        </w:rPr>
        <w:t>杭州第九中学树范学校</w:t>
      </w:r>
      <w:r>
        <w:rPr>
          <w:rFonts w:hint="eastAsia" w:ascii="宋体" w:hAnsi="宋体" w:cs="宋体"/>
          <w:color w:val="auto"/>
          <w:sz w:val="48"/>
          <w:szCs w:val="48"/>
          <w:highlight w:val="none"/>
          <w:lang w:eastAsia="zh-CN"/>
        </w:rPr>
        <w:t>报告厅椅子采购</w:t>
      </w:r>
    </w:p>
    <w:p w14:paraId="6220F12D">
      <w:pPr>
        <w:adjustRightInd/>
        <w:spacing w:line="360" w:lineRule="auto"/>
        <w:jc w:val="center"/>
        <w:rPr>
          <w:rFonts w:hint="eastAsia" w:ascii="宋体" w:hAnsi="宋体" w:eastAsia="宋体" w:cs="宋体"/>
          <w:color w:val="auto"/>
          <w:sz w:val="48"/>
          <w:szCs w:val="48"/>
          <w:highlight w:val="none"/>
        </w:rPr>
      </w:pPr>
      <w:r>
        <w:rPr>
          <w:rFonts w:hint="eastAsia" w:ascii="宋体" w:hAnsi="宋体" w:eastAsia="宋体" w:cs="宋体"/>
          <w:color w:val="auto"/>
          <w:sz w:val="48"/>
          <w:szCs w:val="48"/>
          <w:highlight w:val="none"/>
        </w:rPr>
        <w:t xml:space="preserve">招标文件 </w:t>
      </w:r>
    </w:p>
    <w:p w14:paraId="01F7E349">
      <w:pPr>
        <w:adjustRightInd/>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（电子招投标）</w:t>
      </w:r>
    </w:p>
    <w:p w14:paraId="3B142738">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rPr>
        <w:t>编号:</w:t>
      </w:r>
      <w:r>
        <w:rPr>
          <w:rFonts w:hint="eastAsia" w:ascii="宋体" w:hAnsi="宋体" w:eastAsia="宋体" w:cs="宋体"/>
          <w:color w:val="auto"/>
          <w:sz w:val="30"/>
          <w:szCs w:val="30"/>
          <w:highlight w:val="none"/>
          <w:lang w:eastAsia="zh-CN"/>
        </w:rPr>
        <w:t>HSZB-2024-1478</w:t>
      </w:r>
    </w:p>
    <w:p w14:paraId="64A78A36">
      <w:pPr>
        <w:adjustRightInd/>
        <w:spacing w:line="360" w:lineRule="auto"/>
        <w:rPr>
          <w:rFonts w:hint="eastAsia" w:ascii="宋体" w:hAnsi="宋体" w:eastAsia="宋体" w:cs="宋体"/>
          <w:color w:val="auto"/>
          <w:sz w:val="28"/>
          <w:szCs w:val="20"/>
          <w:highlight w:val="none"/>
        </w:rPr>
      </w:pPr>
    </w:p>
    <w:p w14:paraId="25C0D067">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w:t>
      </w:r>
    </w:p>
    <w:p w14:paraId="4019318B">
      <w:pPr>
        <w:spacing w:line="360" w:lineRule="auto"/>
        <w:jc w:val="center"/>
        <w:rPr>
          <w:rFonts w:hint="eastAsia" w:ascii="宋体" w:hAnsi="宋体" w:eastAsia="宋体" w:cs="宋体"/>
          <w:b/>
          <w:color w:val="auto"/>
          <w:sz w:val="44"/>
          <w:szCs w:val="44"/>
          <w:highlight w:val="none"/>
        </w:rPr>
      </w:pPr>
    </w:p>
    <w:p w14:paraId="1A25AEBB">
      <w:pPr>
        <w:spacing w:line="360" w:lineRule="auto"/>
        <w:jc w:val="center"/>
        <w:rPr>
          <w:rFonts w:hint="eastAsia" w:ascii="宋体" w:hAnsi="宋体" w:eastAsia="宋体" w:cs="宋体"/>
          <w:color w:val="auto"/>
          <w:sz w:val="24"/>
          <w:highlight w:val="none"/>
        </w:rPr>
      </w:pPr>
    </w:p>
    <w:p w14:paraId="571DF8FD">
      <w:pPr>
        <w:spacing w:line="360" w:lineRule="auto"/>
        <w:jc w:val="center"/>
        <w:rPr>
          <w:rFonts w:hint="eastAsia" w:ascii="宋体" w:hAnsi="宋体" w:eastAsia="宋体" w:cs="宋体"/>
          <w:color w:val="auto"/>
          <w:sz w:val="24"/>
          <w:highlight w:val="none"/>
        </w:rPr>
      </w:pPr>
    </w:p>
    <w:p w14:paraId="67A65D9D">
      <w:pPr>
        <w:spacing w:line="360" w:lineRule="auto"/>
        <w:rPr>
          <w:rFonts w:hint="eastAsia" w:ascii="宋体" w:hAnsi="宋体" w:eastAsia="宋体" w:cs="宋体"/>
          <w:color w:val="auto"/>
          <w:sz w:val="32"/>
          <w:szCs w:val="32"/>
          <w:highlight w:val="none"/>
        </w:rPr>
      </w:pPr>
    </w:p>
    <w:p w14:paraId="47835A98">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lang w:eastAsia="zh-CN"/>
        </w:rPr>
        <w:t>杭州第九中学树范学校</w:t>
      </w:r>
    </w:p>
    <w:p w14:paraId="7FFF0BB4">
      <w:pPr>
        <w:spacing w:line="360" w:lineRule="auto"/>
        <w:jc w:val="center"/>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lang w:eastAsia="zh-CN"/>
        </w:rPr>
        <w:t>浙江豪圣建设项目管理有限公司</w:t>
      </w:r>
    </w:p>
    <w:p w14:paraId="32C0FFD6">
      <w:pPr>
        <w:snapToGrid w:val="0"/>
        <w:spacing w:line="360" w:lineRule="auto"/>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二〇二</w:t>
      </w:r>
      <w:r>
        <w:rPr>
          <w:rFonts w:hint="eastAsia" w:ascii="宋体" w:hAnsi="宋体" w:eastAsia="宋体" w:cs="宋体"/>
          <w:bCs/>
          <w:color w:val="auto"/>
          <w:sz w:val="32"/>
          <w:szCs w:val="32"/>
          <w:highlight w:val="none"/>
          <w:lang w:val="en-US" w:eastAsia="zh-CN"/>
        </w:rPr>
        <w:t>四</w:t>
      </w:r>
      <w:r>
        <w:rPr>
          <w:rFonts w:hint="eastAsia" w:ascii="宋体" w:hAnsi="宋体" w:eastAsia="宋体" w:cs="宋体"/>
          <w:bCs/>
          <w:color w:val="auto"/>
          <w:sz w:val="32"/>
          <w:szCs w:val="32"/>
          <w:highlight w:val="none"/>
        </w:rPr>
        <w:t>年</w:t>
      </w:r>
      <w:r>
        <w:rPr>
          <w:rFonts w:hint="eastAsia" w:ascii="宋体" w:hAnsi="宋体" w:eastAsia="宋体" w:cs="宋体"/>
          <w:bCs/>
          <w:color w:val="auto"/>
          <w:sz w:val="32"/>
          <w:szCs w:val="32"/>
          <w:highlight w:val="none"/>
          <w:lang w:val="en-US" w:eastAsia="zh-CN"/>
        </w:rPr>
        <w:t>十二</w:t>
      </w:r>
      <w:r>
        <w:rPr>
          <w:rFonts w:hint="eastAsia" w:ascii="宋体" w:hAnsi="宋体" w:eastAsia="宋体" w:cs="宋体"/>
          <w:bCs/>
          <w:color w:val="auto"/>
          <w:sz w:val="32"/>
          <w:szCs w:val="32"/>
          <w:highlight w:val="none"/>
        </w:rPr>
        <w:t>月</w:t>
      </w:r>
    </w:p>
    <w:p w14:paraId="1D16CE4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bookmarkStart w:id="0" w:name="_Hlt67893495"/>
      <w:bookmarkEnd w:id="0"/>
    </w:p>
    <w:p w14:paraId="2085D6C1">
      <w:pPr>
        <w:spacing w:line="360" w:lineRule="auto"/>
        <w:jc w:val="center"/>
        <w:rPr>
          <w:rFonts w:hint="eastAsia" w:ascii="宋体" w:hAnsi="宋体" w:eastAsia="宋体" w:cs="宋体"/>
          <w:color w:val="auto"/>
          <w:sz w:val="24"/>
          <w:highlight w:val="none"/>
        </w:rPr>
      </w:pPr>
    </w:p>
    <w:p w14:paraId="24A00DD2">
      <w:pPr>
        <w:spacing w:line="360" w:lineRule="auto"/>
        <w:jc w:val="cente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目  录</w:t>
      </w:r>
    </w:p>
    <w:p w14:paraId="6AED7D2E">
      <w:pPr>
        <w:spacing w:line="360" w:lineRule="auto"/>
        <w:rPr>
          <w:rFonts w:hint="eastAsia" w:ascii="宋体" w:hAnsi="宋体" w:eastAsia="宋体" w:cs="宋体"/>
          <w:color w:val="auto"/>
          <w:sz w:val="32"/>
          <w:szCs w:val="32"/>
          <w:highlight w:val="none"/>
        </w:rPr>
      </w:pPr>
    </w:p>
    <w:p w14:paraId="548A0713">
      <w:pPr>
        <w:spacing w:line="360" w:lineRule="auto"/>
        <w:rPr>
          <w:rFonts w:hint="eastAsia" w:ascii="宋体" w:hAnsi="宋体" w:eastAsia="宋体" w:cs="宋体"/>
          <w:color w:val="auto"/>
          <w:sz w:val="32"/>
          <w:szCs w:val="32"/>
          <w:highlight w:val="none"/>
        </w:rPr>
      </w:pPr>
    </w:p>
    <w:p w14:paraId="605EAF7A">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招标公告</w:t>
      </w:r>
    </w:p>
    <w:p w14:paraId="42C4D8D5">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投标人须知</w:t>
      </w:r>
    </w:p>
    <w:p w14:paraId="61AFA17E">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采购需求</w:t>
      </w:r>
    </w:p>
    <w:p w14:paraId="74BA682C">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评标办法</w:t>
      </w:r>
    </w:p>
    <w:p w14:paraId="3ECC8D92">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拟签订的合同文本</w:t>
      </w:r>
    </w:p>
    <w:p w14:paraId="5E019669">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应提交的有关格式范例</w:t>
      </w:r>
    </w:p>
    <w:p w14:paraId="322BEA3F">
      <w:pPr>
        <w:spacing w:line="360" w:lineRule="auto"/>
        <w:ind w:firstLine="549" w:firstLineChars="229"/>
        <w:rPr>
          <w:rFonts w:hint="eastAsia" w:ascii="宋体" w:hAnsi="宋体" w:eastAsia="宋体" w:cs="宋体"/>
          <w:color w:val="auto"/>
          <w:sz w:val="24"/>
          <w:highlight w:val="none"/>
        </w:rPr>
      </w:pPr>
      <w:bookmarkStart w:id="1" w:name="_Hlt91233176"/>
      <w:bookmarkEnd w:id="1"/>
      <w:bookmarkStart w:id="2" w:name="_Toc91899869"/>
    </w:p>
    <w:p w14:paraId="19521013">
      <w:pPr>
        <w:spacing w:line="360" w:lineRule="auto"/>
        <w:ind w:firstLine="549" w:firstLineChars="229"/>
        <w:rPr>
          <w:rFonts w:hint="eastAsia" w:ascii="宋体" w:hAnsi="宋体" w:eastAsia="宋体" w:cs="宋体"/>
          <w:color w:val="auto"/>
          <w:sz w:val="24"/>
          <w:highlight w:val="none"/>
        </w:rPr>
      </w:pPr>
    </w:p>
    <w:p w14:paraId="740CFF0D">
      <w:pPr>
        <w:spacing w:line="360" w:lineRule="auto"/>
        <w:ind w:firstLine="549" w:firstLineChars="229"/>
        <w:rPr>
          <w:rFonts w:hint="eastAsia" w:ascii="宋体" w:hAnsi="宋体" w:eastAsia="宋体" w:cs="宋体"/>
          <w:color w:val="auto"/>
          <w:sz w:val="24"/>
          <w:highlight w:val="none"/>
        </w:rPr>
      </w:pPr>
    </w:p>
    <w:p w14:paraId="0195515C">
      <w:pPr>
        <w:spacing w:line="360" w:lineRule="auto"/>
        <w:ind w:firstLine="549" w:firstLineChars="229"/>
        <w:rPr>
          <w:rFonts w:hint="eastAsia" w:ascii="宋体" w:hAnsi="宋体" w:eastAsia="宋体" w:cs="宋体"/>
          <w:color w:val="auto"/>
          <w:sz w:val="24"/>
          <w:highlight w:val="none"/>
        </w:rPr>
      </w:pPr>
    </w:p>
    <w:p w14:paraId="376FE73B">
      <w:pPr>
        <w:spacing w:line="360" w:lineRule="auto"/>
        <w:ind w:firstLine="549" w:firstLineChars="229"/>
        <w:rPr>
          <w:rFonts w:hint="eastAsia" w:ascii="宋体" w:hAnsi="宋体" w:eastAsia="宋体" w:cs="宋体"/>
          <w:color w:val="auto"/>
          <w:sz w:val="24"/>
          <w:highlight w:val="none"/>
        </w:rPr>
      </w:pPr>
    </w:p>
    <w:p w14:paraId="09F8CA0A">
      <w:pPr>
        <w:spacing w:line="360" w:lineRule="auto"/>
        <w:ind w:firstLine="549" w:firstLineChars="229"/>
        <w:rPr>
          <w:rFonts w:hint="eastAsia" w:ascii="宋体" w:hAnsi="宋体" w:eastAsia="宋体" w:cs="宋体"/>
          <w:color w:val="auto"/>
          <w:sz w:val="24"/>
          <w:highlight w:val="none"/>
        </w:rPr>
      </w:pPr>
    </w:p>
    <w:p w14:paraId="3E90B705">
      <w:pPr>
        <w:spacing w:line="360" w:lineRule="auto"/>
        <w:ind w:firstLine="549" w:firstLineChars="229"/>
        <w:rPr>
          <w:rFonts w:hint="eastAsia" w:ascii="宋体" w:hAnsi="宋体" w:eastAsia="宋体" w:cs="宋体"/>
          <w:color w:val="auto"/>
          <w:sz w:val="24"/>
          <w:highlight w:val="none"/>
        </w:rPr>
      </w:pPr>
    </w:p>
    <w:p w14:paraId="608DC327">
      <w:pPr>
        <w:spacing w:line="360" w:lineRule="auto"/>
        <w:ind w:firstLine="549" w:firstLineChars="229"/>
        <w:rPr>
          <w:rFonts w:hint="eastAsia" w:ascii="宋体" w:hAnsi="宋体" w:eastAsia="宋体" w:cs="宋体"/>
          <w:color w:val="auto"/>
          <w:sz w:val="24"/>
          <w:highlight w:val="none"/>
        </w:rPr>
      </w:pPr>
    </w:p>
    <w:p w14:paraId="4938288A">
      <w:pPr>
        <w:spacing w:line="360" w:lineRule="auto"/>
        <w:ind w:firstLine="549" w:firstLineChars="229"/>
        <w:rPr>
          <w:rFonts w:hint="eastAsia" w:ascii="宋体" w:hAnsi="宋体" w:eastAsia="宋体" w:cs="宋体"/>
          <w:color w:val="auto"/>
          <w:sz w:val="24"/>
          <w:highlight w:val="none"/>
        </w:rPr>
      </w:pPr>
    </w:p>
    <w:p w14:paraId="62DEB4C0">
      <w:pPr>
        <w:spacing w:line="360" w:lineRule="auto"/>
        <w:ind w:firstLine="549" w:firstLineChars="229"/>
        <w:rPr>
          <w:rFonts w:hint="eastAsia" w:ascii="宋体" w:hAnsi="宋体" w:eastAsia="宋体" w:cs="宋体"/>
          <w:color w:val="auto"/>
          <w:sz w:val="24"/>
          <w:highlight w:val="none"/>
        </w:rPr>
      </w:pPr>
    </w:p>
    <w:p w14:paraId="2442D0B2">
      <w:pPr>
        <w:spacing w:line="360" w:lineRule="auto"/>
        <w:ind w:firstLine="549" w:firstLineChars="229"/>
        <w:rPr>
          <w:rFonts w:hint="eastAsia" w:ascii="宋体" w:hAnsi="宋体" w:eastAsia="宋体" w:cs="宋体"/>
          <w:color w:val="auto"/>
          <w:sz w:val="24"/>
          <w:highlight w:val="none"/>
        </w:rPr>
      </w:pPr>
    </w:p>
    <w:p w14:paraId="5CBCA147">
      <w:pPr>
        <w:spacing w:line="360" w:lineRule="auto"/>
        <w:ind w:firstLine="549" w:firstLineChars="229"/>
        <w:rPr>
          <w:rFonts w:hint="eastAsia" w:ascii="宋体" w:hAnsi="宋体" w:eastAsia="宋体" w:cs="宋体"/>
          <w:color w:val="auto"/>
          <w:sz w:val="24"/>
          <w:highlight w:val="none"/>
        </w:rPr>
      </w:pPr>
    </w:p>
    <w:p w14:paraId="17A177C3">
      <w:pPr>
        <w:spacing w:line="360" w:lineRule="auto"/>
        <w:ind w:firstLine="549" w:firstLineChars="229"/>
        <w:rPr>
          <w:rFonts w:hint="eastAsia" w:ascii="宋体" w:hAnsi="宋体" w:eastAsia="宋体" w:cs="宋体"/>
          <w:color w:val="auto"/>
          <w:sz w:val="24"/>
          <w:highlight w:val="none"/>
        </w:rPr>
      </w:pPr>
    </w:p>
    <w:p w14:paraId="586F4B8D">
      <w:pPr>
        <w:spacing w:line="360" w:lineRule="auto"/>
        <w:rPr>
          <w:rFonts w:hint="eastAsia" w:ascii="宋体" w:hAnsi="宋体" w:eastAsia="宋体" w:cs="宋体"/>
          <w:color w:val="auto"/>
          <w:sz w:val="24"/>
          <w:highlight w:val="none"/>
        </w:rPr>
      </w:pPr>
    </w:p>
    <w:p w14:paraId="4871F9E4">
      <w:pPr>
        <w:adjustRightInd/>
        <w:spacing w:line="360" w:lineRule="auto"/>
        <w:jc w:val="center"/>
        <w:outlineLvl w:val="0"/>
        <w:rPr>
          <w:rFonts w:hint="eastAsia" w:ascii="宋体" w:hAnsi="宋体" w:eastAsia="宋体" w:cs="宋体"/>
          <w:b/>
          <w:color w:val="auto"/>
          <w:sz w:val="36"/>
          <w:szCs w:val="20"/>
          <w:highlight w:val="none"/>
        </w:rPr>
      </w:pPr>
      <w:bookmarkStart w:id="3" w:name="第一部分"/>
      <w:r>
        <w:rPr>
          <w:rFonts w:hint="eastAsia" w:ascii="宋体" w:hAnsi="宋体" w:eastAsia="宋体" w:cs="宋体"/>
          <w:b/>
          <w:color w:val="auto"/>
          <w:sz w:val="36"/>
          <w:szCs w:val="36"/>
          <w:highlight w:val="none"/>
        </w:rPr>
        <w:br w:type="page"/>
      </w:r>
      <w:bookmarkEnd w:id="2"/>
      <w:bookmarkEnd w:id="3"/>
      <w:bookmarkStart w:id="4" w:name="_Hlt74649545"/>
      <w:bookmarkEnd w:id="4"/>
      <w:bookmarkStart w:id="5" w:name="_Hlt74729822"/>
      <w:bookmarkEnd w:id="5"/>
      <w:bookmarkStart w:id="6" w:name="_Hlt74728647"/>
      <w:bookmarkEnd w:id="6"/>
      <w:bookmarkStart w:id="7" w:name="_Hlt74707423"/>
      <w:bookmarkEnd w:id="7"/>
      <w:bookmarkStart w:id="8" w:name="第二部分"/>
      <w:bookmarkStart w:id="9" w:name="_Toc91899870"/>
      <w:bookmarkStart w:id="10" w:name="_Toc91899871"/>
      <w:r>
        <w:rPr>
          <w:rFonts w:hint="eastAsia" w:ascii="宋体" w:hAnsi="宋体" w:eastAsia="宋体" w:cs="宋体"/>
          <w:b/>
          <w:color w:val="auto"/>
          <w:sz w:val="36"/>
          <w:szCs w:val="20"/>
          <w:highlight w:val="none"/>
        </w:rPr>
        <w:t>第一部分 招标公告</w:t>
      </w:r>
    </w:p>
    <w:p w14:paraId="6C8867DB">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项目概况</w:t>
      </w:r>
    </w:p>
    <w:p w14:paraId="72DA1723">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lang w:eastAsia="zh-CN"/>
        </w:rPr>
        <w:t>杭州第九中学树范学校</w:t>
      </w:r>
      <w:r>
        <w:rPr>
          <w:rFonts w:hint="eastAsia" w:ascii="宋体" w:hAnsi="宋体" w:cs="宋体"/>
          <w:color w:val="auto"/>
          <w:sz w:val="24"/>
          <w:highlight w:val="none"/>
          <w:u w:val="single"/>
          <w:lang w:eastAsia="zh-CN"/>
        </w:rPr>
        <w:t>报告厅椅子采购</w:t>
      </w:r>
      <w:r>
        <w:rPr>
          <w:rFonts w:hint="eastAsia" w:ascii="宋体" w:hAnsi="宋体" w:eastAsia="宋体" w:cs="宋体"/>
          <w:color w:val="auto"/>
          <w:sz w:val="24"/>
          <w:highlight w:val="none"/>
        </w:rPr>
        <w:t>招标项目的潜在投标人应在政采云平台（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"https://www.zcygov.cn/）获取（下载）招标文件，并于202%20年%20月%20日%20点%20分00秒" </w:instrText>
      </w:r>
      <w:r>
        <w:rPr>
          <w:rFonts w:hint="eastAsia" w:ascii="宋体" w:hAnsi="宋体" w:eastAsia="宋体" w:cs="宋体"/>
          <w:color w:val="auto"/>
          <w:highlight w:val="none"/>
        </w:rPr>
        <w:fldChar w:fldCharType="separate"/>
      </w:r>
      <w:r>
        <w:rPr>
          <w:rStyle w:val="76"/>
          <w:rFonts w:hint="eastAsia" w:ascii="宋体" w:hAnsi="宋体" w:eastAsia="宋体" w:cs="宋体"/>
          <w:snapToGrid/>
          <w:color w:val="auto"/>
          <w:kern w:val="2"/>
          <w:sz w:val="24"/>
          <w:szCs w:val="24"/>
          <w:highlight w:val="none"/>
        </w:rPr>
        <w:t>https://www.zcygov.cn/）获取（下载）招标文件，并于202</w:t>
      </w:r>
      <w:r>
        <w:rPr>
          <w:rStyle w:val="76"/>
          <w:rFonts w:hint="eastAsia" w:ascii="宋体" w:hAnsi="宋体" w:eastAsia="宋体" w:cs="宋体"/>
          <w:snapToGrid/>
          <w:color w:val="auto"/>
          <w:kern w:val="2"/>
          <w:sz w:val="24"/>
          <w:szCs w:val="24"/>
          <w:highlight w:val="none"/>
          <w:lang w:val="en-US" w:eastAsia="zh-CN"/>
        </w:rPr>
        <w:t>5</w:t>
      </w:r>
      <w:r>
        <w:rPr>
          <w:rStyle w:val="76"/>
          <w:rFonts w:hint="eastAsia" w:ascii="宋体" w:hAnsi="宋体" w:eastAsia="宋体" w:cs="宋体"/>
          <w:snapToGrid/>
          <w:color w:val="auto"/>
          <w:kern w:val="2"/>
          <w:sz w:val="24"/>
          <w:szCs w:val="24"/>
          <w:highlight w:val="none"/>
        </w:rPr>
        <w:t>年</w:t>
      </w:r>
      <w:r>
        <w:rPr>
          <w:rStyle w:val="76"/>
          <w:rFonts w:hint="eastAsia" w:ascii="宋体" w:hAnsi="宋体" w:cs="宋体"/>
          <w:snapToGrid/>
          <w:color w:val="auto"/>
          <w:kern w:val="2"/>
          <w:sz w:val="24"/>
          <w:szCs w:val="24"/>
          <w:highlight w:val="none"/>
          <w:lang w:val="en-US" w:eastAsia="zh-CN"/>
        </w:rPr>
        <w:t>01月17日</w:t>
      </w:r>
      <w:r>
        <w:rPr>
          <w:rStyle w:val="76"/>
          <w:rFonts w:hint="eastAsia" w:ascii="宋体" w:hAnsi="宋体" w:eastAsia="宋体" w:cs="宋体"/>
          <w:snapToGrid/>
          <w:color w:val="auto"/>
          <w:kern w:val="2"/>
          <w:sz w:val="24"/>
          <w:szCs w:val="24"/>
          <w:highlight w:val="none"/>
        </w:rPr>
        <w:t xml:space="preserve"> </w:t>
      </w:r>
      <w:r>
        <w:rPr>
          <w:rStyle w:val="76"/>
          <w:rFonts w:hint="eastAsia" w:ascii="宋体" w:hAnsi="宋体" w:cs="宋体"/>
          <w:snapToGrid/>
          <w:color w:val="auto"/>
          <w:kern w:val="2"/>
          <w:sz w:val="24"/>
          <w:szCs w:val="24"/>
          <w:highlight w:val="none"/>
          <w:lang w:val="en-US" w:eastAsia="zh-CN"/>
        </w:rPr>
        <w:t>10点</w:t>
      </w:r>
      <w:r>
        <w:rPr>
          <w:rStyle w:val="76"/>
          <w:rFonts w:hint="eastAsia" w:ascii="宋体" w:hAnsi="宋体" w:eastAsia="宋体" w:cs="宋体"/>
          <w:snapToGrid/>
          <w:color w:val="auto"/>
          <w:kern w:val="2"/>
          <w:sz w:val="24"/>
          <w:szCs w:val="24"/>
          <w:highlight w:val="none"/>
          <w:lang w:val="en-US" w:eastAsia="zh-CN"/>
        </w:rPr>
        <w:t>00</w:t>
      </w:r>
      <w:r>
        <w:rPr>
          <w:rStyle w:val="76"/>
          <w:rFonts w:hint="eastAsia" w:ascii="宋体" w:hAnsi="宋体" w:eastAsia="宋体" w:cs="宋体"/>
          <w:snapToGrid/>
          <w:color w:val="auto"/>
          <w:kern w:val="2"/>
          <w:sz w:val="24"/>
          <w:szCs w:val="24"/>
          <w:highlight w:val="none"/>
        </w:rPr>
        <w:t>分</w:t>
      </w:r>
      <w:r>
        <w:rPr>
          <w:rStyle w:val="76"/>
          <w:rFonts w:hint="eastAsia" w:ascii="宋体" w:hAnsi="宋体" w:eastAsia="宋体" w:cs="宋体"/>
          <w:bCs/>
          <w:snapToGrid/>
          <w:color w:val="auto"/>
          <w:kern w:val="2"/>
          <w:sz w:val="24"/>
          <w:szCs w:val="24"/>
          <w:highlight w:val="none"/>
        </w:rPr>
        <w:t>00秒</w:t>
      </w:r>
      <w:r>
        <w:rPr>
          <w:rStyle w:val="76"/>
          <w:rFonts w:hint="eastAsia" w:ascii="宋体" w:hAnsi="宋体" w:eastAsia="宋体" w:cs="宋体"/>
          <w:bCs/>
          <w:snapToGrid/>
          <w:color w:val="auto"/>
          <w:kern w:val="2"/>
          <w:sz w:val="24"/>
          <w:szCs w:val="24"/>
          <w:highlight w:val="none"/>
        </w:rPr>
        <w:fldChar w:fldCharType="end"/>
      </w:r>
      <w:r>
        <w:rPr>
          <w:rFonts w:hint="eastAsia" w:ascii="宋体" w:hAnsi="宋体" w:eastAsia="宋体" w:cs="宋体"/>
          <w:bCs/>
          <w:color w:val="auto"/>
          <w:sz w:val="24"/>
          <w:highlight w:val="none"/>
        </w:rPr>
        <w:t>（北京时间）前</w:t>
      </w:r>
      <w:r>
        <w:rPr>
          <w:rFonts w:hint="eastAsia" w:ascii="宋体" w:hAnsi="宋体" w:eastAsia="宋体" w:cs="宋体"/>
          <w:color w:val="auto"/>
          <w:sz w:val="24"/>
          <w:highlight w:val="none"/>
        </w:rPr>
        <w:t>递交（上传）投标文件。</w:t>
      </w:r>
    </w:p>
    <w:p w14:paraId="435531B0">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一、项目基本情况                                            </w:t>
      </w:r>
    </w:p>
    <w:p w14:paraId="10A5F884">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项目编号：</w:t>
      </w:r>
      <w:r>
        <w:rPr>
          <w:rFonts w:hint="eastAsia" w:ascii="宋体" w:hAnsi="宋体" w:eastAsia="宋体" w:cs="宋体"/>
          <w:color w:val="auto"/>
          <w:sz w:val="24"/>
          <w:highlight w:val="none"/>
          <w:lang w:eastAsia="zh-CN"/>
        </w:rPr>
        <w:t>HSZB-2024-1478</w:t>
      </w:r>
    </w:p>
    <w:p w14:paraId="0C0421E1">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项目名称：</w:t>
      </w:r>
      <w:r>
        <w:rPr>
          <w:rFonts w:hint="eastAsia" w:ascii="宋体" w:hAnsi="宋体" w:eastAsia="宋体" w:cs="宋体"/>
          <w:color w:val="auto"/>
          <w:sz w:val="24"/>
          <w:highlight w:val="none"/>
          <w:lang w:eastAsia="zh-CN"/>
        </w:rPr>
        <w:t>杭州第九中学树范学校</w:t>
      </w:r>
      <w:r>
        <w:rPr>
          <w:rFonts w:hint="eastAsia" w:ascii="宋体" w:hAnsi="宋体" w:cs="宋体"/>
          <w:color w:val="auto"/>
          <w:sz w:val="24"/>
          <w:highlight w:val="none"/>
          <w:lang w:eastAsia="zh-CN"/>
        </w:rPr>
        <w:t>报告厅椅子采购</w:t>
      </w:r>
    </w:p>
    <w:p w14:paraId="259372B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预算金额（元）：</w:t>
      </w:r>
      <w:r>
        <w:rPr>
          <w:rFonts w:hint="eastAsia" w:ascii="宋体" w:hAnsi="宋体" w:eastAsia="宋体" w:cs="宋体"/>
          <w:b/>
          <w:color w:val="auto"/>
          <w:sz w:val="24"/>
          <w:highlight w:val="none"/>
          <w:lang w:val="en-US" w:eastAsia="zh-CN"/>
        </w:rPr>
        <w:t>1760000</w:t>
      </w:r>
      <w:r>
        <w:rPr>
          <w:rFonts w:hint="eastAsia" w:ascii="宋体" w:hAnsi="宋体" w:eastAsia="宋体" w:cs="宋体"/>
          <w:color w:val="auto"/>
          <w:sz w:val="24"/>
          <w:highlight w:val="none"/>
        </w:rPr>
        <w:t xml:space="preserve"> </w:t>
      </w:r>
    </w:p>
    <w:p w14:paraId="2FD2EF5A">
      <w:pPr>
        <w:spacing w:line="360" w:lineRule="auto"/>
        <w:ind w:firstLine="480"/>
        <w:rPr>
          <w:rFonts w:hint="eastAsia" w:ascii="宋体" w:hAnsi="宋体" w:eastAsia="宋体" w:cs="宋体"/>
          <w:color w:val="auto"/>
          <w:sz w:val="24"/>
          <w:highlight w:val="none"/>
        </w:rPr>
      </w:pPr>
      <w:r>
        <w:rPr>
          <w:rFonts w:hint="eastAsia" w:ascii="宋体" w:hAnsi="宋体" w:eastAsia="宋体" w:cs="宋体"/>
          <w:b/>
          <w:color w:val="auto"/>
          <w:sz w:val="24"/>
          <w:highlight w:val="none"/>
        </w:rPr>
        <w:t>最高限价（元）：</w:t>
      </w:r>
      <w:r>
        <w:rPr>
          <w:rFonts w:hint="eastAsia" w:ascii="宋体" w:hAnsi="宋体" w:eastAsia="宋体" w:cs="宋体"/>
          <w:b/>
          <w:color w:val="auto"/>
          <w:sz w:val="24"/>
          <w:highlight w:val="none"/>
          <w:lang w:val="en-US" w:eastAsia="zh-CN"/>
        </w:rPr>
        <w:t>1760000</w:t>
      </w:r>
      <w:r>
        <w:rPr>
          <w:rFonts w:hint="eastAsia" w:ascii="宋体" w:hAnsi="宋体" w:eastAsia="宋体" w:cs="宋体"/>
          <w:color w:val="auto"/>
          <w:sz w:val="24"/>
          <w:highlight w:val="none"/>
        </w:rPr>
        <w:t xml:space="preserve">  </w:t>
      </w:r>
    </w:p>
    <w:p w14:paraId="71991F27">
      <w:pPr>
        <w:pStyle w:val="15"/>
        <w:spacing w:line="360" w:lineRule="auto"/>
        <w:ind w:firstLine="480"/>
        <w:rPr>
          <w:rFonts w:hint="eastAsia" w:ascii="宋体" w:hAnsi="宋体" w:eastAsia="宋体" w:cs="宋体"/>
          <w:bCs/>
          <w:snapToGrid/>
          <w:color w:val="auto"/>
          <w:kern w:val="2"/>
          <w:sz w:val="24"/>
          <w:szCs w:val="24"/>
          <w:highlight w:val="none"/>
        </w:rPr>
      </w:pPr>
      <w:r>
        <w:rPr>
          <w:rFonts w:hint="eastAsia" w:ascii="宋体" w:hAnsi="宋体" w:eastAsia="宋体" w:cs="宋体"/>
          <w:b/>
          <w:color w:val="auto"/>
          <w:sz w:val="24"/>
          <w:highlight w:val="none"/>
        </w:rPr>
        <w:t>采购需求：</w:t>
      </w:r>
      <w:r>
        <w:rPr>
          <w:rFonts w:hint="eastAsia" w:ascii="宋体" w:hAnsi="宋体" w:eastAsia="宋体" w:cs="宋体"/>
          <w:bCs/>
          <w:snapToGrid/>
          <w:color w:val="auto"/>
          <w:kern w:val="2"/>
          <w:sz w:val="24"/>
          <w:szCs w:val="24"/>
          <w:highlight w:val="none"/>
          <w:lang w:eastAsia="zh-CN"/>
        </w:rPr>
        <w:t>杭州第九中学树范学校</w:t>
      </w:r>
      <w:r>
        <w:rPr>
          <w:rFonts w:hint="eastAsia" w:hAnsi="宋体" w:cs="宋体"/>
          <w:bCs/>
          <w:snapToGrid/>
          <w:color w:val="auto"/>
          <w:kern w:val="2"/>
          <w:sz w:val="24"/>
          <w:szCs w:val="24"/>
          <w:highlight w:val="none"/>
          <w:lang w:eastAsia="zh-CN"/>
        </w:rPr>
        <w:t>报告厅椅子采购</w:t>
      </w:r>
      <w:r>
        <w:rPr>
          <w:rFonts w:hint="eastAsia" w:ascii="宋体" w:hAnsi="宋体" w:eastAsia="宋体" w:cs="宋体"/>
          <w:bCs/>
          <w:snapToGrid/>
          <w:color w:val="auto"/>
          <w:kern w:val="2"/>
          <w:sz w:val="24"/>
          <w:szCs w:val="24"/>
          <w:highlight w:val="none"/>
        </w:rPr>
        <w:t xml:space="preserve">主要内容： </w:t>
      </w:r>
      <w:r>
        <w:rPr>
          <w:rFonts w:hint="eastAsia" w:ascii="宋体" w:hAnsi="宋体" w:eastAsia="宋体" w:cs="宋体"/>
          <w:bCs/>
          <w:snapToGrid/>
          <w:color w:val="auto"/>
          <w:kern w:val="2"/>
          <w:sz w:val="24"/>
          <w:szCs w:val="24"/>
          <w:highlight w:val="none"/>
          <w:lang w:val="en-US" w:eastAsia="zh-CN"/>
        </w:rPr>
        <w:t>采购</w:t>
      </w:r>
      <w:r>
        <w:rPr>
          <w:rFonts w:hint="eastAsia" w:ascii="宋体" w:hAnsi="宋体" w:eastAsia="宋体" w:cs="宋体"/>
          <w:bCs/>
          <w:snapToGrid/>
          <w:color w:val="auto"/>
          <w:kern w:val="2"/>
          <w:sz w:val="24"/>
          <w:szCs w:val="24"/>
          <w:highlight w:val="none"/>
          <w:lang w:eastAsia="zh-CN"/>
        </w:rPr>
        <w:t>报告厅桌椅一批，包括供货、运输、安装、调换、退货、验收、税费及售后服务等</w:t>
      </w:r>
      <w:r>
        <w:rPr>
          <w:rFonts w:hint="eastAsia" w:ascii="宋体" w:hAnsi="宋体" w:eastAsia="宋体" w:cs="宋体"/>
          <w:bCs/>
          <w:snapToGrid/>
          <w:color w:val="auto"/>
          <w:kern w:val="2"/>
          <w:sz w:val="24"/>
          <w:szCs w:val="24"/>
          <w:highlight w:val="none"/>
        </w:rPr>
        <w:t>。</w:t>
      </w:r>
      <w:r>
        <w:rPr>
          <w:rFonts w:hint="eastAsia" w:ascii="宋体" w:hAnsi="宋体" w:eastAsia="宋体" w:cs="宋体"/>
          <w:snapToGrid/>
          <w:color w:val="auto"/>
          <w:kern w:val="2"/>
          <w:sz w:val="24"/>
          <w:szCs w:val="24"/>
          <w:highlight w:val="none"/>
        </w:rPr>
        <w:t>具体以招标文件第三部分采购需求为准，供应商可点击本公告下方“浏览采购文件”查看采购需求。</w:t>
      </w:r>
    </w:p>
    <w:p w14:paraId="5DF303CF">
      <w:pPr>
        <w:pStyle w:val="132"/>
        <w:ind w:firstLine="482"/>
        <w:outlineLvl w:val="2"/>
        <w:rPr>
          <w:rFonts w:hint="eastAsia" w:ascii="宋体" w:hAnsi="宋体" w:eastAsia="宋体" w:cs="宋体"/>
          <w:color w:val="auto"/>
          <w:highlight w:val="none"/>
          <w:lang w:val="en-US"/>
        </w:rPr>
      </w:pPr>
      <w:r>
        <w:rPr>
          <w:rFonts w:hint="eastAsia" w:ascii="宋体" w:hAnsi="宋体" w:eastAsia="宋体" w:cs="宋体"/>
          <w:b/>
          <w:color w:val="auto"/>
          <w:highlight w:val="none"/>
        </w:rPr>
        <w:t xml:space="preserve">合同履约期限： </w:t>
      </w:r>
      <w:r>
        <w:rPr>
          <w:rFonts w:hint="eastAsia" w:ascii="宋体" w:hAnsi="宋体" w:eastAsia="宋体" w:cs="宋体"/>
          <w:b/>
          <w:color w:val="auto"/>
          <w:highlight w:val="none"/>
          <w:lang w:val="en-US" w:eastAsia="zh-CN"/>
        </w:rPr>
        <w:t>合同签订后90日历天内完成交货，并安装调试通过验收。</w:t>
      </w:r>
    </w:p>
    <w:p w14:paraId="3AA93347">
      <w:pPr>
        <w:pStyle w:val="15"/>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本项目接受联合体投标：</w:t>
      </w:r>
      <w:sdt>
        <w:sdtPr>
          <w:rPr>
            <w:rFonts w:hint="eastAsia" w:ascii="宋体" w:hAnsi="宋体" w:eastAsia="宋体" w:cs="宋体"/>
            <w:color w:val="auto"/>
            <w:kern w:val="0"/>
            <w:sz w:val="24"/>
            <w:highlight w:val="none"/>
          </w:rPr>
          <w:id w:val="2035453831"/>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F0FE"/>
          </w:r>
        </w:sdtContent>
      </w:sdt>
      <w:r>
        <w:rPr>
          <w:rFonts w:hint="eastAsia" w:ascii="宋体" w:hAnsi="宋体" w:eastAsia="宋体" w:cs="宋体"/>
          <w:b/>
          <w:color w:val="auto"/>
          <w:sz w:val="24"/>
          <w:highlight w:val="none"/>
        </w:rPr>
        <w:t>是</w:t>
      </w:r>
      <w:r>
        <w:rPr>
          <w:rFonts w:hint="eastAsia" w:ascii="宋体" w:hAnsi="宋体" w:eastAsia="宋体" w:cs="宋体"/>
          <w:b/>
          <w:snapToGrid/>
          <w:color w:val="auto"/>
          <w:kern w:val="2"/>
          <w:sz w:val="24"/>
          <w:highlight w:val="none"/>
        </w:rPr>
        <w:t>；</w:t>
      </w:r>
      <w:sdt>
        <w:sdtPr>
          <w:rPr>
            <w:rFonts w:hint="eastAsia" w:ascii="宋体" w:hAnsi="宋体" w:eastAsia="宋体" w:cs="宋体"/>
            <w:color w:val="auto"/>
            <w:kern w:val="0"/>
            <w:sz w:val="24"/>
            <w:highlight w:val="none"/>
          </w:rPr>
          <w:id w:val="-1765526721"/>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b/>
          <w:color w:val="auto"/>
          <w:sz w:val="24"/>
          <w:highlight w:val="none"/>
        </w:rPr>
        <w:t>否</w:t>
      </w:r>
      <w:r>
        <w:rPr>
          <w:rFonts w:hint="eastAsia" w:ascii="宋体" w:hAnsi="宋体" w:eastAsia="宋体" w:cs="宋体"/>
          <w:color w:val="auto"/>
          <w:kern w:val="0"/>
          <w:sz w:val="24"/>
          <w:highlight w:val="none"/>
        </w:rPr>
        <w:t>。</w:t>
      </w:r>
    </w:p>
    <w:p w14:paraId="42E64E37">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w:t>
      </w:r>
      <w:bookmarkStart w:id="11" w:name="_Hlk101132948"/>
      <w:r>
        <w:rPr>
          <w:rFonts w:hint="eastAsia" w:ascii="宋体" w:hAnsi="宋体" w:eastAsia="宋体" w:cs="宋体"/>
          <w:b/>
          <w:color w:val="auto"/>
          <w:sz w:val="24"/>
          <w:highlight w:val="none"/>
        </w:rPr>
        <w:t>申请人的资格要求</w:t>
      </w:r>
      <w:bookmarkEnd w:id="11"/>
      <w:r>
        <w:rPr>
          <w:rFonts w:hint="eastAsia" w:ascii="宋体" w:hAnsi="宋体" w:eastAsia="宋体" w:cs="宋体"/>
          <w:b/>
          <w:color w:val="auto"/>
          <w:sz w:val="24"/>
          <w:highlight w:val="none"/>
        </w:rPr>
        <w:t>：</w:t>
      </w:r>
    </w:p>
    <w:p w14:paraId="0A29682B">
      <w:pPr>
        <w:spacing w:line="360" w:lineRule="auto"/>
        <w:ind w:firstLine="48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134BCB7A">
      <w:pPr>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 xml:space="preserve">    2.</w:t>
      </w:r>
      <w:r>
        <w:rPr>
          <w:rFonts w:hint="eastAsia" w:ascii="宋体" w:hAnsi="宋体" w:eastAsia="宋体" w:cs="宋体"/>
          <w:color w:val="auto"/>
          <w:highlight w:val="none"/>
        </w:rPr>
        <w:t xml:space="preserve"> </w:t>
      </w:r>
      <w:r>
        <w:rPr>
          <w:rFonts w:hint="eastAsia" w:ascii="宋体" w:hAnsi="宋体" w:eastAsia="宋体" w:cs="宋体"/>
          <w:snapToGrid w:val="0"/>
          <w:color w:val="auto"/>
          <w:kern w:val="28"/>
          <w:sz w:val="24"/>
          <w:szCs w:val="20"/>
          <w:highlight w:val="none"/>
        </w:rPr>
        <w:t>以联合体形式投标的，提供联合协议(本项目不接受联合体投标或者投标人不以联合体形式投标的，则不需要提供) ；</w:t>
      </w:r>
    </w:p>
    <w:p w14:paraId="6A42D2FD">
      <w:pPr>
        <w:spacing w:line="360" w:lineRule="auto"/>
        <w:ind w:firstLine="480" w:firstLineChars="20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14:paraId="5A7602DF">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928616923"/>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þ</w:t>
          </w:r>
        </w:sdtContent>
      </w:sdt>
      <w:r>
        <w:rPr>
          <w:rFonts w:hint="eastAsia" w:ascii="宋体" w:hAnsi="宋体" w:eastAsia="宋体" w:cs="宋体"/>
          <w:color w:val="auto"/>
          <w:sz w:val="24"/>
          <w:highlight w:val="none"/>
        </w:rPr>
        <w:t>无</w:t>
      </w:r>
    </w:p>
    <w:p w14:paraId="0BF8AD4A">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02470430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专</w:t>
      </w:r>
      <w:r>
        <w:rPr>
          <w:rFonts w:hint="eastAsia" w:ascii="宋体" w:hAnsi="宋体" w:eastAsia="宋体" w:cs="宋体"/>
          <w:color w:val="auto"/>
          <w:sz w:val="24"/>
          <w:highlight w:val="none"/>
        </w:rPr>
        <w:t>门面向中小企业</w:t>
      </w:r>
    </w:p>
    <w:p w14:paraId="346572C2">
      <w:pPr>
        <w:spacing w:line="360" w:lineRule="auto"/>
        <w:ind w:firstLine="897" w:firstLineChars="374"/>
        <w:rPr>
          <w:rFonts w:hint="eastAsia" w:ascii="宋体" w:hAnsi="宋体" w:eastAsia="宋体" w:cs="宋体"/>
          <w:color w:val="auto"/>
          <w:sz w:val="24"/>
          <w:highlight w:val="none"/>
          <w:u w:val="single"/>
        </w:rPr>
      </w:pPr>
      <w:sdt>
        <w:sdtPr>
          <w:rPr>
            <w:rFonts w:hint="eastAsia" w:ascii="宋体" w:hAnsi="宋体" w:eastAsia="宋体" w:cs="宋体"/>
            <w:color w:val="auto"/>
            <w:kern w:val="0"/>
            <w:sz w:val="24"/>
            <w:highlight w:val="none"/>
          </w:rPr>
          <w:id w:val="-92473058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货物全部由符合政策要求的中小企业制造，提供中小企业声明函；</w:t>
      </w:r>
    </w:p>
    <w:p w14:paraId="33215760">
      <w:pPr>
        <w:spacing w:line="360" w:lineRule="auto"/>
        <w:ind w:firstLine="897" w:firstLineChars="374"/>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15260493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货物全部由符合政策要求的小微企业制造，提供中小企业声明函；</w:t>
      </w:r>
    </w:p>
    <w:p w14:paraId="21E049C3">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98560779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bookmarkStart w:id="12" w:name="_Hlk101132524"/>
        </w:sdtContent>
      </w:sdt>
      <w:r>
        <w:rPr>
          <w:rFonts w:hint="eastAsia" w:ascii="宋体" w:hAnsi="宋体" w:eastAsia="宋体" w:cs="宋体"/>
          <w:color w:val="auto"/>
          <w:sz w:val="24"/>
          <w:highlight w:val="none"/>
        </w:rPr>
        <w:t>要求以联合体形式参加，提供联合协议和中小企业声明函，联合协议中中小企业合同金额应当达到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rPr>
        <w:t>；</w:t>
      </w:r>
    </w:p>
    <w:bookmarkEnd w:id="12"/>
    <w:p w14:paraId="4748CE07">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要求合同分包，提供分包意向协议和中小企业声明函，分包意向协议中中小企业合同金额应当达到达到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eastAsia="zh-CN"/>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rPr>
        <w:t>；</w:t>
      </w:r>
    </w:p>
    <w:p w14:paraId="17526CD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w:t>
      </w:r>
    </w:p>
    <w:p w14:paraId="5398ECDA">
      <w:pPr>
        <w:snapToGrid w:val="0"/>
        <w:spacing w:line="360" w:lineRule="auto"/>
        <w:ind w:firstLine="480" w:firstLineChars="200"/>
        <w:rPr>
          <w:rFonts w:hint="eastAsia" w:ascii="宋体" w:hAnsi="宋体" w:eastAsia="宋体" w:cs="宋体"/>
          <w:color w:val="auto"/>
          <w:sz w:val="24"/>
          <w:highlight w:val="none"/>
          <w:lang w:val="en-US" w:eastAsia="zh-CN"/>
        </w:rPr>
      </w:pPr>
      <w:sdt>
        <w:sdtPr>
          <w:rPr>
            <w:rFonts w:hint="eastAsia" w:ascii="宋体" w:hAnsi="宋体" w:eastAsia="宋体" w:cs="宋体"/>
            <w:color w:val="auto"/>
            <w:kern w:val="0"/>
            <w:sz w:val="24"/>
            <w:highlight w:val="none"/>
          </w:rPr>
          <w:id w:val="147466463"/>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lang w:val="en-US" w:eastAsia="zh-CN"/>
        </w:rPr>
        <w:t>无。</w:t>
      </w:r>
    </w:p>
    <w:p w14:paraId="56FE0C52">
      <w:pPr>
        <w:snapToGrid w:val="0"/>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607112291"/>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有特定资格要求：</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，该特定条件的法律法规依据：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43290B53">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518A8EE">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三、获取招标文件 </w:t>
      </w:r>
    </w:p>
    <w:p w14:paraId="37152E61">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u w:val="single"/>
        </w:rPr>
        <w:t>202</w:t>
      </w:r>
      <w:r>
        <w:rPr>
          <w:rFonts w:hint="eastAsia" w:ascii="宋体" w:hAnsi="宋体" w:eastAsia="宋体" w:cs="宋体"/>
          <w:color w:val="auto"/>
          <w:sz w:val="24"/>
          <w:highlight w:val="none"/>
          <w:u w:val="single"/>
          <w:lang w:val="en-US" w:eastAsia="zh-CN"/>
        </w:rPr>
        <w:t>5</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01月17日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14:paraId="73157327">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rPr>
        <w:t xml:space="preserve">政采云平台（https://www.zcygov.cn/） </w:t>
      </w:r>
    </w:p>
    <w:p w14:paraId="29A83AA7">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 xml:space="preserve">供应商登录政采云平台https://www.zcygov.cn/在线申请获取采购文件（进入“项目采购”应用，在获取采购文件菜单中选择项目，申请获取采购文件）。 </w:t>
      </w:r>
    </w:p>
    <w:p w14:paraId="28E2CD7E">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 xml:space="preserve">0 </w:t>
      </w:r>
      <w:r>
        <w:rPr>
          <w:rFonts w:hint="eastAsia" w:ascii="宋体" w:hAnsi="宋体" w:eastAsia="宋体" w:cs="宋体"/>
          <w:color w:val="auto"/>
          <w:sz w:val="24"/>
          <w:highlight w:val="none"/>
        </w:rPr>
        <w:tab/>
      </w:r>
    </w:p>
    <w:p w14:paraId="15C997AE">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四、提交投标文件截止时间、开标时间和地点</w:t>
      </w:r>
    </w:p>
    <w:p w14:paraId="0511E33F">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提交投标文件截止时间：</w:t>
      </w:r>
      <w:r>
        <w:rPr>
          <w:rFonts w:hint="eastAsia" w:ascii="宋体" w:hAnsi="宋体" w:eastAsia="宋体" w:cs="宋体"/>
          <w:color w:val="auto"/>
          <w:sz w:val="24"/>
          <w:highlight w:val="none"/>
          <w:u w:val="single"/>
        </w:rPr>
        <w:t xml:space="preserve"> 2025年</w:t>
      </w:r>
      <w:r>
        <w:rPr>
          <w:rFonts w:hint="eastAsia" w:ascii="宋体" w:hAnsi="宋体" w:cs="宋体"/>
          <w:color w:val="auto"/>
          <w:sz w:val="24"/>
          <w:highlight w:val="none"/>
          <w:u w:val="single"/>
          <w:lang w:eastAsia="zh-CN"/>
        </w:rPr>
        <w:t>01月17日</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10点</w:t>
      </w:r>
      <w:r>
        <w:rPr>
          <w:rFonts w:hint="eastAsia" w:ascii="宋体" w:hAnsi="宋体" w:eastAsia="宋体" w:cs="宋体"/>
          <w:color w:val="auto"/>
          <w:sz w:val="24"/>
          <w:highlight w:val="none"/>
          <w:u w:val="single"/>
        </w:rPr>
        <w:t>00分00秒</w:t>
      </w:r>
      <w:r>
        <w:rPr>
          <w:rFonts w:hint="eastAsia" w:ascii="宋体" w:hAnsi="宋体" w:eastAsia="宋体" w:cs="宋体"/>
          <w:color w:val="auto"/>
          <w:sz w:val="24"/>
          <w:highlight w:val="none"/>
        </w:rPr>
        <w:t>（北京时间）</w:t>
      </w:r>
    </w:p>
    <w:p w14:paraId="5D33C2CB">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投标地点（网址）：</w:t>
      </w:r>
      <w:r>
        <w:rPr>
          <w:rFonts w:hint="eastAsia" w:ascii="宋体" w:hAnsi="宋体" w:eastAsia="宋体" w:cs="宋体"/>
          <w:color w:val="auto"/>
          <w:sz w:val="24"/>
          <w:highlight w:val="none"/>
        </w:rPr>
        <w:t xml:space="preserve">政采云平台（https://www.zcygov.cn/） </w:t>
      </w:r>
    </w:p>
    <w:p w14:paraId="007FF648">
      <w:pPr>
        <w:spacing w:line="360" w:lineRule="auto"/>
        <w:ind w:firstLine="482" w:firstLineChars="200"/>
        <w:rPr>
          <w:rFonts w:hint="eastAsia" w:ascii="宋体" w:hAnsi="宋体" w:eastAsia="宋体" w:cs="宋体"/>
          <w:bCs/>
          <w:color w:val="auto"/>
          <w:sz w:val="24"/>
          <w:highlight w:val="none"/>
          <w:u w:val="single"/>
        </w:rPr>
      </w:pPr>
      <w:r>
        <w:rPr>
          <w:rFonts w:hint="eastAsia" w:ascii="宋体" w:hAnsi="宋体" w:eastAsia="宋体" w:cs="宋体"/>
          <w:b/>
          <w:color w:val="auto"/>
          <w:sz w:val="24"/>
          <w:highlight w:val="none"/>
        </w:rPr>
        <w:t>开标时间：</w:t>
      </w:r>
      <w:r>
        <w:rPr>
          <w:rFonts w:hint="eastAsia" w:ascii="宋体" w:hAnsi="宋体" w:eastAsia="宋体" w:cs="宋体"/>
          <w:color w:val="auto"/>
          <w:sz w:val="24"/>
          <w:highlight w:val="none"/>
          <w:u w:val="single"/>
        </w:rPr>
        <w:t xml:space="preserve"> 2025年</w:t>
      </w:r>
      <w:r>
        <w:rPr>
          <w:rFonts w:hint="eastAsia" w:ascii="宋体" w:hAnsi="宋体" w:cs="宋体"/>
          <w:color w:val="auto"/>
          <w:sz w:val="24"/>
          <w:highlight w:val="none"/>
          <w:u w:val="single"/>
          <w:lang w:eastAsia="zh-CN"/>
        </w:rPr>
        <w:t>01月17日</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10点</w:t>
      </w:r>
      <w:r>
        <w:rPr>
          <w:rFonts w:hint="eastAsia" w:ascii="宋体" w:hAnsi="宋体" w:eastAsia="宋体" w:cs="宋体"/>
          <w:color w:val="auto"/>
          <w:sz w:val="24"/>
          <w:highlight w:val="none"/>
          <w:u w:val="single"/>
        </w:rPr>
        <w:t>00分00秒</w:t>
      </w:r>
    </w:p>
    <w:p w14:paraId="183B39C2">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开标地点（网址）：</w:t>
      </w:r>
      <w:r>
        <w:rPr>
          <w:rFonts w:hint="eastAsia" w:ascii="宋体" w:hAnsi="宋体" w:eastAsia="宋体" w:cs="宋体"/>
          <w:color w:val="auto"/>
          <w:sz w:val="24"/>
          <w:highlight w:val="none"/>
        </w:rPr>
        <w:t>政采云平台（https://www.zcygov.cn/）</w:t>
      </w:r>
    </w:p>
    <w:p w14:paraId="57C316A1">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五、公告期限 </w:t>
      </w:r>
    </w:p>
    <w:p w14:paraId="36E45F5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14:paraId="6C9B0E03">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六、其他补充事宜</w:t>
      </w:r>
    </w:p>
    <w:p w14:paraId="320E415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 《浙江省财政厅关于进一步发挥政府采购政策功能全力推动经济稳进提质的通知》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01E5F4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BECFD7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E12368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31BA9DD">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七、对本次采购提出询问、质疑、投诉，请按以下方式联系</w:t>
      </w:r>
    </w:p>
    <w:p w14:paraId="7B73BBD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1.采购人信息</w:t>
      </w:r>
    </w:p>
    <w:p w14:paraId="301939C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名    称：</w:t>
      </w:r>
      <w:r>
        <w:rPr>
          <w:rFonts w:hint="eastAsia" w:ascii="宋体" w:hAnsi="宋体" w:eastAsia="宋体" w:cs="宋体"/>
          <w:color w:val="auto"/>
          <w:sz w:val="24"/>
          <w:highlight w:val="none"/>
          <w:lang w:eastAsia="zh-CN"/>
        </w:rPr>
        <w:t>杭州第九中学树范学校</w:t>
      </w:r>
      <w:r>
        <w:rPr>
          <w:rFonts w:hint="eastAsia" w:ascii="宋体" w:hAnsi="宋体" w:eastAsia="宋体" w:cs="宋体"/>
          <w:color w:val="auto"/>
          <w:sz w:val="24"/>
          <w:highlight w:val="none"/>
        </w:rPr>
        <w:t xml:space="preserve"> </w:t>
      </w:r>
    </w:p>
    <w:p w14:paraId="7EB2365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地    址：</w:t>
      </w:r>
      <w:r>
        <w:rPr>
          <w:rFonts w:hint="eastAsia" w:ascii="宋体" w:hAnsi="宋体" w:eastAsia="宋体" w:cs="宋体"/>
          <w:color w:val="auto"/>
          <w:sz w:val="24"/>
          <w:highlight w:val="none"/>
          <w:lang w:val="en-US" w:eastAsia="zh-CN"/>
        </w:rPr>
        <w:t>杭州市</w:t>
      </w:r>
      <w:r>
        <w:rPr>
          <w:rFonts w:hint="eastAsia" w:ascii="宋体" w:hAnsi="宋体" w:eastAsia="宋体" w:cs="宋体"/>
          <w:color w:val="auto"/>
          <w:sz w:val="24"/>
          <w:highlight w:val="none"/>
        </w:rPr>
        <w:t xml:space="preserve">上城区金山支路1号       </w:t>
      </w:r>
    </w:p>
    <w:p w14:paraId="21AC0DB6">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传    真： 0571-86432260 </w:t>
      </w:r>
    </w:p>
    <w:p w14:paraId="43683ECD">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项目联系人（询问）：舒</w:t>
      </w:r>
      <w:r>
        <w:rPr>
          <w:rFonts w:hint="eastAsia" w:ascii="宋体" w:hAnsi="宋体" w:eastAsia="宋体" w:cs="宋体"/>
          <w:color w:val="auto"/>
          <w:sz w:val="24"/>
          <w:highlight w:val="none"/>
          <w:lang w:val="en-US" w:eastAsia="zh-CN"/>
        </w:rPr>
        <w:t>老师</w:t>
      </w:r>
      <w:r>
        <w:rPr>
          <w:rFonts w:hint="eastAsia" w:ascii="宋体" w:hAnsi="宋体" w:eastAsia="宋体" w:cs="宋体"/>
          <w:color w:val="auto"/>
          <w:sz w:val="24"/>
          <w:highlight w:val="none"/>
        </w:rPr>
        <w:t xml:space="preserve">  </w:t>
      </w:r>
    </w:p>
    <w:p w14:paraId="3824EFB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项目联系方式（询问）： 0571-86939091</w:t>
      </w:r>
    </w:p>
    <w:p w14:paraId="64A234B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质疑联系人： 陈老师</w:t>
      </w:r>
    </w:p>
    <w:p w14:paraId="69684FD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质疑联系方式：0571-86046266 </w:t>
      </w:r>
    </w:p>
    <w:p w14:paraId="5B568C6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2.采购代理机构信息            </w:t>
      </w:r>
    </w:p>
    <w:p w14:paraId="67DCE02D">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称：浙江豪圣建设项目管理有限公司</w:t>
      </w:r>
    </w:p>
    <w:p w14:paraId="7D107703">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址：杭州市拱墅区大关路179号远洋国际中心A座17楼1706室</w:t>
      </w:r>
    </w:p>
    <w:p w14:paraId="4163D2F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传    真：/ </w:t>
      </w:r>
    </w:p>
    <w:p w14:paraId="2F7B19D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项目联系人（询问）：章柔婧、曹剑斌、陈敏娇</w:t>
      </w:r>
    </w:p>
    <w:p w14:paraId="469DB2A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项目联系方式（询问）：0571-</w:t>
      </w:r>
      <w:r>
        <w:rPr>
          <w:rFonts w:hint="eastAsia" w:ascii="宋体" w:hAnsi="宋体" w:eastAsia="宋体" w:cs="宋体"/>
          <w:color w:val="auto"/>
          <w:kern w:val="0"/>
          <w:sz w:val="24"/>
          <w:highlight w:val="none"/>
        </w:rPr>
        <w:t>87981527</w:t>
      </w:r>
    </w:p>
    <w:p w14:paraId="2F079545">
      <w:pPr>
        <w:pStyle w:val="26"/>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质疑联系人：桑国坚</w:t>
      </w:r>
    </w:p>
    <w:p w14:paraId="08406FE3">
      <w:pPr>
        <w:pStyle w:val="26"/>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质疑联系方式：0571-56386096</w:t>
      </w:r>
    </w:p>
    <w:p w14:paraId="57DA677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3.</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 xml:space="preserve">同级政府采购监督管理部门            </w:t>
      </w:r>
    </w:p>
    <w:p w14:paraId="7DAA383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名    称：杭州市财政局政府采购监管处 /浙江省政府采购行政裁决服务中心（杭州）</w:t>
      </w:r>
    </w:p>
    <w:p w14:paraId="5022824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地    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eastAsia="宋体" w:cs="宋体"/>
          <w:color w:val="auto"/>
          <w:sz w:val="24"/>
          <w:highlight w:val="none"/>
        </w:rPr>
        <w:t xml:space="preserve">     传    真： /</w:t>
      </w:r>
    </w:p>
    <w:p w14:paraId="2831B90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联系人 ：朱女士、王女士</w:t>
      </w:r>
    </w:p>
    <w:p w14:paraId="0A0D6020">
      <w:pPr>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监督投诉电话：</w:t>
      </w:r>
      <w:r>
        <w:rPr>
          <w:rFonts w:hint="eastAsia" w:ascii="宋体" w:hAnsi="宋体" w:eastAsia="宋体" w:cs="宋体"/>
          <w:i w:val="0"/>
          <w:caps w:val="0"/>
          <w:color w:val="auto"/>
          <w:spacing w:val="0"/>
          <w:sz w:val="24"/>
          <w:szCs w:val="24"/>
          <w:highlight w:val="none"/>
        </w:rPr>
        <w:t>0571-8</w:t>
      </w:r>
      <w:r>
        <w:rPr>
          <w:rFonts w:hint="eastAsia" w:ascii="宋体" w:hAnsi="宋体" w:eastAsia="宋体" w:cs="宋体"/>
          <w:i w:val="0"/>
          <w:caps w:val="0"/>
          <w:color w:val="auto"/>
          <w:spacing w:val="0"/>
          <w:sz w:val="24"/>
          <w:szCs w:val="24"/>
          <w:highlight w:val="none"/>
          <w:lang w:val="en-US" w:eastAsia="zh-CN"/>
        </w:rPr>
        <w:t>7227671,0571-87800218</w:t>
      </w:r>
    </w:p>
    <w:p w14:paraId="57F2B463">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3313006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268CF7E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14:paraId="0D4FE108">
      <w:pPr>
        <w:pStyle w:val="34"/>
        <w:spacing w:line="360" w:lineRule="auto"/>
        <w:rPr>
          <w:rFonts w:hint="eastAsia" w:ascii="宋体" w:hAnsi="宋体" w:eastAsia="宋体" w:cs="宋体"/>
          <w:b/>
          <w:color w:val="auto"/>
          <w:sz w:val="36"/>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36"/>
          <w:szCs w:val="20"/>
          <w:highlight w:val="none"/>
        </w:rPr>
        <w:t xml:space="preserve"> </w:t>
      </w:r>
    </w:p>
    <w:p w14:paraId="5E097B8C">
      <w:pPr>
        <w:pStyle w:val="2"/>
        <w:rPr>
          <w:rFonts w:hint="eastAsia" w:ascii="宋体" w:hAnsi="宋体" w:eastAsia="宋体" w:cs="宋体"/>
          <w:snapToGrid w:val="0"/>
          <w:color w:val="auto"/>
          <w:highlight w:val="none"/>
        </w:rPr>
      </w:pPr>
      <w:r>
        <w:rPr>
          <w:rFonts w:hint="eastAsia" w:ascii="宋体" w:hAnsi="宋体" w:eastAsia="宋体" w:cs="宋体"/>
          <w:color w:val="auto"/>
          <w:highlight w:val="none"/>
        </w:rPr>
        <w:br w:type="page"/>
      </w:r>
    </w:p>
    <w:p w14:paraId="12AF4CC0">
      <w:pPr>
        <w:adjustRightInd/>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第二部分</w:t>
      </w:r>
      <w:bookmarkEnd w:id="8"/>
      <w:r>
        <w:rPr>
          <w:rFonts w:hint="eastAsia" w:ascii="宋体" w:hAnsi="宋体" w:eastAsia="宋体" w:cs="宋体"/>
          <w:b/>
          <w:color w:val="auto"/>
          <w:sz w:val="36"/>
          <w:szCs w:val="20"/>
          <w:highlight w:val="none"/>
        </w:rPr>
        <w:t xml:space="preserve"> 投标人须知</w:t>
      </w:r>
      <w:bookmarkEnd w:id="9"/>
    </w:p>
    <w:p w14:paraId="039F9613">
      <w:pPr>
        <w:adjustRightInd/>
        <w:spacing w:line="360"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145359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 w:hRule="atLeast"/>
        </w:trPr>
        <w:tc>
          <w:tcPr>
            <w:tcW w:w="629" w:type="dxa"/>
            <w:tcBorders>
              <w:top w:val="single" w:color="auto" w:sz="4" w:space="0"/>
              <w:left w:val="single" w:color="auto" w:sz="4" w:space="0"/>
              <w:bottom w:val="single" w:color="auto" w:sz="4" w:space="0"/>
              <w:right w:val="single" w:color="auto" w:sz="4" w:space="0"/>
            </w:tcBorders>
          </w:tcPr>
          <w:p w14:paraId="0CE304A7">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60AF4729">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494F7C17">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本项目的特别规定</w:t>
            </w:r>
          </w:p>
        </w:tc>
      </w:tr>
      <w:tr w14:paraId="346B3C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 w:hRule="atLeast"/>
        </w:trPr>
        <w:tc>
          <w:tcPr>
            <w:tcW w:w="629" w:type="dxa"/>
            <w:tcBorders>
              <w:top w:val="single" w:color="auto" w:sz="4" w:space="0"/>
              <w:left w:val="single" w:color="auto" w:sz="4" w:space="0"/>
              <w:bottom w:val="single" w:color="auto" w:sz="4" w:space="0"/>
              <w:right w:val="single" w:color="auto" w:sz="4" w:space="0"/>
            </w:tcBorders>
          </w:tcPr>
          <w:p w14:paraId="43CB20E6">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01AD2F6B">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E0009AA">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CD98E35">
            <w:pPr>
              <w:keepNext w:val="0"/>
              <w:keepLines w:val="0"/>
              <w:pageBreakBefore w:val="0"/>
              <w:kinsoku/>
              <w:wordWrap/>
              <w:overflowPunct/>
              <w:topLinePunct w:val="0"/>
              <w:bidi w:val="0"/>
              <w:adjustRightIn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货物类，单一产品或</w:t>
            </w:r>
            <w:r>
              <w:rPr>
                <w:rFonts w:hint="eastAsia" w:ascii="宋体" w:hAnsi="宋体" w:eastAsia="宋体" w:cs="宋体"/>
                <w:color w:val="auto"/>
                <w:kern w:val="0"/>
                <w:sz w:val="21"/>
                <w:szCs w:val="21"/>
                <w:highlight w:val="none"/>
              </w:rPr>
              <w:t>核心产品为：</w:t>
            </w:r>
            <w:r>
              <w:rPr>
                <w:rFonts w:hint="eastAsia" w:ascii="宋体" w:hAnsi="宋体" w:eastAsia="宋体" w:cs="宋体"/>
                <w:color w:val="auto"/>
                <w:sz w:val="21"/>
                <w:szCs w:val="21"/>
                <w:highlight w:val="none"/>
                <w:u w:val="single"/>
              </w:rPr>
              <w:t xml:space="preserve"> 报告厅座椅 </w:t>
            </w:r>
            <w:r>
              <w:rPr>
                <w:rFonts w:hint="eastAsia" w:ascii="宋体" w:hAnsi="宋体" w:eastAsia="宋体" w:cs="宋体"/>
                <w:color w:val="auto"/>
                <w:sz w:val="21"/>
                <w:szCs w:val="21"/>
                <w:highlight w:val="none"/>
              </w:rPr>
              <w:t>。</w:t>
            </w:r>
          </w:p>
          <w:p w14:paraId="24E3C1BD">
            <w:pPr>
              <w:keepNext w:val="0"/>
              <w:keepLines w:val="0"/>
              <w:pageBreakBefore w:val="0"/>
              <w:kinsoku/>
              <w:wordWrap/>
              <w:overflowPunct/>
              <w:topLinePunct w:val="0"/>
              <w:bidi w:val="0"/>
              <w:adjustRightInd w:val="0"/>
              <w:spacing w:line="360" w:lineRule="auto"/>
              <w:textAlignment w:val="auto"/>
              <w:rPr>
                <w:rFonts w:hint="eastAsia" w:ascii="宋体" w:hAnsi="宋体" w:eastAsia="宋体" w:cs="宋体"/>
                <w:color w:val="auto"/>
                <w:sz w:val="21"/>
                <w:szCs w:val="21"/>
                <w:highlight w:val="none"/>
              </w:rPr>
            </w:pPr>
          </w:p>
        </w:tc>
      </w:tr>
      <w:tr w14:paraId="1C83F5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 w:hRule="atLeast"/>
        </w:trPr>
        <w:tc>
          <w:tcPr>
            <w:tcW w:w="629" w:type="dxa"/>
            <w:tcBorders>
              <w:top w:val="single" w:color="auto" w:sz="4" w:space="0"/>
              <w:left w:val="single" w:color="auto" w:sz="4" w:space="0"/>
              <w:bottom w:val="single" w:color="auto" w:sz="4" w:space="0"/>
              <w:right w:val="single" w:color="auto" w:sz="4" w:space="0"/>
            </w:tcBorders>
          </w:tcPr>
          <w:p w14:paraId="59B15E60">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26CBB816">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48894631">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201C2899">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（1）标的：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eastAsia="zh-CN"/>
              </w:rPr>
              <w:t>杭州第九中学树范学校</w:t>
            </w:r>
            <w:r>
              <w:rPr>
                <w:rFonts w:hint="eastAsia" w:ascii="宋体" w:hAnsi="宋体" w:cs="宋体"/>
                <w:color w:val="auto"/>
                <w:kern w:val="0"/>
                <w:sz w:val="21"/>
                <w:szCs w:val="21"/>
                <w:highlight w:val="none"/>
                <w:u w:val="single"/>
                <w:lang w:eastAsia="zh-CN"/>
              </w:rPr>
              <w:t>报告厅椅子采购</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，属于</w:t>
            </w:r>
            <w:r>
              <w:rPr>
                <w:rFonts w:hint="eastAsia" w:ascii="宋体" w:hAnsi="宋体" w:eastAsia="宋体" w:cs="宋体"/>
                <w:color w:val="auto"/>
                <w:kern w:val="0"/>
                <w:sz w:val="21"/>
                <w:szCs w:val="21"/>
                <w:highlight w:val="none"/>
                <w:u w:val="single"/>
              </w:rPr>
              <w:t xml:space="preserve"> 工业 </w:t>
            </w:r>
            <w:r>
              <w:rPr>
                <w:rFonts w:hint="eastAsia" w:ascii="宋体" w:hAnsi="宋体" w:eastAsia="宋体" w:cs="宋体"/>
                <w:color w:val="auto"/>
                <w:kern w:val="0"/>
                <w:sz w:val="21"/>
                <w:szCs w:val="21"/>
                <w:highlight w:val="none"/>
              </w:rPr>
              <w:t>行业；</w:t>
            </w:r>
          </w:p>
          <w:p w14:paraId="43B84E03">
            <w:pPr>
              <w:pStyle w:val="2"/>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kern w:val="0"/>
                <w:sz w:val="21"/>
                <w:szCs w:val="21"/>
                <w:highlight w:val="none"/>
                <w:lang w:val="en-US" w:eastAsia="zh-CN"/>
              </w:rPr>
              <w:t>根据</w:t>
            </w:r>
            <w:r>
              <w:rPr>
                <w:rFonts w:hint="eastAsia" w:ascii="宋体" w:hAnsi="宋体" w:eastAsia="宋体" w:cs="宋体"/>
                <w:color w:val="auto"/>
                <w:kern w:val="0"/>
                <w:sz w:val="21"/>
                <w:szCs w:val="21"/>
                <w:highlight w:val="none"/>
              </w:rPr>
              <w:t>《关于印发中小企业划型标准规定的通知》（工信部联企业〔2011〕300）第</w:t>
            </w:r>
            <w:r>
              <w:rPr>
                <w:rFonts w:hint="eastAsia" w:ascii="宋体" w:hAnsi="宋体" w:eastAsia="宋体" w:cs="宋体"/>
                <w:color w:val="auto"/>
                <w:kern w:val="0"/>
                <w:sz w:val="21"/>
                <w:szCs w:val="21"/>
                <w:highlight w:val="none"/>
                <w:lang w:val="en-US" w:eastAsia="zh-CN"/>
              </w:rPr>
              <w:t>四条第</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二</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项规定</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工业行业。</w:t>
            </w:r>
            <w:r>
              <w:rPr>
                <w:rFonts w:hint="eastAsia" w:ascii="宋体" w:hAnsi="宋体" w:eastAsia="宋体" w:cs="宋体"/>
                <w:color w:val="auto"/>
                <w:kern w:val="0"/>
                <w:sz w:val="21"/>
                <w:szCs w:val="21"/>
                <w:highlight w:val="none"/>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7F5C60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 w:hRule="atLeast"/>
        </w:trPr>
        <w:tc>
          <w:tcPr>
            <w:tcW w:w="629" w:type="dxa"/>
            <w:tcBorders>
              <w:top w:val="single" w:color="auto" w:sz="4" w:space="0"/>
              <w:left w:val="single" w:color="auto" w:sz="4" w:space="0"/>
              <w:bottom w:val="single" w:color="auto" w:sz="4" w:space="0"/>
              <w:right w:val="single" w:color="auto" w:sz="4" w:space="0"/>
            </w:tcBorders>
          </w:tcPr>
          <w:p w14:paraId="4667579F">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694DFF1B">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1A0FF57B">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1F375A34">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4DBDF292">
            <w:pPr>
              <w:keepNext w:val="0"/>
              <w:keepLines w:val="0"/>
              <w:pageBreakBefore w:val="0"/>
              <w:kinsoku/>
              <w:wordWrap/>
              <w:overflowPunct/>
              <w:topLinePunct w:val="0"/>
              <w:bidi w:val="0"/>
              <w:adjustRightInd w:val="0"/>
              <w:spacing w:line="36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sym w:font="Wingdings" w:char="00FE"/>
            </w:r>
            <w:r>
              <w:rPr>
                <w:rFonts w:hint="eastAsia" w:ascii="宋体" w:hAnsi="宋体" w:eastAsia="宋体" w:cs="宋体"/>
                <w:color w:val="auto"/>
                <w:kern w:val="0"/>
                <w:sz w:val="21"/>
                <w:szCs w:val="21"/>
                <w:highlight w:val="none"/>
              </w:rPr>
              <w:t>本项目不允许采购进口产品。</w:t>
            </w:r>
          </w:p>
          <w:p w14:paraId="72004791">
            <w:pPr>
              <w:keepNext w:val="0"/>
              <w:keepLines w:val="0"/>
              <w:pageBreakBefore w:val="0"/>
              <w:kinsoku/>
              <w:wordWrap/>
              <w:overflowPunct/>
              <w:topLinePunct w:val="0"/>
              <w:bidi w:val="0"/>
              <w:adjustRightInd w:val="0"/>
              <w:spacing w:line="360" w:lineRule="auto"/>
              <w:textAlignment w:val="auto"/>
              <w:rPr>
                <w:rFonts w:hint="eastAsia" w:ascii="宋体" w:hAnsi="宋体" w:eastAsia="宋体" w:cs="宋体"/>
                <w:color w:val="auto"/>
                <w:sz w:val="21"/>
                <w:szCs w:val="21"/>
                <w:highlight w:val="none"/>
              </w:rPr>
            </w:pPr>
            <w:sdt>
              <w:sdtPr>
                <w:rPr>
                  <w:rFonts w:hint="eastAsia" w:ascii="宋体" w:hAnsi="宋体" w:eastAsia="宋体" w:cs="宋体"/>
                  <w:color w:val="auto"/>
                  <w:kern w:val="0"/>
                  <w:sz w:val="21"/>
                  <w:szCs w:val="21"/>
                  <w:highlight w:val="none"/>
                </w:rPr>
                <w:id w:val="-52852824"/>
                <w14:checkbox>
                  <w14:checked w14:val="0"/>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t>☐</w:t>
                </w:r>
              </w:sdtContent>
            </w:sdt>
            <w:r>
              <w:rPr>
                <w:rFonts w:hint="eastAsia" w:ascii="宋体" w:hAnsi="宋体" w:eastAsia="宋体" w:cs="宋体"/>
                <w:color w:val="auto"/>
                <w:kern w:val="0"/>
                <w:sz w:val="21"/>
                <w:szCs w:val="21"/>
                <w:highlight w:val="none"/>
              </w:rPr>
              <w:t>可以就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采购进口产品。</w:t>
            </w:r>
          </w:p>
        </w:tc>
      </w:tr>
      <w:tr w14:paraId="26BBD4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 w:hRule="atLeast"/>
        </w:trPr>
        <w:tc>
          <w:tcPr>
            <w:tcW w:w="629" w:type="dxa"/>
            <w:tcBorders>
              <w:top w:val="single" w:color="auto" w:sz="4" w:space="0"/>
              <w:left w:val="single" w:color="auto" w:sz="4" w:space="0"/>
              <w:bottom w:val="single" w:color="auto" w:sz="4" w:space="0"/>
              <w:right w:val="single" w:color="auto" w:sz="4" w:space="0"/>
            </w:tcBorders>
            <w:vAlign w:val="center"/>
          </w:tcPr>
          <w:p w14:paraId="46224B3F">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65443EC4">
            <w:pPr>
              <w:keepNext w:val="0"/>
              <w:keepLines w:val="0"/>
              <w:pageBreakBefore w:val="0"/>
              <w:kinsoku/>
              <w:wordWrap/>
              <w:overflowPunct/>
              <w:topLinePunct w:val="0"/>
              <w:bidi w:val="0"/>
              <w:adjustRightInd w:val="0"/>
              <w:snapToGrid w:val="0"/>
              <w:spacing w:line="36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252E36A0">
            <w:pPr>
              <w:keepNext w:val="0"/>
              <w:keepLines w:val="0"/>
              <w:pageBreakBefore w:val="0"/>
              <w:kinsoku/>
              <w:wordWrap/>
              <w:overflowPunct/>
              <w:topLinePunct w:val="0"/>
              <w:bidi w:val="0"/>
              <w:adjustRightIn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sym w:font="Wingdings" w:char="00FE"/>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A</w:t>
            </w:r>
            <w:r>
              <w:rPr>
                <w:rFonts w:hint="eastAsia" w:ascii="宋体" w:hAnsi="宋体" w:eastAsia="宋体" w:cs="宋体"/>
                <w:color w:val="auto"/>
                <w:sz w:val="21"/>
                <w:szCs w:val="21"/>
                <w:highlight w:val="none"/>
              </w:rPr>
              <w:t>同意将非主体、非关键性的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运输</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工作分包。</w:t>
            </w:r>
          </w:p>
          <w:p w14:paraId="168B42E6">
            <w:pPr>
              <w:keepNext w:val="0"/>
              <w:keepLines w:val="0"/>
              <w:pageBreakBefore w:val="0"/>
              <w:kinsoku/>
              <w:wordWrap/>
              <w:overflowPunct/>
              <w:topLinePunct w:val="0"/>
              <w:bidi w:val="0"/>
              <w:adjustRightInd w:val="0"/>
              <w:spacing w:line="360" w:lineRule="auto"/>
              <w:textAlignment w:val="auto"/>
              <w:rPr>
                <w:rFonts w:hint="eastAsia" w:ascii="宋体" w:hAnsi="宋体" w:eastAsia="宋体" w:cs="宋体"/>
                <w:color w:val="auto"/>
                <w:sz w:val="21"/>
                <w:szCs w:val="21"/>
                <w:highlight w:val="none"/>
              </w:rPr>
            </w:pPr>
            <w:sdt>
              <w:sdtPr>
                <w:rPr>
                  <w:rFonts w:hint="eastAsia" w:ascii="宋体" w:hAnsi="宋体" w:eastAsia="宋体" w:cs="宋体"/>
                  <w:color w:val="auto"/>
                  <w:kern w:val="0"/>
                  <w:sz w:val="21"/>
                  <w:szCs w:val="21"/>
                  <w:highlight w:val="none"/>
                </w:rPr>
                <w:id w:val="-1276331357"/>
                <w14:checkbox>
                  <w14:checked w14:val="0"/>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t>☐</w:t>
                </w:r>
              </w:sdtContent>
            </w:sdt>
            <w:r>
              <w:rPr>
                <w:rFonts w:hint="eastAsia" w:ascii="宋体" w:hAnsi="宋体" w:eastAsia="宋体" w:cs="宋体"/>
                <w:color w:val="auto"/>
                <w:kern w:val="0"/>
                <w:sz w:val="21"/>
                <w:szCs w:val="21"/>
                <w:highlight w:val="none"/>
              </w:rPr>
              <w:t xml:space="preserve"> B</w:t>
            </w:r>
            <w:r>
              <w:rPr>
                <w:rFonts w:hint="eastAsia" w:ascii="宋体" w:hAnsi="宋体" w:eastAsia="宋体" w:cs="宋体"/>
                <w:color w:val="auto"/>
                <w:sz w:val="21"/>
                <w:szCs w:val="21"/>
                <w:highlight w:val="none"/>
              </w:rPr>
              <w:t>不同意分包。</w:t>
            </w:r>
          </w:p>
          <w:p w14:paraId="1C428A1E">
            <w:pPr>
              <w:keepNext w:val="0"/>
              <w:keepLines w:val="0"/>
              <w:pageBreakBefore w:val="0"/>
              <w:kinsoku/>
              <w:wordWrap/>
              <w:overflowPunct/>
              <w:topLinePunct w:val="0"/>
              <w:bidi w:val="0"/>
              <w:adjustRightIn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注：不得限制大中型企业向小微企业合理分包。</w:t>
            </w:r>
          </w:p>
        </w:tc>
      </w:tr>
      <w:tr w14:paraId="1B9062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 w:hRule="atLeast"/>
        </w:trPr>
        <w:tc>
          <w:tcPr>
            <w:tcW w:w="629" w:type="dxa"/>
            <w:tcBorders>
              <w:top w:val="single" w:color="auto" w:sz="4" w:space="0"/>
              <w:left w:val="single" w:color="auto" w:sz="4" w:space="0"/>
              <w:bottom w:val="single" w:color="auto" w:sz="4" w:space="0"/>
              <w:right w:val="single" w:color="auto" w:sz="4" w:space="0"/>
            </w:tcBorders>
          </w:tcPr>
          <w:p w14:paraId="60E8DB52">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6A8C138F">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7612E46A">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24576E77">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1BD9D42D">
            <w:pPr>
              <w:keepNext w:val="0"/>
              <w:keepLines w:val="0"/>
              <w:pageBreakBefore w:val="0"/>
              <w:kinsoku/>
              <w:wordWrap/>
              <w:overflowPunct/>
              <w:topLinePunct w:val="0"/>
              <w:bidi w:val="0"/>
              <w:adjustRightIn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sym w:font="Wingdings" w:char="00FE"/>
            </w:r>
            <w:r>
              <w:rPr>
                <w:rFonts w:hint="eastAsia" w:ascii="宋体" w:hAnsi="宋体" w:eastAsia="宋体" w:cs="宋体"/>
                <w:color w:val="auto"/>
                <w:sz w:val="21"/>
                <w:szCs w:val="21"/>
                <w:highlight w:val="none"/>
              </w:rPr>
              <w:t>A不组织。</w:t>
            </w:r>
          </w:p>
          <w:p w14:paraId="1D8163C9">
            <w:pPr>
              <w:keepNext w:val="0"/>
              <w:keepLines w:val="0"/>
              <w:pageBreakBefore w:val="0"/>
              <w:kinsoku/>
              <w:wordWrap/>
              <w:overflowPunct/>
              <w:topLinePunct w:val="0"/>
              <w:bidi w:val="0"/>
              <w:adjustRightInd w:val="0"/>
              <w:spacing w:line="360" w:lineRule="auto"/>
              <w:textAlignment w:val="auto"/>
              <w:rPr>
                <w:rFonts w:hint="eastAsia" w:ascii="宋体" w:hAnsi="宋体" w:eastAsia="宋体" w:cs="宋体"/>
                <w:color w:val="auto"/>
                <w:sz w:val="21"/>
                <w:szCs w:val="21"/>
                <w:highlight w:val="none"/>
              </w:rPr>
            </w:pPr>
            <w:sdt>
              <w:sdtPr>
                <w:rPr>
                  <w:rFonts w:hint="eastAsia" w:ascii="宋体" w:hAnsi="宋体" w:eastAsia="宋体" w:cs="宋体"/>
                  <w:color w:val="auto"/>
                  <w:sz w:val="21"/>
                  <w:szCs w:val="21"/>
                  <w:highlight w:val="none"/>
                </w:rPr>
                <w:id w:val="-999802974"/>
                <w14:checkbox>
                  <w14:checked w14:val="0"/>
                  <w14:checkedState w14:val="00FE" w14:font="Wingdings"/>
                  <w14:uncheckedState w14:val="2610" w14:font="MS Gothic"/>
                </w14:checkbox>
              </w:sdtPr>
              <w:sdtEndPr>
                <w:rPr>
                  <w:rFonts w:hint="eastAsia" w:ascii="宋体" w:hAnsi="宋体" w:eastAsia="宋体" w:cs="宋体"/>
                  <w:color w:val="auto"/>
                  <w:sz w:val="21"/>
                  <w:szCs w:val="21"/>
                  <w:highlight w:val="none"/>
                </w:rPr>
              </w:sdtEndPr>
              <w:sdtContent>
                <w:r>
                  <w:rPr>
                    <w:rFonts w:hint="eastAsia" w:ascii="宋体" w:hAnsi="宋体" w:eastAsia="宋体" w:cs="宋体"/>
                    <w:color w:val="auto"/>
                    <w:sz w:val="21"/>
                    <w:szCs w:val="21"/>
                    <w:highlight w:val="none"/>
                  </w:rPr>
                  <w:t>☐</w:t>
                </w:r>
              </w:sdtContent>
            </w:sdt>
            <w:r>
              <w:rPr>
                <w:rFonts w:hint="eastAsia" w:ascii="宋体" w:hAnsi="宋体" w:eastAsia="宋体" w:cs="宋体"/>
                <w:color w:val="auto"/>
                <w:sz w:val="21"/>
                <w:szCs w:val="21"/>
                <w:highlight w:val="none"/>
              </w:rPr>
              <w:t>B组织，时间：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，联系方式：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1F42FA7C">
            <w:pPr>
              <w:pStyle w:val="81"/>
              <w:keepNext w:val="0"/>
              <w:keepLines w:val="0"/>
              <w:pageBreakBefore w:val="0"/>
              <w:kinsoku/>
              <w:wordWrap/>
              <w:overflowPunct/>
              <w:topLinePunct w:val="0"/>
              <w:bidi w:val="0"/>
              <w:adjustRightInd w:val="0"/>
              <w:ind w:left="0" w:leftChars="0" w:firstLine="0" w:firstLine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☐C不统一组织，供应商在获取采购文件后，自行至项目现场考察。地点：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2"/>
                <w:sz w:val="21"/>
                <w:szCs w:val="21"/>
                <w:highlight w:val="none"/>
                <w:lang w:val="en-US" w:eastAsia="zh-CN" w:bidi="ar-SA"/>
              </w:rPr>
              <w:t>，联系人：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2"/>
                <w:sz w:val="21"/>
                <w:szCs w:val="21"/>
                <w:highlight w:val="none"/>
                <w:lang w:val="en-US" w:eastAsia="zh-CN" w:bidi="ar-SA"/>
              </w:rPr>
              <w:t>，联系方式：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2"/>
                <w:sz w:val="21"/>
                <w:szCs w:val="21"/>
                <w:highlight w:val="none"/>
                <w:lang w:val="en-US" w:eastAsia="zh-CN" w:bidi="ar-SA"/>
              </w:rPr>
              <w:t>。</w:t>
            </w:r>
          </w:p>
          <w:p w14:paraId="4958A56A">
            <w:pPr>
              <w:pStyle w:val="81"/>
              <w:keepNext w:val="0"/>
              <w:keepLines w:val="0"/>
              <w:pageBreakBefore w:val="0"/>
              <w:kinsoku/>
              <w:wordWrap/>
              <w:overflowPunct/>
              <w:topLinePunct w:val="0"/>
              <w:bidi w:val="0"/>
              <w:adjustRightInd w:val="0"/>
              <w:textAlignment w:val="auto"/>
              <w:rPr>
                <w:rFonts w:hint="eastAsia" w:ascii="宋体" w:hAnsi="宋体" w:eastAsia="宋体" w:cs="宋体"/>
                <w:color w:val="auto"/>
                <w:sz w:val="21"/>
                <w:szCs w:val="21"/>
                <w:highlight w:val="none"/>
              </w:rPr>
            </w:pPr>
          </w:p>
        </w:tc>
      </w:tr>
      <w:tr w14:paraId="37B575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 w:hRule="atLeast"/>
        </w:trPr>
        <w:tc>
          <w:tcPr>
            <w:tcW w:w="629" w:type="dxa"/>
            <w:tcBorders>
              <w:top w:val="single" w:color="auto" w:sz="4" w:space="0"/>
              <w:left w:val="single" w:color="auto" w:sz="4" w:space="0"/>
              <w:bottom w:val="single" w:color="auto" w:sz="4" w:space="0"/>
              <w:right w:val="single" w:color="auto" w:sz="4" w:space="0"/>
            </w:tcBorders>
          </w:tcPr>
          <w:p w14:paraId="7E38C117">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4C8342B8">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5702B38E">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4572BA0E">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76154A94">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15223D54">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5D0850DE">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124258C6">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6DF66547">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6D96F252">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7F55C6FE">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6BC1CD48">
            <w:pPr>
              <w:pStyle w:val="784"/>
              <w:widowControl w:val="0"/>
              <w:spacing w:line="460" w:lineRule="exact"/>
              <w:rPr>
                <w:rFonts w:hint="eastAsia" w:ascii="宋体" w:hAnsi="宋体" w:eastAsia="宋体" w:cs="宋体"/>
                <w:color w:val="auto"/>
                <w:sz w:val="21"/>
                <w:szCs w:val="21"/>
                <w:highlight w:val="none"/>
                <w:lang w:val="zh-TW" w:eastAsia="zh-TW"/>
              </w:rPr>
            </w:pP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lang w:eastAsia="zh-TW"/>
              </w:rPr>
              <w:t xml:space="preserve"> </w:t>
            </w:r>
            <w:r>
              <w:rPr>
                <w:rFonts w:hint="eastAsia" w:ascii="宋体" w:hAnsi="宋体" w:eastAsia="宋体" w:cs="宋体"/>
                <w:color w:val="auto"/>
                <w:sz w:val="21"/>
                <w:szCs w:val="21"/>
                <w:highlight w:val="none"/>
                <w:lang w:val="zh-TW" w:eastAsia="zh-TW"/>
              </w:rPr>
              <w:t>A不要求提供。</w:t>
            </w:r>
          </w:p>
          <w:p w14:paraId="561456EE">
            <w:pPr>
              <w:pStyle w:val="784"/>
              <w:widowControl w:val="0"/>
              <w:spacing w:line="460" w:lineRule="exact"/>
              <w:rPr>
                <w:rFonts w:hint="eastAsia" w:ascii="宋体" w:hAnsi="宋体" w:eastAsia="宋体" w:cs="宋体"/>
                <w:color w:val="auto"/>
                <w:sz w:val="21"/>
                <w:szCs w:val="21"/>
                <w:highlight w:val="none"/>
                <w:lang w:val="zh-TW" w:eastAsia="zh-TW"/>
              </w:rPr>
            </w:pPr>
            <w:bookmarkStart w:id="633" w:name="_GoBack"/>
            <w:bookmarkEnd w:id="633"/>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lang w:eastAsia="zh-TW"/>
              </w:rPr>
              <w:t xml:space="preserve"> </w:t>
            </w:r>
            <w:r>
              <w:rPr>
                <w:rFonts w:hint="eastAsia" w:ascii="宋体" w:hAnsi="宋体" w:eastAsia="宋体" w:cs="宋体"/>
                <w:color w:val="auto"/>
                <w:sz w:val="21"/>
                <w:szCs w:val="21"/>
                <w:highlight w:val="none"/>
                <w:lang w:val="zh-TW" w:eastAsia="zh-TW"/>
              </w:rPr>
              <w:t>B要求提供，</w:t>
            </w:r>
          </w:p>
          <w:p w14:paraId="70C10778">
            <w:pPr>
              <w:pStyle w:val="784"/>
              <w:widowControl w:val="0"/>
              <w:spacing w:line="460" w:lineRule="exact"/>
              <w:rPr>
                <w:rFonts w:hint="eastAsia" w:ascii="宋体" w:hAnsi="宋体" w:eastAsia="宋体" w:cs="宋体"/>
                <w:color w:val="auto"/>
                <w:sz w:val="21"/>
                <w:szCs w:val="21"/>
                <w:highlight w:val="none"/>
                <w:lang w:val="zh-TW"/>
              </w:rPr>
            </w:pPr>
            <w:r>
              <w:rPr>
                <w:rFonts w:hint="eastAsia" w:ascii="宋体" w:hAnsi="宋体" w:eastAsia="宋体" w:cs="宋体"/>
                <w:color w:val="auto"/>
                <w:sz w:val="21"/>
                <w:szCs w:val="21"/>
                <w:highlight w:val="none"/>
                <w:lang w:val="zh-TW"/>
              </w:rPr>
              <w:t xml:space="preserve">（1）样品：  </w:t>
            </w:r>
            <w:r>
              <w:rPr>
                <w:rFonts w:hint="eastAsia" w:ascii="宋体" w:hAnsi="宋体" w:eastAsia="宋体" w:cs="宋体"/>
                <w:color w:val="auto"/>
                <w:sz w:val="21"/>
                <w:szCs w:val="21"/>
                <w:highlight w:val="none"/>
                <w:u w:val="single"/>
              </w:rPr>
              <w:t>具体详见“第三部分 采购需求  “样品要求”</w:t>
            </w:r>
            <w:r>
              <w:rPr>
                <w:rFonts w:hint="eastAsia" w:ascii="宋体" w:hAnsi="宋体" w:eastAsia="宋体" w:cs="宋体"/>
                <w:color w:val="auto"/>
                <w:sz w:val="21"/>
                <w:szCs w:val="21"/>
                <w:highlight w:val="none"/>
                <w:u w:val="single"/>
                <w:lang w:val="zh-TW"/>
              </w:rPr>
              <w:t xml:space="preserve"> </w:t>
            </w:r>
            <w:r>
              <w:rPr>
                <w:rFonts w:hint="eastAsia" w:ascii="宋体" w:hAnsi="宋体" w:eastAsia="宋体" w:cs="宋体"/>
                <w:color w:val="auto"/>
                <w:sz w:val="21"/>
                <w:szCs w:val="21"/>
                <w:highlight w:val="none"/>
                <w:lang w:val="zh-TW"/>
              </w:rPr>
              <w:t>；</w:t>
            </w:r>
          </w:p>
          <w:p w14:paraId="7A57649B">
            <w:pPr>
              <w:pStyle w:val="784"/>
              <w:widowControl w:val="0"/>
              <w:spacing w:line="460" w:lineRule="exact"/>
              <w:rPr>
                <w:rFonts w:hint="eastAsia" w:ascii="宋体" w:hAnsi="宋体" w:eastAsia="宋体" w:cs="宋体"/>
                <w:color w:val="auto"/>
                <w:sz w:val="21"/>
                <w:szCs w:val="21"/>
                <w:highlight w:val="none"/>
                <w:lang w:val="zh-TW"/>
              </w:rPr>
            </w:pPr>
            <w:r>
              <w:rPr>
                <w:rFonts w:hint="eastAsia" w:ascii="宋体" w:hAnsi="宋体" w:eastAsia="宋体" w:cs="宋体"/>
                <w:color w:val="auto"/>
                <w:sz w:val="21"/>
                <w:szCs w:val="21"/>
                <w:highlight w:val="none"/>
                <w:lang w:val="zh-TW"/>
              </w:rPr>
              <w:t>（2）样品制作的标准和要求：</w:t>
            </w:r>
            <w:r>
              <w:rPr>
                <w:rFonts w:hint="eastAsia" w:ascii="宋体" w:hAnsi="宋体" w:eastAsia="宋体" w:cs="宋体"/>
                <w:color w:val="auto"/>
                <w:sz w:val="21"/>
                <w:szCs w:val="21"/>
                <w:highlight w:val="none"/>
                <w:u w:val="single"/>
                <w:lang w:val="zh-TW"/>
              </w:rPr>
              <w:t xml:space="preserve"> </w:t>
            </w:r>
            <w:r>
              <w:rPr>
                <w:rFonts w:hint="eastAsia" w:ascii="宋体" w:hAnsi="宋体" w:eastAsia="宋体" w:cs="宋体"/>
                <w:color w:val="auto"/>
                <w:sz w:val="21"/>
                <w:szCs w:val="21"/>
                <w:highlight w:val="none"/>
                <w:u w:val="single"/>
              </w:rPr>
              <w:t>具体详见“第三部分 采购需求  “样品要求”</w:t>
            </w:r>
            <w:r>
              <w:rPr>
                <w:rFonts w:hint="eastAsia" w:ascii="宋体" w:hAnsi="宋体" w:eastAsia="宋体" w:cs="宋体"/>
                <w:color w:val="auto"/>
                <w:sz w:val="21"/>
                <w:szCs w:val="21"/>
                <w:highlight w:val="none"/>
                <w:lang w:val="zh-TW"/>
              </w:rPr>
              <w:t xml:space="preserve"> ；</w:t>
            </w:r>
          </w:p>
          <w:p w14:paraId="74F1529A">
            <w:pPr>
              <w:pStyle w:val="784"/>
              <w:widowControl w:val="0"/>
              <w:spacing w:line="460" w:lineRule="exact"/>
              <w:rPr>
                <w:rFonts w:hint="eastAsia" w:ascii="宋体" w:hAnsi="宋体" w:eastAsia="宋体" w:cs="宋体"/>
                <w:color w:val="auto"/>
                <w:sz w:val="21"/>
                <w:szCs w:val="21"/>
                <w:highlight w:val="none"/>
                <w:lang w:val="zh-TW"/>
              </w:rPr>
            </w:pPr>
            <w:r>
              <w:rPr>
                <w:rFonts w:hint="eastAsia" w:ascii="宋体" w:hAnsi="宋体" w:eastAsia="宋体" w:cs="宋体"/>
                <w:color w:val="auto"/>
                <w:sz w:val="21"/>
                <w:szCs w:val="21"/>
                <w:highlight w:val="none"/>
                <w:lang w:val="zh-TW"/>
              </w:rPr>
              <w:t>（3）样品的评审方法以及评审标准：</w:t>
            </w:r>
            <w:r>
              <w:rPr>
                <w:rFonts w:hint="eastAsia" w:ascii="宋体" w:hAnsi="宋体" w:eastAsia="宋体" w:cs="宋体"/>
                <w:color w:val="auto"/>
                <w:sz w:val="21"/>
                <w:szCs w:val="21"/>
                <w:highlight w:val="none"/>
                <w:u w:val="single"/>
                <w:lang w:val="zh-TW"/>
              </w:rPr>
              <w:t>详见评标办法</w:t>
            </w:r>
            <w:r>
              <w:rPr>
                <w:rFonts w:hint="eastAsia" w:ascii="宋体" w:hAnsi="宋体" w:eastAsia="宋体" w:cs="宋体"/>
                <w:color w:val="auto"/>
                <w:sz w:val="21"/>
                <w:szCs w:val="21"/>
                <w:highlight w:val="none"/>
                <w:lang w:val="zh-TW"/>
              </w:rPr>
              <w:t>；</w:t>
            </w:r>
          </w:p>
          <w:p w14:paraId="11626D95">
            <w:pPr>
              <w:pStyle w:val="784"/>
              <w:widowControl w:val="0"/>
              <w:spacing w:line="460" w:lineRule="exact"/>
              <w:rPr>
                <w:rFonts w:hint="eastAsia" w:ascii="宋体" w:hAnsi="宋体" w:eastAsia="宋体" w:cs="宋体"/>
                <w:color w:val="auto"/>
                <w:sz w:val="21"/>
                <w:szCs w:val="21"/>
                <w:highlight w:val="none"/>
                <w:lang w:val="zh-TW"/>
              </w:rPr>
            </w:pPr>
            <w:r>
              <w:rPr>
                <w:rFonts w:hint="eastAsia" w:ascii="宋体" w:hAnsi="宋体" w:eastAsia="宋体" w:cs="宋体"/>
                <w:color w:val="auto"/>
                <w:sz w:val="21"/>
                <w:szCs w:val="21"/>
                <w:highlight w:val="none"/>
                <w:lang w:val="zh-TW"/>
              </w:rPr>
              <w:t>（4）是否需要随样品提交检测报告：☐否；</w:t>
            </w:r>
            <w:r>
              <w:rPr>
                <w:rFonts w:hint="eastAsia" w:ascii="宋体" w:hAnsi="宋体" w:eastAsia="宋体" w:cs="宋体"/>
                <w:color w:val="auto"/>
                <w:sz w:val="21"/>
                <w:szCs w:val="21"/>
                <w:highlight w:val="none"/>
                <w:lang w:val="zh-TW"/>
              </w:rPr>
              <w:sym w:font="Wingdings 2" w:char="0052"/>
            </w:r>
            <w:r>
              <w:rPr>
                <w:rFonts w:hint="eastAsia" w:ascii="宋体" w:hAnsi="宋体" w:eastAsia="宋体" w:cs="宋体"/>
                <w:color w:val="auto"/>
                <w:sz w:val="21"/>
                <w:szCs w:val="21"/>
                <w:highlight w:val="none"/>
                <w:lang w:val="zh-TW"/>
              </w:rPr>
              <w:t>是</w:t>
            </w:r>
            <w:r>
              <w:rPr>
                <w:rFonts w:hint="eastAsia" w:ascii="宋体" w:hAnsi="宋体" w:eastAsia="宋体" w:cs="宋体"/>
                <w:color w:val="auto"/>
                <w:sz w:val="21"/>
                <w:szCs w:val="21"/>
                <w:highlight w:val="none"/>
              </w:rPr>
              <w:t>，检测机构的要求：</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；检测内容：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1C241792">
            <w:pPr>
              <w:pStyle w:val="784"/>
              <w:widowControl w:val="0"/>
              <w:spacing w:line="460" w:lineRule="exact"/>
              <w:rPr>
                <w:rFonts w:hint="eastAsia" w:ascii="宋体" w:hAnsi="宋体" w:eastAsia="宋体" w:cs="宋体"/>
                <w:color w:val="auto"/>
                <w:sz w:val="21"/>
                <w:szCs w:val="21"/>
                <w:highlight w:val="none"/>
                <w:lang w:val="zh-TW"/>
              </w:rPr>
            </w:pPr>
            <w:r>
              <w:rPr>
                <w:rFonts w:hint="eastAsia" w:ascii="宋体" w:hAnsi="宋体" w:eastAsia="宋体" w:cs="宋体"/>
                <w:color w:val="auto"/>
                <w:sz w:val="21"/>
                <w:szCs w:val="21"/>
                <w:highlight w:val="none"/>
                <w:lang w:val="zh-TW"/>
              </w:rPr>
              <w:t>（5）</w:t>
            </w:r>
            <w:r>
              <w:rPr>
                <w:rFonts w:hint="eastAsia" w:ascii="宋体" w:hAnsi="宋体" w:eastAsia="宋体" w:cs="宋体"/>
                <w:color w:val="auto"/>
                <w:sz w:val="21"/>
                <w:szCs w:val="21"/>
                <w:highlight w:val="none"/>
                <w:u w:val="single"/>
                <w:lang w:val="zh-TW"/>
              </w:rPr>
              <w:t>提供样品的时间：投标截止时间前；地点：浙江省杭州市大关路179号远洋国际中心A座1706；联系人：</w:t>
            </w:r>
            <w:r>
              <w:rPr>
                <w:rFonts w:hint="eastAsia" w:ascii="宋体" w:hAnsi="宋体" w:eastAsia="宋体" w:cs="宋体"/>
                <w:color w:val="auto"/>
                <w:sz w:val="21"/>
                <w:szCs w:val="21"/>
                <w:highlight w:val="none"/>
                <w:u w:val="single"/>
                <w:lang w:val="en-US" w:eastAsia="zh-CN"/>
              </w:rPr>
              <w:t>赵檬</w:t>
            </w:r>
            <w:r>
              <w:rPr>
                <w:rFonts w:hint="eastAsia" w:ascii="宋体" w:hAnsi="宋体" w:eastAsia="宋体" w:cs="宋体"/>
                <w:color w:val="auto"/>
                <w:sz w:val="21"/>
                <w:szCs w:val="21"/>
                <w:highlight w:val="none"/>
                <w:u w:val="single"/>
                <w:lang w:val="zh-TW"/>
              </w:rPr>
              <w:t>，联系电话：0571-87981527。</w:t>
            </w:r>
            <w:r>
              <w:rPr>
                <w:rFonts w:hint="eastAsia" w:ascii="宋体" w:hAnsi="宋体" w:eastAsia="宋体" w:cs="宋体"/>
                <w:color w:val="auto"/>
                <w:sz w:val="21"/>
                <w:szCs w:val="21"/>
                <w:highlight w:val="none"/>
                <w:lang w:val="zh-TW"/>
              </w:rPr>
              <w:t>请投标人在上述时间内提供样品并按规定位置安装完毕。超过截止时间的，采购人或采购代理机构将不予接收，并将清场并封闭样品现场。</w:t>
            </w:r>
          </w:p>
          <w:p w14:paraId="2C8FC160">
            <w:pPr>
              <w:pStyle w:val="784"/>
              <w:widowControl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(6)采购活动结束后，对于未中标人提供的样品，采购人、</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将通知未中标人在规定的时间内取回，逾期未取回的，采购人、</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不负保管义务；对于中标人提供的样品，采购人将进行保管、封存，并作为履约验收的参考。</w:t>
            </w:r>
          </w:p>
          <w:p w14:paraId="02C3ECEC">
            <w:pPr>
              <w:pStyle w:val="784"/>
              <w:widowControl w:val="0"/>
              <w:spacing w:line="460" w:lineRule="exac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（7）制作、运输、安装和保管样品所发生的一切费用由投标人自理。</w:t>
            </w:r>
          </w:p>
        </w:tc>
      </w:tr>
      <w:tr w14:paraId="34DE73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 w:hRule="atLeast"/>
        </w:trPr>
        <w:tc>
          <w:tcPr>
            <w:tcW w:w="629" w:type="dxa"/>
            <w:tcBorders>
              <w:top w:val="single" w:color="auto" w:sz="4" w:space="0"/>
              <w:left w:val="single" w:color="auto" w:sz="4" w:space="0"/>
              <w:bottom w:val="single" w:color="auto" w:sz="4" w:space="0"/>
              <w:right w:val="single" w:color="auto" w:sz="4" w:space="0"/>
            </w:tcBorders>
          </w:tcPr>
          <w:p w14:paraId="5F9617E2">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10C52CB0">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03925508">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1700A59D">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36717EAF">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03290741">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08749E8C">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6F65F7B4">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13A89377">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33834529">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3CDDD224">
            <w:pPr>
              <w:pStyle w:val="784"/>
              <w:widowControl w:val="0"/>
              <w:spacing w:line="460" w:lineRule="exact"/>
              <w:rPr>
                <w:rFonts w:hint="eastAsia" w:ascii="宋体" w:hAnsi="宋体" w:eastAsia="宋体" w:cs="宋体"/>
                <w:color w:val="auto"/>
                <w:sz w:val="21"/>
                <w:szCs w:val="21"/>
                <w:highlight w:val="none"/>
                <w:lang w:val="zh-TW"/>
              </w:rPr>
            </w:pPr>
            <w:r>
              <w:rPr>
                <w:rFonts w:hint="eastAsia" w:ascii="宋体" w:hAnsi="宋体" w:eastAsia="宋体" w:cs="宋体"/>
                <w:color w:val="auto"/>
                <w:sz w:val="21"/>
                <w:szCs w:val="21"/>
                <w:highlight w:val="none"/>
              </w:rPr>
              <w:sym w:font="Wingdings 2" w:char="0052"/>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zh-TW"/>
              </w:rPr>
              <w:t>A不组织。</w:t>
            </w:r>
          </w:p>
          <w:p w14:paraId="123D808A">
            <w:pPr>
              <w:pStyle w:val="784"/>
              <w:widowControl w:val="0"/>
              <w:spacing w:line="460" w:lineRule="exact"/>
              <w:rPr>
                <w:rFonts w:hint="eastAsia" w:ascii="宋体" w:hAnsi="宋体" w:eastAsia="宋体" w:cs="宋体"/>
                <w:color w:val="auto"/>
                <w:sz w:val="21"/>
                <w:szCs w:val="21"/>
                <w:highlight w:val="none"/>
                <w:lang w:val="zh-TW"/>
              </w:rPr>
            </w:pPr>
            <w:r>
              <w:rPr>
                <w:rFonts w:hint="eastAsia" w:ascii="宋体" w:hAnsi="宋体" w:eastAsia="宋体" w:cs="宋体"/>
                <w:color w:val="auto"/>
                <w:sz w:val="21"/>
                <w:szCs w:val="21"/>
                <w:highlight w:val="none"/>
              </w:rPr>
              <w:sym w:font="Wingdings 2" w:char="00A3"/>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zh-TW"/>
              </w:rPr>
              <w:t>B组织。</w:t>
            </w:r>
          </w:p>
          <w:p w14:paraId="7A1D87C6">
            <w:pPr>
              <w:pStyle w:val="784"/>
              <w:widowControl w:val="0"/>
              <w:spacing w:line="460" w:lineRule="exact"/>
              <w:rPr>
                <w:rFonts w:hint="eastAsia" w:ascii="宋体" w:hAnsi="宋体" w:eastAsia="宋体" w:cs="宋体"/>
                <w:color w:val="auto"/>
                <w:sz w:val="21"/>
                <w:szCs w:val="21"/>
                <w:highlight w:val="none"/>
                <w:lang w:val="zh-TW"/>
              </w:rPr>
            </w:pPr>
            <w:r>
              <w:rPr>
                <w:rFonts w:hint="eastAsia" w:ascii="宋体" w:hAnsi="宋体" w:eastAsia="宋体" w:cs="宋体"/>
                <w:color w:val="auto"/>
                <w:sz w:val="21"/>
                <w:szCs w:val="21"/>
                <w:highlight w:val="none"/>
                <w:lang w:val="zh-TW"/>
              </w:rPr>
              <w:t>（1）在</w:t>
            </w:r>
            <w:r>
              <w:rPr>
                <w:rFonts w:hint="eastAsia" w:ascii="宋体" w:hAnsi="宋体" w:eastAsia="宋体" w:cs="宋体"/>
                <w:color w:val="auto"/>
                <w:sz w:val="21"/>
                <w:szCs w:val="21"/>
                <w:highlight w:val="none"/>
              </w:rPr>
              <w:t>评审</w:t>
            </w:r>
            <w:r>
              <w:rPr>
                <w:rFonts w:hint="eastAsia" w:ascii="宋体" w:hAnsi="宋体" w:eastAsia="宋体" w:cs="宋体"/>
                <w:color w:val="auto"/>
                <w:sz w:val="21"/>
                <w:szCs w:val="21"/>
                <w:highlight w:val="none"/>
                <w:lang w:val="zh-TW"/>
              </w:rPr>
              <w:t>时安排每个</w:t>
            </w: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val="zh-TW"/>
              </w:rPr>
              <w:t>进行方案讲解演示。每个</w:t>
            </w: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val="zh-TW"/>
              </w:rPr>
              <w:t>时间不超过</w:t>
            </w:r>
            <w:r>
              <w:rPr>
                <w:rFonts w:hint="eastAsia" w:ascii="宋体" w:hAnsi="宋体" w:eastAsia="宋体" w:cs="宋体"/>
                <w:b/>
                <w:bCs/>
                <w:color w:val="auto"/>
                <w:sz w:val="21"/>
                <w:szCs w:val="21"/>
                <w:highlight w:val="none"/>
                <w:lang w:val="zh-TW"/>
              </w:rPr>
              <w:t>20分钟</w:t>
            </w:r>
            <w:r>
              <w:rPr>
                <w:rFonts w:hint="eastAsia" w:ascii="宋体" w:hAnsi="宋体" w:eastAsia="宋体" w:cs="宋体"/>
                <w:color w:val="auto"/>
                <w:sz w:val="21"/>
                <w:szCs w:val="21"/>
                <w:highlight w:val="none"/>
                <w:lang w:val="zh-TW"/>
              </w:rPr>
              <w:t>，讲解次序以</w:t>
            </w:r>
            <w:r>
              <w:rPr>
                <w:rFonts w:hint="eastAsia" w:ascii="宋体" w:hAnsi="宋体" w:eastAsia="宋体" w:cs="宋体"/>
                <w:color w:val="auto"/>
                <w:sz w:val="21"/>
                <w:szCs w:val="21"/>
                <w:highlight w:val="none"/>
              </w:rPr>
              <w:t>响应文件</w:t>
            </w:r>
            <w:r>
              <w:rPr>
                <w:rFonts w:hint="eastAsia" w:ascii="宋体" w:hAnsi="宋体" w:eastAsia="宋体" w:cs="宋体"/>
                <w:color w:val="auto"/>
                <w:sz w:val="21"/>
                <w:szCs w:val="21"/>
                <w:highlight w:val="none"/>
                <w:lang w:val="zh-TW"/>
              </w:rPr>
              <w:t>解密时间先后次序为准，讲解演示人员</w:t>
            </w:r>
            <w:r>
              <w:rPr>
                <w:rFonts w:hint="eastAsia" w:ascii="宋体" w:hAnsi="宋体" w:eastAsia="宋体" w:cs="宋体"/>
                <w:b/>
                <w:bCs/>
                <w:color w:val="auto"/>
                <w:sz w:val="21"/>
                <w:szCs w:val="21"/>
                <w:highlight w:val="none"/>
                <w:lang w:val="zh-TW"/>
              </w:rPr>
              <w:t>不超过3人</w:t>
            </w:r>
            <w:r>
              <w:rPr>
                <w:rFonts w:hint="eastAsia" w:ascii="宋体" w:hAnsi="宋体" w:eastAsia="宋体" w:cs="宋体"/>
                <w:color w:val="auto"/>
                <w:sz w:val="21"/>
                <w:szCs w:val="21"/>
                <w:highlight w:val="none"/>
                <w:lang w:val="zh-TW"/>
              </w:rPr>
              <w:t>。讲解演示结束后按要求解答</w:t>
            </w:r>
            <w:r>
              <w:rPr>
                <w:rFonts w:hint="eastAsia" w:ascii="宋体" w:hAnsi="宋体" w:eastAsia="宋体" w:cs="宋体"/>
                <w:color w:val="auto"/>
                <w:sz w:val="21"/>
                <w:szCs w:val="21"/>
                <w:highlight w:val="none"/>
              </w:rPr>
              <w:t>磋商小组</w:t>
            </w:r>
            <w:r>
              <w:rPr>
                <w:rFonts w:hint="eastAsia" w:ascii="宋体" w:hAnsi="宋体" w:eastAsia="宋体" w:cs="宋体"/>
                <w:color w:val="auto"/>
                <w:sz w:val="21"/>
                <w:szCs w:val="21"/>
                <w:highlight w:val="none"/>
                <w:lang w:val="zh-TW"/>
              </w:rPr>
              <w:t>提问。</w:t>
            </w:r>
          </w:p>
          <w:p w14:paraId="673540CD">
            <w:pPr>
              <w:pStyle w:val="784"/>
              <w:widowControl w:val="0"/>
              <w:spacing w:line="460" w:lineRule="exact"/>
              <w:rPr>
                <w:rFonts w:hint="eastAsia" w:ascii="宋体" w:hAnsi="宋体" w:eastAsia="宋体" w:cs="宋体"/>
                <w:color w:val="auto"/>
                <w:sz w:val="21"/>
                <w:szCs w:val="21"/>
                <w:highlight w:val="none"/>
                <w:lang w:val="zh-TW"/>
              </w:rPr>
            </w:pPr>
            <w:r>
              <w:rPr>
                <w:rFonts w:hint="eastAsia" w:ascii="宋体" w:hAnsi="宋体" w:eastAsia="宋体" w:cs="宋体"/>
                <w:color w:val="auto"/>
                <w:sz w:val="21"/>
                <w:szCs w:val="21"/>
                <w:highlight w:val="none"/>
                <w:lang w:val="zh-TW"/>
              </w:rPr>
              <w:t>（2）方案讲解演示可选择以下</w:t>
            </w:r>
            <w:r>
              <w:rPr>
                <w:rFonts w:hint="eastAsia" w:ascii="宋体" w:hAnsi="宋体" w:eastAsia="宋体" w:cs="宋体"/>
                <w:b/>
                <w:bCs/>
                <w:color w:val="auto"/>
                <w:sz w:val="21"/>
                <w:szCs w:val="21"/>
                <w:highlight w:val="none"/>
                <w:u w:val="single"/>
              </w:rPr>
              <w:t>[</w:t>
            </w:r>
            <w:r>
              <w:rPr>
                <w:rFonts w:hint="eastAsia" w:ascii="宋体" w:hAnsi="宋体" w:eastAsia="宋体" w:cs="宋体"/>
                <w:b/>
                <w:bCs/>
                <w:color w:val="auto"/>
                <w:sz w:val="21"/>
                <w:szCs w:val="21"/>
                <w:highlight w:val="none"/>
                <w:u w:val="single"/>
                <w:lang w:val="zh-TW"/>
              </w:rPr>
              <w:t>方式二</w:t>
            </w:r>
            <w:r>
              <w:rPr>
                <w:rFonts w:hint="eastAsia" w:ascii="宋体" w:hAnsi="宋体" w:eastAsia="宋体" w:cs="宋体"/>
                <w:b/>
                <w:bCs/>
                <w:color w:val="auto"/>
                <w:sz w:val="21"/>
                <w:szCs w:val="21"/>
                <w:highlight w:val="none"/>
                <w:u w:val="single"/>
              </w:rPr>
              <w:t>]</w:t>
            </w:r>
            <w:r>
              <w:rPr>
                <w:rFonts w:hint="eastAsia" w:ascii="宋体" w:hAnsi="宋体" w:eastAsia="宋体" w:cs="宋体"/>
                <w:color w:val="auto"/>
                <w:sz w:val="21"/>
                <w:szCs w:val="21"/>
                <w:highlight w:val="none"/>
                <w:lang w:val="zh-TW"/>
              </w:rPr>
              <w:t>方式：</w:t>
            </w:r>
          </w:p>
          <w:p w14:paraId="5C3D36C9">
            <w:pPr>
              <w:pStyle w:val="784"/>
              <w:widowControl w:val="0"/>
              <w:spacing w:line="460" w:lineRule="exact"/>
              <w:rPr>
                <w:rFonts w:hint="eastAsia" w:ascii="宋体" w:hAnsi="宋体" w:eastAsia="宋体" w:cs="宋体"/>
                <w:color w:val="auto"/>
                <w:sz w:val="21"/>
                <w:szCs w:val="21"/>
                <w:highlight w:val="none"/>
                <w:lang w:val="zh-TW"/>
              </w:rPr>
            </w:pPr>
            <w:r>
              <w:rPr>
                <w:rFonts w:hint="eastAsia" w:ascii="宋体" w:hAnsi="宋体" w:eastAsia="宋体" w:cs="宋体"/>
                <w:color w:val="auto"/>
                <w:sz w:val="21"/>
                <w:szCs w:val="21"/>
                <w:highlight w:val="none"/>
                <w:lang w:val="zh-TW"/>
              </w:rPr>
              <w:t>方式一：在线讲解演示。在线讲解需投标人根据</w:t>
            </w:r>
            <w:r>
              <w:rPr>
                <w:rFonts w:hint="eastAsia" w:ascii="宋体" w:hAnsi="宋体" w:eastAsia="宋体" w:cs="宋体"/>
                <w:color w:val="auto"/>
                <w:sz w:val="21"/>
                <w:szCs w:val="21"/>
                <w:highlight w:val="none"/>
              </w:rPr>
              <w:t>在线讲解</w:t>
            </w:r>
            <w:r>
              <w:rPr>
                <w:rFonts w:hint="eastAsia" w:ascii="宋体" w:hAnsi="宋体" w:eastAsia="宋体" w:cs="宋体"/>
                <w:color w:val="auto"/>
                <w:sz w:val="21"/>
                <w:szCs w:val="21"/>
                <w:highlight w:val="none"/>
                <w:lang w:val="zh-TW"/>
              </w:rPr>
              <w:t>平台操作要求做好准备工作，提前完善软硬件配置环境。</w:t>
            </w:r>
          </w:p>
          <w:p w14:paraId="52D5DA4F">
            <w:pPr>
              <w:pStyle w:val="784"/>
              <w:widowControl w:val="0"/>
              <w:spacing w:line="46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zh-TW"/>
              </w:rPr>
              <w:t>方式</w:t>
            </w:r>
            <w:r>
              <w:rPr>
                <w:rFonts w:hint="eastAsia" w:ascii="宋体" w:hAnsi="宋体" w:eastAsia="宋体" w:cs="宋体"/>
                <w:b/>
                <w:bCs/>
                <w:color w:val="auto"/>
                <w:sz w:val="21"/>
                <w:szCs w:val="21"/>
                <w:highlight w:val="none"/>
              </w:rPr>
              <w:t>二</w:t>
            </w:r>
            <w:r>
              <w:rPr>
                <w:rFonts w:hint="eastAsia" w:ascii="宋体" w:hAnsi="宋体" w:eastAsia="宋体" w:cs="宋体"/>
                <w:b/>
                <w:bCs/>
                <w:color w:val="auto"/>
                <w:sz w:val="21"/>
                <w:szCs w:val="21"/>
                <w:highlight w:val="none"/>
                <w:lang w:val="zh-TW"/>
              </w:rPr>
              <w:t>：</w:t>
            </w:r>
            <w:r>
              <w:rPr>
                <w:rFonts w:hint="eastAsia" w:ascii="宋体" w:hAnsi="宋体" w:eastAsia="宋体" w:cs="宋体"/>
                <w:b/>
                <w:bCs/>
                <w:color w:val="auto"/>
                <w:sz w:val="21"/>
                <w:szCs w:val="21"/>
                <w:highlight w:val="none"/>
              </w:rPr>
              <w:t>录制视频讲解</w:t>
            </w:r>
            <w:r>
              <w:rPr>
                <w:rFonts w:hint="eastAsia" w:ascii="宋体" w:hAnsi="宋体" w:eastAsia="宋体" w:cs="宋体"/>
                <w:b/>
                <w:bCs/>
                <w:color w:val="auto"/>
                <w:sz w:val="21"/>
                <w:szCs w:val="21"/>
                <w:highlight w:val="none"/>
                <w:lang w:val="zh-TW"/>
              </w:rPr>
              <w:t>演示。需投标人</w:t>
            </w:r>
            <w:r>
              <w:rPr>
                <w:rFonts w:hint="eastAsia" w:ascii="宋体" w:hAnsi="宋体" w:eastAsia="宋体" w:cs="宋体"/>
                <w:b/>
                <w:bCs/>
                <w:color w:val="auto"/>
                <w:sz w:val="21"/>
                <w:szCs w:val="21"/>
                <w:highlight w:val="none"/>
              </w:rPr>
              <w:t>将讲解演示的视频预先录制后保存在U盘或其他存储工具中，并附播放软件</w:t>
            </w:r>
            <w:r>
              <w:rPr>
                <w:rFonts w:hint="eastAsia" w:ascii="宋体" w:hAnsi="宋体" w:eastAsia="宋体" w:cs="宋体"/>
                <w:b/>
                <w:bCs/>
                <w:color w:val="auto"/>
                <w:sz w:val="21"/>
                <w:szCs w:val="21"/>
                <w:highlight w:val="none"/>
                <w:lang w:val="zh-TW"/>
              </w:rPr>
              <w:t>。</w:t>
            </w:r>
            <w:r>
              <w:rPr>
                <w:rFonts w:hint="eastAsia" w:ascii="宋体" w:hAnsi="宋体" w:eastAsia="宋体" w:cs="宋体"/>
                <w:b/>
                <w:bCs/>
                <w:color w:val="auto"/>
                <w:sz w:val="21"/>
                <w:szCs w:val="21"/>
                <w:highlight w:val="none"/>
              </w:rPr>
              <w:t>在开标前送至</w:t>
            </w:r>
            <w:r>
              <w:rPr>
                <w:rFonts w:hint="eastAsia" w:ascii="宋体" w:hAnsi="宋体" w:eastAsia="宋体" w:cs="宋体"/>
                <w:b/>
                <w:bCs/>
                <w:color w:val="auto"/>
                <w:sz w:val="21"/>
                <w:szCs w:val="21"/>
                <w:highlight w:val="none"/>
                <w:u w:val="single"/>
              </w:rPr>
              <w:t>杭州市拱墅区大关路179号远洋国际A座17楼170</w:t>
            </w:r>
            <w:r>
              <w:rPr>
                <w:rFonts w:hint="eastAsia" w:ascii="宋体" w:hAnsi="宋体" w:eastAsia="宋体" w:cs="宋体"/>
                <w:b/>
                <w:bCs/>
                <w:color w:val="auto"/>
                <w:sz w:val="21"/>
                <w:szCs w:val="21"/>
                <w:highlight w:val="none"/>
                <w:u w:val="single"/>
                <w:lang w:val="en-US" w:eastAsia="zh-CN"/>
              </w:rPr>
              <w:t>5</w:t>
            </w:r>
            <w:r>
              <w:rPr>
                <w:rFonts w:hint="eastAsia" w:ascii="宋体" w:hAnsi="宋体" w:eastAsia="宋体" w:cs="宋体"/>
                <w:b/>
                <w:bCs/>
                <w:color w:val="auto"/>
                <w:sz w:val="21"/>
                <w:szCs w:val="21"/>
                <w:highlight w:val="none"/>
                <w:u w:val="single"/>
              </w:rPr>
              <w:t>室</w:t>
            </w:r>
            <w:r>
              <w:rPr>
                <w:rFonts w:hint="eastAsia" w:ascii="宋体" w:hAnsi="宋体" w:eastAsia="宋体" w:cs="宋体"/>
                <w:b/>
                <w:bCs/>
                <w:color w:val="auto"/>
                <w:sz w:val="21"/>
                <w:szCs w:val="21"/>
                <w:highlight w:val="none"/>
              </w:rPr>
              <w:t>，或提前一天邮寄至</w:t>
            </w:r>
            <w:r>
              <w:rPr>
                <w:rFonts w:hint="eastAsia" w:ascii="宋体" w:hAnsi="宋体" w:eastAsia="宋体" w:cs="宋体"/>
                <w:b/>
                <w:bCs/>
                <w:color w:val="auto"/>
                <w:sz w:val="21"/>
                <w:szCs w:val="21"/>
                <w:highlight w:val="none"/>
                <w:u w:val="single"/>
              </w:rPr>
              <w:t>杭州市拱墅区大关路179号远洋国际A座17楼170</w:t>
            </w:r>
            <w:r>
              <w:rPr>
                <w:rFonts w:hint="eastAsia" w:ascii="宋体" w:hAnsi="宋体" w:eastAsia="宋体" w:cs="宋体"/>
                <w:b/>
                <w:bCs/>
                <w:color w:val="auto"/>
                <w:sz w:val="21"/>
                <w:szCs w:val="21"/>
                <w:highlight w:val="none"/>
                <w:u w:val="single"/>
                <w:lang w:val="en-US" w:eastAsia="zh-CN"/>
              </w:rPr>
              <w:t>5</w:t>
            </w:r>
            <w:r>
              <w:rPr>
                <w:rFonts w:hint="eastAsia" w:ascii="宋体" w:hAnsi="宋体" w:eastAsia="宋体" w:cs="宋体"/>
                <w:b/>
                <w:bCs/>
                <w:color w:val="auto"/>
                <w:sz w:val="21"/>
                <w:szCs w:val="21"/>
                <w:highlight w:val="none"/>
                <w:u w:val="single"/>
              </w:rPr>
              <w:t>室。</w:t>
            </w:r>
            <w:r>
              <w:rPr>
                <w:rFonts w:hint="eastAsia" w:ascii="宋体" w:hAnsi="宋体" w:eastAsia="宋体" w:cs="宋体"/>
                <w:b/>
                <w:bCs/>
                <w:color w:val="auto"/>
                <w:sz w:val="21"/>
                <w:szCs w:val="21"/>
                <w:highlight w:val="none"/>
              </w:rPr>
              <w:t>因U盾或其他存储工具无法读取导致讲解演示失败的风险，由投标人承担。</w:t>
            </w:r>
          </w:p>
          <w:p w14:paraId="3ACF6A70">
            <w:pPr>
              <w:pStyle w:val="784"/>
              <w:widowControl w:val="0"/>
              <w:spacing w:line="460" w:lineRule="exact"/>
              <w:rPr>
                <w:rFonts w:hint="eastAsia" w:ascii="宋体" w:hAnsi="宋体" w:eastAsia="宋体" w:cs="宋体"/>
                <w:b/>
                <w:bCs/>
                <w:color w:val="auto"/>
                <w:sz w:val="21"/>
                <w:szCs w:val="21"/>
                <w:highlight w:val="none"/>
                <w:lang w:val="zh-TW"/>
              </w:rPr>
            </w:pPr>
            <w:r>
              <w:rPr>
                <w:rFonts w:hint="eastAsia" w:ascii="宋体" w:hAnsi="宋体" w:eastAsia="宋体" w:cs="宋体"/>
                <w:color w:val="auto"/>
                <w:sz w:val="21"/>
                <w:szCs w:val="21"/>
                <w:highlight w:val="none"/>
                <w:lang w:val="zh-TW"/>
              </w:rPr>
              <w:t>方式</w:t>
            </w:r>
            <w:r>
              <w:rPr>
                <w:rFonts w:hint="eastAsia" w:ascii="宋体" w:hAnsi="宋体" w:eastAsia="宋体" w:cs="宋体"/>
                <w:color w:val="auto"/>
                <w:sz w:val="21"/>
                <w:szCs w:val="21"/>
                <w:highlight w:val="none"/>
              </w:rPr>
              <w:t>三</w:t>
            </w:r>
            <w:r>
              <w:rPr>
                <w:rFonts w:hint="eastAsia" w:ascii="宋体" w:hAnsi="宋体" w:eastAsia="宋体" w:cs="宋体"/>
                <w:color w:val="auto"/>
                <w:sz w:val="21"/>
                <w:szCs w:val="21"/>
                <w:highlight w:val="none"/>
                <w:lang w:val="zh-TW"/>
              </w:rPr>
              <w:t>：</w:t>
            </w:r>
            <w:r>
              <w:rPr>
                <w:rFonts w:hint="eastAsia" w:ascii="宋体" w:hAnsi="宋体" w:eastAsia="宋体" w:cs="宋体"/>
                <w:color w:val="auto"/>
                <w:sz w:val="21"/>
                <w:szCs w:val="21"/>
                <w:highlight w:val="none"/>
              </w:rPr>
              <w:t>代理机构</w:t>
            </w:r>
            <w:r>
              <w:rPr>
                <w:rFonts w:hint="eastAsia" w:ascii="宋体" w:hAnsi="宋体" w:eastAsia="宋体" w:cs="宋体"/>
                <w:color w:val="auto"/>
                <w:sz w:val="21"/>
                <w:szCs w:val="21"/>
                <w:highlight w:val="none"/>
                <w:lang w:val="zh-TW"/>
              </w:rPr>
              <w:t>现场讲解演示。现场讲解地点为</w:t>
            </w:r>
            <w:r>
              <w:rPr>
                <w:rFonts w:hint="eastAsia" w:ascii="宋体" w:hAnsi="宋体" w:eastAsia="宋体" w:cs="宋体"/>
                <w:color w:val="auto"/>
                <w:sz w:val="21"/>
                <w:szCs w:val="21"/>
                <w:highlight w:val="none"/>
                <w:u w:val="single"/>
              </w:rPr>
              <w:t>杭州市拱墅区大关路179号远洋国际A座17楼1706室</w:t>
            </w:r>
            <w:r>
              <w:rPr>
                <w:rFonts w:hint="eastAsia" w:ascii="宋体" w:hAnsi="宋体" w:eastAsia="宋体" w:cs="宋体"/>
                <w:color w:val="auto"/>
                <w:sz w:val="21"/>
                <w:szCs w:val="21"/>
                <w:highlight w:val="none"/>
                <w:lang w:val="zh-TW"/>
              </w:rPr>
              <w:t>，讲解演示所用电脑等设备由投标人自备。</w:t>
            </w:r>
            <w:r>
              <w:rPr>
                <w:rFonts w:hint="eastAsia" w:ascii="宋体" w:hAnsi="宋体" w:eastAsia="宋体" w:cs="宋体"/>
                <w:b/>
                <w:bCs/>
                <w:color w:val="auto"/>
                <w:sz w:val="21"/>
                <w:szCs w:val="21"/>
                <w:highlight w:val="none"/>
                <w:lang w:val="zh-TW"/>
              </w:rPr>
              <w:t>现场讲解演示人员进场时提供讲解人员名单（加盖公章）及身份证明，否则不得讲解演示。</w:t>
            </w:r>
          </w:p>
          <w:p w14:paraId="619F3541">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b/>
                <w:color w:val="auto"/>
                <w:kern w:val="0"/>
                <w:sz w:val="21"/>
                <w:szCs w:val="21"/>
                <w:highlight w:val="none"/>
                <w:lang w:val="zh-CN"/>
              </w:rPr>
            </w:pPr>
            <w:r>
              <w:rPr>
                <w:rFonts w:hint="eastAsia" w:ascii="宋体" w:hAnsi="宋体" w:eastAsia="宋体" w:cs="宋体"/>
                <w:color w:val="auto"/>
                <w:sz w:val="21"/>
                <w:szCs w:val="21"/>
                <w:highlight w:val="none"/>
                <w:lang w:val="zh-TW"/>
              </w:rPr>
              <w:t>注：因</w:t>
            </w: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val="zh-TW"/>
              </w:rPr>
              <w:t>自身原因导致无法演示或者演示效果不理想的，责任自负。因平台原因导致本项目方案讲解演示环节无法顺利开展，按照《浙江省政府采购项目电子交易管理暂行办法》相关规定执行。</w:t>
            </w:r>
          </w:p>
        </w:tc>
      </w:tr>
      <w:tr w14:paraId="772303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 w:hRule="atLeast"/>
        </w:trPr>
        <w:tc>
          <w:tcPr>
            <w:tcW w:w="629" w:type="dxa"/>
            <w:vMerge w:val="restart"/>
            <w:tcBorders>
              <w:top w:val="single" w:color="auto" w:sz="4" w:space="0"/>
              <w:left w:val="single" w:color="auto" w:sz="4" w:space="0"/>
              <w:right w:val="single" w:color="auto" w:sz="4" w:space="0"/>
            </w:tcBorders>
          </w:tcPr>
          <w:p w14:paraId="715DA1F7">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7C91C120">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093088D7">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843" w:type="dxa"/>
            <w:vMerge w:val="restart"/>
            <w:tcBorders>
              <w:top w:val="single" w:color="000000" w:sz="8" w:space="0"/>
              <w:left w:val="single" w:color="auto" w:sz="4" w:space="0"/>
              <w:right w:val="single" w:color="000000" w:sz="8" w:space="0"/>
            </w:tcBorders>
            <w:vAlign w:val="center"/>
          </w:tcPr>
          <w:p w14:paraId="13779869">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2EDC665A">
            <w:pPr>
              <w:keepNext w:val="0"/>
              <w:keepLines w:val="0"/>
              <w:pageBreakBefore w:val="0"/>
              <w:kinsoku/>
              <w:wordWrap/>
              <w:overflowPunct/>
              <w:topLinePunct w:val="0"/>
              <w:bidi w:val="0"/>
              <w:adjustRightIn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（1）资格证明文件：见招标文件第二部分11.1。</w:t>
            </w:r>
          </w:p>
          <w:p w14:paraId="34E8428B">
            <w:pPr>
              <w:keepNext w:val="0"/>
              <w:keepLines w:val="0"/>
              <w:pageBreakBefore w:val="0"/>
              <w:kinsoku/>
              <w:wordWrap/>
              <w:overflowPunct/>
              <w:topLinePunct w:val="0"/>
              <w:bidi w:val="0"/>
              <w:adjustRightInd w:val="0"/>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0"/>
                <w:sz w:val="21"/>
                <w:szCs w:val="21"/>
                <w:highlight w:val="none"/>
                <w:lang w:val="zh-CN"/>
              </w:rPr>
              <w:t>投标人未提供有效的资格证明文件的，视为投标人不具备招标文件中规定的资格要求，投标无效。</w:t>
            </w:r>
          </w:p>
        </w:tc>
      </w:tr>
      <w:tr w14:paraId="637D69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 w:hRule="atLeast"/>
        </w:trPr>
        <w:tc>
          <w:tcPr>
            <w:tcW w:w="629" w:type="dxa"/>
            <w:vMerge w:val="continue"/>
            <w:tcBorders>
              <w:left w:val="single" w:color="auto" w:sz="4" w:space="0"/>
              <w:bottom w:val="single" w:color="auto" w:sz="4" w:space="0"/>
              <w:right w:val="single" w:color="auto" w:sz="4" w:space="0"/>
            </w:tcBorders>
          </w:tcPr>
          <w:p w14:paraId="5CC75031">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tc>
        <w:tc>
          <w:tcPr>
            <w:tcW w:w="1843" w:type="dxa"/>
            <w:vMerge w:val="continue"/>
            <w:tcBorders>
              <w:left w:val="single" w:color="auto" w:sz="4" w:space="0"/>
              <w:bottom w:val="single" w:color="000000" w:sz="8" w:space="0"/>
              <w:right w:val="single" w:color="000000" w:sz="8" w:space="0"/>
            </w:tcBorders>
            <w:vAlign w:val="center"/>
          </w:tcPr>
          <w:p w14:paraId="4DC168B7">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b/>
                <w:color w:val="auto"/>
                <w:sz w:val="21"/>
                <w:szCs w:val="21"/>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3085B19B">
            <w:pPr>
              <w:keepNext w:val="0"/>
              <w:keepLines w:val="0"/>
              <w:pageBreakBefore w:val="0"/>
              <w:kinsoku/>
              <w:wordWrap/>
              <w:overflowPunct/>
              <w:topLinePunct w:val="0"/>
              <w:bidi w:val="0"/>
              <w:adjustRightIn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（2）资信证明文件：根据招标文件第四部分评标标准提供。</w:t>
            </w:r>
          </w:p>
        </w:tc>
      </w:tr>
      <w:tr w14:paraId="0D6048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 w:hRule="atLeast"/>
        </w:trPr>
        <w:tc>
          <w:tcPr>
            <w:tcW w:w="629" w:type="dxa"/>
            <w:tcBorders>
              <w:top w:val="single" w:color="auto" w:sz="4" w:space="0"/>
              <w:left w:val="single" w:color="000000" w:sz="8" w:space="0"/>
              <w:bottom w:val="single" w:color="auto" w:sz="4" w:space="0"/>
              <w:right w:val="single" w:color="000000" w:sz="2" w:space="0"/>
            </w:tcBorders>
          </w:tcPr>
          <w:p w14:paraId="58261835">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319B118A">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5E895CBB">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767C52A5">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5D4314C3">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2274D4EB">
            <w:pPr>
              <w:pStyle w:val="81"/>
              <w:keepNext w:val="0"/>
              <w:keepLines w:val="0"/>
              <w:pageBreakBefore w:val="0"/>
              <w:kinsoku/>
              <w:wordWrap/>
              <w:overflowPunct/>
              <w:topLinePunct w:val="0"/>
              <w:bidi w:val="0"/>
              <w:adjustRightInd w:val="0"/>
              <w:textAlignment w:val="auto"/>
              <w:rPr>
                <w:rFonts w:hint="eastAsia" w:ascii="宋体" w:hAnsi="宋体" w:eastAsia="宋体" w:cs="宋体"/>
                <w:color w:val="auto"/>
                <w:kern w:val="2"/>
                <w:sz w:val="21"/>
                <w:szCs w:val="21"/>
                <w:highlight w:val="none"/>
                <w:lang w:val="en-US" w:eastAsia="zh-CN" w:bidi="ar-SA"/>
              </w:rPr>
            </w:pPr>
            <w:sdt>
              <w:sdtPr>
                <w:rPr>
                  <w:rFonts w:hint="eastAsia" w:ascii="宋体" w:hAnsi="宋体" w:eastAsia="宋体" w:cs="宋体"/>
                  <w:color w:val="auto"/>
                  <w:kern w:val="2"/>
                  <w:sz w:val="21"/>
                  <w:szCs w:val="21"/>
                  <w:highlight w:val="none"/>
                  <w:lang w:val="en-US" w:eastAsia="zh-CN" w:bidi="ar-SA"/>
                </w:rPr>
                <w:id w:val="147461840"/>
                <w14:checkbox>
                  <w14:checked w14:val="0"/>
                  <w14:checkedState w14:val="00FE" w14:font="Wingdings"/>
                  <w14:uncheckedState w14:val="2610" w14:font="MS Gothic"/>
                </w14:checkbox>
              </w:sdtPr>
              <w:sdtEndPr>
                <w:rPr>
                  <w:rFonts w:hint="eastAsia" w:ascii="宋体" w:hAnsi="宋体" w:eastAsia="宋体" w:cs="宋体"/>
                  <w:color w:val="auto"/>
                  <w:kern w:val="2"/>
                  <w:sz w:val="21"/>
                  <w:szCs w:val="21"/>
                  <w:highlight w:val="none"/>
                  <w:lang w:val="en-US" w:eastAsia="zh-CN" w:bidi="ar-SA"/>
                </w:rPr>
              </w:sdtEndPr>
              <w:sdtContent>
                <w:r>
                  <w:rPr>
                    <w:rFonts w:hint="eastAsia" w:ascii="宋体" w:hAnsi="宋体" w:eastAsia="宋体" w:cs="宋体"/>
                    <w:color w:val="auto"/>
                    <w:kern w:val="2"/>
                    <w:sz w:val="21"/>
                    <w:szCs w:val="21"/>
                    <w:highlight w:val="none"/>
                    <w:lang w:val="en-US" w:eastAsia="zh-CN" w:bidi="ar-SA"/>
                  </w:rPr>
                  <w:t>☐</w:t>
                </w:r>
              </w:sdtContent>
            </w:sdt>
            <w:r>
              <w:rPr>
                <w:rFonts w:hint="eastAsia" w:ascii="宋体" w:hAnsi="宋体" w:eastAsia="宋体" w:cs="宋体"/>
                <w:color w:val="auto"/>
                <w:kern w:val="2"/>
                <w:sz w:val="21"/>
                <w:szCs w:val="21"/>
                <w:highlight w:val="none"/>
                <w:lang w:val="en-US" w:eastAsia="zh-CN" w:bidi="ar-SA"/>
              </w:rPr>
              <w:t xml:space="preserve">强制采购。产品：    </w:t>
            </w:r>
          </w:p>
          <w:p w14:paraId="7A62C108">
            <w:pPr>
              <w:pStyle w:val="81"/>
              <w:keepNext w:val="0"/>
              <w:keepLines w:val="0"/>
              <w:pageBreakBefore w:val="0"/>
              <w:kinsoku/>
              <w:wordWrap/>
              <w:overflowPunct/>
              <w:topLinePunct w:val="0"/>
              <w:bidi w:val="0"/>
              <w:adjustRightInd w:val="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□优先采购节能产品。产品：   </w:t>
            </w:r>
          </w:p>
          <w:p w14:paraId="4EF560C2">
            <w:pPr>
              <w:pStyle w:val="81"/>
              <w:keepNext w:val="0"/>
              <w:keepLines w:val="0"/>
              <w:pageBreakBefore w:val="0"/>
              <w:kinsoku/>
              <w:wordWrap/>
              <w:overflowPunct/>
              <w:topLinePunct w:val="0"/>
              <w:bidi w:val="0"/>
              <w:adjustRightInd w:val="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□优先采购环保产品。产品：    </w:t>
            </w:r>
          </w:p>
          <w:p w14:paraId="1CC0B1B3">
            <w:pPr>
              <w:pStyle w:val="81"/>
              <w:keepNext w:val="0"/>
              <w:keepLines w:val="0"/>
              <w:pageBreakBefore w:val="0"/>
              <w:kinsoku/>
              <w:wordWrap/>
              <w:overflowPunct/>
              <w:topLinePunct w:val="0"/>
              <w:bidi w:val="0"/>
              <w:adjustRightInd w:val="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☑无</w:t>
            </w:r>
          </w:p>
          <w:p w14:paraId="48534826">
            <w:pPr>
              <w:pStyle w:val="81"/>
              <w:keepNext w:val="0"/>
              <w:keepLines w:val="0"/>
              <w:pageBreakBefore w:val="0"/>
              <w:kinsoku/>
              <w:wordWrap/>
              <w:overflowPunct/>
              <w:topLinePunct w:val="0"/>
              <w:bidi w:val="0"/>
              <w:adjustRightInd w:val="0"/>
              <w:textAlignment w:val="auto"/>
              <w:rPr>
                <w:rFonts w:hint="eastAsia" w:ascii="宋体" w:hAnsi="宋体" w:eastAsia="宋体" w:cs="宋体"/>
                <w:color w:val="auto"/>
                <w:kern w:val="0"/>
                <w:sz w:val="21"/>
                <w:szCs w:val="21"/>
                <w:highlight w:val="none"/>
                <w:lang w:eastAsia="zh-CN"/>
              </w:rPr>
            </w:pPr>
          </w:p>
        </w:tc>
      </w:tr>
      <w:tr w14:paraId="48EB12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 w:hRule="atLeast"/>
        </w:trPr>
        <w:tc>
          <w:tcPr>
            <w:tcW w:w="629" w:type="dxa"/>
            <w:tcBorders>
              <w:top w:val="single" w:color="auto" w:sz="4" w:space="0"/>
              <w:left w:val="single" w:color="000000" w:sz="8" w:space="0"/>
              <w:bottom w:val="single" w:color="auto" w:sz="4" w:space="0"/>
              <w:right w:val="single" w:color="000000" w:sz="2" w:space="0"/>
            </w:tcBorders>
          </w:tcPr>
          <w:p w14:paraId="605A6BF4">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2746D0A6">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7257EEBC">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66F4D1A0">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40CBAE7F">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36D88F53">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DCDC3F6">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0A546270">
            <w:pPr>
              <w:keepNext w:val="0"/>
              <w:keepLines w:val="0"/>
              <w:pageBreakBefore w:val="0"/>
              <w:kinsoku/>
              <w:wordWrap/>
              <w:overflowPunct/>
              <w:topLinePunct w:val="0"/>
              <w:bidi w:val="0"/>
              <w:adjustRightInd w:val="0"/>
              <w:snapToGrid w:val="0"/>
              <w:spacing w:line="360" w:lineRule="auto"/>
              <w:jc w:val="left"/>
              <w:textAlignment w:val="auto"/>
              <w:rPr>
                <w:rFonts w:hint="eastAsia" w:ascii="宋体" w:hAnsi="宋体" w:eastAsia="宋体" w:cs="宋体"/>
                <w:b/>
                <w:color w:val="auto"/>
                <w:kern w:val="0"/>
                <w:sz w:val="21"/>
                <w:szCs w:val="21"/>
                <w:highlight w:val="none"/>
                <w:lang w:val="zh-CN"/>
              </w:rPr>
            </w:pPr>
            <w:r>
              <w:rPr>
                <w:rFonts w:hint="eastAsia" w:ascii="宋体" w:hAnsi="宋体" w:eastAsia="宋体" w:cs="宋体"/>
                <w:color w:val="auto"/>
                <w:kern w:val="0"/>
                <w:sz w:val="21"/>
                <w:szCs w:val="21"/>
                <w:highlight w:val="none"/>
                <w:lang w:val="zh-CN"/>
              </w:rPr>
              <w:t>有关本项目实施所需的所有费用（含税费）均计入报价。</w:t>
            </w:r>
            <w:r>
              <w:rPr>
                <w:rFonts w:hint="eastAsia" w:ascii="宋体" w:hAnsi="宋体" w:eastAsia="宋体" w:cs="宋体"/>
                <w:b/>
                <w:bCs/>
                <w:color w:val="auto"/>
                <w:kern w:val="0"/>
                <w:sz w:val="21"/>
                <w:szCs w:val="21"/>
                <w:highlight w:val="none"/>
                <w:lang w:val="zh-CN"/>
              </w:rPr>
              <w:t>投标文件</w:t>
            </w:r>
            <w:r>
              <w:rPr>
                <w:rFonts w:hint="eastAsia" w:ascii="宋体" w:hAnsi="宋体" w:eastAsia="宋体" w:cs="宋体"/>
                <w:b/>
                <w:bCs/>
                <w:color w:val="auto"/>
                <w:sz w:val="21"/>
                <w:szCs w:val="21"/>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auto"/>
                <w:kern w:val="0"/>
                <w:sz w:val="21"/>
                <w:szCs w:val="21"/>
                <w:highlight w:val="none"/>
                <w:lang w:val="zh-CN"/>
              </w:rPr>
              <w:t>投标文件中价格全部采用人民币报价。招标文件未列明，而投标人认为必需的费用也需列入报价。</w:t>
            </w:r>
            <w:r>
              <w:rPr>
                <w:rFonts w:hint="eastAsia" w:ascii="宋体" w:hAnsi="宋体" w:eastAsia="宋体" w:cs="宋体"/>
                <w:b/>
                <w:color w:val="auto"/>
                <w:kern w:val="0"/>
                <w:sz w:val="21"/>
                <w:szCs w:val="21"/>
                <w:highlight w:val="none"/>
                <w:lang w:val="zh-CN"/>
              </w:rPr>
              <w:t>提醒：验收时检测费用由采购人承担，不包含在投标总价中。</w:t>
            </w:r>
          </w:p>
          <w:p w14:paraId="7E7DC106">
            <w:pPr>
              <w:keepNext w:val="0"/>
              <w:keepLines w:val="0"/>
              <w:pageBreakBefore w:val="0"/>
              <w:kinsoku/>
              <w:wordWrap/>
              <w:overflowPunct/>
              <w:topLinePunct w:val="0"/>
              <w:bidi w:val="0"/>
              <w:adjustRightInd w:val="0"/>
              <w:snapToGrid w:val="0"/>
              <w:spacing w:line="360" w:lineRule="auto"/>
              <w:jc w:val="left"/>
              <w:textAlignment w:val="auto"/>
              <w:rPr>
                <w:rFonts w:hint="eastAsia" w:ascii="宋体" w:hAnsi="宋体" w:eastAsia="宋体" w:cs="宋体"/>
                <w:b/>
                <w:color w:val="auto"/>
                <w:kern w:val="0"/>
                <w:sz w:val="21"/>
                <w:szCs w:val="21"/>
                <w:highlight w:val="none"/>
                <w:lang w:val="zh-CN"/>
              </w:rPr>
            </w:pPr>
            <w:r>
              <w:rPr>
                <w:rFonts w:hint="eastAsia" w:ascii="宋体" w:hAnsi="宋体" w:eastAsia="宋体" w:cs="宋体"/>
                <w:b/>
                <w:color w:val="auto"/>
                <w:kern w:val="0"/>
                <w:sz w:val="21"/>
                <w:szCs w:val="21"/>
                <w:highlight w:val="none"/>
                <w:lang w:val="zh-CN"/>
              </w:rPr>
              <w:t>投标报价出现下列情形的，投标无效：</w:t>
            </w:r>
          </w:p>
          <w:p w14:paraId="1109600F">
            <w:pPr>
              <w:keepNext w:val="0"/>
              <w:keepLines w:val="0"/>
              <w:pageBreakBefore w:val="0"/>
              <w:kinsoku/>
              <w:wordWrap/>
              <w:overflowPunct/>
              <w:topLinePunct w:val="0"/>
              <w:bidi w:val="0"/>
              <w:adjustRightInd w:val="0"/>
              <w:snapToGrid w:val="0"/>
              <w:spacing w:line="360" w:lineRule="auto"/>
              <w:ind w:firstLine="211" w:firstLineChars="100"/>
              <w:jc w:val="left"/>
              <w:textAlignment w:val="auto"/>
              <w:rPr>
                <w:rFonts w:hint="eastAsia" w:ascii="宋体" w:hAnsi="宋体" w:eastAsia="宋体" w:cs="宋体"/>
                <w:b/>
                <w:color w:val="auto"/>
                <w:kern w:val="0"/>
                <w:sz w:val="21"/>
                <w:szCs w:val="21"/>
                <w:highlight w:val="none"/>
                <w:lang w:val="zh-CN"/>
              </w:rPr>
            </w:pPr>
            <w:r>
              <w:rPr>
                <w:rFonts w:hint="eastAsia" w:ascii="宋体" w:hAnsi="宋体" w:eastAsia="宋体" w:cs="宋体"/>
                <w:b/>
                <w:color w:val="auto"/>
                <w:kern w:val="0"/>
                <w:sz w:val="21"/>
                <w:szCs w:val="21"/>
                <w:highlight w:val="none"/>
                <w:lang w:val="zh-CN"/>
              </w:rPr>
              <w:t>投标文件出现不是唯一的、有选择性投标报价的；</w:t>
            </w:r>
          </w:p>
          <w:p w14:paraId="19375261">
            <w:pPr>
              <w:keepNext w:val="0"/>
              <w:keepLines w:val="0"/>
              <w:pageBreakBefore w:val="0"/>
              <w:kinsoku/>
              <w:wordWrap/>
              <w:overflowPunct/>
              <w:topLinePunct w:val="0"/>
              <w:bidi w:val="0"/>
              <w:adjustRightInd w:val="0"/>
              <w:snapToGrid w:val="0"/>
              <w:spacing w:line="360" w:lineRule="auto"/>
              <w:ind w:firstLine="211" w:firstLineChars="100"/>
              <w:jc w:val="left"/>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b/>
                <w:color w:val="auto"/>
                <w:kern w:val="0"/>
                <w:sz w:val="21"/>
                <w:szCs w:val="21"/>
                <w:highlight w:val="none"/>
                <w:lang w:val="zh-CN"/>
              </w:rPr>
              <w:t>投标报价超过招标文件中规定的预算金额或者最高限价的;</w:t>
            </w:r>
          </w:p>
          <w:p w14:paraId="390FFC7F">
            <w:pPr>
              <w:keepNext w:val="0"/>
              <w:keepLines w:val="0"/>
              <w:pageBreakBefore w:val="0"/>
              <w:kinsoku/>
              <w:wordWrap/>
              <w:overflowPunct/>
              <w:topLinePunct w:val="0"/>
              <w:bidi w:val="0"/>
              <w:adjustRightInd w:val="0"/>
              <w:spacing w:line="360" w:lineRule="auto"/>
              <w:ind w:firstLine="211" w:firstLineChars="1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auto"/>
                <w:sz w:val="21"/>
                <w:szCs w:val="21"/>
                <w:highlight w:val="none"/>
              </w:rPr>
              <w:t>;</w:t>
            </w:r>
          </w:p>
          <w:p w14:paraId="3C4F7F89">
            <w:pPr>
              <w:keepNext w:val="0"/>
              <w:keepLines w:val="0"/>
              <w:pageBreakBefore w:val="0"/>
              <w:kinsoku/>
              <w:wordWrap/>
              <w:overflowPunct/>
              <w:topLinePunct w:val="0"/>
              <w:bidi w:val="0"/>
              <w:adjustRightInd w:val="0"/>
              <w:spacing w:line="360" w:lineRule="auto"/>
              <w:ind w:firstLine="211" w:firstLineChars="100"/>
              <w:textAlignment w:val="auto"/>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rPr>
              <w:t>投标人对根据修正原则修正后的报价不确认的</w:t>
            </w:r>
            <w:r>
              <w:rPr>
                <w:rFonts w:hint="eastAsia" w:ascii="宋体" w:hAnsi="宋体" w:eastAsia="宋体" w:cs="宋体"/>
                <w:b/>
                <w:color w:val="auto"/>
                <w:sz w:val="21"/>
                <w:szCs w:val="21"/>
                <w:highlight w:val="none"/>
              </w:rPr>
              <w:t>。</w:t>
            </w:r>
          </w:p>
        </w:tc>
      </w:tr>
      <w:tr w14:paraId="3364EE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 w:hRule="atLeast"/>
        </w:trPr>
        <w:tc>
          <w:tcPr>
            <w:tcW w:w="629" w:type="dxa"/>
            <w:tcBorders>
              <w:top w:val="single" w:color="auto" w:sz="4" w:space="0"/>
              <w:left w:val="single" w:color="000000" w:sz="8" w:space="0"/>
              <w:right w:val="single" w:color="000000" w:sz="2" w:space="0"/>
            </w:tcBorders>
          </w:tcPr>
          <w:p w14:paraId="3769E1E9">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p w14:paraId="7B2727AC">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843" w:type="dxa"/>
            <w:tcBorders>
              <w:top w:val="single" w:color="000000" w:sz="8" w:space="0"/>
              <w:left w:val="single" w:color="000000" w:sz="2" w:space="0"/>
              <w:right w:val="single" w:color="000000" w:sz="8" w:space="0"/>
            </w:tcBorders>
            <w:vAlign w:val="center"/>
          </w:tcPr>
          <w:p w14:paraId="5B5334BD">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152D7198">
            <w:pPr>
              <w:keepNext w:val="0"/>
              <w:keepLines w:val="0"/>
              <w:pageBreakBefore w:val="0"/>
              <w:kinsoku/>
              <w:wordWrap/>
              <w:overflowPunct/>
              <w:topLinePunct w:val="0"/>
              <w:bidi w:val="0"/>
              <w:adjustRightIn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kern w:val="28"/>
                <w:sz w:val="21"/>
                <w:szCs w:val="21"/>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28F338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 w:hRule="atLeast"/>
        </w:trPr>
        <w:tc>
          <w:tcPr>
            <w:tcW w:w="629" w:type="dxa"/>
            <w:tcBorders>
              <w:top w:val="single" w:color="auto" w:sz="4" w:space="0"/>
              <w:left w:val="single" w:color="000000" w:sz="8" w:space="0"/>
              <w:bottom w:val="single" w:color="auto" w:sz="4" w:space="0"/>
              <w:right w:val="single" w:color="000000" w:sz="2" w:space="0"/>
            </w:tcBorders>
          </w:tcPr>
          <w:p w14:paraId="71CBE14C">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647A21B3">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1A87A11F">
            <w:pPr>
              <w:pStyle w:val="34"/>
              <w:keepNext w:val="0"/>
              <w:keepLines w:val="0"/>
              <w:pageBreakBefore w:val="0"/>
              <w:kinsoku/>
              <w:wordWrap/>
              <w:overflowPunct/>
              <w:topLinePunct w:val="0"/>
              <w:bidi w:val="0"/>
              <w:adjustRightInd w:val="0"/>
              <w:spacing w:line="360" w:lineRule="auto"/>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备份投标文件送达地点：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28"/>
                <w:sz w:val="21"/>
                <w:szCs w:val="21"/>
                <w:highlight w:val="none"/>
                <w:u w:val="single"/>
              </w:rPr>
              <w:t>杭州市拱墅区大关路179号远洋国际中心A座17楼1705室</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28"/>
                <w:sz w:val="21"/>
                <w:szCs w:val="21"/>
                <w:highlight w:val="none"/>
              </w:rPr>
              <w:t>；备份投标文件签收人员联系电话：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章柔婧</w:t>
            </w:r>
            <w:r>
              <w:rPr>
                <w:rFonts w:hint="eastAsia" w:ascii="宋体" w:hAnsi="宋体" w:eastAsia="宋体" w:cs="宋体"/>
                <w:color w:val="auto"/>
                <w:sz w:val="21"/>
                <w:szCs w:val="21"/>
                <w:highlight w:val="none"/>
                <w:u w:val="single"/>
              </w:rPr>
              <w:t xml:space="preserve">，0571-87981527 </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采购人、采购代理机构不强制或变相强制投标人提交备份投标文件。</w:t>
            </w:r>
          </w:p>
        </w:tc>
      </w:tr>
      <w:tr w14:paraId="0B52FA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 w:hRule="atLeast"/>
        </w:trPr>
        <w:tc>
          <w:tcPr>
            <w:tcW w:w="629" w:type="dxa"/>
            <w:vMerge w:val="restart"/>
            <w:tcBorders>
              <w:top w:val="single" w:color="auto" w:sz="4" w:space="0"/>
              <w:left w:val="single" w:color="000000" w:sz="8" w:space="0"/>
              <w:right w:val="single" w:color="000000" w:sz="2" w:space="0"/>
            </w:tcBorders>
          </w:tcPr>
          <w:p w14:paraId="56E88C1C">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77DFA597">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63067E5B">
            <w:pPr>
              <w:keepNext w:val="0"/>
              <w:keepLines w:val="0"/>
              <w:pageBreakBefore w:val="0"/>
              <w:kinsoku/>
              <w:wordWrap/>
              <w:overflowPunct/>
              <w:topLinePunct w:val="0"/>
              <w:bidi w:val="0"/>
              <w:adjustRightInd w:val="0"/>
              <w:spacing w:line="360" w:lineRule="auto"/>
              <w:textAlignment w:val="auto"/>
              <w:rPr>
                <w:rFonts w:hint="eastAsia" w:ascii="宋体" w:hAnsi="宋体" w:eastAsia="宋体" w:cs="宋体"/>
                <w:snapToGrid w:val="0"/>
                <w:color w:val="auto"/>
                <w:kern w:val="28"/>
                <w:sz w:val="21"/>
                <w:szCs w:val="21"/>
                <w:highlight w:val="none"/>
              </w:rPr>
            </w:pPr>
            <w:r>
              <w:rPr>
                <w:rFonts w:hint="eastAsia" w:ascii="宋体" w:hAnsi="宋体" w:eastAsia="宋体" w:cs="宋体"/>
                <w:snapToGrid w:val="0"/>
                <w:color w:val="auto"/>
                <w:kern w:val="28"/>
                <w:sz w:val="21"/>
                <w:szCs w:val="21"/>
                <w:highlight w:val="none"/>
              </w:rPr>
              <w:t>联合体投标的，联合体各方分别提供与联合体协议中规定的分工内容相应的业绩证明材料，业绩数量以提供材料较少的一方为准。</w:t>
            </w:r>
          </w:p>
        </w:tc>
      </w:tr>
      <w:tr w14:paraId="4F0E10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 w:hRule="atLeast"/>
        </w:trPr>
        <w:tc>
          <w:tcPr>
            <w:tcW w:w="629" w:type="dxa"/>
            <w:vMerge w:val="continue"/>
            <w:tcBorders>
              <w:left w:val="single" w:color="000000" w:sz="8" w:space="0"/>
              <w:right w:val="single" w:color="000000" w:sz="2" w:space="0"/>
            </w:tcBorders>
          </w:tcPr>
          <w:p w14:paraId="73B29FA2">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tc>
        <w:tc>
          <w:tcPr>
            <w:tcW w:w="1843" w:type="dxa"/>
            <w:vMerge w:val="continue"/>
            <w:tcBorders>
              <w:left w:val="single" w:color="000000" w:sz="2" w:space="0"/>
              <w:right w:val="single" w:color="000000" w:sz="8" w:space="0"/>
            </w:tcBorders>
            <w:vAlign w:val="center"/>
          </w:tcPr>
          <w:p w14:paraId="4DDBC613">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b/>
                <w:color w:val="auto"/>
                <w:sz w:val="21"/>
                <w:szCs w:val="21"/>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12B6F675">
            <w:pPr>
              <w:keepNext w:val="0"/>
              <w:keepLines w:val="0"/>
              <w:pageBreakBefore w:val="0"/>
              <w:kinsoku/>
              <w:wordWrap/>
              <w:overflowPunct/>
              <w:topLinePunct w:val="0"/>
              <w:bidi w:val="0"/>
              <w:adjustRightInd w:val="0"/>
              <w:spacing w:line="360" w:lineRule="auto"/>
              <w:textAlignment w:val="auto"/>
              <w:rPr>
                <w:rFonts w:hint="eastAsia" w:ascii="宋体" w:hAnsi="宋体" w:eastAsia="宋体" w:cs="宋体"/>
                <w:snapToGrid w:val="0"/>
                <w:color w:val="auto"/>
                <w:kern w:val="28"/>
                <w:sz w:val="21"/>
                <w:szCs w:val="21"/>
                <w:highlight w:val="none"/>
              </w:rPr>
            </w:pPr>
            <w:sdt>
              <w:sdtPr>
                <w:rPr>
                  <w:rFonts w:hint="eastAsia" w:ascii="宋体" w:hAnsi="宋体" w:eastAsia="宋体" w:cs="宋体"/>
                  <w:color w:val="auto"/>
                  <w:kern w:val="0"/>
                  <w:sz w:val="21"/>
                  <w:szCs w:val="21"/>
                  <w:highlight w:val="none"/>
                </w:rPr>
                <w:id w:val="-369766551"/>
                <w14:checkbox>
                  <w14:checked w14:val="0"/>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t>☐</w:t>
                </w:r>
              </w:sdtContent>
            </w:sdt>
            <w:r>
              <w:rPr>
                <w:rFonts w:hint="eastAsia" w:ascii="宋体" w:hAnsi="宋体" w:eastAsia="宋体" w:cs="宋体"/>
                <w:snapToGrid w:val="0"/>
                <w:color w:val="auto"/>
                <w:kern w:val="28"/>
                <w:sz w:val="21"/>
                <w:szCs w:val="21"/>
                <w:highlight w:val="none"/>
              </w:rPr>
              <w:t>联合体投标的，联合体各方均需按招标文件第四部分评标标准要求提供资信证明文件，否则视为不符合相关要求。</w:t>
            </w:r>
          </w:p>
          <w:p w14:paraId="1E9F7D94">
            <w:pPr>
              <w:keepNext w:val="0"/>
              <w:keepLines w:val="0"/>
              <w:pageBreakBefore w:val="0"/>
              <w:kinsoku/>
              <w:wordWrap/>
              <w:overflowPunct/>
              <w:topLinePunct w:val="0"/>
              <w:bidi w:val="0"/>
              <w:adjustRightInd w:val="0"/>
              <w:spacing w:line="360" w:lineRule="auto"/>
              <w:textAlignment w:val="auto"/>
              <w:rPr>
                <w:rFonts w:hint="eastAsia" w:ascii="宋体" w:hAnsi="宋体" w:eastAsia="宋体" w:cs="宋体"/>
                <w:snapToGrid w:val="0"/>
                <w:color w:val="auto"/>
                <w:kern w:val="28"/>
                <w:sz w:val="21"/>
                <w:szCs w:val="21"/>
                <w:highlight w:val="none"/>
              </w:rPr>
            </w:pPr>
            <w:sdt>
              <w:sdtPr>
                <w:rPr>
                  <w:rFonts w:hint="eastAsia" w:ascii="宋体" w:hAnsi="宋体" w:eastAsia="宋体" w:cs="宋体"/>
                  <w:color w:val="auto"/>
                  <w:kern w:val="0"/>
                  <w:sz w:val="21"/>
                  <w:szCs w:val="21"/>
                  <w:highlight w:val="none"/>
                </w:rPr>
                <w:id w:val="1052570136"/>
                <w14:checkbox>
                  <w14:checked w14:val="1"/>
                  <w14:checkedState w14:val="00FE" w14:font="Wingdings"/>
                  <w14:uncheckedState w14:val="2610" w14:font="MS Gothic"/>
                </w14:checkbox>
              </w:sdtPr>
              <w:sdtEndPr>
                <w:rPr>
                  <w:rFonts w:hint="eastAsia" w:ascii="宋体" w:hAnsi="宋体" w:eastAsia="宋体" w:cs="宋体"/>
                  <w:color w:val="auto"/>
                  <w:kern w:val="0"/>
                  <w:sz w:val="21"/>
                  <w:szCs w:val="21"/>
                  <w:highlight w:val="none"/>
                </w:rPr>
              </w:sdtEndPr>
              <w:sdtContent>
                <w:r>
                  <w:rPr>
                    <w:rFonts w:hint="eastAsia" w:ascii="宋体" w:hAnsi="宋体" w:eastAsia="宋体" w:cs="宋体"/>
                    <w:color w:val="auto"/>
                    <w:kern w:val="0"/>
                    <w:sz w:val="21"/>
                    <w:szCs w:val="21"/>
                    <w:highlight w:val="none"/>
                  </w:rPr>
                  <w:sym w:font="Wingdings" w:char="F0FE"/>
                </w:r>
              </w:sdtContent>
            </w:sdt>
            <w:r>
              <w:rPr>
                <w:rFonts w:hint="eastAsia" w:ascii="宋体" w:hAnsi="宋体" w:eastAsia="宋体" w:cs="宋体"/>
                <w:snapToGrid w:val="0"/>
                <w:color w:val="auto"/>
                <w:kern w:val="28"/>
                <w:sz w:val="21"/>
                <w:szCs w:val="21"/>
                <w:highlight w:val="none"/>
              </w:rPr>
              <w:t>联合体投标的，联合体中有一方或者联合体成员根据分工按招标文件第四部分评标标准要求提供资信证明文件的，视为符合了相关要求。</w:t>
            </w:r>
          </w:p>
        </w:tc>
      </w:tr>
      <w:tr w14:paraId="0A2CD8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 w:hRule="atLeast"/>
        </w:trPr>
        <w:tc>
          <w:tcPr>
            <w:tcW w:w="629" w:type="dxa"/>
            <w:tcBorders>
              <w:left w:val="single" w:color="000000" w:sz="8" w:space="0"/>
              <w:bottom w:val="single" w:color="auto" w:sz="4" w:space="0"/>
              <w:right w:val="single" w:color="000000" w:sz="2" w:space="0"/>
            </w:tcBorders>
          </w:tcPr>
          <w:p w14:paraId="7FFB1786">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color w:val="auto"/>
                <w:sz w:val="21"/>
                <w:szCs w:val="21"/>
                <w:highlight w:val="none"/>
              </w:rPr>
            </w:pPr>
          </w:p>
        </w:tc>
        <w:tc>
          <w:tcPr>
            <w:tcW w:w="1843" w:type="dxa"/>
            <w:tcBorders>
              <w:left w:val="single" w:color="000000" w:sz="2" w:space="0"/>
              <w:bottom w:val="single" w:color="000000" w:sz="8" w:space="0"/>
              <w:right w:val="single" w:color="000000" w:sz="8" w:space="0"/>
            </w:tcBorders>
            <w:vAlign w:val="center"/>
          </w:tcPr>
          <w:p w14:paraId="56156E69">
            <w:pPr>
              <w:keepNext w:val="0"/>
              <w:keepLines w:val="0"/>
              <w:pageBreakBefore w:val="0"/>
              <w:kinsoku/>
              <w:wordWrap/>
              <w:overflowPunct/>
              <w:topLinePunct w:val="0"/>
              <w:bidi w:val="0"/>
              <w:adjustRightInd w:val="0"/>
              <w:snapToGrid w:val="0"/>
              <w:spacing w:line="360" w:lineRule="auto"/>
              <w:jc w:val="center"/>
              <w:textAlignment w:val="auto"/>
              <w:rPr>
                <w:rFonts w:hint="eastAsia" w:ascii="宋体" w:hAnsi="宋体" w:eastAsia="宋体" w:cs="宋体"/>
                <w:b/>
                <w:color w:val="auto"/>
                <w:sz w:val="21"/>
                <w:szCs w:val="21"/>
                <w:highlight w:val="none"/>
                <w:lang w:eastAsia="zh-CN"/>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287AA744">
            <w:pPr>
              <w:keepNext w:val="0"/>
              <w:keepLines w:val="0"/>
              <w:pageBreakBefore w:val="0"/>
              <w:kinsoku/>
              <w:wordWrap/>
              <w:overflowPunct/>
              <w:topLinePunct w:val="0"/>
              <w:bidi w:val="0"/>
              <w:adjustRightInd w:val="0"/>
              <w:spacing w:line="36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 w:eastAsia="zh-CN"/>
              </w:rPr>
              <w:t>本项目推荐的中标候选人数量：</w:t>
            </w:r>
            <w:r>
              <w:rPr>
                <w:rFonts w:hint="eastAsia" w:ascii="宋体" w:hAnsi="宋体" w:eastAsia="宋体" w:cs="宋体"/>
                <w:color w:val="auto"/>
                <w:kern w:val="0"/>
                <w:sz w:val="21"/>
                <w:szCs w:val="21"/>
                <w:highlight w:val="none"/>
                <w:u w:val="single"/>
                <w:lang w:val="en-US" w:eastAsia="zh-CN"/>
              </w:rPr>
              <w:t xml:space="preserve">   1名    </w:t>
            </w:r>
            <w:r>
              <w:rPr>
                <w:rFonts w:hint="eastAsia" w:ascii="宋体" w:hAnsi="宋体" w:eastAsia="宋体" w:cs="宋体"/>
                <w:color w:val="auto"/>
                <w:kern w:val="0"/>
                <w:sz w:val="21"/>
                <w:szCs w:val="21"/>
                <w:highlight w:val="none"/>
                <w:lang w:val="en" w:eastAsia="zh-CN"/>
              </w:rPr>
              <w:t>。</w:t>
            </w:r>
          </w:p>
        </w:tc>
      </w:tr>
      <w:bookmarkEnd w:id="10"/>
      <w:tr w14:paraId="1CEC41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B5105EB">
            <w:pPr>
              <w:snapToGrid w:val="0"/>
              <w:spacing w:line="360" w:lineRule="auto"/>
              <w:jc w:val="center"/>
              <w:rPr>
                <w:rFonts w:hint="eastAsia" w:ascii="宋体" w:hAnsi="宋体" w:eastAsia="宋体" w:cs="宋体"/>
                <w:color w:val="auto"/>
                <w:sz w:val="21"/>
                <w:szCs w:val="21"/>
                <w:highlight w:val="none"/>
              </w:rPr>
            </w:pPr>
            <w:bookmarkStart w:id="13" w:name="_Toc164416483"/>
            <w:bookmarkStart w:id="14" w:name="第三部分"/>
            <w:r>
              <w:rPr>
                <w:rFonts w:hint="eastAsia" w:ascii="宋体" w:hAnsi="宋体" w:eastAsia="宋体" w:cs="宋体"/>
                <w:color w:val="auto"/>
                <w:sz w:val="21"/>
                <w:szCs w:val="21"/>
                <w:highlight w:val="none"/>
              </w:rPr>
              <w:t>14</w:t>
            </w:r>
          </w:p>
        </w:tc>
        <w:tc>
          <w:tcPr>
            <w:tcW w:w="1843" w:type="dxa"/>
            <w:tcBorders>
              <w:top w:val="single" w:color="auto" w:sz="4" w:space="0"/>
              <w:left w:val="single" w:color="auto" w:sz="4" w:space="0"/>
              <w:bottom w:val="single" w:color="auto" w:sz="4" w:space="0"/>
              <w:right w:val="single" w:color="auto" w:sz="4" w:space="0"/>
            </w:tcBorders>
            <w:vAlign w:val="center"/>
          </w:tcPr>
          <w:p w14:paraId="75EE738A">
            <w:pPr>
              <w:snapToGrid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代理服务费</w:t>
            </w:r>
          </w:p>
        </w:tc>
        <w:tc>
          <w:tcPr>
            <w:tcW w:w="6095" w:type="dxa"/>
            <w:tcBorders>
              <w:top w:val="single" w:color="000000" w:sz="8" w:space="0"/>
              <w:left w:val="single" w:color="auto" w:sz="4" w:space="0"/>
              <w:bottom w:val="single" w:color="000000" w:sz="8" w:space="0"/>
              <w:right w:val="single" w:color="000000" w:sz="8" w:space="0"/>
            </w:tcBorders>
            <w:vAlign w:val="center"/>
          </w:tcPr>
          <w:p w14:paraId="524ECFC3">
            <w:pPr>
              <w:spacing w:line="360" w:lineRule="auto"/>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本项目的采购代理费由中标人支付；按中标价做为基数，按国家计委《招标代理服务收费管理暂行办法》[2002]1980号文件中收费标准的</w:t>
            </w:r>
            <w:r>
              <w:rPr>
                <w:rFonts w:hint="eastAsia" w:ascii="宋体" w:hAnsi="宋体" w:eastAsia="宋体" w:cs="宋体"/>
                <w:b/>
                <w:color w:val="auto"/>
                <w:kern w:val="0"/>
                <w:sz w:val="21"/>
                <w:szCs w:val="21"/>
                <w:highlight w:val="none"/>
                <w:lang w:val="en-US" w:eastAsia="zh-CN"/>
              </w:rPr>
              <w:t>80</w:t>
            </w:r>
            <w:r>
              <w:rPr>
                <w:rFonts w:hint="eastAsia" w:ascii="宋体" w:hAnsi="宋体" w:eastAsia="宋体" w:cs="宋体"/>
                <w:b/>
                <w:color w:val="auto"/>
                <w:kern w:val="0"/>
                <w:sz w:val="21"/>
                <w:szCs w:val="21"/>
                <w:highlight w:val="none"/>
              </w:rPr>
              <w:t>%计算代理费用，保底收费为人民币</w:t>
            </w:r>
            <w:r>
              <w:rPr>
                <w:rFonts w:hint="eastAsia" w:ascii="宋体" w:hAnsi="宋体" w:eastAsia="宋体" w:cs="宋体"/>
                <w:b/>
                <w:color w:val="auto"/>
                <w:kern w:val="0"/>
                <w:sz w:val="21"/>
                <w:szCs w:val="21"/>
                <w:highlight w:val="none"/>
                <w:lang w:val="en-US" w:eastAsia="zh-CN"/>
              </w:rPr>
              <w:t>5000</w:t>
            </w:r>
            <w:r>
              <w:rPr>
                <w:rFonts w:hint="eastAsia" w:ascii="宋体" w:hAnsi="宋体" w:eastAsia="宋体" w:cs="宋体"/>
                <w:b/>
                <w:color w:val="auto"/>
                <w:kern w:val="0"/>
                <w:sz w:val="21"/>
                <w:szCs w:val="21"/>
                <w:highlight w:val="none"/>
              </w:rPr>
              <w:t>元整</w:t>
            </w: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rPr>
              <w:t>该费用在投标文件中不单列，由投标人在投标总报价中综合考虑。</w:t>
            </w:r>
          </w:p>
        </w:tc>
      </w:tr>
    </w:tbl>
    <w:p w14:paraId="6E42FDE4">
      <w:pPr>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br w:type="page"/>
      </w:r>
    </w:p>
    <w:p w14:paraId="742A1DBB">
      <w:pPr>
        <w:adjustRightInd/>
        <w:spacing w:line="360"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一、总则</w:t>
      </w:r>
    </w:p>
    <w:p w14:paraId="7651B2DF">
      <w:pPr>
        <w:snapToGrid w:val="0"/>
        <w:spacing w:line="360" w:lineRule="auto"/>
        <w:ind w:firstLine="361" w:firstLineChars="150"/>
        <w:jc w:val="left"/>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 适用范围</w:t>
      </w:r>
    </w:p>
    <w:p w14:paraId="532C584F">
      <w:pPr>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本招标文件适用于该项目的招标、投标、开标、资格审查及信用信息查询、评标、定标、合同、验收等行为（法律、法规另有规定的，从其规定）。</w:t>
      </w:r>
    </w:p>
    <w:p w14:paraId="4C9FC0E9">
      <w:pPr>
        <w:adjustRightInd/>
        <w:spacing w:line="360" w:lineRule="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   2.定义</w:t>
      </w:r>
    </w:p>
    <w:p w14:paraId="054B10B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“采购人”系指招标公告中载明的本项目的采购人。</w:t>
      </w:r>
    </w:p>
    <w:p w14:paraId="6A79FB1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 “</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”系指招标公告中载明的本项目的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w:t>
      </w:r>
    </w:p>
    <w:p w14:paraId="3AABD48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 “投标人”系指是指响应招标、参加投标竞争的法人、其他组织或者自然人。</w:t>
      </w:r>
    </w:p>
    <w:p w14:paraId="7CAB4F4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 “负责人”系指法人企业的法定负责人，或其他组织为法律、行政法规规定代表单位行使职权的主要负责人，或自然人本人。</w:t>
      </w:r>
    </w:p>
    <w:p w14:paraId="02FF5E9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5988CC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2.6“电子交易平台”</w:t>
      </w:r>
      <w:r>
        <w:rPr>
          <w:rFonts w:hint="eastAsia" w:ascii="宋体" w:hAnsi="宋体" w:eastAsia="宋体" w:cs="宋体"/>
          <w:color w:val="auto"/>
          <w:sz w:val="24"/>
          <w:highlight w:val="none"/>
          <w:lang w:val="en-US" w:eastAsia="zh-CN"/>
        </w:rPr>
        <w:t>系</w:t>
      </w:r>
      <w:r>
        <w:rPr>
          <w:rFonts w:hint="eastAsia" w:ascii="宋体" w:hAnsi="宋体" w:eastAsia="宋体" w:cs="宋体"/>
          <w:color w:val="auto"/>
          <w:sz w:val="24"/>
          <w:highlight w:val="none"/>
        </w:rPr>
        <w:t>指本项目政府采购活动所依托的政府采购云平台（https://www.zcygov.cn/）。</w:t>
      </w:r>
    </w:p>
    <w:p w14:paraId="4F4FE7F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 “▲” 系指实质性要求条款，“</w:t>
      </w:r>
      <w:sdt>
        <w:sdtPr>
          <w:rPr>
            <w:rFonts w:hint="eastAsia" w:ascii="宋体" w:hAnsi="宋体" w:eastAsia="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 系指适用本项目的要求，“</w:t>
      </w:r>
      <w:sdt>
        <w:sdtPr>
          <w:rPr>
            <w:rFonts w:hint="eastAsia" w:ascii="宋体" w:hAnsi="宋体" w:eastAsia="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 系指不适用本项目的要求。</w:t>
      </w:r>
    </w:p>
    <w:p w14:paraId="7F10C46A">
      <w:pPr>
        <w:spacing w:line="360" w:lineRule="auto"/>
        <w:ind w:firstLine="241" w:firstLineChars="1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w:t>
      </w:r>
      <w:r>
        <w:rPr>
          <w:rFonts w:hint="eastAsia" w:ascii="宋体" w:hAnsi="宋体" w:eastAsia="宋体" w:cs="宋体"/>
          <w:color w:val="auto"/>
          <w:highlight w:val="none"/>
        </w:rPr>
        <w:t xml:space="preserve"> </w:t>
      </w:r>
      <w:r>
        <w:rPr>
          <w:rFonts w:hint="eastAsia" w:ascii="宋体" w:hAnsi="宋体" w:eastAsia="宋体" w:cs="宋体"/>
          <w:b/>
          <w:color w:val="auto"/>
          <w:sz w:val="24"/>
          <w:highlight w:val="none"/>
        </w:rPr>
        <w:t>采购项目需要落实的政府采购政策</w:t>
      </w:r>
    </w:p>
    <w:p w14:paraId="366153BC">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不会对其加以限制，仍将按照公平竞争原则实施采购）；</w:t>
      </w:r>
      <w:r>
        <w:rPr>
          <w:rFonts w:hint="eastAsia" w:ascii="宋体" w:hAnsi="宋体" w:eastAsia="宋体" w:cs="宋体"/>
          <w:color w:val="auto"/>
          <w:kern w:val="0"/>
          <w:sz w:val="24"/>
          <w:highlight w:val="none"/>
        </w:rPr>
        <w:t>优先采购向我国企业转让技术、与我国企业签订消化吸收再创新方案的供应商的进口产品</w:t>
      </w:r>
      <w:r>
        <w:rPr>
          <w:rFonts w:hint="eastAsia" w:ascii="宋体" w:hAnsi="宋体" w:eastAsia="宋体" w:cs="宋体"/>
          <w:color w:val="auto"/>
          <w:sz w:val="24"/>
          <w:highlight w:val="none"/>
        </w:rPr>
        <w:t>。</w:t>
      </w:r>
    </w:p>
    <w:p w14:paraId="15053A14">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3.2 支持绿色发展</w:t>
      </w:r>
    </w:p>
    <w:p w14:paraId="021C1F36">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47B672E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026FE35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eastAsia="宋体" w:cs="宋体"/>
          <w:color w:val="auto"/>
          <w:sz w:val="24"/>
          <w:highlight w:val="none"/>
        </w:rPr>
        <w:t>鼓励采购单位优先采购秸秆环保板材等资源综合利用产品。鼓励采购单位优先采购绿色物流配送服务、提供新能源交通工具的租赁服务。</w:t>
      </w:r>
    </w:p>
    <w:p w14:paraId="03FF1E0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24941B42">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3.3支持中小企业发展</w:t>
      </w:r>
    </w:p>
    <w:p w14:paraId="2547A37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AE6C2C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符合中小企业划分标准的个体工商户，在政府采购活动中视同中小企业。</w:t>
      </w:r>
    </w:p>
    <w:p w14:paraId="1A28C605">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bCs/>
          <w:color w:val="auto"/>
          <w:sz w:val="24"/>
          <w:highlight w:val="none"/>
        </w:rPr>
        <w:t>3.3.2</w:t>
      </w:r>
      <w:r>
        <w:rPr>
          <w:rFonts w:hint="eastAsia" w:ascii="宋体" w:hAnsi="宋体" w:eastAsia="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793626E6">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以联合体形式参加政府采购活动，联合体各方均为中小企业的，联合体视同中小企业。其中，联合体各方均为小微企业的，联合体视同小微企业。</w:t>
      </w:r>
    </w:p>
    <w:p w14:paraId="4417D4C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3.3.3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eastAsia="宋体" w:cs="宋体"/>
          <w:color w:val="auto"/>
          <w:sz w:val="24"/>
          <w:highlight w:val="none"/>
        </w:rPr>
        <w:t>联合协议或者分包意向协议约定小微企业的合同份额占到合同总金额30%以上的</w:t>
      </w:r>
      <w:bookmarkEnd w:id="16"/>
      <w:r>
        <w:rPr>
          <w:rFonts w:hint="eastAsia" w:ascii="宋体" w:hAnsi="宋体" w:eastAsia="宋体" w:cs="宋体"/>
          <w:color w:val="auto"/>
          <w:sz w:val="24"/>
          <w:highlight w:val="none"/>
        </w:rPr>
        <w:t>，对联合体或者大中型企业的报价给予4%-6%的扣除，用扣除后的价格参加评审。组成联合体或者接受分包的小微企业与联合体内其他企业、分包企业之间存在直接控股、管理关系的，不享受价格扣除优惠政策。</w:t>
      </w:r>
    </w:p>
    <w:p w14:paraId="22025B5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42721C7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524D984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0ECE58F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3.3.7中小企业享受扶持政策获得政府采购合同的，小微企业不得将合同分包给大中型企业，中型企业不得将合同分包给大型企业。</w:t>
      </w:r>
    </w:p>
    <w:p w14:paraId="33FE7563">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3.4</w:t>
      </w:r>
      <w:r>
        <w:rPr>
          <w:rFonts w:hint="eastAsia" w:ascii="宋体" w:hAnsi="宋体" w:eastAsia="宋体" w:cs="宋体"/>
          <w:bCs/>
          <w:color w:val="auto"/>
          <w:sz w:val="24"/>
          <w:highlight w:val="none"/>
        </w:rPr>
        <w:t>支持创新发展</w:t>
      </w:r>
    </w:p>
    <w:p w14:paraId="026BA07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3.4.1 采购人优先采购被认定为首台套产品和“制造精品”的自主创新产品。</w:t>
      </w:r>
    </w:p>
    <w:p w14:paraId="037429C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5B01F8CB">
      <w:pPr>
        <w:pStyle w:val="2"/>
        <w:adjustRightInd w:val="0"/>
        <w:ind w:left="0" w:firstLine="480" w:firstLineChars="200"/>
        <w:rPr>
          <w:rFonts w:hint="eastAsia" w:ascii="宋体" w:hAnsi="宋体" w:eastAsia="宋体" w:cs="宋体"/>
          <w:color w:val="auto"/>
          <w:highlight w:val="none"/>
        </w:rPr>
      </w:pPr>
      <w:r>
        <w:rPr>
          <w:rFonts w:hint="eastAsia" w:ascii="宋体" w:hAnsi="宋体" w:eastAsia="宋体" w:cs="宋体"/>
          <w:b w:val="0"/>
          <w:bCs w:val="0"/>
          <w:color w:val="auto"/>
          <w:sz w:val="24"/>
          <w:szCs w:val="24"/>
          <w:highlight w:val="none"/>
          <w:lang w:val="en-US"/>
        </w:rPr>
        <w:t xml:space="preserve">3.4.3 </w:t>
      </w:r>
      <w:r>
        <w:rPr>
          <w:rFonts w:hint="eastAsia" w:ascii="宋体" w:hAnsi="宋体" w:eastAsia="宋体" w:cs="宋体"/>
          <w:b w:val="0"/>
          <w:bCs w:val="0"/>
          <w:color w:val="auto"/>
          <w:sz w:val="24"/>
          <w:szCs w:val="24"/>
          <w:highlight w:val="none"/>
          <w:lang w:val="en-US" w:eastAsia="zh-CN"/>
        </w:rPr>
        <w:t>采购人应当贯彻落实知识产权保护相关法律法规，</w:t>
      </w:r>
      <w:r>
        <w:rPr>
          <w:rFonts w:hint="eastAsia" w:ascii="宋体" w:hAnsi="宋体" w:eastAsia="宋体" w:cs="宋体"/>
          <w:b w:val="0"/>
          <w:bCs w:val="0"/>
          <w:color w:val="auto"/>
          <w:sz w:val="24"/>
          <w:szCs w:val="24"/>
          <w:highlight w:val="none"/>
          <w:lang w:val="en-US"/>
        </w:rPr>
        <w:t>应当采购使用正版软件。</w:t>
      </w:r>
    </w:p>
    <w:p w14:paraId="7B42914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3.5平等对待内外资企业和符合条件的破产重整企业</w:t>
      </w:r>
    </w:p>
    <w:p w14:paraId="64349240">
      <w:pPr>
        <w:spacing w:line="360" w:lineRule="auto"/>
        <w:ind w:firstLine="480" w:firstLineChars="200"/>
        <w:rPr>
          <w:rFonts w:hint="eastAsia" w:ascii="宋体" w:hAnsi="宋体" w:eastAsia="宋体" w:cs="宋体"/>
          <w:b/>
          <w:color w:val="auto"/>
          <w:highlight w:val="none"/>
        </w:rPr>
      </w:pPr>
      <w:r>
        <w:rPr>
          <w:rFonts w:hint="eastAsia" w:ascii="宋体" w:hAnsi="宋体" w:eastAsia="宋体" w:cs="宋体"/>
          <w:color w:val="auto"/>
          <w:sz w:val="24"/>
          <w:highlight w:val="none"/>
        </w:rPr>
        <w:t>平等对待内外资企业和符合条件的破产重整企业，切实保障企业公平竞争，平等维护企业的合法利益。</w:t>
      </w:r>
      <w:r>
        <w:rPr>
          <w:rFonts w:hint="eastAsia" w:ascii="宋体" w:hAnsi="宋体" w:eastAsia="宋体" w:cs="宋体"/>
          <w:color w:val="auto"/>
          <w:sz w:val="24"/>
          <w:highlight w:val="none"/>
        </w:rPr>
        <w:cr/>
      </w:r>
      <w:r>
        <w:rPr>
          <w:rFonts w:hint="eastAsia" w:ascii="宋体" w:hAnsi="宋体" w:eastAsia="宋体" w:cs="宋体"/>
          <w:b/>
          <w:color w:val="auto"/>
          <w:highlight w:val="none"/>
        </w:rPr>
        <w:t>4. 询问、质疑、投诉</w:t>
      </w:r>
      <w:r>
        <w:rPr>
          <w:rFonts w:hint="eastAsia" w:ascii="宋体" w:hAnsi="宋体" w:eastAsia="宋体" w:cs="宋体"/>
          <w:color w:val="auto"/>
          <w:sz w:val="24"/>
          <w:highlight w:val="none"/>
        </w:rPr>
        <w:t>、补偿救济</w:t>
      </w:r>
    </w:p>
    <w:p w14:paraId="003A4B67">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4.1在线询问、质疑、投诉</w:t>
      </w:r>
    </w:p>
    <w:p w14:paraId="4C6D04E7">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F258270">
      <w:pPr>
        <w:autoSpaceDE w:val="0"/>
        <w:autoSpaceDN w:val="0"/>
        <w:spacing w:line="360" w:lineRule="auto"/>
        <w:ind w:firstLine="240" w:firstLineChars="1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4.2供应商询问</w:t>
      </w:r>
    </w:p>
    <w:p w14:paraId="43FBCAB4">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3615783">
      <w:pPr>
        <w:autoSpaceDE w:val="0"/>
        <w:autoSpaceDN w:val="0"/>
        <w:spacing w:line="360" w:lineRule="auto"/>
        <w:ind w:firstLine="240" w:firstLineChars="1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4.3供应商质疑</w:t>
      </w:r>
    </w:p>
    <w:p w14:paraId="4DDD7FC4">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4.3</w:t>
      </w:r>
      <w:r>
        <w:rPr>
          <w:rFonts w:hint="eastAsia" w:ascii="宋体" w:hAnsi="宋体" w:eastAsia="宋体" w:cs="宋体"/>
          <w:color w:val="auto"/>
          <w:sz w:val="24"/>
          <w:highlight w:val="none"/>
        </w:rPr>
        <w:t>.1提出质疑的供应商应当是参与所质疑项目采购活动的供应商。潜在供应商已依法获取其可质疑的招标文件的，可以对该文件提出质疑。</w:t>
      </w:r>
    </w:p>
    <w:p w14:paraId="644B02B0">
      <w:pPr>
        <w:pStyle w:val="34"/>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4.3</w:t>
      </w:r>
      <w:r>
        <w:rPr>
          <w:rFonts w:hint="eastAsia" w:ascii="宋体" w:hAnsi="宋体" w:eastAsia="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提出质疑，否则，采购人或者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不予受理：</w:t>
      </w:r>
    </w:p>
    <w:p w14:paraId="53BAEC3F">
      <w:pPr>
        <w:pStyle w:val="15"/>
        <w:spacing w:line="360" w:lineRule="auto"/>
        <w:ind w:firstLine="480" w:firstLineChars="200"/>
        <w:rPr>
          <w:rFonts w:hint="eastAsia" w:ascii="宋体" w:hAnsi="宋体" w:eastAsia="宋体" w:cs="宋体"/>
          <w:snapToGrid/>
          <w:color w:val="auto"/>
          <w:kern w:val="2"/>
          <w:sz w:val="24"/>
          <w:highlight w:val="none"/>
        </w:rPr>
      </w:pPr>
      <w:r>
        <w:rPr>
          <w:rFonts w:hint="eastAsia" w:ascii="宋体" w:hAnsi="宋体" w:eastAsia="宋体" w:cs="宋体"/>
          <w:snapToGrid/>
          <w:color w:val="auto"/>
          <w:kern w:val="2"/>
          <w:sz w:val="24"/>
          <w:highlight w:val="none"/>
        </w:rPr>
        <w:t>4.3.2.1对招标文件提出质疑的，质疑期限为供应商获得招标文件之日或者招标文件公告期限届满之日起计算。</w:t>
      </w:r>
    </w:p>
    <w:p w14:paraId="2A4CCB9B">
      <w:pPr>
        <w:pStyle w:val="34"/>
        <w:spacing w:line="360" w:lineRule="auto"/>
        <w:ind w:left="479" w:leftChars="228"/>
        <w:rPr>
          <w:rFonts w:hint="eastAsia" w:ascii="宋体" w:hAnsi="宋体" w:eastAsia="宋体" w:cs="宋体"/>
          <w:color w:val="auto"/>
          <w:sz w:val="24"/>
          <w:highlight w:val="none"/>
        </w:rPr>
      </w:pPr>
      <w:r>
        <w:rPr>
          <w:rFonts w:hint="eastAsia" w:ascii="宋体" w:hAnsi="宋体" w:eastAsia="宋体" w:cs="宋体"/>
          <w:color w:val="auto"/>
          <w:sz w:val="24"/>
          <w:highlight w:val="none"/>
        </w:rPr>
        <w:t>4.3.2.2对采购过程提出质疑的，质疑期限为各采购程序环节结束之日起计算。4.3.2.3对采购结果提出质疑的，质疑期限自采购结果公告期限届满之日起计算。</w:t>
      </w:r>
    </w:p>
    <w:p w14:paraId="20E237A8">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4.3.3</w:t>
      </w:r>
      <w:r>
        <w:rPr>
          <w:rFonts w:hint="eastAsia" w:ascii="宋体" w:hAnsi="宋体" w:eastAsia="宋体" w:cs="宋体"/>
          <w:color w:val="auto"/>
          <w:sz w:val="24"/>
          <w:highlight w:val="none"/>
        </w:rPr>
        <w:t>供应商提出质疑应当提交质疑函和必要的证明材料。质疑函应当包括下列内容：</w:t>
      </w:r>
    </w:p>
    <w:p w14:paraId="2455E55C">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4.3.3.1供应商的姓名或者名称、地址、邮编、联系人及联系电话；</w:t>
      </w:r>
    </w:p>
    <w:p w14:paraId="42D7B2EB">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4.3.3.2质疑项目的名称、编号；</w:t>
      </w:r>
    </w:p>
    <w:p w14:paraId="6917AA9C">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4.3.3.3具体、明确的质疑事项和与质疑事项相关的请求；</w:t>
      </w:r>
    </w:p>
    <w:p w14:paraId="18234293">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4.3.3.4事实依据；</w:t>
      </w:r>
    </w:p>
    <w:p w14:paraId="79684F99">
      <w:pPr>
        <w:pStyle w:val="34"/>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4.3.3.5必要的法律依据；</w:t>
      </w:r>
    </w:p>
    <w:p w14:paraId="063E20F9">
      <w:pPr>
        <w:pStyle w:val="34"/>
        <w:spacing w:line="360" w:lineRule="auto"/>
        <w:ind w:firstLine="960" w:firstLineChars="4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4.3.3.6提出质疑的日期。</w:t>
      </w:r>
    </w:p>
    <w:p w14:paraId="78362D64">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6A5F8E98">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质疑函范本及制作说明详见附件2。</w:t>
      </w:r>
    </w:p>
    <w:p w14:paraId="517B0152">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4.3.4对同一采购程序环节的质疑，供应商须在法定质疑期内一次性提出。</w:t>
      </w:r>
    </w:p>
    <w:p w14:paraId="70DEDD11">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lang w:val="zh-CN"/>
        </w:rPr>
        <w:t>4.3</w:t>
      </w:r>
      <w:r>
        <w:rPr>
          <w:rFonts w:hint="eastAsia" w:ascii="宋体" w:hAnsi="宋体" w:eastAsia="宋体" w:cs="宋体"/>
          <w:color w:val="auto"/>
          <w:highlight w:val="none"/>
        </w:rPr>
        <w:t>.5采购人或者</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在质疑回复后5个工作日内，在浙江政府采购网的“其他公告”栏目公开质疑答复，答复内容应当完整。质疑函作为附件上传。</w:t>
      </w:r>
    </w:p>
    <w:p w14:paraId="0BD677FF">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lang w:val="zh-CN"/>
        </w:rPr>
        <w:t>4.3</w:t>
      </w:r>
      <w:r>
        <w:rPr>
          <w:rFonts w:hint="eastAsia" w:ascii="宋体" w:hAnsi="宋体" w:eastAsia="宋体" w:cs="宋体"/>
          <w:color w:val="auto"/>
          <w:highlight w:val="none"/>
        </w:rPr>
        <w:t>.6询问或者质疑事项可能影响采购结果的，采购人应当暂停签订合同，已经签订合同的，应当中止履行合同。</w:t>
      </w:r>
    </w:p>
    <w:p w14:paraId="3C1E468A">
      <w:pPr>
        <w:pStyle w:val="889"/>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4.4供应商投诉</w:t>
      </w:r>
    </w:p>
    <w:p w14:paraId="098D6B13">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4.4.1质疑供应商对采购人、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的答复不满意或者采购人、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未在规定的时间内作出答复的，可以在答复期满后十五个工作日内向同级政府采购监督管理部门提出投诉。</w:t>
      </w:r>
    </w:p>
    <w:p w14:paraId="7AE94980">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w:t>
      </w:r>
      <w:r>
        <w:rPr>
          <w:rFonts w:hint="eastAsia" w:ascii="宋体" w:hAnsi="宋体" w:eastAsia="宋体" w:cs="宋体"/>
          <w:color w:val="auto"/>
          <w:highlight w:val="none"/>
          <w:lang w:val="zh-CN"/>
        </w:rPr>
        <w:t>2</w:t>
      </w:r>
      <w:r>
        <w:rPr>
          <w:rFonts w:hint="eastAsia" w:ascii="宋体" w:hAnsi="宋体" w:eastAsia="宋体" w:cs="宋体"/>
          <w:color w:val="auto"/>
          <w:highlight w:val="none"/>
        </w:rPr>
        <w:t>供应商投诉的事项不得超出已质疑事项的范围，基于质疑答复内容提出的投诉事项除外。</w:t>
      </w:r>
    </w:p>
    <w:p w14:paraId="1F470B62">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4.4.3供应商投诉应当有明确的请求和必要的证明材料。</w:t>
      </w:r>
    </w:p>
    <w:p w14:paraId="6BF32530">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4.4.4 以联合体形式参加政府采购活动的，其投诉应当由组成联合体的所有供应商共同提出。</w:t>
      </w:r>
    </w:p>
    <w:p w14:paraId="1F8CACD5">
      <w:pPr>
        <w:pStyle w:val="889"/>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rPr>
      </w:pPr>
      <w:r>
        <w:rPr>
          <w:rFonts w:hint="eastAsia" w:ascii="宋体" w:hAnsi="宋体" w:eastAsia="宋体" w:cs="宋体"/>
          <w:color w:val="auto"/>
          <w:highlight w:val="none"/>
        </w:rPr>
        <w:t>4.4.5根据政府采购行政裁决省市区三级联动试点工作安排，杭州市本级</w:t>
      </w:r>
      <w:r>
        <w:rPr>
          <w:rFonts w:hint="eastAsia" w:ascii="宋体" w:hAnsi="宋体" w:eastAsia="宋体" w:cs="宋体"/>
          <w:color w:val="auto"/>
          <w:highlight w:val="none"/>
          <w:lang w:eastAsia="zh-CN"/>
        </w:rPr>
        <w:t>及各区、县（市）</w:t>
      </w:r>
      <w:r>
        <w:rPr>
          <w:rFonts w:hint="eastAsia" w:ascii="宋体" w:hAnsi="宋体" w:eastAsia="宋体" w:cs="宋体"/>
          <w:color w:val="auto"/>
          <w:highlight w:val="none"/>
        </w:rPr>
        <w:t>政府采购项目投诉材料可寄送至浙江省政府采购行政裁决服务中心（杭州），地址：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eastAsia="宋体" w:cs="宋体"/>
          <w:i w:val="0"/>
          <w:caps w:val="0"/>
          <w:color w:val="auto"/>
          <w:spacing w:val="0"/>
          <w:sz w:val="24"/>
          <w:szCs w:val="24"/>
          <w:highlight w:val="none"/>
          <w:lang w:eastAsia="zh-CN"/>
        </w:rPr>
        <w:t>，</w:t>
      </w:r>
      <w:r>
        <w:rPr>
          <w:rFonts w:hint="eastAsia" w:ascii="宋体" w:hAnsi="宋体" w:eastAsia="宋体" w:cs="宋体"/>
          <w:color w:val="auto"/>
          <w:highlight w:val="none"/>
        </w:rPr>
        <w:t>收件人：朱女士</w:t>
      </w:r>
      <w:r>
        <w:rPr>
          <w:rFonts w:hint="eastAsia" w:ascii="宋体" w:hAnsi="宋体" w:eastAsia="宋体" w:cs="宋体"/>
          <w:color w:val="auto"/>
          <w:sz w:val="24"/>
          <w:highlight w:val="none"/>
        </w:rPr>
        <w:t>、王女士</w:t>
      </w:r>
      <w:r>
        <w:rPr>
          <w:rFonts w:hint="eastAsia" w:ascii="宋体" w:hAnsi="宋体" w:eastAsia="宋体" w:cs="宋体"/>
          <w:color w:val="auto"/>
          <w:highlight w:val="none"/>
        </w:rPr>
        <w:t>，电话：0571-</w:t>
      </w:r>
      <w:r>
        <w:rPr>
          <w:rFonts w:hint="eastAsia" w:ascii="宋体" w:hAnsi="宋体" w:eastAsia="宋体" w:cs="宋体"/>
          <w:i w:val="0"/>
          <w:caps w:val="0"/>
          <w:color w:val="auto"/>
          <w:spacing w:val="0"/>
          <w:sz w:val="24"/>
          <w:szCs w:val="24"/>
          <w:highlight w:val="none"/>
        </w:rPr>
        <w:t>8</w:t>
      </w:r>
      <w:r>
        <w:rPr>
          <w:rFonts w:hint="eastAsia" w:ascii="宋体" w:hAnsi="宋体" w:eastAsia="宋体" w:cs="宋体"/>
          <w:i w:val="0"/>
          <w:caps w:val="0"/>
          <w:color w:val="auto"/>
          <w:spacing w:val="0"/>
          <w:sz w:val="24"/>
          <w:szCs w:val="24"/>
          <w:highlight w:val="none"/>
          <w:lang w:val="en-US" w:eastAsia="zh-CN"/>
        </w:rPr>
        <w:t>7227671,0571-87800218</w:t>
      </w:r>
    </w:p>
    <w:p w14:paraId="35035BAC">
      <w:pPr>
        <w:adjustRightInd w:val="0"/>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4.5 补偿救济</w:t>
      </w:r>
    </w:p>
    <w:p w14:paraId="453E6D2E">
      <w:pPr>
        <w:shd w:val="clear" w:color="auto" w:fill="FFFFFF"/>
        <w:adjustRightInd w:val="0"/>
        <w:snapToGrid w:val="0"/>
        <w:spacing w:after="240" w:afterAutospacing="0" w:line="360" w:lineRule="auto"/>
        <w:ind w:firstLine="480" w:firstLineChars="200"/>
        <w:contextualSpacing/>
        <w:rPr>
          <w:rFonts w:hint="eastAsia" w:ascii="宋体" w:hAnsi="宋体" w:eastAsia="宋体" w:cs="宋体"/>
          <w:color w:val="auto"/>
          <w:highlight w:val="none"/>
        </w:rPr>
      </w:pPr>
      <w:r>
        <w:rPr>
          <w:rFonts w:hint="eastAsia" w:ascii="宋体" w:hAnsi="宋体" w:eastAsia="宋体" w:cs="宋体"/>
          <w:color w:val="auto"/>
          <w:sz w:val="24"/>
          <w:highlight w:val="none"/>
        </w:rPr>
        <w:t>采购人（行政机关）因政策变化、规划调整而不履行政府采购合同的，供应商可依据《杭州市涉企补偿救济实施办法（试行）》向采购人（行政机关）提起补偿申请。</w:t>
      </w:r>
    </w:p>
    <w:p w14:paraId="1F736106">
      <w:pPr>
        <w:pStyle w:val="889"/>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投诉书范本及制作说明详见附件3。</w:t>
      </w:r>
    </w:p>
    <w:p w14:paraId="3CF91969">
      <w:pPr>
        <w:pStyle w:val="132"/>
        <w:snapToGrid w:val="0"/>
        <w:spacing w:before="0"/>
        <w:ind w:firstLine="360"/>
        <w:rPr>
          <w:rFonts w:hint="eastAsia" w:ascii="宋体" w:hAnsi="宋体" w:eastAsia="宋体" w:cs="宋体"/>
          <w:color w:val="auto"/>
          <w:sz w:val="18"/>
          <w:szCs w:val="18"/>
          <w:highlight w:val="none"/>
        </w:rPr>
      </w:pPr>
    </w:p>
    <w:p w14:paraId="4D97E294">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 xml:space="preserve">      二、招标文件的构成、澄清、修改</w:t>
      </w:r>
    </w:p>
    <w:p w14:paraId="672205EC">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5．招标文件的构成</w:t>
      </w:r>
    </w:p>
    <w:p w14:paraId="482EA08E">
      <w:pPr>
        <w:pStyle w:val="34"/>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 招标文件包括下列文件及附件：</w:t>
      </w:r>
    </w:p>
    <w:p w14:paraId="2E606995">
      <w:pPr>
        <w:pStyle w:val="34"/>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5.1.1招标公告；</w:t>
      </w:r>
    </w:p>
    <w:p w14:paraId="779F167C">
      <w:pPr>
        <w:pStyle w:val="34"/>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5.1.2投标人须知；</w:t>
      </w:r>
    </w:p>
    <w:p w14:paraId="4F7A44C5">
      <w:pPr>
        <w:pStyle w:val="34"/>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5.1.3采购需求；</w:t>
      </w:r>
    </w:p>
    <w:p w14:paraId="4CA6AC46">
      <w:pPr>
        <w:pStyle w:val="34"/>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5.1.4评标办法；</w:t>
      </w:r>
    </w:p>
    <w:p w14:paraId="28A8E23C">
      <w:pPr>
        <w:pStyle w:val="34"/>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5.1.5拟签订的合同文本；</w:t>
      </w:r>
    </w:p>
    <w:p w14:paraId="6D977FCB">
      <w:pPr>
        <w:pStyle w:val="34"/>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5.1.6</w:t>
      </w:r>
      <w:r>
        <w:rPr>
          <w:rFonts w:hint="eastAsia" w:ascii="宋体" w:hAnsi="宋体" w:eastAsia="宋体" w:cs="宋体"/>
          <w:color w:val="auto"/>
          <w:sz w:val="24"/>
          <w:szCs w:val="24"/>
          <w:highlight w:val="none"/>
        </w:rPr>
        <w:t>应提交的有关格式范例。</w:t>
      </w:r>
    </w:p>
    <w:p w14:paraId="5AD4D1F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5.2与本项目有关的</w:t>
      </w:r>
      <w:r>
        <w:rPr>
          <w:rFonts w:hint="eastAsia" w:ascii="宋体" w:hAnsi="宋体" w:eastAsia="宋体" w:cs="宋体"/>
          <w:bCs/>
          <w:color w:val="auto"/>
          <w:sz w:val="24"/>
          <w:highlight w:val="none"/>
        </w:rPr>
        <w:t>澄清或者修改的内容为招标文件的组成部分</w:t>
      </w:r>
      <w:r>
        <w:rPr>
          <w:rFonts w:hint="eastAsia" w:ascii="宋体" w:hAnsi="宋体" w:eastAsia="宋体" w:cs="宋体"/>
          <w:color w:val="auto"/>
          <w:sz w:val="24"/>
          <w:highlight w:val="none"/>
        </w:rPr>
        <w:t>。</w:t>
      </w:r>
    </w:p>
    <w:p w14:paraId="319DA831">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 招标文件的澄清、修改</w:t>
      </w:r>
    </w:p>
    <w:p w14:paraId="2350795D">
      <w:pPr>
        <w:pStyle w:val="1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6.1已获取招标文件的潜在投标人，若有问题需要澄清，应于投标截止时间前，以书面形式向</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提出。</w:t>
      </w:r>
    </w:p>
    <w:p w14:paraId="62849FB4">
      <w:pPr>
        <w:pStyle w:val="1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6.2 </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C7072C4">
      <w:pPr>
        <w:pStyle w:val="23"/>
        <w:rPr>
          <w:rFonts w:hint="eastAsia" w:ascii="宋体" w:hAnsi="宋体" w:eastAsia="宋体" w:cs="宋体"/>
          <w:color w:val="auto"/>
          <w:sz w:val="18"/>
          <w:szCs w:val="18"/>
          <w:highlight w:val="none"/>
          <w:lang w:val="en-US"/>
        </w:rPr>
      </w:pPr>
      <w:r>
        <w:rPr>
          <w:rFonts w:hint="eastAsia" w:ascii="宋体" w:hAnsi="宋体" w:eastAsia="宋体" w:cs="宋体"/>
          <w:color w:val="auto"/>
          <w:szCs w:val="24"/>
          <w:highlight w:val="none"/>
          <w:lang w:val="en-US"/>
        </w:rPr>
        <w:t xml:space="preserve">    </w:t>
      </w:r>
    </w:p>
    <w:p w14:paraId="0AC89777">
      <w:pPr>
        <w:adjustRightInd/>
        <w:spacing w:line="360" w:lineRule="auto"/>
        <w:jc w:val="center"/>
        <w:outlineLvl w:val="0"/>
        <w:rPr>
          <w:rFonts w:hint="eastAsia" w:ascii="宋体" w:hAnsi="宋体" w:eastAsia="宋体" w:cs="宋体"/>
          <w:b/>
          <w:color w:val="auto"/>
          <w:sz w:val="30"/>
          <w:szCs w:val="20"/>
          <w:highlight w:val="none"/>
        </w:rPr>
      </w:pPr>
      <w:r>
        <w:rPr>
          <w:rFonts w:hint="eastAsia" w:ascii="宋体" w:hAnsi="宋体" w:eastAsia="宋体" w:cs="宋体"/>
          <w:b/>
          <w:color w:val="auto"/>
          <w:sz w:val="30"/>
          <w:szCs w:val="20"/>
          <w:highlight w:val="none"/>
        </w:rPr>
        <w:t>三、投标</w:t>
      </w:r>
    </w:p>
    <w:p w14:paraId="14ED4BA7">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 招标文件的获取</w:t>
      </w:r>
    </w:p>
    <w:p w14:paraId="60792686">
      <w:pPr>
        <w:spacing w:line="360" w:lineRule="auto"/>
        <w:ind w:firstLine="480" w:firstLineChars="200"/>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详见招标公告中获取招标文件的时间期限、地点、方式及招标文件售价。</w:t>
      </w:r>
    </w:p>
    <w:p w14:paraId="59879EB5">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8.开标前答疑会或现场考察</w:t>
      </w:r>
    </w:p>
    <w:p w14:paraId="5F362D19">
      <w:pPr>
        <w:pStyle w:val="34"/>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5CEA73F7">
      <w:pPr>
        <w:pStyle w:val="34"/>
        <w:spacing w:line="360" w:lineRule="auto"/>
        <w:rPr>
          <w:rFonts w:hint="eastAsia" w:ascii="宋体" w:hAnsi="宋体" w:eastAsia="宋体" w:cs="宋体"/>
          <w:b/>
          <w:color w:val="auto"/>
          <w:szCs w:val="24"/>
          <w:highlight w:val="none"/>
        </w:rPr>
      </w:pPr>
      <w:r>
        <w:rPr>
          <w:rFonts w:hint="eastAsia" w:ascii="宋体" w:hAnsi="宋体" w:eastAsia="宋体" w:cs="宋体"/>
          <w:b/>
          <w:color w:val="auto"/>
          <w:kern w:val="28"/>
          <w:sz w:val="24"/>
          <w:szCs w:val="24"/>
          <w:highlight w:val="none"/>
        </w:rPr>
        <w:t>9.投标保证金</w:t>
      </w:r>
    </w:p>
    <w:p w14:paraId="65509E6C">
      <w:pPr>
        <w:pStyle w:val="15"/>
        <w:spacing w:line="360" w:lineRule="auto"/>
        <w:ind w:firstLine="470" w:firstLineChars="196"/>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本项目不需缴纳投标保证金。</w:t>
      </w:r>
    </w:p>
    <w:p w14:paraId="2BD1FD84">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 投标文件的语言</w:t>
      </w:r>
    </w:p>
    <w:p w14:paraId="45C21D2E">
      <w:pPr>
        <w:autoSpaceDE w:val="0"/>
        <w:autoSpaceDN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投标文件及投标人与采购有关的来往通知、函件和文件均应使用中文。</w:t>
      </w:r>
    </w:p>
    <w:p w14:paraId="0A634B20">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 投标文件的组成</w:t>
      </w:r>
    </w:p>
    <w:p w14:paraId="5A08D43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b/>
          <w:color w:val="auto"/>
          <w:sz w:val="24"/>
          <w:highlight w:val="none"/>
        </w:rPr>
        <w:t>资格文件</w:t>
      </w:r>
      <w:r>
        <w:rPr>
          <w:rFonts w:hint="eastAsia" w:ascii="宋体" w:hAnsi="宋体" w:eastAsia="宋体" w:cs="宋体"/>
          <w:color w:val="auto"/>
          <w:sz w:val="24"/>
          <w:highlight w:val="none"/>
        </w:rPr>
        <w:t>：</w:t>
      </w:r>
    </w:p>
    <w:p w14:paraId="25A95534">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11.1.1符合参加政府采购活动应当具备的一般条件的承诺函；</w:t>
      </w:r>
    </w:p>
    <w:p w14:paraId="62D1CAAA">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11.1.2</w:t>
      </w:r>
      <w:bookmarkStart w:id="17" w:name="_Hlk101259339"/>
      <w:r>
        <w:rPr>
          <w:rFonts w:hint="eastAsia" w:ascii="宋体" w:hAnsi="宋体" w:eastAsia="宋体" w:cs="宋体"/>
          <w:snapToGrid w:val="0"/>
          <w:color w:val="auto"/>
          <w:kern w:val="28"/>
          <w:sz w:val="24"/>
          <w:szCs w:val="20"/>
          <w:highlight w:val="none"/>
        </w:rPr>
        <w:t>联合协议</w:t>
      </w:r>
      <w:bookmarkEnd w:id="17"/>
      <w:r>
        <w:rPr>
          <w:rFonts w:hint="eastAsia" w:ascii="宋体" w:hAnsi="宋体" w:eastAsia="宋体" w:cs="宋体"/>
          <w:snapToGrid w:val="0"/>
          <w:color w:val="auto"/>
          <w:kern w:val="28"/>
          <w:sz w:val="24"/>
          <w:szCs w:val="20"/>
          <w:highlight w:val="none"/>
        </w:rPr>
        <w:t>（如果有)；</w:t>
      </w:r>
    </w:p>
    <w:p w14:paraId="09DB6220">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11.1.3落实政府采购政策需满足的资格要求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581E0D0B">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11.1.4本项目的特定资格要求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7A759B25">
      <w:pPr>
        <w:snapToGrid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商务技术</w:t>
      </w:r>
      <w:r>
        <w:rPr>
          <w:rFonts w:hint="eastAsia" w:ascii="宋体" w:hAnsi="宋体" w:eastAsia="宋体" w:cs="宋体"/>
          <w:color w:val="auto"/>
          <w:sz w:val="24"/>
          <w:highlight w:val="none"/>
          <w:lang w:val="zh-CN"/>
        </w:rPr>
        <w:t>文件：</w:t>
      </w:r>
    </w:p>
    <w:p w14:paraId="7264ED98">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11.2.1投标函；</w:t>
      </w:r>
      <w:r>
        <w:rPr>
          <w:rFonts w:hint="eastAsia" w:ascii="宋体" w:hAnsi="宋体" w:eastAsia="宋体" w:cs="宋体"/>
          <w:color w:val="auto"/>
          <w:sz w:val="24"/>
          <w:highlight w:val="none"/>
          <w:lang w:val="zh-CN"/>
        </w:rPr>
        <w:t xml:space="preserve"> </w:t>
      </w:r>
    </w:p>
    <w:p w14:paraId="3D35F7EB">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11.2.2授权委托书或法定代表人（单位负责人、自然人本人）身份证明；</w:t>
      </w:r>
    </w:p>
    <w:p w14:paraId="449BA275">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11.2.3分包意向协议</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69FEB05B">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11.2.4符合性审查资料；</w:t>
      </w:r>
    </w:p>
    <w:p w14:paraId="0F922EB2">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11.2.5评标标准相应的商务技术资料；</w:t>
      </w:r>
    </w:p>
    <w:p w14:paraId="6026D841">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11.2.6投标标的清单；</w:t>
      </w:r>
    </w:p>
    <w:p w14:paraId="3254A506">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11.2.7商务技术偏离表；</w:t>
      </w:r>
    </w:p>
    <w:p w14:paraId="5BC03EC5">
      <w:pPr>
        <w:snapToGrid w:val="0"/>
        <w:spacing w:line="360" w:lineRule="auto"/>
        <w:ind w:firstLine="960" w:firstLineChars="4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p>
    <w:p w14:paraId="0839F313">
      <w:pPr>
        <w:snapToGrid w:val="0"/>
        <w:spacing w:line="360" w:lineRule="auto"/>
        <w:ind w:firstLine="480" w:firstLineChars="200"/>
        <w:rPr>
          <w:rFonts w:hint="eastAsia" w:ascii="宋体" w:hAnsi="宋体" w:eastAsia="宋体" w:cs="宋体"/>
          <w:color w:val="auto"/>
          <w:sz w:val="24"/>
          <w:highlight w:val="none"/>
          <w:u w:val="single"/>
          <w:lang w:val="zh-CN"/>
        </w:rPr>
      </w:pPr>
      <w:r>
        <w:rPr>
          <w:rFonts w:hint="eastAsia" w:ascii="宋体" w:hAnsi="宋体" w:eastAsia="宋体" w:cs="宋体"/>
          <w:color w:val="auto"/>
          <w:kern w:val="0"/>
          <w:sz w:val="24"/>
          <w:highlight w:val="none"/>
          <w:lang w:val="zh-CN"/>
        </w:rPr>
        <w:t>11.</w:t>
      </w:r>
      <w:r>
        <w:rPr>
          <w:rFonts w:hint="eastAsia" w:ascii="宋体" w:hAnsi="宋体" w:eastAsia="宋体" w:cs="宋体"/>
          <w:color w:val="auto"/>
          <w:kern w:val="0"/>
          <w:sz w:val="24"/>
          <w:highlight w:val="none"/>
        </w:rPr>
        <w:t>3</w:t>
      </w:r>
      <w:r>
        <w:rPr>
          <w:rFonts w:hint="eastAsia" w:ascii="宋体" w:hAnsi="宋体" w:eastAsia="宋体" w:cs="宋体"/>
          <w:b/>
          <w:color w:val="auto"/>
          <w:sz w:val="24"/>
          <w:highlight w:val="none"/>
        </w:rPr>
        <w:t>报价文件：</w:t>
      </w:r>
      <w:r>
        <w:rPr>
          <w:rFonts w:hint="eastAsia" w:ascii="宋体" w:hAnsi="宋体" w:eastAsia="宋体" w:cs="宋体"/>
          <w:color w:val="auto"/>
          <w:sz w:val="24"/>
          <w:highlight w:val="none"/>
        </w:rPr>
        <w:t xml:space="preserve"> </w:t>
      </w:r>
    </w:p>
    <w:p w14:paraId="3B8C3A5D">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11.3.1开标一览表（报价表）；</w:t>
      </w:r>
    </w:p>
    <w:p w14:paraId="0C87B7C8">
      <w:pPr>
        <w:pStyle w:val="82"/>
        <w:adjustRightInd w:val="0"/>
        <w:spacing w:line="360" w:lineRule="auto"/>
        <w:ind w:firstLine="960" w:firstLineChars="400"/>
        <w:rPr>
          <w:rFonts w:hint="eastAsia" w:ascii="宋体" w:hAnsi="宋体" w:eastAsia="宋体" w:cs="宋体"/>
          <w:color w:val="auto"/>
          <w:highlight w:val="none"/>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报价情况说明</w:t>
      </w:r>
      <w:r>
        <w:rPr>
          <w:rFonts w:hint="eastAsia" w:ascii="宋体" w:hAnsi="宋体" w:eastAsia="宋体" w:cs="宋体"/>
          <w:b w:val="0"/>
          <w:bCs w:val="0"/>
          <w:color w:val="auto"/>
          <w:sz w:val="24"/>
          <w:szCs w:val="24"/>
          <w:highlight w:val="none"/>
          <w:lang w:val="en-US" w:eastAsia="zh-CN"/>
        </w:rPr>
        <w:t>；</w:t>
      </w:r>
    </w:p>
    <w:p w14:paraId="3176BCC1">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4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11.3.</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中小企业声明函。</w:t>
      </w:r>
      <w:r>
        <w:rPr>
          <w:rFonts w:hint="eastAsia" w:ascii="宋体" w:hAnsi="宋体" w:eastAsia="宋体" w:cs="宋体"/>
          <w:color w:val="auto"/>
          <w:sz w:val="24"/>
          <w:highlight w:val="none"/>
          <w:lang w:eastAsia="zh-CN"/>
        </w:rPr>
        <w:t>（如果有）</w:t>
      </w:r>
    </w:p>
    <w:p w14:paraId="3EEF79BE">
      <w:pPr>
        <w:spacing w:line="360" w:lineRule="auto"/>
        <w:ind w:firstLine="723" w:firstLineChars="3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投标文件含有采购人不能接受的附加条件的，投标无效；</w:t>
      </w:r>
    </w:p>
    <w:p w14:paraId="2CE05077">
      <w:pPr>
        <w:spacing w:line="360" w:lineRule="auto"/>
        <w:ind w:firstLine="723" w:firstLineChars="3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投标人提供虚假材料投标的，投标无效。</w:t>
      </w:r>
    </w:p>
    <w:p w14:paraId="13C87AF4">
      <w:pPr>
        <w:spacing w:line="360" w:lineRule="auto"/>
        <w:ind w:firstLine="720" w:firstLineChars="300"/>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lang w:val="en-US" w:eastAsia="zh-CN"/>
        </w:rPr>
        <w:t>投标人应对投标文件中材料的真实性、合法性负责。</w:t>
      </w:r>
    </w:p>
    <w:p w14:paraId="7E3FB054">
      <w:pPr>
        <w:pStyle w:val="82"/>
        <w:rPr>
          <w:rFonts w:hint="eastAsia" w:ascii="宋体" w:hAnsi="宋体" w:eastAsia="宋体" w:cs="宋体"/>
          <w:color w:val="auto"/>
          <w:highlight w:val="none"/>
        </w:rPr>
      </w:pPr>
    </w:p>
    <w:p w14:paraId="602B6988">
      <w:pPr>
        <w:pStyle w:val="132"/>
        <w:snapToGrid w:val="0"/>
        <w:spacing w:before="0"/>
        <w:ind w:firstLine="0" w:firstLineChars="0"/>
        <w:outlineLvl w:val="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12</w:t>
      </w:r>
      <w:r>
        <w:rPr>
          <w:rFonts w:hint="eastAsia" w:ascii="宋体" w:hAnsi="宋体" w:eastAsia="宋体" w:cs="宋体"/>
          <w:b/>
          <w:color w:val="auto"/>
          <w:kern w:val="0"/>
          <w:szCs w:val="24"/>
          <w:highlight w:val="none"/>
          <w:lang w:val="zh-CN"/>
        </w:rPr>
        <w:t xml:space="preserve">. </w:t>
      </w:r>
      <w:r>
        <w:rPr>
          <w:rFonts w:hint="eastAsia" w:ascii="宋体" w:hAnsi="宋体" w:eastAsia="宋体" w:cs="宋体"/>
          <w:b/>
          <w:color w:val="auto"/>
          <w:szCs w:val="24"/>
          <w:highlight w:val="none"/>
        </w:rPr>
        <w:t>投标文件的编制</w:t>
      </w:r>
    </w:p>
    <w:p w14:paraId="055F837E">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A08FA85">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6F9CD96">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3FE9F93C">
      <w:pPr>
        <w:snapToGrid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13.投标文件的签署、盖章</w:t>
      </w:r>
    </w:p>
    <w:p w14:paraId="62CCE29E">
      <w:pPr>
        <w:pStyle w:val="132"/>
        <w:snapToGrid w:val="0"/>
        <w:spacing w:before="0"/>
        <w:ind w:firstLine="480"/>
        <w:rPr>
          <w:rFonts w:hint="eastAsia" w:ascii="宋体" w:hAnsi="宋体" w:eastAsia="宋体" w:cs="宋体"/>
          <w:b/>
          <w:color w:val="auto"/>
          <w:highlight w:val="none"/>
        </w:rPr>
      </w:pPr>
      <w:r>
        <w:rPr>
          <w:rFonts w:hint="eastAsia" w:ascii="宋体" w:hAnsi="宋体" w:eastAsia="宋体" w:cs="宋体"/>
          <w:color w:val="auto"/>
          <w:szCs w:val="24"/>
          <w:highlight w:val="none"/>
        </w:rPr>
        <w:t>13.1投标文件按照招标文件第六部分格式要</w:t>
      </w:r>
      <w:r>
        <w:rPr>
          <w:rFonts w:hint="eastAsia" w:ascii="宋体" w:hAnsi="宋体" w:eastAsia="宋体" w:cs="宋体"/>
          <w:color w:val="auto"/>
          <w:highlight w:val="none"/>
        </w:rPr>
        <w:t>求进行签署、盖章。</w:t>
      </w:r>
      <w:r>
        <w:rPr>
          <w:rFonts w:hint="eastAsia" w:ascii="宋体" w:hAnsi="宋体" w:eastAsia="宋体" w:cs="宋体"/>
          <w:b/>
          <w:color w:val="auto"/>
          <w:highlight w:val="none"/>
        </w:rPr>
        <w:t>▲投标人的投标文件未按照招标文件要求签署、盖章的，其投标无效</w:t>
      </w:r>
      <w:r>
        <w:rPr>
          <w:rFonts w:hint="eastAsia" w:ascii="宋体" w:hAnsi="宋体" w:eastAsia="宋体" w:cs="宋体"/>
          <w:color w:val="auto"/>
          <w:szCs w:val="24"/>
          <w:highlight w:val="none"/>
        </w:rPr>
        <w:t>。</w:t>
      </w:r>
    </w:p>
    <w:p w14:paraId="016FCEBF">
      <w:pPr>
        <w:pStyle w:val="1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0F216406">
      <w:pPr>
        <w:pStyle w:val="132"/>
        <w:snapToGrid w:val="0"/>
        <w:spacing w:before="0"/>
        <w:ind w:firstLine="480"/>
        <w:rPr>
          <w:rFonts w:hint="eastAsia" w:ascii="宋体" w:hAnsi="宋体" w:eastAsia="宋体" w:cs="宋体"/>
          <w:color w:val="auto"/>
          <w:szCs w:val="24"/>
          <w:highlight w:val="none"/>
        </w:rPr>
      </w:pPr>
      <w:r>
        <w:rPr>
          <w:rFonts w:hint="eastAsia" w:ascii="宋体" w:hAnsi="宋体" w:eastAsia="宋体" w:cs="宋体"/>
          <w:color w:val="auto"/>
          <w:highlight w:val="none"/>
        </w:rPr>
        <w:t>13.3招标文件对投标文件签署、盖章的要求适用于电子签名。</w:t>
      </w:r>
    </w:p>
    <w:p w14:paraId="4E81F0ED">
      <w:pPr>
        <w:pStyle w:val="132"/>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14. 投标文件的提交、补充、修改、撤回</w:t>
      </w:r>
    </w:p>
    <w:p w14:paraId="7BD313C1">
      <w:pPr>
        <w:pStyle w:val="132"/>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1675592">
      <w:pPr>
        <w:pStyle w:val="132"/>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052C15EC">
      <w:pPr>
        <w:pStyle w:val="132"/>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14.3采购人、</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可以视情况延长投标文件提交的截止时间。在上述情况下，</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与投标人以前在投标截止期方面的全部权利、责任和义务，将适用于延长至新的投标截止期。</w:t>
      </w:r>
    </w:p>
    <w:p w14:paraId="26FD15A3">
      <w:pPr>
        <w:pStyle w:val="34"/>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15.备份投标文件</w:t>
      </w:r>
    </w:p>
    <w:p w14:paraId="76DD8CE8">
      <w:pPr>
        <w:pStyle w:val="34"/>
        <w:spacing w:line="360" w:lineRule="auto"/>
        <w:ind w:firstLine="360" w:firstLineChars="15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宋体" w:hAnsi="宋体" w:eastAsia="宋体" w:cs="宋体"/>
          <w:b/>
          <w:color w:val="auto"/>
          <w:sz w:val="24"/>
          <w:szCs w:val="24"/>
          <w:highlight w:val="none"/>
        </w:rPr>
        <w:t>但采购人、</w:t>
      </w:r>
      <w:r>
        <w:rPr>
          <w:rFonts w:hint="eastAsia" w:ascii="宋体" w:hAnsi="宋体" w:eastAsia="宋体" w:cs="宋体"/>
          <w:b/>
          <w:color w:val="auto"/>
          <w:sz w:val="24"/>
          <w:szCs w:val="24"/>
          <w:highlight w:val="none"/>
          <w:lang w:eastAsia="zh-CN"/>
        </w:rPr>
        <w:t>采购代理机构</w:t>
      </w:r>
      <w:r>
        <w:rPr>
          <w:rFonts w:hint="eastAsia" w:ascii="宋体" w:hAnsi="宋体" w:eastAsia="宋体" w:cs="宋体"/>
          <w:b/>
          <w:color w:val="auto"/>
          <w:sz w:val="24"/>
          <w:szCs w:val="24"/>
          <w:highlight w:val="none"/>
        </w:rPr>
        <w:t>不强制或变相强制投标人提交备份投标文件。</w:t>
      </w:r>
    </w:p>
    <w:p w14:paraId="5385CB23">
      <w:pPr>
        <w:pStyle w:val="34"/>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15.2备份投标文件须在“政采云投标客户端”制作生成，并储存在</w:t>
      </w:r>
      <w:r>
        <w:rPr>
          <w:rFonts w:hint="eastAsia" w:ascii="宋体" w:hAnsi="宋体" w:eastAsia="宋体" w:cs="宋体"/>
          <w:color w:val="auto"/>
          <w:sz w:val="24"/>
          <w:highlight w:val="none"/>
        </w:rPr>
        <w:t>DVD光盘</w:t>
      </w:r>
      <w:r>
        <w:rPr>
          <w:rFonts w:hint="eastAsia" w:ascii="宋体" w:hAnsi="宋体" w:eastAsia="宋体" w:cs="宋体"/>
          <w:color w:val="auto"/>
          <w:sz w:val="24"/>
          <w:highlight w:val="none"/>
          <w:lang w:val="en-US" w:eastAsia="zh-CN"/>
        </w:rPr>
        <w:t>等存储介质</w:t>
      </w:r>
      <w:r>
        <w:rPr>
          <w:rFonts w:hint="eastAsia" w:ascii="宋体" w:hAnsi="宋体" w:eastAsia="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color w:val="auto"/>
          <w:sz w:val="24"/>
          <w:highlight w:val="none"/>
        </w:rPr>
        <w:t>不符合上述制作、</w:t>
      </w:r>
      <w:r>
        <w:rPr>
          <w:rFonts w:hint="eastAsia" w:ascii="宋体" w:hAnsi="宋体" w:eastAsia="宋体" w:cs="宋体"/>
          <w:b/>
          <w:color w:val="auto"/>
          <w:sz w:val="24"/>
          <w:szCs w:val="24"/>
          <w:highlight w:val="none"/>
        </w:rPr>
        <w:t>存储、密封规定的备份投标文件将被视为无效或者被拒绝接收。</w:t>
      </w:r>
    </w:p>
    <w:p w14:paraId="7C0DB7EC">
      <w:pPr>
        <w:pStyle w:val="34"/>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15.3直接提交备份投标文件的，投标人应于投标截止时间前在招标公告中载明的开标地点将备份投标文件提交给</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将拒绝接受逾期送达的备份投标文件。</w:t>
      </w:r>
    </w:p>
    <w:p w14:paraId="63198CD6">
      <w:pPr>
        <w:pStyle w:val="34"/>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color w:val="auto"/>
          <w:sz w:val="24"/>
          <w:szCs w:val="24"/>
          <w:highlight w:val="none"/>
        </w:rPr>
        <w:t>招标文件第二部分投标人须知前附表规定的备份投标文件送达地点；</w:t>
      </w:r>
      <w:r>
        <w:rPr>
          <w:rFonts w:hint="eastAsia" w:ascii="宋体" w:hAnsi="宋体" w:eastAsia="宋体" w:cs="宋体"/>
          <w:color w:val="auto"/>
          <w:sz w:val="24"/>
          <w:szCs w:val="24"/>
          <w:highlight w:val="none"/>
        </w:rPr>
        <w:t>送达时间以签收人签收时间为准。</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将拒绝接受逾期送达的备份投标文件。邮寄过程中，电子备份投标文件发生泄露、遗失、损坏或延期送达等情况的，由投标人自行负责。</w:t>
      </w:r>
    </w:p>
    <w:p w14:paraId="5758E96E">
      <w:pPr>
        <w:pStyle w:val="34"/>
        <w:spacing w:line="360" w:lineRule="auto"/>
        <w:ind w:firstLine="479" w:firstLineChars="19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15.5投标人仅提交备份投标文件，未在电子交易平台传输递交投标文件的，投标无效。</w:t>
      </w:r>
    </w:p>
    <w:p w14:paraId="1363048E">
      <w:pPr>
        <w:pStyle w:val="132"/>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16.投标文件的无效处理</w:t>
      </w:r>
    </w:p>
    <w:p w14:paraId="1084DBF8">
      <w:pPr>
        <w:pStyle w:val="26"/>
        <w:spacing w:line="360" w:lineRule="auto"/>
        <w:ind w:firstLine="360"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有招标文件第四部分</w:t>
      </w:r>
      <w:r>
        <w:rPr>
          <w:rFonts w:hint="eastAsia" w:ascii="宋体" w:hAnsi="宋体" w:eastAsia="宋体" w:cs="宋体"/>
          <w:color w:val="auto"/>
          <w:highlight w:val="none"/>
        </w:rPr>
        <w:t>4.2规定</w:t>
      </w:r>
      <w:r>
        <w:rPr>
          <w:rFonts w:hint="eastAsia" w:ascii="宋体" w:hAnsi="宋体" w:eastAsia="宋体" w:cs="宋体"/>
          <w:color w:val="auto"/>
          <w:szCs w:val="21"/>
          <w:highlight w:val="none"/>
        </w:rPr>
        <w:t>的情形之一的，投标无效：</w:t>
      </w:r>
    </w:p>
    <w:p w14:paraId="5122D1C8">
      <w:pPr>
        <w:pStyle w:val="132"/>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17.投标有效期</w:t>
      </w:r>
    </w:p>
    <w:p w14:paraId="09A298D9">
      <w:pPr>
        <w:spacing w:line="360" w:lineRule="auto"/>
        <w:ind w:firstLine="480" w:firstLineChars="200"/>
        <w:rPr>
          <w:rFonts w:hint="eastAsia" w:ascii="宋体" w:hAnsi="宋体" w:eastAsia="宋体" w:cs="宋体"/>
          <w:b/>
          <w:color w:val="auto"/>
          <w:sz w:val="24"/>
          <w:szCs w:val="21"/>
          <w:highlight w:val="none"/>
        </w:rPr>
      </w:pPr>
      <w:r>
        <w:rPr>
          <w:rFonts w:hint="eastAsia" w:ascii="宋体" w:hAnsi="宋体" w:eastAsia="宋体" w:cs="宋体"/>
          <w:color w:val="auto"/>
          <w:sz w:val="24"/>
          <w:szCs w:val="20"/>
          <w:highlight w:val="none"/>
        </w:rPr>
        <w:t>17.1投标有效期为从提交投标文件的截止之日起90天。▲</w:t>
      </w:r>
      <w:r>
        <w:rPr>
          <w:rFonts w:hint="eastAsia" w:ascii="宋体" w:hAnsi="宋体" w:eastAsia="宋体" w:cs="宋体"/>
          <w:b/>
          <w:color w:val="auto"/>
          <w:sz w:val="24"/>
          <w:szCs w:val="20"/>
          <w:highlight w:val="none"/>
        </w:rPr>
        <w:t>投标人的投标文件中承</w:t>
      </w:r>
      <w:r>
        <w:rPr>
          <w:rFonts w:hint="eastAsia" w:ascii="宋体" w:hAnsi="宋体" w:eastAsia="宋体" w:cs="宋体"/>
          <w:b/>
          <w:color w:val="auto"/>
          <w:sz w:val="24"/>
          <w:szCs w:val="21"/>
          <w:highlight w:val="none"/>
        </w:rPr>
        <w:t>诺的投标有效期少于招标文件中载明的投标有效期的，投标无效。</w:t>
      </w:r>
    </w:p>
    <w:p w14:paraId="43D0438D">
      <w:pPr>
        <w:pStyle w:val="132"/>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17.2投标文件合格投递后，自投标截止日期起，在投标有效期内有效。</w:t>
      </w:r>
    </w:p>
    <w:p w14:paraId="53D29233">
      <w:pPr>
        <w:pStyle w:val="132"/>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17.3在原定投标有效期满之前，如果出现特殊情况，</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可以以书面形式通知投标人延长投标有效期。投标人同意延长的，不得要求或被允许修改其投标文件，投标人拒绝延长的，其投标无效。</w:t>
      </w:r>
    </w:p>
    <w:p w14:paraId="104DA70B">
      <w:pPr>
        <w:pStyle w:val="132"/>
        <w:spacing w:before="0"/>
        <w:ind w:firstLine="643"/>
        <w:rPr>
          <w:rFonts w:hint="eastAsia" w:ascii="宋体" w:hAnsi="宋体" w:eastAsia="宋体" w:cs="宋体"/>
          <w:b/>
          <w:color w:val="auto"/>
          <w:sz w:val="32"/>
          <w:highlight w:val="none"/>
        </w:rPr>
      </w:pPr>
    </w:p>
    <w:p w14:paraId="727F988C">
      <w:pPr>
        <w:pStyle w:val="132"/>
        <w:spacing w:before="0"/>
        <w:ind w:firstLine="1928" w:firstLineChars="600"/>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四、开标、资格审查与信用信息查询</w:t>
      </w:r>
    </w:p>
    <w:p w14:paraId="141D99EF">
      <w:pPr>
        <w:pStyle w:val="557"/>
        <w:spacing w:before="0" w:line="360" w:lineRule="auto"/>
        <w:ind w:left="0" w:firstLine="241" w:firstLineChars="100"/>
        <w:contextualSpacing/>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18.开标</w:t>
      </w:r>
      <w:r>
        <w:rPr>
          <w:rFonts w:hint="eastAsia" w:ascii="宋体" w:hAnsi="宋体" w:eastAsia="宋体" w:cs="宋体"/>
          <w:color w:val="auto"/>
          <w:sz w:val="24"/>
          <w:highlight w:val="none"/>
        </w:rPr>
        <w:t xml:space="preserve"> </w:t>
      </w:r>
    </w:p>
    <w:p w14:paraId="15EB4D2C">
      <w:pPr>
        <w:pStyle w:val="557"/>
        <w:spacing w:before="0" w:line="360" w:lineRule="auto"/>
        <w:ind w:left="0"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18.1</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按照招标文件规定的时间通过电子交易平台组织开标，所有投标人均应当准时在线参加。投标人不足3家的，不得开标。</w:t>
      </w:r>
    </w:p>
    <w:p w14:paraId="2707122D">
      <w:pPr>
        <w:pStyle w:val="557"/>
        <w:spacing w:before="0" w:line="360" w:lineRule="auto"/>
        <w:ind w:left="0" w:firstLine="240" w:firstLineChars="1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18.2开标时，电子交易平台按开标时间自动提取所有投标文件。</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依托电子交易平台发起开始解密指令，投标人按照平台提示和招标文件的规定在半小时内完成在线解密。</w:t>
      </w:r>
    </w:p>
    <w:p w14:paraId="5E4B9E62">
      <w:pPr>
        <w:pStyle w:val="557"/>
        <w:spacing w:before="0" w:line="360" w:lineRule="auto"/>
        <w:ind w:left="0" w:firstLine="240" w:firstLineChars="100"/>
        <w:contextualSpacing/>
        <w:rPr>
          <w:rFonts w:hint="eastAsia" w:ascii="宋体" w:hAnsi="宋体" w:eastAsia="宋体" w:cs="宋体"/>
          <w:b/>
          <w:color w:val="auto"/>
          <w:sz w:val="24"/>
          <w:highlight w:val="none"/>
        </w:rPr>
      </w:pPr>
      <w:r>
        <w:rPr>
          <w:rFonts w:hint="eastAsia" w:ascii="宋体" w:hAnsi="宋体" w:eastAsia="宋体" w:cs="宋体"/>
          <w:color w:val="auto"/>
          <w:sz w:val="24"/>
          <w:highlight w:val="none"/>
        </w:rPr>
        <w:t>　18.3</w:t>
      </w:r>
      <w:r>
        <w:rPr>
          <w:rFonts w:hint="eastAsia" w:ascii="宋体" w:hAnsi="宋体" w:eastAsia="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3E2E45C6">
      <w:pPr>
        <w:widowControl/>
        <w:spacing w:before="100" w:beforeAutospacing="1" w:after="240" w:line="360" w:lineRule="auto"/>
        <w:jc w:val="left"/>
        <w:rPr>
          <w:rFonts w:hint="eastAsia" w:ascii="宋体" w:hAnsi="宋体" w:eastAsia="宋体" w:cs="宋体"/>
          <w:b/>
          <w:color w:val="auto"/>
          <w:sz w:val="24"/>
          <w:szCs w:val="20"/>
          <w:highlight w:val="none"/>
        </w:rPr>
      </w:pPr>
      <w:r>
        <w:rPr>
          <w:rFonts w:hint="eastAsia" w:ascii="宋体" w:hAnsi="宋体" w:eastAsia="宋体" w:cs="宋体"/>
          <w:b/>
          <w:color w:val="auto"/>
          <w:sz w:val="24"/>
          <w:szCs w:val="20"/>
          <w:highlight w:val="none"/>
        </w:rPr>
        <w:t>　19、资格审查</w:t>
      </w:r>
    </w:p>
    <w:p w14:paraId="613798E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19.</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sz w:val="24"/>
          <w:highlight w:val="none"/>
        </w:rPr>
        <w:t>采购人或</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依据法律法规和招标文件的规定，对投标人的资格进行审查。</w:t>
      </w:r>
    </w:p>
    <w:p w14:paraId="1D302DC5">
      <w:pPr>
        <w:pStyle w:val="132"/>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kern w:val="0"/>
          <w:szCs w:val="24"/>
          <w:highlight w:val="none"/>
          <w:lang w:val="en-US" w:eastAsia="zh-CN"/>
        </w:rPr>
        <w:t>2</w:t>
      </w:r>
      <w:r>
        <w:rPr>
          <w:rFonts w:hint="eastAsia" w:ascii="宋体" w:hAnsi="宋体" w:eastAsia="宋体" w:cs="宋体"/>
          <w:color w:val="auto"/>
          <w:kern w:val="0"/>
          <w:szCs w:val="24"/>
          <w:highlight w:val="none"/>
        </w:rPr>
        <w:t>投标人未按照招标文件要求提供与</w:t>
      </w:r>
      <w:r>
        <w:rPr>
          <w:rFonts w:hint="eastAsia" w:ascii="宋体" w:hAnsi="宋体" w:eastAsia="宋体" w:cs="宋体"/>
          <w:color w:val="auto"/>
          <w:highlight w:val="none"/>
        </w:rPr>
        <w:t>资格条件相应的</w:t>
      </w:r>
      <w:r>
        <w:rPr>
          <w:rFonts w:hint="eastAsia" w:ascii="宋体" w:hAnsi="宋体" w:eastAsia="宋体" w:cs="宋体"/>
          <w:color w:val="auto"/>
          <w:kern w:val="0"/>
          <w:szCs w:val="24"/>
          <w:highlight w:val="none"/>
        </w:rPr>
        <w:t>有效资格证明材料的，视为</w:t>
      </w:r>
      <w:r>
        <w:rPr>
          <w:rFonts w:hint="eastAsia" w:ascii="宋体" w:hAnsi="宋体" w:eastAsia="宋体" w:cs="宋体"/>
          <w:color w:val="auto"/>
          <w:highlight w:val="none"/>
        </w:rPr>
        <w:t>投标人不具备招标文件中规定的资格要求，其投标无效。</w:t>
      </w:r>
    </w:p>
    <w:p w14:paraId="0DC5A0E0">
      <w:pPr>
        <w:pStyle w:val="132"/>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对未通过资格审查的投标人，采购人或</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告知其未通过的原因。</w:t>
      </w:r>
    </w:p>
    <w:p w14:paraId="64578997">
      <w:pPr>
        <w:pStyle w:val="132"/>
        <w:adjustRightInd w:val="0"/>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合格投标人不足3家的，不再评标。</w:t>
      </w:r>
    </w:p>
    <w:p w14:paraId="279CA92D">
      <w:pPr>
        <w:pStyle w:val="132"/>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20、信用信息查询</w:t>
      </w:r>
    </w:p>
    <w:p w14:paraId="18ACE167">
      <w:pPr>
        <w:pStyle w:val="132"/>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20.1信用信息查询渠道及截止时间：</w:t>
      </w:r>
      <w:r>
        <w:rPr>
          <w:rFonts w:hint="eastAsia" w:ascii="宋体" w:hAnsi="宋体" w:eastAsia="宋体" w:cs="宋体"/>
          <w:color w:val="auto"/>
          <w:kern w:val="0"/>
          <w:szCs w:val="24"/>
          <w:highlight w:val="none"/>
          <w:lang w:eastAsia="zh-CN"/>
        </w:rPr>
        <w:t>采购代理机构</w:t>
      </w:r>
      <w:r>
        <w:rPr>
          <w:rFonts w:hint="eastAsia" w:ascii="宋体" w:hAnsi="宋体" w:eastAsia="宋体" w:cs="宋体"/>
          <w:color w:val="auto"/>
          <w:kern w:val="0"/>
          <w:szCs w:val="24"/>
          <w:highlight w:val="none"/>
        </w:rPr>
        <w:t>将在资格审查时通过“信用中国”网站(www.creditchina.gov.cn)、中国政府采购网(www.ccgp.gov.cn)渠道查询投标人的信用记录。</w:t>
      </w:r>
    </w:p>
    <w:p w14:paraId="26533204">
      <w:pPr>
        <w:pStyle w:val="132"/>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20.2信用信息查询记录和证据留存的具体方式：现场查询的投标人的信用记录、查询结果经确认后将与采购文件一起存档。</w:t>
      </w:r>
    </w:p>
    <w:p w14:paraId="7ED51388">
      <w:pPr>
        <w:pStyle w:val="132"/>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34476AF0">
      <w:pPr>
        <w:pStyle w:val="132"/>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auto"/>
          <w:highlight w:val="none"/>
        </w:rPr>
        <w:t>。</w:t>
      </w:r>
    </w:p>
    <w:p w14:paraId="121EBA25">
      <w:pPr>
        <w:pStyle w:val="132"/>
        <w:spacing w:before="0"/>
        <w:ind w:firstLine="0" w:firstLineChars="0"/>
        <w:rPr>
          <w:rFonts w:hint="eastAsia" w:ascii="宋体" w:hAnsi="宋体" w:eastAsia="宋体" w:cs="宋体"/>
          <w:color w:val="auto"/>
          <w:kern w:val="0"/>
          <w:szCs w:val="24"/>
          <w:highlight w:val="none"/>
        </w:rPr>
      </w:pPr>
    </w:p>
    <w:p w14:paraId="231E9CC9">
      <w:pPr>
        <w:snapToGrid w:val="0"/>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五、评标</w:t>
      </w:r>
    </w:p>
    <w:p w14:paraId="3099DC02">
      <w:pPr>
        <w:spacing w:line="360" w:lineRule="auto"/>
        <w:rPr>
          <w:rFonts w:hint="eastAsia" w:ascii="宋体" w:hAnsi="宋体" w:eastAsia="宋体" w:cs="宋体"/>
          <w:b/>
          <w:color w:val="auto"/>
          <w:sz w:val="24"/>
          <w:highlight w:val="none"/>
        </w:rPr>
      </w:pPr>
      <w:bookmarkStart w:id="18" w:name="_Toc91899903"/>
      <w:r>
        <w:rPr>
          <w:rFonts w:hint="eastAsia" w:ascii="宋体" w:hAnsi="宋体" w:eastAsia="宋体" w:cs="宋体"/>
          <w:b/>
          <w:color w:val="auto"/>
          <w:sz w:val="24"/>
          <w:highlight w:val="none"/>
        </w:rPr>
        <w:t>21.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color w:val="auto"/>
          <w:sz w:val="24"/>
          <w:highlight w:val="none"/>
        </w:rPr>
        <w:t>详见招标文件第四部分评标办法。</w:t>
      </w:r>
    </w:p>
    <w:p w14:paraId="38F95396">
      <w:pPr>
        <w:spacing w:line="360" w:lineRule="auto"/>
        <w:rPr>
          <w:rFonts w:hint="eastAsia" w:ascii="宋体" w:hAnsi="宋体" w:eastAsia="宋体" w:cs="宋体"/>
          <w:b/>
          <w:color w:val="auto"/>
          <w:sz w:val="24"/>
          <w:highlight w:val="none"/>
        </w:rPr>
      </w:pPr>
    </w:p>
    <w:p w14:paraId="4626CB53">
      <w:pPr>
        <w:snapToGrid w:val="0"/>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六、定 标</w:t>
      </w:r>
    </w:p>
    <w:p w14:paraId="76C7B2BB">
      <w:pPr>
        <w:pStyle w:val="26"/>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22. 确定中标供应商</w:t>
      </w:r>
    </w:p>
    <w:p w14:paraId="20D4FFAF">
      <w:pPr>
        <w:pStyle w:val="132"/>
        <w:snapToGrid w:val="0"/>
        <w:spacing w:before="0"/>
        <w:ind w:firstLine="480"/>
        <w:rPr>
          <w:rFonts w:hint="eastAsia" w:ascii="宋体" w:hAnsi="宋体" w:eastAsia="宋体" w:cs="宋体"/>
          <w:b/>
          <w:color w:val="auto"/>
          <w:szCs w:val="24"/>
          <w:highlight w:val="none"/>
        </w:rPr>
      </w:pPr>
      <w:r>
        <w:rPr>
          <w:rFonts w:hint="eastAsia" w:ascii="宋体" w:hAnsi="宋体" w:eastAsia="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eastAsia="宋体" w:cs="宋体"/>
          <w:color w:val="auto"/>
          <w:szCs w:val="24"/>
          <w:highlight w:val="none"/>
          <w:lang w:val="en-US" w:eastAsia="zh-CN"/>
        </w:rPr>
        <w:t>鼓励</w:t>
      </w:r>
      <w:r>
        <w:rPr>
          <w:rFonts w:hint="eastAsia" w:ascii="宋体" w:hAnsi="宋体" w:eastAsia="宋体" w:cs="宋体"/>
          <w:color w:val="auto"/>
          <w:szCs w:val="24"/>
          <w:highlight w:val="none"/>
        </w:rPr>
        <w:t>在收到评审报告当天</w:t>
      </w:r>
      <w:r>
        <w:rPr>
          <w:rFonts w:hint="eastAsia" w:ascii="宋体" w:hAnsi="宋体" w:eastAsia="宋体" w:cs="宋体"/>
          <w:color w:val="auto"/>
          <w:szCs w:val="24"/>
          <w:highlight w:val="none"/>
          <w:lang w:val="en-US" w:eastAsia="zh-CN"/>
        </w:rPr>
        <w:t>在线</w:t>
      </w:r>
      <w:r>
        <w:rPr>
          <w:rFonts w:hint="eastAsia" w:ascii="宋体" w:hAnsi="宋体" w:eastAsia="宋体" w:cs="宋体"/>
          <w:color w:val="auto"/>
          <w:szCs w:val="24"/>
          <w:highlight w:val="none"/>
        </w:rPr>
        <w:t>确定中标或者成交供应商。中标、成交通知书和中标、成交结果公告应当在规定时间内同时发出。</w:t>
      </w:r>
    </w:p>
    <w:p w14:paraId="2FF46463">
      <w:pPr>
        <w:pStyle w:val="132"/>
        <w:snapToGrid w:val="0"/>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23. 中标通知与中标结果公告</w:t>
      </w:r>
    </w:p>
    <w:p w14:paraId="10128639">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23.1自中标人确定之日起2个工作日内，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通过电子交易平台向中标人发出中标通知书，同时编制发布采购结果公告。</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也可以以纸质形式进行中标通知。</w:t>
      </w:r>
    </w:p>
    <w:p w14:paraId="5703410A">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23.2中标结果公告内容包括采购人及其委托的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2E46B2A4">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23.3公告期限为1个工作日。</w:t>
      </w:r>
    </w:p>
    <w:p w14:paraId="7BF8AF0D">
      <w:pPr>
        <w:pStyle w:val="132"/>
        <w:adjustRightInd w:val="0"/>
        <w:snapToGrid w:val="0"/>
        <w:spacing w:before="0"/>
        <w:ind w:firstLine="482" w:firstLineChars="200"/>
        <w:rPr>
          <w:rStyle w:val="78"/>
          <w:rFonts w:hint="eastAsia" w:ascii="宋体" w:hAnsi="宋体" w:eastAsia="宋体" w:cs="宋体"/>
          <w:color w:val="auto"/>
          <w:highlight w:val="none"/>
        </w:rPr>
      </w:pPr>
      <w:r>
        <w:rPr>
          <w:rFonts w:hint="eastAsia" w:ascii="宋体" w:hAnsi="宋体" w:eastAsia="宋体" w:cs="宋体"/>
          <w:b/>
          <w:color w:val="auto"/>
          <w:szCs w:val="24"/>
          <w:highlight w:val="none"/>
        </w:rPr>
        <w:t>2</w:t>
      </w:r>
      <w:r>
        <w:rPr>
          <w:rFonts w:hint="eastAsia" w:ascii="宋体" w:hAnsi="宋体" w:eastAsia="宋体" w:cs="宋体"/>
          <w:b/>
          <w:color w:val="auto"/>
          <w:szCs w:val="24"/>
          <w:highlight w:val="none"/>
          <w:lang w:eastAsia="zh-CN"/>
        </w:rPr>
        <w:t>3</w:t>
      </w:r>
      <w:r>
        <w:rPr>
          <w:rFonts w:hint="eastAsia" w:ascii="宋体" w:hAnsi="宋体" w:eastAsia="宋体" w:cs="宋体"/>
          <w:b/>
          <w:color w:val="auto"/>
          <w:szCs w:val="24"/>
          <w:highlight w:val="none"/>
          <w:lang w:val="en-US" w:eastAsia="zh-CN"/>
        </w:rPr>
        <w:t xml:space="preserve">.4 </w:t>
      </w:r>
      <w:r>
        <w:rPr>
          <w:rFonts w:hint="eastAsia" w:ascii="宋体" w:hAnsi="宋体" w:eastAsia="宋体" w:cs="宋体"/>
          <w:b w:val="0"/>
          <w:bCs/>
          <w:color w:val="auto"/>
          <w:szCs w:val="24"/>
          <w:highlight w:val="none"/>
        </w:rPr>
        <w:t>由于</w:t>
      </w:r>
      <w:r>
        <w:rPr>
          <w:rFonts w:hint="eastAsia" w:ascii="宋体" w:hAnsi="宋体" w:eastAsia="宋体" w:cs="宋体"/>
          <w:bCs/>
          <w:color w:val="auto"/>
          <w:szCs w:val="24"/>
          <w:highlight w:val="none"/>
        </w:rPr>
        <w:t>中标、成交供应商原因导致重新采购的，应当承担支付代理费和专家评审费等费用在内的赔偿责任。</w:t>
      </w:r>
    </w:p>
    <w:p w14:paraId="788D5714">
      <w:pPr>
        <w:pStyle w:val="82"/>
        <w:rPr>
          <w:rFonts w:hint="eastAsia" w:ascii="宋体" w:hAnsi="宋体" w:eastAsia="宋体" w:cs="宋体"/>
          <w:color w:val="auto"/>
          <w:highlight w:val="none"/>
        </w:rPr>
      </w:pPr>
    </w:p>
    <w:p w14:paraId="2EE831D4">
      <w:pPr>
        <w:snapToGrid w:val="0"/>
        <w:spacing w:line="360" w:lineRule="auto"/>
        <w:ind w:left="120" w:leftChars="57" w:firstLine="482" w:firstLineChars="150"/>
        <w:jc w:val="center"/>
        <w:rPr>
          <w:rFonts w:hint="eastAsia" w:ascii="宋体" w:hAnsi="宋体" w:eastAsia="宋体" w:cs="宋体"/>
          <w:b/>
          <w:color w:val="auto"/>
          <w:sz w:val="32"/>
          <w:highlight w:val="none"/>
        </w:rPr>
      </w:pPr>
    </w:p>
    <w:p w14:paraId="7956BB50">
      <w:pPr>
        <w:snapToGrid w:val="0"/>
        <w:spacing w:line="36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七、合同授予</w:t>
      </w:r>
    </w:p>
    <w:p w14:paraId="362C32FF">
      <w:pPr>
        <w:pStyle w:val="26"/>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 xml:space="preserve">24. </w:t>
      </w:r>
      <w:r>
        <w:rPr>
          <w:rFonts w:hint="eastAsia" w:ascii="宋体" w:hAnsi="宋体" w:eastAsia="宋体" w:cs="宋体"/>
          <w:color w:val="auto"/>
          <w:highlight w:val="none"/>
        </w:rPr>
        <w:t>合同主要条款详见第五部分拟签订的合同文本。</w:t>
      </w:r>
    </w:p>
    <w:p w14:paraId="39351E8B">
      <w:pPr>
        <w:pStyle w:val="26"/>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25. 合同的签订</w:t>
      </w:r>
    </w:p>
    <w:p w14:paraId="458389E0">
      <w:pPr>
        <w:widowControl/>
        <w:shd w:val="clear" w:color="auto" w:fill="FFFFFF"/>
        <w:spacing w:line="360" w:lineRule="auto"/>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25.1</w:t>
      </w:r>
      <w:r>
        <w:rPr>
          <w:rFonts w:hint="eastAsia" w:ascii="宋体" w:hAnsi="宋体" w:eastAsia="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171CCC67">
      <w:pPr>
        <w:pStyle w:val="132"/>
        <w:snapToGrid w:val="0"/>
        <w:spacing w:before="0"/>
        <w:ind w:firstLine="480"/>
        <w:rPr>
          <w:rFonts w:hint="eastAsia" w:ascii="宋体" w:hAnsi="宋体" w:eastAsia="宋体" w:cs="宋体"/>
          <w:color w:val="auto"/>
          <w:kern w:val="0"/>
          <w:highlight w:val="none"/>
        </w:rPr>
      </w:pPr>
      <w:r>
        <w:rPr>
          <w:rFonts w:hint="eastAsia" w:ascii="宋体" w:hAnsi="宋体" w:eastAsia="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23B5331E">
      <w:pPr>
        <w:pStyle w:val="1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25.3如签订合同并生效后，供应商无故拒绝或延期，除按照合同条款处理外，列入不良行为记录一次，并给予通报。</w:t>
      </w:r>
    </w:p>
    <w:p w14:paraId="10A56068">
      <w:pPr>
        <w:pStyle w:val="1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7A16D81B">
      <w:pPr>
        <w:pStyle w:val="132"/>
        <w:snapToGrid w:val="0"/>
        <w:spacing w:before="0" w:after="120"/>
        <w:ind w:firstLine="480"/>
        <w:rPr>
          <w:rFonts w:hint="eastAsia" w:ascii="宋体" w:hAnsi="宋体" w:eastAsia="宋体" w:cs="宋体"/>
          <w:color w:val="auto"/>
          <w:highlight w:val="none"/>
        </w:rPr>
      </w:pPr>
      <w:r>
        <w:rPr>
          <w:rFonts w:hint="eastAsia" w:ascii="宋体" w:hAnsi="宋体" w:eastAsia="宋体" w:cs="宋体"/>
          <w:color w:val="auto"/>
          <w:highlight w:val="none"/>
        </w:rPr>
        <w:t>25.5采购合同由采购人与中标供应商根据招标文件、投标文件等内容通过政府采购电子交易平台在线签订，自动备案。</w:t>
      </w:r>
    </w:p>
    <w:p w14:paraId="39EB6448">
      <w:pPr>
        <w:pStyle w:val="26"/>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26. 履约保证金</w:t>
      </w:r>
    </w:p>
    <w:p w14:paraId="4EB8205F">
      <w:pPr>
        <w:tabs>
          <w:tab w:val="left" w:pos="0"/>
        </w:tabs>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eastAsia="宋体" w:cs="宋体"/>
          <w:color w:val="auto"/>
          <w:sz w:val="24"/>
          <w:highlight w:val="none"/>
        </w:rPr>
        <w:t>。履约保证金的数额不得超过政府采购合同金额的1%，</w:t>
      </w:r>
      <w:r>
        <w:rPr>
          <w:rFonts w:hint="eastAsia" w:ascii="宋体" w:hAnsi="宋体" w:eastAsia="宋体" w:cs="宋体"/>
          <w:color w:val="auto"/>
          <w:kern w:val="2"/>
          <w:sz w:val="24"/>
          <w:highlight w:val="none"/>
        </w:rPr>
        <w:t>鼓励根据项目特点、供应商诚信等因素免收履约保证金或降低缴纳比例。</w:t>
      </w:r>
      <w:r>
        <w:rPr>
          <w:rFonts w:hint="eastAsia" w:ascii="宋体" w:hAnsi="宋体" w:eastAsia="宋体" w:cs="宋体"/>
          <w:color w:val="auto"/>
          <w:sz w:val="24"/>
          <w:highlight w:val="none"/>
        </w:rPr>
        <w:t>鼓励和支持供应商以银行、保险公司出具的保函形式提供履约保证金。采购人不得拒收履约保函，项目验收结束后应及时退还，延迟退还的，应当按照合同约定和法律规定承担相应的赔偿责任。</w:t>
      </w:r>
    </w:p>
    <w:p w14:paraId="32688181">
      <w:pPr>
        <w:pStyle w:val="2"/>
        <w:ind w:left="0" w:firstLine="480" w:firstLineChars="200"/>
        <w:rPr>
          <w:rFonts w:hint="eastAsia"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color w:val="auto"/>
          <w:kern w:val="28"/>
          <w:sz w:val="24"/>
          <w:highlight w:val="none"/>
          <w:lang w:val="en-US" w:eastAsia="zh-CN"/>
        </w:rPr>
        <w:t>95763</w:t>
      </w:r>
      <w:r>
        <w:rPr>
          <w:rFonts w:hint="eastAsia" w:ascii="宋体" w:hAnsi="宋体" w:eastAsia="宋体" w:cs="宋体"/>
          <w:b w:val="0"/>
          <w:bCs w:val="0"/>
          <w:snapToGrid w:val="0"/>
          <w:color w:val="auto"/>
          <w:kern w:val="28"/>
          <w:sz w:val="24"/>
          <w:highlight w:val="none"/>
        </w:rPr>
        <w:t>。</w:t>
      </w:r>
    </w:p>
    <w:p w14:paraId="61FB0ECF">
      <w:pPr>
        <w:pStyle w:val="2"/>
        <w:rPr>
          <w:rFonts w:hint="eastAsia" w:ascii="宋体" w:hAnsi="宋体" w:eastAsia="宋体" w:cs="宋体"/>
          <w:color w:val="auto"/>
          <w:highlight w:val="none"/>
        </w:rPr>
      </w:pPr>
      <w:r>
        <w:rPr>
          <w:rFonts w:hint="eastAsia" w:ascii="宋体" w:hAnsi="宋体" w:eastAsia="宋体" w:cs="宋体"/>
          <w:b/>
          <w:bCs/>
          <w:color w:val="auto"/>
          <w:kern w:val="2"/>
          <w:sz w:val="24"/>
          <w:szCs w:val="32"/>
          <w:highlight w:val="none"/>
          <w:lang w:val="en-US"/>
        </w:rPr>
        <w:t>27.预付款</w:t>
      </w:r>
    </w:p>
    <w:p w14:paraId="1A8F8240">
      <w:pPr>
        <w:adjustRightInd/>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kern w:val="2"/>
          <w:sz w:val="24"/>
          <w:highlight w:val="none"/>
        </w:rPr>
        <w:t>采购单位应当在政府采购合同中约定预付款，对中小企业合同预付款比例原则上不低于合同金额的40％，不高于合同金额的70%；项目分年安排预算的，每年预付款比例</w:t>
      </w:r>
      <w:r>
        <w:rPr>
          <w:rFonts w:hint="eastAsia" w:ascii="宋体" w:hAnsi="宋体" w:eastAsia="宋体" w:cs="宋体"/>
          <w:color w:val="auto"/>
          <w:sz w:val="24"/>
          <w:highlight w:val="none"/>
        </w:rPr>
        <w:t>不低于</w:t>
      </w:r>
      <w:r>
        <w:rPr>
          <w:rFonts w:hint="eastAsia" w:ascii="宋体" w:hAnsi="宋体" w:eastAsia="宋体" w:cs="宋体"/>
          <w:color w:val="auto"/>
          <w:kern w:val="2"/>
          <w:sz w:val="24"/>
          <w:highlight w:val="none"/>
        </w:rPr>
        <w:t>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w:t>
      </w:r>
      <w:r>
        <w:rPr>
          <w:rFonts w:hint="eastAsia" w:ascii="宋体" w:hAnsi="宋体" w:eastAsia="宋体" w:cs="宋体"/>
          <w:color w:val="auto"/>
          <w:kern w:val="2"/>
          <w:sz w:val="24"/>
          <w:highlight w:val="none"/>
          <w:lang w:val="en-US" w:eastAsia="zh-CN"/>
        </w:rPr>
        <w:t>95763</w:t>
      </w:r>
      <w:r>
        <w:rPr>
          <w:rFonts w:hint="eastAsia" w:ascii="宋体" w:hAnsi="宋体" w:eastAsia="宋体" w:cs="宋体"/>
          <w:color w:val="auto"/>
          <w:kern w:val="2"/>
          <w:sz w:val="24"/>
          <w:highlight w:val="none"/>
        </w:rPr>
        <w:t>。</w:t>
      </w:r>
    </w:p>
    <w:p w14:paraId="48384B68">
      <w:pPr>
        <w:rPr>
          <w:rFonts w:hint="eastAsia" w:ascii="宋体" w:hAnsi="宋体" w:eastAsia="宋体" w:cs="宋体"/>
          <w:color w:val="auto"/>
          <w:highlight w:val="none"/>
        </w:rPr>
      </w:pPr>
    </w:p>
    <w:p w14:paraId="3BF2E0FC">
      <w:pPr>
        <w:snapToGrid w:val="0"/>
        <w:spacing w:line="360" w:lineRule="auto"/>
        <w:ind w:firstLine="3357" w:firstLineChars="1045"/>
        <w:rPr>
          <w:rFonts w:hint="eastAsia" w:ascii="宋体" w:hAnsi="宋体" w:eastAsia="宋体" w:cs="宋体"/>
          <w:b/>
          <w:color w:val="auto"/>
          <w:sz w:val="32"/>
          <w:highlight w:val="none"/>
        </w:rPr>
      </w:pPr>
    </w:p>
    <w:p w14:paraId="6774A75B">
      <w:pPr>
        <w:snapToGrid w:val="0"/>
        <w:spacing w:line="360" w:lineRule="auto"/>
        <w:ind w:firstLine="3357" w:firstLineChars="1045"/>
        <w:rPr>
          <w:rFonts w:hint="eastAsia" w:ascii="宋体" w:hAnsi="宋体" w:eastAsia="宋体" w:cs="宋体"/>
          <w:b/>
          <w:color w:val="auto"/>
          <w:sz w:val="24"/>
          <w:highlight w:val="none"/>
        </w:rPr>
      </w:pPr>
      <w:r>
        <w:rPr>
          <w:rFonts w:hint="eastAsia" w:ascii="宋体" w:hAnsi="宋体" w:eastAsia="宋体" w:cs="宋体"/>
          <w:b/>
          <w:color w:val="auto"/>
          <w:sz w:val="32"/>
          <w:highlight w:val="none"/>
        </w:rPr>
        <w:t>八、电子交易活动的中止</w:t>
      </w:r>
    </w:p>
    <w:p w14:paraId="0BC3BE25">
      <w:pPr>
        <w:pStyle w:val="132"/>
        <w:snapToGrid w:val="0"/>
        <w:spacing w:before="0"/>
        <w:ind w:firstLine="0" w:firstLineChars="0"/>
        <w:rPr>
          <w:rFonts w:hint="eastAsia" w:ascii="宋体" w:hAnsi="宋体" w:eastAsia="宋体" w:cs="宋体"/>
          <w:color w:val="auto"/>
          <w:highlight w:val="none"/>
        </w:rPr>
      </w:pPr>
      <w:r>
        <w:rPr>
          <w:rFonts w:hint="eastAsia" w:ascii="宋体" w:hAnsi="宋体" w:eastAsia="宋体" w:cs="宋体"/>
          <w:b/>
          <w:bCs/>
          <w:color w:val="auto"/>
          <w:kern w:val="2"/>
          <w:sz w:val="24"/>
          <w:szCs w:val="20"/>
          <w:highlight w:val="none"/>
        </w:rPr>
        <w:t>2</w:t>
      </w:r>
      <w:r>
        <w:rPr>
          <w:rFonts w:hint="eastAsia" w:ascii="宋体" w:hAnsi="宋体" w:eastAsia="宋体" w:cs="宋体"/>
          <w:b/>
          <w:bCs/>
          <w:color w:val="auto"/>
          <w:kern w:val="2"/>
          <w:sz w:val="24"/>
          <w:szCs w:val="24"/>
          <w:highlight w:val="none"/>
        </w:rPr>
        <w:t>8</w:t>
      </w:r>
      <w:r>
        <w:rPr>
          <w:rFonts w:hint="eastAsia" w:ascii="宋体" w:hAnsi="宋体" w:eastAsia="宋体" w:cs="宋体"/>
          <w:b/>
          <w:color w:val="auto"/>
          <w:szCs w:val="24"/>
          <w:highlight w:val="none"/>
        </w:rPr>
        <w:t>. 电子交易活动的中止。</w:t>
      </w:r>
      <w:r>
        <w:rPr>
          <w:rFonts w:hint="eastAsia" w:ascii="宋体" w:hAnsi="宋体" w:eastAsia="宋体" w:cs="宋体"/>
          <w:color w:val="auto"/>
          <w:highlight w:val="none"/>
        </w:rPr>
        <w:t>采购过程中出现以下情形，导致电子交易平台无法正常运行，或者无法保证电子交易的公平、公正和安全时，</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可中止电子交易活动：</w:t>
      </w:r>
    </w:p>
    <w:p w14:paraId="21101BAE">
      <w:pPr>
        <w:pStyle w:val="1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28.1电子交易平台发生故障而无法登录访问的； </w:t>
      </w:r>
    </w:p>
    <w:p w14:paraId="3647FDAF">
      <w:pPr>
        <w:pStyle w:val="1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28.2电子交易平台应用或数据库出现错误，不能进行正常操作的；</w:t>
      </w:r>
    </w:p>
    <w:p w14:paraId="0E9D0DE3">
      <w:pPr>
        <w:pStyle w:val="1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28.3电子交易平台发现严重安全漏洞，有潜在泄密危险的；</w:t>
      </w:r>
    </w:p>
    <w:p w14:paraId="3E40D7BF">
      <w:pPr>
        <w:pStyle w:val="1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28.4病毒发作导致不能进行正常操作的； </w:t>
      </w:r>
    </w:p>
    <w:p w14:paraId="227A6AA6">
      <w:pPr>
        <w:pStyle w:val="13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28.5其他无法保证电子交易的公平、公正和安全的情况。</w:t>
      </w:r>
    </w:p>
    <w:p w14:paraId="5370417C">
      <w:pPr>
        <w:pStyle w:val="132"/>
        <w:snapToGrid w:val="0"/>
        <w:spacing w:before="0"/>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70F34219">
      <w:pPr>
        <w:tabs>
          <w:tab w:val="left" w:pos="0"/>
        </w:tabs>
        <w:spacing w:line="360" w:lineRule="auto"/>
        <w:ind w:firstLine="480"/>
        <w:rPr>
          <w:rFonts w:hint="eastAsia" w:ascii="宋体" w:hAnsi="宋体" w:eastAsia="宋体" w:cs="宋体"/>
          <w:color w:val="auto"/>
          <w:sz w:val="24"/>
          <w:highlight w:val="none"/>
        </w:rPr>
      </w:pPr>
    </w:p>
    <w:p w14:paraId="180D5F6F">
      <w:pPr>
        <w:snapToGrid w:val="0"/>
        <w:spacing w:line="36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九、验收</w:t>
      </w:r>
    </w:p>
    <w:p w14:paraId="0B90DDBC">
      <w:pPr>
        <w:pStyle w:val="26"/>
        <w:spacing w:line="360" w:lineRule="auto"/>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30.验收</w:t>
      </w:r>
    </w:p>
    <w:p w14:paraId="13EB8213">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8494DAF">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42CB372C">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40ABE83">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8"/>
      <w:bookmarkStart w:id="19" w:name="_Hlt68072998"/>
      <w:bookmarkEnd w:id="19"/>
      <w:bookmarkStart w:id="20" w:name="_Hlt75236290"/>
      <w:bookmarkEnd w:id="20"/>
      <w:bookmarkStart w:id="21" w:name="_Hlt68403820"/>
      <w:bookmarkEnd w:id="21"/>
      <w:bookmarkStart w:id="22" w:name="_Hlt74729768"/>
      <w:bookmarkEnd w:id="22"/>
      <w:bookmarkStart w:id="23" w:name="_Hlt68073093"/>
      <w:bookmarkEnd w:id="23"/>
      <w:bookmarkStart w:id="24" w:name="_Hlt74714665"/>
      <w:bookmarkEnd w:id="24"/>
      <w:bookmarkStart w:id="25" w:name="_Hlt74730295"/>
      <w:bookmarkEnd w:id="25"/>
      <w:bookmarkStart w:id="26" w:name="_Hlt75236101"/>
      <w:bookmarkEnd w:id="26"/>
      <w:bookmarkStart w:id="27" w:name="_Hlt75236011"/>
      <w:bookmarkEnd w:id="27"/>
      <w:bookmarkStart w:id="28" w:name="_Hlt74707468"/>
      <w:bookmarkEnd w:id="28"/>
      <w:bookmarkStart w:id="29" w:name="_Hlt68072990"/>
      <w:bookmarkEnd w:id="29"/>
      <w:bookmarkStart w:id="30" w:name="_Hlt68057669"/>
      <w:bookmarkEnd w:id="30"/>
    </w:p>
    <w:p w14:paraId="53FC45D6">
      <w:pPr>
        <w:pStyle w:val="2"/>
        <w:adjustRightInd w:val="0"/>
        <w:snapToGrid w:val="0"/>
        <w:ind w:left="0" w:firstLine="480" w:firstLineChars="200"/>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14:paraId="4C35DD3D">
      <w:pPr>
        <w:pStyle w:val="82"/>
        <w:rPr>
          <w:rFonts w:hint="eastAsia" w:ascii="宋体" w:hAnsi="宋体" w:eastAsia="宋体" w:cs="宋体"/>
          <w:color w:val="auto"/>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13"/>
    <w:bookmarkEnd w:id="14"/>
    <w:p w14:paraId="6FC32D21">
      <w:pPr>
        <w:spacing w:line="360" w:lineRule="auto"/>
        <w:jc w:val="center"/>
        <w:outlineLvl w:val="0"/>
        <w:rPr>
          <w:rFonts w:hint="eastAsia" w:ascii="宋体" w:hAnsi="宋体" w:eastAsia="宋体" w:cs="宋体"/>
          <w:b/>
          <w:color w:val="auto"/>
          <w:sz w:val="36"/>
          <w:szCs w:val="36"/>
          <w:highlight w:val="none"/>
        </w:rPr>
      </w:pPr>
      <w:bookmarkStart w:id="31" w:name="第四部分"/>
      <w:r>
        <w:rPr>
          <w:rFonts w:hint="eastAsia" w:ascii="宋体" w:hAnsi="宋体" w:eastAsia="宋体" w:cs="宋体"/>
          <w:b/>
          <w:color w:val="auto"/>
          <w:sz w:val="36"/>
          <w:szCs w:val="36"/>
          <w:highlight w:val="none"/>
        </w:rPr>
        <w:t>第三部分   采购需求</w:t>
      </w:r>
    </w:p>
    <w:p w14:paraId="02DC3173">
      <w:pPr>
        <w:pStyle w:val="258"/>
        <w:numPr>
          <w:ilvl w:val="0"/>
          <w:numId w:val="3"/>
        </w:numPr>
        <w:spacing w:after="120"/>
        <w:ind w:firstLineChars="0"/>
        <w:outlineLvl w:val="1"/>
        <w:rPr>
          <w:rFonts w:hint="eastAsia" w:ascii="宋体" w:hAnsi="宋体" w:eastAsia="宋体" w:cs="宋体"/>
          <w:b/>
          <w:color w:val="auto"/>
          <w:highlight w:val="none"/>
          <w:lang w:val="en-US" w:eastAsia="zh-CN"/>
        </w:rPr>
      </w:pPr>
      <w:r>
        <w:rPr>
          <w:rFonts w:hint="eastAsia" w:ascii="宋体" w:hAnsi="宋体" w:eastAsia="宋体" w:cs="宋体"/>
          <w:b/>
          <w:color w:val="auto"/>
          <w:highlight w:val="none"/>
          <w:lang w:val="en-US" w:eastAsia="zh-CN"/>
        </w:rPr>
        <w:t>项目概况</w:t>
      </w:r>
    </w:p>
    <w:p w14:paraId="5EDC621D">
      <w:pPr>
        <w:pageBreakBefore w:val="0"/>
        <w:kinsoku/>
        <w:wordWrap/>
        <w:overflowPunct/>
        <w:topLinePunct w:val="0"/>
        <w:bidi w:val="0"/>
        <w:adjustRightInd w:val="0"/>
        <w:snapToGrid w:val="0"/>
        <w:spacing w:line="360" w:lineRule="auto"/>
        <w:ind w:left="0" w:leftChars="0" w:right="0" w:rightChars="0" w:firstLine="420" w:firstLineChars="200"/>
        <w:textAlignment w:val="auto"/>
        <w:outlineLvl w:val="9"/>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采购报告厅桌椅一批，包括供货、运输、安装、调换、退货、验收、税费及售后服务等。</w:t>
      </w:r>
    </w:p>
    <w:p w14:paraId="718D7BA6">
      <w:pPr>
        <w:pStyle w:val="258"/>
        <w:numPr>
          <w:ilvl w:val="0"/>
          <w:numId w:val="3"/>
        </w:numPr>
        <w:spacing w:after="120"/>
        <w:ind w:firstLineChars="0"/>
        <w:outlineLvl w:val="1"/>
        <w:rPr>
          <w:rFonts w:hint="eastAsia" w:ascii="宋体" w:hAnsi="宋体" w:eastAsia="宋体" w:cs="宋体"/>
          <w:b/>
          <w:color w:val="auto"/>
          <w:highlight w:val="none"/>
          <w:lang w:val="en-US" w:eastAsia="zh-CN"/>
        </w:rPr>
      </w:pPr>
      <w:r>
        <w:rPr>
          <w:rFonts w:hint="eastAsia" w:ascii="宋体" w:hAnsi="宋体" w:eastAsia="宋体" w:cs="宋体"/>
          <w:b/>
          <w:color w:val="auto"/>
          <w:highlight w:val="none"/>
          <w:lang w:val="en-US" w:eastAsia="zh-CN"/>
        </w:rPr>
        <w:t>采购清单</w:t>
      </w:r>
    </w:p>
    <w:p w14:paraId="6134FDDC">
      <w:pPr>
        <w:pageBreakBefore w:val="0"/>
        <w:kinsoku/>
        <w:wordWrap/>
        <w:overflowPunct/>
        <w:topLinePunct w:val="0"/>
        <w:bidi w:val="0"/>
        <w:adjustRightInd w:val="0"/>
        <w:snapToGrid w:val="0"/>
        <w:spacing w:line="360" w:lineRule="auto"/>
        <w:ind w:left="0" w:leftChars="0" w:right="0" w:rightChars="0" w:firstLine="422" w:firstLineChars="200"/>
        <w:textAlignment w:val="auto"/>
        <w:outlineLvl w:val="9"/>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本项目核心产品为：报告厅座椅。</w:t>
      </w:r>
    </w:p>
    <w:p w14:paraId="327C8612">
      <w:pPr>
        <w:pageBreakBefore w:val="0"/>
        <w:kinsoku/>
        <w:wordWrap/>
        <w:overflowPunct/>
        <w:topLinePunct w:val="0"/>
        <w:bidi w:val="0"/>
        <w:adjustRightInd w:val="0"/>
        <w:snapToGrid w:val="0"/>
        <w:spacing w:line="360" w:lineRule="auto"/>
        <w:ind w:left="0" w:leftChars="0" w:right="0" w:rightChars="0" w:firstLine="422" w:firstLineChars="200"/>
        <w:textAlignment w:val="auto"/>
        <w:outlineLvl w:val="9"/>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bidi="ar"/>
        </w:rPr>
        <w:t>采购清单</w:t>
      </w:r>
      <w:r>
        <w:rPr>
          <w:rFonts w:hint="eastAsia" w:ascii="宋体" w:hAnsi="宋体" w:eastAsia="宋体" w:cs="宋体"/>
          <w:b/>
          <w:bCs/>
          <w:color w:val="auto"/>
          <w:kern w:val="0"/>
          <w:sz w:val="21"/>
          <w:szCs w:val="21"/>
          <w:highlight w:val="none"/>
          <w:lang w:val="en-US" w:eastAsia="zh-CN" w:bidi="ar"/>
        </w:rPr>
        <w:t>详见附件。</w:t>
      </w:r>
    </w:p>
    <w:p w14:paraId="176F8053">
      <w:pPr>
        <w:pStyle w:val="258"/>
        <w:numPr>
          <w:ilvl w:val="0"/>
          <w:numId w:val="3"/>
        </w:numPr>
        <w:spacing w:after="120"/>
        <w:ind w:firstLineChars="0"/>
        <w:outlineLvl w:val="1"/>
        <w:rPr>
          <w:rFonts w:hint="eastAsia" w:ascii="宋体" w:hAnsi="宋体" w:eastAsia="宋体" w:cs="宋体"/>
          <w:color w:val="auto"/>
          <w:highlight w:val="none"/>
          <w:lang w:val="en-US" w:eastAsia="zh-CN"/>
        </w:rPr>
      </w:pPr>
      <w:r>
        <w:rPr>
          <w:rFonts w:hint="eastAsia" w:ascii="宋体" w:hAnsi="宋体" w:eastAsia="宋体" w:cs="宋体"/>
          <w:b/>
          <w:color w:val="auto"/>
          <w:highlight w:val="none"/>
          <w:lang w:val="en-US" w:eastAsia="zh-CN"/>
        </w:rPr>
        <w:t>资信及商务要求</w:t>
      </w:r>
    </w:p>
    <w:tbl>
      <w:tblPr>
        <w:tblStyle w:val="62"/>
        <w:tblW w:w="499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346"/>
        <w:gridCol w:w="7174"/>
      </w:tblGrid>
      <w:tr w14:paraId="75A0CD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790" w:type="pct"/>
            <w:tcBorders>
              <w:top w:val="single" w:color="auto" w:sz="4" w:space="0"/>
              <w:left w:val="single" w:color="auto" w:sz="4" w:space="0"/>
              <w:bottom w:val="single" w:color="auto" w:sz="4" w:space="0"/>
              <w:right w:val="single" w:color="auto" w:sz="4" w:space="0"/>
            </w:tcBorders>
            <w:noWrap w:val="0"/>
            <w:vAlign w:val="center"/>
          </w:tcPr>
          <w:p w14:paraId="4115000C">
            <w:pPr>
              <w:snapToGrid w:val="0"/>
              <w:spacing w:line="46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项目完成时间及地点</w:t>
            </w:r>
          </w:p>
        </w:tc>
        <w:tc>
          <w:tcPr>
            <w:tcW w:w="4209" w:type="pct"/>
            <w:tcBorders>
              <w:top w:val="single" w:color="auto" w:sz="4" w:space="0"/>
              <w:left w:val="single" w:color="auto" w:sz="4" w:space="0"/>
              <w:bottom w:val="single" w:color="auto" w:sz="4" w:space="0"/>
              <w:right w:val="single" w:color="auto" w:sz="4" w:space="0"/>
            </w:tcBorders>
            <w:noWrap w:val="0"/>
            <w:vAlign w:val="center"/>
          </w:tcPr>
          <w:p w14:paraId="2C98CB05">
            <w:pPr>
              <w:snapToGrid w:val="0"/>
              <w:spacing w:line="460" w:lineRule="exac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项目完成时间：</w:t>
            </w:r>
            <w:r>
              <w:rPr>
                <w:rFonts w:hint="eastAsia" w:ascii="宋体" w:hAnsi="宋体" w:eastAsia="宋体" w:cs="宋体"/>
                <w:b w:val="0"/>
                <w:bCs w:val="0"/>
                <w:color w:val="auto"/>
                <w:sz w:val="21"/>
                <w:szCs w:val="21"/>
                <w:highlight w:val="none"/>
              </w:rPr>
              <w:t>合同签订后</w:t>
            </w:r>
            <w:r>
              <w:rPr>
                <w:rFonts w:hint="eastAsia" w:ascii="宋体" w:hAnsi="宋体" w:eastAsia="宋体" w:cs="宋体"/>
                <w:b w:val="0"/>
                <w:bCs w:val="0"/>
                <w:color w:val="auto"/>
                <w:sz w:val="21"/>
                <w:szCs w:val="21"/>
                <w:highlight w:val="none"/>
                <w:lang w:eastAsia="zh-CN"/>
              </w:rPr>
              <w:t>90日历天</w:t>
            </w:r>
            <w:r>
              <w:rPr>
                <w:rFonts w:hint="eastAsia" w:ascii="宋体" w:hAnsi="宋体" w:eastAsia="宋体" w:cs="宋体"/>
                <w:b w:val="0"/>
                <w:bCs w:val="0"/>
                <w:color w:val="auto"/>
                <w:sz w:val="21"/>
                <w:szCs w:val="21"/>
                <w:highlight w:val="none"/>
              </w:rPr>
              <w:t>内完成交货，并安装调试通过验收。</w:t>
            </w:r>
          </w:p>
          <w:p w14:paraId="00836BA8">
            <w:pPr>
              <w:snapToGrid w:val="0"/>
              <w:spacing w:line="460" w:lineRule="exac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2.项目地点为杭州第九中学树范学校。</w:t>
            </w:r>
          </w:p>
        </w:tc>
      </w:tr>
      <w:tr w14:paraId="305918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0" w:type="pct"/>
            <w:tcBorders>
              <w:top w:val="single" w:color="auto" w:sz="4" w:space="0"/>
              <w:left w:val="single" w:color="auto" w:sz="4" w:space="0"/>
              <w:bottom w:val="single" w:color="auto" w:sz="4" w:space="0"/>
              <w:right w:val="single" w:color="auto" w:sz="4" w:space="0"/>
            </w:tcBorders>
            <w:noWrap w:val="0"/>
            <w:vAlign w:val="center"/>
          </w:tcPr>
          <w:p w14:paraId="77500314">
            <w:pPr>
              <w:snapToGrid w:val="0"/>
              <w:spacing w:line="46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现场勘查</w:t>
            </w:r>
          </w:p>
        </w:tc>
        <w:tc>
          <w:tcPr>
            <w:tcW w:w="4209" w:type="pct"/>
            <w:tcBorders>
              <w:top w:val="single" w:color="auto" w:sz="4" w:space="0"/>
              <w:left w:val="single" w:color="auto" w:sz="4" w:space="0"/>
              <w:bottom w:val="single" w:color="auto" w:sz="4" w:space="0"/>
              <w:right w:val="single" w:color="auto" w:sz="4" w:space="0"/>
            </w:tcBorders>
            <w:noWrap w:val="0"/>
            <w:vAlign w:val="center"/>
          </w:tcPr>
          <w:p w14:paraId="4F04C105">
            <w:pPr>
              <w:snapToGrid w:val="0"/>
              <w:spacing w:line="460" w:lineRule="exac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投标供应商在投标前应当自行到现场查勘，熟悉现场情况，根据采购人的安装地点要求做好设备清单核对及所需辅材品种、数量、规格型号测算等工作。</w:t>
            </w:r>
          </w:p>
        </w:tc>
      </w:tr>
      <w:tr w14:paraId="5EEBA9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0" w:type="pct"/>
            <w:tcBorders>
              <w:top w:val="single" w:color="auto" w:sz="4" w:space="0"/>
              <w:left w:val="single" w:color="auto" w:sz="4" w:space="0"/>
              <w:bottom w:val="single" w:color="auto" w:sz="4" w:space="0"/>
              <w:right w:val="single" w:color="auto" w:sz="4" w:space="0"/>
            </w:tcBorders>
            <w:noWrap w:val="0"/>
            <w:vAlign w:val="center"/>
          </w:tcPr>
          <w:p w14:paraId="7ACD82B6">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售后服务保障要求</w:t>
            </w:r>
          </w:p>
        </w:tc>
        <w:tc>
          <w:tcPr>
            <w:tcW w:w="4209" w:type="pct"/>
            <w:tcBorders>
              <w:top w:val="single" w:color="auto" w:sz="4" w:space="0"/>
              <w:left w:val="single" w:color="auto" w:sz="4" w:space="0"/>
              <w:bottom w:val="single" w:color="auto" w:sz="4" w:space="0"/>
              <w:right w:val="single" w:color="auto" w:sz="4" w:space="0"/>
            </w:tcBorders>
            <w:noWrap w:val="0"/>
            <w:vAlign w:val="center"/>
          </w:tcPr>
          <w:p w14:paraId="19C88D56">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1.提出</w:t>
            </w:r>
            <w:r>
              <w:rPr>
                <w:rFonts w:hint="eastAsia" w:ascii="宋体" w:hAnsi="宋体" w:eastAsia="宋体" w:cs="宋体"/>
                <w:bCs/>
                <w:color w:val="auto"/>
                <w:sz w:val="21"/>
                <w:szCs w:val="21"/>
                <w:highlight w:val="none"/>
              </w:rPr>
              <w:t>技术方案，</w:t>
            </w:r>
            <w:r>
              <w:rPr>
                <w:rFonts w:hint="eastAsia" w:ascii="宋体" w:hAnsi="宋体" w:eastAsia="宋体" w:cs="宋体"/>
                <w:color w:val="auto"/>
                <w:sz w:val="21"/>
                <w:szCs w:val="21"/>
                <w:highlight w:val="none"/>
              </w:rPr>
              <w:t>提供设备配置清单，列出详细规格型号。</w:t>
            </w:r>
          </w:p>
          <w:p w14:paraId="40B73769">
            <w:pPr>
              <w:snapToGrid w:val="0"/>
              <w:spacing w:line="46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2.质保期：验收合格之日起≥</w:t>
            </w:r>
            <w:r>
              <w:rPr>
                <w:rFonts w:hint="eastAsia" w:ascii="宋体" w:hAnsi="宋体" w:eastAsia="宋体" w:cs="宋体"/>
                <w:b/>
                <w:color w:val="auto"/>
                <w:sz w:val="21"/>
                <w:szCs w:val="21"/>
                <w:highlight w:val="none"/>
                <w:lang w:val="en-US" w:eastAsia="zh-CN"/>
              </w:rPr>
              <w:t>2年</w:t>
            </w:r>
            <w:r>
              <w:rPr>
                <w:rFonts w:hint="eastAsia" w:ascii="宋体" w:hAnsi="宋体" w:eastAsia="宋体" w:cs="宋体"/>
                <w:b/>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以验收合格之日起算质保期）</w:t>
            </w:r>
            <w:r>
              <w:rPr>
                <w:rFonts w:hint="eastAsia" w:ascii="宋体" w:hAnsi="宋体" w:eastAsia="宋体" w:cs="宋体"/>
                <w:b/>
                <w:color w:val="auto"/>
                <w:sz w:val="21"/>
                <w:szCs w:val="21"/>
                <w:highlight w:val="none"/>
              </w:rPr>
              <w:t>。</w:t>
            </w:r>
          </w:p>
          <w:p w14:paraId="1ED5C5DD">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售后服务要求响应时间为：提供7×24小时电话技术咨询支持，在收到用户通知后，30分钟内须响应，在12小时内到达现场，24小时内解决。未在规定时间内修复的，采购人有权就近委托第三方维修，费用由中标人承担。</w:t>
            </w:r>
          </w:p>
          <w:p w14:paraId="40FA65B7">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4.质保期内因设备本身缺陷造成各种故障应由投标人免费提供技术服务和维修。</w:t>
            </w:r>
          </w:p>
          <w:p w14:paraId="29CD6835">
            <w:pPr>
              <w:tabs>
                <w:tab w:val="left" w:pos="0"/>
              </w:tabs>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5.保修期自采购人、中标人在最终验收单上签字之日起计算。</w:t>
            </w:r>
          </w:p>
          <w:p w14:paraId="1EA32A5E">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6.出现故障后，中标人如未按上述要求进行响应，采购人可以采取必要的补救措施，由此产生的风险和费用全部由中标人承担。</w:t>
            </w:r>
          </w:p>
          <w:p w14:paraId="17DBD0B8">
            <w:pPr>
              <w:snapToGrid w:val="0"/>
              <w:spacing w:line="460" w:lineRule="exact"/>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z w:val="21"/>
                <w:szCs w:val="21"/>
                <w:highlight w:val="none"/>
              </w:rPr>
              <w:t>7.在保修期内，除人为损坏和不可抗力外，期间所产生的任何维护或维修及更换配件的费用均由中标人承担。</w:t>
            </w:r>
            <w:r>
              <w:rPr>
                <w:rFonts w:hint="eastAsia" w:ascii="宋体" w:hAnsi="宋体" w:eastAsia="宋体" w:cs="宋体"/>
                <w:color w:val="auto"/>
                <w:sz w:val="21"/>
                <w:szCs w:val="21"/>
                <w:highlight w:val="none"/>
                <w:lang w:val="en-US" w:eastAsia="zh-CN"/>
              </w:rPr>
              <w:t>投标人需视实际情况安排检修。</w:t>
            </w:r>
          </w:p>
        </w:tc>
      </w:tr>
      <w:tr w14:paraId="380084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0" w:type="pct"/>
            <w:tcBorders>
              <w:top w:val="single" w:color="auto" w:sz="4" w:space="0"/>
              <w:left w:val="single" w:color="auto" w:sz="4" w:space="0"/>
              <w:bottom w:val="single" w:color="auto" w:sz="4" w:space="0"/>
              <w:right w:val="single" w:color="auto" w:sz="4" w:space="0"/>
            </w:tcBorders>
            <w:noWrap w:val="0"/>
            <w:vAlign w:val="center"/>
          </w:tcPr>
          <w:p w14:paraId="78A9DFF8">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安装</w:t>
            </w:r>
          </w:p>
        </w:tc>
        <w:tc>
          <w:tcPr>
            <w:tcW w:w="4209" w:type="pct"/>
            <w:tcBorders>
              <w:top w:val="single" w:color="auto" w:sz="4" w:space="0"/>
              <w:left w:val="single" w:color="auto" w:sz="4" w:space="0"/>
              <w:bottom w:val="single" w:color="auto" w:sz="4" w:space="0"/>
              <w:right w:val="single" w:color="auto" w:sz="4" w:space="0"/>
            </w:tcBorders>
            <w:noWrap w:val="0"/>
            <w:vAlign w:val="center"/>
          </w:tcPr>
          <w:p w14:paraId="609523D0">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1.满足招标内容与技术需求中的要求。</w:t>
            </w:r>
          </w:p>
          <w:p w14:paraId="397E1680">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2.投标方在投标文件中应提供安装调试计划、对安装场地和环境的要求。</w:t>
            </w:r>
          </w:p>
          <w:p w14:paraId="739B7269">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3.交货完成时间：在规定的时间内由于中标人的原因不能完成安装和调试，中标人应承担由此给用户造成的损失。</w:t>
            </w:r>
          </w:p>
          <w:p w14:paraId="0838FA74">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4.安装标准：符合我国国家有关技术规范要求和技术标准，所有的产品必须保证安装到位。</w:t>
            </w:r>
          </w:p>
          <w:p w14:paraId="39159EE1">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投标人在取得中标资格后，须负责产品的安装、调试、技术培训、售后服务等一切与中标设备有关的附随服务工作。本次采购的项目价格包含主材、运输、用水、用电、就位、安装、辅材、调试等其他一切所有费用，采购人不另行付费。</w:t>
            </w:r>
          </w:p>
        </w:tc>
      </w:tr>
      <w:tr w14:paraId="39A9BD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0" w:type="pct"/>
            <w:tcBorders>
              <w:top w:val="single" w:color="auto" w:sz="4" w:space="0"/>
              <w:left w:val="single" w:color="auto" w:sz="4" w:space="0"/>
              <w:bottom w:val="single" w:color="auto" w:sz="4" w:space="0"/>
              <w:right w:val="single" w:color="auto" w:sz="4" w:space="0"/>
            </w:tcBorders>
            <w:noWrap w:val="0"/>
            <w:vAlign w:val="center"/>
          </w:tcPr>
          <w:p w14:paraId="35C1B1F8">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w:t>
            </w:r>
          </w:p>
        </w:tc>
        <w:tc>
          <w:tcPr>
            <w:tcW w:w="4209" w:type="pct"/>
            <w:tcBorders>
              <w:top w:val="single" w:color="auto" w:sz="4" w:space="0"/>
              <w:left w:val="single" w:color="auto" w:sz="4" w:space="0"/>
              <w:bottom w:val="single" w:color="auto" w:sz="4" w:space="0"/>
              <w:right w:val="single" w:color="auto" w:sz="4" w:space="0"/>
            </w:tcBorders>
            <w:noWrap w:val="0"/>
            <w:vAlign w:val="center"/>
          </w:tcPr>
          <w:p w14:paraId="241AB406">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目产品安装调试，采购人将按规定对货物的品牌、外观、规格、参数配置、数量、配件及安装调试后的使用性能、使用状况、技术资料及其他进行验收，中标人必须在验收现场提供必要的技术支持，验收费用由中标人承担。</w:t>
            </w:r>
          </w:p>
          <w:p w14:paraId="1D379E81">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2.如发生所供产品与投标文件或中标人的投标文件中规定（或响应）的产品不符，由此产生的一切责任和后果由中标人承担。</w:t>
            </w:r>
          </w:p>
          <w:p w14:paraId="006BBB4B">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3.质量符合国际或国家通用标准，满足招标文件技术标准部分所规定的全部功能。如出现质量问题或系假冒伪劣产品，供方负责包退、包换，因此而涉及的全部违约责任和费用由供应方承担。</w:t>
            </w:r>
          </w:p>
          <w:p w14:paraId="5CD04DDD">
            <w:pPr>
              <w:snapToGrid w:val="0"/>
              <w:spacing w:line="460" w:lineRule="exact"/>
              <w:rPr>
                <w:rFonts w:hint="eastAsia" w:ascii="宋体" w:hAnsi="宋体" w:eastAsia="宋体" w:cs="宋体"/>
                <w:color w:val="auto"/>
                <w:highlight w:val="none"/>
              </w:rPr>
            </w:pPr>
            <w:r>
              <w:rPr>
                <w:rFonts w:hint="eastAsia" w:ascii="宋体" w:hAnsi="宋体" w:eastAsia="宋体" w:cs="宋体"/>
                <w:color w:val="auto"/>
                <w:sz w:val="21"/>
                <w:szCs w:val="21"/>
                <w:highlight w:val="none"/>
              </w:rPr>
              <w:t>4.根据行业相关标准及招标文件、投标文件相应技术要求，由中标人提供第三方检测机构出具的环保检测合格报告，再由采购人组织验收。</w:t>
            </w:r>
          </w:p>
        </w:tc>
      </w:tr>
      <w:tr w14:paraId="7F5385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0" w:type="pct"/>
            <w:tcBorders>
              <w:top w:val="single" w:color="auto" w:sz="4" w:space="0"/>
              <w:left w:val="single" w:color="auto" w:sz="4" w:space="0"/>
              <w:bottom w:val="single" w:color="auto" w:sz="4" w:space="0"/>
              <w:right w:val="single" w:color="auto" w:sz="4" w:space="0"/>
            </w:tcBorders>
            <w:noWrap w:val="0"/>
            <w:vAlign w:val="center"/>
          </w:tcPr>
          <w:p w14:paraId="5A8736AB">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资料要求</w:t>
            </w:r>
          </w:p>
        </w:tc>
        <w:tc>
          <w:tcPr>
            <w:tcW w:w="4209" w:type="pct"/>
            <w:tcBorders>
              <w:top w:val="single" w:color="auto" w:sz="4" w:space="0"/>
              <w:left w:val="single" w:color="auto" w:sz="4" w:space="0"/>
              <w:bottom w:val="single" w:color="auto" w:sz="4" w:space="0"/>
              <w:right w:val="single" w:color="auto" w:sz="4" w:space="0"/>
            </w:tcBorders>
            <w:noWrap w:val="0"/>
            <w:vAlign w:val="center"/>
          </w:tcPr>
          <w:p w14:paraId="1377D9AC">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完成竣工资料工作，并按采购方的档案管理要求完成资料归档工作。</w:t>
            </w:r>
          </w:p>
        </w:tc>
      </w:tr>
      <w:tr w14:paraId="54DDDB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0" w:type="pct"/>
            <w:tcBorders>
              <w:top w:val="single" w:color="auto" w:sz="4" w:space="0"/>
              <w:left w:val="single" w:color="auto" w:sz="4" w:space="0"/>
              <w:bottom w:val="single" w:color="auto" w:sz="4" w:space="0"/>
              <w:right w:val="single" w:color="auto" w:sz="4" w:space="0"/>
            </w:tcBorders>
            <w:noWrap w:val="0"/>
            <w:vAlign w:val="center"/>
          </w:tcPr>
          <w:p w14:paraId="4EEED79D">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技术服务</w:t>
            </w:r>
          </w:p>
        </w:tc>
        <w:tc>
          <w:tcPr>
            <w:tcW w:w="4209" w:type="pct"/>
            <w:tcBorders>
              <w:top w:val="single" w:color="auto" w:sz="4" w:space="0"/>
              <w:left w:val="single" w:color="auto" w:sz="4" w:space="0"/>
              <w:bottom w:val="single" w:color="auto" w:sz="4" w:space="0"/>
              <w:right w:val="single" w:color="auto" w:sz="4" w:space="0"/>
            </w:tcBorders>
            <w:noWrap w:val="0"/>
            <w:vAlign w:val="center"/>
          </w:tcPr>
          <w:p w14:paraId="12F8BB31">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要求中标产品随机资料需齐全，备品备件齐全有效。</w:t>
            </w:r>
          </w:p>
        </w:tc>
      </w:tr>
      <w:tr w14:paraId="4CC589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0" w:type="pct"/>
            <w:tcBorders>
              <w:top w:val="single" w:color="auto" w:sz="4" w:space="0"/>
              <w:left w:val="single" w:color="auto" w:sz="4" w:space="0"/>
              <w:bottom w:val="single" w:color="auto" w:sz="4" w:space="0"/>
              <w:right w:val="single" w:color="auto" w:sz="4" w:space="0"/>
            </w:tcBorders>
            <w:noWrap w:val="0"/>
            <w:vAlign w:val="center"/>
          </w:tcPr>
          <w:p w14:paraId="107AF944">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4209" w:type="pct"/>
            <w:tcBorders>
              <w:top w:val="single" w:color="auto" w:sz="4" w:space="0"/>
              <w:left w:val="single" w:color="auto" w:sz="4" w:space="0"/>
              <w:bottom w:val="single" w:color="auto" w:sz="4" w:space="0"/>
              <w:right w:val="single" w:color="auto" w:sz="4" w:space="0"/>
            </w:tcBorders>
            <w:noWrap w:val="0"/>
            <w:vAlign w:val="center"/>
          </w:tcPr>
          <w:p w14:paraId="390D5013">
            <w:pPr>
              <w:widowControl/>
              <w:snapToGrid w:val="0"/>
              <w:spacing w:line="500" w:lineRule="exac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中标人必须在合同签订后向采购人提供合同总价1%的履约保证金，可以支票、汇票、本票或者金融机构、保险公司、担保机构出具的保函/保险（可在政采云平台购买等非现金形式提交。履约保证金（或履约保函）在验收合格后退还。</w:t>
            </w:r>
          </w:p>
        </w:tc>
      </w:tr>
      <w:tr w14:paraId="702535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0" w:type="pct"/>
            <w:tcBorders>
              <w:top w:val="single" w:color="auto" w:sz="4" w:space="0"/>
              <w:left w:val="single" w:color="auto" w:sz="4" w:space="0"/>
              <w:bottom w:val="single" w:color="auto" w:sz="4" w:space="0"/>
              <w:right w:val="single" w:color="auto" w:sz="4" w:space="0"/>
            </w:tcBorders>
            <w:noWrap w:val="0"/>
            <w:vAlign w:val="center"/>
          </w:tcPr>
          <w:p w14:paraId="1025D9A9">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4209" w:type="pct"/>
            <w:tcBorders>
              <w:top w:val="single" w:color="auto" w:sz="4" w:space="0"/>
              <w:left w:val="single" w:color="auto" w:sz="4" w:space="0"/>
              <w:bottom w:val="single" w:color="auto" w:sz="4" w:space="0"/>
              <w:right w:val="single" w:color="auto" w:sz="4" w:space="0"/>
            </w:tcBorders>
            <w:noWrap w:val="0"/>
            <w:vAlign w:val="center"/>
          </w:tcPr>
          <w:p w14:paraId="2486774C">
            <w:pPr>
              <w:snapToGrid w:val="0"/>
              <w:spacing w:line="460" w:lineRule="exact"/>
              <w:rPr>
                <w:rFonts w:hint="eastAsia" w:ascii="宋体" w:hAnsi="宋体" w:eastAsia="宋体" w:cs="宋体"/>
                <w:b/>
                <w:color w:val="auto"/>
                <w:sz w:val="21"/>
                <w:highlight w:val="none"/>
              </w:rPr>
            </w:pPr>
            <w:r>
              <w:rPr>
                <w:rFonts w:hint="eastAsia" w:ascii="宋体" w:hAnsi="宋体" w:eastAsia="宋体" w:cs="宋体"/>
                <w:b/>
                <w:color w:val="auto"/>
                <w:sz w:val="21"/>
                <w:highlight w:val="none"/>
              </w:rPr>
              <w:t>1.合同签订后</w:t>
            </w:r>
            <w:r>
              <w:rPr>
                <w:rFonts w:hint="eastAsia" w:ascii="宋体" w:hAnsi="宋体" w:eastAsia="宋体" w:cs="宋体"/>
                <w:b/>
                <w:color w:val="auto"/>
                <w:sz w:val="21"/>
                <w:highlight w:val="none"/>
                <w:lang w:eastAsia="zh-CN"/>
              </w:rPr>
              <w:t>，</w:t>
            </w:r>
            <w:r>
              <w:rPr>
                <w:rFonts w:hint="eastAsia" w:ascii="宋体" w:hAnsi="宋体" w:eastAsia="宋体" w:cs="宋体"/>
                <w:b/>
                <w:color w:val="auto"/>
                <w:sz w:val="21"/>
                <w:highlight w:val="none"/>
                <w:lang w:val="en-US" w:eastAsia="zh-CN"/>
              </w:rPr>
              <w:t>项目具备实施条件后5个工作日内</w:t>
            </w:r>
            <w:r>
              <w:rPr>
                <w:rFonts w:hint="eastAsia" w:ascii="宋体" w:hAnsi="宋体" w:eastAsia="宋体" w:cs="宋体"/>
                <w:b/>
                <w:color w:val="auto"/>
                <w:sz w:val="21"/>
                <w:highlight w:val="none"/>
              </w:rPr>
              <w:t>，供应商出具履约保证金保函后（可在政采云平台购买），采购人向中标人支付</w:t>
            </w:r>
            <w:r>
              <w:rPr>
                <w:rFonts w:hint="eastAsia" w:ascii="宋体" w:hAnsi="宋体" w:eastAsia="宋体" w:cs="宋体"/>
                <w:b/>
                <w:color w:val="auto"/>
                <w:sz w:val="21"/>
                <w:highlight w:val="none"/>
                <w:lang w:val="en-US" w:eastAsia="zh-CN"/>
              </w:rPr>
              <w:t>合同金额的40%</w:t>
            </w:r>
            <w:r>
              <w:rPr>
                <w:rFonts w:hint="eastAsia" w:ascii="宋体" w:hAnsi="宋体" w:eastAsia="宋体" w:cs="宋体"/>
                <w:b/>
                <w:color w:val="auto"/>
                <w:sz w:val="21"/>
                <w:highlight w:val="none"/>
              </w:rPr>
              <w:t>。</w:t>
            </w:r>
          </w:p>
          <w:p w14:paraId="5B544B75">
            <w:pPr>
              <w:snapToGrid w:val="0"/>
              <w:spacing w:line="460" w:lineRule="exact"/>
              <w:rPr>
                <w:rFonts w:hint="eastAsia" w:ascii="宋体" w:hAnsi="宋体" w:eastAsia="宋体" w:cs="宋体"/>
                <w:b/>
                <w:color w:val="auto"/>
                <w:sz w:val="21"/>
                <w:highlight w:val="none"/>
              </w:rPr>
            </w:pPr>
            <w:r>
              <w:rPr>
                <w:rFonts w:hint="eastAsia" w:ascii="宋体" w:hAnsi="宋体" w:eastAsia="宋体" w:cs="宋体"/>
                <w:b/>
                <w:color w:val="auto"/>
                <w:sz w:val="21"/>
                <w:highlight w:val="none"/>
              </w:rPr>
              <w:t>2.全部产品安装、调试、验收合格后，支付</w:t>
            </w:r>
            <w:r>
              <w:rPr>
                <w:rFonts w:hint="eastAsia" w:ascii="宋体" w:hAnsi="宋体" w:eastAsia="宋体" w:cs="宋体"/>
                <w:b/>
                <w:color w:val="auto"/>
                <w:sz w:val="21"/>
                <w:highlight w:val="none"/>
                <w:lang w:val="en-US" w:eastAsia="zh-CN"/>
              </w:rPr>
              <w:t>剩余款项</w:t>
            </w:r>
            <w:r>
              <w:rPr>
                <w:rFonts w:hint="eastAsia" w:ascii="宋体" w:hAnsi="宋体" w:eastAsia="宋体" w:cs="宋体"/>
                <w:b/>
                <w:color w:val="auto"/>
                <w:sz w:val="21"/>
                <w:highlight w:val="none"/>
              </w:rPr>
              <w:t>。</w:t>
            </w:r>
          </w:p>
          <w:p w14:paraId="340BA623">
            <w:pPr>
              <w:snapToGrid w:val="0"/>
              <w:spacing w:line="46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highlight w:val="none"/>
              </w:rPr>
              <w:t>3.中标人在结算合同价款时需提供正式的税务发票。</w:t>
            </w:r>
          </w:p>
        </w:tc>
      </w:tr>
      <w:tr w14:paraId="5E0596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90" w:type="pct"/>
            <w:tcBorders>
              <w:top w:val="single" w:color="auto" w:sz="4" w:space="0"/>
              <w:left w:val="single" w:color="auto" w:sz="4" w:space="0"/>
              <w:bottom w:val="single" w:color="auto" w:sz="4" w:space="0"/>
              <w:right w:val="single" w:color="auto" w:sz="4" w:space="0"/>
            </w:tcBorders>
            <w:noWrap w:val="0"/>
            <w:vAlign w:val="center"/>
          </w:tcPr>
          <w:p w14:paraId="505F2515">
            <w:pPr>
              <w:snapToGrid w:val="0"/>
              <w:spacing w:line="4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须注意的其他事项</w:t>
            </w:r>
          </w:p>
        </w:tc>
        <w:tc>
          <w:tcPr>
            <w:tcW w:w="4209" w:type="pct"/>
            <w:tcBorders>
              <w:top w:val="single" w:color="auto" w:sz="4" w:space="0"/>
              <w:left w:val="single" w:color="auto" w:sz="4" w:space="0"/>
              <w:bottom w:val="single" w:color="auto" w:sz="4" w:space="0"/>
              <w:right w:val="single" w:color="auto" w:sz="4" w:space="0"/>
            </w:tcBorders>
            <w:noWrap w:val="0"/>
            <w:vAlign w:val="center"/>
          </w:tcPr>
          <w:p w14:paraId="254A221C">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1.中标人需文明安装，保证安全，如在安装过程中发生事故、安装现场原有装修及设施设备产生破坏的，一切责任由中标人承担。</w:t>
            </w:r>
          </w:p>
          <w:p w14:paraId="460929FD">
            <w:pPr>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2.安装期间，中标人应妥善保管货物、产品、各种材料和器材，如有被盗和其它损失的，采购人不承担任何责任。</w:t>
            </w:r>
          </w:p>
        </w:tc>
      </w:tr>
    </w:tbl>
    <w:p w14:paraId="4A9922AF">
      <w:pPr>
        <w:pageBreakBefore w:val="0"/>
        <w:kinsoku/>
        <w:wordWrap/>
        <w:overflowPunct/>
        <w:topLinePunct w:val="0"/>
        <w:bidi w:val="0"/>
        <w:adjustRightInd w:val="0"/>
        <w:snapToGrid w:val="0"/>
        <w:spacing w:line="360" w:lineRule="auto"/>
        <w:ind w:left="0" w:leftChars="0" w:right="0" w:rightChars="0" w:firstLine="420" w:firstLineChars="200"/>
        <w:textAlignment w:val="auto"/>
        <w:outlineLvl w:val="9"/>
        <w:rPr>
          <w:rFonts w:hint="eastAsia" w:ascii="宋体" w:hAnsi="宋体" w:eastAsia="宋体" w:cs="宋体"/>
          <w:color w:val="auto"/>
          <w:sz w:val="21"/>
          <w:szCs w:val="21"/>
          <w:highlight w:val="none"/>
        </w:rPr>
      </w:pPr>
    </w:p>
    <w:p w14:paraId="1B6AB47F">
      <w:pPr>
        <w:pStyle w:val="258"/>
        <w:numPr>
          <w:ilvl w:val="0"/>
          <w:numId w:val="3"/>
        </w:numPr>
        <w:spacing w:after="120"/>
        <w:ind w:firstLineChars="0"/>
        <w:outlineLvl w:val="1"/>
        <w:rPr>
          <w:rFonts w:hint="eastAsia" w:ascii="宋体" w:hAnsi="宋体" w:eastAsia="宋体" w:cs="宋体"/>
          <w:b/>
          <w:color w:val="auto"/>
          <w:highlight w:val="none"/>
          <w:lang w:val="en-US" w:eastAsia="zh-CN"/>
        </w:rPr>
      </w:pPr>
      <w:r>
        <w:rPr>
          <w:rFonts w:hint="eastAsia" w:ascii="宋体" w:hAnsi="宋体" w:eastAsia="宋体" w:cs="宋体"/>
          <w:b/>
          <w:color w:val="auto"/>
          <w:highlight w:val="none"/>
          <w:lang w:val="en-US" w:eastAsia="zh-CN"/>
        </w:rPr>
        <w:t>样品要求</w:t>
      </w:r>
    </w:p>
    <w:p w14:paraId="7B311E81">
      <w:pPr>
        <w:snapToGrid w:val="0"/>
        <w:spacing w:line="360" w:lineRule="auto"/>
        <w:ind w:firstLine="422" w:firstLineChars="200"/>
        <w:rPr>
          <w:rFonts w:hint="eastAsia" w:ascii="宋体" w:hAnsi="宋体" w:eastAsia="宋体" w:cs="宋体"/>
          <w:color w:val="auto"/>
          <w:highlight w:val="none"/>
        </w:rPr>
      </w:pPr>
      <w:r>
        <w:rPr>
          <w:rFonts w:hint="eastAsia" w:ascii="宋体" w:hAnsi="宋体" w:eastAsia="宋体" w:cs="宋体"/>
          <w:b/>
          <w:bCs/>
          <w:color w:val="auto"/>
          <w:highlight w:val="none"/>
          <w:u w:val="single"/>
        </w:rPr>
        <w:t>▲未提供样品的，其响应无效。</w:t>
      </w:r>
    </w:p>
    <w:p w14:paraId="5B00223F">
      <w:pPr>
        <w:adjustRightInd w:val="0"/>
        <w:snapToGrid w:val="0"/>
        <w:spacing w:line="360" w:lineRule="auto"/>
        <w:ind w:firstLine="420" w:firstLineChars="200"/>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rPr>
        <w:t>投标样品在投标截止时间前送到开标现场（样品指定存放地点，浙江省杭州市大关路179号远洋国际中心A座1706样品室，</w:t>
      </w:r>
      <w:r>
        <w:rPr>
          <w:rFonts w:hint="eastAsia" w:ascii="宋体" w:hAnsi="宋体" w:eastAsia="宋体" w:cs="宋体"/>
          <w:color w:val="auto"/>
          <w:sz w:val="21"/>
          <w:szCs w:val="16"/>
          <w:highlight w:val="none"/>
          <w:lang w:val="en-US" w:eastAsia="zh-CN"/>
        </w:rPr>
        <w:t>联系人：赵檬。</w:t>
      </w:r>
      <w:r>
        <w:rPr>
          <w:rFonts w:hint="eastAsia" w:ascii="宋体" w:hAnsi="宋体" w:eastAsia="宋体" w:cs="宋体"/>
          <w:bCs/>
          <w:color w:val="auto"/>
          <w:sz w:val="21"/>
          <w:szCs w:val="21"/>
          <w:highlight w:val="none"/>
        </w:rPr>
        <w:t>注：样品递交地点楼栋货梯尺寸为：高2.3米，宽1.25米，深1.5米；门：宽0.9米，高2.07米，投标人送样时综合考虑。</w:t>
      </w:r>
      <w:r>
        <w:rPr>
          <w:rFonts w:hint="eastAsia" w:ascii="宋体" w:hAnsi="宋体" w:eastAsia="宋体" w:cs="宋体"/>
          <w:color w:val="auto"/>
          <w:sz w:val="21"/>
          <w:szCs w:val="16"/>
          <w:highlight w:val="none"/>
        </w:rPr>
        <w:t>），并在样品上注明投标单位名称、样品名称等信息。</w:t>
      </w:r>
    </w:p>
    <w:p w14:paraId="4DCAE8F9">
      <w:pPr>
        <w:snapToGrid w:val="0"/>
        <w:spacing w:line="360" w:lineRule="auto"/>
        <w:ind w:firstLine="420" w:firstLineChars="200"/>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rPr>
        <w:t>本项目要求提供投标样品的制作标准和要求</w:t>
      </w:r>
      <w:r>
        <w:rPr>
          <w:rFonts w:hint="eastAsia" w:ascii="宋体" w:hAnsi="宋体" w:eastAsia="宋体" w:cs="宋体"/>
          <w:color w:val="auto"/>
          <w:sz w:val="21"/>
          <w:szCs w:val="16"/>
          <w:highlight w:val="none"/>
          <w:lang w:eastAsia="zh-CN"/>
        </w:rPr>
        <w:t>（</w:t>
      </w:r>
      <w:r>
        <w:rPr>
          <w:rFonts w:hint="eastAsia" w:ascii="宋体" w:hAnsi="宋体" w:eastAsia="宋体" w:cs="宋体"/>
          <w:color w:val="auto"/>
          <w:sz w:val="21"/>
          <w:szCs w:val="16"/>
          <w:highlight w:val="none"/>
          <w:lang w:val="en-US" w:eastAsia="zh-CN"/>
        </w:rPr>
        <w:t>样品</w:t>
      </w:r>
      <w:r>
        <w:rPr>
          <w:rFonts w:hint="eastAsia" w:ascii="宋体" w:hAnsi="宋体" w:eastAsia="宋体" w:cs="宋体"/>
          <w:color w:val="auto"/>
          <w:sz w:val="21"/>
          <w:szCs w:val="16"/>
          <w:highlight w:val="none"/>
          <w:lang w:eastAsia="zh-CN"/>
        </w:rPr>
        <w:t>规格尺寸允许有</w:t>
      </w:r>
      <w:r>
        <w:rPr>
          <w:rFonts w:hint="eastAsia" w:ascii="宋体" w:hAnsi="宋体" w:eastAsia="宋体" w:cs="宋体"/>
          <w:color w:val="auto"/>
          <w:sz w:val="21"/>
          <w:szCs w:val="16"/>
          <w:highlight w:val="none"/>
          <w:lang w:val="en-US" w:eastAsia="zh-CN"/>
        </w:rPr>
        <w:t>10</w:t>
      </w:r>
      <w:r>
        <w:rPr>
          <w:rFonts w:hint="eastAsia" w:ascii="宋体" w:hAnsi="宋体" w:eastAsia="宋体" w:cs="宋体"/>
          <w:color w:val="auto"/>
          <w:sz w:val="21"/>
          <w:szCs w:val="16"/>
          <w:highlight w:val="none"/>
          <w:lang w:eastAsia="zh-CN"/>
        </w:rPr>
        <w:t>%以内的偏差）</w:t>
      </w:r>
      <w:r>
        <w:rPr>
          <w:rFonts w:hint="eastAsia" w:ascii="宋体" w:hAnsi="宋体" w:eastAsia="宋体" w:cs="宋体"/>
          <w:color w:val="auto"/>
          <w:sz w:val="21"/>
          <w:szCs w:val="16"/>
          <w:highlight w:val="none"/>
        </w:rPr>
        <w:t>：</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76"/>
        <w:gridCol w:w="818"/>
        <w:gridCol w:w="1224"/>
        <w:gridCol w:w="5074"/>
      </w:tblGrid>
      <w:tr w14:paraId="45EBE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14:paraId="28E7552F">
            <w:pPr>
              <w:pStyle w:val="15"/>
              <w:spacing w:line="240" w:lineRule="auto"/>
              <w:ind w:firstLine="0"/>
              <w:jc w:val="center"/>
              <w:rPr>
                <w:rFonts w:hint="eastAsia" w:ascii="宋体" w:hAnsi="宋体" w:eastAsia="宋体" w:cs="宋体"/>
                <w:b/>
                <w:color w:val="auto"/>
                <w:sz w:val="21"/>
                <w:szCs w:val="21"/>
                <w:highlight w:val="none"/>
              </w:rPr>
            </w:pPr>
            <w:r>
              <w:rPr>
                <w:rFonts w:hint="eastAsia" w:ascii="宋体" w:hAnsi="宋体" w:eastAsia="宋体" w:cs="宋体"/>
                <w:b/>
                <w:bCs/>
                <w:color w:val="auto"/>
                <w:kern w:val="0"/>
                <w:sz w:val="21"/>
                <w:szCs w:val="21"/>
                <w:highlight w:val="none"/>
              </w:rPr>
              <w:t>序号</w:t>
            </w:r>
          </w:p>
        </w:tc>
        <w:tc>
          <w:tcPr>
            <w:tcW w:w="573" w:type="pct"/>
            <w:noWrap w:val="0"/>
            <w:vAlign w:val="center"/>
          </w:tcPr>
          <w:p w14:paraId="6431DB42">
            <w:pPr>
              <w:pStyle w:val="15"/>
              <w:spacing w:line="240" w:lineRule="auto"/>
              <w:ind w:firstLine="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样品名称</w:t>
            </w:r>
          </w:p>
        </w:tc>
        <w:tc>
          <w:tcPr>
            <w:tcW w:w="480" w:type="pct"/>
            <w:noWrap w:val="0"/>
            <w:vAlign w:val="center"/>
          </w:tcPr>
          <w:p w14:paraId="6758F6D7">
            <w:pPr>
              <w:pStyle w:val="15"/>
              <w:spacing w:line="240" w:lineRule="auto"/>
              <w:ind w:firstLine="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样品数量</w:t>
            </w:r>
          </w:p>
        </w:tc>
        <w:tc>
          <w:tcPr>
            <w:tcW w:w="718" w:type="pct"/>
            <w:noWrap w:val="0"/>
            <w:vAlign w:val="center"/>
          </w:tcPr>
          <w:p w14:paraId="605CEAF8">
            <w:pPr>
              <w:pStyle w:val="15"/>
              <w:spacing w:line="240" w:lineRule="auto"/>
              <w:ind w:firstLine="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技术参数</w:t>
            </w:r>
          </w:p>
        </w:tc>
        <w:tc>
          <w:tcPr>
            <w:tcW w:w="2977" w:type="pct"/>
            <w:noWrap w:val="0"/>
            <w:vAlign w:val="center"/>
          </w:tcPr>
          <w:p w14:paraId="7909E2D7">
            <w:pPr>
              <w:pStyle w:val="15"/>
              <w:spacing w:line="240" w:lineRule="auto"/>
              <w:ind w:firstLine="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检测报告</w:t>
            </w:r>
          </w:p>
        </w:tc>
      </w:tr>
      <w:tr w14:paraId="1996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14:paraId="4B53F23E">
            <w:pPr>
              <w:snapToGrid w:val="0"/>
              <w:jc w:val="center"/>
              <w:rPr>
                <w:rFonts w:hint="eastAsia" w:ascii="宋体" w:hAnsi="宋体" w:eastAsia="宋体" w:cs="宋体"/>
                <w:bCs/>
                <w:color w:val="auto"/>
                <w:spacing w:val="-4"/>
                <w:sz w:val="21"/>
                <w:szCs w:val="21"/>
                <w:highlight w:val="none"/>
              </w:rPr>
            </w:pPr>
            <w:r>
              <w:rPr>
                <w:rFonts w:hint="eastAsia" w:ascii="宋体" w:hAnsi="宋体" w:eastAsia="宋体" w:cs="宋体"/>
                <w:bCs/>
                <w:color w:val="auto"/>
                <w:spacing w:val="-4"/>
                <w:sz w:val="21"/>
                <w:szCs w:val="21"/>
                <w:highlight w:val="none"/>
              </w:rPr>
              <w:t>1</w:t>
            </w:r>
          </w:p>
        </w:tc>
        <w:tc>
          <w:tcPr>
            <w:tcW w:w="573" w:type="pct"/>
            <w:noWrap w:val="0"/>
            <w:vAlign w:val="center"/>
          </w:tcPr>
          <w:p w14:paraId="3F2B326B">
            <w:pPr>
              <w:snapToGrid w:val="0"/>
              <w:jc w:val="center"/>
              <w:rPr>
                <w:rFonts w:hint="eastAsia" w:ascii="宋体" w:hAnsi="宋体" w:eastAsia="宋体" w:cs="宋体"/>
                <w:bCs/>
                <w:color w:val="auto"/>
                <w:spacing w:val="-4"/>
                <w:sz w:val="21"/>
                <w:szCs w:val="21"/>
                <w:highlight w:val="none"/>
              </w:rPr>
            </w:pPr>
            <w:r>
              <w:rPr>
                <w:rFonts w:hint="eastAsia" w:ascii="宋体" w:hAnsi="宋体" w:eastAsia="宋体" w:cs="宋体"/>
                <w:b/>
                <w:bCs/>
                <w:color w:val="auto"/>
                <w:kern w:val="0"/>
                <w:sz w:val="21"/>
                <w:szCs w:val="21"/>
                <w:highlight w:val="none"/>
              </w:rPr>
              <w:t>报告厅座椅</w:t>
            </w:r>
          </w:p>
        </w:tc>
        <w:tc>
          <w:tcPr>
            <w:tcW w:w="480" w:type="pct"/>
            <w:noWrap w:val="0"/>
            <w:vAlign w:val="center"/>
          </w:tcPr>
          <w:p w14:paraId="7C9D93AC">
            <w:pPr>
              <w:snapToGrid w:val="0"/>
              <w:jc w:val="center"/>
              <w:rPr>
                <w:rFonts w:hint="eastAsia" w:ascii="宋体" w:hAnsi="宋体" w:eastAsia="宋体" w:cs="宋体"/>
                <w:bCs/>
                <w:color w:val="auto"/>
                <w:spacing w:val="-4"/>
                <w:sz w:val="21"/>
                <w:szCs w:val="21"/>
                <w:highlight w:val="none"/>
                <w:lang w:val="en-US" w:eastAsia="zh-CN"/>
              </w:rPr>
            </w:pPr>
            <w:r>
              <w:rPr>
                <w:rFonts w:hint="eastAsia" w:ascii="宋体" w:hAnsi="宋体" w:eastAsia="宋体" w:cs="宋体"/>
                <w:bCs/>
                <w:color w:val="auto"/>
                <w:spacing w:val="-4"/>
                <w:sz w:val="21"/>
                <w:szCs w:val="21"/>
                <w:highlight w:val="none"/>
                <w:lang w:val="en-US" w:eastAsia="zh-CN"/>
              </w:rPr>
              <w:t>1</w:t>
            </w:r>
          </w:p>
        </w:tc>
        <w:tc>
          <w:tcPr>
            <w:tcW w:w="718" w:type="pct"/>
            <w:noWrap w:val="0"/>
            <w:vAlign w:val="center"/>
          </w:tcPr>
          <w:p w14:paraId="111B5634">
            <w:pPr>
              <w:numPr>
                <w:ilvl w:val="0"/>
                <w:numId w:val="0"/>
              </w:numPr>
              <w:snapToGrid w:val="0"/>
              <w:jc w:val="center"/>
              <w:rPr>
                <w:rFonts w:hint="eastAsia" w:ascii="宋体" w:hAnsi="宋体" w:eastAsia="宋体" w:cs="宋体"/>
                <w:bCs/>
                <w:color w:val="auto"/>
                <w:spacing w:val="-4"/>
                <w:sz w:val="21"/>
                <w:szCs w:val="21"/>
                <w:highlight w:val="none"/>
                <w:lang w:val="en-US" w:eastAsia="zh-CN"/>
              </w:rPr>
            </w:pPr>
            <w:r>
              <w:rPr>
                <w:rFonts w:hint="eastAsia" w:ascii="宋体" w:hAnsi="宋体" w:eastAsia="宋体" w:cs="宋体"/>
                <w:bCs/>
                <w:color w:val="auto"/>
                <w:spacing w:val="-4"/>
                <w:sz w:val="21"/>
                <w:szCs w:val="21"/>
                <w:highlight w:val="none"/>
                <w:lang w:val="en-US" w:eastAsia="zh-CN"/>
              </w:rPr>
              <w:t>详见附件</w:t>
            </w:r>
          </w:p>
        </w:tc>
        <w:tc>
          <w:tcPr>
            <w:tcW w:w="2977" w:type="pct"/>
            <w:noWrap w:val="0"/>
            <w:vAlign w:val="center"/>
          </w:tcPr>
          <w:p w14:paraId="12168A7E">
            <w:pPr>
              <w:bidi w:val="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一、成品：</w:t>
            </w:r>
          </w:p>
          <w:p w14:paraId="026F7CD0">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1.依据QB/T2602-2013 标准，其中座面、椅背静载荷达到：座面2000N、椅背760N，10次无松动；座面、椅背耐用性： 950N，20万次；椅背330N，20万次；扶手静载：侧面：900N，向下1000N，10次无松动； 甲醛释放量≤0.12mg/㎡h。</w:t>
            </w:r>
          </w:p>
          <w:p w14:paraId="689132CD">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2.依据 QB/T2602-2013 标准，提供座面翻转耐久性检测报告：座面翻转耐久性试验达到30万次,座椅部件无变形、结构无松动。</w:t>
            </w:r>
          </w:p>
          <w:p w14:paraId="673D3EAC">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3. 依据GB/T 6882-2008标准，提供座椅回复噪声测试报告，噪声要求≤25dB(A)。</w:t>
            </w:r>
          </w:p>
          <w:p w14:paraId="0B8D7E4D">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4.甲醛释放量</w:t>
            </w:r>
          </w:p>
          <w:p w14:paraId="7B8D9EF5">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5.防火等级：≥B2级</w:t>
            </w:r>
          </w:p>
          <w:p w14:paraId="0F9AD5BE">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6．依据GB/T20247-2006标准， 提供座椅声学测试报告</w:t>
            </w:r>
          </w:p>
          <w:p w14:paraId="7C587907">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二：原材料</w:t>
            </w:r>
          </w:p>
          <w:p w14:paraId="1EE25241">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1.面料：</w:t>
            </w:r>
            <w:r>
              <w:rPr>
                <w:rFonts w:hint="eastAsia" w:ascii="宋体" w:hAnsi="宋体" w:eastAsia="宋体" w:cs="宋体"/>
                <w:b w:val="0"/>
                <w:bCs w:val="0"/>
                <w:color w:val="auto"/>
                <w:kern w:val="0"/>
                <w:sz w:val="21"/>
                <w:szCs w:val="21"/>
                <w:highlight w:val="none"/>
                <w:lang w:val="en-US" w:eastAsia="zh-CN" w:bidi="ar"/>
              </w:rPr>
              <w:t xml:space="preserve"> </w:t>
            </w:r>
          </w:p>
          <w:p w14:paraId="3E8D45A1">
            <w:pPr>
              <w:keepNext w:val="0"/>
              <w:keepLines w:val="0"/>
              <w:pageBreakBefore w:val="0"/>
              <w:numPr>
                <w:ilvl w:val="0"/>
                <w:numId w:val="4"/>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色牢度：4-5级</w:t>
            </w:r>
          </w:p>
          <w:p w14:paraId="54E89F44">
            <w:pPr>
              <w:keepNext w:val="0"/>
              <w:keepLines w:val="0"/>
              <w:pageBreakBefore w:val="0"/>
              <w:numPr>
                <w:ilvl w:val="0"/>
                <w:numId w:val="4"/>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起球性：4级</w:t>
            </w:r>
          </w:p>
          <w:p w14:paraId="443E4518">
            <w:pPr>
              <w:keepNext w:val="0"/>
              <w:keepLines w:val="0"/>
              <w:pageBreakBefore w:val="0"/>
              <w:numPr>
                <w:ilvl w:val="0"/>
                <w:numId w:val="4"/>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甲醛含量﹤20mg/kg</w:t>
            </w:r>
          </w:p>
          <w:p w14:paraId="703BC8B4">
            <w:pPr>
              <w:keepNext w:val="0"/>
              <w:keepLines w:val="0"/>
              <w:pageBreakBefore w:val="0"/>
              <w:numPr>
                <w:ilvl w:val="0"/>
                <w:numId w:val="4"/>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弹子顶破强力＞1400N</w:t>
            </w:r>
          </w:p>
          <w:p w14:paraId="32315E0F">
            <w:pPr>
              <w:keepNext w:val="0"/>
              <w:keepLines w:val="0"/>
              <w:pageBreakBefore w:val="0"/>
              <w:numPr>
                <w:ilvl w:val="0"/>
                <w:numId w:val="4"/>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耐磨性：＞50000次</w:t>
            </w:r>
          </w:p>
          <w:p w14:paraId="167EFACF">
            <w:pPr>
              <w:keepNext w:val="0"/>
              <w:keepLines w:val="0"/>
              <w:pageBreakBefore w:val="0"/>
              <w:numPr>
                <w:ilvl w:val="0"/>
                <w:numId w:val="4"/>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PH值 4.0-7.5</w:t>
            </w:r>
          </w:p>
          <w:p w14:paraId="3E2870E8">
            <w:pPr>
              <w:keepNext w:val="0"/>
              <w:keepLines w:val="0"/>
              <w:pageBreakBefore w:val="0"/>
              <w:numPr>
                <w:ilvl w:val="0"/>
                <w:numId w:val="4"/>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重金属：六价铬＜0.5mg/kg。</w:t>
            </w:r>
          </w:p>
          <w:p w14:paraId="47E7F6B6">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2.海绵：</w:t>
            </w:r>
          </w:p>
          <w:p w14:paraId="4DB710AE">
            <w:pPr>
              <w:keepNext w:val="0"/>
              <w:keepLines w:val="0"/>
              <w:pageBreakBefore w:val="0"/>
              <w:numPr>
                <w:ilvl w:val="0"/>
                <w:numId w:val="5"/>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拉伸强度：﹥100kpa</w:t>
            </w:r>
          </w:p>
          <w:p w14:paraId="5BFE7932">
            <w:pPr>
              <w:keepNext w:val="0"/>
              <w:keepLines w:val="0"/>
              <w:pageBreakBefore w:val="0"/>
              <w:numPr>
                <w:ilvl w:val="0"/>
                <w:numId w:val="5"/>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伸长率：﹥130%</w:t>
            </w:r>
          </w:p>
          <w:p w14:paraId="015B6311">
            <w:pPr>
              <w:keepNext w:val="0"/>
              <w:keepLines w:val="0"/>
              <w:pageBreakBefore w:val="0"/>
              <w:numPr>
                <w:ilvl w:val="0"/>
                <w:numId w:val="5"/>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撕裂强度：﹥2.0N/cm</w:t>
            </w:r>
          </w:p>
          <w:p w14:paraId="332197BB">
            <w:pPr>
              <w:keepNext w:val="0"/>
              <w:keepLines w:val="0"/>
              <w:pageBreakBefore w:val="0"/>
              <w:numPr>
                <w:ilvl w:val="0"/>
                <w:numId w:val="5"/>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干热老化后拉伸强度：﹥100 kpa</w:t>
            </w:r>
          </w:p>
          <w:p w14:paraId="035FE431">
            <w:pPr>
              <w:keepNext w:val="0"/>
              <w:keepLines w:val="0"/>
              <w:pageBreakBefore w:val="0"/>
              <w:numPr>
                <w:ilvl w:val="0"/>
                <w:numId w:val="5"/>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干热老化后拉伸强度变化率：≤±30%</w:t>
            </w:r>
          </w:p>
          <w:p w14:paraId="7F91146A">
            <w:pPr>
              <w:keepNext w:val="0"/>
              <w:keepLines w:val="0"/>
              <w:pageBreakBefore w:val="0"/>
              <w:numPr>
                <w:ilvl w:val="0"/>
                <w:numId w:val="5"/>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湿热老化后拉伸强度：﹥100 kpa</w:t>
            </w:r>
          </w:p>
          <w:p w14:paraId="395CB7A8">
            <w:pPr>
              <w:keepNext w:val="0"/>
              <w:keepLines w:val="0"/>
              <w:pageBreakBefore w:val="0"/>
              <w:numPr>
                <w:ilvl w:val="0"/>
                <w:numId w:val="5"/>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湿热老化后拉伸强度变化率：≤±30%</w:t>
            </w:r>
          </w:p>
          <w:p w14:paraId="68E0726B">
            <w:pPr>
              <w:keepNext w:val="0"/>
              <w:keepLines w:val="0"/>
              <w:pageBreakBefore w:val="0"/>
              <w:numPr>
                <w:ilvl w:val="0"/>
                <w:numId w:val="5"/>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75%压缩永久变形≤6%</w:t>
            </w:r>
          </w:p>
          <w:p w14:paraId="5F7D9FCB">
            <w:pPr>
              <w:keepNext w:val="0"/>
              <w:keepLines w:val="0"/>
              <w:pageBreakBefore w:val="0"/>
              <w:numPr>
                <w:ilvl w:val="0"/>
                <w:numId w:val="5"/>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回弹性能≥35%</w:t>
            </w:r>
          </w:p>
          <w:p w14:paraId="666A2303">
            <w:pPr>
              <w:keepNext w:val="0"/>
              <w:keepLines w:val="0"/>
              <w:pageBreakBefore w:val="0"/>
              <w:numPr>
                <w:ilvl w:val="0"/>
                <w:numId w:val="5"/>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密度：﹥50kg/㎥</w:t>
            </w:r>
          </w:p>
          <w:p w14:paraId="02101AF5">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3.钢材：</w:t>
            </w:r>
          </w:p>
          <w:p w14:paraId="59747F73">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 xml:space="preserve">钢材抗拉强度370-500 MPa,规定塑性延伸强度≥235MPa，断后伸长率≥26% </w:t>
            </w:r>
          </w:p>
          <w:p w14:paraId="2FC4FDD1">
            <w:pPr>
              <w:keepNext w:val="0"/>
              <w:keepLines w:val="0"/>
              <w:pageBreakBefore w:val="0"/>
              <w:numPr>
                <w:ilvl w:val="0"/>
                <w:numId w:val="6"/>
              </w:numPr>
              <w:kinsoku/>
              <w:wordWrap/>
              <w:overflowPunct/>
              <w:topLinePunct w:val="0"/>
              <w:autoSpaceDE/>
              <w:autoSpaceDN/>
              <w:bidi w:val="0"/>
              <w:snapToGrid w:val="0"/>
              <w:spacing w:line="240" w:lineRule="auto"/>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木材：</w:t>
            </w:r>
          </w:p>
          <w:p w14:paraId="53277B81">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bidi="ar"/>
              </w:rPr>
              <w:t>木制作含水率不超过12%，胶合强度≥0.70Mpa，不变形、不开裂。木材甲醛释放量≤0.050mg/m3，环保性能达E1级</w:t>
            </w:r>
          </w:p>
        </w:tc>
      </w:tr>
    </w:tbl>
    <w:p w14:paraId="49AA5C25">
      <w:pPr>
        <w:rPr>
          <w:rFonts w:hint="eastAsia" w:ascii="宋体" w:hAnsi="宋体" w:eastAsia="宋体" w:cs="宋体"/>
          <w:color w:val="auto"/>
          <w:highlight w:val="none"/>
        </w:rPr>
      </w:pPr>
    </w:p>
    <w:p w14:paraId="1279FB92">
      <w:pPr>
        <w:pStyle w:val="58"/>
        <w:spacing w:before="0" w:beforeAutospacing="0" w:after="0" w:afterAutospacing="0" w:line="360" w:lineRule="auto"/>
        <w:ind w:firstLine="600"/>
        <w:rPr>
          <w:rFonts w:hint="eastAsia" w:ascii="宋体" w:hAnsi="宋体" w:eastAsia="宋体" w:cs="宋体"/>
          <w:b/>
          <w:bCs/>
          <w:color w:val="auto"/>
          <w:highlight w:val="none"/>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
          <w:bCs/>
          <w:color w:val="auto"/>
          <w:highlight w:val="none"/>
        </w:rPr>
        <w:t>五、其他：详见第五部分 拟签订的合同文本</w:t>
      </w:r>
    </w:p>
    <w:p w14:paraId="382E7808">
      <w:pPr>
        <w:pStyle w:val="258"/>
        <w:numPr>
          <w:ilvl w:val="0"/>
          <w:numId w:val="0"/>
        </w:numPr>
        <w:spacing w:after="120"/>
        <w:ind w:left="482" w:leftChars="0"/>
        <w:outlineLvl w:val="1"/>
        <w:rPr>
          <w:rFonts w:hint="eastAsia" w:ascii="宋体" w:hAnsi="宋体" w:eastAsia="宋体" w:cs="宋体"/>
          <w:b/>
          <w:color w:val="auto"/>
          <w:highlight w:val="none"/>
          <w:lang w:val="en-US" w:eastAsia="zh-CN"/>
        </w:rPr>
      </w:pPr>
      <w:r>
        <w:rPr>
          <w:rFonts w:hint="eastAsia" w:ascii="宋体" w:hAnsi="宋体" w:eastAsia="宋体" w:cs="宋体"/>
          <w:b/>
          <w:color w:val="auto"/>
          <w:highlight w:val="none"/>
          <w:lang w:val="en-US" w:eastAsia="zh-CN"/>
        </w:rPr>
        <w:t>附件：</w:t>
      </w:r>
    </w:p>
    <w:tbl>
      <w:tblPr>
        <w:tblStyle w:val="62"/>
        <w:tblW w:w="5106" w:type="pct"/>
        <w:jc w:val="center"/>
        <w:tblLayout w:type="autofit"/>
        <w:tblCellMar>
          <w:top w:w="0" w:type="dxa"/>
          <w:left w:w="108" w:type="dxa"/>
          <w:bottom w:w="0" w:type="dxa"/>
          <w:right w:w="108" w:type="dxa"/>
        </w:tblCellMar>
      </w:tblPr>
      <w:tblGrid>
        <w:gridCol w:w="638"/>
        <w:gridCol w:w="1060"/>
        <w:gridCol w:w="640"/>
        <w:gridCol w:w="2976"/>
        <w:gridCol w:w="9160"/>
      </w:tblGrid>
      <w:tr w14:paraId="3D6D9330">
        <w:tblPrEx>
          <w:tblCellMar>
            <w:top w:w="0" w:type="dxa"/>
            <w:left w:w="108" w:type="dxa"/>
            <w:bottom w:w="0" w:type="dxa"/>
            <w:right w:w="108" w:type="dxa"/>
          </w:tblCellMar>
        </w:tblPrEx>
        <w:trPr>
          <w:trHeight w:val="57" w:hRule="atLeast"/>
          <w:jc w:val="center"/>
        </w:trPr>
        <w:tc>
          <w:tcPr>
            <w:tcW w:w="5000" w:type="pct"/>
            <w:gridSpan w:val="5"/>
            <w:tcBorders>
              <w:top w:val="single" w:color="auto" w:sz="4" w:space="0"/>
              <w:left w:val="single" w:color="auto" w:sz="4" w:space="0"/>
              <w:bottom w:val="single" w:color="auto" w:sz="4" w:space="0"/>
              <w:right w:val="single" w:color="000000" w:sz="4" w:space="0"/>
            </w:tcBorders>
            <w:shd w:val="clear" w:color="000000" w:fill="FFFFFF"/>
            <w:noWrap/>
            <w:vAlign w:val="center"/>
          </w:tcPr>
          <w:p w14:paraId="643DAFE5">
            <w:pPr>
              <w:keepNext w:val="0"/>
              <w:keepLines w:val="0"/>
              <w:pageBreakBefore w:val="0"/>
              <w:widowControl/>
              <w:kinsoku/>
              <w:wordWrap/>
              <w:overflowPunct/>
              <w:topLinePunct w:val="0"/>
              <w:autoSpaceDE/>
              <w:autoSpaceDN/>
              <w:bidi w:val="0"/>
              <w:adjustRightInd w:val="0"/>
              <w:snapToGrid w:val="0"/>
              <w:spacing w:line="360" w:lineRule="auto"/>
              <w:ind w:left="0" w:firstLine="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杭州第九中学树范学校</w:t>
            </w:r>
            <w:r>
              <w:rPr>
                <w:rFonts w:hint="eastAsia" w:ascii="宋体" w:hAnsi="宋体" w:cs="宋体"/>
                <w:b/>
                <w:bCs/>
                <w:color w:val="auto"/>
                <w:kern w:val="0"/>
                <w:sz w:val="21"/>
                <w:szCs w:val="21"/>
                <w:highlight w:val="none"/>
                <w:lang w:eastAsia="zh-CN"/>
              </w:rPr>
              <w:t>报告厅椅子采购</w:t>
            </w:r>
            <w:r>
              <w:rPr>
                <w:rFonts w:hint="eastAsia" w:ascii="宋体" w:hAnsi="宋体" w:eastAsia="宋体" w:cs="宋体"/>
                <w:b/>
                <w:bCs/>
                <w:color w:val="auto"/>
                <w:kern w:val="0"/>
                <w:sz w:val="21"/>
                <w:szCs w:val="21"/>
                <w:highlight w:val="none"/>
              </w:rPr>
              <w:t>清单</w:t>
            </w:r>
          </w:p>
        </w:tc>
      </w:tr>
      <w:tr w14:paraId="0BB6D48C">
        <w:tblPrEx>
          <w:tblCellMar>
            <w:top w:w="0" w:type="dxa"/>
            <w:left w:w="108" w:type="dxa"/>
            <w:bottom w:w="0" w:type="dxa"/>
            <w:right w:w="108" w:type="dxa"/>
          </w:tblCellMar>
        </w:tblPrEx>
        <w:trPr>
          <w:trHeight w:val="57" w:hRule="atLeast"/>
          <w:jc w:val="center"/>
        </w:trPr>
        <w:tc>
          <w:tcPr>
            <w:tcW w:w="220" w:type="pct"/>
            <w:tcBorders>
              <w:top w:val="nil"/>
              <w:left w:val="single" w:color="auto" w:sz="4" w:space="0"/>
              <w:bottom w:val="single" w:color="auto" w:sz="4" w:space="0"/>
              <w:right w:val="single" w:color="auto" w:sz="4" w:space="0"/>
            </w:tcBorders>
            <w:shd w:val="clear" w:color="000000" w:fill="FFFFFF"/>
            <w:noWrap/>
            <w:vAlign w:val="center"/>
          </w:tcPr>
          <w:p w14:paraId="4F0A0DF9">
            <w:pPr>
              <w:keepNext w:val="0"/>
              <w:keepLines w:val="0"/>
              <w:pageBreakBefore w:val="0"/>
              <w:widowControl/>
              <w:kinsoku/>
              <w:wordWrap/>
              <w:overflowPunct/>
              <w:topLinePunct w:val="0"/>
              <w:autoSpaceDE/>
              <w:autoSpaceDN/>
              <w:bidi w:val="0"/>
              <w:adjustRightInd w:val="0"/>
              <w:snapToGrid w:val="0"/>
              <w:spacing w:line="360" w:lineRule="auto"/>
              <w:ind w:left="0" w:firstLine="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366" w:type="pct"/>
            <w:tcBorders>
              <w:top w:val="nil"/>
              <w:left w:val="nil"/>
              <w:bottom w:val="single" w:color="auto" w:sz="4" w:space="0"/>
              <w:right w:val="single" w:color="auto" w:sz="4" w:space="0"/>
            </w:tcBorders>
            <w:shd w:val="clear" w:color="000000" w:fill="FFFFFF"/>
            <w:noWrap/>
            <w:vAlign w:val="center"/>
          </w:tcPr>
          <w:p w14:paraId="3DBC80A9">
            <w:pPr>
              <w:keepNext w:val="0"/>
              <w:keepLines w:val="0"/>
              <w:pageBreakBefore w:val="0"/>
              <w:widowControl/>
              <w:kinsoku/>
              <w:wordWrap/>
              <w:overflowPunct/>
              <w:topLinePunct w:val="0"/>
              <w:autoSpaceDE/>
              <w:autoSpaceDN/>
              <w:bidi w:val="0"/>
              <w:adjustRightInd w:val="0"/>
              <w:snapToGrid w:val="0"/>
              <w:spacing w:line="360" w:lineRule="auto"/>
              <w:ind w:left="0" w:firstLine="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设备名称</w:t>
            </w:r>
          </w:p>
        </w:tc>
        <w:tc>
          <w:tcPr>
            <w:tcW w:w="221" w:type="pct"/>
            <w:tcBorders>
              <w:top w:val="nil"/>
              <w:left w:val="nil"/>
              <w:bottom w:val="single" w:color="auto" w:sz="4" w:space="0"/>
              <w:right w:val="single" w:color="auto" w:sz="4" w:space="0"/>
            </w:tcBorders>
            <w:shd w:val="clear" w:color="000000" w:fill="FFFFFF"/>
            <w:noWrap/>
            <w:vAlign w:val="center"/>
          </w:tcPr>
          <w:p w14:paraId="405959DF">
            <w:pPr>
              <w:keepNext w:val="0"/>
              <w:keepLines w:val="0"/>
              <w:pageBreakBefore w:val="0"/>
              <w:widowControl/>
              <w:kinsoku/>
              <w:wordWrap/>
              <w:overflowPunct/>
              <w:topLinePunct w:val="0"/>
              <w:autoSpaceDE/>
              <w:autoSpaceDN/>
              <w:bidi w:val="0"/>
              <w:adjustRightInd w:val="0"/>
              <w:snapToGrid w:val="0"/>
              <w:spacing w:line="360" w:lineRule="auto"/>
              <w:ind w:left="0" w:firstLine="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数量</w:t>
            </w:r>
          </w:p>
        </w:tc>
        <w:tc>
          <w:tcPr>
            <w:tcW w:w="1028" w:type="pct"/>
            <w:tcBorders>
              <w:top w:val="nil"/>
              <w:left w:val="nil"/>
              <w:bottom w:val="single" w:color="auto" w:sz="4" w:space="0"/>
              <w:right w:val="single" w:color="auto" w:sz="4" w:space="0"/>
            </w:tcBorders>
            <w:shd w:val="clear" w:color="000000" w:fill="FFFFFF"/>
            <w:vAlign w:val="center"/>
          </w:tcPr>
          <w:p w14:paraId="259A9A4B">
            <w:pPr>
              <w:keepNext w:val="0"/>
              <w:keepLines w:val="0"/>
              <w:pageBreakBefore w:val="0"/>
              <w:widowControl/>
              <w:kinsoku/>
              <w:wordWrap/>
              <w:overflowPunct/>
              <w:topLinePunct w:val="0"/>
              <w:autoSpaceDE/>
              <w:autoSpaceDN/>
              <w:bidi w:val="0"/>
              <w:adjustRightInd w:val="0"/>
              <w:snapToGrid w:val="0"/>
              <w:spacing w:line="360" w:lineRule="auto"/>
              <w:ind w:left="0" w:firstLine="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产品图片</w:t>
            </w:r>
          </w:p>
        </w:tc>
        <w:tc>
          <w:tcPr>
            <w:tcW w:w="3164" w:type="pct"/>
            <w:tcBorders>
              <w:top w:val="nil"/>
              <w:left w:val="nil"/>
              <w:bottom w:val="single" w:color="auto" w:sz="4" w:space="0"/>
              <w:right w:val="single" w:color="auto" w:sz="4" w:space="0"/>
            </w:tcBorders>
            <w:shd w:val="clear" w:color="000000" w:fill="FFFFFF"/>
            <w:noWrap/>
            <w:vAlign w:val="center"/>
          </w:tcPr>
          <w:p w14:paraId="1F060D23">
            <w:pPr>
              <w:keepNext w:val="0"/>
              <w:keepLines w:val="0"/>
              <w:pageBreakBefore w:val="0"/>
              <w:widowControl/>
              <w:kinsoku/>
              <w:wordWrap/>
              <w:overflowPunct/>
              <w:topLinePunct w:val="0"/>
              <w:autoSpaceDE/>
              <w:autoSpaceDN/>
              <w:bidi w:val="0"/>
              <w:adjustRightInd w:val="0"/>
              <w:snapToGrid w:val="0"/>
              <w:spacing w:line="360" w:lineRule="auto"/>
              <w:ind w:left="0" w:firstLine="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技术参数</w:t>
            </w:r>
          </w:p>
        </w:tc>
      </w:tr>
      <w:tr w14:paraId="4314A184">
        <w:tblPrEx>
          <w:tblCellMar>
            <w:top w:w="0" w:type="dxa"/>
            <w:left w:w="108" w:type="dxa"/>
            <w:bottom w:w="0" w:type="dxa"/>
            <w:right w:w="108" w:type="dxa"/>
          </w:tblCellMar>
        </w:tblPrEx>
        <w:trPr>
          <w:trHeight w:val="57" w:hRule="atLeast"/>
          <w:jc w:val="center"/>
        </w:trPr>
        <w:tc>
          <w:tcPr>
            <w:tcW w:w="220" w:type="pct"/>
            <w:tcBorders>
              <w:top w:val="nil"/>
              <w:left w:val="single" w:color="auto" w:sz="4" w:space="0"/>
              <w:bottom w:val="single" w:color="auto" w:sz="4" w:space="0"/>
              <w:right w:val="single" w:color="auto" w:sz="4" w:space="0"/>
            </w:tcBorders>
            <w:shd w:val="clear" w:color="000000" w:fill="FFFFFF"/>
            <w:noWrap/>
            <w:vAlign w:val="center"/>
          </w:tcPr>
          <w:p w14:paraId="159873EC">
            <w:pPr>
              <w:keepNext w:val="0"/>
              <w:keepLines w:val="0"/>
              <w:pageBreakBefore w:val="0"/>
              <w:widowControl/>
              <w:kinsoku/>
              <w:wordWrap/>
              <w:overflowPunct/>
              <w:topLinePunct w:val="0"/>
              <w:autoSpaceDE/>
              <w:autoSpaceDN/>
              <w:bidi w:val="0"/>
              <w:adjustRightInd w:val="0"/>
              <w:snapToGrid w:val="0"/>
              <w:spacing w:line="360" w:lineRule="auto"/>
              <w:ind w:left="0" w:firstLine="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1</w:t>
            </w:r>
          </w:p>
        </w:tc>
        <w:tc>
          <w:tcPr>
            <w:tcW w:w="366" w:type="pct"/>
            <w:tcBorders>
              <w:top w:val="nil"/>
              <w:left w:val="nil"/>
              <w:bottom w:val="single" w:color="auto" w:sz="4" w:space="0"/>
              <w:right w:val="single" w:color="auto" w:sz="4" w:space="0"/>
            </w:tcBorders>
            <w:shd w:val="clear" w:color="000000" w:fill="FFFFFF"/>
            <w:vAlign w:val="center"/>
          </w:tcPr>
          <w:p w14:paraId="173CBAE0">
            <w:pPr>
              <w:keepNext w:val="0"/>
              <w:keepLines w:val="0"/>
              <w:pageBreakBefore w:val="0"/>
              <w:widowControl/>
              <w:kinsoku/>
              <w:wordWrap/>
              <w:overflowPunct/>
              <w:topLinePunct w:val="0"/>
              <w:autoSpaceDE/>
              <w:autoSpaceDN/>
              <w:bidi w:val="0"/>
              <w:adjustRightInd w:val="0"/>
              <w:snapToGrid w:val="0"/>
              <w:spacing w:line="360" w:lineRule="auto"/>
              <w:ind w:left="0" w:firstLine="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报告厅座椅</w:t>
            </w:r>
          </w:p>
        </w:tc>
        <w:tc>
          <w:tcPr>
            <w:tcW w:w="221" w:type="pct"/>
            <w:tcBorders>
              <w:top w:val="nil"/>
              <w:left w:val="nil"/>
              <w:bottom w:val="single" w:color="auto" w:sz="4" w:space="0"/>
              <w:right w:val="single" w:color="auto" w:sz="4" w:space="0"/>
            </w:tcBorders>
            <w:shd w:val="clear" w:color="000000" w:fill="FFFFFF"/>
            <w:vAlign w:val="center"/>
          </w:tcPr>
          <w:p w14:paraId="36711546">
            <w:pPr>
              <w:keepNext w:val="0"/>
              <w:keepLines w:val="0"/>
              <w:pageBreakBefore w:val="0"/>
              <w:widowControl/>
              <w:kinsoku/>
              <w:wordWrap/>
              <w:overflowPunct/>
              <w:topLinePunct w:val="0"/>
              <w:autoSpaceDE/>
              <w:autoSpaceDN/>
              <w:bidi w:val="0"/>
              <w:adjustRightInd w:val="0"/>
              <w:snapToGrid w:val="0"/>
              <w:spacing w:line="360" w:lineRule="auto"/>
              <w:ind w:left="0" w:firstLine="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1105位</w:t>
            </w:r>
          </w:p>
        </w:tc>
        <w:tc>
          <w:tcPr>
            <w:tcW w:w="1028" w:type="pct"/>
            <w:tcBorders>
              <w:top w:val="nil"/>
              <w:left w:val="nil"/>
              <w:bottom w:val="single" w:color="auto" w:sz="4" w:space="0"/>
              <w:right w:val="single" w:color="auto" w:sz="4" w:space="0"/>
            </w:tcBorders>
            <w:shd w:val="clear" w:color="auto" w:fill="auto"/>
            <w:noWrap/>
            <w:vAlign w:val="center"/>
          </w:tcPr>
          <w:p w14:paraId="333D676E">
            <w:pPr>
              <w:keepNext w:val="0"/>
              <w:keepLines w:val="0"/>
              <w:pageBreakBefore w:val="0"/>
              <w:widowControl/>
              <w:kinsoku/>
              <w:wordWrap/>
              <w:overflowPunct/>
              <w:topLinePunct w:val="0"/>
              <w:autoSpaceDE/>
              <w:autoSpaceDN/>
              <w:bidi w:val="0"/>
              <w:adjustRightInd w:val="0"/>
              <w:snapToGrid w:val="0"/>
              <w:spacing w:line="360" w:lineRule="auto"/>
              <w:ind w:left="0" w:firstLine="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drawing>
                <wp:inline distT="0" distB="0" distL="0" distR="0">
                  <wp:extent cx="1749425" cy="1529715"/>
                  <wp:effectExtent l="0" t="0" r="3175" b="9525"/>
                  <wp:docPr id="6" name="图片 6" descr="C:\Users\hlm\Documents\WeChat Files\hangIm55\FileStorage\Temp\295930d452dbf05e9d2f12d9bd54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hlm\Documents\WeChat Files\hangIm55\FileStorage\Temp\295930d452dbf05e9d2f12d9bd546b9.jpg"/>
                          <pic:cNvPicPr>
                            <a:picLocks noChangeAspect="1" noChangeArrowheads="1"/>
                          </pic:cNvPicPr>
                        </pic:nvPicPr>
                        <pic:blipFill>
                          <a:blip r:embed="rId30" cstate="print">
                            <a:extLst>
                              <a:ext uri="{28A0092B-C50C-407E-A947-70E740481C1C}">
                                <a14:useLocalDpi xmlns:a14="http://schemas.microsoft.com/office/drawing/2010/main" val="0"/>
                              </a:ext>
                            </a:extLst>
                          </a:blip>
                          <a:srcRect l="23963" t="24795" r="30004" b="19476"/>
                          <a:stretch>
                            <a:fillRect/>
                          </a:stretch>
                        </pic:blipFill>
                        <pic:spPr>
                          <a:xfrm>
                            <a:off x="0" y="0"/>
                            <a:ext cx="1770540" cy="1548255"/>
                          </a:xfrm>
                          <a:prstGeom prst="rect">
                            <a:avLst/>
                          </a:prstGeom>
                          <a:noFill/>
                          <a:ln>
                            <a:noFill/>
                          </a:ln>
                        </pic:spPr>
                      </pic:pic>
                    </a:graphicData>
                  </a:graphic>
                </wp:inline>
              </w:drawing>
            </w:r>
          </w:p>
        </w:tc>
        <w:tc>
          <w:tcPr>
            <w:tcW w:w="3164" w:type="pct"/>
            <w:tcBorders>
              <w:top w:val="nil"/>
              <w:left w:val="nil"/>
              <w:bottom w:val="single" w:color="auto" w:sz="4" w:space="0"/>
              <w:right w:val="single" w:color="auto" w:sz="4" w:space="0"/>
            </w:tcBorders>
            <w:shd w:val="clear" w:color="auto" w:fill="auto"/>
          </w:tcPr>
          <w:p w14:paraId="53A6C15D">
            <w:pPr>
              <w:pStyle w:val="258"/>
              <w:keepNext w:val="0"/>
              <w:keepLines w:val="0"/>
              <w:pageBreakBefore w:val="0"/>
              <w:numPr>
                <w:ilvl w:val="0"/>
                <w:numId w:val="7"/>
              </w:numPr>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座椅根据人体形态工程学原理设计制造，背垫和座垫之弧度完全符合人体生理曲线，座高和座深合理，坐感舒适。座垫可自动回复，采用两侧双脚支撑。</w:t>
            </w:r>
          </w:p>
          <w:p w14:paraId="2BD113FB">
            <w:pPr>
              <w:pStyle w:val="258"/>
              <w:keepNext w:val="0"/>
              <w:keepLines w:val="0"/>
              <w:pageBreakBefore w:val="0"/>
              <w:numPr>
                <w:ilvl w:val="0"/>
                <w:numId w:val="7"/>
              </w:numPr>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1"/>
                <w:szCs w:val="21"/>
                <w:highlight w:val="none"/>
              </w:rPr>
              <w:t xml:space="preserve">座椅扶手上带下翻安全写字板，在紧急情况下，当人站起逃生时，写字板可自动复位。  </w:t>
            </w:r>
          </w:p>
          <w:p w14:paraId="7606804D">
            <w:pPr>
              <w:pStyle w:val="258"/>
              <w:keepNext w:val="0"/>
              <w:keepLines w:val="0"/>
              <w:pageBreakBefore w:val="0"/>
              <w:numPr>
                <w:ilvl w:val="0"/>
                <w:numId w:val="7"/>
              </w:numPr>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座椅中心距580±10mm，基本座高435±10mm，基本椅深725±10mm，基本椅高为970±10mm。座椅座、背垫规格：背垫长670±10mm，宽505±10mm，厚135±10mm；座垫长465±10mm，宽440±10mm，厚110±10mm。</w:t>
            </w:r>
          </w:p>
          <w:p w14:paraId="6526BFFF">
            <w:pPr>
              <w:keepNext w:val="0"/>
              <w:keepLines w:val="0"/>
              <w:pageBreakBefore w:val="0"/>
              <w:numPr>
                <w:ilvl w:val="0"/>
                <w:numId w:val="7"/>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座椅</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符合</w:t>
            </w:r>
            <w:r>
              <w:rPr>
                <w:rFonts w:hint="eastAsia" w:ascii="宋体" w:hAnsi="宋体" w:eastAsia="宋体" w:cs="宋体"/>
                <w:color w:val="auto"/>
                <w:kern w:val="0"/>
                <w:sz w:val="21"/>
                <w:szCs w:val="21"/>
                <w:highlight w:val="none"/>
              </w:rPr>
              <w:t xml:space="preserve">QB/T2602-2013《影剧院公共座椅》行业标准, </w:t>
            </w:r>
            <w:r>
              <w:rPr>
                <w:rFonts w:hint="eastAsia" w:ascii="宋体" w:hAnsi="宋体" w:eastAsia="宋体" w:cs="宋体"/>
                <w:color w:val="auto"/>
                <w:kern w:val="0"/>
                <w:sz w:val="21"/>
                <w:szCs w:val="21"/>
                <w:highlight w:val="none"/>
                <w:lang w:val="en-US" w:eastAsia="zh-CN"/>
              </w:rPr>
              <w:t>达到</w:t>
            </w:r>
            <w:r>
              <w:rPr>
                <w:rFonts w:hint="eastAsia" w:ascii="宋体" w:hAnsi="宋体" w:eastAsia="宋体" w:cs="宋体"/>
                <w:color w:val="auto"/>
                <w:kern w:val="0"/>
                <w:sz w:val="21"/>
                <w:szCs w:val="21"/>
                <w:highlight w:val="none"/>
              </w:rPr>
              <w:t>座面、椅背静载荷：座面2000N、椅背760N，10次无松动；座面、椅背耐用性：950N，20万次；椅背330N，20万次；扶手静载：侧面：900N，向下1000N，10次无松动；座面翻转耐久性试验达到30万次；甲醛释放量≤0.12mg/㎡h。</w:t>
            </w:r>
            <w:r>
              <w:rPr>
                <w:rFonts w:hint="eastAsia" w:ascii="宋体" w:hAnsi="宋体" w:eastAsia="宋体" w:cs="宋体"/>
                <w:b/>
                <w:bCs/>
                <w:color w:val="auto"/>
                <w:kern w:val="0"/>
                <w:sz w:val="21"/>
                <w:szCs w:val="21"/>
                <w:highlight w:val="none"/>
                <w:lang w:eastAsia="zh-CN"/>
              </w:rPr>
              <w:t>（提供具有CMA资质的第三方检测机构提供的检测报告）</w:t>
            </w:r>
          </w:p>
          <w:p w14:paraId="15AB52DA">
            <w:pPr>
              <w:keepNext w:val="0"/>
              <w:keepLines w:val="0"/>
              <w:pageBreakBefore w:val="0"/>
              <w:numPr>
                <w:ilvl w:val="0"/>
                <w:numId w:val="7"/>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在保证观众舒适度的前提下，背垫不超过观众双肩，增加椅背板的声反射面积，改善座椅的吸声；座底板需要打吸音孔，使座椅的吸声量在不同的上座率尽可能保持一致。</w:t>
            </w:r>
          </w:p>
          <w:p w14:paraId="33E99D79">
            <w:pPr>
              <w:keepNext w:val="0"/>
              <w:keepLines w:val="0"/>
              <w:pageBreakBefore w:val="0"/>
              <w:numPr>
                <w:ilvl w:val="0"/>
                <w:numId w:val="7"/>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座椅背垫和外背平齐，使座椅外形饱满,更舒适；座底板可根据需要打吸音孔或吸音条，使座椅的吸声量在不同的上座率尽可能保持一致。</w:t>
            </w:r>
          </w:p>
          <w:p w14:paraId="71DB74BA">
            <w:pPr>
              <w:keepNext w:val="0"/>
              <w:keepLines w:val="0"/>
              <w:pageBreakBefore w:val="0"/>
              <w:numPr>
                <w:ilvl w:val="0"/>
                <w:numId w:val="7"/>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面料选择针织类面料,要求耐磨性高,渗透力强,吸声效果好。面料的相关指标达到并超过GB/T3920-2008、GB/T2912-1-2009、GB/T19976-2005、 GB/T21196.2-2007、QB/T2602-2013、GB/T4802.1-2008、GB/T7573-2009、GB/T17593.3-2006标准要求：</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Cs w:val="21"/>
                <w:highlight w:val="none"/>
              </w:rPr>
              <w:t>a.色彩：（最终由招标人确定）；b.色牢度：4-5级；c.起球性：4级；d.环保：甲醛含量﹤20mg/kg；e.弹子顶破强力＞1400N；f.耐磨性：＞50000次；g.PH值4.0-7.5；h.重金属：六价铬＜0.5mg/kg；i.阻燃B2级以上。</w:t>
            </w:r>
            <w:r>
              <w:rPr>
                <w:rFonts w:hint="eastAsia" w:ascii="宋体" w:hAnsi="宋体" w:eastAsia="宋体" w:cs="宋体"/>
                <w:b/>
                <w:bCs/>
                <w:color w:val="auto"/>
                <w:kern w:val="0"/>
                <w:sz w:val="21"/>
                <w:szCs w:val="21"/>
                <w:highlight w:val="none"/>
                <w:lang w:eastAsia="zh-CN"/>
              </w:rPr>
              <w:t>（提供具有CMA资质的第三方检测机构提供的检测报告）</w:t>
            </w:r>
          </w:p>
          <w:p w14:paraId="2AB9FABA">
            <w:pPr>
              <w:keepNext w:val="0"/>
              <w:keepLines w:val="0"/>
              <w:pageBreakBefore w:val="0"/>
              <w:numPr>
                <w:ilvl w:val="0"/>
                <w:numId w:val="7"/>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座椅泡绵为聚氨酯冷发泡高回弹海绵，根据座椅的不同部位,座垫,背垫密度不同.所有泡棉,模成型的或切割的,强度高，回弹性好；泡绵的物理指标达到GB/T10802-2023、QB/T2280-2016、JISL 1902:2015标准。</w:t>
            </w:r>
            <w:r>
              <w:rPr>
                <w:rFonts w:hint="eastAsia" w:ascii="宋体" w:hAnsi="宋体" w:eastAsia="宋体" w:cs="宋体"/>
                <w:color w:val="auto"/>
                <w:kern w:val="0"/>
                <w:sz w:val="21"/>
                <w:szCs w:val="21"/>
                <w:highlight w:val="none"/>
              </w:rPr>
              <w:br w:type="textWrapping"/>
            </w:r>
            <w:r>
              <w:rPr>
                <w:rFonts w:hint="eastAsia" w:ascii="宋体" w:hAnsi="宋体" w:eastAsia="宋体" w:cs="宋体"/>
                <w:color w:val="auto"/>
                <w:kern w:val="0"/>
                <w:szCs w:val="21"/>
                <w:highlight w:val="none"/>
              </w:rPr>
              <w:t>a.拉伸强度：﹥100kpa；b.伸长率：﹥130%；c.撕裂强度：﹥2.0N/cm；d.干热老化后拉伸强度：＞100kpa；e.干热老化后拉伸强度变化率：≤±30%；f.湿热老化后拉伸强度：＞100kpa；g.湿热老化后拉伸强度变化率≤±30%；h.75%压缩永久变形≤6%；i回弹性能≥35%；j.密度：﹥50kg/㎥；阻燃B2级以上；k.抗菌性能符合JIS L 1902:2015标准要求。</w:t>
            </w:r>
            <w:r>
              <w:rPr>
                <w:rFonts w:hint="eastAsia" w:ascii="宋体" w:hAnsi="宋体" w:eastAsia="宋体" w:cs="宋体"/>
                <w:b/>
                <w:bCs/>
                <w:color w:val="auto"/>
                <w:kern w:val="0"/>
                <w:sz w:val="21"/>
                <w:szCs w:val="21"/>
                <w:highlight w:val="none"/>
                <w:lang w:eastAsia="zh-CN"/>
              </w:rPr>
              <w:t>（提供具有CMA资质的第三方检测机构提供的检测报告）</w:t>
            </w:r>
          </w:p>
          <w:p w14:paraId="056B8FE9">
            <w:pPr>
              <w:keepNext w:val="0"/>
              <w:keepLines w:val="0"/>
              <w:pageBreakBefore w:val="0"/>
              <w:numPr>
                <w:ilvl w:val="0"/>
                <w:numId w:val="7"/>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喷胶有害物质限量应满足GB18583-2008标准要求，游离甲醛≤0.05g/kg，苯含量＜1.0g/kg，甲苯+二甲苯＜10g/kg。</w:t>
            </w:r>
            <w:r>
              <w:rPr>
                <w:rFonts w:hint="eastAsia" w:ascii="宋体" w:hAnsi="宋体" w:eastAsia="宋体" w:cs="宋体"/>
                <w:b/>
                <w:bCs/>
                <w:color w:val="auto"/>
                <w:kern w:val="0"/>
                <w:sz w:val="21"/>
                <w:szCs w:val="21"/>
                <w:highlight w:val="none"/>
                <w:lang w:eastAsia="zh-CN"/>
              </w:rPr>
              <w:t>（提供具有CMA资质的第三方检测机构提供的检测报告）</w:t>
            </w:r>
          </w:p>
          <w:p w14:paraId="17D98AAE">
            <w:pPr>
              <w:keepNext w:val="0"/>
              <w:keepLines w:val="0"/>
              <w:pageBreakBefore w:val="0"/>
              <w:numPr>
                <w:ilvl w:val="0"/>
                <w:numId w:val="7"/>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所有的钢材都使用优质钢材。座支架及扶手支架等采用冷轧板或型材冲压成型，表面做防锈处理,再采用电泳18微米涂装,做防腐蚀底漆保护,然后采用环氧树脂30微米喷涂，无锈迹、剥落、起皱、变色和失光等现象；冲击力3.92J,无剥落、裂纹、皱纹现象；漆膜附着力1级,</w:t>
            </w:r>
            <w:r>
              <w:rPr>
                <w:rFonts w:hint="eastAsia" w:ascii="宋体" w:hAnsi="宋体" w:eastAsia="宋体" w:cs="宋体"/>
                <w:color w:val="auto"/>
                <w:kern w:val="0"/>
                <w:sz w:val="21"/>
                <w:szCs w:val="21"/>
                <w:highlight w:val="none"/>
                <w:lang w:val="en-US" w:eastAsia="zh-CN"/>
              </w:rPr>
              <w:t>并</w:t>
            </w:r>
            <w:r>
              <w:rPr>
                <w:rFonts w:hint="eastAsia" w:ascii="宋体" w:hAnsi="宋体" w:eastAsia="宋体" w:cs="宋体"/>
                <w:color w:val="auto"/>
                <w:kern w:val="0"/>
                <w:sz w:val="21"/>
                <w:szCs w:val="21"/>
                <w:highlight w:val="none"/>
              </w:rPr>
              <w:t>取得符合QB/T2602-2013行业标准的合格测试报告。</w:t>
            </w:r>
            <w:r>
              <w:rPr>
                <w:rFonts w:hint="eastAsia" w:ascii="宋体" w:hAnsi="宋体" w:eastAsia="宋体" w:cs="宋体"/>
                <w:b/>
                <w:bCs/>
                <w:color w:val="auto"/>
                <w:kern w:val="0"/>
                <w:sz w:val="21"/>
                <w:szCs w:val="21"/>
                <w:highlight w:val="none"/>
                <w:lang w:eastAsia="zh-CN"/>
              </w:rPr>
              <w:t>（提供具有CMA资质的第三方检测机构提供的检测报告）</w:t>
            </w:r>
          </w:p>
          <w:p w14:paraId="28B2C966">
            <w:pPr>
              <w:keepNext w:val="0"/>
              <w:keepLines w:val="0"/>
              <w:pageBreakBefore w:val="0"/>
              <w:numPr>
                <w:ilvl w:val="0"/>
                <w:numId w:val="7"/>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Cs w:val="21"/>
                <w:highlight w:val="none"/>
              </w:rPr>
              <w:t>座椅扶手为红榉实木曲线造型，座底板采用12mm厚红榉饰面层夹板、外背板采用18mm厚红榉饰面层夹板，写字板采用15mm厚红榉饰面层夹板。</w:t>
            </w:r>
          </w:p>
          <w:p w14:paraId="77D0BAEB">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Cs w:val="21"/>
                <w:highlight w:val="none"/>
              </w:rPr>
              <w:t>木制作含水率不超过12%，不变形、不开裂。外露木制件表面喷环保聚酯漆，其有害物质含量均达到绿色环保标准。木材甲醛释放量≤0.05mg/m³，环保性能达E1级及以上。</w:t>
            </w:r>
            <w:r>
              <w:rPr>
                <w:rFonts w:hint="eastAsia" w:ascii="宋体" w:hAnsi="宋体" w:eastAsia="宋体" w:cs="宋体"/>
                <w:b/>
                <w:bCs/>
                <w:color w:val="auto"/>
                <w:kern w:val="0"/>
                <w:sz w:val="21"/>
                <w:szCs w:val="21"/>
                <w:highlight w:val="none"/>
                <w:lang w:eastAsia="zh-CN"/>
              </w:rPr>
              <w:t>（提供具有CMA资质的第三方检测机构提供的检测报告）</w:t>
            </w:r>
          </w:p>
          <w:p w14:paraId="57EB81E3">
            <w:pPr>
              <w:keepNext w:val="0"/>
              <w:keepLines w:val="0"/>
              <w:pageBreakBefore w:val="0"/>
              <w:numPr>
                <w:ilvl w:val="0"/>
                <w:numId w:val="7"/>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1"/>
                <w:szCs w:val="21"/>
                <w:highlight w:val="none"/>
              </w:rPr>
              <w:t>座垫回复系统加有阻尼装置，阻尼装置完全隐藏不外露，回复时间为1—1.5秒（回复速度可调），回复过程无冲击、无噪声。座翻保证静音要求。</w:t>
            </w:r>
          </w:p>
          <w:p w14:paraId="610B8077">
            <w:pPr>
              <w:keepNext w:val="0"/>
              <w:keepLines w:val="0"/>
              <w:pageBreakBefore w:val="0"/>
              <w:numPr>
                <w:ilvl w:val="0"/>
                <w:numId w:val="7"/>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座椅设计中的声学要求</w:t>
            </w:r>
            <w:r>
              <w:rPr>
                <w:rFonts w:hint="eastAsia" w:ascii="宋体" w:hAnsi="宋体" w:eastAsia="宋体" w:cs="宋体"/>
                <w:b/>
                <w:bCs/>
                <w:color w:val="auto"/>
                <w:kern w:val="0"/>
                <w:sz w:val="21"/>
                <w:szCs w:val="21"/>
                <w:highlight w:val="none"/>
                <w:lang w:eastAsia="zh-CN"/>
              </w:rPr>
              <w:t>（提供具有CMA资质的第三方检测机构提供的检测报告）</w:t>
            </w:r>
            <w:r>
              <w:rPr>
                <w:rFonts w:hint="eastAsia" w:ascii="宋体" w:hAnsi="宋体" w:eastAsia="宋体" w:cs="宋体"/>
                <w:color w:val="auto"/>
                <w:kern w:val="0"/>
                <w:sz w:val="21"/>
                <w:szCs w:val="21"/>
                <w:highlight w:val="none"/>
                <w:lang w:eastAsia="zh-CN"/>
              </w:rPr>
              <w:t>：</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5"/>
              <w:gridCol w:w="1173"/>
              <w:gridCol w:w="1289"/>
              <w:gridCol w:w="1289"/>
              <w:gridCol w:w="1173"/>
              <w:gridCol w:w="1171"/>
              <w:gridCol w:w="1174"/>
            </w:tblGrid>
            <w:tr w14:paraId="5349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31" w:type="pct"/>
                  <w:vAlign w:val="center"/>
                </w:tcPr>
                <w:p w14:paraId="0B0743DB">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频率（Hz）</w:t>
                  </w:r>
                </w:p>
              </w:tc>
              <w:tc>
                <w:tcPr>
                  <w:tcW w:w="656" w:type="pct"/>
                  <w:vAlign w:val="center"/>
                </w:tcPr>
                <w:p w14:paraId="698AC5C4">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125</w:t>
                  </w:r>
                </w:p>
              </w:tc>
              <w:tc>
                <w:tcPr>
                  <w:tcW w:w="721" w:type="pct"/>
                  <w:vAlign w:val="center"/>
                </w:tcPr>
                <w:p w14:paraId="1725A19B">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250</w:t>
                  </w:r>
                </w:p>
              </w:tc>
              <w:tc>
                <w:tcPr>
                  <w:tcW w:w="721" w:type="pct"/>
                  <w:vAlign w:val="center"/>
                </w:tcPr>
                <w:p w14:paraId="47B673A0">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500</w:t>
                  </w:r>
                </w:p>
              </w:tc>
              <w:tc>
                <w:tcPr>
                  <w:tcW w:w="656" w:type="pct"/>
                  <w:vAlign w:val="center"/>
                </w:tcPr>
                <w:p w14:paraId="6DF3F766">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1000</w:t>
                  </w:r>
                </w:p>
              </w:tc>
              <w:tc>
                <w:tcPr>
                  <w:tcW w:w="655" w:type="pct"/>
                  <w:vAlign w:val="center"/>
                </w:tcPr>
                <w:p w14:paraId="559BCBAC">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2000</w:t>
                  </w:r>
                </w:p>
              </w:tc>
              <w:tc>
                <w:tcPr>
                  <w:tcW w:w="656" w:type="pct"/>
                  <w:vAlign w:val="center"/>
                </w:tcPr>
                <w:p w14:paraId="57C6F0AA">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4000</w:t>
                  </w:r>
                </w:p>
              </w:tc>
            </w:tr>
            <w:tr w14:paraId="1513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31" w:type="pct"/>
                  <w:vAlign w:val="center"/>
                </w:tcPr>
                <w:p w14:paraId="12B2813D">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吸声系数（空场）</w:t>
                  </w:r>
                </w:p>
              </w:tc>
              <w:tc>
                <w:tcPr>
                  <w:tcW w:w="656" w:type="pct"/>
                  <w:vAlign w:val="center"/>
                </w:tcPr>
                <w:p w14:paraId="0802E964">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0.40-0.50</w:t>
                  </w:r>
                </w:p>
              </w:tc>
              <w:tc>
                <w:tcPr>
                  <w:tcW w:w="721" w:type="pct"/>
                  <w:vAlign w:val="center"/>
                </w:tcPr>
                <w:p w14:paraId="370BC834">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0.55-0.65</w:t>
                  </w:r>
                </w:p>
              </w:tc>
              <w:tc>
                <w:tcPr>
                  <w:tcW w:w="721" w:type="pct"/>
                  <w:vAlign w:val="center"/>
                </w:tcPr>
                <w:p w14:paraId="1C3D6225">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0.70-0.80</w:t>
                  </w:r>
                </w:p>
              </w:tc>
              <w:tc>
                <w:tcPr>
                  <w:tcW w:w="656" w:type="pct"/>
                  <w:vAlign w:val="center"/>
                </w:tcPr>
                <w:p w14:paraId="7217E4DE">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0.70-0.80</w:t>
                  </w:r>
                </w:p>
              </w:tc>
              <w:tc>
                <w:tcPr>
                  <w:tcW w:w="655" w:type="pct"/>
                  <w:vAlign w:val="center"/>
                </w:tcPr>
                <w:p w14:paraId="697EEC1A">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0.70-0.80</w:t>
                  </w:r>
                </w:p>
              </w:tc>
              <w:tc>
                <w:tcPr>
                  <w:tcW w:w="656" w:type="pct"/>
                  <w:vAlign w:val="center"/>
                </w:tcPr>
                <w:p w14:paraId="15EB6A3D">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0.70-0.80</w:t>
                  </w:r>
                </w:p>
              </w:tc>
            </w:tr>
            <w:tr w14:paraId="090E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31" w:type="pct"/>
                  <w:vAlign w:val="center"/>
                </w:tcPr>
                <w:p w14:paraId="3130808C">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吸声系数（满场）</w:t>
                  </w:r>
                </w:p>
              </w:tc>
              <w:tc>
                <w:tcPr>
                  <w:tcW w:w="656" w:type="pct"/>
                  <w:vAlign w:val="center"/>
                </w:tcPr>
                <w:p w14:paraId="426C093C">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0.45-0.55</w:t>
                  </w:r>
                </w:p>
              </w:tc>
              <w:tc>
                <w:tcPr>
                  <w:tcW w:w="721" w:type="pct"/>
                  <w:vAlign w:val="center"/>
                </w:tcPr>
                <w:p w14:paraId="6F111763">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0.65-0.75</w:t>
                  </w:r>
                </w:p>
              </w:tc>
              <w:tc>
                <w:tcPr>
                  <w:tcW w:w="721" w:type="pct"/>
                  <w:vAlign w:val="center"/>
                </w:tcPr>
                <w:p w14:paraId="693697A4">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0.80-1.0</w:t>
                  </w:r>
                </w:p>
              </w:tc>
              <w:tc>
                <w:tcPr>
                  <w:tcW w:w="656" w:type="pct"/>
                  <w:vAlign w:val="center"/>
                </w:tcPr>
                <w:p w14:paraId="28CEF530">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0.80-1.0</w:t>
                  </w:r>
                </w:p>
              </w:tc>
              <w:tc>
                <w:tcPr>
                  <w:tcW w:w="655" w:type="pct"/>
                  <w:vAlign w:val="center"/>
                </w:tcPr>
                <w:p w14:paraId="0AEAA2C5">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0.80-1.0</w:t>
                  </w:r>
                </w:p>
              </w:tc>
              <w:tc>
                <w:tcPr>
                  <w:tcW w:w="656" w:type="pct"/>
                  <w:vAlign w:val="center"/>
                </w:tcPr>
                <w:p w14:paraId="0C012A72">
                  <w:pPr>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0.80-1.0</w:t>
                  </w:r>
                </w:p>
              </w:tc>
            </w:tr>
          </w:tbl>
          <w:p w14:paraId="1781579A">
            <w:pPr>
              <w:keepNext w:val="0"/>
              <w:keepLines w:val="0"/>
              <w:pageBreakBefore w:val="0"/>
              <w:numPr>
                <w:ilvl w:val="0"/>
                <w:numId w:val="7"/>
              </w:numPr>
              <w:kinsoku/>
              <w:wordWrap/>
              <w:overflowPunct/>
              <w:topLinePunct w:val="0"/>
              <w:autoSpaceDE/>
              <w:autoSpaceDN/>
              <w:bidi w:val="0"/>
              <w:adjustRightInd w:val="0"/>
              <w:snapToGrid w:val="0"/>
              <w:spacing w:line="360" w:lineRule="auto"/>
              <w:ind w:left="0" w:leftChars="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座位号采用金银线绣字，每排带排号。</w:t>
            </w:r>
          </w:p>
        </w:tc>
      </w:tr>
      <w:tr w14:paraId="22018039">
        <w:tblPrEx>
          <w:tblCellMar>
            <w:top w:w="0" w:type="dxa"/>
            <w:left w:w="108" w:type="dxa"/>
            <w:bottom w:w="0" w:type="dxa"/>
            <w:right w:w="108" w:type="dxa"/>
          </w:tblCellMar>
        </w:tblPrEx>
        <w:trPr>
          <w:trHeight w:val="57" w:hRule="atLeast"/>
          <w:jc w:val="center"/>
        </w:trPr>
        <w:tc>
          <w:tcPr>
            <w:tcW w:w="220"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5F1F22FD">
            <w:pPr>
              <w:keepNext w:val="0"/>
              <w:keepLines w:val="0"/>
              <w:pageBreakBefore w:val="0"/>
              <w:widowControl/>
              <w:kinsoku/>
              <w:wordWrap/>
              <w:overflowPunct/>
              <w:topLinePunct w:val="0"/>
              <w:autoSpaceDE/>
              <w:autoSpaceDN/>
              <w:bidi w:val="0"/>
              <w:adjustRightInd w:val="0"/>
              <w:snapToGrid w:val="0"/>
              <w:spacing w:line="360" w:lineRule="auto"/>
              <w:ind w:left="0" w:firstLine="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2</w:t>
            </w:r>
          </w:p>
        </w:tc>
        <w:tc>
          <w:tcPr>
            <w:tcW w:w="366" w:type="pct"/>
            <w:tcBorders>
              <w:top w:val="single" w:color="auto" w:sz="4" w:space="0"/>
              <w:left w:val="nil"/>
              <w:bottom w:val="single" w:color="auto" w:sz="4" w:space="0"/>
              <w:right w:val="single" w:color="auto" w:sz="4" w:space="0"/>
            </w:tcBorders>
            <w:shd w:val="clear" w:color="000000" w:fill="FFFFFF"/>
            <w:vAlign w:val="center"/>
          </w:tcPr>
          <w:p w14:paraId="763E6656">
            <w:pPr>
              <w:keepNext w:val="0"/>
              <w:keepLines w:val="0"/>
              <w:pageBreakBefore w:val="0"/>
              <w:widowControl/>
              <w:kinsoku/>
              <w:wordWrap/>
              <w:overflowPunct/>
              <w:topLinePunct w:val="0"/>
              <w:autoSpaceDE/>
              <w:autoSpaceDN/>
              <w:bidi w:val="0"/>
              <w:adjustRightInd w:val="0"/>
              <w:snapToGrid w:val="0"/>
              <w:spacing w:line="360" w:lineRule="auto"/>
              <w:ind w:left="0" w:firstLine="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前排会议桌</w:t>
            </w:r>
          </w:p>
        </w:tc>
        <w:tc>
          <w:tcPr>
            <w:tcW w:w="221" w:type="pct"/>
            <w:tcBorders>
              <w:top w:val="single" w:color="auto" w:sz="4" w:space="0"/>
              <w:left w:val="nil"/>
              <w:bottom w:val="single" w:color="auto" w:sz="4" w:space="0"/>
              <w:right w:val="single" w:color="auto" w:sz="4" w:space="0"/>
            </w:tcBorders>
            <w:shd w:val="clear" w:color="000000" w:fill="FFFFFF"/>
            <w:vAlign w:val="center"/>
          </w:tcPr>
          <w:p w14:paraId="1551126F">
            <w:pPr>
              <w:keepNext w:val="0"/>
              <w:keepLines w:val="0"/>
              <w:pageBreakBefore w:val="0"/>
              <w:widowControl/>
              <w:kinsoku/>
              <w:wordWrap/>
              <w:overflowPunct/>
              <w:topLinePunct w:val="0"/>
              <w:autoSpaceDE/>
              <w:autoSpaceDN/>
              <w:bidi w:val="0"/>
              <w:adjustRightInd w:val="0"/>
              <w:snapToGrid w:val="0"/>
              <w:spacing w:line="360" w:lineRule="auto"/>
              <w:ind w:left="0" w:firstLine="0"/>
              <w:jc w:val="center"/>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28位</w:t>
            </w:r>
          </w:p>
        </w:tc>
        <w:tc>
          <w:tcPr>
            <w:tcW w:w="1028" w:type="pct"/>
            <w:tcBorders>
              <w:top w:val="single" w:color="auto" w:sz="4" w:space="0"/>
              <w:left w:val="nil"/>
              <w:bottom w:val="single" w:color="auto" w:sz="4" w:space="0"/>
              <w:right w:val="single" w:color="auto" w:sz="4" w:space="0"/>
            </w:tcBorders>
            <w:shd w:val="clear" w:color="auto" w:fill="auto"/>
            <w:noWrap/>
            <w:vAlign w:val="center"/>
          </w:tcPr>
          <w:p w14:paraId="797BBDB9">
            <w:pPr>
              <w:keepNext w:val="0"/>
              <w:keepLines w:val="0"/>
              <w:pageBreakBefore w:val="0"/>
              <w:widowControl/>
              <w:kinsoku/>
              <w:wordWrap/>
              <w:overflowPunct/>
              <w:topLinePunct w:val="0"/>
              <w:autoSpaceDE/>
              <w:autoSpaceDN/>
              <w:bidi w:val="0"/>
              <w:adjustRightInd w:val="0"/>
              <w:snapToGrid w:val="0"/>
              <w:spacing w:line="360" w:lineRule="auto"/>
              <w:ind w:left="0" w:firstLine="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drawing>
                <wp:inline distT="0" distB="0" distL="0" distR="0">
                  <wp:extent cx="1541145" cy="963930"/>
                  <wp:effectExtent l="0" t="0" r="13335" b="11430"/>
                  <wp:docPr id="5"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59778" cy="975423"/>
                          </a:xfrm>
                          <a:prstGeom prst="rect">
                            <a:avLst/>
                          </a:prstGeom>
                          <a:noFill/>
                        </pic:spPr>
                      </pic:pic>
                    </a:graphicData>
                  </a:graphic>
                </wp:inline>
              </w:drawing>
            </w:r>
          </w:p>
        </w:tc>
        <w:tc>
          <w:tcPr>
            <w:tcW w:w="3164" w:type="pct"/>
            <w:tcBorders>
              <w:top w:val="single" w:color="auto" w:sz="4" w:space="0"/>
              <w:left w:val="nil"/>
              <w:bottom w:val="single" w:color="auto" w:sz="4" w:space="0"/>
              <w:right w:val="single" w:color="auto" w:sz="4" w:space="0"/>
            </w:tcBorders>
            <w:shd w:val="clear" w:color="auto" w:fill="auto"/>
          </w:tcPr>
          <w:p w14:paraId="399D1F14">
            <w:pPr>
              <w:pStyle w:val="258"/>
              <w:keepNext w:val="0"/>
              <w:keepLines w:val="0"/>
              <w:pageBreakBefore w:val="0"/>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(1) 观众席会议桌桌面宽度400mm±10mm，桌高760mm±10mm，长度根据座椅中心距布置（580mm±10mm）； </w:t>
            </w:r>
          </w:p>
          <w:p w14:paraId="53D77036">
            <w:pPr>
              <w:pStyle w:val="258"/>
              <w:keepNext w:val="0"/>
              <w:keepLines w:val="0"/>
              <w:pageBreakBefore w:val="0"/>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该会议桌形状为条形，桌子前沿带实木装饰条，桌面下部加木搁板作为放置文件之用。木质经防火、防腐处理。</w:t>
            </w:r>
          </w:p>
          <w:p w14:paraId="44692275">
            <w:pPr>
              <w:pStyle w:val="258"/>
              <w:keepNext w:val="0"/>
              <w:keepLines w:val="0"/>
              <w:pageBreakBefore w:val="0"/>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(3)会议桌按弱电要求预留话筒、网络线槽、电源及举行各种会议的电子接口的位置。</w:t>
            </w:r>
          </w:p>
          <w:p w14:paraId="50CFEDBE">
            <w:pPr>
              <w:pStyle w:val="258"/>
              <w:keepNext w:val="0"/>
              <w:keepLines w:val="0"/>
              <w:pageBreakBefore w:val="0"/>
              <w:kinsoku/>
              <w:wordWrap/>
              <w:overflowPunct/>
              <w:topLinePunct w:val="0"/>
              <w:autoSpaceDE/>
              <w:autoSpaceDN/>
              <w:bidi w:val="0"/>
              <w:adjustRightInd w:val="0"/>
              <w:snapToGrid w:val="0"/>
              <w:spacing w:line="360" w:lineRule="auto"/>
              <w:ind w:left="0" w:firstLine="0"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 材料：所有材料都符合环保要求，实木部分为红榉木。基材采用优质纤维板（均符合环保要求，达到国家检测标准）。贴面用材采用0.6㎜红榉木薄皮。油漆哑光环保漆，平滑细腻、耐磨耐用。粘合胶为环保型水性白乳胶。木材含水率≤12%</w:t>
            </w:r>
          </w:p>
        </w:tc>
      </w:tr>
    </w:tbl>
    <w:p w14:paraId="6E8877B2">
      <w:pPr>
        <w:rPr>
          <w:rFonts w:hint="eastAsia" w:ascii="宋体" w:hAnsi="宋体" w:eastAsia="宋体" w:cs="宋体"/>
          <w:color w:val="auto"/>
          <w:highlight w:val="none"/>
        </w:rPr>
      </w:pPr>
    </w:p>
    <w:p w14:paraId="2B61D69F">
      <w:p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14:paraId="2CA70E69">
      <w:pP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图样：</w:t>
      </w:r>
    </w:p>
    <w:p w14:paraId="2EE5D9B8">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0" distR="0">
            <wp:extent cx="8666480" cy="4873625"/>
            <wp:effectExtent l="0" t="0" r="5080" b="3175"/>
            <wp:docPr id="7" name="图片 7" descr="C:\Users\hlm\Documents\WeChat Files\hangIm55\FileStorage\Temp\ab8aafc45d561951cbfa032d6b1a6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lm\Documents\WeChat Files\hangIm55\FileStorage\Temp\ab8aafc45d561951cbfa032d6b1a64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8666480" cy="4873625"/>
                    </a:xfrm>
                    <a:prstGeom prst="rect">
                      <a:avLst/>
                    </a:prstGeom>
                    <a:noFill/>
                    <a:ln>
                      <a:noFill/>
                    </a:ln>
                  </pic:spPr>
                </pic:pic>
              </a:graphicData>
            </a:graphic>
          </wp:inline>
        </w:drawing>
      </w:r>
    </w:p>
    <w:p w14:paraId="0202978B">
      <w:pPr>
        <w:rPr>
          <w:rFonts w:hint="eastAsia" w:ascii="宋体" w:hAnsi="宋体" w:eastAsia="宋体" w:cs="宋体"/>
          <w:color w:val="auto"/>
          <w:highlight w:val="none"/>
        </w:rPr>
      </w:pPr>
    </w:p>
    <w:p w14:paraId="084AD821">
      <w:pPr>
        <w:rPr>
          <w:rFonts w:hint="eastAsia" w:ascii="宋体" w:hAnsi="宋体" w:eastAsia="宋体" w:cs="宋体"/>
          <w:snapToGrid w:val="0"/>
          <w:color w:val="auto"/>
          <w:kern w:val="0"/>
          <w:sz w:val="24"/>
          <w:highlight w:val="none"/>
        </w:rPr>
      </w:pPr>
      <w:r>
        <w:rPr>
          <w:rFonts w:hint="eastAsia" w:ascii="宋体" w:hAnsi="宋体" w:eastAsia="宋体" w:cs="宋体"/>
          <w:color w:val="auto"/>
          <w:highlight w:val="none"/>
        </w:rPr>
        <w:drawing>
          <wp:inline distT="0" distB="0" distL="0" distR="0">
            <wp:extent cx="8778875" cy="4936490"/>
            <wp:effectExtent l="0" t="0" r="14605" b="1270"/>
            <wp:docPr id="11" name="图片 11" descr="C:\Users\hlm\Documents\WeChat Files\hangIm55\FileStorage\Temp\5d827ab95db2a56eb82bb11b5a8c9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hlm\Documents\WeChat Files\hangIm55\FileStorage\Temp\5d827ab95db2a56eb82bb11b5a8c98c.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8778875" cy="4936490"/>
                    </a:xfrm>
                    <a:prstGeom prst="rect">
                      <a:avLst/>
                    </a:prstGeom>
                    <a:noFill/>
                    <a:ln>
                      <a:noFill/>
                    </a:ln>
                  </pic:spPr>
                </pic:pic>
              </a:graphicData>
            </a:graphic>
          </wp:inline>
        </w:drawing>
      </w:r>
    </w:p>
    <w:p w14:paraId="32E3833D">
      <w:pPr>
        <w:spacing w:line="360" w:lineRule="auto"/>
        <w:jc w:val="center"/>
        <w:outlineLvl w:val="0"/>
        <w:rPr>
          <w:rFonts w:hint="eastAsia" w:ascii="宋体" w:hAnsi="宋体" w:eastAsia="宋体" w:cs="宋体"/>
          <w:b/>
          <w:color w:val="auto"/>
          <w:sz w:val="24"/>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
          <w:color w:val="auto"/>
          <w:sz w:val="24"/>
          <w:highlight w:val="none"/>
        </w:rPr>
        <w:br w:type="page"/>
      </w:r>
    </w:p>
    <w:p w14:paraId="4C7B47D6">
      <w:pPr>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 xml:space="preserve">第四部分   </w:t>
      </w:r>
      <w:bookmarkStart w:id="32" w:name="_Toc184313291"/>
      <w:bookmarkEnd w:id="32"/>
      <w:bookmarkStart w:id="33" w:name="_Toc184308068"/>
      <w:bookmarkEnd w:id="33"/>
      <w:bookmarkStart w:id="34" w:name="_Toc184313249"/>
      <w:bookmarkEnd w:id="34"/>
      <w:bookmarkStart w:id="35" w:name="_Toc184310335"/>
      <w:bookmarkEnd w:id="35"/>
      <w:bookmarkStart w:id="36" w:name="_Toc184310342"/>
      <w:bookmarkEnd w:id="36"/>
      <w:bookmarkStart w:id="37" w:name="_Toc184313304"/>
      <w:bookmarkEnd w:id="37"/>
      <w:bookmarkStart w:id="38" w:name="_Toc184308086"/>
      <w:bookmarkEnd w:id="38"/>
      <w:bookmarkStart w:id="39" w:name="_Toc184310328"/>
      <w:bookmarkEnd w:id="39"/>
      <w:bookmarkStart w:id="40" w:name="_Toc184310301"/>
      <w:bookmarkEnd w:id="40"/>
      <w:bookmarkStart w:id="41" w:name="_Toc184308070"/>
      <w:bookmarkEnd w:id="41"/>
      <w:bookmarkStart w:id="42" w:name="_Toc184313270"/>
      <w:bookmarkEnd w:id="42"/>
      <w:bookmarkStart w:id="43" w:name="_Toc184314432"/>
      <w:bookmarkEnd w:id="43"/>
      <w:bookmarkStart w:id="44" w:name="_Toc184308103"/>
      <w:bookmarkEnd w:id="44"/>
      <w:bookmarkStart w:id="45" w:name="_Toc184314449"/>
      <w:bookmarkEnd w:id="45"/>
      <w:bookmarkStart w:id="46" w:name="_Toc184308050"/>
      <w:bookmarkEnd w:id="46"/>
      <w:bookmarkStart w:id="47" w:name="_Toc184312083"/>
      <w:bookmarkEnd w:id="47"/>
      <w:bookmarkStart w:id="48" w:name="_Toc184308037"/>
      <w:bookmarkEnd w:id="48"/>
      <w:bookmarkStart w:id="49" w:name="_Toc184310327"/>
      <w:bookmarkEnd w:id="49"/>
      <w:bookmarkStart w:id="50" w:name="_Toc184308043"/>
      <w:bookmarkEnd w:id="50"/>
      <w:bookmarkStart w:id="51" w:name="_Toc184312108"/>
      <w:bookmarkEnd w:id="51"/>
      <w:bookmarkStart w:id="52" w:name="_Toc184313263"/>
      <w:bookmarkEnd w:id="52"/>
      <w:bookmarkStart w:id="53" w:name="_Toc184314473"/>
      <w:bookmarkEnd w:id="53"/>
      <w:bookmarkStart w:id="54" w:name="_Toc184314461"/>
      <w:bookmarkEnd w:id="54"/>
      <w:bookmarkStart w:id="55" w:name="_Toc184312086"/>
      <w:bookmarkEnd w:id="55"/>
      <w:bookmarkStart w:id="56" w:name="_Toc184310298"/>
      <w:bookmarkEnd w:id="56"/>
      <w:bookmarkStart w:id="57" w:name="_Toc184310283"/>
      <w:bookmarkEnd w:id="57"/>
      <w:bookmarkStart w:id="58" w:name="_Toc184314453"/>
      <w:bookmarkEnd w:id="58"/>
      <w:bookmarkStart w:id="59" w:name="_Toc184313244"/>
      <w:bookmarkEnd w:id="59"/>
      <w:bookmarkStart w:id="60" w:name="_Toc184314416"/>
      <w:bookmarkEnd w:id="60"/>
      <w:bookmarkStart w:id="61" w:name="_Toc184310313"/>
      <w:bookmarkEnd w:id="61"/>
      <w:bookmarkStart w:id="62" w:name="_Toc184308097"/>
      <w:bookmarkEnd w:id="62"/>
      <w:bookmarkStart w:id="63" w:name="_Toc184310306"/>
      <w:bookmarkEnd w:id="63"/>
      <w:bookmarkStart w:id="64" w:name="_Toc184308055"/>
      <w:bookmarkEnd w:id="64"/>
      <w:bookmarkStart w:id="65" w:name="_Toc184314422"/>
      <w:bookmarkEnd w:id="65"/>
      <w:bookmarkStart w:id="66" w:name="_Toc184310279"/>
      <w:bookmarkEnd w:id="66"/>
      <w:bookmarkStart w:id="67" w:name="_Toc184310323"/>
      <w:bookmarkEnd w:id="67"/>
      <w:bookmarkStart w:id="68" w:name="_Toc184310325"/>
      <w:bookmarkEnd w:id="68"/>
      <w:bookmarkStart w:id="69" w:name="_Toc184313296"/>
      <w:bookmarkEnd w:id="69"/>
      <w:bookmarkStart w:id="70" w:name="_Toc184314465"/>
      <w:bookmarkEnd w:id="70"/>
      <w:bookmarkStart w:id="71" w:name="_Toc184310273"/>
      <w:bookmarkEnd w:id="71"/>
      <w:bookmarkStart w:id="72" w:name="_Toc184313245"/>
      <w:bookmarkEnd w:id="72"/>
      <w:bookmarkStart w:id="73" w:name="_Toc184308036"/>
      <w:bookmarkEnd w:id="73"/>
      <w:bookmarkStart w:id="74" w:name="_Toc184313286"/>
      <w:bookmarkEnd w:id="74"/>
      <w:bookmarkStart w:id="75" w:name="_Toc184310336"/>
      <w:bookmarkEnd w:id="75"/>
      <w:bookmarkStart w:id="76" w:name="_Toc184310341"/>
      <w:bookmarkEnd w:id="76"/>
      <w:bookmarkStart w:id="77" w:name="_Toc184314441"/>
      <w:bookmarkEnd w:id="77"/>
      <w:bookmarkStart w:id="78" w:name="_Toc184310332"/>
      <w:bookmarkEnd w:id="78"/>
      <w:bookmarkStart w:id="79" w:name="_Toc184308049"/>
      <w:bookmarkEnd w:id="79"/>
      <w:bookmarkStart w:id="80" w:name="_Toc184314417"/>
      <w:bookmarkEnd w:id="80"/>
      <w:bookmarkStart w:id="81" w:name="_Toc184312120"/>
      <w:bookmarkEnd w:id="81"/>
      <w:bookmarkStart w:id="82" w:name="_Toc184308096"/>
      <w:bookmarkEnd w:id="82"/>
      <w:bookmarkStart w:id="83" w:name="_Toc184312112"/>
      <w:bookmarkEnd w:id="83"/>
      <w:bookmarkStart w:id="84" w:name="_Toc184308074"/>
      <w:bookmarkEnd w:id="84"/>
      <w:bookmarkStart w:id="85" w:name="_Toc184312103"/>
      <w:bookmarkEnd w:id="85"/>
      <w:bookmarkStart w:id="86" w:name="_Toc184314455"/>
      <w:bookmarkEnd w:id="86"/>
      <w:bookmarkStart w:id="87" w:name="_Toc184313306"/>
      <w:bookmarkEnd w:id="87"/>
      <w:bookmarkStart w:id="88" w:name="_Toc184313258"/>
      <w:bookmarkEnd w:id="88"/>
      <w:bookmarkStart w:id="89" w:name="_Toc184308073"/>
      <w:bookmarkEnd w:id="89"/>
      <w:bookmarkStart w:id="90" w:name="_Toc184314446"/>
      <w:bookmarkEnd w:id="90"/>
      <w:bookmarkStart w:id="91" w:name="_Toc184314430"/>
      <w:bookmarkEnd w:id="91"/>
      <w:bookmarkStart w:id="92" w:name="_Toc184310309"/>
      <w:bookmarkEnd w:id="92"/>
      <w:bookmarkStart w:id="93" w:name="_Toc184310299"/>
      <w:bookmarkEnd w:id="93"/>
      <w:bookmarkStart w:id="94" w:name="_Toc184313259"/>
      <w:bookmarkEnd w:id="94"/>
      <w:bookmarkStart w:id="95" w:name="_Toc184308054"/>
      <w:bookmarkEnd w:id="95"/>
      <w:bookmarkStart w:id="96" w:name="_Toc184308047"/>
      <w:bookmarkEnd w:id="96"/>
      <w:bookmarkStart w:id="97" w:name="_Toc184313283"/>
      <w:bookmarkEnd w:id="97"/>
      <w:bookmarkStart w:id="98" w:name="_Toc184312070"/>
      <w:bookmarkEnd w:id="98"/>
      <w:bookmarkStart w:id="99" w:name="_Toc184310289"/>
      <w:bookmarkEnd w:id="99"/>
      <w:bookmarkStart w:id="100" w:name="_Toc184313307"/>
      <w:bookmarkEnd w:id="100"/>
      <w:bookmarkStart w:id="101" w:name="_Toc184308042"/>
      <w:bookmarkEnd w:id="101"/>
      <w:bookmarkStart w:id="102" w:name="_Toc184313242"/>
      <w:bookmarkEnd w:id="102"/>
      <w:bookmarkStart w:id="103" w:name="_Toc184308089"/>
      <w:bookmarkEnd w:id="103"/>
      <w:bookmarkStart w:id="104" w:name="_Toc184312087"/>
      <w:bookmarkEnd w:id="104"/>
      <w:bookmarkStart w:id="105" w:name="_Toc184310311"/>
      <w:bookmarkEnd w:id="105"/>
      <w:bookmarkStart w:id="106" w:name="_Toc184313284"/>
      <w:bookmarkEnd w:id="106"/>
      <w:bookmarkStart w:id="107" w:name="_Toc184312071"/>
      <w:bookmarkEnd w:id="107"/>
      <w:bookmarkStart w:id="108" w:name="_Toc184312125"/>
      <w:bookmarkEnd w:id="108"/>
      <w:bookmarkStart w:id="109" w:name="_Toc184314462"/>
      <w:bookmarkEnd w:id="109"/>
      <w:bookmarkStart w:id="110" w:name="_Toc184313271"/>
      <w:bookmarkEnd w:id="110"/>
      <w:bookmarkStart w:id="111" w:name="_Toc184308071"/>
      <w:bookmarkEnd w:id="111"/>
      <w:bookmarkStart w:id="112" w:name="_Toc184310340"/>
      <w:bookmarkEnd w:id="112"/>
      <w:bookmarkStart w:id="113" w:name="_Toc184310304"/>
      <w:bookmarkEnd w:id="113"/>
      <w:bookmarkStart w:id="114" w:name="_Toc184312110"/>
      <w:bookmarkEnd w:id="114"/>
      <w:bookmarkStart w:id="115" w:name="_Toc184308099"/>
      <w:bookmarkEnd w:id="115"/>
      <w:bookmarkStart w:id="116" w:name="_Toc184314435"/>
      <w:bookmarkEnd w:id="116"/>
      <w:bookmarkStart w:id="117" w:name="_Toc184312126"/>
      <w:bookmarkEnd w:id="117"/>
      <w:bookmarkStart w:id="118" w:name="_Toc184314426"/>
      <w:bookmarkEnd w:id="118"/>
      <w:bookmarkStart w:id="119" w:name="_Toc184312100"/>
      <w:bookmarkEnd w:id="119"/>
      <w:bookmarkStart w:id="120" w:name="_Toc184310317"/>
      <w:bookmarkEnd w:id="120"/>
      <w:bookmarkStart w:id="121" w:name="_Toc184308104"/>
      <w:bookmarkEnd w:id="121"/>
      <w:bookmarkStart w:id="122" w:name="_Toc184313295"/>
      <w:bookmarkEnd w:id="122"/>
      <w:bookmarkStart w:id="123" w:name="_Toc184313290"/>
      <w:bookmarkEnd w:id="123"/>
      <w:bookmarkStart w:id="124" w:name="_Toc184308039"/>
      <w:bookmarkEnd w:id="124"/>
      <w:bookmarkStart w:id="125" w:name="_Toc184313309"/>
      <w:bookmarkEnd w:id="125"/>
      <w:bookmarkStart w:id="126" w:name="_Toc184308065"/>
      <w:bookmarkEnd w:id="126"/>
      <w:bookmarkStart w:id="127" w:name="_Toc184312128"/>
      <w:bookmarkEnd w:id="127"/>
      <w:bookmarkStart w:id="128" w:name="_Toc184310300"/>
      <w:bookmarkEnd w:id="128"/>
      <w:bookmarkStart w:id="129" w:name="_Toc184313278"/>
      <w:bookmarkEnd w:id="129"/>
      <w:bookmarkStart w:id="130" w:name="_Toc184313240"/>
      <w:bookmarkEnd w:id="130"/>
      <w:bookmarkStart w:id="131" w:name="_Toc184310286"/>
      <w:bookmarkEnd w:id="131"/>
      <w:bookmarkStart w:id="132" w:name="_Toc184312088"/>
      <w:bookmarkEnd w:id="132"/>
      <w:bookmarkStart w:id="133" w:name="_Toc184314450"/>
      <w:bookmarkEnd w:id="133"/>
      <w:bookmarkStart w:id="134" w:name="_Toc184314480"/>
      <w:bookmarkEnd w:id="134"/>
      <w:bookmarkStart w:id="135" w:name="_Toc184312106"/>
      <w:bookmarkEnd w:id="135"/>
      <w:bookmarkStart w:id="136" w:name="_Toc184312094"/>
      <w:bookmarkEnd w:id="136"/>
      <w:bookmarkStart w:id="137" w:name="_Toc184313303"/>
      <w:bookmarkEnd w:id="137"/>
      <w:bookmarkStart w:id="138" w:name="_Toc184308064"/>
      <w:bookmarkEnd w:id="138"/>
      <w:bookmarkStart w:id="139" w:name="_Toc184308059"/>
      <w:bookmarkEnd w:id="139"/>
      <w:bookmarkStart w:id="140" w:name="_Toc184310322"/>
      <w:bookmarkEnd w:id="140"/>
      <w:bookmarkStart w:id="141" w:name="_Toc184312068"/>
      <w:bookmarkEnd w:id="141"/>
      <w:bookmarkStart w:id="142" w:name="_Toc184310307"/>
      <w:bookmarkEnd w:id="142"/>
      <w:bookmarkStart w:id="143" w:name="_Toc184308102"/>
      <w:bookmarkEnd w:id="143"/>
      <w:bookmarkStart w:id="144" w:name="_Toc184308088"/>
      <w:bookmarkEnd w:id="144"/>
      <w:bookmarkStart w:id="145" w:name="_Toc184313297"/>
      <w:bookmarkEnd w:id="145"/>
      <w:bookmarkStart w:id="146" w:name="_Toc184313287"/>
      <w:bookmarkEnd w:id="146"/>
      <w:bookmarkStart w:id="147" w:name="_Toc184314459"/>
      <w:bookmarkEnd w:id="147"/>
      <w:bookmarkStart w:id="148" w:name="_Toc184314410"/>
      <w:bookmarkEnd w:id="148"/>
      <w:bookmarkStart w:id="149" w:name="_Toc184313248"/>
      <w:bookmarkEnd w:id="149"/>
      <w:bookmarkStart w:id="150" w:name="_Toc184312072"/>
      <w:bookmarkEnd w:id="150"/>
      <w:bookmarkStart w:id="151" w:name="_Toc184314477"/>
      <w:bookmarkEnd w:id="151"/>
      <w:bookmarkStart w:id="152" w:name="_Toc184314456"/>
      <w:bookmarkEnd w:id="152"/>
      <w:bookmarkStart w:id="153" w:name="_Toc184310287"/>
      <w:bookmarkEnd w:id="153"/>
      <w:bookmarkStart w:id="154" w:name="_Toc184312090"/>
      <w:bookmarkEnd w:id="154"/>
      <w:bookmarkStart w:id="155" w:name="_Toc184308085"/>
      <w:bookmarkEnd w:id="155"/>
      <w:bookmarkStart w:id="156" w:name="_Toc184308069"/>
      <w:bookmarkEnd w:id="156"/>
      <w:bookmarkStart w:id="157" w:name="_Toc184312109"/>
      <w:bookmarkEnd w:id="157"/>
      <w:bookmarkStart w:id="158" w:name="_Toc184314474"/>
      <w:bookmarkEnd w:id="158"/>
      <w:bookmarkStart w:id="159" w:name="_Toc184314423"/>
      <w:bookmarkEnd w:id="159"/>
      <w:bookmarkStart w:id="160" w:name="_Toc184314421"/>
      <w:bookmarkEnd w:id="160"/>
      <w:bookmarkStart w:id="161" w:name="_Toc184312113"/>
      <w:bookmarkEnd w:id="161"/>
      <w:bookmarkStart w:id="162" w:name="_Toc184310321"/>
      <w:bookmarkEnd w:id="162"/>
      <w:bookmarkStart w:id="163" w:name="_Toc184314420"/>
      <w:bookmarkEnd w:id="163"/>
      <w:bookmarkStart w:id="164" w:name="_Toc184314413"/>
      <w:bookmarkEnd w:id="164"/>
      <w:bookmarkStart w:id="165" w:name="_Toc184310291"/>
      <w:bookmarkEnd w:id="165"/>
      <w:bookmarkStart w:id="166" w:name="_Toc184312076"/>
      <w:bookmarkEnd w:id="166"/>
      <w:bookmarkStart w:id="167" w:name="_Toc184310312"/>
      <w:bookmarkEnd w:id="167"/>
      <w:bookmarkStart w:id="168" w:name="_Toc184313257"/>
      <w:bookmarkEnd w:id="168"/>
      <w:bookmarkStart w:id="169" w:name="_Toc184314463"/>
      <w:bookmarkEnd w:id="169"/>
      <w:bookmarkStart w:id="170" w:name="_Toc184312134"/>
      <w:bookmarkEnd w:id="170"/>
      <w:bookmarkStart w:id="171" w:name="_Toc184313298"/>
      <w:bookmarkEnd w:id="171"/>
      <w:bookmarkStart w:id="172" w:name="_Toc184314433"/>
      <w:bookmarkEnd w:id="172"/>
      <w:bookmarkStart w:id="173" w:name="_Toc184314425"/>
      <w:bookmarkEnd w:id="173"/>
      <w:bookmarkStart w:id="174" w:name="_Toc184313241"/>
      <w:bookmarkEnd w:id="174"/>
      <w:bookmarkStart w:id="175" w:name="_Toc184310308"/>
      <w:bookmarkEnd w:id="175"/>
      <w:bookmarkStart w:id="176" w:name="_Toc184310316"/>
      <w:bookmarkEnd w:id="176"/>
      <w:bookmarkStart w:id="177" w:name="_Toc184313268"/>
      <w:bookmarkEnd w:id="177"/>
      <w:bookmarkStart w:id="178" w:name="_Toc184313285"/>
      <w:bookmarkEnd w:id="178"/>
      <w:bookmarkStart w:id="179" w:name="_Toc184314482"/>
      <w:bookmarkEnd w:id="179"/>
      <w:bookmarkStart w:id="180" w:name="_Toc184314454"/>
      <w:bookmarkEnd w:id="180"/>
      <w:bookmarkStart w:id="181" w:name="_Toc184312069"/>
      <w:bookmarkEnd w:id="181"/>
      <w:bookmarkStart w:id="182" w:name="_Toc184310293"/>
      <w:bookmarkEnd w:id="182"/>
      <w:bookmarkStart w:id="183" w:name="_Toc184308095"/>
      <w:bookmarkEnd w:id="183"/>
      <w:bookmarkStart w:id="184" w:name="_Toc184314411"/>
      <w:bookmarkEnd w:id="184"/>
      <w:bookmarkStart w:id="185" w:name="_Toc184314479"/>
      <w:bookmarkEnd w:id="185"/>
      <w:bookmarkStart w:id="186" w:name="_Toc184310302"/>
      <w:bookmarkEnd w:id="186"/>
      <w:bookmarkStart w:id="187" w:name="_Toc184308075"/>
      <w:bookmarkEnd w:id="187"/>
      <w:bookmarkStart w:id="188" w:name="_Toc184314475"/>
      <w:bookmarkEnd w:id="188"/>
      <w:bookmarkStart w:id="189" w:name="_Toc184312107"/>
      <w:bookmarkEnd w:id="189"/>
      <w:bookmarkStart w:id="190" w:name="_Toc184310303"/>
      <w:bookmarkEnd w:id="190"/>
      <w:bookmarkStart w:id="191" w:name="_Toc184314476"/>
      <w:bookmarkEnd w:id="191"/>
      <w:bookmarkStart w:id="192" w:name="_Toc184310334"/>
      <w:bookmarkEnd w:id="192"/>
      <w:bookmarkStart w:id="193" w:name="_Toc184308090"/>
      <w:bookmarkEnd w:id="193"/>
      <w:bookmarkStart w:id="194" w:name="_Toc184308080"/>
      <w:bookmarkEnd w:id="194"/>
      <w:bookmarkStart w:id="195" w:name="_Toc184314452"/>
      <w:bookmarkEnd w:id="195"/>
      <w:bookmarkStart w:id="196" w:name="_Toc184308107"/>
      <w:bookmarkEnd w:id="196"/>
      <w:bookmarkStart w:id="197" w:name="_Toc184313262"/>
      <w:bookmarkEnd w:id="197"/>
      <w:bookmarkStart w:id="198" w:name="_Toc184312078"/>
      <w:bookmarkEnd w:id="198"/>
      <w:bookmarkStart w:id="199" w:name="_Toc184314468"/>
      <w:bookmarkEnd w:id="199"/>
      <w:bookmarkStart w:id="200" w:name="_Toc184308044"/>
      <w:bookmarkEnd w:id="200"/>
      <w:bookmarkStart w:id="201" w:name="_Toc184314419"/>
      <w:bookmarkEnd w:id="201"/>
      <w:bookmarkStart w:id="202" w:name="_Toc184312101"/>
      <w:bookmarkEnd w:id="202"/>
      <w:bookmarkStart w:id="203" w:name="_Toc184312121"/>
      <w:bookmarkEnd w:id="203"/>
      <w:bookmarkStart w:id="204" w:name="_Toc184314437"/>
      <w:bookmarkEnd w:id="204"/>
      <w:bookmarkStart w:id="205" w:name="_Toc184313260"/>
      <w:bookmarkEnd w:id="205"/>
      <w:bookmarkStart w:id="206" w:name="_Toc184312119"/>
      <w:bookmarkEnd w:id="206"/>
      <w:bookmarkStart w:id="207" w:name="_Toc184310326"/>
      <w:bookmarkEnd w:id="207"/>
      <w:bookmarkStart w:id="208" w:name="_Toc184314440"/>
      <w:bookmarkEnd w:id="208"/>
      <w:bookmarkStart w:id="209" w:name="_Toc184313280"/>
      <w:bookmarkEnd w:id="209"/>
      <w:bookmarkStart w:id="210" w:name="_Toc184310305"/>
      <w:bookmarkEnd w:id="210"/>
      <w:bookmarkStart w:id="211" w:name="_Toc184314469"/>
      <w:bookmarkEnd w:id="211"/>
      <w:bookmarkStart w:id="212" w:name="_Toc184310339"/>
      <w:bookmarkEnd w:id="212"/>
      <w:bookmarkStart w:id="213" w:name="_Toc184312114"/>
      <w:bookmarkEnd w:id="213"/>
      <w:bookmarkStart w:id="214" w:name="_Toc184310324"/>
      <w:bookmarkEnd w:id="214"/>
      <w:bookmarkStart w:id="215" w:name="_Toc184310329"/>
      <w:bookmarkEnd w:id="215"/>
      <w:bookmarkStart w:id="216" w:name="_Toc184313265"/>
      <w:bookmarkEnd w:id="216"/>
      <w:bookmarkStart w:id="217" w:name="_Toc184308061"/>
      <w:bookmarkEnd w:id="217"/>
      <w:bookmarkStart w:id="218" w:name="_Toc184312091"/>
      <w:bookmarkEnd w:id="218"/>
      <w:bookmarkStart w:id="219" w:name="_Toc184314439"/>
      <w:bookmarkEnd w:id="219"/>
      <w:bookmarkStart w:id="220" w:name="_Toc184308083"/>
      <w:bookmarkEnd w:id="220"/>
      <w:bookmarkStart w:id="221" w:name="_Toc184313243"/>
      <w:bookmarkEnd w:id="221"/>
      <w:bookmarkStart w:id="222" w:name="_Toc184308084"/>
      <w:bookmarkEnd w:id="222"/>
      <w:bookmarkStart w:id="223" w:name="_Toc184312102"/>
      <w:bookmarkEnd w:id="223"/>
      <w:bookmarkStart w:id="224" w:name="_Toc184312089"/>
      <w:bookmarkEnd w:id="224"/>
      <w:bookmarkStart w:id="225" w:name="_Toc184313300"/>
      <w:bookmarkEnd w:id="225"/>
      <w:bookmarkStart w:id="226" w:name="_Toc184314445"/>
      <w:bookmarkEnd w:id="226"/>
      <w:bookmarkStart w:id="227" w:name="_Toc184310315"/>
      <w:bookmarkEnd w:id="227"/>
      <w:bookmarkStart w:id="228" w:name="_Toc184312116"/>
      <w:bookmarkEnd w:id="228"/>
      <w:bookmarkStart w:id="229" w:name="_Toc184308060"/>
      <w:bookmarkEnd w:id="229"/>
      <w:bookmarkStart w:id="230" w:name="_Toc184310277"/>
      <w:bookmarkEnd w:id="230"/>
      <w:bookmarkStart w:id="231" w:name="_Toc184310280"/>
      <w:bookmarkEnd w:id="231"/>
      <w:bookmarkStart w:id="232" w:name="_Toc184310320"/>
      <w:bookmarkEnd w:id="232"/>
      <w:bookmarkStart w:id="233" w:name="_Toc184310281"/>
      <w:bookmarkEnd w:id="233"/>
      <w:bookmarkStart w:id="234" w:name="_Toc184310331"/>
      <w:bookmarkEnd w:id="234"/>
      <w:bookmarkStart w:id="235" w:name="_Toc184313246"/>
      <w:bookmarkEnd w:id="235"/>
      <w:bookmarkStart w:id="236" w:name="_Toc184314466"/>
      <w:bookmarkEnd w:id="236"/>
      <w:bookmarkStart w:id="237" w:name="_Toc184312130"/>
      <w:bookmarkEnd w:id="237"/>
      <w:bookmarkStart w:id="238" w:name="_Toc184308105"/>
      <w:bookmarkEnd w:id="238"/>
      <w:bookmarkStart w:id="239" w:name="_Toc184308081"/>
      <w:bookmarkEnd w:id="239"/>
      <w:bookmarkStart w:id="240" w:name="_Toc184310282"/>
      <w:bookmarkEnd w:id="240"/>
      <w:bookmarkStart w:id="241" w:name="_Toc184312082"/>
      <w:bookmarkEnd w:id="241"/>
      <w:bookmarkStart w:id="242" w:name="_Toc184314460"/>
      <w:bookmarkEnd w:id="242"/>
      <w:bookmarkStart w:id="243" w:name="_Toc184312123"/>
      <w:bookmarkEnd w:id="243"/>
      <w:bookmarkStart w:id="244" w:name="_Toc184310297"/>
      <w:bookmarkEnd w:id="244"/>
      <w:bookmarkStart w:id="245" w:name="_Toc184312124"/>
      <w:bookmarkEnd w:id="245"/>
      <w:bookmarkStart w:id="246" w:name="_Toc184308091"/>
      <w:bookmarkEnd w:id="246"/>
      <w:bookmarkStart w:id="247" w:name="_Toc184308038"/>
      <w:bookmarkEnd w:id="247"/>
      <w:bookmarkStart w:id="248" w:name="_Toc184313289"/>
      <w:bookmarkEnd w:id="248"/>
      <w:bookmarkStart w:id="249" w:name="_Toc184314412"/>
      <w:bookmarkEnd w:id="249"/>
      <w:bookmarkStart w:id="250" w:name="_Toc184312115"/>
      <w:bookmarkEnd w:id="250"/>
      <w:bookmarkStart w:id="251" w:name="_Toc184308057"/>
      <w:bookmarkEnd w:id="251"/>
      <w:bookmarkStart w:id="252" w:name="_Toc184308067"/>
      <w:bookmarkEnd w:id="252"/>
      <w:bookmarkStart w:id="253" w:name="_Toc184310284"/>
      <w:bookmarkEnd w:id="253"/>
      <w:bookmarkStart w:id="254" w:name="_Toc184310310"/>
      <w:bookmarkEnd w:id="254"/>
      <w:bookmarkStart w:id="255" w:name="_Toc184312081"/>
      <w:bookmarkEnd w:id="255"/>
      <w:bookmarkStart w:id="256" w:name="_Toc184313282"/>
      <w:bookmarkEnd w:id="256"/>
      <w:bookmarkStart w:id="257" w:name="_Toc184308093"/>
      <w:bookmarkEnd w:id="257"/>
      <w:bookmarkStart w:id="258" w:name="_Toc184313250"/>
      <w:bookmarkEnd w:id="258"/>
      <w:bookmarkStart w:id="259" w:name="_Toc184314431"/>
      <w:bookmarkEnd w:id="259"/>
      <w:bookmarkStart w:id="260" w:name="_Toc184308053"/>
      <w:bookmarkEnd w:id="260"/>
      <w:bookmarkStart w:id="261" w:name="_Toc184313254"/>
      <w:bookmarkEnd w:id="261"/>
      <w:bookmarkStart w:id="262" w:name="_Toc184314436"/>
      <w:bookmarkEnd w:id="262"/>
      <w:bookmarkStart w:id="263" w:name="_Toc184312084"/>
      <w:bookmarkEnd w:id="263"/>
      <w:bookmarkStart w:id="264" w:name="_Toc184312132"/>
      <w:bookmarkEnd w:id="264"/>
      <w:bookmarkStart w:id="265" w:name="_Toc184313252"/>
      <w:bookmarkEnd w:id="265"/>
      <w:bookmarkStart w:id="266" w:name="_Toc184313302"/>
      <w:bookmarkEnd w:id="266"/>
      <w:bookmarkStart w:id="267" w:name="_Toc184314415"/>
      <w:bookmarkEnd w:id="267"/>
      <w:bookmarkStart w:id="268" w:name="_Toc184310296"/>
      <w:bookmarkEnd w:id="268"/>
      <w:bookmarkStart w:id="269" w:name="_Toc184310319"/>
      <w:bookmarkEnd w:id="269"/>
      <w:bookmarkStart w:id="270" w:name="_Toc184312127"/>
      <w:bookmarkEnd w:id="270"/>
      <w:bookmarkStart w:id="271" w:name="_Toc184313264"/>
      <w:bookmarkEnd w:id="271"/>
      <w:bookmarkStart w:id="272" w:name="_Toc184310318"/>
      <w:bookmarkEnd w:id="272"/>
      <w:bookmarkStart w:id="273" w:name="_Toc184312075"/>
      <w:bookmarkEnd w:id="273"/>
      <w:bookmarkStart w:id="274" w:name="_Toc184313275"/>
      <w:bookmarkEnd w:id="274"/>
      <w:bookmarkStart w:id="275" w:name="_Toc184313292"/>
      <w:bookmarkEnd w:id="275"/>
      <w:bookmarkStart w:id="276" w:name="_Toc184310292"/>
      <w:bookmarkEnd w:id="276"/>
      <w:bookmarkStart w:id="277" w:name="_Toc184308101"/>
      <w:bookmarkEnd w:id="277"/>
      <w:bookmarkStart w:id="278" w:name="_Toc184308046"/>
      <w:bookmarkEnd w:id="278"/>
      <w:bookmarkStart w:id="279" w:name="_Toc184313299"/>
      <w:bookmarkEnd w:id="279"/>
      <w:bookmarkStart w:id="280" w:name="_Toc184310288"/>
      <w:bookmarkEnd w:id="280"/>
      <w:bookmarkStart w:id="281" w:name="_Toc184314438"/>
      <w:bookmarkEnd w:id="281"/>
      <w:bookmarkStart w:id="282" w:name="_Toc184314470"/>
      <w:bookmarkEnd w:id="282"/>
      <w:bookmarkStart w:id="283" w:name="_Toc184310272"/>
      <w:bookmarkEnd w:id="283"/>
      <w:bookmarkStart w:id="284" w:name="_Toc184308052"/>
      <w:bookmarkEnd w:id="284"/>
      <w:bookmarkStart w:id="285" w:name="_Toc184308040"/>
      <w:bookmarkEnd w:id="285"/>
      <w:bookmarkStart w:id="286" w:name="_Toc184310290"/>
      <w:bookmarkEnd w:id="286"/>
      <w:bookmarkStart w:id="287" w:name="_Toc184312097"/>
      <w:bookmarkEnd w:id="287"/>
      <w:bookmarkStart w:id="288" w:name="_Toc184310337"/>
      <w:bookmarkEnd w:id="288"/>
      <w:bookmarkStart w:id="289" w:name="_Toc184314434"/>
      <w:bookmarkEnd w:id="289"/>
      <w:bookmarkStart w:id="290" w:name="_Toc184314472"/>
      <w:bookmarkEnd w:id="290"/>
      <w:bookmarkStart w:id="291" w:name="_Toc184313277"/>
      <w:bookmarkEnd w:id="291"/>
      <w:bookmarkStart w:id="292" w:name="_Toc184312136"/>
      <w:bookmarkEnd w:id="292"/>
      <w:bookmarkStart w:id="293" w:name="_Toc184308094"/>
      <w:bookmarkEnd w:id="293"/>
      <w:bookmarkStart w:id="294" w:name="_Toc184314458"/>
      <w:bookmarkEnd w:id="294"/>
      <w:bookmarkStart w:id="295" w:name="_Toc184310276"/>
      <w:bookmarkEnd w:id="295"/>
      <w:bookmarkStart w:id="296" w:name="_Toc184314442"/>
      <w:bookmarkEnd w:id="296"/>
      <w:bookmarkStart w:id="297" w:name="_Toc184308062"/>
      <w:bookmarkEnd w:id="297"/>
      <w:bookmarkStart w:id="298" w:name="_Toc184310285"/>
      <w:bookmarkEnd w:id="298"/>
      <w:bookmarkStart w:id="299" w:name="_Toc184312098"/>
      <w:bookmarkEnd w:id="299"/>
      <w:bookmarkStart w:id="300" w:name="_Toc184312099"/>
      <w:bookmarkEnd w:id="300"/>
      <w:bookmarkStart w:id="301" w:name="_Toc184310343"/>
      <w:bookmarkEnd w:id="301"/>
      <w:bookmarkStart w:id="302" w:name="_Toc184314457"/>
      <w:bookmarkEnd w:id="302"/>
      <w:bookmarkStart w:id="303" w:name="_Toc184308100"/>
      <w:bookmarkEnd w:id="303"/>
      <w:bookmarkStart w:id="304" w:name="_Toc184312085"/>
      <w:bookmarkEnd w:id="304"/>
      <w:bookmarkStart w:id="305" w:name="_Toc184312093"/>
      <w:bookmarkEnd w:id="305"/>
      <w:bookmarkStart w:id="306" w:name="_Toc184310275"/>
      <w:bookmarkEnd w:id="306"/>
      <w:bookmarkStart w:id="307" w:name="_Toc184312111"/>
      <w:bookmarkEnd w:id="307"/>
      <w:bookmarkStart w:id="308" w:name="_Toc184313238"/>
      <w:bookmarkEnd w:id="308"/>
      <w:bookmarkStart w:id="309" w:name="_Toc184308045"/>
      <w:bookmarkEnd w:id="309"/>
      <w:bookmarkStart w:id="310" w:name="_Toc184312138"/>
      <w:bookmarkEnd w:id="310"/>
      <w:bookmarkStart w:id="311" w:name="_Toc184308041"/>
      <w:bookmarkEnd w:id="311"/>
      <w:bookmarkStart w:id="312" w:name="_Toc184312073"/>
      <w:bookmarkEnd w:id="312"/>
      <w:bookmarkStart w:id="313" w:name="_Toc184310344"/>
      <w:bookmarkEnd w:id="313"/>
      <w:bookmarkStart w:id="314" w:name="_Toc184312067"/>
      <w:bookmarkEnd w:id="314"/>
      <w:bookmarkStart w:id="315" w:name="_Toc184314443"/>
      <w:bookmarkEnd w:id="315"/>
      <w:bookmarkStart w:id="316" w:name="_Toc184310278"/>
      <w:bookmarkEnd w:id="316"/>
      <w:bookmarkStart w:id="317" w:name="_Toc184313294"/>
      <w:bookmarkEnd w:id="317"/>
      <w:bookmarkStart w:id="318" w:name="_Toc184313273"/>
      <w:bookmarkEnd w:id="318"/>
      <w:bookmarkStart w:id="319" w:name="_Toc184314444"/>
      <w:bookmarkEnd w:id="319"/>
      <w:bookmarkStart w:id="320" w:name="_Toc184308106"/>
      <w:bookmarkEnd w:id="320"/>
      <w:bookmarkStart w:id="321" w:name="_Toc184312139"/>
      <w:bookmarkEnd w:id="321"/>
      <w:bookmarkStart w:id="322" w:name="_Toc184308066"/>
      <w:bookmarkEnd w:id="322"/>
      <w:bookmarkStart w:id="323" w:name="_Toc184314428"/>
      <w:bookmarkEnd w:id="323"/>
      <w:bookmarkStart w:id="324" w:name="_Toc184310294"/>
      <w:bookmarkEnd w:id="324"/>
      <w:bookmarkStart w:id="325" w:name="_Toc184312079"/>
      <w:bookmarkEnd w:id="325"/>
      <w:bookmarkStart w:id="326" w:name="_Toc184313261"/>
      <w:bookmarkEnd w:id="326"/>
      <w:bookmarkStart w:id="327" w:name="_Toc184308087"/>
      <w:bookmarkEnd w:id="327"/>
      <w:bookmarkStart w:id="328" w:name="_Toc184310330"/>
      <w:bookmarkEnd w:id="328"/>
      <w:bookmarkStart w:id="329" w:name="_Toc184312105"/>
      <w:bookmarkEnd w:id="329"/>
      <w:bookmarkStart w:id="330" w:name="_Toc184314447"/>
      <w:bookmarkEnd w:id="330"/>
      <w:bookmarkStart w:id="331" w:name="_Toc184312118"/>
      <w:bookmarkEnd w:id="331"/>
      <w:bookmarkStart w:id="332" w:name="_Toc184308051"/>
      <w:bookmarkEnd w:id="332"/>
      <w:bookmarkStart w:id="333" w:name="_Toc184313255"/>
      <w:bookmarkEnd w:id="333"/>
      <w:bookmarkStart w:id="334" w:name="_Toc184314418"/>
      <w:bookmarkEnd w:id="334"/>
      <w:bookmarkStart w:id="335" w:name="_Toc184313239"/>
      <w:bookmarkEnd w:id="335"/>
      <w:bookmarkStart w:id="336" w:name="_Toc184313267"/>
      <w:bookmarkEnd w:id="336"/>
      <w:bookmarkStart w:id="337" w:name="_Toc184313301"/>
      <w:bookmarkEnd w:id="337"/>
      <w:bookmarkStart w:id="338" w:name="_Toc184310274"/>
      <w:bookmarkEnd w:id="338"/>
      <w:bookmarkStart w:id="339" w:name="_Toc184314471"/>
      <w:bookmarkEnd w:id="339"/>
      <w:bookmarkStart w:id="340" w:name="_Toc184308056"/>
      <w:bookmarkEnd w:id="340"/>
      <w:bookmarkStart w:id="341" w:name="_Toc184308098"/>
      <w:bookmarkEnd w:id="341"/>
      <w:bookmarkStart w:id="342" w:name="_Toc184308048"/>
      <w:bookmarkEnd w:id="342"/>
      <w:bookmarkStart w:id="343" w:name="_Toc184308063"/>
      <w:bookmarkEnd w:id="343"/>
      <w:bookmarkStart w:id="344" w:name="_Toc184312080"/>
      <w:bookmarkEnd w:id="344"/>
      <w:bookmarkStart w:id="345" w:name="_Toc184308082"/>
      <w:bookmarkEnd w:id="345"/>
      <w:bookmarkStart w:id="346" w:name="_Toc184313266"/>
      <w:bookmarkEnd w:id="346"/>
      <w:bookmarkStart w:id="347" w:name="_Toc184312133"/>
      <w:bookmarkEnd w:id="347"/>
      <w:bookmarkStart w:id="348" w:name="_Toc184312129"/>
      <w:bookmarkEnd w:id="348"/>
      <w:bookmarkStart w:id="349" w:name="_Toc184308058"/>
      <w:bookmarkEnd w:id="349"/>
      <w:bookmarkStart w:id="350" w:name="_Toc184308077"/>
      <w:bookmarkEnd w:id="350"/>
      <w:bookmarkStart w:id="351" w:name="_Toc184313293"/>
      <w:bookmarkEnd w:id="351"/>
      <w:bookmarkStart w:id="352" w:name="_Toc184313269"/>
      <w:bookmarkEnd w:id="352"/>
      <w:bookmarkStart w:id="353" w:name="_Toc184314481"/>
      <w:bookmarkEnd w:id="353"/>
      <w:bookmarkStart w:id="354" w:name="_Toc184313247"/>
      <w:bookmarkEnd w:id="354"/>
      <w:bookmarkStart w:id="355" w:name="_Toc184314467"/>
      <w:bookmarkEnd w:id="355"/>
      <w:bookmarkStart w:id="356" w:name="_Toc184310338"/>
      <w:bookmarkEnd w:id="356"/>
      <w:bookmarkStart w:id="357" w:name="_Toc184310314"/>
      <w:bookmarkEnd w:id="357"/>
      <w:bookmarkStart w:id="358" w:name="_Toc184313253"/>
      <w:bookmarkEnd w:id="358"/>
      <w:bookmarkStart w:id="359" w:name="_Toc184313288"/>
      <w:bookmarkEnd w:id="359"/>
      <w:bookmarkStart w:id="360" w:name="_Toc184313256"/>
      <w:bookmarkEnd w:id="360"/>
      <w:bookmarkStart w:id="361" w:name="_Toc184314424"/>
      <w:bookmarkEnd w:id="361"/>
      <w:bookmarkStart w:id="362" w:name="_Toc184312074"/>
      <w:bookmarkEnd w:id="362"/>
      <w:bookmarkStart w:id="363" w:name="_Toc184312131"/>
      <w:bookmarkEnd w:id="363"/>
      <w:bookmarkStart w:id="364" w:name="_Toc184312096"/>
      <w:bookmarkEnd w:id="364"/>
      <w:bookmarkStart w:id="365" w:name="_Toc184314414"/>
      <w:bookmarkEnd w:id="365"/>
      <w:bookmarkStart w:id="366" w:name="_Toc184310333"/>
      <w:bookmarkEnd w:id="366"/>
      <w:bookmarkStart w:id="367" w:name="_Toc184308108"/>
      <w:bookmarkEnd w:id="367"/>
      <w:bookmarkStart w:id="368" w:name="_Toc184313272"/>
      <w:bookmarkEnd w:id="368"/>
      <w:bookmarkStart w:id="369" w:name="_Toc184308076"/>
      <w:bookmarkEnd w:id="369"/>
      <w:bookmarkStart w:id="370" w:name="_Toc184308072"/>
      <w:bookmarkEnd w:id="370"/>
      <w:bookmarkStart w:id="371" w:name="_Toc184313308"/>
      <w:bookmarkEnd w:id="371"/>
      <w:bookmarkStart w:id="372" w:name="_Toc184314464"/>
      <w:bookmarkEnd w:id="372"/>
      <w:bookmarkStart w:id="373" w:name="_Toc184314427"/>
      <w:bookmarkEnd w:id="373"/>
      <w:bookmarkStart w:id="374" w:name="_Toc184313279"/>
      <w:bookmarkEnd w:id="374"/>
      <w:bookmarkStart w:id="375" w:name="_Toc184314429"/>
      <w:bookmarkEnd w:id="375"/>
      <w:bookmarkStart w:id="376" w:name="_Toc184313251"/>
      <w:bookmarkEnd w:id="376"/>
      <w:bookmarkStart w:id="377" w:name="_Toc184312117"/>
      <w:bookmarkEnd w:id="377"/>
      <w:bookmarkStart w:id="378" w:name="_Toc184314478"/>
      <w:bookmarkEnd w:id="378"/>
      <w:bookmarkStart w:id="379" w:name="_Toc184314448"/>
      <w:bookmarkEnd w:id="379"/>
      <w:bookmarkStart w:id="380" w:name="_Toc184312092"/>
      <w:bookmarkEnd w:id="380"/>
      <w:bookmarkStart w:id="381" w:name="_Toc184312095"/>
      <w:bookmarkEnd w:id="381"/>
      <w:bookmarkStart w:id="382" w:name="_Toc184310295"/>
      <w:bookmarkEnd w:id="382"/>
      <w:bookmarkStart w:id="383" w:name="_Toc184312122"/>
      <w:bookmarkEnd w:id="383"/>
      <w:bookmarkStart w:id="384" w:name="_Toc184308079"/>
      <w:bookmarkEnd w:id="384"/>
      <w:bookmarkStart w:id="385" w:name="_Toc184312137"/>
      <w:bookmarkEnd w:id="385"/>
      <w:bookmarkStart w:id="386" w:name="_Toc184312104"/>
      <w:bookmarkEnd w:id="386"/>
      <w:bookmarkStart w:id="387" w:name="_Toc184313305"/>
      <w:bookmarkEnd w:id="387"/>
      <w:bookmarkStart w:id="388" w:name="_Toc184308078"/>
      <w:bookmarkEnd w:id="388"/>
      <w:bookmarkStart w:id="389" w:name="_Toc184313276"/>
      <w:bookmarkEnd w:id="389"/>
      <w:bookmarkStart w:id="390" w:name="_Toc184308092"/>
      <w:bookmarkEnd w:id="390"/>
      <w:bookmarkStart w:id="391" w:name="_Toc184313281"/>
      <w:bookmarkEnd w:id="391"/>
      <w:bookmarkStart w:id="392" w:name="_Toc184313274"/>
      <w:bookmarkEnd w:id="392"/>
      <w:bookmarkStart w:id="393" w:name="_Toc184313310"/>
      <w:bookmarkEnd w:id="393"/>
      <w:bookmarkStart w:id="394" w:name="_Toc184312077"/>
      <w:bookmarkEnd w:id="394"/>
      <w:bookmarkStart w:id="395" w:name="_Toc184314451"/>
      <w:bookmarkEnd w:id="395"/>
      <w:bookmarkStart w:id="396" w:name="_Toc184312135"/>
      <w:bookmarkEnd w:id="396"/>
      <w:r>
        <w:rPr>
          <w:rFonts w:hint="eastAsia" w:ascii="宋体" w:hAnsi="宋体" w:eastAsia="宋体" w:cs="宋体"/>
          <w:b/>
          <w:color w:val="auto"/>
          <w:sz w:val="36"/>
          <w:szCs w:val="36"/>
          <w:highlight w:val="none"/>
        </w:rPr>
        <w:t>评标办法</w:t>
      </w:r>
    </w:p>
    <w:p w14:paraId="0B3CB4BB">
      <w:pPr>
        <w:snapToGrid w:val="0"/>
        <w:spacing w:line="360" w:lineRule="auto"/>
        <w:jc w:val="center"/>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评标办法前附表</w:t>
      </w:r>
    </w:p>
    <w:tbl>
      <w:tblPr>
        <w:tblStyle w:val="63"/>
        <w:tblW w:w="8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5147"/>
        <w:gridCol w:w="546"/>
        <w:gridCol w:w="1027"/>
        <w:gridCol w:w="1609"/>
      </w:tblGrid>
      <w:tr w14:paraId="3E18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6" w:type="dxa"/>
            <w:vAlign w:val="center"/>
          </w:tcPr>
          <w:p w14:paraId="011869CF">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5147" w:type="dxa"/>
            <w:vAlign w:val="center"/>
          </w:tcPr>
          <w:p w14:paraId="7E81B156">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评标标准</w:t>
            </w:r>
          </w:p>
        </w:tc>
        <w:tc>
          <w:tcPr>
            <w:tcW w:w="546" w:type="dxa"/>
            <w:vAlign w:val="center"/>
          </w:tcPr>
          <w:p w14:paraId="306C3705">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权重</w:t>
            </w:r>
          </w:p>
        </w:tc>
        <w:tc>
          <w:tcPr>
            <w:tcW w:w="1027" w:type="dxa"/>
            <w:vAlign w:val="center"/>
          </w:tcPr>
          <w:p w14:paraId="1AB8CAD7">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主观分/客观分属性</w:t>
            </w:r>
          </w:p>
        </w:tc>
        <w:tc>
          <w:tcPr>
            <w:tcW w:w="1609" w:type="dxa"/>
          </w:tcPr>
          <w:p w14:paraId="03368170">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投标文件中评标标准相应的商务技术资料目录*</w:t>
            </w:r>
          </w:p>
        </w:tc>
      </w:tr>
      <w:tr w14:paraId="0AB0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6" w:type="dxa"/>
            <w:vAlign w:val="center"/>
          </w:tcPr>
          <w:p w14:paraId="7FAED3EE">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147" w:type="dxa"/>
          </w:tcPr>
          <w:p w14:paraId="7E600BC1">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投标人供应商提供自202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年1月1日以来（以合同签订时间为准）有类似</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报告厅椅子采购</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业绩的，每个得1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分，最高3分</w:t>
            </w:r>
          </w:p>
          <w:p w14:paraId="65C3E257">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业绩证明材料：提供合同和用户验收报告</w:t>
            </w:r>
            <w:r>
              <w:rPr>
                <w:rFonts w:hint="eastAsia" w:ascii="宋体" w:hAnsi="宋体" w:eastAsia="宋体" w:cs="宋体"/>
                <w:color w:val="auto"/>
                <w:sz w:val="21"/>
                <w:szCs w:val="21"/>
                <w:highlight w:val="none"/>
                <w:lang w:val="en-US" w:eastAsia="zh-CN"/>
              </w:rPr>
              <w:t>扫描</w:t>
            </w:r>
            <w:r>
              <w:rPr>
                <w:rFonts w:hint="eastAsia" w:ascii="宋体" w:hAnsi="宋体" w:eastAsia="宋体" w:cs="宋体"/>
                <w:color w:val="auto"/>
                <w:sz w:val="21"/>
                <w:szCs w:val="21"/>
                <w:highlight w:val="none"/>
              </w:rPr>
              <w:t>件</w:t>
            </w:r>
            <w:r>
              <w:rPr>
                <w:rFonts w:hint="eastAsia" w:ascii="宋体" w:hAnsi="宋体" w:eastAsia="宋体" w:cs="宋体"/>
                <w:color w:val="auto"/>
                <w:sz w:val="21"/>
                <w:szCs w:val="21"/>
                <w:highlight w:val="none"/>
                <w:lang w:val="en-US" w:eastAsia="zh-CN"/>
              </w:rPr>
              <w:t>加盖公章，材料不全不得分</w:t>
            </w:r>
            <w:r>
              <w:rPr>
                <w:rFonts w:hint="eastAsia" w:ascii="宋体" w:hAnsi="宋体" w:eastAsia="宋体" w:cs="宋体"/>
                <w:color w:val="auto"/>
                <w:sz w:val="21"/>
                <w:szCs w:val="21"/>
                <w:highlight w:val="none"/>
                <w:lang w:eastAsia="zh-CN"/>
              </w:rPr>
              <w:t>）</w:t>
            </w:r>
          </w:p>
        </w:tc>
        <w:tc>
          <w:tcPr>
            <w:tcW w:w="546" w:type="dxa"/>
            <w:vAlign w:val="center"/>
          </w:tcPr>
          <w:p w14:paraId="7A0D714D">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027" w:type="dxa"/>
            <w:vAlign w:val="center"/>
          </w:tcPr>
          <w:p w14:paraId="318057DA">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客观分</w:t>
            </w:r>
          </w:p>
        </w:tc>
        <w:tc>
          <w:tcPr>
            <w:tcW w:w="1609" w:type="dxa"/>
            <w:vAlign w:val="center"/>
          </w:tcPr>
          <w:p w14:paraId="7FE35C80">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业绩</w:t>
            </w:r>
          </w:p>
        </w:tc>
      </w:tr>
      <w:tr w14:paraId="3F49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6" w:type="dxa"/>
            <w:vAlign w:val="center"/>
          </w:tcPr>
          <w:p w14:paraId="69C87A8B">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5147" w:type="dxa"/>
            <w:vAlign w:val="center"/>
          </w:tcPr>
          <w:p w14:paraId="031F7736">
            <w:pPr>
              <w:keepNext w:val="0"/>
              <w:keepLines w:val="0"/>
              <w:pageBreakBefore w:val="0"/>
              <w:kinsoku/>
              <w:wordWrap/>
              <w:overflowPunct/>
              <w:topLinePunct w:val="0"/>
              <w:autoSpaceDE/>
              <w:autoSpaceDN/>
              <w:bidi w:val="0"/>
              <w:adjustRightInd w:val="0"/>
              <w:snapToGrid w:val="0"/>
              <w:spacing w:line="240" w:lineRule="auto"/>
              <w:ind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投标人或其生产厂家具有有效期内</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ISO14001环境管理体系认证、ISO9001质量管理体系认证</w:t>
            </w:r>
            <w:r>
              <w:rPr>
                <w:rFonts w:hint="eastAsia" w:ascii="宋体" w:hAnsi="宋体" w:eastAsia="宋体" w:cs="宋体"/>
                <w:color w:val="auto"/>
                <w:sz w:val="21"/>
                <w:szCs w:val="21"/>
                <w:highlight w:val="none"/>
                <w:lang w:eastAsia="zh-CN"/>
              </w:rPr>
              <w:t>、ISO45001职业健康安全管理认证证书</w:t>
            </w:r>
            <w:r>
              <w:rPr>
                <w:rFonts w:hint="eastAsia" w:ascii="宋体" w:hAnsi="宋体" w:eastAsia="宋体" w:cs="宋体"/>
                <w:color w:val="auto"/>
                <w:sz w:val="21"/>
                <w:szCs w:val="21"/>
                <w:highlight w:val="none"/>
              </w:rPr>
              <w:t>。每提供一个证书得1分。提供证书扫描件，加盖公章，不符合要求不得分。</w:t>
            </w:r>
          </w:p>
        </w:tc>
        <w:tc>
          <w:tcPr>
            <w:tcW w:w="546" w:type="dxa"/>
            <w:vAlign w:val="center"/>
          </w:tcPr>
          <w:p w14:paraId="28D6ED5A">
            <w:pPr>
              <w:pStyle w:val="34"/>
              <w:keepNext w:val="0"/>
              <w:keepLines w:val="0"/>
              <w:pageBreakBefore w:val="0"/>
              <w:kinsoku/>
              <w:wordWrap/>
              <w:overflowPunct/>
              <w:topLinePunct w:val="0"/>
              <w:autoSpaceDE/>
              <w:autoSpaceDN/>
              <w:bidi w:val="0"/>
              <w:adjustRightInd w:val="0"/>
              <w:snapToGrid w:val="0"/>
              <w:spacing w:before="0" w:line="240" w:lineRule="auto"/>
              <w:ind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027" w:type="dxa"/>
            <w:vAlign w:val="center"/>
          </w:tcPr>
          <w:p w14:paraId="03EABC73">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en-US" w:eastAsia="zh-CN"/>
              </w:rPr>
              <w:t>客观分</w:t>
            </w:r>
          </w:p>
        </w:tc>
        <w:tc>
          <w:tcPr>
            <w:tcW w:w="1609" w:type="dxa"/>
            <w:vAlign w:val="center"/>
          </w:tcPr>
          <w:p w14:paraId="7D2F63BB">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认证证书</w:t>
            </w:r>
          </w:p>
        </w:tc>
      </w:tr>
      <w:tr w14:paraId="0F93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6" w:type="dxa"/>
            <w:vAlign w:val="center"/>
          </w:tcPr>
          <w:p w14:paraId="537E4BB7">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5147" w:type="dxa"/>
          </w:tcPr>
          <w:p w14:paraId="00E146C6">
            <w:p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“★”的技术条款低于技术要求（负偏离）的每条扣2分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其他条款</w:t>
            </w:r>
            <w:r>
              <w:rPr>
                <w:rFonts w:hint="eastAsia" w:ascii="宋体" w:hAnsi="宋体" w:eastAsia="宋体" w:cs="宋体"/>
                <w:color w:val="auto"/>
                <w:szCs w:val="21"/>
                <w:highlight w:val="none"/>
              </w:rPr>
              <w:t>低于技术要求（负偏离）的每条扣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扣完为止。</w:t>
            </w:r>
          </w:p>
          <w:p w14:paraId="4B0F3320">
            <w:pPr>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条款需提供照片、说明书等证明材料，不提供不得分，其他条款提供证明材料或承诺函，格式自拟</w:t>
            </w:r>
            <w:r>
              <w:rPr>
                <w:rFonts w:hint="eastAsia" w:ascii="宋体" w:hAnsi="宋体" w:eastAsia="宋体" w:cs="宋体"/>
                <w:color w:val="auto"/>
                <w:szCs w:val="21"/>
                <w:highlight w:val="none"/>
                <w:lang w:eastAsia="zh-CN"/>
              </w:rPr>
              <w:t>）</w:t>
            </w:r>
          </w:p>
        </w:tc>
        <w:tc>
          <w:tcPr>
            <w:tcW w:w="546" w:type="dxa"/>
            <w:vAlign w:val="center"/>
          </w:tcPr>
          <w:p w14:paraId="029B7F28">
            <w:pPr>
              <w:pStyle w:val="34"/>
              <w:keepNext w:val="0"/>
              <w:keepLines w:val="0"/>
              <w:pageBreakBefore w:val="0"/>
              <w:kinsoku/>
              <w:wordWrap/>
              <w:overflowPunct/>
              <w:topLinePunct w:val="0"/>
              <w:autoSpaceDE/>
              <w:autoSpaceDN/>
              <w:bidi w:val="0"/>
              <w:adjustRightInd w:val="0"/>
              <w:snapToGrid w:val="0"/>
              <w:spacing w:before="0" w:line="240" w:lineRule="auto"/>
              <w:ind w:right="0" w:rightChars="0"/>
              <w:jc w:val="center"/>
              <w:textAlignment w:val="auto"/>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eastAsia="zh-CN"/>
              </w:rPr>
              <w:t>6</w:t>
            </w:r>
          </w:p>
        </w:tc>
        <w:tc>
          <w:tcPr>
            <w:tcW w:w="1027" w:type="dxa"/>
            <w:vAlign w:val="center"/>
          </w:tcPr>
          <w:p w14:paraId="426E675C">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en-US" w:eastAsia="zh-CN"/>
              </w:rPr>
              <w:t>客观分</w:t>
            </w:r>
          </w:p>
        </w:tc>
        <w:tc>
          <w:tcPr>
            <w:tcW w:w="1609" w:type="dxa"/>
            <w:vAlign w:val="center"/>
          </w:tcPr>
          <w:p w14:paraId="22CE89B5">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重要参数响应</w:t>
            </w:r>
          </w:p>
        </w:tc>
      </w:tr>
      <w:tr w14:paraId="44451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6" w:type="dxa"/>
            <w:vAlign w:val="center"/>
          </w:tcPr>
          <w:p w14:paraId="59BDE2D2">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5147" w:type="dxa"/>
            <w:vAlign w:val="top"/>
          </w:tcPr>
          <w:p w14:paraId="7BDA73E0">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bCs/>
                <w:color w:val="auto"/>
                <w:kern w:val="0"/>
                <w:sz w:val="21"/>
                <w:szCs w:val="21"/>
                <w:highlight w:val="none"/>
                <w:lang w:eastAsia="zh-CN" w:bidi="ar"/>
              </w:rPr>
            </w:pPr>
            <w:r>
              <w:rPr>
                <w:rFonts w:hint="eastAsia" w:ascii="宋体" w:hAnsi="宋体" w:eastAsia="宋体" w:cs="宋体"/>
                <w:b/>
                <w:bCs/>
                <w:color w:val="auto"/>
                <w:kern w:val="0"/>
                <w:sz w:val="21"/>
                <w:szCs w:val="21"/>
                <w:highlight w:val="none"/>
                <w:lang w:eastAsia="zh-CN" w:bidi="ar"/>
              </w:rPr>
              <w:t>提供具有CMA资质的第三方检测机构提供的检测报告，</w:t>
            </w:r>
            <w:r>
              <w:rPr>
                <w:rFonts w:hint="eastAsia" w:ascii="宋体" w:hAnsi="宋体" w:eastAsia="宋体" w:cs="宋体"/>
                <w:b/>
                <w:bCs/>
                <w:color w:val="auto"/>
                <w:kern w:val="0"/>
                <w:sz w:val="21"/>
                <w:szCs w:val="21"/>
                <w:highlight w:val="none"/>
                <w:lang w:val="en-US" w:eastAsia="zh-CN" w:bidi="ar"/>
              </w:rPr>
              <w:t>不提供不得分</w:t>
            </w:r>
            <w:r>
              <w:rPr>
                <w:rFonts w:hint="eastAsia" w:ascii="宋体" w:hAnsi="宋体" w:eastAsia="宋体" w:cs="宋体"/>
                <w:b/>
                <w:bCs/>
                <w:color w:val="auto"/>
                <w:kern w:val="0"/>
                <w:sz w:val="21"/>
                <w:szCs w:val="21"/>
                <w:highlight w:val="none"/>
                <w:lang w:eastAsia="zh-CN" w:bidi="ar"/>
              </w:rPr>
              <w:t>：</w:t>
            </w:r>
          </w:p>
          <w:p w14:paraId="51E25316">
            <w:pPr>
              <w:bidi w:val="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一、成品：</w:t>
            </w:r>
          </w:p>
          <w:p w14:paraId="245E4C38">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1.依据QB/T2602-2013 标准，其中座面、椅背静载荷达到：座面2000N、椅背760N，10次无松动；座面、椅背耐用性： 950N，20万次；椅背330N，20万次；扶手静载：侧面：900N，向下1000N，10次无松动； 甲醛释放量≤0.12mg/㎡h。提供检测报告，数据均符合得2分，不符合或未提供不得分。</w:t>
            </w:r>
          </w:p>
          <w:p w14:paraId="58CBA6FA">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2.依据 QB/T2602-2013 标准，提供座面翻转耐久性检测报告：座面翻转耐久性试验达到30万次,座椅部件无变形、结构无松动。提供检测报告，数据均符合得1分，不符合或未提供不得分。</w:t>
            </w:r>
          </w:p>
          <w:p w14:paraId="1BEFDD81">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3. 依据GB/T 6882-2008标准，提供座椅回复噪声测试报告，噪声要求≤25dB(A)。数据均符合得1分，不符合或未提供不得分。</w:t>
            </w:r>
          </w:p>
          <w:p w14:paraId="1F7493CD">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4.甲醛释放量按对应的国家标准执行评分（选取两项中的其中一项）：</w:t>
            </w:r>
          </w:p>
          <w:p w14:paraId="5C1C8E00">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（1）试验方法 GB/T 17657 中规定的 1m3 气候箱法进行，甲醛释放量≤ 0.05mg/m3  得 1分,0.05（不含）～0.124mg/m3 得 0.5 分；</w:t>
            </w:r>
          </w:p>
          <w:p w14:paraId="0EBF806E">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（2）试验方法 GB/T 17657 中规定的 24h 干燥法进行，甲醛释放量≤ 0.5mg/L 得1分,0.5（不含）～1.5mg/L 得 0.5分。</w:t>
            </w:r>
          </w:p>
          <w:p w14:paraId="179E51C1">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5.防火等级：≥B2级的阻燃检测报告，符合的得2分，不符合或未提供不得分。</w:t>
            </w:r>
          </w:p>
          <w:p w14:paraId="2B0494F4">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6．依据GB/T20247-2006标准， 提供座椅声学测试报告；符合标准得1分，不符合或未提供不得分。</w:t>
            </w:r>
          </w:p>
          <w:p w14:paraId="751FA1F8">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二：原材料（必须随检测报告提供供应商购买对应原材料的发票复印件（2年内），不提供不得分）：</w:t>
            </w:r>
          </w:p>
          <w:p w14:paraId="68982A15">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1.面料：</w:t>
            </w:r>
            <w:r>
              <w:rPr>
                <w:rFonts w:hint="eastAsia" w:ascii="宋体" w:hAnsi="宋体" w:eastAsia="宋体" w:cs="宋体"/>
                <w:b w:val="0"/>
                <w:bCs w:val="0"/>
                <w:color w:val="auto"/>
                <w:kern w:val="0"/>
                <w:sz w:val="21"/>
                <w:szCs w:val="21"/>
                <w:highlight w:val="none"/>
                <w:lang w:val="en-US" w:eastAsia="zh-CN" w:bidi="ar"/>
              </w:rPr>
              <w:t xml:space="preserve"> </w:t>
            </w:r>
          </w:p>
          <w:p w14:paraId="45E78EF6">
            <w:pPr>
              <w:keepNext w:val="0"/>
              <w:keepLines w:val="0"/>
              <w:pageBreakBefore w:val="0"/>
              <w:numPr>
                <w:ilvl w:val="0"/>
                <w:numId w:val="8"/>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色牢度：4-5级</w:t>
            </w:r>
          </w:p>
          <w:p w14:paraId="16505D17">
            <w:pPr>
              <w:keepNext w:val="0"/>
              <w:keepLines w:val="0"/>
              <w:pageBreakBefore w:val="0"/>
              <w:numPr>
                <w:ilvl w:val="0"/>
                <w:numId w:val="8"/>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起球性：4级</w:t>
            </w:r>
          </w:p>
          <w:p w14:paraId="60C7A4D8">
            <w:pPr>
              <w:keepNext w:val="0"/>
              <w:keepLines w:val="0"/>
              <w:pageBreakBefore w:val="0"/>
              <w:numPr>
                <w:ilvl w:val="0"/>
                <w:numId w:val="8"/>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甲醛含量﹤20mg/kg</w:t>
            </w:r>
          </w:p>
          <w:p w14:paraId="14DDEB10">
            <w:pPr>
              <w:keepNext w:val="0"/>
              <w:keepLines w:val="0"/>
              <w:pageBreakBefore w:val="0"/>
              <w:numPr>
                <w:ilvl w:val="0"/>
                <w:numId w:val="8"/>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弹子顶破强力＞1400N</w:t>
            </w:r>
          </w:p>
          <w:p w14:paraId="034196BE">
            <w:pPr>
              <w:keepNext w:val="0"/>
              <w:keepLines w:val="0"/>
              <w:pageBreakBefore w:val="0"/>
              <w:numPr>
                <w:ilvl w:val="0"/>
                <w:numId w:val="8"/>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耐磨性：＞50000次</w:t>
            </w:r>
          </w:p>
          <w:p w14:paraId="3FE3D965">
            <w:pPr>
              <w:keepNext w:val="0"/>
              <w:keepLines w:val="0"/>
              <w:pageBreakBefore w:val="0"/>
              <w:numPr>
                <w:ilvl w:val="0"/>
                <w:numId w:val="8"/>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PH值 4.0-7.5</w:t>
            </w:r>
          </w:p>
          <w:p w14:paraId="4BF5C936">
            <w:pPr>
              <w:keepNext w:val="0"/>
              <w:keepLines w:val="0"/>
              <w:pageBreakBefore w:val="0"/>
              <w:numPr>
                <w:ilvl w:val="0"/>
                <w:numId w:val="8"/>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重金属：六价铬＜0.5mg/kg。</w:t>
            </w:r>
          </w:p>
          <w:p w14:paraId="2959E566">
            <w:pPr>
              <w:keepNext w:val="0"/>
              <w:keepLines w:val="0"/>
              <w:pageBreakBefore w:val="0"/>
              <w:numPr>
                <w:ilvl w:val="0"/>
                <w:numId w:val="8"/>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阻燃B2级以上</w:t>
            </w:r>
          </w:p>
          <w:p w14:paraId="38A0054F">
            <w:pPr>
              <w:keepNext w:val="0"/>
              <w:keepLines w:val="0"/>
              <w:pageBreakBefore w:val="0"/>
              <w:numPr>
                <w:ilvl w:val="0"/>
                <w:numId w:val="0"/>
              </w:numPr>
              <w:kinsoku/>
              <w:wordWrap/>
              <w:overflowPunct/>
              <w:topLinePunct w:val="0"/>
              <w:autoSpaceDE/>
              <w:autoSpaceDN/>
              <w:bidi w:val="0"/>
              <w:snapToGrid w:val="0"/>
              <w:spacing w:line="240" w:lineRule="auto"/>
              <w:ind w:left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数据均符合得2分，不符合或未提供不得分。</w:t>
            </w:r>
          </w:p>
          <w:p w14:paraId="7BF592E7">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2.海绵：</w:t>
            </w:r>
          </w:p>
          <w:p w14:paraId="7016D494">
            <w:pPr>
              <w:keepNext w:val="0"/>
              <w:keepLines w:val="0"/>
              <w:pageBreakBefore w:val="0"/>
              <w:numPr>
                <w:ilvl w:val="0"/>
                <w:numId w:val="9"/>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拉伸强度：﹥100kpa</w:t>
            </w:r>
          </w:p>
          <w:p w14:paraId="2D24C898">
            <w:pPr>
              <w:keepNext w:val="0"/>
              <w:keepLines w:val="0"/>
              <w:pageBreakBefore w:val="0"/>
              <w:numPr>
                <w:ilvl w:val="0"/>
                <w:numId w:val="9"/>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伸长率：﹥130%</w:t>
            </w:r>
          </w:p>
          <w:p w14:paraId="278DE151">
            <w:pPr>
              <w:keepNext w:val="0"/>
              <w:keepLines w:val="0"/>
              <w:pageBreakBefore w:val="0"/>
              <w:numPr>
                <w:ilvl w:val="0"/>
                <w:numId w:val="9"/>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撕裂强度：﹥2.0N/cm</w:t>
            </w:r>
          </w:p>
          <w:p w14:paraId="53F5FEE0">
            <w:pPr>
              <w:keepNext w:val="0"/>
              <w:keepLines w:val="0"/>
              <w:pageBreakBefore w:val="0"/>
              <w:numPr>
                <w:ilvl w:val="0"/>
                <w:numId w:val="9"/>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干热老化后拉伸强度：﹥100 kpa</w:t>
            </w:r>
          </w:p>
          <w:p w14:paraId="09A07092">
            <w:pPr>
              <w:keepNext w:val="0"/>
              <w:keepLines w:val="0"/>
              <w:pageBreakBefore w:val="0"/>
              <w:numPr>
                <w:ilvl w:val="0"/>
                <w:numId w:val="9"/>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干热老化后拉伸强度变化率：≤±30%</w:t>
            </w:r>
          </w:p>
          <w:p w14:paraId="10B835B0">
            <w:pPr>
              <w:keepNext w:val="0"/>
              <w:keepLines w:val="0"/>
              <w:pageBreakBefore w:val="0"/>
              <w:numPr>
                <w:ilvl w:val="0"/>
                <w:numId w:val="9"/>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湿热老化后拉伸强度：﹥100 kpa</w:t>
            </w:r>
          </w:p>
          <w:p w14:paraId="23AA2A4B">
            <w:pPr>
              <w:keepNext w:val="0"/>
              <w:keepLines w:val="0"/>
              <w:pageBreakBefore w:val="0"/>
              <w:numPr>
                <w:ilvl w:val="0"/>
                <w:numId w:val="9"/>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湿热老化后拉伸强度变化率：≤±30%</w:t>
            </w:r>
          </w:p>
          <w:p w14:paraId="10A4F08A">
            <w:pPr>
              <w:keepNext w:val="0"/>
              <w:keepLines w:val="0"/>
              <w:pageBreakBefore w:val="0"/>
              <w:numPr>
                <w:ilvl w:val="0"/>
                <w:numId w:val="9"/>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75%压缩永久变形≤6%</w:t>
            </w:r>
          </w:p>
          <w:p w14:paraId="41F48F93">
            <w:pPr>
              <w:keepNext w:val="0"/>
              <w:keepLines w:val="0"/>
              <w:pageBreakBefore w:val="0"/>
              <w:numPr>
                <w:ilvl w:val="0"/>
                <w:numId w:val="9"/>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回弹性能≥35%</w:t>
            </w:r>
          </w:p>
          <w:p w14:paraId="2470F365">
            <w:pPr>
              <w:keepNext w:val="0"/>
              <w:keepLines w:val="0"/>
              <w:pageBreakBefore w:val="0"/>
              <w:numPr>
                <w:ilvl w:val="0"/>
                <w:numId w:val="9"/>
              </w:numPr>
              <w:kinsoku/>
              <w:wordWrap/>
              <w:overflowPunct/>
              <w:topLinePunct w:val="0"/>
              <w:autoSpaceDE/>
              <w:autoSpaceDN/>
              <w:bidi w:val="0"/>
              <w:snapToGrid w:val="0"/>
              <w:spacing w:line="240" w:lineRule="auto"/>
              <w:ind w:left="425" w:leftChars="0" w:hanging="425" w:firstLine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密度：﹥50kg/㎥</w:t>
            </w:r>
          </w:p>
          <w:p w14:paraId="680BD994">
            <w:pPr>
              <w:keepNext w:val="0"/>
              <w:keepLines w:val="0"/>
              <w:pageBreakBefore w:val="0"/>
              <w:numPr>
                <w:ilvl w:val="0"/>
                <w:numId w:val="0"/>
              </w:numPr>
              <w:kinsoku/>
              <w:wordWrap/>
              <w:overflowPunct/>
              <w:topLinePunct w:val="0"/>
              <w:autoSpaceDE/>
              <w:autoSpaceDN/>
              <w:bidi w:val="0"/>
              <w:snapToGrid w:val="0"/>
              <w:spacing w:line="240" w:lineRule="auto"/>
              <w:ind w:leftChars="0"/>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数据均符合得2分，不符合或未提供不得分。</w:t>
            </w:r>
          </w:p>
          <w:p w14:paraId="1E6184A3">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3.钢材：</w:t>
            </w:r>
          </w:p>
          <w:p w14:paraId="1443EDF8">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钢材抗拉强度370-500 MPa,规定塑性延伸强度≥235MPa，断后伸长率≥26% ,符合得1分，不符合或未提供不得分。</w:t>
            </w:r>
          </w:p>
          <w:p w14:paraId="03EB8AF4">
            <w:pPr>
              <w:keepNext w:val="0"/>
              <w:keepLines w:val="0"/>
              <w:pageBreakBefore w:val="0"/>
              <w:numPr>
                <w:ilvl w:val="0"/>
                <w:numId w:val="6"/>
              </w:numPr>
              <w:kinsoku/>
              <w:wordWrap/>
              <w:overflowPunct/>
              <w:topLinePunct w:val="0"/>
              <w:autoSpaceDE/>
              <w:autoSpaceDN/>
              <w:bidi w:val="0"/>
              <w:snapToGrid w:val="0"/>
              <w:spacing w:line="240" w:lineRule="auto"/>
              <w:jc w:val="left"/>
              <w:textAlignment w:val="auto"/>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木材：</w:t>
            </w:r>
          </w:p>
          <w:p w14:paraId="7A9A9127">
            <w:pPr>
              <w:keepNext w:val="0"/>
              <w:keepLines w:val="0"/>
              <w:pageBreakBefore w:val="0"/>
              <w:numPr>
                <w:ilvl w:val="0"/>
                <w:numId w:val="0"/>
              </w:numPr>
              <w:kinsoku/>
              <w:wordWrap/>
              <w:overflowPunct/>
              <w:topLinePunct w:val="0"/>
              <w:autoSpaceDE/>
              <w:autoSpaceDN/>
              <w:bidi w:val="0"/>
              <w:snapToGrid w:val="0"/>
              <w:spacing w:line="240" w:lineRule="auto"/>
              <w:jc w:val="lef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木制作含水率不超过12%，胶合强度≥0.70Mpa，不变形、不开裂。木材甲醛释放量≤0.050mg/m3，环保性能达E1级。完全符合得1分，否则不得分。</w:t>
            </w:r>
          </w:p>
        </w:tc>
        <w:tc>
          <w:tcPr>
            <w:tcW w:w="546" w:type="dxa"/>
            <w:vAlign w:val="center"/>
          </w:tcPr>
          <w:p w14:paraId="20285611">
            <w:pPr>
              <w:pStyle w:val="34"/>
              <w:keepNext w:val="0"/>
              <w:keepLines w:val="0"/>
              <w:pageBreakBefore w:val="0"/>
              <w:kinsoku/>
              <w:wordWrap/>
              <w:overflowPunct/>
              <w:topLinePunct w:val="0"/>
              <w:autoSpaceDE/>
              <w:autoSpaceDN/>
              <w:bidi w:val="0"/>
              <w:adjustRightInd w:val="0"/>
              <w:snapToGrid w:val="0"/>
              <w:spacing w:before="0" w:line="240" w:lineRule="auto"/>
              <w:ind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w:t>
            </w:r>
          </w:p>
        </w:tc>
        <w:tc>
          <w:tcPr>
            <w:tcW w:w="1027" w:type="dxa"/>
            <w:vAlign w:val="center"/>
          </w:tcPr>
          <w:p w14:paraId="486509A2">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en-US" w:eastAsia="zh-CN"/>
              </w:rPr>
              <w:t>客观分</w:t>
            </w:r>
          </w:p>
        </w:tc>
        <w:tc>
          <w:tcPr>
            <w:tcW w:w="1609" w:type="dxa"/>
            <w:vAlign w:val="center"/>
          </w:tcPr>
          <w:p w14:paraId="455E7414">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检测报告</w:t>
            </w:r>
          </w:p>
        </w:tc>
      </w:tr>
      <w:tr w14:paraId="5E91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6" w:type="dxa"/>
            <w:vAlign w:val="center"/>
          </w:tcPr>
          <w:p w14:paraId="4B3A4B1B">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5147" w:type="dxa"/>
            <w:vAlign w:val="top"/>
          </w:tcPr>
          <w:p w14:paraId="538C43AE">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根据投标人提供的项目实施方案、技术方案</w:t>
            </w:r>
            <w:r>
              <w:rPr>
                <w:rFonts w:hint="eastAsia" w:ascii="宋体" w:hAnsi="宋体" w:eastAsia="宋体" w:cs="宋体"/>
                <w:color w:val="auto"/>
                <w:sz w:val="21"/>
                <w:szCs w:val="21"/>
                <w:highlight w:val="none"/>
                <w:lang w:val="en-US" w:eastAsia="zh-CN"/>
              </w:rPr>
              <w:t>的合理性、先进性、</w:t>
            </w:r>
            <w:r>
              <w:rPr>
                <w:rFonts w:hint="eastAsia" w:ascii="宋体" w:hAnsi="宋体" w:eastAsia="宋体" w:cs="宋体"/>
                <w:color w:val="auto"/>
                <w:sz w:val="21"/>
                <w:szCs w:val="21"/>
                <w:highlight w:val="none"/>
              </w:rPr>
              <w:t>完整性、可行性进行综合评议，包括：①项目</w:t>
            </w:r>
            <w:r>
              <w:rPr>
                <w:rFonts w:hint="eastAsia" w:ascii="宋体" w:hAnsi="宋体" w:eastAsia="宋体" w:cs="宋体"/>
                <w:color w:val="auto"/>
                <w:sz w:val="21"/>
                <w:szCs w:val="21"/>
                <w:highlight w:val="none"/>
                <w:lang w:val="en-US" w:eastAsia="zh-CN"/>
              </w:rPr>
              <w:t>重难点分析</w:t>
            </w:r>
            <w:r>
              <w:rPr>
                <w:rFonts w:hint="eastAsia" w:ascii="宋体" w:hAnsi="宋体" w:eastAsia="宋体" w:cs="宋体"/>
                <w:color w:val="auto"/>
                <w:sz w:val="21"/>
                <w:szCs w:val="21"/>
                <w:highlight w:val="none"/>
              </w:rPr>
              <w:t>、②施工方案；③产品布置、设计方案、④</w:t>
            </w:r>
            <w:r>
              <w:rPr>
                <w:rFonts w:hint="eastAsia" w:ascii="宋体" w:hAnsi="宋体" w:eastAsia="宋体" w:cs="宋体"/>
                <w:color w:val="auto"/>
                <w:sz w:val="21"/>
                <w:szCs w:val="21"/>
                <w:highlight w:val="none"/>
                <w:lang w:val="en-US" w:eastAsia="zh-CN"/>
              </w:rPr>
              <w:t>安全、文明措施方案</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每项0-3分</w:t>
            </w:r>
            <w:r>
              <w:rPr>
                <w:rFonts w:hint="eastAsia" w:ascii="宋体" w:hAnsi="宋体" w:eastAsia="宋体" w:cs="宋体"/>
                <w:color w:val="auto"/>
                <w:sz w:val="21"/>
                <w:szCs w:val="21"/>
                <w:highlight w:val="none"/>
              </w:rPr>
              <w:t>（评分范围：3，2，1，0）</w:t>
            </w:r>
          </w:p>
        </w:tc>
        <w:tc>
          <w:tcPr>
            <w:tcW w:w="546" w:type="dxa"/>
            <w:vAlign w:val="center"/>
          </w:tcPr>
          <w:p w14:paraId="295CADE2">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1027" w:type="dxa"/>
            <w:vAlign w:val="center"/>
          </w:tcPr>
          <w:p w14:paraId="6A74B5A8">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主观分</w:t>
            </w:r>
          </w:p>
        </w:tc>
        <w:tc>
          <w:tcPr>
            <w:tcW w:w="1609" w:type="dxa"/>
            <w:vAlign w:val="center"/>
          </w:tcPr>
          <w:p w14:paraId="59A0125E">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实施方案</w:t>
            </w:r>
          </w:p>
        </w:tc>
      </w:tr>
      <w:tr w14:paraId="49C2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6" w:type="dxa"/>
            <w:vAlign w:val="center"/>
          </w:tcPr>
          <w:p w14:paraId="40BB1890">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5147" w:type="dxa"/>
          </w:tcPr>
          <w:p w14:paraId="5A5765FD">
            <w:pPr>
              <w:keepNext w:val="0"/>
              <w:keepLines w:val="0"/>
              <w:pageBreakBefore w:val="0"/>
              <w:kinsoku/>
              <w:wordWrap/>
              <w:overflowPunct/>
              <w:topLinePunct w:val="0"/>
              <w:autoSpaceDE/>
              <w:autoSpaceDN/>
              <w:bidi w:val="0"/>
              <w:snapToGrid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投标人提供的①</w:t>
            </w:r>
            <w:r>
              <w:rPr>
                <w:rFonts w:hint="eastAsia" w:ascii="宋体" w:hAnsi="宋体" w:eastAsia="宋体" w:cs="宋体"/>
                <w:color w:val="auto"/>
                <w:sz w:val="21"/>
                <w:szCs w:val="21"/>
                <w:highlight w:val="none"/>
              </w:rPr>
              <w:t>质量和工期的保障措施、②交货保障措施③</w:t>
            </w:r>
            <w:r>
              <w:rPr>
                <w:rFonts w:hint="eastAsia" w:ascii="宋体" w:hAnsi="宋体" w:eastAsia="宋体" w:cs="宋体"/>
                <w:color w:val="auto"/>
                <w:sz w:val="21"/>
                <w:szCs w:val="21"/>
                <w:highlight w:val="none"/>
                <w:lang w:val="zh-CN"/>
              </w:rPr>
              <w:t>对项目实施过程中可能遇到的突发情况的预估</w:t>
            </w:r>
            <w:r>
              <w:rPr>
                <w:rFonts w:hint="eastAsia" w:ascii="宋体" w:hAnsi="宋体" w:eastAsia="宋体" w:cs="宋体"/>
                <w:color w:val="auto"/>
                <w:sz w:val="21"/>
                <w:szCs w:val="21"/>
                <w:highlight w:val="none"/>
              </w:rPr>
              <w:t>和</w:t>
            </w:r>
            <w:r>
              <w:rPr>
                <w:rFonts w:hint="eastAsia" w:ascii="宋体" w:hAnsi="宋体" w:eastAsia="宋体" w:cs="宋体"/>
                <w:color w:val="auto"/>
                <w:sz w:val="21"/>
                <w:szCs w:val="21"/>
                <w:highlight w:val="none"/>
                <w:lang w:val="zh-CN"/>
              </w:rPr>
              <w:t>应对措施的针对性、合理性、可操作性</w:t>
            </w:r>
            <w:r>
              <w:rPr>
                <w:rFonts w:hint="eastAsia" w:ascii="宋体" w:hAnsi="宋体" w:eastAsia="宋体" w:cs="宋体"/>
                <w:b w:val="0"/>
                <w:bCs/>
                <w:color w:val="auto"/>
                <w:sz w:val="21"/>
                <w:szCs w:val="21"/>
                <w:highlight w:val="none"/>
                <w:lang w:val="en-US" w:eastAsia="zh-CN"/>
              </w:rPr>
              <w:t>进行综合评议</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每项0-2分</w:t>
            </w:r>
            <w:r>
              <w:rPr>
                <w:rFonts w:hint="eastAsia" w:ascii="宋体" w:hAnsi="宋体" w:eastAsia="宋体" w:cs="宋体"/>
                <w:color w:val="auto"/>
                <w:sz w:val="21"/>
                <w:szCs w:val="21"/>
                <w:highlight w:val="none"/>
              </w:rPr>
              <w:t>（评分范围：2，1，0）</w:t>
            </w:r>
          </w:p>
        </w:tc>
        <w:tc>
          <w:tcPr>
            <w:tcW w:w="546" w:type="dxa"/>
            <w:vAlign w:val="center"/>
          </w:tcPr>
          <w:p w14:paraId="4FA892D1">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6</w:t>
            </w:r>
          </w:p>
        </w:tc>
        <w:tc>
          <w:tcPr>
            <w:tcW w:w="1027" w:type="dxa"/>
            <w:vAlign w:val="center"/>
          </w:tcPr>
          <w:p w14:paraId="312AB534">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主观分</w:t>
            </w:r>
          </w:p>
        </w:tc>
        <w:tc>
          <w:tcPr>
            <w:tcW w:w="1609" w:type="dxa"/>
            <w:vAlign w:val="center"/>
          </w:tcPr>
          <w:p w14:paraId="6FF964A1">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质量、进度保障</w:t>
            </w:r>
          </w:p>
        </w:tc>
      </w:tr>
      <w:tr w14:paraId="5518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6" w:type="dxa"/>
            <w:vAlign w:val="center"/>
          </w:tcPr>
          <w:p w14:paraId="456F0977">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5147" w:type="dxa"/>
          </w:tcPr>
          <w:p w14:paraId="5851275C">
            <w:pPr>
              <w:keepNext w:val="0"/>
              <w:keepLines w:val="0"/>
              <w:pageBreakBefore w:val="0"/>
              <w:numPr>
                <w:ilvl w:val="0"/>
                <w:numId w:val="10"/>
              </w:numPr>
              <w:kinsoku/>
              <w:wordWrap/>
              <w:overflowPunct/>
              <w:topLinePunct w:val="0"/>
              <w:autoSpaceDE/>
              <w:autoSpaceDN/>
              <w:bidi w:val="0"/>
              <w:snapToGrid w:val="0"/>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质保期内技术支持和售后服务响应时间承诺，对服务范围，维修保养和服务标准的阐述得合理性和标准性、及时性进行评分</w:t>
            </w:r>
            <w:r>
              <w:rPr>
                <w:rFonts w:hint="eastAsia" w:ascii="宋体" w:hAnsi="宋体" w:eastAsia="宋体" w:cs="宋体"/>
                <w:color w:val="auto"/>
                <w:sz w:val="21"/>
                <w:szCs w:val="21"/>
                <w:highlight w:val="none"/>
              </w:rPr>
              <w:t>（评分范围：2，1，0）</w:t>
            </w:r>
          </w:p>
          <w:p w14:paraId="35AE99F0">
            <w:pPr>
              <w:keepNext w:val="0"/>
              <w:keepLines w:val="0"/>
              <w:pageBreakBefore w:val="0"/>
              <w:numPr>
                <w:ilvl w:val="0"/>
                <w:numId w:val="10"/>
              </w:numPr>
              <w:kinsoku/>
              <w:wordWrap/>
              <w:overflowPunct/>
              <w:topLinePunct w:val="0"/>
              <w:autoSpaceDE/>
              <w:autoSpaceDN/>
              <w:bidi w:val="0"/>
              <w:snapToGrid w:val="0"/>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质保期外售后服务、收费等优惠力度</w:t>
            </w:r>
            <w:r>
              <w:rPr>
                <w:rFonts w:hint="eastAsia" w:ascii="宋体" w:hAnsi="宋体" w:eastAsia="宋体" w:cs="宋体"/>
                <w:color w:val="auto"/>
                <w:sz w:val="21"/>
                <w:szCs w:val="21"/>
                <w:highlight w:val="none"/>
              </w:rPr>
              <w:t>。（评分范围：3，2，1，0）</w:t>
            </w:r>
          </w:p>
        </w:tc>
        <w:tc>
          <w:tcPr>
            <w:tcW w:w="546" w:type="dxa"/>
            <w:vAlign w:val="center"/>
          </w:tcPr>
          <w:p w14:paraId="591C3071">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027" w:type="dxa"/>
            <w:vAlign w:val="center"/>
          </w:tcPr>
          <w:p w14:paraId="6ADA4632">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主观分</w:t>
            </w:r>
          </w:p>
        </w:tc>
        <w:tc>
          <w:tcPr>
            <w:tcW w:w="1609" w:type="dxa"/>
            <w:vMerge w:val="restart"/>
            <w:vAlign w:val="center"/>
          </w:tcPr>
          <w:p w14:paraId="17D5F6E1">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售后服务</w:t>
            </w:r>
          </w:p>
        </w:tc>
      </w:tr>
      <w:tr w14:paraId="60F9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6" w:type="dxa"/>
            <w:vAlign w:val="center"/>
          </w:tcPr>
          <w:p w14:paraId="01BB83B1">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5147" w:type="dxa"/>
          </w:tcPr>
          <w:p w14:paraId="6BAF4886">
            <w:pPr>
              <w:keepNext w:val="0"/>
              <w:keepLines w:val="0"/>
              <w:pageBreakBefore w:val="0"/>
              <w:numPr>
                <w:ilvl w:val="0"/>
                <w:numId w:val="11"/>
              </w:numPr>
              <w:kinsoku/>
              <w:wordWrap/>
              <w:overflowPunct/>
              <w:topLinePunct w:val="0"/>
              <w:autoSpaceDE/>
              <w:autoSpaceDN/>
              <w:bidi w:val="0"/>
              <w:snapToGrid w:val="0"/>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除招标文件规定质保期2年外，每延长一年的加1分，最高得2分。</w:t>
            </w:r>
          </w:p>
          <w:p w14:paraId="05730783">
            <w:pPr>
              <w:keepNext w:val="0"/>
              <w:keepLines w:val="0"/>
              <w:pageBreakBefore w:val="0"/>
              <w:numPr>
                <w:ilvl w:val="0"/>
                <w:numId w:val="11"/>
              </w:numPr>
              <w:kinsoku/>
              <w:wordWrap/>
              <w:overflowPunct/>
              <w:topLinePunct w:val="0"/>
              <w:autoSpaceDE/>
              <w:autoSpaceDN/>
              <w:bidi w:val="0"/>
              <w:snapToGrid w:val="0"/>
              <w:spacing w:line="240" w:lineRule="auto"/>
              <w:jc w:val="left"/>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每学期期初期末免费做一次检修和维护，得1分。</w:t>
            </w:r>
          </w:p>
        </w:tc>
        <w:tc>
          <w:tcPr>
            <w:tcW w:w="546" w:type="dxa"/>
            <w:vAlign w:val="center"/>
          </w:tcPr>
          <w:p w14:paraId="6736C614">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027" w:type="dxa"/>
            <w:vAlign w:val="center"/>
          </w:tcPr>
          <w:p w14:paraId="3F064DEF">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en-US" w:eastAsia="zh-CN"/>
              </w:rPr>
              <w:t>客观分</w:t>
            </w:r>
          </w:p>
        </w:tc>
        <w:tc>
          <w:tcPr>
            <w:tcW w:w="1609" w:type="dxa"/>
            <w:vMerge w:val="continue"/>
            <w:vAlign w:val="center"/>
          </w:tcPr>
          <w:p w14:paraId="393B30BE">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rPr>
            </w:pPr>
          </w:p>
        </w:tc>
      </w:tr>
      <w:tr w14:paraId="2636A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6" w:type="dxa"/>
            <w:shd w:val="clear" w:color="auto" w:fill="auto"/>
            <w:vAlign w:val="center"/>
          </w:tcPr>
          <w:p w14:paraId="447AA501">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w:t>
            </w:r>
          </w:p>
        </w:tc>
        <w:tc>
          <w:tcPr>
            <w:tcW w:w="5147" w:type="dxa"/>
            <w:vAlign w:val="top"/>
          </w:tcPr>
          <w:p w14:paraId="1335A7A5">
            <w:pPr>
              <w:snapToGrid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rPr>
              <w:t>投标人</w:t>
            </w:r>
            <w:r>
              <w:rPr>
                <w:rFonts w:hint="eastAsia" w:ascii="宋体" w:hAnsi="宋体" w:eastAsia="宋体" w:cs="宋体"/>
                <w:color w:val="auto"/>
                <w:szCs w:val="21"/>
                <w:highlight w:val="none"/>
                <w:lang w:val="en-US" w:eastAsia="zh-CN"/>
              </w:rPr>
              <w:t>或制造商</w:t>
            </w:r>
            <w:r>
              <w:rPr>
                <w:rFonts w:hint="eastAsia" w:ascii="宋体" w:hAnsi="宋体" w:eastAsia="宋体" w:cs="宋体"/>
                <w:color w:val="auto"/>
                <w:szCs w:val="21"/>
                <w:highlight w:val="none"/>
              </w:rPr>
              <w:t>的设备</w:t>
            </w:r>
            <w:r>
              <w:rPr>
                <w:rFonts w:hint="eastAsia" w:ascii="宋体" w:hAnsi="宋体" w:eastAsia="宋体" w:cs="宋体"/>
                <w:color w:val="auto"/>
                <w:szCs w:val="21"/>
                <w:highlight w:val="none"/>
                <w:lang w:val="en-US" w:eastAsia="zh-CN"/>
              </w:rPr>
              <w:t>的</w:t>
            </w:r>
            <w:r>
              <w:rPr>
                <w:rFonts w:hint="eastAsia" w:ascii="宋体" w:hAnsi="宋体" w:eastAsia="宋体" w:cs="宋体"/>
                <w:color w:val="auto"/>
                <w:szCs w:val="21"/>
                <w:highlight w:val="none"/>
              </w:rPr>
              <w:t>齐全、先进</w:t>
            </w:r>
            <w:r>
              <w:rPr>
                <w:rFonts w:hint="eastAsia" w:ascii="宋体" w:hAnsi="宋体" w:eastAsia="宋体" w:cs="宋体"/>
                <w:color w:val="auto"/>
                <w:szCs w:val="21"/>
                <w:highlight w:val="none"/>
                <w:lang w:val="en-US" w:eastAsia="zh-CN"/>
              </w:rPr>
              <w:t>性</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可提供</w:t>
            </w:r>
            <w:r>
              <w:rPr>
                <w:rFonts w:hint="eastAsia" w:ascii="宋体" w:hAnsi="宋体" w:eastAsia="宋体" w:cs="宋体"/>
                <w:color w:val="auto"/>
                <w:szCs w:val="21"/>
                <w:highlight w:val="none"/>
              </w:rPr>
              <w:t>包括海绵发泡设备、</w:t>
            </w:r>
            <w:r>
              <w:rPr>
                <w:rFonts w:hint="eastAsia" w:ascii="宋体" w:hAnsi="宋体" w:eastAsia="宋体" w:cs="宋体"/>
                <w:color w:val="auto"/>
                <w:szCs w:val="21"/>
                <w:highlight w:val="none"/>
                <w:lang w:val="en-US" w:eastAsia="zh-CN"/>
              </w:rPr>
              <w:t>自动</w:t>
            </w:r>
            <w:r>
              <w:rPr>
                <w:rFonts w:hint="eastAsia" w:ascii="宋体" w:hAnsi="宋体" w:eastAsia="宋体" w:cs="宋体"/>
                <w:color w:val="auto"/>
                <w:szCs w:val="21"/>
                <w:highlight w:val="none"/>
              </w:rPr>
              <w:t>焊接设备、静电喷涂设备、自动裁布机、油漆除尘环保设备、数控自动剪切设备、木屑除尘设备、环保UV漆喷涂生产线</w:t>
            </w:r>
            <w:r>
              <w:rPr>
                <w:rFonts w:hint="eastAsia" w:ascii="宋体" w:hAnsi="宋体" w:eastAsia="宋体" w:cs="宋体"/>
                <w:color w:val="auto"/>
                <w:szCs w:val="21"/>
                <w:highlight w:val="none"/>
                <w:lang w:val="en-US" w:eastAsia="zh-CN"/>
              </w:rPr>
              <w:t>等与本项目产品制造相关的设备情况</w:t>
            </w:r>
            <w:r>
              <w:rPr>
                <w:rFonts w:hint="eastAsia" w:ascii="宋体" w:hAnsi="宋体" w:eastAsia="宋体" w:cs="宋体"/>
                <w:color w:val="auto"/>
                <w:szCs w:val="21"/>
                <w:highlight w:val="none"/>
              </w:rPr>
              <w:t>，需提供现场设备真实图片及相应设备投标人的采购合同或发票资料情况，</w:t>
            </w:r>
            <w:r>
              <w:rPr>
                <w:rFonts w:hint="eastAsia" w:ascii="宋体" w:hAnsi="宋体" w:eastAsia="宋体" w:cs="宋体"/>
                <w:color w:val="auto"/>
                <w:szCs w:val="21"/>
                <w:highlight w:val="none"/>
                <w:lang w:val="en-US" w:eastAsia="zh-CN"/>
              </w:rPr>
              <w:t>未提供的不得分</w:t>
            </w:r>
            <w:r>
              <w:rPr>
                <w:rFonts w:hint="eastAsia" w:ascii="宋体" w:hAnsi="宋体" w:eastAsia="宋体" w:cs="宋体"/>
                <w:color w:val="auto"/>
                <w:szCs w:val="21"/>
                <w:highlight w:val="none"/>
              </w:rPr>
              <w:t>。</w:t>
            </w:r>
            <w:r>
              <w:rPr>
                <w:rFonts w:hint="eastAsia" w:ascii="宋体" w:hAnsi="宋体" w:eastAsia="宋体" w:cs="宋体"/>
                <w:color w:val="auto"/>
                <w:sz w:val="21"/>
                <w:szCs w:val="21"/>
                <w:highlight w:val="none"/>
              </w:rPr>
              <w:t>（评分范围：</w:t>
            </w:r>
            <w:r>
              <w:rPr>
                <w:rFonts w:hint="eastAsia" w:ascii="宋体" w:hAnsi="宋体" w:eastAsia="宋体" w:cs="宋体"/>
                <w:color w:val="auto"/>
                <w:sz w:val="21"/>
                <w:szCs w:val="21"/>
                <w:highlight w:val="none"/>
                <w:lang w:val="en-US" w:eastAsia="zh-CN"/>
              </w:rPr>
              <w:t>5，4，</w:t>
            </w:r>
            <w:r>
              <w:rPr>
                <w:rFonts w:hint="eastAsia" w:ascii="宋体" w:hAnsi="宋体" w:eastAsia="宋体" w:cs="宋体"/>
                <w:color w:val="auto"/>
                <w:sz w:val="21"/>
                <w:szCs w:val="21"/>
                <w:highlight w:val="none"/>
              </w:rPr>
              <w:t>3，2，1，0）</w:t>
            </w:r>
          </w:p>
        </w:tc>
        <w:tc>
          <w:tcPr>
            <w:tcW w:w="546" w:type="dxa"/>
            <w:vAlign w:val="center"/>
          </w:tcPr>
          <w:p w14:paraId="24A33BB0">
            <w:pPr>
              <w:pStyle w:val="34"/>
              <w:snapToGrid w:val="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027" w:type="dxa"/>
            <w:vAlign w:val="center"/>
          </w:tcPr>
          <w:p w14:paraId="3B7E6663">
            <w:pPr>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主观分</w:t>
            </w:r>
          </w:p>
        </w:tc>
        <w:tc>
          <w:tcPr>
            <w:tcW w:w="1609" w:type="dxa"/>
            <w:vAlign w:val="center"/>
          </w:tcPr>
          <w:p w14:paraId="3107D349">
            <w:pPr>
              <w:snapToGrid w:val="0"/>
              <w:jc w:val="center"/>
              <w:rPr>
                <w:rFonts w:hint="eastAsia" w:ascii="宋体" w:hAnsi="宋体" w:eastAsia="宋体" w:cs="宋体"/>
                <w:bCs/>
                <w:color w:val="auto"/>
                <w:sz w:val="21"/>
                <w:szCs w:val="21"/>
                <w:highlight w:val="none"/>
              </w:rPr>
            </w:pPr>
            <w:r>
              <w:rPr>
                <w:rFonts w:hint="eastAsia" w:ascii="宋体" w:hAnsi="宋体" w:eastAsia="宋体" w:cs="宋体"/>
                <w:color w:val="auto"/>
                <w:szCs w:val="21"/>
                <w:highlight w:val="none"/>
              </w:rPr>
              <w:t>生产设备</w:t>
            </w:r>
          </w:p>
        </w:tc>
      </w:tr>
      <w:tr w14:paraId="7338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6" w:type="dxa"/>
            <w:shd w:val="clear" w:color="auto" w:fill="auto"/>
            <w:vAlign w:val="center"/>
          </w:tcPr>
          <w:p w14:paraId="0B996D2A">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10</w:t>
            </w:r>
          </w:p>
        </w:tc>
        <w:tc>
          <w:tcPr>
            <w:tcW w:w="5147" w:type="dxa"/>
            <w:vAlign w:val="center"/>
          </w:tcPr>
          <w:p w14:paraId="12EA2253">
            <w:pPr>
              <w:pStyle w:val="970"/>
              <w:keepNext w:val="0"/>
              <w:keepLines w:val="0"/>
              <w:pageBreakBefore w:val="0"/>
              <w:kinsoku/>
              <w:wordWrap/>
              <w:overflowPunct/>
              <w:topLinePunct w:val="0"/>
              <w:autoSpaceDE/>
              <w:autoSpaceDN/>
              <w:bidi w:val="0"/>
              <w:snapToGrid w:val="0"/>
              <w:spacing w:line="240" w:lineRule="auto"/>
              <w:ind w:firstLine="0" w:firstLineChars="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1.制作工艺：贴面木材的拼贴严密、平整，无脱胶、透胶、鼓泡、凹陷、压痕、裂痕等缺陷；零件结合牢固、配件结合扎实、经久耐用、整体美观；软包部分应饱满圆润，结合牢固，坐感舒适；椅缓冲回弹性能良好，无冲击、无噪音</w:t>
            </w:r>
            <w:r>
              <w:rPr>
                <w:rFonts w:hint="eastAsia" w:ascii="宋体" w:hAnsi="宋体" w:eastAsia="宋体" w:cs="宋体"/>
                <w:color w:val="auto"/>
                <w:sz w:val="21"/>
                <w:szCs w:val="21"/>
                <w:highlight w:val="none"/>
              </w:rPr>
              <w:t>（评分范围：</w:t>
            </w:r>
            <w:r>
              <w:rPr>
                <w:rFonts w:hint="eastAsia" w:ascii="宋体" w:hAnsi="宋体" w:eastAsia="宋体" w:cs="宋体"/>
                <w:color w:val="auto"/>
                <w:sz w:val="21"/>
                <w:szCs w:val="21"/>
                <w:highlight w:val="none"/>
                <w:lang w:val="en-US" w:eastAsia="zh-CN"/>
              </w:rPr>
              <w:t>5，4，</w:t>
            </w:r>
            <w:r>
              <w:rPr>
                <w:rFonts w:hint="eastAsia" w:ascii="宋体" w:hAnsi="宋体" w:eastAsia="宋体" w:cs="宋体"/>
                <w:color w:val="auto"/>
                <w:sz w:val="21"/>
                <w:szCs w:val="21"/>
                <w:highlight w:val="none"/>
              </w:rPr>
              <w:t>3，2，1，0）</w:t>
            </w:r>
          </w:p>
          <w:p w14:paraId="304C012F">
            <w:pPr>
              <w:pStyle w:val="970"/>
              <w:keepNext w:val="0"/>
              <w:keepLines w:val="0"/>
              <w:pageBreakBefore w:val="0"/>
              <w:kinsoku/>
              <w:wordWrap/>
              <w:overflowPunct/>
              <w:topLinePunct w:val="0"/>
              <w:autoSpaceDE/>
              <w:autoSpaceDN/>
              <w:bidi w:val="0"/>
              <w:snapToGrid w:val="0"/>
              <w:spacing w:line="240" w:lineRule="auto"/>
              <w:ind w:firstLine="0" w:firstLineChars="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2.油漆涂饰：正视面（包括面板）涂层应平整光滑、清晰，涂膜实干后应无明显木孔沉陷，其他部位表面涂层光滑，无明显粒子、涨边和不平整；涂层不得有皱皮、发粘和漏漆现象，应无明显加工痕迹、划痕、白点、鼓泡、油臼、流挂、缩孔、刷毛、积粉和杂渣，表面平整度、光泽度、防虫、防腐处理；无刺激性异味</w:t>
            </w:r>
            <w:r>
              <w:rPr>
                <w:rFonts w:hint="eastAsia" w:ascii="宋体" w:hAnsi="宋体" w:eastAsia="宋体" w:cs="宋体"/>
                <w:color w:val="auto"/>
                <w:sz w:val="21"/>
                <w:szCs w:val="21"/>
                <w:highlight w:val="none"/>
              </w:rPr>
              <w:t>（评分范围</w:t>
            </w:r>
            <w:r>
              <w:rPr>
                <w:rFonts w:hint="eastAsia" w:ascii="宋体" w:hAnsi="宋体" w:eastAsia="宋体" w:cs="宋体"/>
                <w:color w:val="auto"/>
                <w:sz w:val="21"/>
                <w:szCs w:val="21"/>
                <w:highlight w:val="none"/>
                <w:lang w:val="en-US" w:eastAsia="zh-CN"/>
              </w:rPr>
              <w:t>,5，4，</w:t>
            </w:r>
            <w:r>
              <w:rPr>
                <w:rFonts w:hint="eastAsia" w:ascii="宋体" w:hAnsi="宋体" w:eastAsia="宋体" w:cs="宋体"/>
                <w:color w:val="auto"/>
                <w:sz w:val="21"/>
                <w:szCs w:val="21"/>
                <w:highlight w:val="none"/>
              </w:rPr>
              <w:t>3，2，1，0）</w:t>
            </w:r>
          </w:p>
          <w:p w14:paraId="59D5AD1B">
            <w:pPr>
              <w:pStyle w:val="970"/>
              <w:keepNext w:val="0"/>
              <w:keepLines w:val="0"/>
              <w:pageBreakBefore w:val="0"/>
              <w:kinsoku/>
              <w:wordWrap/>
              <w:overflowPunct/>
              <w:topLinePunct w:val="0"/>
              <w:autoSpaceDE/>
              <w:autoSpaceDN/>
              <w:bidi w:val="0"/>
              <w:snapToGrid w:val="0"/>
              <w:spacing w:line="24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b w:val="0"/>
                <w:bCs/>
                <w:color w:val="auto"/>
                <w:kern w:val="2"/>
                <w:sz w:val="21"/>
                <w:szCs w:val="21"/>
                <w:highlight w:val="none"/>
                <w:lang w:val="en-US" w:eastAsia="zh-CN" w:bidi="ar-SA"/>
              </w:rPr>
              <w:t>3.材料和五金件：根据所提供样品的材料及五金件等的品质、规格、效果等综合评定。</w:t>
            </w:r>
            <w:r>
              <w:rPr>
                <w:rFonts w:hint="eastAsia" w:ascii="宋体" w:hAnsi="宋体" w:eastAsia="宋体" w:cs="宋体"/>
                <w:color w:val="auto"/>
                <w:sz w:val="21"/>
                <w:szCs w:val="21"/>
                <w:highlight w:val="none"/>
              </w:rPr>
              <w:t>（评分范围：2，1，0）</w:t>
            </w:r>
          </w:p>
          <w:p w14:paraId="602121F8">
            <w:pPr>
              <w:pStyle w:val="970"/>
              <w:keepNext w:val="0"/>
              <w:keepLines w:val="0"/>
              <w:pageBreakBefore w:val="0"/>
              <w:kinsoku/>
              <w:wordWrap/>
              <w:overflowPunct/>
              <w:topLinePunct w:val="0"/>
              <w:autoSpaceDE/>
              <w:autoSpaceDN/>
              <w:bidi w:val="0"/>
              <w:snapToGrid w:val="0"/>
              <w:spacing w:line="240" w:lineRule="auto"/>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color w:val="auto"/>
                <w:highlight w:val="none"/>
              </w:rPr>
              <w:t>4、写字板翻放要求丝滑，翻放和回复时无噪声，观众在任何情况下起身都能顺畅自动回复。对其结构设计、现场使用情况、制作工艺进行综合评定。</w:t>
            </w:r>
            <w:r>
              <w:rPr>
                <w:rFonts w:hint="eastAsia" w:ascii="宋体" w:hAnsi="宋体" w:eastAsia="宋体" w:cs="宋体"/>
                <w:color w:val="auto"/>
                <w:highlight w:val="none"/>
              </w:rPr>
              <w:t>（评分范围： 1，0.5,0）</w:t>
            </w:r>
          </w:p>
        </w:tc>
        <w:tc>
          <w:tcPr>
            <w:tcW w:w="546" w:type="dxa"/>
            <w:vAlign w:val="center"/>
          </w:tcPr>
          <w:p w14:paraId="14BC877B">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13</w:t>
            </w:r>
          </w:p>
        </w:tc>
        <w:tc>
          <w:tcPr>
            <w:tcW w:w="1027" w:type="dxa"/>
            <w:vAlign w:val="center"/>
          </w:tcPr>
          <w:p w14:paraId="56F63A15">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主观分</w:t>
            </w:r>
          </w:p>
        </w:tc>
        <w:tc>
          <w:tcPr>
            <w:tcW w:w="1609" w:type="dxa"/>
            <w:vAlign w:val="center"/>
          </w:tcPr>
          <w:p w14:paraId="62F676B4">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样品</w:t>
            </w:r>
          </w:p>
        </w:tc>
      </w:tr>
      <w:tr w14:paraId="3C87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66" w:type="dxa"/>
            <w:vAlign w:val="center"/>
          </w:tcPr>
          <w:p w14:paraId="2B933F7C">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5147" w:type="dxa"/>
          </w:tcPr>
          <w:p w14:paraId="77E1318B">
            <w:pPr>
              <w:keepNext w:val="0"/>
              <w:keepLines w:val="0"/>
              <w:pageBreakBefore w:val="0"/>
              <w:kinsoku/>
              <w:wordWrap/>
              <w:overflowPunct/>
              <w:topLinePunct w:val="0"/>
              <w:autoSpaceDE/>
              <w:autoSpaceDN/>
              <w:bidi w:val="0"/>
              <w:snapToGrid w:val="0"/>
              <w:spacing w:line="240" w:lineRule="auto"/>
              <w:textAlignment w:val="auto"/>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有效投标报价的最低价作为评标基准价，其最低报价为满分；按［投标报价得分=（评标基准价/投标报价）*权重］的计算公式计算。</w:t>
            </w:r>
          </w:p>
          <w:p w14:paraId="536C1707">
            <w:pPr>
              <w:keepNext w:val="0"/>
              <w:keepLines w:val="0"/>
              <w:pageBreakBefore w:val="0"/>
              <w:widowControl/>
              <w:shd w:val="clear" w:color="auto" w:fill="FFFFFF"/>
              <w:kinsoku/>
              <w:wordWrap/>
              <w:overflowPunct/>
              <w:topLinePunct w:val="0"/>
              <w:autoSpaceDE/>
              <w:autoSpaceDN/>
              <w:bidi w:val="0"/>
              <w:adjustRightInd/>
              <w:snapToGrid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评标过程中，不得去掉报价中的最高报价和最低报价。</w:t>
            </w:r>
          </w:p>
          <w:p w14:paraId="33C3948A">
            <w:pPr>
              <w:keepNext w:val="0"/>
              <w:keepLines w:val="0"/>
              <w:pageBreakBefore w:val="0"/>
              <w:widowControl/>
              <w:shd w:val="clear" w:color="auto" w:fill="FFFFFF"/>
              <w:kinsoku/>
              <w:wordWrap/>
              <w:overflowPunct/>
              <w:topLinePunct w:val="0"/>
              <w:autoSpaceDE/>
              <w:autoSpaceDN/>
              <w:bidi w:val="0"/>
              <w:adjustRightInd/>
              <w:snapToGrid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对于未预留份额专门面向中小企业的政府采购货物项目，以及预留份额政府采购货物项目中的非预留部分标项，对小型和微型企业的投标报价给予</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%的扣除，用扣除后的价格参加评审。</w:t>
            </w:r>
          </w:p>
        </w:tc>
        <w:tc>
          <w:tcPr>
            <w:tcW w:w="546" w:type="dxa"/>
            <w:vAlign w:val="center"/>
          </w:tcPr>
          <w:p w14:paraId="56AB7E4A">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027" w:type="dxa"/>
            <w:vAlign w:val="center"/>
          </w:tcPr>
          <w:p w14:paraId="3408386D">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1609" w:type="dxa"/>
            <w:vAlign w:val="center"/>
          </w:tcPr>
          <w:p w14:paraId="491BE997">
            <w:pPr>
              <w:keepNext w:val="0"/>
              <w:keepLines w:val="0"/>
              <w:pageBreakBefore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tc>
      </w:tr>
    </w:tbl>
    <w:p w14:paraId="2434B4C8">
      <w:pPr>
        <w:rPr>
          <w:rFonts w:hint="eastAsia" w:ascii="宋体" w:hAnsi="宋体" w:eastAsia="宋体" w:cs="宋体"/>
          <w:color w:val="auto"/>
          <w:highlight w:val="none"/>
        </w:rPr>
      </w:pPr>
    </w:p>
    <w:p w14:paraId="711879A0">
      <w:pPr>
        <w:snapToGrid w:val="0"/>
        <w:spacing w:line="360" w:lineRule="auto"/>
        <w:rPr>
          <w:rFonts w:hint="eastAsia" w:ascii="宋体" w:hAnsi="宋体" w:eastAsia="宋体" w:cs="宋体"/>
          <w:b/>
          <w:color w:val="auto"/>
          <w:sz w:val="24"/>
          <w:highlight w:val="none"/>
        </w:rPr>
      </w:pPr>
      <w:r>
        <w:rPr>
          <w:rFonts w:hint="eastAsia" w:ascii="宋体" w:hAnsi="宋体" w:eastAsia="宋体" w:cs="宋体"/>
          <w:color w:val="auto"/>
          <w:sz w:val="20"/>
          <w:szCs w:val="20"/>
          <w:highlight w:val="none"/>
          <w:shd w:val="clear" w:color="auto" w:fill="FFFFFF"/>
        </w:rPr>
        <w:t> *</w:t>
      </w:r>
      <w:r>
        <w:rPr>
          <w:rFonts w:hint="eastAsia" w:ascii="宋体" w:hAnsi="宋体" w:eastAsia="宋体" w:cs="宋体"/>
          <w:b/>
          <w:color w:val="auto"/>
          <w:sz w:val="24"/>
          <w:highlight w:val="none"/>
        </w:rPr>
        <w:t>备注：</w:t>
      </w:r>
      <w:r>
        <w:rPr>
          <w:rFonts w:hint="eastAsia" w:ascii="宋体" w:hAnsi="宋体" w:eastAsia="宋体" w:cs="宋体"/>
          <w:color w:val="auto"/>
          <w:sz w:val="24"/>
          <w:highlight w:val="none"/>
        </w:rPr>
        <w:t>投标人编制投标文件（商务技术文件部分）时，建议按此目录（序号和内容）提供评标标准相应的商务技术资料。 </w:t>
      </w:r>
    </w:p>
    <w:p w14:paraId="536BDB92">
      <w:pPr>
        <w:snapToGrid w:val="0"/>
        <w:spacing w:line="360" w:lineRule="auto"/>
        <w:rPr>
          <w:rFonts w:hint="eastAsia" w:ascii="宋体" w:hAnsi="宋体" w:eastAsia="宋体" w:cs="宋体"/>
          <w:b/>
          <w:color w:val="auto"/>
          <w:sz w:val="28"/>
          <w:szCs w:val="28"/>
          <w:highlight w:val="none"/>
        </w:rPr>
      </w:pPr>
      <w:r>
        <w:rPr>
          <w:rFonts w:hint="eastAsia" w:ascii="宋体" w:hAnsi="宋体" w:eastAsia="宋体" w:cs="宋体"/>
          <w:b/>
          <w:color w:val="auto"/>
          <w:sz w:val="32"/>
          <w:highlight w:val="none"/>
        </w:rPr>
        <w:t>一、评标方法</w:t>
      </w:r>
    </w:p>
    <w:p w14:paraId="1E850D13">
      <w:pPr>
        <w:adjustRightInd/>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1.本项目采用综合评分法。</w:t>
      </w:r>
      <w:r>
        <w:rPr>
          <w:rFonts w:hint="eastAsia" w:ascii="宋体" w:hAnsi="宋体" w:eastAsia="宋体" w:cs="宋体"/>
          <w:color w:val="auto"/>
          <w:kern w:val="0"/>
          <w:sz w:val="24"/>
          <w:highlight w:val="none"/>
        </w:rPr>
        <w:t>综合评分法，是指投标文件满足招标文件全部实质性要求，且按照评审因素的量化指标评审得分最高的投标人为中标候选人的评标方法。</w:t>
      </w:r>
    </w:p>
    <w:p w14:paraId="66E35E21">
      <w:pPr>
        <w:adjustRightInd/>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sz w:val="32"/>
          <w:highlight w:val="none"/>
        </w:rPr>
        <w:t>二、评标标准</w:t>
      </w:r>
    </w:p>
    <w:p w14:paraId="0699B88D">
      <w:pPr>
        <w:spacing w:line="360" w:lineRule="auto"/>
        <w:ind w:firstLine="472" w:firstLineChars="19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b/>
          <w:color w:val="auto"/>
          <w:sz w:val="24"/>
          <w:highlight w:val="none"/>
        </w:rPr>
        <w:t>评标标准：</w:t>
      </w:r>
      <w:r>
        <w:rPr>
          <w:rFonts w:hint="eastAsia" w:ascii="宋体" w:hAnsi="宋体" w:eastAsia="宋体" w:cs="宋体"/>
          <w:color w:val="auto"/>
          <w:kern w:val="0"/>
          <w:sz w:val="24"/>
          <w:highlight w:val="none"/>
        </w:rPr>
        <w:t>见评标办法前附表。</w:t>
      </w:r>
    </w:p>
    <w:p w14:paraId="461746A5">
      <w:pPr>
        <w:spacing w:line="360" w:lineRule="auto"/>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三、评标程序</w:t>
      </w:r>
    </w:p>
    <w:p w14:paraId="6FB16065">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3.1符合性审查。</w:t>
      </w:r>
      <w:r>
        <w:rPr>
          <w:rFonts w:hint="eastAsia" w:ascii="宋体" w:hAnsi="宋体" w:eastAsia="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6911E15B">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3.2 比较与评价。</w:t>
      </w:r>
      <w:r>
        <w:rPr>
          <w:rFonts w:hint="eastAsia" w:ascii="宋体" w:hAnsi="宋体" w:eastAsia="宋体" w:cs="宋体"/>
          <w:color w:val="auto"/>
          <w:kern w:val="0"/>
          <w:sz w:val="24"/>
          <w:highlight w:val="none"/>
        </w:rPr>
        <w:t>评标委员会应当按照招标文件中规定的评标方法和标准，对符合性审查合格的投标文件进行商务和技术评估，综合比较与评价。</w:t>
      </w:r>
    </w:p>
    <w:p w14:paraId="65D54314">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3.3汇总商务技术得分。</w:t>
      </w:r>
      <w:r>
        <w:rPr>
          <w:rFonts w:hint="eastAsia" w:ascii="宋体" w:hAnsi="宋体" w:eastAsia="宋体" w:cs="宋体"/>
          <w:color w:val="auto"/>
          <w:kern w:val="0"/>
          <w:sz w:val="24"/>
          <w:highlight w:val="none"/>
        </w:rPr>
        <w:t>评标委员会各成员应当独立对每个投标人的商务和技术文件进行评价，并汇总商务技术得分情况。</w:t>
      </w:r>
    </w:p>
    <w:p w14:paraId="5BF07AE6">
      <w:pPr>
        <w:spacing w:line="360" w:lineRule="auto"/>
        <w:ind w:firstLine="472" w:firstLineChars="196"/>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3.4报价评审。</w:t>
      </w:r>
    </w:p>
    <w:p w14:paraId="160A7B90">
      <w:pPr>
        <w:pStyle w:val="132"/>
        <w:spacing w:before="0"/>
        <w:ind w:firstLine="508" w:firstLineChars="212"/>
        <w:rPr>
          <w:rFonts w:hint="eastAsia" w:ascii="宋体" w:hAnsi="宋体" w:eastAsia="宋体" w:cs="宋体"/>
          <w:color w:val="auto"/>
          <w:kern w:val="0"/>
          <w:highlight w:val="none"/>
        </w:rPr>
      </w:pPr>
      <w:r>
        <w:rPr>
          <w:rFonts w:hint="eastAsia" w:ascii="宋体" w:hAnsi="宋体" w:eastAsia="宋体" w:cs="宋体"/>
          <w:color w:val="auto"/>
          <w:kern w:val="0"/>
          <w:highlight w:val="none"/>
        </w:rPr>
        <w:t>3.4.1投标文件报价出现前后不一致的，按照下列规定修正：</w:t>
      </w:r>
    </w:p>
    <w:p w14:paraId="1B6D05CA">
      <w:pPr>
        <w:pStyle w:val="13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3.4.1.1投标文件中开标一览表(报价表)内容与投标文件中相应内容不一致的，以开标一览表(报价表)为准;</w:t>
      </w:r>
    </w:p>
    <w:p w14:paraId="3068D041">
      <w:pPr>
        <w:pStyle w:val="13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3.4.1.2大写金额和小写金额不一致的，以大写金额为准;</w:t>
      </w:r>
    </w:p>
    <w:p w14:paraId="58F4B600">
      <w:pPr>
        <w:pStyle w:val="13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3.4.1.3单价金额小数点或者百分比有明显错位的，以开标一览表的总价为准，并修改单价;</w:t>
      </w:r>
    </w:p>
    <w:p w14:paraId="303F5AE7">
      <w:pPr>
        <w:pStyle w:val="13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3.4.1.4总价金额与按单价汇总金额不一致的，以单价金额计算结果为准。</w:t>
      </w:r>
    </w:p>
    <w:p w14:paraId="7CF82B59">
      <w:pPr>
        <w:pStyle w:val="13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0C8497C7">
      <w:pPr>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3.4.2投标文件出现不是唯一的、有选择性投标报价的，投标无效。</w:t>
      </w:r>
    </w:p>
    <w:p w14:paraId="5592E5A9">
      <w:pPr>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3.4.3投标报价超过招标文件中规定的预算金额或者最高限价的，投标无效。</w:t>
      </w:r>
    </w:p>
    <w:p w14:paraId="67A12FEA">
      <w:pPr>
        <w:pStyle w:val="13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2E72FF75">
      <w:pPr>
        <w:pStyle w:val="13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3.4.5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5F0347EB">
      <w:pPr>
        <w:spacing w:line="360" w:lineRule="auto"/>
        <w:ind w:firstLine="482" w:firstLineChars="200"/>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3.5排序与推荐。</w:t>
      </w:r>
      <w:r>
        <w:rPr>
          <w:rFonts w:hint="eastAsia" w:ascii="宋体" w:hAnsi="宋体" w:eastAsia="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BFE3B87">
      <w:pPr>
        <w:spacing w:line="360" w:lineRule="auto"/>
        <w:ind w:firstLine="480" w:firstLineChars="200"/>
        <w:rPr>
          <w:rFonts w:hint="eastAsia" w:ascii="宋体" w:hAnsi="宋体" w:eastAsia="宋体" w:cs="宋体"/>
          <w:b/>
          <w:color w:val="auto"/>
          <w:kern w:val="0"/>
          <w:sz w:val="24"/>
          <w:highlight w:val="none"/>
        </w:rPr>
      </w:pPr>
      <w:r>
        <w:rPr>
          <w:rFonts w:hint="eastAsia" w:ascii="宋体" w:hAnsi="宋体" w:eastAsia="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E360933">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3.6编写评标报告。</w:t>
      </w:r>
      <w:r>
        <w:rPr>
          <w:rFonts w:hint="eastAsia" w:ascii="宋体" w:hAnsi="宋体" w:eastAsia="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B220A67">
      <w:pPr>
        <w:widowControl/>
        <w:shd w:val="clear" w:color="auto" w:fill="FFFFFF"/>
        <w:adjustRightInd/>
        <w:spacing w:after="225" w:line="315" w:lineRule="atLeast"/>
        <w:jc w:val="left"/>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四、评标中的其他事项</w:t>
      </w:r>
    </w:p>
    <w:p w14:paraId="23E4F193">
      <w:pPr>
        <w:pStyle w:val="132"/>
        <w:spacing w:before="0"/>
        <w:ind w:firstLine="472" w:firstLineChars="196"/>
        <w:rPr>
          <w:rFonts w:hint="eastAsia" w:ascii="宋体" w:hAnsi="宋体" w:eastAsia="宋体" w:cs="宋体"/>
          <w:color w:val="auto"/>
          <w:kern w:val="0"/>
          <w:szCs w:val="24"/>
          <w:highlight w:val="none"/>
        </w:rPr>
      </w:pPr>
      <w:r>
        <w:rPr>
          <w:rFonts w:hint="eastAsia" w:ascii="宋体" w:hAnsi="宋体" w:eastAsia="宋体" w:cs="宋体"/>
          <w:b/>
          <w:color w:val="auto"/>
          <w:kern w:val="0"/>
          <w:szCs w:val="24"/>
          <w:highlight w:val="none"/>
        </w:rPr>
        <w:t>4.1投标人澄清、说明或者补正。</w:t>
      </w:r>
      <w:r>
        <w:rPr>
          <w:rFonts w:hint="eastAsia" w:ascii="宋体" w:hAnsi="宋体" w:eastAsia="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F9A6F05">
      <w:pPr>
        <w:pStyle w:val="26"/>
        <w:spacing w:line="360" w:lineRule="auto"/>
        <w:ind w:left="954" w:leftChars="226" w:hanging="479" w:firstLineChars="0"/>
        <w:rPr>
          <w:rFonts w:hint="eastAsia" w:ascii="宋体" w:hAnsi="宋体" w:eastAsia="宋体" w:cs="宋体"/>
          <w:color w:val="auto"/>
          <w:szCs w:val="21"/>
          <w:highlight w:val="none"/>
        </w:rPr>
      </w:pPr>
      <w:r>
        <w:rPr>
          <w:rFonts w:hint="eastAsia" w:ascii="宋体" w:hAnsi="宋体" w:eastAsia="宋体" w:cs="宋体"/>
          <w:b/>
          <w:color w:val="auto"/>
          <w:kern w:val="0"/>
          <w:highlight w:val="none"/>
        </w:rPr>
        <w:t>4.2投标无效。</w:t>
      </w:r>
      <w:r>
        <w:rPr>
          <w:rFonts w:hint="eastAsia" w:ascii="宋体" w:hAnsi="宋体" w:eastAsia="宋体" w:cs="宋体"/>
          <w:color w:val="auto"/>
          <w:szCs w:val="21"/>
          <w:highlight w:val="none"/>
        </w:rPr>
        <w:t>有下列情形之一的，投标无效：</w:t>
      </w:r>
    </w:p>
    <w:p w14:paraId="5FFF9F53">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4.2.1投标人不具备招标文件中规定的资格要求的（投标人未提供有效的资格文件的，视为投标人不具备招标文件中规定的资格要求）；</w:t>
      </w:r>
    </w:p>
    <w:p w14:paraId="1EFC340F">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4.2.2投标文件未按照招标文件要求签署、盖章的；</w:t>
      </w:r>
    </w:p>
    <w:p w14:paraId="7E5F8906">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4325799C">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4.2.4投标文件含有采购人不能接受的附加条件的；</w:t>
      </w:r>
    </w:p>
    <w:p w14:paraId="7D82E4E3">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4.2.5投标文件中承诺的投标有效期少于招标文件中载明的投标有效期的；</w:t>
      </w:r>
    </w:p>
    <w:p w14:paraId="74672325">
      <w:pPr>
        <w:snapToGrid w:val="0"/>
        <w:spacing w:line="360" w:lineRule="auto"/>
        <w:ind w:firstLine="120" w:firstLineChars="5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4.2.6投标文件出现不是唯一的、有选择性投标报价的;</w:t>
      </w:r>
    </w:p>
    <w:p w14:paraId="5A8C4DD4">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4.2.7投标报价超过招标文件中规定的预算金额或者最高限价的;</w:t>
      </w:r>
    </w:p>
    <w:p w14:paraId="562D8729">
      <w:pPr>
        <w:ind w:firstLine="240" w:firstLineChars="100"/>
        <w:rPr>
          <w:rFonts w:hint="eastAsia" w:ascii="宋体" w:hAnsi="宋体" w:eastAsia="宋体" w:cs="宋体"/>
          <w:color w:val="auto"/>
          <w:kern w:val="0"/>
          <w:sz w:val="24"/>
          <w:highlight w:val="none"/>
        </w:rPr>
      </w:pPr>
    </w:p>
    <w:p w14:paraId="08C08C16">
      <w:pPr>
        <w:ind w:firstLine="240" w:firstLineChars="100"/>
        <w:rPr>
          <w:rFonts w:hint="eastAsia" w:ascii="宋体" w:hAnsi="宋体" w:eastAsia="宋体" w:cs="宋体"/>
          <w:color w:val="auto"/>
          <w:highlight w:val="none"/>
        </w:rPr>
      </w:pPr>
      <w:r>
        <w:rPr>
          <w:rFonts w:hint="eastAsia" w:ascii="宋体" w:hAnsi="宋体" w:eastAsia="宋体" w:cs="宋体"/>
          <w:color w:val="auto"/>
          <w:kern w:val="0"/>
          <w:sz w:val="24"/>
          <w:highlight w:val="none"/>
        </w:rPr>
        <w:t>4.2.</w:t>
      </w:r>
      <w:r>
        <w:rPr>
          <w:rFonts w:hint="eastAsia" w:ascii="宋体" w:hAnsi="宋体" w:eastAsia="宋体" w:cs="宋体"/>
          <w:color w:val="auto"/>
          <w:kern w:val="0"/>
          <w:sz w:val="24"/>
          <w:highlight w:val="none"/>
          <w:lang w:val="en-US" w:eastAsia="zh-CN"/>
        </w:rPr>
        <w:t>8</w:t>
      </w:r>
      <w:r>
        <w:rPr>
          <w:rFonts w:hint="eastAsia" w:ascii="宋体" w:hAnsi="宋体" w:eastAsia="宋体" w:cs="宋体"/>
          <w:color w:val="auto"/>
          <w:sz w:val="24"/>
          <w:highlight w:val="none"/>
          <w:lang w:val="en-US" w:eastAsia="zh-CN"/>
        </w:rPr>
        <w:t>《中小企业声明函》填写企业类型错误或者未填写企业类型的，投标无效。</w:t>
      </w:r>
    </w:p>
    <w:p w14:paraId="7688C9BD">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4.2.9投标人对根据修正原则修正后的报价不确认的；</w:t>
      </w:r>
    </w:p>
    <w:p w14:paraId="724688B0">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4.2.10投标人提供虚假材料投标的；</w:t>
      </w:r>
    </w:p>
    <w:p w14:paraId="3C5D19C9">
      <w:pPr>
        <w:spacing w:line="360" w:lineRule="auto"/>
        <w:ind w:firstLine="240" w:firstLine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4.2.11投标人有恶意串通、妨碍其他投标人的竞争行为、损害采购人或者其他投标人的合法权益情形的；</w:t>
      </w:r>
    </w:p>
    <w:p w14:paraId="0B7D8343">
      <w:pPr>
        <w:pStyle w:val="81"/>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 xml:space="preserve">4.2.12 </w:t>
      </w:r>
      <w:r>
        <w:rPr>
          <w:rFonts w:hint="eastAsia" w:ascii="宋体" w:hAnsi="宋体" w:eastAsia="宋体" w:cs="宋体"/>
          <w:color w:val="auto"/>
          <w:highlight w:val="none"/>
        </w:rPr>
        <w:t>参与同一个采购包（标段）的供应商存在下列情形之一的，其投标（响应）文件无效：（1）不同供应商的电子投标（响应）文件上传计算机的网卡MAC地址、CPU序列号和硬盘序列号等硬件信息相同的；（2）上传的电子投标（响应）文件若出现使用本项目其他投标（响应）人的数字证书加密的，或者加盖本项目其他投标（响应）人的电子印章的；（3）不同供应商的投标（响应）文件的内容存在两处以上细节错误一致，且无法合理解释的；（4）不同供应商联系人为同一人或不同联系人的联系电话一致，且无法合理解释的。</w:t>
      </w:r>
    </w:p>
    <w:p w14:paraId="1D69E963">
      <w:pPr>
        <w:pStyle w:val="81"/>
        <w:rPr>
          <w:rFonts w:hint="eastAsia" w:ascii="宋体" w:hAnsi="宋体" w:eastAsia="宋体" w:cs="宋体"/>
          <w:color w:val="auto"/>
          <w:highlight w:val="none"/>
          <w:lang w:val="en-US" w:eastAsia="zh-CN"/>
        </w:rPr>
      </w:pPr>
    </w:p>
    <w:p w14:paraId="1981F0E2">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4.2.12投标人仅提交备份投标文件，未在电子交易平台传输递交投标文件的，投标无效；</w:t>
      </w:r>
    </w:p>
    <w:p w14:paraId="4D896651">
      <w:pPr>
        <w:pStyle w:val="2"/>
        <w:ind w:left="862" w:leftChars="205"/>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4.2.13 投标文件不满足招标文件的其它实质性要求的；</w:t>
      </w:r>
    </w:p>
    <w:p w14:paraId="0507730C">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4.2.14法律、法规、规章（适用本市的）及省级以上规范性文件（适用本市的）规定的其他无效情形。</w:t>
      </w:r>
    </w:p>
    <w:p w14:paraId="30CCB93C">
      <w:pPr>
        <w:pStyle w:val="26"/>
        <w:snapToGrid w:val="0"/>
        <w:spacing w:line="360" w:lineRule="auto"/>
        <w:ind w:firstLine="472" w:firstLineChars="196"/>
        <w:rPr>
          <w:rFonts w:hint="eastAsia" w:ascii="宋体" w:hAnsi="宋体" w:eastAsia="宋体" w:cs="宋体"/>
          <w:color w:val="auto"/>
          <w:highlight w:val="none"/>
        </w:rPr>
      </w:pPr>
      <w:r>
        <w:rPr>
          <w:rFonts w:hint="eastAsia" w:ascii="宋体" w:hAnsi="宋体" w:eastAsia="宋体" w:cs="宋体"/>
          <w:b/>
          <w:color w:val="auto"/>
          <w:highlight w:val="none"/>
        </w:rPr>
        <w:t>5.废标。</w:t>
      </w:r>
      <w:r>
        <w:rPr>
          <w:rFonts w:hint="eastAsia" w:ascii="宋体" w:hAnsi="宋体" w:eastAsia="宋体" w:cs="宋体"/>
          <w:color w:val="auto"/>
          <w:highlight w:val="none"/>
        </w:rPr>
        <w:t>根据《中华人民共和国政府采购法》第三十六条之规定，在采购中，出现下列情形之一的，应予废标：</w:t>
      </w:r>
    </w:p>
    <w:p w14:paraId="6073D11F">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5.1符合专业条件的供应商或者对招标文件作实质响应的供应商不足3家的；</w:t>
      </w:r>
    </w:p>
    <w:p w14:paraId="6E3EDEA9">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5.2出现影响采购公正的违法、违规行为的；</w:t>
      </w:r>
    </w:p>
    <w:p w14:paraId="0328E097">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5.3投标人的报价均超过了采购预算，采购人不能支付的；</w:t>
      </w:r>
    </w:p>
    <w:p w14:paraId="4D6A93AE">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5.4因重大变故，采购任务取消的。</w:t>
      </w:r>
    </w:p>
    <w:p w14:paraId="025F263A">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废标后，</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应当将废标理由通知所有投标人。</w:t>
      </w:r>
    </w:p>
    <w:p w14:paraId="4E1DE72A">
      <w:pPr>
        <w:pStyle w:val="26"/>
        <w:snapToGrid w:val="0"/>
        <w:spacing w:line="360" w:lineRule="auto"/>
        <w:ind w:firstLine="590" w:firstLineChars="245"/>
        <w:rPr>
          <w:rFonts w:hint="eastAsia" w:ascii="宋体" w:hAnsi="宋体" w:eastAsia="宋体" w:cs="宋体"/>
          <w:color w:val="auto"/>
          <w:highlight w:val="none"/>
        </w:rPr>
      </w:pPr>
      <w:r>
        <w:rPr>
          <w:rFonts w:hint="eastAsia" w:ascii="宋体" w:hAnsi="宋体" w:eastAsia="宋体" w:cs="宋体"/>
          <w:b/>
          <w:color w:val="auto"/>
          <w:highlight w:val="none"/>
        </w:rPr>
        <w:t>6.修改招标文件，重新组织采购活动。</w:t>
      </w:r>
      <w:r>
        <w:rPr>
          <w:rFonts w:hint="eastAsia" w:ascii="宋体" w:hAnsi="宋体" w:eastAsia="宋体" w:cs="宋体"/>
          <w:color w:val="auto"/>
          <w:highlight w:val="none"/>
        </w:rPr>
        <w:t>评标委员会发现招标文件存在歧义、重大缺陷导致评标工作无法进行，或者招标文件内容违反国家有关强制性规定的，将停止评标工作，并与采购人、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沟通并作书面记录。采购人、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确认后，将修改招标文件，重新组织采购活动。</w:t>
      </w:r>
    </w:p>
    <w:p w14:paraId="4B905A48">
      <w:pPr>
        <w:pStyle w:val="26"/>
        <w:snapToGrid w:val="0"/>
        <w:spacing w:line="360" w:lineRule="auto"/>
        <w:ind w:firstLine="482"/>
        <w:rPr>
          <w:rFonts w:hint="eastAsia" w:ascii="宋体" w:hAnsi="宋体" w:eastAsia="宋体" w:cs="宋体"/>
          <w:color w:val="auto"/>
          <w:highlight w:val="none"/>
        </w:rPr>
      </w:pPr>
      <w:r>
        <w:rPr>
          <w:rFonts w:hint="eastAsia" w:ascii="宋体" w:hAnsi="宋体" w:eastAsia="宋体" w:cs="宋体"/>
          <w:b/>
          <w:color w:val="auto"/>
          <w:kern w:val="0"/>
          <w:highlight w:val="none"/>
        </w:rPr>
        <w:t>7.重新开展采购。</w:t>
      </w:r>
      <w:r>
        <w:rPr>
          <w:rFonts w:hint="eastAsia" w:ascii="宋体" w:hAnsi="宋体" w:eastAsia="宋体" w:cs="宋体"/>
          <w:color w:val="auto"/>
          <w:highlight w:val="none"/>
        </w:rPr>
        <w:t>有政府采购法第七十一条、第七十二条规定的违法行为之一，影响或者可能影响中标结果的，依照下列规定处理：</w:t>
      </w:r>
    </w:p>
    <w:p w14:paraId="5CAE6B27">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7.1未确定中标供应商的，终止本次政府采购活动，重新开展政府采购活动。</w:t>
      </w:r>
    </w:p>
    <w:p w14:paraId="2AA6CA83">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7.2已确定中标供应商但尚未签订政府采购合同的，中标结果无效，从合格的中标候选人中另行确定中标供应商；没有合格的中标候选人的，重新开展政府采购活动。</w:t>
      </w:r>
    </w:p>
    <w:p w14:paraId="1A248C4F">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7.3政府采购合同已签订但尚未履行的，撤销合同，从合格的中标候选人中另行确定中标供应商；没有合格的中标候选人的，重新开展政府采购活动。</w:t>
      </w:r>
    </w:p>
    <w:p w14:paraId="702E4B1D">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7.4政府采购合同已经履行，给采购人、供应商造成损失的，由责任人承担赔偿责任。</w:t>
      </w:r>
    </w:p>
    <w:p w14:paraId="42ECDB02">
      <w:pPr>
        <w:pStyle w:val="26"/>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16C2F8C7">
      <w:pPr>
        <w:pStyle w:val="26"/>
        <w:snapToGrid w:val="0"/>
        <w:spacing w:line="360" w:lineRule="auto"/>
        <w:ind w:firstLine="0" w:firstLineChars="0"/>
        <w:rPr>
          <w:rFonts w:hint="eastAsia" w:ascii="宋体" w:hAnsi="宋体" w:eastAsia="宋体" w:cs="宋体"/>
          <w:color w:val="auto"/>
          <w:highlight w:val="none"/>
        </w:rPr>
      </w:pPr>
    </w:p>
    <w:bookmarkEnd w:id="31"/>
    <w:p w14:paraId="4FB2428A">
      <w:pPr>
        <w:bidi w:val="0"/>
        <w:rPr>
          <w:rFonts w:hint="eastAsia" w:ascii="宋体" w:hAnsi="宋体" w:eastAsia="宋体" w:cs="宋体"/>
          <w:color w:val="auto"/>
          <w:highlight w:val="none"/>
        </w:rPr>
      </w:pPr>
      <w:bookmarkStart w:id="397" w:name="第五部分"/>
      <w:bookmarkStart w:id="398" w:name="_Toc86217003"/>
    </w:p>
    <w:p w14:paraId="3183CF12">
      <w:pPr>
        <w:bidi w:val="0"/>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2ED48C80">
      <w:pPr>
        <w:bidi w:val="0"/>
        <w:rPr>
          <w:rFonts w:hint="eastAsia" w:ascii="宋体" w:hAnsi="宋体" w:eastAsia="宋体" w:cs="宋体"/>
          <w:color w:val="auto"/>
          <w:highlight w:val="none"/>
        </w:rPr>
      </w:pPr>
    </w:p>
    <w:p w14:paraId="7BFE7E15">
      <w:pP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br w:type="page"/>
      </w:r>
    </w:p>
    <w:p w14:paraId="4D160F45">
      <w:pPr>
        <w:spacing w:line="360" w:lineRule="auto"/>
        <w:ind w:left="720" w:leftChars="343" w:firstLine="1084" w:firstLineChars="300"/>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第五部分 拟签订的合同文本</w:t>
      </w:r>
    </w:p>
    <w:p w14:paraId="485663BD">
      <w:pPr>
        <w:adjustRightInd w:val="0"/>
        <w:rPr>
          <w:rFonts w:hint="eastAsia" w:ascii="宋体" w:hAnsi="宋体" w:eastAsia="宋体" w:cs="宋体"/>
          <w:color w:val="auto"/>
          <w:highlight w:val="none"/>
          <w:u w:val="single"/>
        </w:rPr>
      </w:pPr>
      <w:r>
        <w:rPr>
          <w:rFonts w:hint="eastAsia" w:ascii="宋体" w:hAnsi="宋体" w:eastAsia="宋体" w:cs="宋体"/>
          <w:color w:val="auto"/>
          <w:highlight w:val="none"/>
        </w:rPr>
        <w:t>合同编号：</w:t>
      </w:r>
      <w:r>
        <w:rPr>
          <w:rFonts w:hint="eastAsia" w:ascii="宋体" w:hAnsi="宋体" w:eastAsia="宋体" w:cs="宋体"/>
          <w:color w:val="auto"/>
          <w:highlight w:val="none"/>
          <w:u w:val="single"/>
        </w:rPr>
        <w:t xml:space="preserve">           </w:t>
      </w:r>
    </w:p>
    <w:p w14:paraId="1EAC3A88">
      <w:pPr>
        <w:adjustRightInd w:val="0"/>
        <w:spacing w:line="480" w:lineRule="auto"/>
        <w:jc w:val="center"/>
        <w:rPr>
          <w:rFonts w:hint="eastAsia" w:ascii="宋体" w:hAnsi="宋体" w:eastAsia="宋体" w:cs="宋体"/>
          <w:b/>
          <w:color w:val="auto"/>
          <w:sz w:val="28"/>
          <w:szCs w:val="28"/>
          <w:highlight w:val="none"/>
        </w:rPr>
      </w:pPr>
    </w:p>
    <w:p w14:paraId="0E497D1D">
      <w:pPr>
        <w:adjustRightInd w:val="0"/>
        <w:spacing w:line="480" w:lineRule="auto"/>
        <w:jc w:val="center"/>
        <w:rPr>
          <w:rFonts w:hint="eastAsia" w:ascii="宋体" w:hAnsi="宋体" w:eastAsia="宋体" w:cs="宋体"/>
          <w:b/>
          <w:color w:val="auto"/>
          <w:highlight w:val="none"/>
        </w:rPr>
      </w:pPr>
    </w:p>
    <w:p w14:paraId="6B052CDA">
      <w:pPr>
        <w:adjustRightInd w:val="0"/>
        <w:spacing w:line="480" w:lineRule="auto"/>
        <w:jc w:val="center"/>
        <w:rPr>
          <w:rFonts w:hint="eastAsia" w:ascii="宋体" w:hAnsi="宋体" w:eastAsia="宋体" w:cs="宋体"/>
          <w:b/>
          <w:color w:val="auto"/>
          <w:highlight w:val="none"/>
        </w:rPr>
      </w:pPr>
    </w:p>
    <w:p w14:paraId="3042288F">
      <w:pPr>
        <w:adjustRightInd w:val="0"/>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合同参考范本</w:t>
      </w:r>
    </w:p>
    <w:p w14:paraId="6A6FCFAC">
      <w:pPr>
        <w:adjustRightInd w:val="0"/>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（货物类）</w:t>
      </w:r>
    </w:p>
    <w:p w14:paraId="05750633">
      <w:pPr>
        <w:autoSpaceDE w:val="0"/>
        <w:autoSpaceDN w:val="0"/>
        <w:adjustRightInd w:val="0"/>
        <w:snapToGrid w:val="0"/>
        <w:spacing w:after="120" w:line="360" w:lineRule="auto"/>
        <w:ind w:left="420" w:leftChars="200" w:firstLine="420" w:firstLineChars="200"/>
        <w:rPr>
          <w:rFonts w:hint="eastAsia" w:ascii="宋体" w:hAnsi="宋体" w:eastAsia="宋体" w:cs="宋体"/>
          <w:color w:val="auto"/>
          <w:highlight w:val="none"/>
        </w:rPr>
      </w:pPr>
    </w:p>
    <w:p w14:paraId="653EE5C1">
      <w:pPr>
        <w:autoSpaceDE w:val="0"/>
        <w:autoSpaceDN w:val="0"/>
        <w:adjustRightInd w:val="0"/>
        <w:snapToGrid w:val="0"/>
        <w:spacing w:after="120" w:line="360" w:lineRule="auto"/>
        <w:ind w:left="420" w:leftChars="200" w:firstLine="420" w:firstLineChars="200"/>
        <w:jc w:val="center"/>
        <w:rPr>
          <w:rFonts w:hint="eastAsia" w:ascii="宋体" w:hAnsi="宋体" w:eastAsia="宋体" w:cs="宋体"/>
          <w:color w:val="auto"/>
          <w:highlight w:val="none"/>
        </w:rPr>
      </w:pPr>
    </w:p>
    <w:p w14:paraId="78004A90">
      <w:pPr>
        <w:autoSpaceDE w:val="0"/>
        <w:autoSpaceDN w:val="0"/>
        <w:adjustRightInd w:val="0"/>
        <w:snapToGrid w:val="0"/>
        <w:spacing w:after="120" w:line="360" w:lineRule="auto"/>
        <w:ind w:left="420" w:leftChars="200" w:firstLine="2488" w:firstLineChars="1180"/>
        <w:rPr>
          <w:rFonts w:hint="eastAsia" w:ascii="宋体" w:hAnsi="宋体" w:eastAsia="宋体" w:cs="宋体"/>
          <w:b/>
          <w:color w:val="auto"/>
          <w:highlight w:val="none"/>
        </w:rPr>
      </w:pPr>
      <w:r>
        <w:rPr>
          <w:rFonts w:hint="eastAsia" w:ascii="宋体" w:hAnsi="宋体" w:eastAsia="宋体" w:cs="宋体"/>
          <w:b/>
          <w:color w:val="auto"/>
          <w:highlight w:val="none"/>
        </w:rPr>
        <w:t>第一部分 合同书</w:t>
      </w:r>
    </w:p>
    <w:p w14:paraId="00D05528">
      <w:pPr>
        <w:autoSpaceDE w:val="0"/>
        <w:autoSpaceDN w:val="0"/>
        <w:adjustRightInd w:val="0"/>
        <w:snapToGrid w:val="0"/>
        <w:spacing w:after="120" w:line="360" w:lineRule="auto"/>
        <w:ind w:left="420" w:leftChars="200" w:firstLine="420" w:firstLineChars="200"/>
        <w:rPr>
          <w:rFonts w:hint="eastAsia" w:ascii="宋体" w:hAnsi="宋体" w:eastAsia="宋体" w:cs="宋体"/>
          <w:color w:val="auto"/>
          <w:highlight w:val="none"/>
        </w:rPr>
      </w:pPr>
    </w:p>
    <w:p w14:paraId="133E05F3">
      <w:pPr>
        <w:autoSpaceDE w:val="0"/>
        <w:autoSpaceDN w:val="0"/>
        <w:adjustRightInd w:val="0"/>
        <w:snapToGrid w:val="0"/>
        <w:spacing w:after="120" w:line="360" w:lineRule="auto"/>
        <w:ind w:left="420" w:leftChars="200" w:firstLine="420" w:firstLineChars="200"/>
        <w:rPr>
          <w:rFonts w:hint="eastAsia" w:ascii="宋体" w:hAnsi="宋体" w:eastAsia="宋体" w:cs="宋体"/>
          <w:color w:val="auto"/>
          <w:highlight w:val="none"/>
        </w:rPr>
      </w:pPr>
    </w:p>
    <w:p w14:paraId="2951F3C8">
      <w:pPr>
        <w:adjustRightInd w:val="0"/>
        <w:spacing w:before="120" w:line="22" w:lineRule="atLeast"/>
        <w:rPr>
          <w:rFonts w:hint="eastAsia" w:ascii="宋体" w:hAnsi="宋体" w:eastAsia="宋体" w:cs="宋体"/>
          <w:color w:val="auto"/>
          <w:highlight w:val="none"/>
        </w:rPr>
      </w:pPr>
    </w:p>
    <w:p w14:paraId="4E3A1BBA">
      <w:pPr>
        <w:adjustRightInd w:val="0"/>
        <w:spacing w:before="120" w:line="22" w:lineRule="atLeast"/>
        <w:ind w:left="960"/>
        <w:rPr>
          <w:rFonts w:hint="eastAsia" w:ascii="宋体" w:hAnsi="宋体" w:eastAsia="宋体" w:cs="宋体"/>
          <w:color w:val="auto"/>
          <w:highlight w:val="none"/>
        </w:rPr>
      </w:pPr>
      <w:r>
        <w:rPr>
          <w:rFonts w:hint="eastAsia" w:ascii="宋体" w:hAnsi="宋体" w:eastAsia="宋体" w:cs="宋体"/>
          <w:color w:val="auto"/>
          <w:highlight w:val="none"/>
        </w:rPr>
        <w:t>项目名称：</w:t>
      </w:r>
      <w:r>
        <w:rPr>
          <w:rFonts w:hint="eastAsia" w:ascii="宋体" w:hAnsi="宋体" w:eastAsia="宋体" w:cs="宋体"/>
          <w:color w:val="auto"/>
          <w:highlight w:val="none"/>
          <w:u w:val="single"/>
        </w:rPr>
        <w:t xml:space="preserve">  杭州第九中学树范学校</w:t>
      </w:r>
      <w:r>
        <w:rPr>
          <w:rFonts w:hint="eastAsia" w:ascii="宋体" w:hAnsi="宋体" w:cs="宋体"/>
          <w:color w:val="auto"/>
          <w:highlight w:val="none"/>
          <w:u w:val="single"/>
          <w:lang w:eastAsia="zh-CN"/>
        </w:rPr>
        <w:t>报告厅椅子采购</w:t>
      </w:r>
      <w:r>
        <w:rPr>
          <w:rFonts w:hint="eastAsia" w:ascii="宋体" w:hAnsi="宋体" w:eastAsia="宋体" w:cs="宋体"/>
          <w:color w:val="auto"/>
          <w:highlight w:val="none"/>
          <w:u w:val="single"/>
        </w:rPr>
        <w:t xml:space="preserve">   </w:t>
      </w:r>
    </w:p>
    <w:p w14:paraId="0FF4C88E">
      <w:pPr>
        <w:spacing w:before="120" w:line="22" w:lineRule="atLeast"/>
        <w:rPr>
          <w:rFonts w:hint="eastAsia" w:ascii="宋体" w:hAnsi="宋体" w:eastAsia="宋体" w:cs="宋体"/>
          <w:color w:val="auto"/>
          <w:highlight w:val="none"/>
        </w:rPr>
      </w:pPr>
    </w:p>
    <w:p w14:paraId="4C43772E">
      <w:pPr>
        <w:adjustRightInd w:val="0"/>
        <w:rPr>
          <w:rFonts w:hint="eastAsia" w:ascii="宋体" w:hAnsi="宋体" w:eastAsia="宋体" w:cs="宋体"/>
          <w:color w:val="auto"/>
          <w:highlight w:val="none"/>
        </w:rPr>
      </w:pPr>
    </w:p>
    <w:p w14:paraId="52CBF1CD">
      <w:pPr>
        <w:adjustRightInd w:val="0"/>
        <w:spacing w:before="120" w:line="22" w:lineRule="atLeast"/>
        <w:ind w:left="960"/>
        <w:rPr>
          <w:rFonts w:hint="eastAsia" w:ascii="宋体" w:hAnsi="宋体" w:eastAsia="宋体" w:cs="宋体"/>
          <w:color w:val="auto"/>
          <w:highlight w:val="none"/>
          <w:u w:val="single"/>
        </w:rPr>
      </w:pPr>
      <w:r>
        <w:rPr>
          <w:rFonts w:hint="eastAsia" w:ascii="宋体" w:hAnsi="宋体" w:eastAsia="宋体" w:cs="宋体"/>
          <w:color w:val="auto"/>
          <w:highlight w:val="none"/>
        </w:rPr>
        <w:t>甲方：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杭州第九中学树范学校</w:t>
      </w:r>
      <w:r>
        <w:rPr>
          <w:rFonts w:hint="eastAsia" w:ascii="宋体" w:hAnsi="宋体" w:eastAsia="宋体" w:cs="宋体"/>
          <w:color w:val="auto"/>
          <w:highlight w:val="none"/>
          <w:u w:val="single"/>
        </w:rPr>
        <w:t xml:space="preserve">                </w:t>
      </w:r>
    </w:p>
    <w:p w14:paraId="3C1D81A9">
      <w:pPr>
        <w:adjustRightInd w:val="0"/>
        <w:spacing w:before="120" w:line="22" w:lineRule="atLeast"/>
        <w:rPr>
          <w:rFonts w:hint="eastAsia" w:ascii="宋体" w:hAnsi="宋体" w:eastAsia="宋体" w:cs="宋体"/>
          <w:color w:val="auto"/>
          <w:highlight w:val="none"/>
        </w:rPr>
      </w:pPr>
    </w:p>
    <w:p w14:paraId="5ADA2B74">
      <w:pPr>
        <w:adjustRightInd w:val="0"/>
        <w:spacing w:before="120" w:line="22" w:lineRule="atLeast"/>
        <w:ind w:left="960"/>
        <w:rPr>
          <w:rFonts w:hint="eastAsia" w:ascii="宋体" w:hAnsi="宋体" w:eastAsia="宋体" w:cs="宋体"/>
          <w:color w:val="auto"/>
          <w:highlight w:val="none"/>
          <w:u w:val="single"/>
        </w:rPr>
      </w:pPr>
      <w:r>
        <w:rPr>
          <w:rFonts w:hint="eastAsia" w:ascii="宋体" w:hAnsi="宋体" w:eastAsia="宋体" w:cs="宋体"/>
          <w:color w:val="auto"/>
          <w:highlight w:val="none"/>
        </w:rPr>
        <w:t>乙方：</w:t>
      </w:r>
      <w:r>
        <w:rPr>
          <w:rFonts w:hint="eastAsia" w:ascii="宋体" w:hAnsi="宋体" w:eastAsia="宋体" w:cs="宋体"/>
          <w:color w:val="auto"/>
          <w:highlight w:val="none"/>
          <w:u w:val="single"/>
        </w:rPr>
        <w:t xml:space="preserve">                                       </w:t>
      </w:r>
    </w:p>
    <w:p w14:paraId="7C760FB2">
      <w:pPr>
        <w:adjustRightInd w:val="0"/>
        <w:spacing w:before="120" w:line="22" w:lineRule="atLeast"/>
        <w:rPr>
          <w:rFonts w:hint="eastAsia" w:ascii="宋体" w:hAnsi="宋体" w:eastAsia="宋体" w:cs="宋体"/>
          <w:color w:val="auto"/>
          <w:highlight w:val="none"/>
        </w:rPr>
      </w:pPr>
    </w:p>
    <w:p w14:paraId="3B788BB0">
      <w:pPr>
        <w:adjustRightInd w:val="0"/>
        <w:spacing w:before="120" w:line="22" w:lineRule="atLeast"/>
        <w:ind w:firstLine="840" w:firstLineChars="400"/>
        <w:rPr>
          <w:rFonts w:hint="eastAsia" w:ascii="宋体" w:hAnsi="宋体" w:eastAsia="宋体" w:cs="宋体"/>
          <w:color w:val="auto"/>
          <w:highlight w:val="none"/>
          <w:u w:val="single"/>
        </w:rPr>
      </w:pPr>
      <w:r>
        <w:rPr>
          <w:rFonts w:hint="eastAsia" w:ascii="宋体" w:hAnsi="宋体" w:eastAsia="宋体" w:cs="宋体"/>
          <w:color w:val="auto"/>
          <w:highlight w:val="none"/>
        </w:rPr>
        <w:t>签订地：</w:t>
      </w:r>
      <w:r>
        <w:rPr>
          <w:rFonts w:hint="eastAsia" w:ascii="宋体" w:hAnsi="宋体" w:eastAsia="宋体" w:cs="宋体"/>
          <w:color w:val="auto"/>
          <w:highlight w:val="none"/>
          <w:u w:val="single"/>
        </w:rPr>
        <w:t xml:space="preserve">                                     </w:t>
      </w:r>
    </w:p>
    <w:p w14:paraId="79154559">
      <w:pPr>
        <w:adjustRightInd w:val="0"/>
        <w:spacing w:before="120" w:line="22" w:lineRule="atLeast"/>
        <w:rPr>
          <w:rFonts w:hint="eastAsia" w:ascii="宋体" w:hAnsi="宋体" w:eastAsia="宋体" w:cs="宋体"/>
          <w:color w:val="auto"/>
          <w:highlight w:val="none"/>
        </w:rPr>
      </w:pPr>
    </w:p>
    <w:p w14:paraId="587CFCC4">
      <w:pPr>
        <w:adjustRightInd w:val="0"/>
        <w:spacing w:before="120" w:line="22" w:lineRule="atLeast"/>
        <w:ind w:firstLine="840" w:firstLineChars="400"/>
        <w:rPr>
          <w:rFonts w:hint="eastAsia" w:ascii="宋体" w:hAnsi="宋体" w:eastAsia="宋体" w:cs="宋体"/>
          <w:color w:val="auto"/>
          <w:highlight w:val="none"/>
          <w:u w:val="single"/>
        </w:rPr>
      </w:pPr>
      <w:r>
        <w:rPr>
          <w:rFonts w:hint="eastAsia" w:ascii="宋体" w:hAnsi="宋体" w:eastAsia="宋体" w:cs="宋体"/>
          <w:color w:val="auto"/>
          <w:highlight w:val="none"/>
        </w:rPr>
        <w:t>签订日期：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14:paraId="6AD83609">
      <w:pPr>
        <w:widowControl/>
        <w:jc w:val="left"/>
        <w:rPr>
          <w:rFonts w:hint="eastAsia" w:ascii="宋体" w:hAnsi="宋体" w:eastAsia="宋体" w:cs="宋体"/>
          <w:color w:val="auto"/>
          <w:kern w:val="0"/>
          <w:highlight w:val="none"/>
        </w:rPr>
        <w:sectPr>
          <w:headerReference r:id="rId10" w:type="default"/>
          <w:footerReference r:id="rId11" w:type="default"/>
          <w:pgSz w:w="11907" w:h="16840"/>
          <w:pgMar w:top="1474" w:right="1814" w:bottom="1474" w:left="1814" w:header="851" w:footer="851" w:gutter="0"/>
          <w:cols w:space="720" w:num="1"/>
        </w:sectPr>
      </w:pPr>
    </w:p>
    <w:p w14:paraId="7D0D1ED8">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lang w:val="zh-CN"/>
        </w:rPr>
        <w:t>年</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lang w:val="zh-CN"/>
        </w:rPr>
        <w:t>月</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lang w:val="zh-CN"/>
        </w:rPr>
        <w:t>日</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杭州第九中学树范学校</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以</w:t>
      </w:r>
      <w:r>
        <w:rPr>
          <w:rFonts w:hint="eastAsia" w:ascii="宋体" w:hAnsi="宋体" w:eastAsia="宋体" w:cs="宋体"/>
          <w:color w:val="auto"/>
          <w:highlight w:val="none"/>
          <w:u w:val="single"/>
        </w:rPr>
        <w:t xml:space="preserve">公开招标  </w:t>
      </w:r>
      <w:r>
        <w:rPr>
          <w:rFonts w:hint="eastAsia" w:ascii="宋体" w:hAnsi="宋体" w:eastAsia="宋体" w:cs="宋体"/>
          <w:color w:val="auto"/>
          <w:highlight w:val="none"/>
        </w:rPr>
        <w:t>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杭州第九中学树范学校</w:t>
      </w:r>
      <w:r>
        <w:rPr>
          <w:rFonts w:hint="eastAsia" w:ascii="宋体" w:hAnsi="宋体" w:cs="宋体"/>
          <w:color w:val="auto"/>
          <w:highlight w:val="none"/>
          <w:u w:val="single"/>
          <w:lang w:eastAsia="zh-CN"/>
        </w:rPr>
        <w:t>报告厅椅子采购</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项目进行了采购。经</w:t>
      </w:r>
      <w:r>
        <w:rPr>
          <w:rFonts w:hint="eastAsia" w:ascii="宋体" w:hAnsi="宋体" w:eastAsia="宋体" w:cs="宋体"/>
          <w:color w:val="auto"/>
          <w:highlight w:val="none"/>
          <w:u w:val="single"/>
        </w:rPr>
        <w:t xml:space="preserve">   评审委员会   </w:t>
      </w:r>
      <w:r>
        <w:rPr>
          <w:rFonts w:hint="eastAsia" w:ascii="宋体" w:hAnsi="宋体" w:eastAsia="宋体" w:cs="宋体"/>
          <w:color w:val="auto"/>
          <w:highlight w:val="none"/>
        </w:rPr>
        <w:t>评定，</w:t>
      </w:r>
      <w:r>
        <w:rPr>
          <w:rFonts w:hint="eastAsia" w:ascii="宋体" w:hAnsi="宋体" w:eastAsia="宋体" w:cs="宋体"/>
          <w:color w:val="auto"/>
          <w:highlight w:val="none"/>
          <w:u w:val="single"/>
        </w:rPr>
        <w:t xml:space="preserve">   （中标或者成交供应商名称）</w:t>
      </w:r>
      <w:r>
        <w:rPr>
          <w:rFonts w:hint="eastAsia" w:ascii="宋体" w:hAnsi="宋体" w:eastAsia="宋体" w:cs="宋体"/>
          <w:color w:val="auto"/>
          <w:highlight w:val="none"/>
        </w:rPr>
        <w:t>为该项目中标或者成交供应商。现于中标或者成交通知书发出之日起</w:t>
      </w:r>
      <w:r>
        <w:rPr>
          <w:rFonts w:hint="eastAsia" w:ascii="宋体" w:hAnsi="宋体" w:eastAsia="宋体" w:cs="宋体"/>
          <w:color w:val="auto"/>
          <w:highlight w:val="none"/>
          <w:lang w:val="en-US" w:eastAsia="zh-CN"/>
        </w:rPr>
        <w:t>30</w:t>
      </w:r>
      <w:r>
        <w:rPr>
          <w:rFonts w:hint="eastAsia" w:ascii="宋体" w:hAnsi="宋体" w:eastAsia="宋体" w:cs="宋体"/>
          <w:color w:val="auto"/>
          <w:highlight w:val="none"/>
        </w:rPr>
        <w:t>日内，按照采购文件等确定的事项签订本合同。</w:t>
      </w:r>
    </w:p>
    <w:p w14:paraId="6B6853C1">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lang w:val="zh-CN"/>
        </w:rPr>
        <w:t>根据《中华人民共和国民法典》《中华人民共和国政府采购法》等相关法律法规之规定，按照平等、自愿、公平、诚实信用和绿色的原则，经</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杭州第九中学树范学校</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val="zh-CN"/>
        </w:rPr>
        <w:t>以下简称：甲方）和</w:t>
      </w:r>
      <w:r>
        <w:rPr>
          <w:rFonts w:hint="eastAsia" w:ascii="宋体" w:hAnsi="宋体" w:eastAsia="宋体" w:cs="宋体"/>
          <w:color w:val="auto"/>
          <w:highlight w:val="none"/>
          <w:u w:val="single"/>
        </w:rPr>
        <w:t xml:space="preserve">   （中标或者成交供应商名称）   （</w:t>
      </w:r>
      <w:r>
        <w:rPr>
          <w:rFonts w:hint="eastAsia" w:ascii="宋体" w:hAnsi="宋体" w:eastAsia="宋体" w:cs="宋体"/>
          <w:color w:val="auto"/>
          <w:highlight w:val="none"/>
          <w:lang w:val="zh-CN"/>
        </w:rPr>
        <w:t>以下简称：乙方）协商一致，约定以下合同</w:t>
      </w:r>
      <w:r>
        <w:rPr>
          <w:rFonts w:hint="eastAsia" w:ascii="宋体" w:hAnsi="宋体" w:eastAsia="宋体" w:cs="宋体"/>
          <w:color w:val="auto"/>
          <w:highlight w:val="none"/>
        </w:rPr>
        <w:t>条款，以兹共同遵守、全面履行。</w:t>
      </w:r>
    </w:p>
    <w:p w14:paraId="4C209E13">
      <w:pPr>
        <w:adjustRightInd w:val="0"/>
        <w:spacing w:line="560" w:lineRule="exact"/>
        <w:ind w:firstLine="422" w:firstLineChars="200"/>
        <w:rPr>
          <w:rFonts w:hint="eastAsia" w:ascii="宋体" w:hAnsi="宋体" w:eastAsia="宋体" w:cs="宋体"/>
          <w:b/>
          <w:color w:val="auto"/>
          <w:highlight w:val="none"/>
        </w:rPr>
      </w:pPr>
      <w:bookmarkStart w:id="399" w:name="_Toc2232"/>
      <w:bookmarkStart w:id="400" w:name="_Toc3029"/>
      <w:bookmarkStart w:id="401" w:name="_Toc24059"/>
      <w:r>
        <w:rPr>
          <w:rFonts w:hint="eastAsia" w:ascii="宋体" w:hAnsi="宋体" w:eastAsia="宋体" w:cs="宋体"/>
          <w:b/>
          <w:color w:val="auto"/>
          <w:highlight w:val="none"/>
        </w:rPr>
        <w:t>1.1 合同组成部分</w:t>
      </w:r>
      <w:bookmarkEnd w:id="399"/>
      <w:bookmarkEnd w:id="400"/>
      <w:bookmarkEnd w:id="401"/>
    </w:p>
    <w:p w14:paraId="5BAD60C8">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下列文件为本合同的组成部分，并构成一个整体，需综合解释、相互补充。如果下列文件内容出现不一致的情形，那么在保证按照采购文件确定的事项的前提下，组成本合同的多份文件的优先适用顺序如下：</w:t>
      </w:r>
    </w:p>
    <w:p w14:paraId="1B63096C">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1.1.1 本合同及其补充合同、变更协议；</w:t>
      </w:r>
    </w:p>
    <w:p w14:paraId="6ACAA1CB">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1.1.2 中标或者成交通知书；</w:t>
      </w:r>
    </w:p>
    <w:p w14:paraId="065753CC">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1.1.3 投标或者响应文件（含澄清或者说明文件）；</w:t>
      </w:r>
    </w:p>
    <w:p w14:paraId="5102D224">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1.1.4 采购文件（含澄清或者修改文件）；</w:t>
      </w:r>
    </w:p>
    <w:p w14:paraId="46BE2E6B">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1.1.5 其他相关采购文件。</w:t>
      </w:r>
    </w:p>
    <w:p w14:paraId="3F0C7C12">
      <w:pPr>
        <w:adjustRightInd w:val="0"/>
        <w:spacing w:line="560" w:lineRule="exact"/>
        <w:ind w:firstLine="422" w:firstLineChars="200"/>
        <w:rPr>
          <w:rFonts w:hint="eastAsia" w:ascii="宋体" w:hAnsi="宋体" w:eastAsia="宋体" w:cs="宋体"/>
          <w:b/>
          <w:color w:val="auto"/>
          <w:highlight w:val="none"/>
        </w:rPr>
      </w:pPr>
      <w:bookmarkStart w:id="402" w:name="_Toc27126"/>
      <w:bookmarkStart w:id="403" w:name="_Toc24300"/>
      <w:bookmarkStart w:id="404" w:name="_Toc21295"/>
      <w:r>
        <w:rPr>
          <w:rFonts w:hint="eastAsia" w:ascii="宋体" w:hAnsi="宋体" w:eastAsia="宋体" w:cs="宋体"/>
          <w:b/>
          <w:color w:val="auto"/>
          <w:highlight w:val="none"/>
        </w:rPr>
        <w:t>1.2 货物</w:t>
      </w:r>
      <w:bookmarkEnd w:id="402"/>
      <w:bookmarkEnd w:id="403"/>
      <w:bookmarkEnd w:id="404"/>
    </w:p>
    <w:p w14:paraId="14EA76A6">
      <w:pPr>
        <w:adjustRightInd w:val="0"/>
        <w:spacing w:line="560" w:lineRule="exact"/>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1.2.1 货物名称、品牌、规格型号、花色：</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239BA061">
      <w:pPr>
        <w:adjustRightInd w:val="0"/>
        <w:spacing w:line="560" w:lineRule="exact"/>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1.2.2 货物数量：</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4C7B4749">
      <w:pPr>
        <w:adjustRightInd w:val="0"/>
        <w:spacing w:line="560" w:lineRule="exact"/>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1.2.3 货物质量：</w:t>
      </w:r>
      <w:r>
        <w:rPr>
          <w:rFonts w:hint="eastAsia" w:ascii="宋体" w:hAnsi="宋体" w:eastAsia="宋体" w:cs="宋体"/>
          <w:color w:val="auto"/>
          <w:highlight w:val="none"/>
          <w:u w:val="single"/>
        </w:rPr>
        <w:t>　　　　　　　　　                      　      ；</w:t>
      </w:r>
    </w:p>
    <w:p w14:paraId="507EB70D">
      <w:pPr>
        <w:adjustRightInd w:val="0"/>
        <w:spacing w:line="560" w:lineRule="exact"/>
        <w:ind w:firstLine="422" w:firstLineChars="200"/>
        <w:rPr>
          <w:rFonts w:hint="eastAsia" w:ascii="宋体" w:hAnsi="宋体" w:eastAsia="宋体" w:cs="宋体"/>
          <w:b/>
          <w:color w:val="auto"/>
          <w:highlight w:val="none"/>
        </w:rPr>
      </w:pPr>
      <w:bookmarkStart w:id="405" w:name="_Toc21631"/>
      <w:bookmarkStart w:id="406" w:name="_Toc23292"/>
      <w:bookmarkStart w:id="407" w:name="_Toc21551"/>
      <w:r>
        <w:rPr>
          <w:rFonts w:hint="eastAsia" w:ascii="宋体" w:hAnsi="宋体" w:eastAsia="宋体" w:cs="宋体"/>
          <w:b/>
          <w:color w:val="auto"/>
          <w:highlight w:val="none"/>
        </w:rPr>
        <w:t>1.3 价款</w:t>
      </w:r>
      <w:bookmarkEnd w:id="405"/>
      <w:bookmarkEnd w:id="406"/>
      <w:bookmarkEnd w:id="407"/>
    </w:p>
    <w:p w14:paraId="7FD5ABF1">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本合同总价（含税）为：￥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元（大写：</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元人民币）。</w:t>
      </w:r>
    </w:p>
    <w:p w14:paraId="0BC3D61F">
      <w:pPr>
        <w:adjustRightInd w:val="0"/>
        <w:spacing w:line="560" w:lineRule="exact"/>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3780"/>
        <w:gridCol w:w="2835"/>
      </w:tblGrid>
      <w:tr w14:paraId="4F5A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4" w:type="dxa"/>
            <w:tcBorders>
              <w:top w:val="single" w:color="auto" w:sz="4" w:space="0"/>
              <w:left w:val="single" w:color="auto" w:sz="4" w:space="0"/>
              <w:bottom w:val="single" w:color="auto" w:sz="4" w:space="0"/>
              <w:right w:val="single" w:color="auto" w:sz="4" w:space="0"/>
            </w:tcBorders>
            <w:noWrap w:val="0"/>
            <w:vAlign w:val="center"/>
          </w:tcPr>
          <w:p w14:paraId="68C31D6C">
            <w:pPr>
              <w:spacing w:line="560" w:lineRule="exact"/>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序号</w:t>
            </w:r>
          </w:p>
        </w:tc>
        <w:tc>
          <w:tcPr>
            <w:tcW w:w="3779" w:type="dxa"/>
            <w:tcBorders>
              <w:top w:val="single" w:color="auto" w:sz="4" w:space="0"/>
              <w:left w:val="single" w:color="auto" w:sz="4" w:space="0"/>
              <w:bottom w:val="single" w:color="auto" w:sz="4" w:space="0"/>
              <w:right w:val="single" w:color="auto" w:sz="4" w:space="0"/>
            </w:tcBorders>
            <w:noWrap w:val="0"/>
            <w:vAlign w:val="center"/>
          </w:tcPr>
          <w:p w14:paraId="0D6C9AAB">
            <w:pPr>
              <w:spacing w:line="560" w:lineRule="exact"/>
              <w:ind w:firstLine="20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分项名称</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5A9FB147">
            <w:pPr>
              <w:spacing w:line="560" w:lineRule="exact"/>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分项价格</w:t>
            </w:r>
          </w:p>
        </w:tc>
      </w:tr>
      <w:tr w14:paraId="7D09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4" w:type="dxa"/>
            <w:tcBorders>
              <w:top w:val="single" w:color="auto" w:sz="4" w:space="0"/>
              <w:left w:val="single" w:color="auto" w:sz="4" w:space="0"/>
              <w:bottom w:val="single" w:color="auto" w:sz="4" w:space="0"/>
              <w:right w:val="single" w:color="auto" w:sz="4" w:space="0"/>
            </w:tcBorders>
            <w:noWrap w:val="0"/>
            <w:vAlign w:val="center"/>
          </w:tcPr>
          <w:p w14:paraId="75670CD1">
            <w:pPr>
              <w:spacing w:line="560" w:lineRule="exact"/>
              <w:ind w:firstLine="200"/>
              <w:jc w:val="center"/>
              <w:rPr>
                <w:rFonts w:hint="eastAsia" w:ascii="宋体" w:hAnsi="宋体" w:eastAsia="宋体" w:cs="宋体"/>
                <w:color w:val="auto"/>
                <w:kern w:val="0"/>
                <w:highlight w:val="none"/>
              </w:rPr>
            </w:pPr>
          </w:p>
        </w:tc>
        <w:tc>
          <w:tcPr>
            <w:tcW w:w="3779" w:type="dxa"/>
            <w:tcBorders>
              <w:top w:val="single" w:color="auto" w:sz="4" w:space="0"/>
              <w:left w:val="single" w:color="auto" w:sz="4" w:space="0"/>
              <w:bottom w:val="single" w:color="auto" w:sz="4" w:space="0"/>
              <w:right w:val="single" w:color="auto" w:sz="4" w:space="0"/>
            </w:tcBorders>
            <w:noWrap w:val="0"/>
            <w:vAlign w:val="center"/>
          </w:tcPr>
          <w:p w14:paraId="742D885A">
            <w:pPr>
              <w:spacing w:line="560" w:lineRule="exact"/>
              <w:ind w:firstLine="200"/>
              <w:jc w:val="center"/>
              <w:rPr>
                <w:rFonts w:hint="eastAsia" w:ascii="宋体" w:hAnsi="宋体" w:eastAsia="宋体" w:cs="宋体"/>
                <w:color w:val="auto"/>
                <w:kern w:val="0"/>
                <w:highlight w:val="none"/>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89986B9">
            <w:pPr>
              <w:spacing w:line="560" w:lineRule="exact"/>
              <w:ind w:firstLine="200"/>
              <w:jc w:val="center"/>
              <w:rPr>
                <w:rFonts w:hint="eastAsia" w:ascii="宋体" w:hAnsi="宋体" w:eastAsia="宋体" w:cs="宋体"/>
                <w:color w:val="auto"/>
                <w:kern w:val="0"/>
                <w:highlight w:val="none"/>
              </w:rPr>
            </w:pPr>
          </w:p>
        </w:tc>
      </w:tr>
      <w:tr w14:paraId="6BF1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4" w:type="dxa"/>
            <w:tcBorders>
              <w:top w:val="single" w:color="auto" w:sz="4" w:space="0"/>
              <w:left w:val="single" w:color="auto" w:sz="4" w:space="0"/>
              <w:bottom w:val="single" w:color="auto" w:sz="4" w:space="0"/>
              <w:right w:val="single" w:color="auto" w:sz="4" w:space="0"/>
            </w:tcBorders>
            <w:noWrap w:val="0"/>
            <w:vAlign w:val="center"/>
          </w:tcPr>
          <w:p w14:paraId="1131CFE7">
            <w:pPr>
              <w:spacing w:line="560" w:lineRule="exact"/>
              <w:ind w:firstLine="200"/>
              <w:jc w:val="center"/>
              <w:rPr>
                <w:rFonts w:hint="eastAsia" w:ascii="宋体" w:hAnsi="宋体" w:eastAsia="宋体" w:cs="宋体"/>
                <w:color w:val="auto"/>
                <w:kern w:val="0"/>
                <w:highlight w:val="none"/>
              </w:rPr>
            </w:pPr>
          </w:p>
        </w:tc>
        <w:tc>
          <w:tcPr>
            <w:tcW w:w="3779" w:type="dxa"/>
            <w:tcBorders>
              <w:top w:val="single" w:color="auto" w:sz="4" w:space="0"/>
              <w:left w:val="single" w:color="auto" w:sz="4" w:space="0"/>
              <w:bottom w:val="single" w:color="auto" w:sz="4" w:space="0"/>
              <w:right w:val="single" w:color="auto" w:sz="4" w:space="0"/>
            </w:tcBorders>
            <w:noWrap w:val="0"/>
            <w:vAlign w:val="center"/>
          </w:tcPr>
          <w:p w14:paraId="124F4F5B">
            <w:pPr>
              <w:spacing w:line="560" w:lineRule="exact"/>
              <w:ind w:firstLine="200"/>
              <w:jc w:val="center"/>
              <w:rPr>
                <w:rFonts w:hint="eastAsia" w:ascii="宋体" w:hAnsi="宋体" w:eastAsia="宋体" w:cs="宋体"/>
                <w:color w:val="auto"/>
                <w:kern w:val="0"/>
                <w:highlight w:val="none"/>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14:paraId="39EC7D58">
            <w:pPr>
              <w:spacing w:line="560" w:lineRule="exact"/>
              <w:ind w:firstLine="200"/>
              <w:jc w:val="center"/>
              <w:rPr>
                <w:rFonts w:hint="eastAsia" w:ascii="宋体" w:hAnsi="宋体" w:eastAsia="宋体" w:cs="宋体"/>
                <w:color w:val="auto"/>
                <w:kern w:val="0"/>
                <w:highlight w:val="none"/>
              </w:rPr>
            </w:pPr>
          </w:p>
        </w:tc>
      </w:tr>
      <w:tr w14:paraId="4A7F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4" w:type="dxa"/>
            <w:tcBorders>
              <w:top w:val="single" w:color="auto" w:sz="4" w:space="0"/>
              <w:left w:val="single" w:color="auto" w:sz="4" w:space="0"/>
              <w:bottom w:val="single" w:color="auto" w:sz="4" w:space="0"/>
              <w:right w:val="single" w:color="auto" w:sz="4" w:space="0"/>
            </w:tcBorders>
            <w:noWrap w:val="0"/>
            <w:vAlign w:val="center"/>
          </w:tcPr>
          <w:p w14:paraId="4473B8A2">
            <w:pPr>
              <w:spacing w:line="560" w:lineRule="exact"/>
              <w:ind w:firstLine="200"/>
              <w:jc w:val="center"/>
              <w:rPr>
                <w:rFonts w:hint="eastAsia" w:ascii="宋体" w:hAnsi="宋体" w:eastAsia="宋体" w:cs="宋体"/>
                <w:color w:val="auto"/>
                <w:kern w:val="0"/>
                <w:highlight w:val="none"/>
              </w:rPr>
            </w:pPr>
          </w:p>
        </w:tc>
        <w:tc>
          <w:tcPr>
            <w:tcW w:w="3779" w:type="dxa"/>
            <w:tcBorders>
              <w:top w:val="single" w:color="auto" w:sz="4" w:space="0"/>
              <w:left w:val="single" w:color="auto" w:sz="4" w:space="0"/>
              <w:bottom w:val="single" w:color="auto" w:sz="4" w:space="0"/>
              <w:right w:val="single" w:color="auto" w:sz="4" w:space="0"/>
            </w:tcBorders>
            <w:noWrap w:val="0"/>
            <w:vAlign w:val="center"/>
          </w:tcPr>
          <w:p w14:paraId="43525473">
            <w:pPr>
              <w:spacing w:line="560" w:lineRule="exact"/>
              <w:ind w:firstLine="200"/>
              <w:jc w:val="center"/>
              <w:rPr>
                <w:rFonts w:hint="eastAsia" w:ascii="宋体" w:hAnsi="宋体" w:eastAsia="宋体" w:cs="宋体"/>
                <w:color w:val="auto"/>
                <w:kern w:val="0"/>
                <w:highlight w:val="none"/>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14:paraId="0251724C">
            <w:pPr>
              <w:spacing w:line="560" w:lineRule="exact"/>
              <w:ind w:firstLine="200"/>
              <w:jc w:val="center"/>
              <w:rPr>
                <w:rFonts w:hint="eastAsia" w:ascii="宋体" w:hAnsi="宋体" w:eastAsia="宋体" w:cs="宋体"/>
                <w:color w:val="auto"/>
                <w:kern w:val="0"/>
                <w:highlight w:val="none"/>
              </w:rPr>
            </w:pPr>
          </w:p>
        </w:tc>
      </w:tr>
      <w:tr w14:paraId="3059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4" w:type="dxa"/>
            <w:tcBorders>
              <w:top w:val="single" w:color="auto" w:sz="4" w:space="0"/>
              <w:left w:val="single" w:color="auto" w:sz="4" w:space="0"/>
              <w:bottom w:val="single" w:color="auto" w:sz="4" w:space="0"/>
              <w:right w:val="single" w:color="auto" w:sz="4" w:space="0"/>
            </w:tcBorders>
            <w:noWrap w:val="0"/>
            <w:vAlign w:val="center"/>
          </w:tcPr>
          <w:p w14:paraId="12AEDE70">
            <w:pPr>
              <w:spacing w:line="560" w:lineRule="exact"/>
              <w:ind w:firstLine="200"/>
              <w:jc w:val="center"/>
              <w:rPr>
                <w:rFonts w:hint="eastAsia" w:ascii="宋体" w:hAnsi="宋体" w:eastAsia="宋体" w:cs="宋体"/>
                <w:color w:val="auto"/>
                <w:kern w:val="0"/>
                <w:highlight w:val="none"/>
              </w:rPr>
            </w:pPr>
          </w:p>
        </w:tc>
        <w:tc>
          <w:tcPr>
            <w:tcW w:w="3779" w:type="dxa"/>
            <w:tcBorders>
              <w:top w:val="single" w:color="auto" w:sz="4" w:space="0"/>
              <w:left w:val="single" w:color="auto" w:sz="4" w:space="0"/>
              <w:bottom w:val="single" w:color="auto" w:sz="4" w:space="0"/>
              <w:right w:val="single" w:color="auto" w:sz="4" w:space="0"/>
            </w:tcBorders>
            <w:noWrap w:val="0"/>
            <w:vAlign w:val="center"/>
          </w:tcPr>
          <w:p w14:paraId="3E33F427">
            <w:pPr>
              <w:spacing w:line="560" w:lineRule="exact"/>
              <w:ind w:firstLine="200"/>
              <w:jc w:val="center"/>
              <w:rPr>
                <w:rFonts w:hint="eastAsia" w:ascii="宋体" w:hAnsi="宋体" w:eastAsia="宋体" w:cs="宋体"/>
                <w:color w:val="auto"/>
                <w:kern w:val="0"/>
                <w:highlight w:val="none"/>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14:paraId="208309D8">
            <w:pPr>
              <w:spacing w:line="560" w:lineRule="exact"/>
              <w:ind w:firstLine="200"/>
              <w:jc w:val="center"/>
              <w:rPr>
                <w:rFonts w:hint="eastAsia" w:ascii="宋体" w:hAnsi="宋体" w:eastAsia="宋体" w:cs="宋体"/>
                <w:color w:val="auto"/>
                <w:kern w:val="0"/>
                <w:highlight w:val="none"/>
              </w:rPr>
            </w:pPr>
          </w:p>
        </w:tc>
      </w:tr>
      <w:tr w14:paraId="25D1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114" w:type="dxa"/>
            <w:gridSpan w:val="2"/>
            <w:tcBorders>
              <w:top w:val="single" w:color="auto" w:sz="4" w:space="0"/>
              <w:left w:val="single" w:color="auto" w:sz="4" w:space="0"/>
              <w:bottom w:val="single" w:color="auto" w:sz="4" w:space="0"/>
              <w:right w:val="single" w:color="auto" w:sz="4" w:space="0"/>
            </w:tcBorders>
            <w:noWrap w:val="0"/>
            <w:vAlign w:val="center"/>
          </w:tcPr>
          <w:p w14:paraId="58836268">
            <w:pPr>
              <w:spacing w:line="560" w:lineRule="exact"/>
              <w:ind w:firstLine="20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t>总价</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63B8712F">
            <w:pPr>
              <w:spacing w:line="560" w:lineRule="exact"/>
              <w:ind w:firstLine="200"/>
              <w:jc w:val="center"/>
              <w:rPr>
                <w:rFonts w:hint="eastAsia" w:ascii="宋体" w:hAnsi="宋体" w:eastAsia="宋体" w:cs="宋体"/>
                <w:color w:val="auto"/>
                <w:kern w:val="0"/>
                <w:highlight w:val="none"/>
              </w:rPr>
            </w:pPr>
          </w:p>
        </w:tc>
      </w:tr>
    </w:tbl>
    <w:p w14:paraId="26011E67">
      <w:pPr>
        <w:widowControl/>
        <w:spacing w:line="360" w:lineRule="auto"/>
        <w:ind w:firstLine="480"/>
        <w:jc w:val="left"/>
        <w:rPr>
          <w:rFonts w:hint="eastAsia" w:ascii="宋体" w:hAnsi="宋体" w:eastAsia="宋体" w:cs="宋体"/>
          <w:b/>
          <w:color w:val="auto"/>
          <w:kern w:val="0"/>
          <w:highlight w:val="none"/>
        </w:rPr>
      </w:pPr>
      <w:bookmarkStart w:id="408" w:name="_Toc1814"/>
      <w:bookmarkStart w:id="409" w:name="_Toc22618"/>
      <w:bookmarkStart w:id="410" w:name="_Toc10340"/>
      <w:r>
        <w:rPr>
          <w:rFonts w:hint="eastAsia" w:ascii="宋体" w:hAnsi="宋体" w:eastAsia="宋体" w:cs="宋体"/>
          <w:b/>
          <w:bCs/>
          <w:color w:val="auto"/>
          <w:kern w:val="0"/>
          <w:highlight w:val="none"/>
          <w:lang w:bidi="ar"/>
        </w:rPr>
        <w:t>注：餐桌、椅及软包颜色可供选择，投标单价固定不变。</w:t>
      </w:r>
    </w:p>
    <w:p w14:paraId="593EFD14">
      <w:pPr>
        <w:adjustRightInd w:val="0"/>
        <w:spacing w:line="560" w:lineRule="exact"/>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1.4履约保证金</w:t>
      </w:r>
    </w:p>
    <w:p w14:paraId="629A163A">
      <w:pPr>
        <w:widowControl/>
        <w:spacing w:line="360" w:lineRule="auto"/>
        <w:ind w:firstLine="48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乙方</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u w:val="single"/>
          <w:lang w:val="en-US" w:eastAsia="zh-CN"/>
        </w:rPr>
        <w:t>是</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（是/否）需要支付履约保证金。若需要支付履约保证金的，则：</w:t>
      </w:r>
    </w:p>
    <w:p w14:paraId="6E4AFE56">
      <w:pPr>
        <w:adjustRightInd w:val="0"/>
        <w:spacing w:line="360" w:lineRule="auto"/>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1.4.1履约保证金的比例为合同金额的</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w:t>
      </w:r>
    </w:p>
    <w:p w14:paraId="0AF7EED9">
      <w:pPr>
        <w:adjustRightInd w:val="0"/>
        <w:spacing w:line="360" w:lineRule="auto"/>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1.4.2履约保证金支付方式详见</w:t>
      </w:r>
      <w:r>
        <w:rPr>
          <w:rFonts w:hint="eastAsia" w:ascii="宋体" w:hAnsi="宋体" w:eastAsia="宋体" w:cs="宋体"/>
          <w:color w:val="auto"/>
          <w:kern w:val="0"/>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w:t>
      </w:r>
    </w:p>
    <w:p w14:paraId="00C40E27">
      <w:pPr>
        <w:adjustRightInd w:val="0"/>
        <w:spacing w:line="360" w:lineRule="auto"/>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AA4EB9C">
      <w:pPr>
        <w:adjustRightIn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kern w:val="0"/>
          <w:highlight w:val="none"/>
        </w:rPr>
        <w:t>1.4.4 甲方在项目验收结束后及时退还履约保证金。甲方在项目通过验收之日起</w:t>
      </w:r>
      <w:r>
        <w:rPr>
          <w:rFonts w:hint="eastAsia" w:ascii="宋体" w:hAnsi="宋体" w:eastAsia="宋体" w:cs="宋体"/>
          <w:color w:val="auto"/>
          <w:kern w:val="0"/>
          <w:highlight w:val="none"/>
          <w:u w:val="single"/>
        </w:rPr>
        <w:t xml:space="preserve"> 7</w:t>
      </w:r>
      <w:r>
        <w:rPr>
          <w:rFonts w:hint="eastAsia" w:ascii="宋体" w:hAnsi="宋体" w:eastAsia="宋体" w:cs="宋体"/>
          <w:color w:val="auto"/>
          <w:kern w:val="0"/>
          <w:highlight w:val="none"/>
        </w:rPr>
        <w:t>个工作日内将履约保证金无息退还乙方，逾期退还的，乙方可要求甲方支付违约金，违约金按每迟延退还一日的应退还而未退还金额的</w:t>
      </w:r>
      <w:r>
        <w:rPr>
          <w:rFonts w:hint="eastAsia" w:ascii="宋体" w:hAnsi="宋体" w:eastAsia="宋体" w:cs="宋体"/>
          <w:color w:val="auto"/>
          <w:kern w:val="0"/>
          <w:highlight w:val="none"/>
          <w:u w:val="single"/>
        </w:rPr>
        <w:t xml:space="preserve">  0.05  </w:t>
      </w:r>
      <w:r>
        <w:rPr>
          <w:rFonts w:hint="eastAsia" w:ascii="宋体" w:hAnsi="宋体" w:eastAsia="宋体" w:cs="宋体"/>
          <w:color w:val="auto"/>
          <w:kern w:val="0"/>
          <w:highlight w:val="none"/>
        </w:rPr>
        <w:t>%计算，最高限额为本合同履约保证金的</w:t>
      </w:r>
      <w:r>
        <w:rPr>
          <w:rFonts w:hint="eastAsia" w:ascii="宋体" w:hAnsi="宋体" w:eastAsia="宋体" w:cs="宋体"/>
          <w:color w:val="auto"/>
          <w:kern w:val="0"/>
          <w:highlight w:val="none"/>
          <w:u w:val="single"/>
        </w:rPr>
        <w:t xml:space="preserve">  20  </w:t>
      </w:r>
      <w:r>
        <w:rPr>
          <w:rFonts w:hint="eastAsia" w:ascii="宋体" w:hAnsi="宋体" w:eastAsia="宋体" w:cs="宋体"/>
          <w:color w:val="auto"/>
          <w:kern w:val="0"/>
          <w:highlight w:val="none"/>
        </w:rPr>
        <w:t xml:space="preserve"> %。</w:t>
      </w:r>
    </w:p>
    <w:p w14:paraId="5745B385">
      <w:pPr>
        <w:adjustRightInd w:val="0"/>
        <w:spacing w:line="560" w:lineRule="exact"/>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1.5</w:t>
      </w:r>
      <w:bookmarkEnd w:id="408"/>
      <w:bookmarkEnd w:id="409"/>
      <w:bookmarkEnd w:id="410"/>
      <w:r>
        <w:rPr>
          <w:rFonts w:hint="eastAsia" w:ascii="宋体" w:hAnsi="宋体" w:eastAsia="宋体" w:cs="宋体"/>
          <w:b/>
          <w:color w:val="auto"/>
          <w:highlight w:val="none"/>
        </w:rPr>
        <w:t>预付款</w:t>
      </w:r>
    </w:p>
    <w:p w14:paraId="0620A9BC">
      <w:pPr>
        <w:widowControl/>
        <w:spacing w:line="360" w:lineRule="auto"/>
        <w:ind w:firstLine="48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甲方</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u w:val="single"/>
          <w:lang w:val="en-US" w:eastAsia="zh-CN"/>
        </w:rPr>
        <w:t>是</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（是/否）需要支付预付款。若需要支付预付款的，则：</w:t>
      </w:r>
    </w:p>
    <w:p w14:paraId="11F5A951">
      <w:pPr>
        <w:adjustRightInd w:val="0"/>
        <w:spacing w:line="360" w:lineRule="auto"/>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1.5.1预付款比例、支付方式、时间详见</w:t>
      </w:r>
      <w:r>
        <w:rPr>
          <w:rFonts w:hint="eastAsia" w:ascii="宋体" w:hAnsi="宋体" w:eastAsia="宋体" w:cs="宋体"/>
          <w:color w:val="auto"/>
          <w:kern w:val="0"/>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w:t>
      </w:r>
    </w:p>
    <w:p w14:paraId="6DEFF451">
      <w:pPr>
        <w:widowControl/>
        <w:spacing w:line="360" w:lineRule="auto"/>
        <w:ind w:firstLine="48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1.5.2预付款的扣回方式详见</w:t>
      </w:r>
      <w:r>
        <w:rPr>
          <w:rFonts w:hint="eastAsia" w:ascii="宋体" w:hAnsi="宋体" w:eastAsia="宋体" w:cs="宋体"/>
          <w:color w:val="auto"/>
          <w:kern w:val="0"/>
          <w:highlight w:val="none"/>
          <w:u w:val="single"/>
        </w:rPr>
        <w:t xml:space="preserve">    </w:t>
      </w:r>
      <w:r>
        <w:rPr>
          <w:rFonts w:hint="eastAsia" w:ascii="宋体" w:hAnsi="宋体" w:eastAsia="宋体" w:cs="宋体"/>
          <w:b/>
          <w:i/>
          <w:color w:val="auto"/>
          <w:kern w:val="0"/>
          <w:highlight w:val="none"/>
          <w:u w:val="single"/>
        </w:rPr>
        <w:t>合同专用条款</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w:t>
      </w:r>
    </w:p>
    <w:p w14:paraId="5095B0BB">
      <w:pPr>
        <w:widowControl/>
        <w:spacing w:line="360" w:lineRule="auto"/>
        <w:ind w:firstLine="480"/>
        <w:jc w:val="left"/>
        <w:rPr>
          <w:rFonts w:hint="eastAsia" w:ascii="宋体" w:hAnsi="宋体" w:eastAsia="宋体" w:cs="宋体"/>
          <w:color w:val="auto"/>
          <w:kern w:val="0"/>
          <w:highlight w:val="none"/>
          <w:u w:val="single"/>
        </w:rPr>
      </w:pPr>
      <w:r>
        <w:rPr>
          <w:rFonts w:hint="eastAsia" w:ascii="宋体" w:hAnsi="宋体" w:eastAsia="宋体" w:cs="宋体"/>
          <w:color w:val="auto"/>
          <w:kern w:val="0"/>
          <w:highlight w:val="none"/>
        </w:rPr>
        <w:t>1.5.3预付款的担保措施详见</w:t>
      </w:r>
      <w:r>
        <w:rPr>
          <w:rFonts w:hint="eastAsia" w:ascii="宋体" w:hAnsi="宋体" w:eastAsia="宋体" w:cs="宋体"/>
          <w:color w:val="auto"/>
          <w:kern w:val="0"/>
          <w:highlight w:val="none"/>
          <w:u w:val="single"/>
        </w:rPr>
        <w:t xml:space="preserve">    </w:t>
      </w:r>
      <w:r>
        <w:rPr>
          <w:rFonts w:hint="eastAsia" w:ascii="宋体" w:hAnsi="宋体" w:eastAsia="宋体" w:cs="宋体"/>
          <w:b/>
          <w:i/>
          <w:color w:val="auto"/>
          <w:kern w:val="0"/>
          <w:highlight w:val="none"/>
          <w:u w:val="single"/>
        </w:rPr>
        <w:t>合同专用条款</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w:t>
      </w:r>
    </w:p>
    <w:p w14:paraId="6DB681C2">
      <w:pPr>
        <w:adjustRightInd w:val="0"/>
        <w:spacing w:line="560" w:lineRule="exact"/>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1.6资金支付</w:t>
      </w:r>
    </w:p>
    <w:p w14:paraId="0D40D811">
      <w:pPr>
        <w:widowControl/>
        <w:spacing w:line="360" w:lineRule="auto"/>
        <w:ind w:firstLine="48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1.6.1甲方应严格履行合同，及时组织验收，验收合格后及时将合同款支付完毕。对于满足合同约定支付条件的，甲方自收到发票后</w:t>
      </w:r>
      <w:r>
        <w:rPr>
          <w:rFonts w:hint="eastAsia" w:ascii="宋体" w:hAnsi="宋体" w:eastAsia="宋体" w:cs="宋体"/>
          <w:b/>
          <w:bCs/>
          <w:color w:val="auto"/>
          <w:kern w:val="0"/>
          <w:highlight w:val="none"/>
          <w:lang w:val="en-US" w:eastAsia="zh-CN"/>
        </w:rPr>
        <w:t>5</w:t>
      </w:r>
      <w:r>
        <w:rPr>
          <w:rFonts w:hint="eastAsia" w:ascii="宋体" w:hAnsi="宋体" w:eastAsia="宋体" w:cs="宋体"/>
          <w:color w:val="auto"/>
          <w:kern w:val="0"/>
          <w:highlight w:val="none"/>
        </w:rPr>
        <w:t>个工作日内将资金支付到合同约定的乙方账户，有条件的甲方可以即时支付。甲方不得以机构变动、人员更替、政策调整、单位放假等为由延迟付款。</w:t>
      </w:r>
    </w:p>
    <w:p w14:paraId="61B530AB">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1.6.2资金支付的方式、时间和条件详见</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rPr>
        <w:t>。</w:t>
      </w:r>
    </w:p>
    <w:p w14:paraId="2B00AFBB">
      <w:pPr>
        <w:adjustRightInd w:val="0"/>
        <w:spacing w:line="560" w:lineRule="exact"/>
        <w:ind w:firstLine="422" w:firstLineChars="200"/>
        <w:rPr>
          <w:rFonts w:hint="eastAsia" w:ascii="宋体" w:hAnsi="宋体" w:eastAsia="宋体" w:cs="宋体"/>
          <w:b/>
          <w:color w:val="auto"/>
          <w:highlight w:val="none"/>
        </w:rPr>
      </w:pPr>
      <w:bookmarkStart w:id="411" w:name="_Toc32071"/>
      <w:bookmarkStart w:id="412" w:name="_Toc19304"/>
      <w:bookmarkStart w:id="413" w:name="_Toc2846"/>
      <w:r>
        <w:rPr>
          <w:rFonts w:hint="eastAsia" w:ascii="宋体" w:hAnsi="宋体" w:eastAsia="宋体" w:cs="宋体"/>
          <w:b/>
          <w:color w:val="auto"/>
          <w:highlight w:val="none"/>
        </w:rPr>
        <w:t>1.7货物交付期限、地点和方式</w:t>
      </w:r>
      <w:bookmarkEnd w:id="411"/>
      <w:bookmarkEnd w:id="412"/>
      <w:bookmarkEnd w:id="413"/>
    </w:p>
    <w:p w14:paraId="72993DC8">
      <w:pPr>
        <w:adjustRightInd w:val="0"/>
        <w:spacing w:line="560" w:lineRule="exact"/>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1.7.1 交付期限：详见</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rPr>
        <w:t>；</w:t>
      </w:r>
    </w:p>
    <w:p w14:paraId="343E7774">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1.7.2 交付地点：</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rPr>
        <w:t>；</w:t>
      </w:r>
    </w:p>
    <w:p w14:paraId="37C17D5A">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1.7.3 交付方式：</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rPr>
        <w:t>。</w:t>
      </w:r>
    </w:p>
    <w:p w14:paraId="3D7E8643">
      <w:pPr>
        <w:adjustRightInd w:val="0"/>
        <w:spacing w:line="560" w:lineRule="exact"/>
        <w:ind w:firstLine="422" w:firstLineChars="200"/>
        <w:rPr>
          <w:rFonts w:hint="eastAsia" w:ascii="宋体" w:hAnsi="宋体" w:eastAsia="宋体" w:cs="宋体"/>
          <w:b/>
          <w:color w:val="auto"/>
          <w:highlight w:val="none"/>
        </w:rPr>
      </w:pPr>
      <w:bookmarkStart w:id="414" w:name="_Toc19554"/>
      <w:bookmarkStart w:id="415" w:name="_Toc21423"/>
      <w:bookmarkStart w:id="416" w:name="_Toc27250"/>
      <w:r>
        <w:rPr>
          <w:rFonts w:hint="eastAsia" w:ascii="宋体" w:hAnsi="宋体" w:eastAsia="宋体" w:cs="宋体"/>
          <w:b/>
          <w:color w:val="auto"/>
          <w:highlight w:val="none"/>
        </w:rPr>
        <w:t>1.8违约责任</w:t>
      </w:r>
      <w:bookmarkEnd w:id="414"/>
      <w:bookmarkEnd w:id="415"/>
      <w:bookmarkEnd w:id="416"/>
    </w:p>
    <w:p w14:paraId="1F84F2A5">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color w:val="auto"/>
          <w:highlight w:val="none"/>
          <w:u w:val="single"/>
        </w:rPr>
        <w:t xml:space="preserve">  0.</w:t>
      </w:r>
      <w:r>
        <w:rPr>
          <w:rFonts w:hint="eastAsia" w:ascii="宋体" w:hAnsi="宋体" w:eastAsia="宋体" w:cs="宋体"/>
          <w:color w:val="auto"/>
          <w:highlight w:val="none"/>
          <w:u w:val="single"/>
          <w:lang w:val="en-US" w:eastAsia="zh-CN"/>
        </w:rPr>
        <w:t>0</w:t>
      </w:r>
      <w:r>
        <w:rPr>
          <w:rFonts w:hint="eastAsia" w:ascii="宋体" w:hAnsi="宋体" w:eastAsia="宋体" w:cs="宋体"/>
          <w:color w:val="auto"/>
          <w:highlight w:val="none"/>
          <w:u w:val="single"/>
        </w:rPr>
        <w:t xml:space="preserve">5  </w:t>
      </w:r>
      <w:r>
        <w:rPr>
          <w:rFonts w:hint="eastAsia" w:ascii="宋体" w:hAnsi="宋体" w:eastAsia="宋体" w:cs="宋体"/>
          <w:color w:val="auto"/>
          <w:highlight w:val="none"/>
        </w:rPr>
        <w:t>%计算，最高限额为本合同总价的</w:t>
      </w:r>
      <w:r>
        <w:rPr>
          <w:rFonts w:hint="eastAsia" w:ascii="宋体" w:hAnsi="宋体" w:eastAsia="宋体" w:cs="宋体"/>
          <w:color w:val="auto"/>
          <w:highlight w:val="none"/>
          <w:u w:val="single"/>
        </w:rPr>
        <w:t xml:space="preserve"> 20   </w:t>
      </w:r>
      <w:r>
        <w:rPr>
          <w:rFonts w:hint="eastAsia" w:ascii="宋体" w:hAnsi="宋体" w:eastAsia="宋体" w:cs="宋体"/>
          <w:color w:val="auto"/>
          <w:highlight w:val="none"/>
        </w:rPr>
        <w:t>%；迟延交付货物的违约金计算数额达到前述最高限额之日起，甲方有权在要求乙方支付违约金的同时，书面通知乙方解除本合同；</w:t>
      </w:r>
    </w:p>
    <w:p w14:paraId="3E095BF7">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1.8.2 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highlight w:val="none"/>
          <w:u w:val="single"/>
        </w:rPr>
        <w:t xml:space="preserve"> 0.</w:t>
      </w:r>
      <w:r>
        <w:rPr>
          <w:rFonts w:hint="eastAsia" w:ascii="宋体" w:hAnsi="宋体" w:eastAsia="宋体" w:cs="宋体"/>
          <w:color w:val="auto"/>
          <w:highlight w:val="none"/>
          <w:u w:val="single"/>
          <w:lang w:val="en-US" w:eastAsia="zh-CN"/>
        </w:rPr>
        <w:t>0</w:t>
      </w:r>
      <w:r>
        <w:rPr>
          <w:rFonts w:hint="eastAsia" w:ascii="宋体" w:hAnsi="宋体" w:eastAsia="宋体" w:cs="宋体"/>
          <w:color w:val="auto"/>
          <w:highlight w:val="none"/>
          <w:u w:val="single"/>
        </w:rPr>
        <w:t xml:space="preserve">5  </w:t>
      </w:r>
      <w:r>
        <w:rPr>
          <w:rFonts w:hint="eastAsia" w:ascii="宋体" w:hAnsi="宋体" w:eastAsia="宋体" w:cs="宋体"/>
          <w:color w:val="auto"/>
          <w:highlight w:val="none"/>
        </w:rPr>
        <w:t>%计算，最高限额为本合同总价的</w:t>
      </w:r>
      <w:r>
        <w:rPr>
          <w:rFonts w:hint="eastAsia" w:ascii="宋体" w:hAnsi="宋体" w:eastAsia="宋体" w:cs="宋体"/>
          <w:color w:val="auto"/>
          <w:highlight w:val="none"/>
          <w:u w:val="single"/>
        </w:rPr>
        <w:t xml:space="preserve">   20   </w:t>
      </w:r>
      <w:r>
        <w:rPr>
          <w:rFonts w:hint="eastAsia" w:ascii="宋体" w:hAnsi="宋体" w:eastAsia="宋体" w:cs="宋体"/>
          <w:color w:val="auto"/>
          <w:highlight w:val="none"/>
        </w:rPr>
        <w:t>%；迟延付款的违约金计算数额达到前述最高限额之日起，乙方有权在要求甲方支付违约金的同时，书面通知甲方解除本合同；</w:t>
      </w:r>
    </w:p>
    <w:p w14:paraId="7EE251D0">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B79497B">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42A65FC">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049C6224">
      <w:pPr>
        <w:adjustRightInd w:val="0"/>
        <w:spacing w:line="560" w:lineRule="exact"/>
        <w:ind w:left="-420" w:leftChars="-200" w:right="-420" w:rightChars="-200" w:firstLine="840" w:firstLineChars="400"/>
        <w:rPr>
          <w:rFonts w:hint="eastAsia" w:ascii="宋体" w:hAnsi="宋体" w:eastAsia="宋体" w:cs="宋体"/>
          <w:color w:val="auto"/>
          <w:highlight w:val="none"/>
        </w:rPr>
      </w:pPr>
      <w:r>
        <w:rPr>
          <w:rFonts w:hint="eastAsia" w:ascii="宋体" w:hAnsi="宋体" w:eastAsia="宋体" w:cs="宋体"/>
          <w:color w:val="auto"/>
          <w:highlight w:val="none"/>
        </w:rPr>
        <w:t>1.8.6违约责任</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rPr>
        <w:t>另有约定的，从其约定。</w:t>
      </w:r>
    </w:p>
    <w:p w14:paraId="049DB5EC">
      <w:pPr>
        <w:adjustRightInd w:val="0"/>
        <w:spacing w:line="560" w:lineRule="exact"/>
        <w:ind w:firstLine="422" w:firstLineChars="200"/>
        <w:rPr>
          <w:rFonts w:hint="eastAsia" w:ascii="宋体" w:hAnsi="宋体" w:eastAsia="宋体" w:cs="宋体"/>
          <w:b/>
          <w:color w:val="auto"/>
          <w:highlight w:val="none"/>
        </w:rPr>
      </w:pPr>
      <w:bookmarkStart w:id="417" w:name="_Toc28375"/>
      <w:bookmarkStart w:id="418" w:name="_Toc16021"/>
      <w:bookmarkStart w:id="419" w:name="_Toc15583"/>
      <w:r>
        <w:rPr>
          <w:rFonts w:hint="eastAsia" w:ascii="宋体" w:hAnsi="宋体" w:eastAsia="宋体" w:cs="宋体"/>
          <w:b/>
          <w:color w:val="auto"/>
          <w:highlight w:val="none"/>
        </w:rPr>
        <w:t>1.9合同争议的解决</w:t>
      </w:r>
      <w:bookmarkEnd w:id="417"/>
      <w:bookmarkEnd w:id="418"/>
      <w:bookmarkEnd w:id="419"/>
    </w:p>
    <w:p w14:paraId="0241DAC6">
      <w:pPr>
        <w:adjustRightInd w:val="0"/>
        <w:spacing w:line="560" w:lineRule="exact"/>
        <w:ind w:left="-61" w:leftChars="-29" w:right="-420" w:rightChars="-200" w:firstLine="210" w:firstLineChars="100"/>
        <w:rPr>
          <w:rFonts w:hint="eastAsia" w:ascii="宋体" w:hAnsi="宋体" w:eastAsia="宋体" w:cs="宋体"/>
          <w:color w:val="auto"/>
          <w:highlight w:val="none"/>
        </w:rPr>
      </w:pPr>
      <w:r>
        <w:rPr>
          <w:rFonts w:hint="eastAsia" w:ascii="宋体" w:hAnsi="宋体" w:eastAsia="宋体" w:cs="宋体"/>
          <w:color w:val="auto"/>
          <w:highlight w:val="none"/>
        </w:rPr>
        <w:t xml:space="preserve">  本合同履行过程中发生的任何争议，双方当事人均可通过和解或者调解解决；不愿和解、调解或者和解、调解不成的，可以选择以下第</w:t>
      </w:r>
      <w:r>
        <w:rPr>
          <w:rFonts w:hint="eastAsia" w:ascii="宋体" w:hAnsi="宋体" w:eastAsia="宋体" w:cs="宋体"/>
          <w:b/>
          <w:i/>
          <w:color w:val="auto"/>
          <w:highlight w:val="none"/>
          <w:u w:val="single"/>
        </w:rPr>
        <w:t xml:space="preserve"> </w:t>
      </w:r>
      <w:r>
        <w:rPr>
          <w:rFonts w:hint="eastAsia" w:ascii="宋体" w:hAnsi="宋体" w:eastAsia="宋体" w:cs="宋体"/>
          <w:color w:val="auto"/>
          <w:highlight w:val="none"/>
          <w:u w:val="single"/>
        </w:rPr>
        <w:t>1.9.2</w:t>
      </w:r>
      <w:r>
        <w:rPr>
          <w:rFonts w:hint="eastAsia" w:ascii="宋体" w:hAnsi="宋体" w:eastAsia="宋体" w:cs="宋体"/>
          <w:b/>
          <w:i/>
          <w:color w:val="auto"/>
          <w:highlight w:val="none"/>
          <w:u w:val="single"/>
        </w:rPr>
        <w:t xml:space="preserve">  </w:t>
      </w:r>
      <w:r>
        <w:rPr>
          <w:rFonts w:hint="eastAsia" w:ascii="宋体" w:hAnsi="宋体" w:eastAsia="宋体" w:cs="宋体"/>
          <w:color w:val="auto"/>
          <w:highlight w:val="none"/>
        </w:rPr>
        <w:t>条款规定的方式解决：</w:t>
      </w:r>
    </w:p>
    <w:p w14:paraId="1A000AE4">
      <w:pPr>
        <w:adjustRightInd w:val="0"/>
        <w:spacing w:line="560" w:lineRule="exact"/>
        <w:ind w:left="-420" w:leftChars="-200" w:right="-420" w:rightChars="-200" w:firstLine="735" w:firstLineChars="350"/>
        <w:rPr>
          <w:rFonts w:hint="eastAsia" w:ascii="宋体" w:hAnsi="宋体" w:eastAsia="宋体" w:cs="宋体"/>
          <w:color w:val="auto"/>
          <w:highlight w:val="none"/>
        </w:rPr>
      </w:pPr>
      <w:r>
        <w:rPr>
          <w:rFonts w:hint="eastAsia" w:ascii="宋体" w:hAnsi="宋体" w:eastAsia="宋体" w:cs="宋体"/>
          <w:color w:val="auto"/>
          <w:highlight w:val="none"/>
        </w:rPr>
        <w:t>1.9.1 将争议提交</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rPr>
        <w:t>仲裁委员会依申请仲裁时其现行有效的仲裁规则裁决；</w:t>
      </w:r>
    </w:p>
    <w:p w14:paraId="3444C212">
      <w:pPr>
        <w:adjustRightInd w:val="0"/>
        <w:spacing w:line="560" w:lineRule="exact"/>
        <w:ind w:left="-420" w:leftChars="-200" w:right="-420" w:rightChars="-200" w:firstLine="735" w:firstLineChars="350"/>
        <w:rPr>
          <w:rFonts w:hint="eastAsia" w:ascii="宋体" w:hAnsi="宋体" w:eastAsia="宋体" w:cs="宋体"/>
          <w:color w:val="auto"/>
          <w:highlight w:val="none"/>
        </w:rPr>
      </w:pPr>
      <w:r>
        <w:rPr>
          <w:rFonts w:hint="eastAsia" w:ascii="宋体" w:hAnsi="宋体" w:eastAsia="宋体" w:cs="宋体"/>
          <w:color w:val="auto"/>
          <w:highlight w:val="none"/>
        </w:rPr>
        <w:t>1.9.2 向</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rPr>
        <w:t>人民法院起诉。</w:t>
      </w:r>
    </w:p>
    <w:p w14:paraId="089E4BDB">
      <w:pPr>
        <w:adjustRightInd w:val="0"/>
        <w:spacing w:line="560" w:lineRule="exact"/>
        <w:ind w:firstLine="422" w:firstLineChars="200"/>
        <w:rPr>
          <w:rFonts w:hint="eastAsia" w:ascii="宋体" w:hAnsi="宋体" w:eastAsia="宋体" w:cs="宋体"/>
          <w:b/>
          <w:color w:val="auto"/>
          <w:highlight w:val="none"/>
        </w:rPr>
      </w:pPr>
      <w:bookmarkStart w:id="420" w:name="_Toc11173"/>
      <w:bookmarkStart w:id="421" w:name="_Toc7245"/>
      <w:bookmarkStart w:id="422" w:name="_Toc15322"/>
      <w:r>
        <w:rPr>
          <w:rFonts w:hint="eastAsia" w:ascii="宋体" w:hAnsi="宋体" w:eastAsia="宋体" w:cs="宋体"/>
          <w:b/>
          <w:color w:val="auto"/>
          <w:highlight w:val="none"/>
        </w:rPr>
        <w:t>2.0 合同生效</w:t>
      </w:r>
      <w:bookmarkEnd w:id="420"/>
      <w:bookmarkEnd w:id="421"/>
      <w:bookmarkEnd w:id="422"/>
    </w:p>
    <w:p w14:paraId="32D14EBE">
      <w:pPr>
        <w:adjustRightInd w:val="0"/>
        <w:spacing w:line="560" w:lineRule="exact"/>
        <w:ind w:firstLine="420" w:firstLineChars="200"/>
        <w:rPr>
          <w:rFonts w:hint="eastAsia" w:ascii="宋体" w:hAnsi="宋体" w:eastAsia="宋体" w:cs="宋体"/>
          <w:b/>
          <w:color w:val="auto"/>
          <w:highlight w:val="none"/>
        </w:rPr>
      </w:pPr>
      <w:r>
        <w:rPr>
          <w:rFonts w:hint="eastAsia" w:ascii="宋体" w:hAnsi="宋体" w:eastAsia="宋体" w:cs="宋体"/>
          <w:color w:val="auto"/>
          <w:highlight w:val="none"/>
        </w:rPr>
        <w:t>本合同自双方当事人盖章签字时生效。</w:t>
      </w:r>
    </w:p>
    <w:p w14:paraId="35AE5052">
      <w:pPr>
        <w:autoSpaceDE w:val="0"/>
        <w:autoSpaceDN w:val="0"/>
        <w:adjustRightInd w:val="0"/>
        <w:spacing w:line="560" w:lineRule="exact"/>
        <w:rPr>
          <w:rFonts w:hint="eastAsia" w:ascii="宋体" w:hAnsi="宋体" w:eastAsia="宋体" w:cs="宋体"/>
          <w:color w:val="auto"/>
          <w:highlight w:val="none"/>
          <w:lang w:val="zh-CN"/>
        </w:rPr>
      </w:pPr>
    </w:p>
    <w:p w14:paraId="3800B78E">
      <w:pPr>
        <w:autoSpaceDE w:val="0"/>
        <w:autoSpaceDN w:val="0"/>
        <w:adjustRightInd w:val="0"/>
        <w:spacing w:line="560" w:lineRule="exact"/>
        <w:rPr>
          <w:rFonts w:hint="eastAsia" w:ascii="宋体" w:hAnsi="宋体" w:eastAsia="宋体" w:cs="宋体"/>
          <w:color w:val="auto"/>
          <w:highlight w:val="none"/>
          <w:lang w:val="zh-CN"/>
        </w:rPr>
      </w:pPr>
      <w:r>
        <w:rPr>
          <w:rFonts w:hint="eastAsia" w:ascii="宋体" w:hAnsi="宋体" w:eastAsia="宋体" w:cs="宋体"/>
          <w:b/>
          <w:color w:val="auto"/>
          <w:highlight w:val="none"/>
          <w:lang w:val="zh-CN"/>
        </w:rPr>
        <w:t>甲方</w:t>
      </w:r>
      <w:r>
        <w:rPr>
          <w:rFonts w:hint="eastAsia" w:ascii="宋体" w:hAnsi="宋体" w:eastAsia="宋体" w:cs="宋体"/>
          <w:color w:val="auto"/>
          <w:highlight w:val="none"/>
          <w:lang w:val="zh-CN"/>
        </w:rPr>
        <w:t xml:space="preserve">：                             </w:t>
      </w:r>
      <w:r>
        <w:rPr>
          <w:rFonts w:hint="eastAsia" w:ascii="宋体" w:hAnsi="宋体" w:eastAsia="宋体" w:cs="宋体"/>
          <w:b/>
          <w:color w:val="auto"/>
          <w:highlight w:val="none"/>
          <w:lang w:val="zh-CN"/>
        </w:rPr>
        <w:t xml:space="preserve">      乙方</w:t>
      </w:r>
      <w:r>
        <w:rPr>
          <w:rFonts w:hint="eastAsia" w:ascii="宋体" w:hAnsi="宋体" w:eastAsia="宋体" w:cs="宋体"/>
          <w:color w:val="auto"/>
          <w:highlight w:val="none"/>
          <w:lang w:val="zh-CN"/>
        </w:rPr>
        <w:t>：</w:t>
      </w:r>
    </w:p>
    <w:p w14:paraId="4E505376">
      <w:pPr>
        <w:autoSpaceDE w:val="0"/>
        <w:autoSpaceDN w:val="0"/>
        <w:adjustRightInd w:val="0"/>
        <w:spacing w:line="560" w:lineRule="exact"/>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统一社会信用代码：                        统一社会信用代码或身份证号码：</w:t>
      </w:r>
    </w:p>
    <w:p w14:paraId="2B492E67">
      <w:pPr>
        <w:autoSpaceDE w:val="0"/>
        <w:autoSpaceDN w:val="0"/>
        <w:adjustRightInd w:val="0"/>
        <w:spacing w:line="560" w:lineRule="exact"/>
        <w:rPr>
          <w:rFonts w:hint="eastAsia" w:ascii="宋体" w:hAnsi="宋体" w:eastAsia="宋体" w:cs="宋体"/>
          <w:color w:val="auto"/>
          <w:highlight w:val="none"/>
          <w:lang w:val="zh-CN"/>
        </w:rPr>
      </w:pPr>
    </w:p>
    <w:p w14:paraId="0D7C3A8E">
      <w:pPr>
        <w:autoSpaceDE w:val="0"/>
        <w:autoSpaceDN w:val="0"/>
        <w:adjustRightInd w:val="0"/>
        <w:spacing w:line="560" w:lineRule="exact"/>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住所：                                   住所：</w:t>
      </w:r>
    </w:p>
    <w:p w14:paraId="02A9FE22">
      <w:pPr>
        <w:autoSpaceDE w:val="0"/>
        <w:autoSpaceDN w:val="0"/>
        <w:adjustRightInd w:val="0"/>
        <w:spacing w:line="560" w:lineRule="exact"/>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法定代表人或                             法定代表人</w:t>
      </w:r>
    </w:p>
    <w:p w14:paraId="20E3C7F6">
      <w:pPr>
        <w:autoSpaceDE w:val="0"/>
        <w:autoSpaceDN w:val="0"/>
        <w:adjustRightInd w:val="0"/>
        <w:spacing w:line="560" w:lineRule="exact"/>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 xml:space="preserve">授权代表（签字）：                        或授权代表（签字）： </w:t>
      </w:r>
    </w:p>
    <w:p w14:paraId="5F6258E9">
      <w:pPr>
        <w:autoSpaceDE w:val="0"/>
        <w:autoSpaceDN w:val="0"/>
        <w:adjustRightInd w:val="0"/>
        <w:spacing w:line="560" w:lineRule="exact"/>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联系人：                                 联系人：</w:t>
      </w:r>
    </w:p>
    <w:p w14:paraId="1961B98C">
      <w:pPr>
        <w:autoSpaceDE w:val="0"/>
        <w:autoSpaceDN w:val="0"/>
        <w:adjustRightInd w:val="0"/>
        <w:spacing w:line="560" w:lineRule="exact"/>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约定送达地址：                           约定送达地址：</w:t>
      </w:r>
    </w:p>
    <w:p w14:paraId="05509EB6">
      <w:pPr>
        <w:autoSpaceDE w:val="0"/>
        <w:autoSpaceDN w:val="0"/>
        <w:adjustRightInd w:val="0"/>
        <w:spacing w:line="560" w:lineRule="exact"/>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邮政编码：                               邮政编码：</w:t>
      </w:r>
    </w:p>
    <w:p w14:paraId="325366B1">
      <w:pPr>
        <w:autoSpaceDE w:val="0"/>
        <w:autoSpaceDN w:val="0"/>
        <w:adjustRightInd w:val="0"/>
        <w:spacing w:line="560" w:lineRule="exact"/>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 xml:space="preserve">电话：                                    电话： </w:t>
      </w:r>
    </w:p>
    <w:p w14:paraId="6A8F5633">
      <w:pPr>
        <w:autoSpaceDE w:val="0"/>
        <w:autoSpaceDN w:val="0"/>
        <w:adjustRightInd w:val="0"/>
        <w:spacing w:line="560" w:lineRule="exact"/>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传真：                                    传真：</w:t>
      </w:r>
    </w:p>
    <w:p w14:paraId="59CCF7DC">
      <w:pPr>
        <w:autoSpaceDE w:val="0"/>
        <w:autoSpaceDN w:val="0"/>
        <w:adjustRightInd w:val="0"/>
        <w:spacing w:line="560" w:lineRule="exact"/>
        <w:rPr>
          <w:rFonts w:hint="eastAsia" w:ascii="宋体" w:hAnsi="宋体" w:eastAsia="宋体" w:cs="宋体"/>
          <w:color w:val="auto"/>
          <w:highlight w:val="none"/>
        </w:rPr>
      </w:pPr>
      <w:r>
        <w:rPr>
          <w:rFonts w:hint="eastAsia" w:ascii="宋体" w:hAnsi="宋体" w:eastAsia="宋体" w:cs="宋体"/>
          <w:color w:val="auto"/>
          <w:highlight w:val="none"/>
          <w:lang w:val="zh-CN"/>
        </w:rPr>
        <w:t>电子邮箱：                               电子邮箱：</w:t>
      </w:r>
    </w:p>
    <w:p w14:paraId="703607F4">
      <w:pPr>
        <w:autoSpaceDE w:val="0"/>
        <w:autoSpaceDN w:val="0"/>
        <w:adjustRightInd w:val="0"/>
        <w:spacing w:line="560" w:lineRule="exact"/>
        <w:rPr>
          <w:rFonts w:hint="eastAsia" w:ascii="宋体" w:hAnsi="宋体" w:eastAsia="宋体" w:cs="宋体"/>
          <w:color w:val="auto"/>
          <w:highlight w:val="none"/>
        </w:rPr>
      </w:pPr>
      <w:r>
        <w:rPr>
          <w:rFonts w:hint="eastAsia" w:ascii="宋体" w:hAnsi="宋体" w:eastAsia="宋体" w:cs="宋体"/>
          <w:color w:val="auto"/>
          <w:highlight w:val="none"/>
        </w:rPr>
        <w:t xml:space="preserve">开户银行：                               开户银行： </w:t>
      </w:r>
    </w:p>
    <w:p w14:paraId="12D0EAE1">
      <w:pPr>
        <w:autoSpaceDE w:val="0"/>
        <w:autoSpaceDN w:val="0"/>
        <w:adjustRightInd w:val="0"/>
        <w:spacing w:line="560" w:lineRule="exact"/>
        <w:rPr>
          <w:rFonts w:hint="eastAsia" w:ascii="宋体" w:hAnsi="宋体" w:eastAsia="宋体" w:cs="宋体"/>
          <w:color w:val="auto"/>
          <w:highlight w:val="none"/>
        </w:rPr>
      </w:pPr>
      <w:r>
        <w:rPr>
          <w:rFonts w:hint="eastAsia" w:ascii="宋体" w:hAnsi="宋体" w:eastAsia="宋体" w:cs="宋体"/>
          <w:color w:val="auto"/>
          <w:highlight w:val="none"/>
        </w:rPr>
        <w:t xml:space="preserve">开户名称：                               开户名称： </w:t>
      </w:r>
    </w:p>
    <w:p w14:paraId="225E212D">
      <w:pPr>
        <w:autoSpaceDE w:val="0"/>
        <w:autoSpaceDN w:val="0"/>
        <w:adjustRightInd w:val="0"/>
        <w:spacing w:line="560" w:lineRule="exact"/>
        <w:rPr>
          <w:rFonts w:hint="eastAsia" w:ascii="宋体" w:hAnsi="宋体" w:eastAsia="宋体" w:cs="宋体"/>
          <w:color w:val="auto"/>
          <w:highlight w:val="none"/>
        </w:rPr>
      </w:pPr>
      <w:r>
        <w:rPr>
          <w:rFonts w:hint="eastAsia" w:ascii="宋体" w:hAnsi="宋体" w:eastAsia="宋体" w:cs="宋体"/>
          <w:color w:val="auto"/>
          <w:highlight w:val="none"/>
        </w:rPr>
        <w:t>开户账号：</w:t>
      </w:r>
      <w:r>
        <w:rPr>
          <w:rFonts w:hint="eastAsia" w:ascii="宋体" w:hAnsi="宋体" w:eastAsia="宋体" w:cs="宋体"/>
          <w:color w:val="auto"/>
          <w:highlight w:val="none"/>
          <w:lang w:val="zh-CN"/>
        </w:rPr>
        <w:t xml:space="preserve">                               </w:t>
      </w:r>
      <w:r>
        <w:rPr>
          <w:rFonts w:hint="eastAsia" w:ascii="宋体" w:hAnsi="宋体" w:eastAsia="宋体" w:cs="宋体"/>
          <w:color w:val="auto"/>
          <w:highlight w:val="none"/>
        </w:rPr>
        <w:t>开户账号：</w:t>
      </w:r>
    </w:p>
    <w:p w14:paraId="735439A4">
      <w:pPr>
        <w:adjustRightInd w:val="0"/>
        <w:rPr>
          <w:rFonts w:hint="eastAsia" w:ascii="宋体" w:hAnsi="宋体" w:eastAsia="宋体" w:cs="宋体"/>
          <w:color w:val="auto"/>
          <w:highlight w:val="none"/>
        </w:rPr>
      </w:pPr>
    </w:p>
    <w:p w14:paraId="5BF39089">
      <w:pPr>
        <w:adjustRightInd w:val="0"/>
        <w:rPr>
          <w:rFonts w:hint="eastAsia" w:ascii="宋体" w:hAnsi="宋体" w:eastAsia="宋体" w:cs="宋体"/>
          <w:color w:val="auto"/>
          <w:highlight w:val="none"/>
        </w:rPr>
      </w:pPr>
      <w:r>
        <w:rPr>
          <w:rFonts w:hint="eastAsia" w:ascii="宋体" w:hAnsi="宋体" w:eastAsia="宋体" w:cs="宋体"/>
          <w:color w:val="auto"/>
          <w:highlight w:val="none"/>
        </w:rPr>
        <w:t>鉴证方（签/章）：浙江豪圣建设项目管理有限公司</w:t>
      </w:r>
    </w:p>
    <w:p w14:paraId="3A54B8CF">
      <w:pPr>
        <w:adjustRightInd w:val="0"/>
        <w:rPr>
          <w:rFonts w:hint="eastAsia" w:ascii="宋体" w:hAnsi="宋体" w:eastAsia="宋体" w:cs="宋体"/>
          <w:color w:val="auto"/>
          <w:highlight w:val="none"/>
        </w:rPr>
      </w:pPr>
      <w:r>
        <w:rPr>
          <w:rFonts w:hint="eastAsia" w:ascii="宋体" w:hAnsi="宋体" w:eastAsia="宋体" w:cs="宋体"/>
          <w:color w:val="auto"/>
          <w:highlight w:val="none"/>
        </w:rPr>
        <w:t>签证时间：</w:t>
      </w:r>
      <w:r>
        <w:rPr>
          <w:rFonts w:hint="eastAsia" w:ascii="宋体" w:hAnsi="宋体" w:eastAsia="宋体" w:cs="宋体"/>
          <w:color w:val="auto"/>
          <w:highlight w:val="none"/>
        </w:rPr>
        <w:br w:type="page"/>
      </w:r>
    </w:p>
    <w:p w14:paraId="5D54DD22">
      <w:pPr>
        <w:autoSpaceDE w:val="0"/>
        <w:autoSpaceDN w:val="0"/>
        <w:adjustRightInd w:val="0"/>
        <w:snapToGrid w:val="0"/>
        <w:spacing w:after="120" w:line="560" w:lineRule="exact"/>
        <w:ind w:left="1" w:hanging="1"/>
        <w:jc w:val="center"/>
        <w:rPr>
          <w:rFonts w:hint="eastAsia" w:ascii="宋体" w:hAnsi="宋体" w:eastAsia="宋体" w:cs="宋体"/>
          <w:b/>
          <w:color w:val="auto"/>
          <w:highlight w:val="none"/>
        </w:rPr>
      </w:pPr>
      <w:r>
        <w:rPr>
          <w:rFonts w:hint="eastAsia" w:ascii="宋体" w:hAnsi="宋体" w:eastAsia="宋体" w:cs="宋体"/>
          <w:b/>
          <w:color w:val="auto"/>
          <w:highlight w:val="none"/>
        </w:rPr>
        <w:t>第二部分 合同一般条款</w:t>
      </w:r>
    </w:p>
    <w:p w14:paraId="54EB5C61">
      <w:pPr>
        <w:adjustRightInd w:val="0"/>
        <w:spacing w:line="560" w:lineRule="exact"/>
        <w:ind w:firstLine="422" w:firstLineChars="200"/>
        <w:rPr>
          <w:rFonts w:hint="eastAsia" w:ascii="宋体" w:hAnsi="宋体" w:eastAsia="宋体" w:cs="宋体"/>
          <w:b/>
          <w:color w:val="auto"/>
          <w:highlight w:val="none"/>
        </w:rPr>
      </w:pPr>
      <w:bookmarkStart w:id="423" w:name="_Ref467379101"/>
      <w:bookmarkStart w:id="424" w:name="_Ref467379195"/>
      <w:bookmarkStart w:id="425" w:name="_Ref467378499"/>
      <w:bookmarkStart w:id="426" w:name="_Toc28763"/>
      <w:bookmarkStart w:id="427" w:name="_Ref467379094"/>
      <w:bookmarkStart w:id="428" w:name="_Ref467379214"/>
      <w:bookmarkStart w:id="429" w:name="_Ref467379225"/>
      <w:bookmarkStart w:id="430" w:name="_Toc19614"/>
      <w:bookmarkStart w:id="431" w:name="_Toc487900349"/>
      <w:bookmarkStart w:id="432" w:name="_Ref467378404"/>
      <w:bookmarkStart w:id="433" w:name="_Ref467379205"/>
      <w:bookmarkStart w:id="434" w:name="_Toc16917"/>
      <w:bookmarkStart w:id="435" w:name="_Toc279701240"/>
      <w:bookmarkStart w:id="436" w:name="_Ref467378463"/>
      <w:bookmarkStart w:id="437" w:name="_Ref467379109"/>
      <w:bookmarkStart w:id="438" w:name="_Toc259093669"/>
      <w:r>
        <w:rPr>
          <w:rFonts w:hint="eastAsia" w:ascii="宋体" w:hAnsi="宋体" w:eastAsia="宋体" w:cs="宋体"/>
          <w:b/>
          <w:color w:val="auto"/>
          <w:highlight w:val="none"/>
        </w:rPr>
        <w:t>2.1 定义</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492EB6E7">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本合同中的下列词语应按以下内容进行解释：</w:t>
      </w:r>
    </w:p>
    <w:p w14:paraId="738C44BD">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2.1.1 “合同”系指采购人和中标或成交供应商签订的载明双方当事人所达成的协议，并包括所有的附件、附录和构成合同的其他文件。</w:t>
      </w:r>
    </w:p>
    <w:p w14:paraId="3D981C92">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2.1.2 “合同价”系指根据合同约定，中标或成交供应商在完全履行合同义务后，采购人应支付给中标或成交供应商的价格。</w:t>
      </w:r>
    </w:p>
    <w:p w14:paraId="017B2BFB">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2.1.3 “货物”系指中标或成交供应商根据合同约定应向采购人交付的一切各种形态和种类的物品，包括原材料、燃料、设备、机械、仪表、备件、计算机软件、产品等，并包括工具、手册等其他相关资料。</w:t>
      </w:r>
    </w:p>
    <w:p w14:paraId="2333D1C4">
      <w:pPr>
        <w:adjustRightInd w:val="0"/>
        <w:spacing w:line="560" w:lineRule="exact"/>
        <w:ind w:firstLine="420" w:firstLineChars="200"/>
        <w:rPr>
          <w:rFonts w:hint="eastAsia" w:ascii="宋体" w:hAnsi="宋体" w:eastAsia="宋体" w:cs="宋体"/>
          <w:color w:val="auto"/>
          <w:highlight w:val="none"/>
        </w:rPr>
      </w:pPr>
      <w:bookmarkStart w:id="439" w:name="_Ref467378840"/>
      <w:r>
        <w:rPr>
          <w:rFonts w:hint="eastAsia" w:ascii="宋体" w:hAnsi="宋体" w:eastAsia="宋体" w:cs="宋体"/>
          <w:color w:val="auto"/>
          <w:highlight w:val="none"/>
        </w:rPr>
        <w:t>2.1.4 “甲方”系指与中标或成交供应商签署合同的采购人</w:t>
      </w:r>
      <w:bookmarkEnd w:id="439"/>
      <w:r>
        <w:rPr>
          <w:rFonts w:hint="eastAsia" w:ascii="宋体" w:hAnsi="宋体" w:eastAsia="宋体" w:cs="宋体"/>
          <w:color w:val="auto"/>
          <w:highlight w:val="none"/>
        </w:rPr>
        <w:t>；采购人委托采购代理机构代表其与乙方签订合同的，采购人的授权委托书作为合同附件。</w:t>
      </w:r>
    </w:p>
    <w:p w14:paraId="6851E68D">
      <w:pPr>
        <w:adjustRightInd w:val="0"/>
        <w:spacing w:line="560" w:lineRule="exact"/>
        <w:ind w:firstLine="420" w:firstLineChars="200"/>
        <w:rPr>
          <w:rFonts w:hint="eastAsia" w:ascii="宋体" w:hAnsi="宋体" w:eastAsia="宋体" w:cs="宋体"/>
          <w:color w:val="auto"/>
          <w:highlight w:val="none"/>
        </w:rPr>
      </w:pPr>
      <w:bookmarkStart w:id="440" w:name="_Ref467379400"/>
      <w:r>
        <w:rPr>
          <w:rFonts w:hint="eastAsia" w:ascii="宋体" w:hAnsi="宋体" w:eastAsia="宋体" w:cs="宋体"/>
          <w:color w:val="auto"/>
          <w:highlight w:val="none"/>
        </w:rPr>
        <w:t>2.1.5 “乙方”系指根据合同约定交付货物的中标或成交供应商</w:t>
      </w:r>
      <w:bookmarkEnd w:id="440"/>
      <w:r>
        <w:rPr>
          <w:rFonts w:hint="eastAsia" w:ascii="宋体" w:hAnsi="宋体" w:eastAsia="宋体" w:cs="宋体"/>
          <w:color w:val="auto"/>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54C13820">
      <w:pPr>
        <w:adjustRightInd w:val="0"/>
        <w:spacing w:line="560" w:lineRule="exact"/>
        <w:ind w:firstLine="420" w:firstLineChars="200"/>
        <w:rPr>
          <w:rFonts w:hint="eastAsia" w:ascii="宋体" w:hAnsi="宋体" w:eastAsia="宋体" w:cs="宋体"/>
          <w:color w:val="auto"/>
          <w:highlight w:val="none"/>
        </w:rPr>
      </w:pPr>
      <w:bookmarkStart w:id="441" w:name="_Ref467379436"/>
      <w:r>
        <w:rPr>
          <w:rFonts w:hint="eastAsia" w:ascii="宋体" w:hAnsi="宋体" w:eastAsia="宋体" w:cs="宋体"/>
          <w:color w:val="auto"/>
          <w:highlight w:val="none"/>
        </w:rPr>
        <w:t>2.1.6 “现场”系指合同约定货物将要运至或者安装的地点。</w:t>
      </w:r>
      <w:bookmarkEnd w:id="441"/>
    </w:p>
    <w:p w14:paraId="2971C8B2">
      <w:pPr>
        <w:adjustRightInd w:val="0"/>
        <w:spacing w:line="560" w:lineRule="exact"/>
        <w:ind w:firstLine="422" w:firstLineChars="200"/>
        <w:rPr>
          <w:rFonts w:hint="eastAsia" w:ascii="宋体" w:hAnsi="宋体" w:eastAsia="宋体" w:cs="宋体"/>
          <w:b/>
          <w:color w:val="auto"/>
          <w:highlight w:val="none"/>
        </w:rPr>
      </w:pPr>
      <w:bookmarkStart w:id="442" w:name="_Toc27635"/>
      <w:bookmarkStart w:id="443" w:name="_Toc487900350"/>
      <w:bookmarkStart w:id="444" w:name="_Toc279701241"/>
      <w:bookmarkStart w:id="445" w:name="_Toc32504"/>
      <w:bookmarkStart w:id="446" w:name="_Toc259093670"/>
      <w:bookmarkStart w:id="447" w:name="_Toc13336"/>
      <w:r>
        <w:rPr>
          <w:rFonts w:hint="eastAsia" w:ascii="宋体" w:hAnsi="宋体" w:eastAsia="宋体" w:cs="宋体"/>
          <w:b/>
          <w:color w:val="auto"/>
          <w:highlight w:val="none"/>
        </w:rPr>
        <w:t>2.2 技术规范</w:t>
      </w:r>
      <w:bookmarkEnd w:id="442"/>
      <w:bookmarkEnd w:id="443"/>
      <w:bookmarkEnd w:id="444"/>
      <w:bookmarkEnd w:id="445"/>
      <w:bookmarkEnd w:id="446"/>
      <w:bookmarkEnd w:id="447"/>
    </w:p>
    <w:p w14:paraId="6E37A77F">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E468EF0">
      <w:pPr>
        <w:adjustRightInd w:val="0"/>
        <w:spacing w:line="560" w:lineRule="exact"/>
        <w:ind w:firstLine="422" w:firstLineChars="200"/>
        <w:rPr>
          <w:rFonts w:hint="eastAsia" w:ascii="宋体" w:hAnsi="宋体" w:eastAsia="宋体" w:cs="宋体"/>
          <w:b/>
          <w:color w:val="auto"/>
          <w:highlight w:val="none"/>
        </w:rPr>
      </w:pPr>
      <w:bookmarkStart w:id="448" w:name="_Toc279701242"/>
      <w:bookmarkStart w:id="449" w:name="_Toc487900351"/>
      <w:bookmarkStart w:id="450" w:name="_Toc31634"/>
      <w:bookmarkStart w:id="451" w:name="_Toc9829"/>
      <w:bookmarkStart w:id="452" w:name="_Toc27853"/>
      <w:bookmarkStart w:id="453" w:name="_Toc259093671"/>
      <w:r>
        <w:rPr>
          <w:rFonts w:hint="eastAsia" w:ascii="宋体" w:hAnsi="宋体" w:eastAsia="宋体" w:cs="宋体"/>
          <w:b/>
          <w:color w:val="auto"/>
          <w:highlight w:val="none"/>
        </w:rPr>
        <w:t>2.3 知识产权</w:t>
      </w:r>
      <w:bookmarkEnd w:id="448"/>
      <w:bookmarkEnd w:id="449"/>
      <w:bookmarkEnd w:id="450"/>
      <w:bookmarkEnd w:id="451"/>
      <w:bookmarkEnd w:id="452"/>
      <w:bookmarkEnd w:id="453"/>
    </w:p>
    <w:p w14:paraId="2F9FA22A">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16A7457">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2.3.2具有知识产权的计算机软件等货物的知识产权归属，详见</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rPr>
        <w:t>。</w:t>
      </w:r>
    </w:p>
    <w:p w14:paraId="7D7ACFF2">
      <w:pPr>
        <w:adjustRightInd w:val="0"/>
        <w:spacing w:line="560" w:lineRule="exact"/>
        <w:ind w:firstLine="422" w:firstLineChars="200"/>
        <w:rPr>
          <w:rFonts w:hint="eastAsia" w:ascii="宋体" w:hAnsi="宋体" w:eastAsia="宋体" w:cs="宋体"/>
          <w:b/>
          <w:color w:val="auto"/>
          <w:highlight w:val="none"/>
        </w:rPr>
      </w:pPr>
      <w:bookmarkStart w:id="454" w:name="_Toc11932"/>
      <w:bookmarkStart w:id="455" w:name="_Toc29149"/>
      <w:bookmarkStart w:id="456" w:name="_Toc4194"/>
      <w:r>
        <w:rPr>
          <w:rFonts w:hint="eastAsia" w:ascii="宋体" w:hAnsi="宋体" w:eastAsia="宋体" w:cs="宋体"/>
          <w:b/>
          <w:color w:val="auto"/>
          <w:highlight w:val="none"/>
        </w:rPr>
        <w:t>2.4 包装和装运</w:t>
      </w:r>
      <w:bookmarkEnd w:id="454"/>
      <w:bookmarkEnd w:id="455"/>
      <w:bookmarkEnd w:id="456"/>
    </w:p>
    <w:p w14:paraId="3A158A04">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2.4.1除</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6FC2EEED">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594EAD66">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2.4.3 装运货物的要求和通知，详见</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rPr>
        <w:t>。</w:t>
      </w:r>
    </w:p>
    <w:p w14:paraId="6EC73BC9">
      <w:pPr>
        <w:adjustRightInd w:val="0"/>
        <w:spacing w:line="560" w:lineRule="exact"/>
        <w:ind w:firstLine="422" w:firstLineChars="200"/>
        <w:rPr>
          <w:rFonts w:hint="eastAsia" w:ascii="宋体" w:hAnsi="宋体" w:eastAsia="宋体" w:cs="宋体"/>
          <w:b/>
          <w:color w:val="auto"/>
          <w:highlight w:val="none"/>
        </w:rPr>
      </w:pPr>
      <w:bookmarkStart w:id="457" w:name="_Ref467378591"/>
      <w:bookmarkStart w:id="458" w:name="_Toc279701245"/>
      <w:bookmarkStart w:id="459" w:name="_Toc487900354"/>
      <w:bookmarkStart w:id="460" w:name="_Ref467378541"/>
      <w:bookmarkStart w:id="461" w:name="_Ref467379536"/>
      <w:bookmarkStart w:id="462" w:name="_Ref467379527"/>
      <w:bookmarkStart w:id="463" w:name="_Ref467379542"/>
      <w:bookmarkStart w:id="464" w:name="_Toc259093674"/>
      <w:bookmarkStart w:id="465" w:name="_Toc30272"/>
      <w:bookmarkStart w:id="466" w:name="_Toc26182"/>
      <w:bookmarkStart w:id="467" w:name="_Toc19074"/>
      <w:r>
        <w:rPr>
          <w:rFonts w:hint="eastAsia" w:ascii="宋体" w:hAnsi="宋体" w:eastAsia="宋体" w:cs="宋体"/>
          <w:b/>
          <w:color w:val="auto"/>
          <w:highlight w:val="none"/>
        </w:rPr>
        <w:t>2.</w:t>
      </w:r>
      <w:bookmarkEnd w:id="457"/>
      <w:bookmarkEnd w:id="458"/>
      <w:bookmarkEnd w:id="459"/>
      <w:bookmarkEnd w:id="460"/>
      <w:bookmarkEnd w:id="461"/>
      <w:bookmarkEnd w:id="462"/>
      <w:bookmarkEnd w:id="463"/>
      <w:bookmarkEnd w:id="464"/>
      <w:r>
        <w:rPr>
          <w:rFonts w:hint="eastAsia" w:ascii="宋体" w:hAnsi="宋体" w:eastAsia="宋体" w:cs="宋体"/>
          <w:b/>
          <w:color w:val="auto"/>
          <w:highlight w:val="none"/>
        </w:rPr>
        <w:t>5 履约检查和问题反馈</w:t>
      </w:r>
      <w:bookmarkEnd w:id="465"/>
      <w:bookmarkEnd w:id="466"/>
      <w:bookmarkEnd w:id="467"/>
    </w:p>
    <w:p w14:paraId="13602EF4">
      <w:pPr>
        <w:adjustRightInd w:val="0"/>
        <w:spacing w:line="560" w:lineRule="exact"/>
        <w:ind w:firstLine="420" w:firstLineChars="200"/>
        <w:rPr>
          <w:rFonts w:hint="eastAsia" w:ascii="宋体" w:hAnsi="宋体" w:eastAsia="宋体" w:cs="宋体"/>
          <w:color w:val="auto"/>
          <w:highlight w:val="none"/>
        </w:rPr>
      </w:pPr>
      <w:bookmarkStart w:id="468" w:name="_Ref467379657"/>
      <w:r>
        <w:rPr>
          <w:rFonts w:hint="eastAsia" w:ascii="宋体" w:hAnsi="宋体" w:eastAsia="宋体" w:cs="宋体"/>
          <w:color w:val="auto"/>
          <w:highlight w:val="none"/>
        </w:rPr>
        <w:t>2.5.1</w:t>
      </w:r>
      <w:bookmarkEnd w:id="468"/>
      <w:bookmarkStart w:id="469" w:name="_Toc186431854"/>
      <w:bookmarkStart w:id="470" w:name="_Toc487900357"/>
      <w:bookmarkStart w:id="471" w:name="_Toc259093676"/>
      <w:bookmarkStart w:id="472" w:name="_Ref467379807"/>
      <w:bookmarkStart w:id="473" w:name="_Ref467379793"/>
      <w:bookmarkStart w:id="474" w:name="_Toc279701247"/>
      <w:r>
        <w:rPr>
          <w:rFonts w:hint="eastAsia" w:ascii="宋体" w:hAnsi="宋体" w:eastAsia="宋体" w:cs="宋体"/>
          <w:color w:val="auto"/>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7679FBBE">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2.5.2 合同履行期间，甲方有权将履行过程中出现的问题反馈给乙方，双方当事人应以书面形式约定需要完善和改进的内容</w:t>
      </w:r>
      <w:bookmarkEnd w:id="469"/>
      <w:bookmarkStart w:id="475" w:name="_Toc186431855"/>
      <w:r>
        <w:rPr>
          <w:rFonts w:hint="eastAsia" w:ascii="宋体" w:hAnsi="宋体" w:eastAsia="宋体" w:cs="宋体"/>
          <w:color w:val="auto"/>
          <w:highlight w:val="none"/>
        </w:rPr>
        <w:t>。</w:t>
      </w:r>
    </w:p>
    <w:bookmarkEnd w:id="470"/>
    <w:bookmarkEnd w:id="471"/>
    <w:bookmarkEnd w:id="472"/>
    <w:bookmarkEnd w:id="473"/>
    <w:bookmarkEnd w:id="474"/>
    <w:bookmarkEnd w:id="475"/>
    <w:p w14:paraId="28812D05">
      <w:pPr>
        <w:adjustRightInd w:val="0"/>
        <w:spacing w:line="560" w:lineRule="exact"/>
        <w:ind w:firstLine="422" w:firstLineChars="200"/>
        <w:rPr>
          <w:rFonts w:hint="eastAsia" w:ascii="宋体" w:hAnsi="宋体" w:eastAsia="宋体" w:cs="宋体"/>
          <w:b/>
          <w:color w:val="auto"/>
          <w:highlight w:val="none"/>
        </w:rPr>
      </w:pPr>
      <w:bookmarkStart w:id="476" w:name="_Toc259093677"/>
      <w:bookmarkStart w:id="477" w:name="_Ref467379863"/>
      <w:bookmarkStart w:id="478" w:name="_Ref467379852"/>
      <w:bookmarkStart w:id="479" w:name="_Ref467379923"/>
      <w:bookmarkStart w:id="480" w:name="_Toc487900358"/>
      <w:bookmarkStart w:id="481" w:name="_Toc279701248"/>
      <w:bookmarkStart w:id="482" w:name="_Toc3225"/>
      <w:bookmarkStart w:id="483" w:name="_Toc774"/>
      <w:bookmarkStart w:id="484" w:name="_Toc16110"/>
      <w:r>
        <w:rPr>
          <w:rFonts w:hint="eastAsia" w:ascii="宋体" w:hAnsi="宋体" w:eastAsia="宋体" w:cs="宋体"/>
          <w:b/>
          <w:color w:val="auto"/>
          <w:highlight w:val="none"/>
        </w:rPr>
        <w:t>2.6 技术资料</w:t>
      </w:r>
      <w:bookmarkEnd w:id="476"/>
      <w:bookmarkEnd w:id="477"/>
      <w:bookmarkEnd w:id="478"/>
      <w:bookmarkEnd w:id="479"/>
      <w:bookmarkEnd w:id="480"/>
      <w:bookmarkEnd w:id="481"/>
      <w:r>
        <w:rPr>
          <w:rFonts w:hint="eastAsia" w:ascii="宋体" w:hAnsi="宋体" w:eastAsia="宋体" w:cs="宋体"/>
          <w:b/>
          <w:color w:val="auto"/>
          <w:highlight w:val="none"/>
        </w:rPr>
        <w:t>和保密义务</w:t>
      </w:r>
      <w:bookmarkEnd w:id="482"/>
      <w:bookmarkEnd w:id="483"/>
      <w:bookmarkEnd w:id="484"/>
    </w:p>
    <w:p w14:paraId="2A6F08D6">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2.6.1 乙方有权依据合同约定和项目需要，向甲方了解有关情况，调阅有关资料等，甲方应予积极配合；</w:t>
      </w:r>
    </w:p>
    <w:p w14:paraId="66C82E48">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2.6.2 乙方有义务妥善保管和保护由甲方提供的前款信息和资料等；</w:t>
      </w:r>
    </w:p>
    <w:p w14:paraId="3D4E20F1">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960D885">
      <w:pPr>
        <w:adjustRightInd w:val="0"/>
        <w:spacing w:line="560" w:lineRule="exact"/>
        <w:ind w:firstLine="422" w:firstLineChars="200"/>
        <w:rPr>
          <w:rFonts w:hint="eastAsia" w:ascii="宋体" w:hAnsi="宋体" w:eastAsia="宋体" w:cs="宋体"/>
          <w:b/>
          <w:color w:val="auto"/>
          <w:highlight w:val="none"/>
        </w:rPr>
      </w:pPr>
      <w:bookmarkStart w:id="485" w:name="_Toc7860"/>
      <w:r>
        <w:rPr>
          <w:rFonts w:hint="eastAsia" w:ascii="宋体" w:hAnsi="宋体" w:eastAsia="宋体" w:cs="宋体"/>
          <w:b/>
          <w:color w:val="auto"/>
          <w:highlight w:val="none"/>
        </w:rPr>
        <w:t>2.7 质量保证</w:t>
      </w:r>
      <w:bookmarkEnd w:id="485"/>
    </w:p>
    <w:p w14:paraId="01028B05">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2.7.1 乙方应建立和完善履行合同的内部质量保证体系，并提供相关内部规章制度给甲方，以便甲方进行监督检查；</w:t>
      </w:r>
    </w:p>
    <w:p w14:paraId="27185C72">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2.7.2 乙方应保证履行合同的人员数量和素质、软件和硬件设备的配置、场地、环境和设施等满足全面履行合同的要求，并应接受甲方的监督检查。</w:t>
      </w:r>
    </w:p>
    <w:p w14:paraId="58362476">
      <w:pPr>
        <w:adjustRightInd w:val="0"/>
        <w:spacing w:line="560" w:lineRule="exact"/>
        <w:ind w:firstLine="422" w:firstLineChars="200"/>
        <w:rPr>
          <w:rFonts w:hint="eastAsia" w:ascii="宋体" w:hAnsi="宋体" w:eastAsia="宋体" w:cs="宋体"/>
          <w:b/>
          <w:color w:val="auto"/>
          <w:highlight w:val="none"/>
        </w:rPr>
      </w:pPr>
      <w:bookmarkStart w:id="486" w:name="_Toc17244"/>
      <w:bookmarkStart w:id="487" w:name="_Toc487900362"/>
      <w:bookmarkStart w:id="488" w:name="_Toc279701252"/>
      <w:bookmarkStart w:id="489" w:name="_Toc259093681"/>
      <w:r>
        <w:rPr>
          <w:rFonts w:hint="eastAsia" w:ascii="宋体" w:hAnsi="宋体" w:eastAsia="宋体" w:cs="宋体"/>
          <w:b/>
          <w:color w:val="auto"/>
          <w:highlight w:val="none"/>
        </w:rPr>
        <w:t>2.8 货物的风险负担</w:t>
      </w:r>
      <w:bookmarkEnd w:id="486"/>
    </w:p>
    <w:p w14:paraId="39EDEA65">
      <w:pPr>
        <w:adjustRightInd w:val="0"/>
        <w:spacing w:line="560" w:lineRule="exact"/>
        <w:ind w:firstLine="420" w:firstLineChars="200"/>
        <w:rPr>
          <w:rFonts w:hint="eastAsia" w:ascii="宋体" w:hAnsi="宋体" w:eastAsia="宋体" w:cs="宋体"/>
          <w:b/>
          <w:color w:val="auto"/>
          <w:highlight w:val="none"/>
        </w:rPr>
      </w:pPr>
      <w:r>
        <w:rPr>
          <w:rFonts w:hint="eastAsia" w:ascii="宋体" w:hAnsi="宋体" w:eastAsia="宋体" w:cs="宋体"/>
          <w:color w:val="auto"/>
          <w:highlight w:val="none"/>
        </w:rPr>
        <w:t>货物或者在途货物或者交付给第一承运人后的货物毁损、灭失的风险负担详见</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rPr>
        <w:t>。</w:t>
      </w:r>
    </w:p>
    <w:p w14:paraId="29989B67">
      <w:pPr>
        <w:adjustRightInd w:val="0"/>
        <w:spacing w:line="560" w:lineRule="exact"/>
        <w:ind w:firstLine="422" w:firstLineChars="200"/>
        <w:rPr>
          <w:rFonts w:hint="eastAsia" w:ascii="宋体" w:hAnsi="宋体" w:eastAsia="宋体" w:cs="宋体"/>
          <w:b/>
          <w:color w:val="auto"/>
          <w:highlight w:val="none"/>
        </w:rPr>
      </w:pPr>
      <w:bookmarkStart w:id="490" w:name="_Toc14055"/>
      <w:r>
        <w:rPr>
          <w:rFonts w:hint="eastAsia" w:ascii="宋体" w:hAnsi="宋体" w:eastAsia="宋体" w:cs="宋体"/>
          <w:b/>
          <w:color w:val="auto"/>
          <w:highlight w:val="none"/>
        </w:rPr>
        <w:t>2.9 延迟交货</w:t>
      </w:r>
      <w:bookmarkEnd w:id="487"/>
      <w:bookmarkEnd w:id="488"/>
      <w:bookmarkEnd w:id="489"/>
      <w:bookmarkEnd w:id="490"/>
    </w:p>
    <w:p w14:paraId="5D587C0E">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45FA58AE">
      <w:pPr>
        <w:adjustRightInd w:val="0"/>
        <w:spacing w:line="560" w:lineRule="exact"/>
        <w:ind w:firstLine="422" w:firstLineChars="200"/>
        <w:rPr>
          <w:rFonts w:hint="eastAsia" w:ascii="宋体" w:hAnsi="宋体" w:eastAsia="宋体" w:cs="宋体"/>
          <w:b/>
          <w:color w:val="auto"/>
          <w:highlight w:val="none"/>
        </w:rPr>
      </w:pPr>
      <w:bookmarkStart w:id="491" w:name="_Toc7502"/>
      <w:bookmarkStart w:id="492" w:name="_Ref467378121"/>
      <w:bookmarkStart w:id="493" w:name="_Toc487900364"/>
      <w:bookmarkStart w:id="494" w:name="_Toc259093683"/>
      <w:bookmarkStart w:id="495" w:name="_Toc279701254"/>
      <w:r>
        <w:rPr>
          <w:rFonts w:hint="eastAsia" w:ascii="宋体" w:hAnsi="宋体" w:eastAsia="宋体" w:cs="宋体"/>
          <w:b/>
          <w:color w:val="auto"/>
          <w:highlight w:val="none"/>
        </w:rPr>
        <w:t>2.10 合同变更</w:t>
      </w:r>
      <w:bookmarkEnd w:id="491"/>
    </w:p>
    <w:p w14:paraId="48C49275">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合同继续履行将损害国家利益和社会公共利益的，双方当事人应当以书面形式变更合同。有过错的一方应当承担赔偿责任，双方当事人都有过错的，各自承担相应的责任。</w:t>
      </w:r>
      <w:bookmarkStart w:id="496" w:name="_Toc259093688"/>
      <w:bookmarkStart w:id="497" w:name="_Toc487900369"/>
      <w:bookmarkStart w:id="498" w:name="_Toc279701259"/>
    </w:p>
    <w:p w14:paraId="10FD225A">
      <w:pPr>
        <w:adjustRightInd w:val="0"/>
        <w:spacing w:line="560" w:lineRule="exact"/>
        <w:ind w:firstLine="422" w:firstLineChars="200"/>
        <w:rPr>
          <w:rFonts w:hint="eastAsia" w:ascii="宋体" w:hAnsi="宋体" w:eastAsia="宋体" w:cs="宋体"/>
          <w:b/>
          <w:color w:val="auto"/>
          <w:highlight w:val="none"/>
        </w:rPr>
      </w:pPr>
      <w:bookmarkStart w:id="499" w:name="_Toc22955"/>
      <w:bookmarkStart w:id="500" w:name="_Toc10366"/>
      <w:bookmarkStart w:id="501" w:name="_Toc15237"/>
      <w:r>
        <w:rPr>
          <w:rFonts w:hint="eastAsia" w:ascii="宋体" w:hAnsi="宋体" w:eastAsia="宋体" w:cs="宋体"/>
          <w:b/>
          <w:color w:val="auto"/>
          <w:highlight w:val="none"/>
        </w:rPr>
        <w:t>2.11 合同转让</w:t>
      </w:r>
      <w:bookmarkEnd w:id="496"/>
      <w:bookmarkEnd w:id="497"/>
      <w:bookmarkEnd w:id="498"/>
      <w:r>
        <w:rPr>
          <w:rFonts w:hint="eastAsia" w:ascii="宋体" w:hAnsi="宋体" w:eastAsia="宋体" w:cs="宋体"/>
          <w:b/>
          <w:color w:val="auto"/>
          <w:highlight w:val="none"/>
        </w:rPr>
        <w:t>和分包</w:t>
      </w:r>
      <w:bookmarkEnd w:id="499"/>
      <w:bookmarkEnd w:id="500"/>
      <w:bookmarkEnd w:id="501"/>
    </w:p>
    <w:p w14:paraId="7CC62496">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DD3EEB3">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2.11.2乙方采取分包方式履行合同的，甲方可直接向分包供应商支付款项。</w:t>
      </w:r>
    </w:p>
    <w:p w14:paraId="2B56233B">
      <w:pPr>
        <w:adjustRightInd w:val="0"/>
        <w:spacing w:line="560" w:lineRule="exact"/>
        <w:ind w:firstLine="422" w:firstLineChars="200"/>
        <w:rPr>
          <w:rFonts w:hint="eastAsia" w:ascii="宋体" w:hAnsi="宋体" w:eastAsia="宋体" w:cs="宋体"/>
          <w:b/>
          <w:color w:val="auto"/>
          <w:highlight w:val="none"/>
        </w:rPr>
      </w:pPr>
      <w:bookmarkStart w:id="502" w:name="_Toc14066"/>
      <w:bookmarkStart w:id="503" w:name="_Toc13566"/>
      <w:bookmarkStart w:id="504" w:name="_Toc16508"/>
      <w:r>
        <w:rPr>
          <w:rFonts w:hint="eastAsia" w:ascii="宋体" w:hAnsi="宋体" w:eastAsia="宋体" w:cs="宋体"/>
          <w:b/>
          <w:color w:val="auto"/>
          <w:highlight w:val="none"/>
        </w:rPr>
        <w:t>2.12 不可抗力</w:t>
      </w:r>
      <w:bookmarkEnd w:id="502"/>
      <w:bookmarkEnd w:id="503"/>
      <w:bookmarkEnd w:id="504"/>
    </w:p>
    <w:p w14:paraId="11193A1D">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2.12.1如果任何一方遭遇法律规定的不可抗力，致使合同履行受阻时，履行合同的期限应予延长，延长的期限应相当于不可抗力所影响的时间；</w:t>
      </w:r>
    </w:p>
    <w:p w14:paraId="1F73049E">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2.12.2 因不可抗力致使不能实现合同目的的，当事人可以解除合同；</w:t>
      </w:r>
    </w:p>
    <w:p w14:paraId="60FDF1B8">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2.12.3 因不可抗力致使合同有变更必要的，双方当事人应在</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rPr>
        <w:t>约定时间内以书面形式变更合同；</w:t>
      </w:r>
    </w:p>
    <w:p w14:paraId="2D26A03B">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2.12.4受不可抗力影响的一方在不可抗力发生后，应在</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rPr>
        <w:t>约定时间内以书面形式通知对方当事人，并在</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rPr>
        <w:t>约定时间内，将有关部门出具的证明文件送达对方当事人。</w:t>
      </w:r>
    </w:p>
    <w:p w14:paraId="00164DDF">
      <w:pPr>
        <w:adjustRightInd w:val="0"/>
        <w:spacing w:line="560" w:lineRule="exact"/>
        <w:ind w:firstLine="422" w:firstLineChars="200"/>
        <w:rPr>
          <w:rFonts w:hint="eastAsia" w:ascii="宋体" w:hAnsi="宋体" w:eastAsia="宋体" w:cs="宋体"/>
          <w:b/>
          <w:color w:val="auto"/>
          <w:highlight w:val="none"/>
        </w:rPr>
      </w:pPr>
      <w:bookmarkStart w:id="505" w:name="_Toc30676"/>
      <w:bookmarkStart w:id="506" w:name="_Toc6969"/>
      <w:bookmarkStart w:id="507" w:name="_Toc259093684"/>
      <w:bookmarkStart w:id="508" w:name="_Toc689"/>
      <w:bookmarkStart w:id="509" w:name="_Toc279701255"/>
      <w:bookmarkStart w:id="510" w:name="_Toc487900365"/>
      <w:r>
        <w:rPr>
          <w:rFonts w:hint="eastAsia" w:ascii="宋体" w:hAnsi="宋体" w:eastAsia="宋体" w:cs="宋体"/>
          <w:b/>
          <w:color w:val="auto"/>
          <w:highlight w:val="none"/>
        </w:rPr>
        <w:t>2.13 税费</w:t>
      </w:r>
      <w:bookmarkEnd w:id="505"/>
      <w:bookmarkEnd w:id="506"/>
      <w:bookmarkEnd w:id="507"/>
      <w:bookmarkEnd w:id="508"/>
      <w:bookmarkEnd w:id="509"/>
      <w:bookmarkEnd w:id="510"/>
    </w:p>
    <w:p w14:paraId="7C573E75">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与合同有关的一切税费，均按照中华人民共和国法律的相关规定。</w:t>
      </w:r>
    </w:p>
    <w:p w14:paraId="6415FFBF">
      <w:pPr>
        <w:adjustRightInd w:val="0"/>
        <w:spacing w:line="560" w:lineRule="exact"/>
        <w:ind w:firstLine="422" w:firstLineChars="200"/>
        <w:rPr>
          <w:rFonts w:hint="eastAsia" w:ascii="宋体" w:hAnsi="宋体" w:eastAsia="宋体" w:cs="宋体"/>
          <w:b/>
          <w:color w:val="auto"/>
          <w:highlight w:val="none"/>
        </w:rPr>
      </w:pPr>
      <w:bookmarkStart w:id="511" w:name="_Toc16959"/>
      <w:bookmarkStart w:id="512" w:name="_Toc8298"/>
      <w:bookmarkStart w:id="513" w:name="_Toc279701258"/>
      <w:bookmarkStart w:id="514" w:name="_Toc7102"/>
      <w:bookmarkStart w:id="515" w:name="_Toc259093687"/>
      <w:bookmarkStart w:id="516" w:name="_Toc487900368"/>
      <w:r>
        <w:rPr>
          <w:rFonts w:hint="eastAsia" w:ascii="宋体" w:hAnsi="宋体" w:eastAsia="宋体" w:cs="宋体"/>
          <w:b/>
          <w:color w:val="auto"/>
          <w:highlight w:val="none"/>
        </w:rPr>
        <w:t>2.14乙方破产</w:t>
      </w:r>
      <w:bookmarkEnd w:id="511"/>
      <w:bookmarkEnd w:id="512"/>
      <w:bookmarkEnd w:id="513"/>
      <w:bookmarkEnd w:id="514"/>
      <w:bookmarkEnd w:id="515"/>
      <w:bookmarkEnd w:id="516"/>
    </w:p>
    <w:p w14:paraId="1BBD5AFC">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3C69A70">
      <w:pPr>
        <w:adjustRightInd w:val="0"/>
        <w:spacing w:line="560" w:lineRule="exact"/>
        <w:ind w:firstLine="422" w:firstLineChars="200"/>
        <w:rPr>
          <w:rFonts w:hint="eastAsia" w:ascii="宋体" w:hAnsi="宋体" w:eastAsia="宋体" w:cs="宋体"/>
          <w:b/>
          <w:color w:val="auto"/>
          <w:highlight w:val="none"/>
        </w:rPr>
      </w:pPr>
      <w:bookmarkStart w:id="517" w:name="_Toc15387"/>
      <w:bookmarkStart w:id="518" w:name="_Toc6134"/>
      <w:bookmarkStart w:id="519" w:name="_Toc29333"/>
      <w:r>
        <w:rPr>
          <w:rFonts w:hint="eastAsia" w:ascii="宋体" w:hAnsi="宋体" w:eastAsia="宋体" w:cs="宋体"/>
          <w:b/>
          <w:color w:val="auto"/>
          <w:highlight w:val="none"/>
        </w:rPr>
        <w:t>2.15 合同中止、终止</w:t>
      </w:r>
      <w:bookmarkEnd w:id="517"/>
      <w:bookmarkEnd w:id="518"/>
      <w:bookmarkEnd w:id="519"/>
    </w:p>
    <w:p w14:paraId="236EEF3C">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2.15.1 双方当事人不得擅自中止或者终止合同；</w:t>
      </w:r>
    </w:p>
    <w:p w14:paraId="31587692">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2.15.2合同继续履行将损害国家利益和社会公共利益的，双方当事人应当中止或者终止合同。有过错的一方应当承担赔偿责任，双方当事人都有过错的，各自承担相应的责任。</w:t>
      </w:r>
    </w:p>
    <w:p w14:paraId="4D82B9A0">
      <w:pPr>
        <w:adjustRightInd w:val="0"/>
        <w:spacing w:line="560" w:lineRule="exact"/>
        <w:ind w:firstLine="422" w:firstLineChars="200"/>
        <w:rPr>
          <w:rFonts w:hint="eastAsia" w:ascii="宋体" w:hAnsi="宋体" w:eastAsia="宋体" w:cs="宋体"/>
          <w:b/>
          <w:color w:val="auto"/>
          <w:highlight w:val="none"/>
        </w:rPr>
      </w:pPr>
      <w:bookmarkStart w:id="520" w:name="_Toc14563"/>
      <w:bookmarkStart w:id="521" w:name="_Toc6596"/>
      <w:bookmarkStart w:id="522" w:name="_Toc1125"/>
      <w:r>
        <w:rPr>
          <w:rFonts w:hint="eastAsia" w:ascii="宋体" w:hAnsi="宋体" w:eastAsia="宋体" w:cs="宋体"/>
          <w:b/>
          <w:color w:val="auto"/>
          <w:highlight w:val="none"/>
        </w:rPr>
        <w:t>2.16检验和验收</w:t>
      </w:r>
      <w:bookmarkEnd w:id="520"/>
      <w:bookmarkEnd w:id="521"/>
      <w:bookmarkEnd w:id="522"/>
    </w:p>
    <w:p w14:paraId="2272CE12">
      <w:pPr>
        <w:tabs>
          <w:tab w:val="left" w:pos="360"/>
          <w:tab w:val="left" w:pos="540"/>
          <w:tab w:val="left" w:pos="1080"/>
        </w:tabs>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2.16.1货物交付前，乙方应对货物的质量、数量等方面进行详细、全面的检验，并向甲方出具证明货物符合合同约定的文件；货物交付时，甲方在</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rPr>
        <w:t>约定时间内组织验收，并可依法邀请相关方参加，验收应出具验收书。</w:t>
      </w:r>
    </w:p>
    <w:p w14:paraId="4A3942F4">
      <w:pPr>
        <w:tabs>
          <w:tab w:val="left" w:pos="360"/>
          <w:tab w:val="left" w:pos="540"/>
          <w:tab w:val="left" w:pos="1080"/>
        </w:tabs>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430F4AC4">
      <w:pPr>
        <w:tabs>
          <w:tab w:val="left" w:pos="360"/>
          <w:tab w:val="left" w:pos="540"/>
          <w:tab w:val="left" w:pos="1080"/>
        </w:tabs>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2.16.3 检验和验收标准、程序等具体内容以及前述验收书的效力详见</w:t>
      </w:r>
      <w:r>
        <w:rPr>
          <w:rFonts w:hint="eastAsia" w:ascii="宋体" w:hAnsi="宋体" w:eastAsia="宋体" w:cs="宋体"/>
          <w:b/>
          <w:i/>
          <w:color w:val="auto"/>
          <w:highlight w:val="none"/>
          <w:u w:val="single"/>
        </w:rPr>
        <w:t>合同专用条款</w:t>
      </w:r>
      <w:r>
        <w:rPr>
          <w:rFonts w:hint="eastAsia" w:ascii="宋体" w:hAnsi="宋体" w:eastAsia="宋体" w:cs="宋体"/>
          <w:i/>
          <w:color w:val="auto"/>
          <w:highlight w:val="none"/>
        </w:rPr>
        <w:t>。</w:t>
      </w:r>
    </w:p>
    <w:bookmarkEnd w:id="492"/>
    <w:bookmarkEnd w:id="493"/>
    <w:bookmarkEnd w:id="494"/>
    <w:bookmarkEnd w:id="495"/>
    <w:p w14:paraId="70E47064">
      <w:pPr>
        <w:adjustRightInd w:val="0"/>
        <w:spacing w:line="560" w:lineRule="exact"/>
        <w:ind w:firstLine="422" w:firstLineChars="200"/>
        <w:rPr>
          <w:rFonts w:hint="eastAsia" w:ascii="宋体" w:hAnsi="宋体" w:eastAsia="宋体" w:cs="宋体"/>
          <w:b/>
          <w:color w:val="auto"/>
          <w:highlight w:val="none"/>
        </w:rPr>
      </w:pPr>
      <w:bookmarkStart w:id="523" w:name="_Toc259093690"/>
      <w:bookmarkStart w:id="524" w:name="_Toc487900371"/>
      <w:bookmarkStart w:id="525" w:name="_Toc279701261"/>
      <w:bookmarkStart w:id="526" w:name="_Toc11284"/>
      <w:bookmarkStart w:id="527" w:name="_Toc19604"/>
      <w:bookmarkStart w:id="528" w:name="_Toc25182"/>
      <w:r>
        <w:rPr>
          <w:rFonts w:hint="eastAsia" w:ascii="宋体" w:hAnsi="宋体" w:eastAsia="宋体" w:cs="宋体"/>
          <w:b/>
          <w:color w:val="auto"/>
          <w:highlight w:val="none"/>
        </w:rPr>
        <w:t>2.17 通知</w:t>
      </w:r>
      <w:bookmarkEnd w:id="523"/>
      <w:bookmarkEnd w:id="524"/>
      <w:bookmarkEnd w:id="525"/>
      <w:r>
        <w:rPr>
          <w:rFonts w:hint="eastAsia" w:ascii="宋体" w:hAnsi="宋体" w:eastAsia="宋体" w:cs="宋体"/>
          <w:b/>
          <w:color w:val="auto"/>
          <w:highlight w:val="none"/>
        </w:rPr>
        <w:t>和送达</w:t>
      </w:r>
      <w:bookmarkEnd w:id="526"/>
      <w:bookmarkEnd w:id="527"/>
      <w:bookmarkEnd w:id="528"/>
    </w:p>
    <w:p w14:paraId="6A85E180">
      <w:pPr>
        <w:adjustRightInd w:val="0"/>
        <w:spacing w:line="560" w:lineRule="exact"/>
        <w:ind w:firstLine="420" w:firstLineChars="200"/>
        <w:rPr>
          <w:rFonts w:hint="eastAsia" w:ascii="宋体" w:hAnsi="宋体" w:eastAsia="宋体" w:cs="宋体"/>
          <w:color w:val="auto"/>
          <w:highlight w:val="none"/>
        </w:rPr>
      </w:pPr>
      <w:bookmarkStart w:id="529" w:name="_Toc3135"/>
      <w:bookmarkStart w:id="530" w:name="_Toc6698"/>
      <w:bookmarkStart w:id="531" w:name="_Toc487900372"/>
      <w:bookmarkStart w:id="532" w:name="_Toc279701262"/>
      <w:bookmarkStart w:id="533" w:name="_Toc259093691"/>
      <w:r>
        <w:rPr>
          <w:rFonts w:hint="eastAsia" w:ascii="宋体" w:hAnsi="宋体" w:eastAsia="宋体" w:cs="宋体"/>
          <w:color w:val="auto"/>
          <w:highlight w:val="none"/>
        </w:rPr>
        <w:t>2.17.1任何一方因履行合同而以合同第一部分尾部所列明的传真或电子邮件发出的所有通知、文件、材料，均视为已向对方当事人送达；任何一方变更上述送达方式或者地址的，应于</w:t>
      </w:r>
      <w:r>
        <w:rPr>
          <w:rFonts w:hint="eastAsia" w:ascii="宋体" w:hAnsi="宋体" w:eastAsia="宋体" w:cs="宋体"/>
          <w:color w:val="auto"/>
          <w:highlight w:val="none"/>
          <w:u w:val="single"/>
        </w:rPr>
        <w:t>3</w:t>
      </w:r>
      <w:r>
        <w:rPr>
          <w:rFonts w:hint="eastAsia" w:ascii="宋体" w:hAnsi="宋体" w:eastAsia="宋体" w:cs="宋体"/>
          <w:color w:val="auto"/>
          <w:highlight w:val="none"/>
        </w:rPr>
        <w:t>个工作日内书面通知对方当事人，在对方当事人收到有关变更通知之前，变更前的约定送达方式或者地址仍视为有效。</w:t>
      </w:r>
      <w:bookmarkEnd w:id="529"/>
      <w:bookmarkEnd w:id="530"/>
    </w:p>
    <w:p w14:paraId="1F405D79">
      <w:pPr>
        <w:adjustRightInd w:val="0"/>
        <w:spacing w:line="560" w:lineRule="exact"/>
        <w:ind w:firstLine="420" w:firstLineChars="200"/>
        <w:rPr>
          <w:rFonts w:hint="eastAsia" w:ascii="宋体" w:hAnsi="宋体" w:eastAsia="宋体" w:cs="宋体"/>
          <w:color w:val="auto"/>
          <w:highlight w:val="none"/>
        </w:rPr>
      </w:pPr>
      <w:bookmarkStart w:id="534" w:name="_Toc23294"/>
      <w:bookmarkStart w:id="535" w:name="_Toc23128"/>
      <w:r>
        <w:rPr>
          <w:rFonts w:hint="eastAsia" w:ascii="宋体" w:hAnsi="宋体" w:eastAsia="宋体" w:cs="宋体"/>
          <w:color w:val="auto"/>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4"/>
      <w:bookmarkEnd w:id="535"/>
    </w:p>
    <w:p w14:paraId="5F0EC198">
      <w:pPr>
        <w:adjustRightInd w:val="0"/>
        <w:spacing w:line="560" w:lineRule="exact"/>
        <w:ind w:firstLine="422" w:firstLineChars="200"/>
        <w:rPr>
          <w:rFonts w:hint="eastAsia" w:ascii="宋体" w:hAnsi="宋体" w:eastAsia="宋体" w:cs="宋体"/>
          <w:b/>
          <w:color w:val="auto"/>
          <w:highlight w:val="none"/>
        </w:rPr>
      </w:pPr>
      <w:bookmarkStart w:id="536" w:name="_Toc18540"/>
      <w:bookmarkStart w:id="537" w:name="_Toc4355"/>
      <w:bookmarkStart w:id="538" w:name="_Toc30599"/>
      <w:r>
        <w:rPr>
          <w:rFonts w:hint="eastAsia" w:ascii="宋体" w:hAnsi="宋体" w:eastAsia="宋体" w:cs="宋体"/>
          <w:b/>
          <w:color w:val="auto"/>
          <w:highlight w:val="none"/>
        </w:rPr>
        <w:t>2.18 计量单位</w:t>
      </w:r>
      <w:bookmarkEnd w:id="531"/>
      <w:bookmarkEnd w:id="532"/>
      <w:bookmarkEnd w:id="533"/>
      <w:bookmarkEnd w:id="536"/>
      <w:bookmarkEnd w:id="537"/>
      <w:bookmarkEnd w:id="538"/>
    </w:p>
    <w:p w14:paraId="0EC29B8B">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除技术规范中另有规定外，合同的计量单位均使用国家法定计量单位。</w:t>
      </w:r>
    </w:p>
    <w:p w14:paraId="103E1939">
      <w:pPr>
        <w:adjustRightInd w:val="0"/>
        <w:spacing w:line="560" w:lineRule="exact"/>
        <w:ind w:firstLine="422" w:firstLineChars="200"/>
        <w:rPr>
          <w:rFonts w:hint="eastAsia" w:ascii="宋体" w:hAnsi="宋体" w:eastAsia="宋体" w:cs="宋体"/>
          <w:b/>
          <w:color w:val="auto"/>
          <w:highlight w:val="none"/>
        </w:rPr>
      </w:pPr>
      <w:bookmarkStart w:id="539" w:name="_Toc10330"/>
      <w:bookmarkStart w:id="540" w:name="_Toc12773"/>
      <w:bookmarkStart w:id="541" w:name="_Toc259093692"/>
      <w:bookmarkStart w:id="542" w:name="_Toc487900373"/>
      <w:bookmarkStart w:id="543" w:name="_Toc279701263"/>
      <w:bookmarkStart w:id="544" w:name="_Toc18567"/>
      <w:r>
        <w:rPr>
          <w:rFonts w:hint="eastAsia" w:ascii="宋体" w:hAnsi="宋体" w:eastAsia="宋体" w:cs="宋体"/>
          <w:b/>
          <w:color w:val="auto"/>
          <w:highlight w:val="none"/>
        </w:rPr>
        <w:t>2.19 合同使用的文字和适用的法律</w:t>
      </w:r>
      <w:bookmarkEnd w:id="539"/>
      <w:bookmarkEnd w:id="540"/>
      <w:bookmarkEnd w:id="541"/>
      <w:bookmarkEnd w:id="542"/>
      <w:bookmarkEnd w:id="543"/>
      <w:bookmarkEnd w:id="544"/>
    </w:p>
    <w:p w14:paraId="0F85FCB2">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2.19.1 合同使用汉语书写、变更和解释；</w:t>
      </w:r>
    </w:p>
    <w:p w14:paraId="75C60FDD">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2.19.2 合同适用中华人民共和国法律。</w:t>
      </w:r>
    </w:p>
    <w:p w14:paraId="4F2EB5EA">
      <w:pPr>
        <w:adjustRightInd w:val="0"/>
        <w:spacing w:line="560" w:lineRule="exact"/>
        <w:ind w:firstLine="422" w:firstLineChars="200"/>
        <w:rPr>
          <w:rFonts w:hint="eastAsia" w:ascii="宋体" w:hAnsi="宋体" w:eastAsia="宋体" w:cs="宋体"/>
          <w:b/>
          <w:color w:val="auto"/>
          <w:highlight w:val="none"/>
        </w:rPr>
      </w:pPr>
      <w:bookmarkStart w:id="545" w:name="_Toc6885"/>
      <w:bookmarkStart w:id="546" w:name="_Toc19890"/>
      <w:bookmarkStart w:id="547" w:name="_Toc14001"/>
      <w:r>
        <w:rPr>
          <w:rFonts w:hint="eastAsia" w:ascii="宋体" w:hAnsi="宋体" w:eastAsia="宋体" w:cs="宋体"/>
          <w:b/>
          <w:color w:val="auto"/>
          <w:highlight w:val="none"/>
        </w:rPr>
        <w:t>2.20 合同份数</w:t>
      </w:r>
      <w:bookmarkEnd w:id="545"/>
      <w:bookmarkEnd w:id="546"/>
      <w:bookmarkEnd w:id="547"/>
    </w:p>
    <w:p w14:paraId="0D1D8FDF">
      <w:pPr>
        <w:adjustRightInd w:val="0"/>
        <w:spacing w:line="5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合同份数按</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rPr>
        <w:t>规定，每份均具有同等法律效力。</w:t>
      </w:r>
    </w:p>
    <w:p w14:paraId="068EE16F">
      <w:pPr>
        <w:keepNext w:val="0"/>
        <w:keepLines w:val="0"/>
        <w:pageBreakBefore w:val="0"/>
        <w:widowControl w:val="0"/>
        <w:kinsoku/>
        <w:wordWrap/>
        <w:overflowPunct/>
        <w:topLinePunct w:val="0"/>
        <w:autoSpaceDE w:val="0"/>
        <w:autoSpaceDN w:val="0"/>
        <w:bidi w:val="0"/>
        <w:adjustRightInd w:val="0"/>
        <w:snapToGrid w:val="0"/>
        <w:spacing w:after="120" w:line="560" w:lineRule="exact"/>
        <w:ind w:left="0" w:firstLine="0"/>
        <w:jc w:val="center"/>
        <w:textAlignment w:val="auto"/>
        <w:outlineLvl w:val="1"/>
        <w:rPr>
          <w:rFonts w:hint="eastAsia" w:ascii="宋体" w:hAnsi="宋体" w:eastAsia="宋体" w:cs="宋体"/>
          <w:b/>
          <w:color w:val="auto"/>
          <w:highlight w:val="none"/>
        </w:rPr>
      </w:pPr>
      <w:r>
        <w:rPr>
          <w:rFonts w:hint="eastAsia" w:ascii="宋体" w:hAnsi="宋体" w:eastAsia="宋体" w:cs="宋体"/>
          <w:color w:val="auto"/>
          <w:kern w:val="0"/>
          <w:szCs w:val="21"/>
          <w:highlight w:val="none"/>
        </w:rPr>
        <w:br w:type="page"/>
      </w:r>
      <w:r>
        <w:rPr>
          <w:rFonts w:hint="eastAsia" w:ascii="宋体" w:hAnsi="宋体" w:eastAsia="宋体" w:cs="宋体"/>
          <w:b/>
          <w:color w:val="auto"/>
          <w:highlight w:val="none"/>
        </w:rPr>
        <w:t xml:space="preserve"> 第三部分  合同专用条款</w:t>
      </w:r>
    </w:p>
    <w:p w14:paraId="1A89D681">
      <w:pPr>
        <w:adjustRightInd w:val="0"/>
        <w:spacing w:line="560" w:lineRule="exact"/>
        <w:ind w:left="-420" w:leftChars="-200" w:right="-420" w:rightChars="-2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49"/>
        <w:gridCol w:w="8277"/>
      </w:tblGrid>
      <w:tr w14:paraId="3D014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noWrap w:val="0"/>
            <w:vAlign w:val="center"/>
          </w:tcPr>
          <w:p w14:paraId="0E178C39">
            <w:pPr>
              <w:adjustRightInd w:val="0"/>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4534" w:type="pct"/>
            <w:noWrap w:val="0"/>
            <w:vAlign w:val="center"/>
          </w:tcPr>
          <w:p w14:paraId="5DA0017D">
            <w:pPr>
              <w:adjustRightInd w:val="0"/>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约定内容</w:t>
            </w:r>
          </w:p>
        </w:tc>
      </w:tr>
      <w:tr w14:paraId="5D189D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61BBA92F">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1.4.2</w:t>
            </w:r>
          </w:p>
        </w:tc>
        <w:tc>
          <w:tcPr>
            <w:tcW w:w="4534" w:type="pct"/>
            <w:noWrap w:val="0"/>
            <w:vAlign w:val="center"/>
          </w:tcPr>
          <w:p w14:paraId="58FCD088">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履约保证金支付方式：/。</w:t>
            </w:r>
          </w:p>
        </w:tc>
      </w:tr>
      <w:tr w14:paraId="01471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4EAD9B6E">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4534" w:type="pct"/>
            <w:noWrap w:val="0"/>
            <w:vAlign w:val="center"/>
          </w:tcPr>
          <w:p w14:paraId="39ED347D">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kern w:val="0"/>
                <w:highlight w:val="none"/>
              </w:rPr>
              <w:t>预付款比例、支付方式、时间：</w:t>
            </w:r>
            <w:r>
              <w:rPr>
                <w:rFonts w:hint="eastAsia" w:ascii="宋体" w:hAnsi="宋体" w:eastAsia="宋体" w:cs="宋体"/>
                <w:color w:val="auto"/>
                <w:szCs w:val="24"/>
                <w:highlight w:val="none"/>
              </w:rPr>
              <w:t>在签订合同后</w:t>
            </w:r>
            <w:r>
              <w:rPr>
                <w:rFonts w:hint="eastAsia" w:ascii="宋体" w:hAnsi="宋体" w:eastAsia="宋体" w:cs="宋体"/>
                <w:color w:val="auto"/>
                <w:szCs w:val="24"/>
                <w:highlight w:val="none"/>
                <w:lang w:eastAsia="zh-CN"/>
              </w:rPr>
              <w:t>【5】个工作日</w:t>
            </w:r>
            <w:r>
              <w:rPr>
                <w:rFonts w:hint="eastAsia" w:ascii="宋体" w:hAnsi="宋体" w:eastAsia="宋体" w:cs="宋体"/>
                <w:color w:val="auto"/>
                <w:szCs w:val="24"/>
                <w:highlight w:val="none"/>
              </w:rPr>
              <w:t>内，支付合同价款总金额的【</w:t>
            </w:r>
            <w:r>
              <w:rPr>
                <w:rFonts w:hint="eastAsia" w:ascii="宋体" w:hAnsi="宋体" w:eastAsia="宋体" w:cs="宋体"/>
                <w:color w:val="auto"/>
                <w:szCs w:val="24"/>
                <w:highlight w:val="none"/>
                <w:lang w:val="en-US" w:eastAsia="zh-CN"/>
              </w:rPr>
              <w:t>40</w:t>
            </w:r>
            <w:r>
              <w:rPr>
                <w:rFonts w:hint="eastAsia" w:ascii="宋体" w:hAnsi="宋体" w:eastAsia="宋体" w:cs="宋体"/>
                <w:color w:val="auto"/>
                <w:szCs w:val="24"/>
                <w:highlight w:val="none"/>
              </w:rPr>
              <w:t>】%</w:t>
            </w:r>
            <w:r>
              <w:rPr>
                <w:rFonts w:hint="eastAsia" w:ascii="宋体" w:hAnsi="宋体" w:eastAsia="宋体" w:cs="宋体"/>
                <w:color w:val="auto"/>
                <w:kern w:val="0"/>
                <w:highlight w:val="none"/>
              </w:rPr>
              <w:t>。</w:t>
            </w:r>
          </w:p>
        </w:tc>
      </w:tr>
      <w:tr w14:paraId="5F92A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28A2E31B">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1.5.2 </w:t>
            </w:r>
          </w:p>
        </w:tc>
        <w:tc>
          <w:tcPr>
            <w:tcW w:w="4534" w:type="pct"/>
            <w:noWrap w:val="0"/>
            <w:vAlign w:val="center"/>
          </w:tcPr>
          <w:p w14:paraId="446C1AFB">
            <w:pPr>
              <w:adjustRightInd w:val="0"/>
              <w:spacing w:line="36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预付款的扣回方式：</w:t>
            </w:r>
            <w:r>
              <w:rPr>
                <w:rFonts w:hint="eastAsia" w:ascii="宋体" w:hAnsi="宋体" w:eastAsia="宋体" w:cs="宋体"/>
                <w:color w:val="auto"/>
                <w:sz w:val="24"/>
                <w:highlight w:val="none"/>
                <w:lang w:eastAsia="zh-CN"/>
              </w:rPr>
              <w:t>‌等额扣款</w:t>
            </w:r>
            <w:r>
              <w:rPr>
                <w:rFonts w:hint="eastAsia" w:ascii="宋体" w:hAnsi="宋体" w:eastAsia="宋体" w:cs="宋体"/>
                <w:color w:val="auto"/>
                <w:sz w:val="24"/>
                <w:highlight w:val="none"/>
              </w:rPr>
              <w:t xml:space="preserve"> </w:t>
            </w:r>
          </w:p>
        </w:tc>
      </w:tr>
      <w:tr w14:paraId="3CE269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71A8AAE1">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1.5.3</w:t>
            </w:r>
          </w:p>
        </w:tc>
        <w:tc>
          <w:tcPr>
            <w:tcW w:w="4534" w:type="pct"/>
            <w:noWrap w:val="0"/>
            <w:vAlign w:val="center"/>
          </w:tcPr>
          <w:p w14:paraId="573E05CD">
            <w:pPr>
              <w:adjustRightInd w:val="0"/>
              <w:spacing w:line="36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预付款的担保措施：/</w:t>
            </w:r>
          </w:p>
        </w:tc>
      </w:tr>
      <w:tr w14:paraId="07CB7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5FE06DAD">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1.6.2</w:t>
            </w:r>
          </w:p>
        </w:tc>
        <w:tc>
          <w:tcPr>
            <w:tcW w:w="4534" w:type="pct"/>
            <w:noWrap w:val="0"/>
            <w:vAlign w:val="center"/>
          </w:tcPr>
          <w:p w14:paraId="77655ECE">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资金支付的方式、时间和条件：</w:t>
            </w:r>
          </w:p>
          <w:p w14:paraId="6A27732E">
            <w:pPr>
              <w:snapToGrid w:val="0"/>
              <w:spacing w:line="288" w:lineRule="auto"/>
              <w:rPr>
                <w:rFonts w:hint="eastAsia" w:ascii="宋体" w:hAnsi="宋体" w:eastAsia="宋体" w:cs="宋体"/>
                <w:color w:val="auto"/>
                <w:szCs w:val="24"/>
                <w:highlight w:val="none"/>
              </w:rPr>
            </w:pPr>
            <w:r>
              <w:rPr>
                <w:rFonts w:hint="eastAsia" w:ascii="宋体" w:hAnsi="宋体" w:eastAsia="宋体" w:cs="宋体"/>
                <w:color w:val="auto"/>
                <w:highlight w:val="none"/>
              </w:rPr>
              <w:t>1.</w:t>
            </w:r>
            <w:r>
              <w:rPr>
                <w:rFonts w:hint="eastAsia" w:ascii="宋体" w:hAnsi="宋体" w:eastAsia="宋体" w:cs="宋体"/>
                <w:color w:val="auto"/>
                <w:szCs w:val="24"/>
                <w:highlight w:val="none"/>
              </w:rPr>
              <w:t>（1）在签订合同后</w:t>
            </w:r>
            <w:r>
              <w:rPr>
                <w:rFonts w:hint="eastAsia" w:ascii="宋体" w:hAnsi="宋体" w:eastAsia="宋体" w:cs="宋体"/>
                <w:color w:val="auto"/>
                <w:szCs w:val="24"/>
                <w:highlight w:val="none"/>
                <w:lang w:eastAsia="zh-CN"/>
              </w:rPr>
              <w:t>【5】个工作日</w:t>
            </w:r>
            <w:r>
              <w:rPr>
                <w:rFonts w:hint="eastAsia" w:ascii="宋体" w:hAnsi="宋体" w:eastAsia="宋体" w:cs="宋体"/>
                <w:color w:val="auto"/>
                <w:szCs w:val="24"/>
                <w:highlight w:val="none"/>
              </w:rPr>
              <w:t>内，支付合同价款总金额的【</w:t>
            </w:r>
            <w:r>
              <w:rPr>
                <w:rFonts w:hint="eastAsia" w:ascii="宋体" w:hAnsi="宋体" w:eastAsia="宋体" w:cs="宋体"/>
                <w:color w:val="auto"/>
                <w:szCs w:val="24"/>
                <w:highlight w:val="none"/>
                <w:lang w:val="en-US" w:eastAsia="zh-CN"/>
              </w:rPr>
              <w:t>40</w:t>
            </w:r>
            <w:r>
              <w:rPr>
                <w:rFonts w:hint="eastAsia" w:ascii="宋体" w:hAnsi="宋体" w:eastAsia="宋体" w:cs="宋体"/>
                <w:color w:val="auto"/>
                <w:szCs w:val="24"/>
                <w:highlight w:val="none"/>
              </w:rPr>
              <w:t>】%，即【  】元（大写：人民币【  】）；</w:t>
            </w:r>
          </w:p>
          <w:p w14:paraId="580A92BE">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szCs w:val="24"/>
                <w:highlight w:val="none"/>
              </w:rPr>
              <w:t>（2）乙方完成 全部产品的供货安装 并经甲方验收合格后，凭甲乙双方签字盖章的验收意见及相关验收报告及各种文档资料等支付合同价款总金额的【</w:t>
            </w:r>
            <w:r>
              <w:rPr>
                <w:rFonts w:hint="eastAsia" w:ascii="宋体" w:hAnsi="宋体" w:eastAsia="宋体" w:cs="宋体"/>
                <w:color w:val="auto"/>
                <w:szCs w:val="24"/>
                <w:highlight w:val="none"/>
                <w:lang w:val="en-US" w:eastAsia="zh-CN"/>
              </w:rPr>
              <w:t>60</w:t>
            </w:r>
            <w:r>
              <w:rPr>
                <w:rFonts w:hint="eastAsia" w:ascii="宋体" w:hAnsi="宋体" w:eastAsia="宋体" w:cs="宋体"/>
                <w:color w:val="auto"/>
                <w:szCs w:val="24"/>
                <w:highlight w:val="none"/>
              </w:rPr>
              <w:t>】%，即【  】元（大写：人民币【  】）。</w:t>
            </w:r>
          </w:p>
          <w:p w14:paraId="45578F8D">
            <w:pPr>
              <w:adjustRightInd w:val="0"/>
              <w:spacing w:line="360" w:lineRule="auto"/>
              <w:rPr>
                <w:rFonts w:hint="eastAsia" w:ascii="宋体" w:hAnsi="宋体" w:eastAsia="宋体" w:cs="宋体"/>
                <w:b/>
                <w:bCs/>
                <w:color w:val="auto"/>
                <w:highlight w:val="none"/>
              </w:rPr>
            </w:pPr>
            <w:r>
              <w:rPr>
                <w:rFonts w:hint="eastAsia" w:ascii="宋体" w:hAnsi="宋体" w:eastAsia="宋体" w:cs="宋体"/>
                <w:color w:val="auto"/>
                <w:highlight w:val="none"/>
              </w:rPr>
              <w:t>2.甲方付款前，乙方须提供正规合法的等额发票，否则甲方有权拒绝付款，且不因此承担任何违约责任。</w:t>
            </w:r>
          </w:p>
        </w:tc>
      </w:tr>
      <w:tr w14:paraId="684E59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51CC2638">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4534" w:type="pct"/>
            <w:noWrap w:val="0"/>
            <w:vAlign w:val="center"/>
          </w:tcPr>
          <w:p w14:paraId="1C59F1C7">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交付期限：</w:t>
            </w:r>
            <w:r>
              <w:rPr>
                <w:rFonts w:hint="eastAsia" w:ascii="宋体" w:hAnsi="宋体" w:eastAsia="宋体" w:cs="宋体"/>
                <w:b w:val="0"/>
                <w:bCs w:val="0"/>
                <w:color w:val="auto"/>
                <w:sz w:val="21"/>
                <w:szCs w:val="21"/>
                <w:highlight w:val="none"/>
              </w:rPr>
              <w:t>合同签订后</w:t>
            </w:r>
            <w:r>
              <w:rPr>
                <w:rFonts w:hint="eastAsia" w:ascii="宋体" w:hAnsi="宋体" w:eastAsia="宋体" w:cs="宋体"/>
                <w:b w:val="0"/>
                <w:bCs w:val="0"/>
                <w:color w:val="auto"/>
                <w:sz w:val="21"/>
                <w:szCs w:val="21"/>
                <w:highlight w:val="none"/>
                <w:lang w:eastAsia="zh-CN"/>
              </w:rPr>
              <w:t>90日历天</w:t>
            </w:r>
            <w:r>
              <w:rPr>
                <w:rFonts w:hint="eastAsia" w:ascii="宋体" w:hAnsi="宋体" w:eastAsia="宋体" w:cs="宋体"/>
                <w:b w:val="0"/>
                <w:bCs w:val="0"/>
                <w:color w:val="auto"/>
                <w:sz w:val="21"/>
                <w:szCs w:val="21"/>
                <w:highlight w:val="none"/>
              </w:rPr>
              <w:t>内完成交货，并安装调试通过验收</w:t>
            </w:r>
            <w:r>
              <w:rPr>
                <w:rFonts w:hint="eastAsia" w:ascii="宋体" w:hAnsi="宋体" w:eastAsia="宋体" w:cs="宋体"/>
                <w:color w:val="auto"/>
                <w:highlight w:val="none"/>
              </w:rPr>
              <w:t>。</w:t>
            </w:r>
          </w:p>
        </w:tc>
      </w:tr>
      <w:tr w14:paraId="19F9C6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33562317">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1.7.2</w:t>
            </w:r>
          </w:p>
        </w:tc>
        <w:tc>
          <w:tcPr>
            <w:tcW w:w="4534" w:type="pct"/>
            <w:noWrap w:val="0"/>
            <w:vAlign w:val="center"/>
          </w:tcPr>
          <w:p w14:paraId="364B461B">
            <w:pPr>
              <w:adjustRightInd w:val="0"/>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rPr>
              <w:t>交付地点：</w:t>
            </w:r>
            <w:r>
              <w:rPr>
                <w:rFonts w:hint="eastAsia" w:ascii="宋体" w:hAnsi="宋体" w:eastAsia="宋体" w:cs="宋体"/>
                <w:b w:val="0"/>
                <w:bCs w:val="0"/>
                <w:color w:val="auto"/>
                <w:sz w:val="21"/>
                <w:szCs w:val="21"/>
                <w:highlight w:val="none"/>
              </w:rPr>
              <w:t>杭州第九中学树范学校</w:t>
            </w:r>
          </w:p>
        </w:tc>
      </w:tr>
      <w:tr w14:paraId="047B0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7C8D6546">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1.7.3</w:t>
            </w:r>
          </w:p>
        </w:tc>
        <w:tc>
          <w:tcPr>
            <w:tcW w:w="4534" w:type="pct"/>
            <w:noWrap w:val="0"/>
            <w:vAlign w:val="center"/>
          </w:tcPr>
          <w:p w14:paraId="5295135C">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交付方式：按甲方要求</w:t>
            </w:r>
          </w:p>
        </w:tc>
      </w:tr>
      <w:tr w14:paraId="2B7BC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45123A0D">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1.8.6</w:t>
            </w:r>
          </w:p>
        </w:tc>
        <w:tc>
          <w:tcPr>
            <w:tcW w:w="4534" w:type="pct"/>
            <w:noWrap w:val="0"/>
            <w:vAlign w:val="center"/>
          </w:tcPr>
          <w:p w14:paraId="0C04130A">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违约责任：</w:t>
            </w:r>
          </w:p>
          <w:p w14:paraId="67F5246D">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（1）所供货物在现场进行到货验收时乙方必须派人员参加并与甲方一起开箱检验，按供货清单验收，若有缺少或损坏，乙方应立即补足或更换全新同规格产品，并承担相关费用直至使甲方满意为止。</w:t>
            </w:r>
          </w:p>
          <w:p w14:paraId="0C52C0FB">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（2）若因乙方产品质量或安装不当导致验收不合格，应及时处理直至验收合格，其间产生的一切费用由乙方承担；若二次验收不合格，甲方有权退货。甲方在此期间保留对乙方的索赔权利。</w:t>
            </w:r>
          </w:p>
          <w:p w14:paraId="23D475F7">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（3）乙方在货物到货、安装和验收期间应采取严格的安全措施，承担由于自身原因所造成的事故责任及其发生的一切费用。</w:t>
            </w:r>
          </w:p>
          <w:p w14:paraId="14E30599">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（4）在保修期内，乙方应提供免费维保服务，在正常工作条件下，因产品制造质量不良而产生损坏或不能正常工作，乙方应提供免费维修直至更换。费用由乙方承担（包括返厂维修）。</w:t>
            </w:r>
          </w:p>
          <w:p w14:paraId="02840BFD">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E177DB2">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6）以下所列为本次采购的基本要求，乙方须按有关标准及规范完成本次采购设备制造与供货、运输（含保险、装卸车）、安装、调试与技术培训、检验、检测、通过有关部门验收、质保期内服务、维修等各项工作，并保证其使用的安全性与可靠性。具体配置说明、技术参数及产品样本等由乙方在投标文件中提供。如中标，乙方须对中标仪器设备使用的安全性、有效性及检测结果的可靠性负全部责任。</w:t>
            </w:r>
          </w:p>
          <w:p w14:paraId="49CD4906">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乙方应保证提供的货物为合法生产企业的产品，符合国家有关法律法规、规定和标准。按国家规定应通过有关部门鉴定（批准）的产品，应保证已按国家规定通过了鉴定（批准），并附鉴定文件（批准证书）的复印件。实行产品许可证制度的产品还须提供生产许可证复印件。乙方的投标产品必须具备相当于或高于招标文件中甲方所要求的相应的技术指标，并能提供更好的性能，具有更高的可靠性和耐用性。</w:t>
            </w:r>
          </w:p>
          <w:p w14:paraId="0B8AAF8A">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（8）违约金在结算合同尾款时一次性扣除</w:t>
            </w:r>
          </w:p>
        </w:tc>
      </w:tr>
      <w:tr w14:paraId="7CAE6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57F0CAA0">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4534" w:type="pct"/>
            <w:noWrap w:val="0"/>
            <w:vAlign w:val="center"/>
          </w:tcPr>
          <w:p w14:paraId="57E7BE8A">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合同在履行过程中发生争议时，采购方与乙方及时协商解决。协商不成时，向</w:t>
            </w:r>
            <w:r>
              <w:rPr>
                <w:rFonts w:hint="eastAsia" w:ascii="宋体" w:hAnsi="宋体" w:eastAsia="宋体" w:cs="宋体"/>
                <w:b/>
                <w:i/>
                <w:color w:val="auto"/>
                <w:highlight w:val="none"/>
                <w:u w:val="single"/>
              </w:rPr>
              <w:t>甲方所在地</w:t>
            </w:r>
            <w:r>
              <w:rPr>
                <w:rFonts w:hint="eastAsia" w:ascii="宋体" w:hAnsi="宋体" w:eastAsia="宋体" w:cs="宋体"/>
                <w:color w:val="auto"/>
                <w:highlight w:val="none"/>
              </w:rPr>
              <w:t>人民法院起诉。</w:t>
            </w:r>
          </w:p>
        </w:tc>
      </w:tr>
      <w:tr w14:paraId="1C219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3AB1DE4E">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4534" w:type="pct"/>
            <w:noWrap w:val="0"/>
            <w:vAlign w:val="center"/>
          </w:tcPr>
          <w:p w14:paraId="4966B26F">
            <w:pPr>
              <w:adjustRightInd w:val="0"/>
              <w:spacing w:line="360" w:lineRule="auto"/>
              <w:ind w:left="-420" w:leftChars="-200" w:right="-420" w:rightChars="-2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p>
        </w:tc>
      </w:tr>
      <w:tr w14:paraId="4D8A6D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1A449C17">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4534" w:type="pct"/>
            <w:noWrap w:val="0"/>
            <w:vAlign w:val="center"/>
          </w:tcPr>
          <w:p w14:paraId="3B595720">
            <w:pPr>
              <w:adjustRightInd w:val="0"/>
              <w:spacing w:line="360" w:lineRule="auto"/>
              <w:ind w:left="-420" w:leftChars="-200" w:right="-420" w:rightChars="-200"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p>
        </w:tc>
      </w:tr>
      <w:tr w14:paraId="70A3D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0304B543">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2.4.3</w:t>
            </w:r>
          </w:p>
        </w:tc>
        <w:tc>
          <w:tcPr>
            <w:tcW w:w="4534" w:type="pct"/>
            <w:noWrap w:val="0"/>
            <w:vAlign w:val="center"/>
          </w:tcPr>
          <w:p w14:paraId="4473DE51">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（1）货物装运前应提前2日与甲方指定联系人确定。</w:t>
            </w:r>
          </w:p>
          <w:p w14:paraId="5F79ED9D">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（2）乙方提供的投标产品应适合甲方的工作条件。货物安装运行对环境如有特殊要求的，应在投标文件中加以说明。</w:t>
            </w:r>
          </w:p>
        </w:tc>
      </w:tr>
      <w:tr w14:paraId="45B591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top"/>
          </w:tcPr>
          <w:p w14:paraId="45B44796">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2.8 </w:t>
            </w:r>
          </w:p>
        </w:tc>
        <w:tc>
          <w:tcPr>
            <w:tcW w:w="4534" w:type="pct"/>
            <w:noWrap w:val="0"/>
            <w:vAlign w:val="top"/>
          </w:tcPr>
          <w:p w14:paraId="45051E66">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货物或者在途货物或者交付给第一承运人后的货物毁损、灭失的风险负担：</w:t>
            </w:r>
          </w:p>
          <w:p w14:paraId="574CAE67">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由乙方承担相关费用与损失。</w:t>
            </w:r>
          </w:p>
        </w:tc>
      </w:tr>
      <w:tr w14:paraId="426C90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51C040A1">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2.12.3</w:t>
            </w:r>
          </w:p>
        </w:tc>
        <w:tc>
          <w:tcPr>
            <w:tcW w:w="4534" w:type="pct"/>
            <w:noWrap w:val="0"/>
            <w:vAlign w:val="center"/>
          </w:tcPr>
          <w:p w14:paraId="50606F31">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因不可抗力致使合同有变更必要的，双方当事人应在180日历天内以书面形式变更合同；</w:t>
            </w:r>
          </w:p>
        </w:tc>
      </w:tr>
      <w:tr w14:paraId="2EA6A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0D7F1931">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2.12.4</w:t>
            </w:r>
          </w:p>
        </w:tc>
        <w:tc>
          <w:tcPr>
            <w:tcW w:w="4534" w:type="pct"/>
            <w:noWrap w:val="0"/>
            <w:vAlign w:val="center"/>
          </w:tcPr>
          <w:p w14:paraId="67797C40">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受不可抗力影响的一方在不可抗力发生后，应在</w:t>
            </w:r>
            <w:r>
              <w:rPr>
                <w:rFonts w:hint="eastAsia" w:ascii="宋体" w:hAnsi="宋体" w:eastAsia="宋体" w:cs="宋体"/>
                <w:color w:val="auto"/>
                <w:highlight w:val="none"/>
                <w:lang w:val="en-US" w:eastAsia="zh-CN"/>
              </w:rPr>
              <w:t>30</w:t>
            </w:r>
            <w:r>
              <w:rPr>
                <w:rFonts w:hint="eastAsia" w:ascii="宋体" w:hAnsi="宋体" w:eastAsia="宋体" w:cs="宋体"/>
                <w:color w:val="auto"/>
                <w:highlight w:val="none"/>
                <w:lang w:eastAsia="zh-CN"/>
              </w:rPr>
              <w:t>日历天</w:t>
            </w:r>
            <w:r>
              <w:rPr>
                <w:rFonts w:hint="eastAsia" w:ascii="宋体" w:hAnsi="宋体" w:eastAsia="宋体" w:cs="宋体"/>
                <w:color w:val="auto"/>
                <w:highlight w:val="none"/>
              </w:rPr>
              <w:t>内以书面形式通知对方当事人，并在</w:t>
            </w:r>
            <w:r>
              <w:rPr>
                <w:rFonts w:hint="eastAsia" w:ascii="宋体" w:hAnsi="宋体" w:eastAsia="宋体" w:cs="宋体"/>
                <w:color w:val="auto"/>
                <w:highlight w:val="none"/>
                <w:lang w:val="en-US" w:eastAsia="zh-CN"/>
              </w:rPr>
              <w:t>30</w:t>
            </w:r>
            <w:r>
              <w:rPr>
                <w:rFonts w:hint="eastAsia" w:ascii="宋体" w:hAnsi="宋体" w:eastAsia="宋体" w:cs="宋体"/>
                <w:color w:val="auto"/>
                <w:highlight w:val="none"/>
                <w:lang w:eastAsia="zh-CN"/>
              </w:rPr>
              <w:t>日历天</w:t>
            </w:r>
            <w:r>
              <w:rPr>
                <w:rFonts w:hint="eastAsia" w:ascii="宋体" w:hAnsi="宋体" w:eastAsia="宋体" w:cs="宋体"/>
                <w:color w:val="auto"/>
                <w:highlight w:val="none"/>
              </w:rPr>
              <w:t>内，将有关部门出具的证明文件送达对方当事人。</w:t>
            </w:r>
          </w:p>
        </w:tc>
      </w:tr>
      <w:tr w14:paraId="633B2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noWrap w:val="0"/>
            <w:vAlign w:val="center"/>
          </w:tcPr>
          <w:p w14:paraId="76DA3B8B">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2.16.1</w:t>
            </w:r>
          </w:p>
        </w:tc>
        <w:tc>
          <w:tcPr>
            <w:tcW w:w="4534" w:type="pct"/>
            <w:noWrap w:val="0"/>
            <w:vAlign w:val="center"/>
          </w:tcPr>
          <w:p w14:paraId="4844193A">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货物交付前，乙方应对货物的质量、数量等方面进行详细、全面的检验，并向甲方出具证明货物符合合同约定的文件；货物交付时，甲方在7个工作日内组织验收，并可依法邀请相关方参加，验收应出具验收书。</w:t>
            </w:r>
          </w:p>
        </w:tc>
      </w:tr>
      <w:tr w14:paraId="2D7CB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noWrap w:val="0"/>
            <w:vAlign w:val="center"/>
          </w:tcPr>
          <w:p w14:paraId="70E915B9">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2.16.3</w:t>
            </w:r>
          </w:p>
        </w:tc>
        <w:tc>
          <w:tcPr>
            <w:tcW w:w="4534" w:type="pct"/>
            <w:noWrap w:val="0"/>
            <w:vAlign w:val="center"/>
          </w:tcPr>
          <w:p w14:paraId="3F12E772">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检验和验收标准、程序等具体内容以及前述验收书的效力：</w:t>
            </w:r>
          </w:p>
          <w:p w14:paraId="3D09CF37">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详见采购需求及投标文件或采用本行业通用标准。具体验收流程、程序以甲方要求为准。</w:t>
            </w:r>
          </w:p>
        </w:tc>
      </w:tr>
      <w:tr w14:paraId="204CD0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noWrap w:val="0"/>
            <w:vAlign w:val="center"/>
          </w:tcPr>
          <w:p w14:paraId="267E9B21">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2.20 </w:t>
            </w:r>
          </w:p>
        </w:tc>
        <w:tc>
          <w:tcPr>
            <w:tcW w:w="4534" w:type="pct"/>
            <w:noWrap w:val="0"/>
            <w:vAlign w:val="center"/>
          </w:tcPr>
          <w:p w14:paraId="5ED615BA">
            <w:pPr>
              <w:adjustRightIn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本合同一式六份，双方各执三份，自双方当事人盖章和签字时生效。</w:t>
            </w:r>
          </w:p>
        </w:tc>
      </w:tr>
    </w:tbl>
    <w:p w14:paraId="14B1BB2D">
      <w:pPr>
        <w:spacing w:line="360" w:lineRule="auto"/>
        <w:ind w:left="-420" w:leftChars="-200" w:right="-420" w:rightChars="-200"/>
        <w:rPr>
          <w:rFonts w:hint="eastAsia" w:ascii="宋体" w:hAnsi="宋体" w:eastAsia="宋体" w:cs="宋体"/>
          <w:color w:val="auto"/>
          <w:sz w:val="24"/>
          <w:highlight w:val="none"/>
        </w:rPr>
      </w:pPr>
    </w:p>
    <w:p w14:paraId="3D051F53">
      <w:pPr>
        <w:bidi w:val="0"/>
        <w:rPr>
          <w:rFonts w:hint="eastAsia" w:ascii="宋体" w:hAnsi="宋体" w:eastAsia="宋体" w:cs="宋体"/>
          <w:color w:val="auto"/>
          <w:highlight w:val="none"/>
        </w:rPr>
      </w:pPr>
    </w:p>
    <w:p w14:paraId="497A7314">
      <w:pPr>
        <w:rPr>
          <w:rFonts w:hint="eastAsia" w:ascii="宋体" w:hAnsi="宋体" w:eastAsia="宋体" w:cs="宋体"/>
          <w:color w:val="auto"/>
          <w:highlight w:val="none"/>
        </w:rPr>
      </w:pPr>
    </w:p>
    <w:p w14:paraId="3B5BE355">
      <w:pPr>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br w:type="page"/>
      </w:r>
    </w:p>
    <w:p w14:paraId="6ECD775A">
      <w:pPr>
        <w:spacing w:line="360" w:lineRule="auto"/>
        <w:ind w:left="720" w:firstLine="723" w:firstLineChars="200"/>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第六部分</w:t>
      </w:r>
      <w:bookmarkEnd w:id="397"/>
      <w:r>
        <w:rPr>
          <w:rFonts w:hint="eastAsia" w:ascii="宋体" w:hAnsi="宋体" w:eastAsia="宋体" w:cs="宋体"/>
          <w:b/>
          <w:color w:val="auto"/>
          <w:sz w:val="36"/>
          <w:szCs w:val="20"/>
          <w:highlight w:val="none"/>
        </w:rPr>
        <w:t xml:space="preserve"> </w:t>
      </w:r>
      <w:bookmarkEnd w:id="398"/>
      <w:r>
        <w:rPr>
          <w:rFonts w:hint="eastAsia" w:ascii="宋体" w:hAnsi="宋体" w:eastAsia="宋体" w:cs="宋体"/>
          <w:b/>
          <w:color w:val="auto"/>
          <w:sz w:val="36"/>
          <w:szCs w:val="20"/>
          <w:highlight w:val="none"/>
        </w:rPr>
        <w:t>应提交的有关格式范例</w:t>
      </w:r>
    </w:p>
    <w:p w14:paraId="06119069">
      <w:pPr>
        <w:spacing w:line="360" w:lineRule="auto"/>
        <w:jc w:val="center"/>
        <w:outlineLvl w:val="0"/>
        <w:rPr>
          <w:rFonts w:hint="eastAsia" w:ascii="宋体" w:hAnsi="宋体" w:eastAsia="宋体" w:cs="宋体"/>
          <w:b/>
          <w:color w:val="auto"/>
          <w:kern w:val="0"/>
          <w:sz w:val="36"/>
          <w:szCs w:val="36"/>
          <w:highlight w:val="none"/>
        </w:rPr>
      </w:pPr>
    </w:p>
    <w:p w14:paraId="267CCBB9">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资格文件部分</w:t>
      </w:r>
    </w:p>
    <w:p w14:paraId="5E987DE8">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44EF136C">
      <w:pPr>
        <w:bidi w:val="0"/>
        <w:rPr>
          <w:rFonts w:hint="eastAsia" w:ascii="宋体" w:hAnsi="宋体" w:eastAsia="宋体" w:cs="宋体"/>
          <w:color w:val="auto"/>
          <w:highlight w:val="none"/>
        </w:rPr>
      </w:pPr>
    </w:p>
    <w:p w14:paraId="0903C72F">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（1）符合参加政府采购活动应当具备的一般条件的承诺函……………（页码）</w:t>
      </w:r>
    </w:p>
    <w:p w14:paraId="443C0B73">
      <w:pPr>
        <w:snapToGrid w:val="0"/>
        <w:spacing w:line="360" w:lineRule="auto"/>
        <w:rPr>
          <w:rFonts w:hint="eastAsia" w:ascii="宋体" w:hAnsi="宋体" w:eastAsia="宋体" w:cs="宋体"/>
          <w:color w:val="auto"/>
          <w:sz w:val="24"/>
          <w:highlight w:val="none"/>
        </w:rPr>
      </w:pPr>
      <w:r>
        <w:rPr>
          <w:rFonts w:hint="eastAsia" w:ascii="宋体" w:hAnsi="宋体" w:eastAsia="宋体" w:cs="宋体"/>
          <w:snapToGrid w:val="0"/>
          <w:color w:val="auto"/>
          <w:kern w:val="28"/>
          <w:sz w:val="24"/>
          <w:szCs w:val="20"/>
          <w:highlight w:val="none"/>
        </w:rPr>
        <w:t>（2）联合协议</w:t>
      </w:r>
      <w:r>
        <w:rPr>
          <w:rFonts w:hint="eastAsia" w:ascii="宋体" w:hAnsi="宋体" w:eastAsia="宋体" w:cs="宋体"/>
          <w:color w:val="auto"/>
          <w:sz w:val="24"/>
          <w:highlight w:val="none"/>
        </w:rPr>
        <w:t>………………………………………………………………（页码）</w:t>
      </w:r>
    </w:p>
    <w:p w14:paraId="33D2E1BE">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（3）落实政府采购政策需满足的资格要求………………………………（页码）</w:t>
      </w:r>
    </w:p>
    <w:p w14:paraId="030A15A7">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（4）本项目的特定资格要求………………………………………………（页码）</w:t>
      </w:r>
    </w:p>
    <w:p w14:paraId="3FCC50F9">
      <w:pPr>
        <w:snapToGrid w:val="0"/>
        <w:spacing w:line="360" w:lineRule="auto"/>
        <w:ind w:firstLine="480" w:firstLineChars="200"/>
        <w:rPr>
          <w:rFonts w:hint="eastAsia" w:ascii="宋体" w:hAnsi="宋体" w:eastAsia="宋体" w:cs="宋体"/>
          <w:color w:val="auto"/>
          <w:sz w:val="24"/>
          <w:highlight w:val="none"/>
        </w:rPr>
      </w:pPr>
    </w:p>
    <w:p w14:paraId="1B23DDD2">
      <w:pPr>
        <w:spacing w:line="360" w:lineRule="auto"/>
        <w:ind w:firstLine="480" w:firstLineChars="200"/>
        <w:rPr>
          <w:rFonts w:hint="eastAsia" w:ascii="宋体" w:hAnsi="宋体" w:eastAsia="宋体" w:cs="宋体"/>
          <w:color w:val="auto"/>
          <w:sz w:val="24"/>
          <w:highlight w:val="none"/>
        </w:rPr>
      </w:pPr>
    </w:p>
    <w:p w14:paraId="5517D272">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4"/>
          <w:highlight w:val="none"/>
        </w:rPr>
        <w:br w:type="page"/>
      </w:r>
      <w:r>
        <w:rPr>
          <w:rFonts w:hint="eastAsia" w:ascii="宋体" w:hAnsi="宋体" w:eastAsia="宋体" w:cs="宋体"/>
          <w:b/>
          <w:color w:val="auto"/>
          <w:kern w:val="0"/>
          <w:sz w:val="32"/>
          <w:szCs w:val="32"/>
          <w:highlight w:val="none"/>
        </w:rPr>
        <w:t xml:space="preserve">  一、 符合参加政府采购活动应当具备的一般条件的承诺函</w:t>
      </w:r>
    </w:p>
    <w:p w14:paraId="33AD5995">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杭州第九中学树范学校</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浙江豪圣建设项目管理有限公司</w:t>
      </w:r>
      <w:r>
        <w:rPr>
          <w:rFonts w:hint="eastAsia" w:ascii="宋体" w:hAnsi="宋体" w:eastAsia="宋体" w:cs="宋体"/>
          <w:color w:val="auto"/>
          <w:sz w:val="24"/>
          <w:highlight w:val="none"/>
        </w:rPr>
        <w:t>：</w:t>
      </w:r>
    </w:p>
    <w:p w14:paraId="2DC76F9D">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w:t>
      </w:r>
      <w:r>
        <w:rPr>
          <w:rFonts w:hint="eastAsia" w:ascii="宋体" w:hAnsi="宋体" w:eastAsia="宋体" w:cs="宋体"/>
          <w:color w:val="auto"/>
          <w:sz w:val="24"/>
          <w:highlight w:val="none"/>
          <w:lang w:eastAsia="zh-CN"/>
        </w:rPr>
        <w:t>杭州第九中学树范学校</w:t>
      </w:r>
      <w:r>
        <w:rPr>
          <w:rFonts w:hint="eastAsia" w:ascii="宋体" w:hAnsi="宋体" w:cs="宋体"/>
          <w:color w:val="auto"/>
          <w:sz w:val="24"/>
          <w:highlight w:val="none"/>
          <w:lang w:eastAsia="zh-CN"/>
        </w:rPr>
        <w:t>报告厅椅子采购</w:t>
      </w:r>
      <w:r>
        <w:rPr>
          <w:rFonts w:hint="eastAsia" w:ascii="宋体" w:hAnsi="宋体" w:eastAsia="宋体" w:cs="宋体"/>
          <w:color w:val="auto"/>
          <w:sz w:val="24"/>
          <w:highlight w:val="none"/>
        </w:rPr>
        <w:t>【招标编号：</w:t>
      </w:r>
      <w:r>
        <w:rPr>
          <w:rFonts w:hint="eastAsia" w:ascii="宋体" w:hAnsi="宋体" w:eastAsia="宋体" w:cs="宋体"/>
          <w:color w:val="auto"/>
          <w:sz w:val="24"/>
          <w:highlight w:val="none"/>
          <w:lang w:eastAsia="zh-CN"/>
        </w:rPr>
        <w:t>HSZB-2024-1478</w:t>
      </w:r>
      <w:r>
        <w:rPr>
          <w:rFonts w:hint="eastAsia" w:ascii="宋体" w:hAnsi="宋体" w:eastAsia="宋体" w:cs="宋体"/>
          <w:color w:val="auto"/>
          <w:sz w:val="24"/>
          <w:highlight w:val="none"/>
        </w:rPr>
        <w:t>】政府采购活动，郑重承诺：</w:t>
      </w:r>
    </w:p>
    <w:p w14:paraId="72AE2846">
      <w:pPr>
        <w:snapToGrid w:val="0"/>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14:paraId="00884070">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463865A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2、具有良好的商业信誉和健全的财务会计制度； </w:t>
      </w:r>
    </w:p>
    <w:p w14:paraId="40CD5CA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1732BA68">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497ED813">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3B7A01CF">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14:paraId="49D744B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（二）未被信用中国（www.creditchina.gov.cn)、中国政府采购网（www.ccgp.gov.cn）列入失信被执行人、重大税收违法案件当事人名单、政府采购严重违法失信行为记录名单。</w:t>
      </w:r>
    </w:p>
    <w:p w14:paraId="3C72829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14:paraId="5F991E25">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1、单位负责人为同一人或者存在直接控股、管理关系的不同供应商参加同一合同项下的政府采购活动的；</w:t>
      </w:r>
    </w:p>
    <w:p w14:paraId="1BEA7053">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14:paraId="27E0B639">
      <w:pPr>
        <w:snapToGrid w:val="0"/>
        <w:spacing w:line="360" w:lineRule="auto"/>
        <w:ind w:firstLine="5520" w:firstLineChars="2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3E37951A">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14669569">
      <w:pPr>
        <w:snapToGrid w:val="0"/>
        <w:spacing w:line="360" w:lineRule="auto"/>
        <w:ind w:right="480"/>
        <w:jc w:val="center"/>
        <w:rPr>
          <w:rFonts w:hint="eastAsia" w:ascii="宋体" w:hAnsi="宋体" w:eastAsia="宋体" w:cs="宋体"/>
          <w:b/>
          <w:color w:val="auto"/>
          <w:kern w:val="0"/>
          <w:sz w:val="32"/>
          <w:szCs w:val="32"/>
          <w:highlight w:val="none"/>
        </w:rPr>
      </w:pPr>
    </w:p>
    <w:p w14:paraId="4830AE0F">
      <w:pPr>
        <w:snapToGrid w:val="0"/>
        <w:spacing w:line="360" w:lineRule="auto"/>
        <w:ind w:right="480"/>
        <w:jc w:val="center"/>
        <w:rPr>
          <w:rFonts w:hint="eastAsia" w:ascii="宋体" w:hAnsi="宋体" w:eastAsia="宋体" w:cs="宋体"/>
          <w:b/>
          <w:color w:val="auto"/>
          <w:kern w:val="0"/>
          <w:sz w:val="32"/>
          <w:szCs w:val="32"/>
          <w:highlight w:val="none"/>
        </w:rPr>
      </w:pPr>
    </w:p>
    <w:p w14:paraId="0BD477CC">
      <w:pPr>
        <w:snapToGrid w:val="0"/>
        <w:spacing w:line="360" w:lineRule="auto"/>
        <w:ind w:right="480"/>
        <w:jc w:val="center"/>
        <w:rPr>
          <w:rFonts w:hint="eastAsia" w:ascii="宋体" w:hAnsi="宋体" w:eastAsia="宋体" w:cs="宋体"/>
          <w:b/>
          <w:color w:val="auto"/>
          <w:kern w:val="0"/>
          <w:sz w:val="32"/>
          <w:szCs w:val="32"/>
          <w:highlight w:val="none"/>
        </w:rPr>
      </w:pPr>
    </w:p>
    <w:p w14:paraId="2DE8FBB4">
      <w:pPr>
        <w:rPr>
          <w:rFonts w:hint="eastAsia" w:ascii="宋体" w:hAnsi="宋体" w:eastAsia="宋体" w:cs="宋体"/>
          <w:color w:val="auto"/>
          <w:highlight w:val="none"/>
        </w:rPr>
      </w:pPr>
    </w:p>
    <w:p w14:paraId="142DB48E">
      <w:pPr>
        <w:snapToGrid w:val="0"/>
        <w:spacing w:line="360" w:lineRule="auto"/>
        <w:ind w:right="480"/>
        <w:jc w:val="center"/>
        <w:rPr>
          <w:rFonts w:hint="eastAsia" w:ascii="宋体" w:hAnsi="宋体" w:eastAsia="宋体" w:cs="宋体"/>
          <w:b/>
          <w:color w:val="auto"/>
          <w:kern w:val="0"/>
          <w:sz w:val="32"/>
          <w:szCs w:val="32"/>
          <w:highlight w:val="none"/>
        </w:rPr>
      </w:pPr>
    </w:p>
    <w:p w14:paraId="464CDDEF">
      <w:pPr>
        <w:snapToGrid w:val="0"/>
        <w:spacing w:line="360" w:lineRule="auto"/>
        <w:ind w:right="480"/>
        <w:jc w:val="center"/>
        <w:rPr>
          <w:rFonts w:hint="eastAsia" w:ascii="宋体" w:hAnsi="宋体" w:eastAsia="宋体" w:cs="宋体"/>
          <w:b/>
          <w:color w:val="auto"/>
          <w:kern w:val="0"/>
          <w:sz w:val="32"/>
          <w:szCs w:val="32"/>
          <w:highlight w:val="none"/>
        </w:rPr>
      </w:pPr>
    </w:p>
    <w:p w14:paraId="245BBAB3">
      <w:pPr>
        <w:snapToGrid w:val="0"/>
        <w:spacing w:line="360" w:lineRule="auto"/>
        <w:ind w:right="480"/>
        <w:jc w:val="center"/>
        <w:rPr>
          <w:rFonts w:hint="eastAsia" w:ascii="宋体" w:hAnsi="宋体" w:eastAsia="宋体" w:cs="宋体"/>
          <w:b/>
          <w:color w:val="auto"/>
          <w:kern w:val="0"/>
          <w:sz w:val="32"/>
          <w:szCs w:val="32"/>
          <w:highlight w:val="none"/>
        </w:rPr>
      </w:pPr>
    </w:p>
    <w:p w14:paraId="01875B45">
      <w:pPr>
        <w:widowControl/>
        <w:spacing w:line="360" w:lineRule="auto"/>
        <w:ind w:firstLine="643" w:firstLineChars="200"/>
        <w:jc w:val="center"/>
        <w:rPr>
          <w:rFonts w:hint="eastAsia" w:ascii="宋体" w:hAnsi="宋体" w:eastAsia="宋体" w:cs="宋体"/>
          <w:b/>
          <w:color w:val="auto"/>
          <w:kern w:val="0"/>
          <w:sz w:val="32"/>
          <w:szCs w:val="32"/>
          <w:highlight w:val="none"/>
        </w:rPr>
      </w:pPr>
    </w:p>
    <w:p w14:paraId="49BDBBEF">
      <w:pPr>
        <w:widowControl/>
        <w:spacing w:line="360" w:lineRule="auto"/>
        <w:ind w:firstLine="643" w:firstLineChars="20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二、联合协议（如果有）</w:t>
      </w:r>
    </w:p>
    <w:p w14:paraId="5A926DF3">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[以联合体形式投标的，提供联合协议（附件5）；本项目不接受联合体投标或者投标人不以联合体形式投标的，则不需要提供]</w:t>
      </w:r>
    </w:p>
    <w:p w14:paraId="69926FF5">
      <w:pPr>
        <w:snapToGrid w:val="0"/>
        <w:spacing w:line="360" w:lineRule="auto"/>
        <w:ind w:right="480"/>
        <w:jc w:val="center"/>
        <w:rPr>
          <w:rFonts w:hint="eastAsia" w:ascii="宋体" w:hAnsi="宋体" w:eastAsia="宋体" w:cs="宋体"/>
          <w:b/>
          <w:color w:val="auto"/>
          <w:kern w:val="0"/>
          <w:sz w:val="32"/>
          <w:szCs w:val="32"/>
          <w:highlight w:val="none"/>
        </w:rPr>
      </w:pPr>
    </w:p>
    <w:p w14:paraId="7AE55AEB">
      <w:pPr>
        <w:snapToGrid w:val="0"/>
        <w:spacing w:line="360" w:lineRule="auto"/>
        <w:ind w:right="480"/>
        <w:jc w:val="center"/>
        <w:rPr>
          <w:rFonts w:hint="eastAsia" w:ascii="宋体" w:hAnsi="宋体" w:eastAsia="宋体" w:cs="宋体"/>
          <w:b/>
          <w:color w:val="auto"/>
          <w:kern w:val="0"/>
          <w:sz w:val="32"/>
          <w:szCs w:val="32"/>
          <w:highlight w:val="none"/>
        </w:rPr>
      </w:pPr>
    </w:p>
    <w:p w14:paraId="2AC2FB8B">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三、落实政府采购政策需满足的资格要求</w:t>
      </w:r>
    </w:p>
    <w:p w14:paraId="1AF8A79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（根据招标公告落实政府采购政策需满足的资格要求选择提供相应的材料；未要求的，无需提供）</w:t>
      </w:r>
    </w:p>
    <w:p w14:paraId="7FAF8E70">
      <w:pPr>
        <w:snapToGrid w:val="0"/>
        <w:spacing w:before="50" w:after="50"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A</w:t>
      </w:r>
      <w:r>
        <w:rPr>
          <w:rFonts w:hint="eastAsia" w:ascii="宋体" w:hAnsi="宋体" w:eastAsia="宋体" w:cs="宋体"/>
          <w:color w:val="auto"/>
          <w:sz w:val="24"/>
          <w:highlight w:val="none"/>
        </w:rPr>
        <w:t xml:space="preserve">.专门面向中小企业，货物全部由符合政策要求的中小企业（或小微企业）制造的，提供相应的中小企业声明函（附件7）。 </w:t>
      </w:r>
    </w:p>
    <w:p w14:paraId="1C87877F">
      <w:pPr>
        <w:widowControl/>
        <w:spacing w:line="360" w:lineRule="auto"/>
        <w:ind w:firstLine="480"/>
        <w:jc w:val="left"/>
        <w:rPr>
          <w:rFonts w:hint="eastAsia" w:ascii="宋体" w:hAnsi="宋体" w:eastAsia="宋体" w:cs="宋体"/>
          <w:color w:val="auto"/>
          <w:sz w:val="24"/>
          <w:highlight w:val="none"/>
        </w:rPr>
      </w:pPr>
    </w:p>
    <w:p w14:paraId="0AEA7001">
      <w:pPr>
        <w:widowControl/>
        <w:spacing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B.</w:t>
      </w:r>
      <w:r>
        <w:rPr>
          <w:rFonts w:hint="eastAsia" w:ascii="宋体" w:hAnsi="宋体" w:eastAsia="宋体" w:cs="宋体"/>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视同符合了资格条件，无需再与其他中小企业组成联合体参加政府采购活动，无需提供联合协议。</w:t>
      </w:r>
    </w:p>
    <w:p w14:paraId="3BCB15FF">
      <w:pPr>
        <w:snapToGrid w:val="0"/>
        <w:spacing w:before="50" w:after="50"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    </w:t>
      </w:r>
    </w:p>
    <w:p w14:paraId="52861494">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C、</w:t>
      </w:r>
      <w:r>
        <w:rPr>
          <w:rFonts w:hint="eastAsia" w:ascii="宋体" w:hAnsi="宋体" w:eastAsia="宋体" w:cs="宋体"/>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视同符合了资格条件，无需再向中小企业分包，无需提供分包意向协议。</w:t>
      </w:r>
    </w:p>
    <w:p w14:paraId="0F9E859D">
      <w:pPr>
        <w:widowControl/>
        <w:spacing w:line="360" w:lineRule="auto"/>
        <w:ind w:left="150"/>
        <w:jc w:val="center"/>
        <w:rPr>
          <w:rFonts w:hint="eastAsia" w:ascii="宋体" w:hAnsi="宋体" w:eastAsia="宋体" w:cs="宋体"/>
          <w:b/>
          <w:color w:val="auto"/>
          <w:kern w:val="0"/>
          <w:sz w:val="32"/>
          <w:szCs w:val="32"/>
          <w:highlight w:val="none"/>
        </w:rPr>
      </w:pPr>
    </w:p>
    <w:p w14:paraId="5C2A3F5C">
      <w:pPr>
        <w:widowControl/>
        <w:spacing w:line="360" w:lineRule="auto"/>
        <w:ind w:left="15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四、本项目的特定资格要求</w:t>
      </w:r>
    </w:p>
    <w:p w14:paraId="39C2FEF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（根据招标公告本项目的特定资格要求提供相应的材料；未要求的，无需提供）</w:t>
      </w:r>
    </w:p>
    <w:p w14:paraId="27083139">
      <w:pPr>
        <w:rPr>
          <w:rFonts w:hint="eastAsia" w:ascii="宋体" w:hAnsi="宋体" w:eastAsia="宋体" w:cs="宋体"/>
          <w:color w:val="auto"/>
          <w:highlight w:val="none"/>
        </w:rPr>
      </w:pPr>
    </w:p>
    <w:p w14:paraId="56F2A0D6">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2FBAB124">
      <w:pPr>
        <w:spacing w:line="360" w:lineRule="auto"/>
        <w:ind w:right="420" w:firstLine="3614" w:firstLineChars="100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商务技术文件部分</w:t>
      </w:r>
    </w:p>
    <w:p w14:paraId="6C61E836">
      <w:pPr>
        <w:spacing w:line="360" w:lineRule="auto"/>
        <w:jc w:val="center"/>
        <w:outlineLvl w:val="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目录</w:t>
      </w:r>
    </w:p>
    <w:p w14:paraId="3D4A8CD0">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（1）投标函</w:t>
      </w:r>
      <w:r>
        <w:rPr>
          <w:rFonts w:hint="eastAsia" w:ascii="宋体" w:hAnsi="宋体" w:eastAsia="宋体" w:cs="宋体"/>
          <w:color w:val="auto"/>
          <w:highlight w:val="none"/>
        </w:rPr>
        <w:t>…………………………………………………………………………………（页码）</w:t>
      </w:r>
      <w:r>
        <w:rPr>
          <w:rFonts w:hint="eastAsia" w:ascii="宋体" w:hAnsi="宋体" w:eastAsia="宋体" w:cs="宋体"/>
          <w:color w:val="auto"/>
          <w:sz w:val="24"/>
          <w:highlight w:val="none"/>
        </w:rPr>
        <w:t>（2）授权委托书或法定代表人（单位负责人、自然人本人）身份证明</w:t>
      </w:r>
      <w:r>
        <w:rPr>
          <w:rFonts w:hint="eastAsia" w:ascii="宋体" w:hAnsi="宋体" w:eastAsia="宋体" w:cs="宋体"/>
          <w:color w:val="auto"/>
          <w:highlight w:val="none"/>
        </w:rPr>
        <w:t>………（页码）</w:t>
      </w:r>
    </w:p>
    <w:p w14:paraId="1F729110">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（3）分包意向协议</w:t>
      </w:r>
      <w:r>
        <w:rPr>
          <w:rFonts w:hint="eastAsia" w:ascii="宋体" w:hAnsi="宋体" w:eastAsia="宋体" w:cs="宋体"/>
          <w:color w:val="auto"/>
          <w:highlight w:val="none"/>
        </w:rPr>
        <w:t>…………………………………………………………………………（页码）</w:t>
      </w:r>
    </w:p>
    <w:p w14:paraId="4C050ACC">
      <w:pPr>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（4）符合性审查资料</w:t>
      </w:r>
      <w:r>
        <w:rPr>
          <w:rFonts w:hint="eastAsia" w:ascii="宋体" w:hAnsi="宋体" w:eastAsia="宋体" w:cs="宋体"/>
          <w:color w:val="auto"/>
          <w:highlight w:val="none"/>
        </w:rPr>
        <w:t>………………………………………………………………………（页码）</w:t>
      </w:r>
    </w:p>
    <w:p w14:paraId="31A5AEF0">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（5）评标标准相应的商务技术资料</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……………（页码）</w:t>
      </w:r>
      <w:r>
        <w:rPr>
          <w:rFonts w:hint="eastAsia" w:ascii="宋体" w:hAnsi="宋体" w:eastAsia="宋体" w:cs="宋体"/>
          <w:color w:val="auto"/>
          <w:sz w:val="24"/>
          <w:highlight w:val="none"/>
        </w:rPr>
        <w:t>（6）投标标的清单</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……………（页码）</w:t>
      </w:r>
      <w:r>
        <w:rPr>
          <w:rFonts w:hint="eastAsia" w:ascii="宋体" w:hAnsi="宋体" w:eastAsia="宋体" w:cs="宋体"/>
          <w:color w:val="auto"/>
          <w:sz w:val="24"/>
          <w:highlight w:val="none"/>
        </w:rPr>
        <w:t>（7）商务技术偏离表</w:t>
      </w:r>
      <w:r>
        <w:rPr>
          <w:rFonts w:hint="eastAsia" w:ascii="宋体" w:hAnsi="宋体" w:eastAsia="宋体" w:cs="宋体"/>
          <w:color w:val="auto"/>
          <w:highlight w:val="none"/>
        </w:rPr>
        <w:t>………………………………………………………………………（页码）</w:t>
      </w:r>
    </w:p>
    <w:p w14:paraId="4777E7EF">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r>
        <w:rPr>
          <w:rFonts w:hint="eastAsia" w:ascii="宋体" w:hAnsi="宋体" w:eastAsia="宋体" w:cs="宋体"/>
          <w:color w:val="auto"/>
          <w:highlight w:val="none"/>
        </w:rPr>
        <w:t>…………………………………………………（页码）</w:t>
      </w:r>
    </w:p>
    <w:p w14:paraId="4FABCECF">
      <w:pPr>
        <w:snapToGrid w:val="0"/>
        <w:spacing w:line="360" w:lineRule="auto"/>
        <w:jc w:val="center"/>
        <w:rPr>
          <w:rFonts w:hint="eastAsia" w:ascii="宋体" w:hAnsi="宋体" w:eastAsia="宋体" w:cs="宋体"/>
          <w:b/>
          <w:color w:val="auto"/>
          <w:kern w:val="0"/>
          <w:sz w:val="32"/>
          <w:szCs w:val="32"/>
          <w:highlight w:val="none"/>
          <w:lang w:val="zh-CN"/>
        </w:rPr>
      </w:pPr>
    </w:p>
    <w:p w14:paraId="641DB871">
      <w:pPr>
        <w:snapToGrid w:val="0"/>
        <w:spacing w:line="360" w:lineRule="auto"/>
        <w:jc w:val="center"/>
        <w:rPr>
          <w:rFonts w:hint="eastAsia" w:ascii="宋体" w:hAnsi="宋体" w:eastAsia="宋体" w:cs="宋体"/>
          <w:b/>
          <w:color w:val="auto"/>
          <w:kern w:val="0"/>
          <w:sz w:val="32"/>
          <w:szCs w:val="32"/>
          <w:highlight w:val="none"/>
          <w:lang w:val="zh-CN"/>
        </w:rPr>
      </w:pPr>
    </w:p>
    <w:p w14:paraId="58121560">
      <w:pPr>
        <w:snapToGrid w:val="0"/>
        <w:spacing w:line="360" w:lineRule="auto"/>
        <w:jc w:val="center"/>
        <w:rPr>
          <w:rFonts w:hint="eastAsia" w:ascii="宋体" w:hAnsi="宋体" w:eastAsia="宋体" w:cs="宋体"/>
          <w:b/>
          <w:color w:val="auto"/>
          <w:kern w:val="0"/>
          <w:sz w:val="32"/>
          <w:szCs w:val="32"/>
          <w:highlight w:val="none"/>
          <w:lang w:val="zh-CN"/>
        </w:rPr>
      </w:pPr>
    </w:p>
    <w:p w14:paraId="43E7BF16">
      <w:pPr>
        <w:snapToGrid w:val="0"/>
        <w:spacing w:line="360" w:lineRule="auto"/>
        <w:jc w:val="center"/>
        <w:rPr>
          <w:rFonts w:hint="eastAsia" w:ascii="宋体" w:hAnsi="宋体" w:eastAsia="宋体" w:cs="宋体"/>
          <w:b/>
          <w:color w:val="auto"/>
          <w:kern w:val="0"/>
          <w:sz w:val="32"/>
          <w:szCs w:val="32"/>
          <w:highlight w:val="none"/>
          <w:lang w:val="zh-CN"/>
        </w:rPr>
      </w:pPr>
    </w:p>
    <w:p w14:paraId="374E9924">
      <w:pPr>
        <w:snapToGrid w:val="0"/>
        <w:spacing w:line="360" w:lineRule="auto"/>
        <w:jc w:val="center"/>
        <w:rPr>
          <w:rFonts w:hint="eastAsia" w:ascii="宋体" w:hAnsi="宋体" w:eastAsia="宋体" w:cs="宋体"/>
          <w:b/>
          <w:color w:val="auto"/>
          <w:kern w:val="0"/>
          <w:sz w:val="32"/>
          <w:szCs w:val="32"/>
          <w:highlight w:val="none"/>
          <w:lang w:val="zh-CN"/>
        </w:rPr>
      </w:pPr>
    </w:p>
    <w:p w14:paraId="782FF74A">
      <w:pPr>
        <w:bidi w:val="0"/>
        <w:rPr>
          <w:rFonts w:hint="eastAsia" w:ascii="宋体" w:hAnsi="宋体" w:eastAsia="宋体" w:cs="宋体"/>
          <w:color w:val="auto"/>
          <w:highlight w:val="none"/>
        </w:rPr>
      </w:pPr>
    </w:p>
    <w:p w14:paraId="249758CA">
      <w:pPr>
        <w:bidi w:val="0"/>
        <w:rPr>
          <w:rFonts w:hint="eastAsia" w:ascii="宋体" w:hAnsi="宋体" w:eastAsia="宋体" w:cs="宋体"/>
          <w:color w:val="auto"/>
          <w:highlight w:val="none"/>
        </w:rPr>
      </w:pPr>
    </w:p>
    <w:p w14:paraId="2E9B736C">
      <w:pPr>
        <w:bidi w:val="0"/>
        <w:rPr>
          <w:rFonts w:hint="eastAsia" w:ascii="宋体" w:hAnsi="宋体" w:eastAsia="宋体" w:cs="宋体"/>
          <w:color w:val="auto"/>
          <w:highlight w:val="none"/>
        </w:rPr>
      </w:pPr>
    </w:p>
    <w:p w14:paraId="2E5A6D94">
      <w:pPr>
        <w:bidi w:val="0"/>
        <w:rPr>
          <w:rFonts w:hint="eastAsia" w:ascii="宋体" w:hAnsi="宋体" w:eastAsia="宋体" w:cs="宋体"/>
          <w:color w:val="auto"/>
          <w:highlight w:val="none"/>
        </w:rPr>
      </w:pPr>
    </w:p>
    <w:p w14:paraId="3788BEBE">
      <w:pPr>
        <w:bidi w:val="0"/>
        <w:rPr>
          <w:rFonts w:hint="eastAsia" w:ascii="宋体" w:hAnsi="宋体" w:eastAsia="宋体" w:cs="宋体"/>
          <w:color w:val="auto"/>
          <w:highlight w:val="none"/>
        </w:rPr>
      </w:pPr>
    </w:p>
    <w:p w14:paraId="2AECA81D">
      <w:pPr>
        <w:bidi w:val="0"/>
        <w:rPr>
          <w:rFonts w:hint="eastAsia" w:ascii="宋体" w:hAnsi="宋体" w:eastAsia="宋体" w:cs="宋体"/>
          <w:color w:val="auto"/>
          <w:highlight w:val="none"/>
          <w:lang w:val="en-US"/>
        </w:rPr>
      </w:pPr>
    </w:p>
    <w:p w14:paraId="09A131E0">
      <w:pPr>
        <w:bidi w:val="0"/>
        <w:rPr>
          <w:rFonts w:hint="eastAsia" w:ascii="宋体" w:hAnsi="宋体" w:eastAsia="宋体" w:cs="宋体"/>
          <w:color w:val="auto"/>
          <w:highlight w:val="none"/>
        </w:rPr>
      </w:pPr>
    </w:p>
    <w:p w14:paraId="2E9750EB">
      <w:pPr>
        <w:bidi w:val="0"/>
        <w:rPr>
          <w:rFonts w:hint="eastAsia" w:ascii="宋体" w:hAnsi="宋体" w:eastAsia="宋体" w:cs="宋体"/>
          <w:color w:val="auto"/>
          <w:highlight w:val="none"/>
        </w:rPr>
      </w:pPr>
    </w:p>
    <w:p w14:paraId="0D67654F">
      <w:pPr>
        <w:bidi w:val="0"/>
        <w:rPr>
          <w:rFonts w:hint="eastAsia" w:ascii="宋体" w:hAnsi="宋体" w:eastAsia="宋体" w:cs="宋体"/>
          <w:color w:val="auto"/>
          <w:highlight w:val="none"/>
        </w:rPr>
      </w:pPr>
    </w:p>
    <w:p w14:paraId="6BAAFD00">
      <w:pPr>
        <w:bidi w:val="0"/>
        <w:rPr>
          <w:rFonts w:hint="eastAsia" w:ascii="宋体" w:hAnsi="宋体" w:eastAsia="宋体" w:cs="宋体"/>
          <w:color w:val="auto"/>
          <w:highlight w:val="none"/>
        </w:rPr>
      </w:pPr>
    </w:p>
    <w:p w14:paraId="705AD49F">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545CD8D4">
      <w:pPr>
        <w:snapToGrid w:val="0"/>
        <w:spacing w:line="360" w:lineRule="auto"/>
        <w:ind w:firstLine="3855" w:firstLineChars="1200"/>
        <w:outlineLvl w:val="0"/>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rPr>
        <w:t>一、投标</w:t>
      </w:r>
      <w:r>
        <w:rPr>
          <w:rFonts w:hint="eastAsia" w:ascii="宋体" w:hAnsi="宋体" w:eastAsia="宋体" w:cs="宋体"/>
          <w:b/>
          <w:color w:val="auto"/>
          <w:sz w:val="32"/>
          <w:szCs w:val="32"/>
          <w:highlight w:val="none"/>
        </w:rPr>
        <w:t>函</w:t>
      </w:r>
    </w:p>
    <w:p w14:paraId="768A8ABB">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杭州第九中学树范学校</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浙江豪圣建设项目管理有限公司</w:t>
      </w:r>
      <w:r>
        <w:rPr>
          <w:rFonts w:hint="eastAsia" w:ascii="宋体" w:hAnsi="宋体" w:eastAsia="宋体" w:cs="宋体"/>
          <w:color w:val="auto"/>
          <w:sz w:val="24"/>
          <w:highlight w:val="none"/>
        </w:rPr>
        <w:t>：</w:t>
      </w:r>
    </w:p>
    <w:p w14:paraId="5633124C">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我方参加你方组织的</w:t>
      </w:r>
      <w:r>
        <w:rPr>
          <w:rFonts w:hint="eastAsia" w:ascii="宋体" w:hAnsi="宋体" w:eastAsia="宋体" w:cs="宋体"/>
          <w:color w:val="auto"/>
          <w:sz w:val="24"/>
          <w:highlight w:val="none"/>
          <w:lang w:eastAsia="zh-CN"/>
        </w:rPr>
        <w:t>杭州第九中学树范学校</w:t>
      </w:r>
      <w:r>
        <w:rPr>
          <w:rFonts w:hint="eastAsia" w:ascii="宋体" w:hAnsi="宋体" w:cs="宋体"/>
          <w:color w:val="auto"/>
          <w:sz w:val="24"/>
          <w:highlight w:val="none"/>
          <w:lang w:eastAsia="zh-CN"/>
        </w:rPr>
        <w:t>报告厅椅子采购</w:t>
      </w:r>
      <w:r>
        <w:rPr>
          <w:rFonts w:hint="eastAsia" w:ascii="宋体" w:hAnsi="宋体" w:eastAsia="宋体" w:cs="宋体"/>
          <w:color w:val="auto"/>
          <w:sz w:val="24"/>
          <w:highlight w:val="none"/>
        </w:rPr>
        <w:t>【招标编号：</w:t>
      </w:r>
      <w:r>
        <w:rPr>
          <w:rFonts w:hint="eastAsia" w:ascii="宋体" w:hAnsi="宋体" w:eastAsia="宋体" w:cs="宋体"/>
          <w:color w:val="auto"/>
          <w:sz w:val="24"/>
          <w:highlight w:val="none"/>
          <w:lang w:eastAsia="zh-CN"/>
        </w:rPr>
        <w:t>HSZB-2024-1478</w:t>
      </w:r>
      <w:r>
        <w:rPr>
          <w:rFonts w:hint="eastAsia" w:ascii="宋体" w:hAnsi="宋体" w:eastAsia="宋体" w:cs="宋体"/>
          <w:color w:val="auto"/>
          <w:sz w:val="24"/>
          <w:highlight w:val="none"/>
        </w:rPr>
        <w:t>】招标的有关活动，并对此项目进行投标。为此：</w:t>
      </w:r>
    </w:p>
    <w:p w14:paraId="725AA70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1、我方承诺投标有效期从提交投标文件的截止之日起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天（不少于90天）</w:t>
      </w:r>
      <w:r>
        <w:rPr>
          <w:rFonts w:hint="eastAsia" w:ascii="宋体" w:hAnsi="宋体" w:eastAsia="宋体" w:cs="宋体"/>
          <w:color w:val="auto"/>
          <w:highlight w:val="none"/>
        </w:rPr>
        <w:t>，</w:t>
      </w:r>
      <w:r>
        <w:rPr>
          <w:rFonts w:hint="eastAsia" w:ascii="宋体" w:hAnsi="宋体" w:eastAsia="宋体" w:cs="宋体"/>
          <w:color w:val="auto"/>
          <w:sz w:val="24"/>
          <w:highlight w:val="none"/>
        </w:rPr>
        <w:t>本投标文件在投标有效期满之前均具有约束力。</w:t>
      </w:r>
    </w:p>
    <w:p w14:paraId="7C74AF60">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2、我方的投标文件包括以下内容：</w:t>
      </w:r>
    </w:p>
    <w:p w14:paraId="6778E1BF">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2.1资格文件：</w:t>
      </w:r>
    </w:p>
    <w:p w14:paraId="3D2DF883">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2.1.1承诺函；</w:t>
      </w:r>
    </w:p>
    <w:p w14:paraId="1A6CF35C">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w:t>
      </w:r>
      <w:r>
        <w:rPr>
          <w:rFonts w:hint="eastAsia" w:ascii="宋体" w:hAnsi="宋体" w:eastAsia="宋体" w:cs="宋体"/>
          <w:snapToGrid w:val="0"/>
          <w:color w:val="auto"/>
          <w:kern w:val="28"/>
          <w:sz w:val="24"/>
          <w:szCs w:val="20"/>
          <w:highlight w:val="none"/>
        </w:rPr>
        <w:t>联合协议（如果有)；</w:t>
      </w:r>
    </w:p>
    <w:p w14:paraId="69FF4FC5">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2.1.3落实政府采购政策需满足的资格要求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3D009D53">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2.1.4本项目的特定资格要求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3FC84312">
      <w:pPr>
        <w:snapToGrid w:val="0"/>
        <w:spacing w:line="360" w:lineRule="auto"/>
        <w:ind w:left="210" w:leftChars="100"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商务技术</w:t>
      </w:r>
      <w:r>
        <w:rPr>
          <w:rFonts w:hint="eastAsia" w:ascii="宋体" w:hAnsi="宋体" w:eastAsia="宋体" w:cs="宋体"/>
          <w:color w:val="auto"/>
          <w:sz w:val="24"/>
          <w:highlight w:val="none"/>
          <w:lang w:val="zh-CN"/>
        </w:rPr>
        <w:t>文件：</w:t>
      </w:r>
    </w:p>
    <w:p w14:paraId="7064F5B4">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2.2.1投标函；</w:t>
      </w:r>
      <w:r>
        <w:rPr>
          <w:rFonts w:hint="eastAsia" w:ascii="宋体" w:hAnsi="宋体" w:eastAsia="宋体" w:cs="宋体"/>
          <w:color w:val="auto"/>
          <w:sz w:val="24"/>
          <w:highlight w:val="none"/>
          <w:lang w:val="zh-CN"/>
        </w:rPr>
        <w:t xml:space="preserve"> </w:t>
      </w:r>
    </w:p>
    <w:p w14:paraId="30DC9991">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2.2.2授权委托书或法定代表人（单位负责人）身份证明；</w:t>
      </w:r>
    </w:p>
    <w:p w14:paraId="05196CB2">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2.2.3分包意向协议</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74655B6C">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2.2.4符合性审查资料；</w:t>
      </w:r>
    </w:p>
    <w:p w14:paraId="18AC4C30">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2.2.5评标标准相应的商务技术资料；</w:t>
      </w:r>
    </w:p>
    <w:p w14:paraId="4DE62085">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2.2.6投标标的清单；</w:t>
      </w:r>
    </w:p>
    <w:p w14:paraId="0A4DB6FE">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2.2.7商务技术偏离表；</w:t>
      </w:r>
    </w:p>
    <w:p w14:paraId="0ECB236B">
      <w:pPr>
        <w:snapToGrid w:val="0"/>
        <w:spacing w:line="360" w:lineRule="auto"/>
        <w:ind w:left="420" w:leftChars="200"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p>
    <w:p w14:paraId="5683816C">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3报价文件</w:t>
      </w:r>
    </w:p>
    <w:p w14:paraId="697EA3D0">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2.3.1开标一览表（报价表）；</w:t>
      </w:r>
    </w:p>
    <w:p w14:paraId="091EA759">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中小企业声明函（如果有）。</w:t>
      </w:r>
    </w:p>
    <w:p w14:paraId="5EC4D650">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3、我方承诺除商务技术偏离表列出的偏离外，我方响应招标文件的全部要求。对投标文件中材料的真实性、合法性负责。</w:t>
      </w:r>
    </w:p>
    <w:p w14:paraId="2B888DFA">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4、如我方中标，我方承诺：</w:t>
      </w:r>
    </w:p>
    <w:p w14:paraId="11F74ECF">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4.1在收到中标通知书后，在中标通知书规定的期限内与你方签订合同； </w:t>
      </w:r>
    </w:p>
    <w:p w14:paraId="5D95C588">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4.2在签订合同时不向你方提出附加条件； </w:t>
      </w:r>
    </w:p>
    <w:p w14:paraId="5CBFCF64">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4.3按照招标文件要求提交履约保证金； </w:t>
      </w:r>
    </w:p>
    <w:p w14:paraId="21B21DE7">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4.4在合同约定的期限内完成合同规定的全部义务。 </w:t>
      </w:r>
    </w:p>
    <w:p w14:paraId="0859D568">
      <w:pPr>
        <w:widowControl w:val="0"/>
        <w:numPr>
          <w:ilvl w:val="0"/>
          <w:numId w:val="0"/>
        </w:numPr>
        <w:jc w:val="both"/>
        <w:rPr>
          <w:rFonts w:hint="eastAsia" w:ascii="宋体" w:hAnsi="宋体" w:eastAsia="宋体" w:cs="宋体"/>
          <w:i w:val="0"/>
          <w:caps w:val="0"/>
          <w:color w:val="auto"/>
          <w:spacing w:val="0"/>
          <w:sz w:val="21"/>
          <w:szCs w:val="21"/>
          <w:highlight w:val="none"/>
          <w:shd w:val="clear" w:color="auto" w:fill="FFFFFF"/>
          <w:lang w:val="en-US" w:eastAsia="zh-CN"/>
        </w:rPr>
      </w:pPr>
      <w:r>
        <w:rPr>
          <w:rFonts w:hint="eastAsia" w:ascii="宋体" w:hAnsi="宋体" w:eastAsia="宋体" w:cs="宋体"/>
          <w:color w:val="auto"/>
          <w:highlight w:val="none"/>
          <w:lang w:val="en-US" w:eastAsia="zh-CN"/>
        </w:rPr>
        <w:t>5.</w:t>
      </w:r>
      <w:r>
        <w:rPr>
          <w:rFonts w:hint="eastAsia" w:ascii="宋体" w:hAnsi="宋体" w:eastAsia="宋体" w:cs="宋体"/>
          <w:i w:val="0"/>
          <w:caps w:val="0"/>
          <w:color w:val="auto"/>
          <w:spacing w:val="0"/>
          <w:sz w:val="21"/>
          <w:szCs w:val="21"/>
          <w:highlight w:val="none"/>
          <w:shd w:val="clear" w:color="auto" w:fill="FFFFFF"/>
          <w:lang w:val="en-US" w:eastAsia="zh-CN"/>
        </w:rPr>
        <w:t>我方承诺将通过政采云平台展开质疑、投诉等活动，并确认接受平台以电子送达的方式送达相关文书。我方认可电子送达与邮寄送达具有同等法律效力，以文书到达政采云平台日期为送达日期，本公司保证政采云平台账号真实有效。</w:t>
      </w:r>
    </w:p>
    <w:p w14:paraId="1175DAEE">
      <w:pPr>
        <w:pStyle w:val="81"/>
        <w:rPr>
          <w:rFonts w:hint="eastAsia" w:ascii="宋体" w:hAnsi="宋体" w:eastAsia="宋体" w:cs="宋体"/>
          <w:color w:val="auto"/>
          <w:highlight w:val="none"/>
          <w:lang w:val="en-US" w:eastAsia="zh-CN"/>
        </w:rPr>
      </w:pPr>
    </w:p>
    <w:p w14:paraId="7BE8222E">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5、其他补充说明: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31E17704">
      <w:pPr>
        <w:spacing w:line="360"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投标人名称（电子签名）：                          </w:t>
      </w:r>
    </w:p>
    <w:p w14:paraId="4027877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2EEEF3B0">
      <w:pPr>
        <w:snapToGrid w:val="0"/>
        <w:spacing w:line="360" w:lineRule="auto"/>
        <w:ind w:left="420" w:leftChars="200" w:firstLine="4200" w:firstLineChars="1750"/>
        <w:rPr>
          <w:rFonts w:hint="eastAsia" w:ascii="宋体" w:hAnsi="宋体" w:eastAsia="宋体" w:cs="宋体"/>
          <w:color w:val="auto"/>
          <w:kern w:val="0"/>
          <w:sz w:val="24"/>
          <w:highlight w:val="none"/>
          <w:u w:val="single"/>
        </w:rPr>
      </w:pPr>
    </w:p>
    <w:p w14:paraId="16D25CFA">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1261BC1C">
      <w:pPr>
        <w:snapToGrid w:val="0"/>
        <w:spacing w:line="360" w:lineRule="auto"/>
        <w:jc w:val="center"/>
        <w:rPr>
          <w:rFonts w:hint="eastAsia" w:ascii="宋体" w:hAnsi="宋体" w:eastAsia="宋体" w:cs="宋体"/>
          <w:b/>
          <w:color w:val="auto"/>
          <w:kern w:val="0"/>
          <w:sz w:val="32"/>
          <w:szCs w:val="32"/>
          <w:highlight w:val="none"/>
        </w:rPr>
      </w:pPr>
    </w:p>
    <w:p w14:paraId="05DC97D7">
      <w:pPr>
        <w:jc w:val="center"/>
        <w:rPr>
          <w:rFonts w:hint="eastAsia" w:ascii="宋体" w:hAnsi="宋体" w:eastAsia="宋体" w:cs="宋体"/>
          <w:b/>
          <w:color w:val="auto"/>
          <w:kern w:val="0"/>
          <w:sz w:val="32"/>
          <w:szCs w:val="32"/>
          <w:highlight w:val="none"/>
        </w:rPr>
      </w:pPr>
    </w:p>
    <w:p w14:paraId="4DC70F57">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26ABCD8E">
      <w:pPr>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二、授权委托书或法定代表人（单位负责人、自然人本人）身份证明</w:t>
      </w:r>
    </w:p>
    <w:p w14:paraId="1D8FDA67">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358C9F22">
      <w:pPr>
        <w:snapToGrid w:val="0"/>
        <w:spacing w:line="360" w:lineRule="auto"/>
        <w:ind w:firstLine="2872" w:firstLineChars="894"/>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lang w:val="zh-CN"/>
        </w:rPr>
        <w:t>授权委托书（适用于非联合体投标）</w:t>
      </w:r>
      <w:r>
        <w:rPr>
          <w:rFonts w:hint="eastAsia" w:ascii="宋体" w:hAnsi="宋体" w:eastAsia="宋体" w:cs="宋体"/>
          <w:color w:val="auto"/>
          <w:highlight w:val="none"/>
        </w:rPr>
        <w:t xml:space="preserve">                               </w:t>
      </w:r>
    </w:p>
    <w:p w14:paraId="4DD9EF45">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杭州第九中学树范学校</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浙江豪圣建设项目管理有限公司</w:t>
      </w:r>
      <w:r>
        <w:rPr>
          <w:rFonts w:hint="eastAsia" w:ascii="宋体" w:hAnsi="宋体" w:eastAsia="宋体" w:cs="宋体"/>
          <w:color w:val="auto"/>
          <w:kern w:val="0"/>
          <w:sz w:val="24"/>
          <w:highlight w:val="none"/>
          <w:lang w:val="zh-CN"/>
        </w:rPr>
        <w:t>：</w:t>
      </w:r>
    </w:p>
    <w:p w14:paraId="33CEFF40">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none"/>
          <w:lang w:val="en-US" w:eastAsia="zh-CN"/>
        </w:rPr>
        <w:t>，所在单位：</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eastAsia="宋体" w:cs="宋体"/>
          <w:color w:val="auto"/>
          <w:sz w:val="24"/>
          <w:highlight w:val="none"/>
          <w:lang w:eastAsia="zh-CN"/>
        </w:rPr>
        <w:t>杭州第九中学树范学校</w:t>
      </w:r>
      <w:r>
        <w:rPr>
          <w:rFonts w:hint="eastAsia" w:ascii="宋体" w:hAnsi="宋体" w:cs="宋体"/>
          <w:color w:val="auto"/>
          <w:sz w:val="24"/>
          <w:highlight w:val="none"/>
          <w:lang w:eastAsia="zh-CN"/>
        </w:rPr>
        <w:t>报告厅椅子采购</w:t>
      </w:r>
      <w:r>
        <w:rPr>
          <w:rFonts w:hint="eastAsia" w:ascii="宋体" w:hAnsi="宋体" w:eastAsia="宋体" w:cs="宋体"/>
          <w:color w:val="auto"/>
          <w:sz w:val="24"/>
          <w:highlight w:val="none"/>
        </w:rPr>
        <w:t>【招标编号：</w:t>
      </w:r>
      <w:r>
        <w:rPr>
          <w:rFonts w:hint="eastAsia" w:ascii="宋体" w:hAnsi="宋体" w:eastAsia="宋体" w:cs="宋体"/>
          <w:color w:val="auto"/>
          <w:sz w:val="24"/>
          <w:highlight w:val="none"/>
          <w:lang w:eastAsia="zh-CN"/>
        </w:rPr>
        <w:t>HSZB-2024-1478</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政府采购投标的一切事项，其法律后果由我方承担。</w:t>
      </w:r>
    </w:p>
    <w:p w14:paraId="4A16D553">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14:paraId="5F199092">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14:paraId="3C994F09">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投标人名称(电子签名)：</w:t>
      </w:r>
    </w:p>
    <w:p w14:paraId="765D8675">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签发日期：  年  月   日</w:t>
      </w:r>
    </w:p>
    <w:p w14:paraId="3DEA9A1E">
      <w:pPr>
        <w:snapToGrid w:val="0"/>
        <w:spacing w:line="360" w:lineRule="auto"/>
        <w:rPr>
          <w:rFonts w:hint="eastAsia" w:ascii="宋体" w:hAnsi="宋体" w:eastAsia="宋体" w:cs="宋体"/>
          <w:color w:val="auto"/>
          <w:sz w:val="24"/>
          <w:highlight w:val="none"/>
        </w:rPr>
      </w:pPr>
    </w:p>
    <w:p w14:paraId="6F1A9518">
      <w:pPr>
        <w:snapToGrid w:val="0"/>
        <w:spacing w:line="360" w:lineRule="auto"/>
        <w:rPr>
          <w:rFonts w:hint="eastAsia" w:ascii="宋体" w:hAnsi="宋体" w:eastAsia="宋体" w:cs="宋体"/>
          <w:color w:val="auto"/>
          <w:sz w:val="24"/>
          <w:highlight w:val="none"/>
        </w:rPr>
      </w:pPr>
    </w:p>
    <w:p w14:paraId="6FEE7D77">
      <w:pPr>
        <w:snapToGrid w:val="0"/>
        <w:spacing w:line="360" w:lineRule="auto"/>
        <w:rPr>
          <w:rFonts w:hint="eastAsia" w:ascii="宋体" w:hAnsi="宋体" w:eastAsia="宋体" w:cs="宋体"/>
          <w:color w:val="auto"/>
          <w:sz w:val="24"/>
          <w:highlight w:val="none"/>
        </w:rPr>
      </w:pPr>
    </w:p>
    <w:p w14:paraId="7F7CBDCB">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zh-CN"/>
        </w:rPr>
        <w:t xml:space="preserve">      </w:t>
      </w:r>
      <w:r>
        <w:rPr>
          <w:rFonts w:hint="eastAsia" w:ascii="宋体" w:hAnsi="宋体" w:eastAsia="宋体" w:cs="宋体"/>
          <w:b/>
          <w:color w:val="auto"/>
          <w:kern w:val="0"/>
          <w:sz w:val="32"/>
          <w:szCs w:val="32"/>
          <w:highlight w:val="none"/>
        </w:rPr>
        <w:t xml:space="preserve"> </w:t>
      </w:r>
      <w:r>
        <w:rPr>
          <w:rFonts w:hint="eastAsia" w:ascii="宋体" w:hAnsi="宋体" w:eastAsia="宋体" w:cs="宋体"/>
          <w:b/>
          <w:color w:val="auto"/>
          <w:kern w:val="0"/>
          <w:sz w:val="32"/>
          <w:szCs w:val="32"/>
          <w:highlight w:val="none"/>
          <w:lang w:val="zh-CN"/>
        </w:rPr>
        <w:t>授权委托书（适用于联合体投标）</w:t>
      </w:r>
    </w:p>
    <w:p w14:paraId="4AC5534D">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杭州第九中学树范学校</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浙江豪圣建设项目管理有限公司</w:t>
      </w:r>
      <w:r>
        <w:rPr>
          <w:rFonts w:hint="eastAsia" w:ascii="宋体" w:hAnsi="宋体" w:eastAsia="宋体" w:cs="宋体"/>
          <w:color w:val="auto"/>
          <w:kern w:val="0"/>
          <w:sz w:val="24"/>
          <w:highlight w:val="none"/>
          <w:lang w:val="zh-CN"/>
        </w:rPr>
        <w:t>：</w:t>
      </w:r>
    </w:p>
    <w:p w14:paraId="59124F5C">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u w:val="none"/>
          <w:lang w:val="en-US" w:eastAsia="zh-CN"/>
        </w:rPr>
        <w:t>，所在单位：</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eastAsia="宋体" w:cs="宋体"/>
          <w:color w:val="auto"/>
          <w:sz w:val="24"/>
          <w:highlight w:val="none"/>
          <w:lang w:eastAsia="zh-CN"/>
        </w:rPr>
        <w:t>杭州第九中学树范学校</w:t>
      </w:r>
      <w:r>
        <w:rPr>
          <w:rFonts w:hint="eastAsia" w:ascii="宋体" w:hAnsi="宋体" w:cs="宋体"/>
          <w:color w:val="auto"/>
          <w:sz w:val="24"/>
          <w:highlight w:val="none"/>
          <w:lang w:eastAsia="zh-CN"/>
        </w:rPr>
        <w:t>报告厅椅子采购</w:t>
      </w:r>
      <w:r>
        <w:rPr>
          <w:rFonts w:hint="eastAsia" w:ascii="宋体" w:hAnsi="宋体" w:eastAsia="宋体" w:cs="宋体"/>
          <w:color w:val="auto"/>
          <w:sz w:val="24"/>
          <w:highlight w:val="none"/>
        </w:rPr>
        <w:t>【招标编号：</w:t>
      </w:r>
      <w:r>
        <w:rPr>
          <w:rFonts w:hint="eastAsia" w:ascii="宋体" w:hAnsi="宋体" w:eastAsia="宋体" w:cs="宋体"/>
          <w:color w:val="auto"/>
          <w:sz w:val="24"/>
          <w:highlight w:val="none"/>
          <w:lang w:eastAsia="zh-CN"/>
        </w:rPr>
        <w:t>HSZB-2024-1478</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政府采购投标的一切事项，其法律后果由我方承担。</w:t>
      </w:r>
    </w:p>
    <w:p w14:paraId="60AE7964">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14:paraId="50098E8E">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14:paraId="69EC9281">
      <w:pPr>
        <w:jc w:val="center"/>
        <w:rPr>
          <w:rFonts w:hint="eastAsia" w:ascii="宋体" w:hAnsi="宋体" w:eastAsia="宋体" w:cs="宋体"/>
          <w:b/>
          <w:color w:val="auto"/>
          <w:kern w:val="0"/>
          <w:sz w:val="32"/>
          <w:szCs w:val="32"/>
          <w:highlight w:val="none"/>
        </w:rPr>
      </w:pPr>
    </w:p>
    <w:p w14:paraId="0AB88638">
      <w:pPr>
        <w:jc w:val="center"/>
        <w:rPr>
          <w:rFonts w:hint="eastAsia" w:ascii="宋体" w:hAnsi="宋体" w:eastAsia="宋体" w:cs="宋体"/>
          <w:b/>
          <w:color w:val="auto"/>
          <w:kern w:val="0"/>
          <w:sz w:val="32"/>
          <w:szCs w:val="32"/>
          <w:highlight w:val="none"/>
        </w:rPr>
      </w:pPr>
    </w:p>
    <w:p w14:paraId="147E5C4F">
      <w:pPr>
        <w:jc w:val="center"/>
        <w:rPr>
          <w:rFonts w:hint="eastAsia" w:ascii="宋体" w:hAnsi="宋体" w:eastAsia="宋体" w:cs="宋体"/>
          <w:b/>
          <w:color w:val="auto"/>
          <w:kern w:val="0"/>
          <w:sz w:val="32"/>
          <w:szCs w:val="32"/>
          <w:highlight w:val="none"/>
        </w:rPr>
      </w:pPr>
    </w:p>
    <w:p w14:paraId="0DDE4C5B">
      <w:pPr>
        <w:rPr>
          <w:rFonts w:hint="eastAsia" w:ascii="宋体" w:hAnsi="宋体" w:eastAsia="宋体" w:cs="宋体"/>
          <w:color w:val="auto"/>
          <w:highlight w:val="none"/>
        </w:rPr>
      </w:pPr>
    </w:p>
    <w:p w14:paraId="5C8BBEDA">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7052D589">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5D3F6E64">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42B82B30">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55025272">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kern w:val="0"/>
          <w:sz w:val="32"/>
          <w:szCs w:val="32"/>
          <w:highlight w:val="none"/>
          <w:lang w:val="zh-CN"/>
        </w:rPr>
        <w:t>法定代表人、单位负责人或自然人本人</w:t>
      </w:r>
      <w:r>
        <w:rPr>
          <w:rFonts w:hint="eastAsia" w:ascii="宋体" w:hAnsi="宋体" w:eastAsia="宋体" w:cs="宋体"/>
          <w:b/>
          <w:color w:val="auto"/>
          <w:sz w:val="30"/>
          <w:szCs w:val="30"/>
          <w:highlight w:val="none"/>
        </w:rPr>
        <w:t>的身份证明（适用于法定代表人、单位负责人或者自然人本人代表投标人参加投标）</w:t>
      </w:r>
    </w:p>
    <w:p w14:paraId="18CBACE5">
      <w:pPr>
        <w:pStyle w:val="15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F74B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0F26FCB1">
            <w:pPr>
              <w:pStyle w:val="150"/>
              <w:adjustRightIn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正面：                                 反面：</w:t>
            </w:r>
          </w:p>
          <w:p w14:paraId="719FEFDF">
            <w:pPr>
              <w:pStyle w:val="150"/>
              <w:adjustRightInd w:val="0"/>
              <w:spacing w:line="360" w:lineRule="auto"/>
              <w:rPr>
                <w:rFonts w:hint="eastAsia" w:ascii="宋体" w:hAnsi="宋体" w:eastAsia="宋体" w:cs="宋体"/>
                <w:bCs/>
                <w:color w:val="auto"/>
                <w:sz w:val="24"/>
                <w:highlight w:val="none"/>
              </w:rPr>
            </w:pPr>
          </w:p>
        </w:tc>
      </w:tr>
    </w:tbl>
    <w:p w14:paraId="0E3F7A73">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4E975464">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                              </w:t>
      </w:r>
    </w:p>
    <w:p w14:paraId="601DF663">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169C45A6">
      <w:pPr>
        <w:jc w:val="center"/>
        <w:rPr>
          <w:rFonts w:hint="eastAsia" w:ascii="宋体" w:hAnsi="宋体" w:eastAsia="宋体" w:cs="宋体"/>
          <w:b/>
          <w:color w:val="auto"/>
          <w:kern w:val="0"/>
          <w:sz w:val="32"/>
          <w:szCs w:val="32"/>
          <w:highlight w:val="none"/>
        </w:rPr>
      </w:pPr>
    </w:p>
    <w:p w14:paraId="4D6D777E">
      <w:pPr>
        <w:jc w:val="center"/>
        <w:rPr>
          <w:rFonts w:hint="eastAsia" w:ascii="宋体" w:hAnsi="宋体" w:eastAsia="宋体" w:cs="宋体"/>
          <w:b/>
          <w:color w:val="auto"/>
          <w:kern w:val="0"/>
          <w:sz w:val="32"/>
          <w:szCs w:val="32"/>
          <w:highlight w:val="none"/>
        </w:rPr>
      </w:pPr>
    </w:p>
    <w:p w14:paraId="0A410768">
      <w:pPr>
        <w:jc w:val="center"/>
        <w:rPr>
          <w:rFonts w:hint="eastAsia" w:ascii="宋体" w:hAnsi="宋体" w:eastAsia="宋体" w:cs="宋体"/>
          <w:b/>
          <w:color w:val="auto"/>
          <w:kern w:val="0"/>
          <w:sz w:val="32"/>
          <w:szCs w:val="32"/>
          <w:highlight w:val="none"/>
        </w:rPr>
      </w:pPr>
    </w:p>
    <w:p w14:paraId="42400FF9">
      <w:pPr>
        <w:jc w:val="center"/>
        <w:rPr>
          <w:rFonts w:hint="eastAsia" w:ascii="宋体" w:hAnsi="宋体" w:eastAsia="宋体" w:cs="宋体"/>
          <w:b/>
          <w:color w:val="auto"/>
          <w:kern w:val="0"/>
          <w:sz w:val="32"/>
          <w:szCs w:val="32"/>
          <w:highlight w:val="none"/>
        </w:rPr>
      </w:pPr>
    </w:p>
    <w:p w14:paraId="18AC5D32">
      <w:pPr>
        <w:jc w:val="center"/>
        <w:rPr>
          <w:rFonts w:hint="eastAsia" w:ascii="宋体" w:hAnsi="宋体" w:eastAsia="宋体" w:cs="宋体"/>
          <w:b/>
          <w:color w:val="auto"/>
          <w:kern w:val="0"/>
          <w:sz w:val="32"/>
          <w:szCs w:val="32"/>
          <w:highlight w:val="none"/>
        </w:rPr>
      </w:pPr>
    </w:p>
    <w:p w14:paraId="302821FC">
      <w:pPr>
        <w:jc w:val="center"/>
        <w:rPr>
          <w:rFonts w:hint="eastAsia" w:ascii="宋体" w:hAnsi="宋体" w:eastAsia="宋体" w:cs="宋体"/>
          <w:b/>
          <w:color w:val="auto"/>
          <w:kern w:val="0"/>
          <w:sz w:val="32"/>
          <w:szCs w:val="32"/>
          <w:highlight w:val="none"/>
        </w:rPr>
      </w:pPr>
    </w:p>
    <w:p w14:paraId="6F3800BA">
      <w:pPr>
        <w:jc w:val="center"/>
        <w:rPr>
          <w:rFonts w:hint="eastAsia" w:ascii="宋体" w:hAnsi="宋体" w:eastAsia="宋体" w:cs="宋体"/>
          <w:b/>
          <w:color w:val="auto"/>
          <w:kern w:val="0"/>
          <w:sz w:val="32"/>
          <w:szCs w:val="32"/>
          <w:highlight w:val="none"/>
        </w:rPr>
      </w:pPr>
    </w:p>
    <w:p w14:paraId="1D946655">
      <w:pPr>
        <w:jc w:val="center"/>
        <w:rPr>
          <w:rFonts w:hint="eastAsia" w:ascii="宋体" w:hAnsi="宋体" w:eastAsia="宋体" w:cs="宋体"/>
          <w:b/>
          <w:color w:val="auto"/>
          <w:kern w:val="0"/>
          <w:sz w:val="32"/>
          <w:szCs w:val="32"/>
          <w:highlight w:val="none"/>
        </w:rPr>
      </w:pPr>
    </w:p>
    <w:p w14:paraId="19816D62">
      <w:pPr>
        <w:jc w:val="center"/>
        <w:rPr>
          <w:rFonts w:hint="eastAsia" w:ascii="宋体" w:hAnsi="宋体" w:eastAsia="宋体" w:cs="宋体"/>
          <w:b/>
          <w:color w:val="auto"/>
          <w:kern w:val="0"/>
          <w:sz w:val="32"/>
          <w:szCs w:val="32"/>
          <w:highlight w:val="none"/>
        </w:rPr>
      </w:pPr>
    </w:p>
    <w:p w14:paraId="2FC12300">
      <w:pPr>
        <w:jc w:val="center"/>
        <w:rPr>
          <w:rFonts w:hint="eastAsia" w:ascii="宋体" w:hAnsi="宋体" w:eastAsia="宋体" w:cs="宋体"/>
          <w:b/>
          <w:color w:val="auto"/>
          <w:kern w:val="0"/>
          <w:sz w:val="32"/>
          <w:szCs w:val="32"/>
          <w:highlight w:val="none"/>
        </w:rPr>
      </w:pPr>
    </w:p>
    <w:p w14:paraId="7219F646">
      <w:pPr>
        <w:snapToGrid w:val="0"/>
        <w:spacing w:line="360" w:lineRule="auto"/>
        <w:ind w:right="480"/>
        <w:rPr>
          <w:rFonts w:hint="eastAsia" w:ascii="宋体" w:hAnsi="宋体" w:eastAsia="宋体" w:cs="宋体"/>
          <w:b/>
          <w:color w:val="auto"/>
          <w:kern w:val="0"/>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373FC4D5">
      <w:pP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三、分包意向协议（如果有）</w:t>
      </w:r>
    </w:p>
    <w:p w14:paraId="3AAA6BC3">
      <w:pPr>
        <w:widowControl/>
        <w:spacing w:line="360" w:lineRule="auto"/>
        <w:ind w:firstLine="120" w:firstLineChars="50"/>
        <w:jc w:val="left"/>
        <w:rPr>
          <w:rFonts w:hint="eastAsia" w:ascii="宋体" w:hAnsi="宋体" w:eastAsia="宋体" w:cs="宋体"/>
          <w:color w:val="auto"/>
          <w:sz w:val="24"/>
          <w:highlight w:val="none"/>
        </w:rPr>
      </w:pPr>
      <w:bookmarkStart w:id="548" w:name="_Hlk101169080"/>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中标后以分包方式履行合同的，提供分包意向协议(附件6)；采购人不同意分包或者投标人中标后不以分包方式履行合同的，则不需要提供。</w:t>
      </w:r>
      <w:r>
        <w:rPr>
          <w:rFonts w:hint="eastAsia" w:ascii="宋体" w:hAnsi="宋体" w:eastAsia="宋体" w:cs="宋体"/>
          <w:color w:val="auto"/>
          <w:sz w:val="24"/>
          <w:highlight w:val="none"/>
        </w:rPr>
        <w:t>]</w:t>
      </w:r>
    </w:p>
    <w:bookmarkEnd w:id="548"/>
    <w:p w14:paraId="76C095EA">
      <w:pPr>
        <w:snapToGrid w:val="0"/>
        <w:spacing w:line="360" w:lineRule="auto"/>
        <w:rPr>
          <w:rFonts w:hint="eastAsia" w:ascii="宋体" w:hAnsi="宋体" w:eastAsia="宋体" w:cs="宋体"/>
          <w:color w:val="auto"/>
          <w:kern w:val="0"/>
          <w:sz w:val="24"/>
          <w:highlight w:val="none"/>
        </w:rPr>
      </w:pPr>
    </w:p>
    <w:p w14:paraId="40943653">
      <w:pPr>
        <w:jc w:val="center"/>
        <w:rPr>
          <w:rFonts w:hint="eastAsia" w:ascii="宋体" w:hAnsi="宋体" w:eastAsia="宋体" w:cs="宋体"/>
          <w:b/>
          <w:color w:val="auto"/>
          <w:kern w:val="0"/>
          <w:sz w:val="32"/>
          <w:szCs w:val="32"/>
          <w:highlight w:val="none"/>
        </w:rPr>
      </w:pPr>
    </w:p>
    <w:p w14:paraId="19F602A0">
      <w:pPr>
        <w:bidi w:val="0"/>
        <w:rPr>
          <w:rFonts w:hint="eastAsia" w:ascii="宋体" w:hAnsi="宋体" w:eastAsia="宋体" w:cs="宋体"/>
          <w:color w:val="auto"/>
          <w:highlight w:val="none"/>
          <w:lang w:val="en-US"/>
        </w:rPr>
      </w:pPr>
    </w:p>
    <w:p w14:paraId="6F19907F">
      <w:pPr>
        <w:rPr>
          <w:rFonts w:hint="eastAsia" w:ascii="宋体" w:hAnsi="宋体" w:eastAsia="宋体" w:cs="宋体"/>
          <w:color w:val="auto"/>
          <w:highlight w:val="none"/>
        </w:rPr>
      </w:pPr>
    </w:p>
    <w:p w14:paraId="624EF191">
      <w:pPr>
        <w:bidi w:val="0"/>
        <w:rPr>
          <w:rFonts w:hint="eastAsia" w:ascii="宋体" w:hAnsi="宋体" w:eastAsia="宋体" w:cs="宋体"/>
          <w:color w:val="auto"/>
          <w:highlight w:val="none"/>
          <w:lang w:val="en-US"/>
        </w:rPr>
      </w:pPr>
    </w:p>
    <w:p w14:paraId="5DB1CD87">
      <w:pPr>
        <w:jc w:val="center"/>
        <w:rPr>
          <w:rFonts w:hint="eastAsia" w:ascii="宋体" w:hAnsi="宋体" w:eastAsia="宋体" w:cs="宋体"/>
          <w:b/>
          <w:color w:val="auto"/>
          <w:kern w:val="0"/>
          <w:sz w:val="32"/>
          <w:szCs w:val="32"/>
          <w:highlight w:val="none"/>
        </w:rPr>
      </w:pPr>
    </w:p>
    <w:p w14:paraId="310D1B4A">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四、符合性审查资料</w:t>
      </w:r>
    </w:p>
    <w:p w14:paraId="0A8D20CB">
      <w:pPr>
        <w:jc w:val="center"/>
        <w:rPr>
          <w:rFonts w:hint="eastAsia" w:ascii="宋体" w:hAnsi="宋体" w:eastAsia="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42FA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688D27EC">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4991" w:type="dxa"/>
            <w:vAlign w:val="center"/>
          </w:tcPr>
          <w:p w14:paraId="2CEBB4F0">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实质性要求</w:t>
            </w:r>
          </w:p>
        </w:tc>
        <w:tc>
          <w:tcPr>
            <w:tcW w:w="2551" w:type="dxa"/>
            <w:vAlign w:val="center"/>
          </w:tcPr>
          <w:p w14:paraId="4EB80D44">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需要提供的符合性审查资料</w:t>
            </w:r>
          </w:p>
        </w:tc>
        <w:tc>
          <w:tcPr>
            <w:tcW w:w="1418" w:type="dxa"/>
            <w:vAlign w:val="center"/>
          </w:tcPr>
          <w:p w14:paraId="64FEEA29">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投标文件中的</w:t>
            </w:r>
          </w:p>
          <w:p w14:paraId="2E66716E">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页码位置</w:t>
            </w:r>
          </w:p>
        </w:tc>
      </w:tr>
      <w:tr w14:paraId="34B68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E4D887E">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4991" w:type="dxa"/>
          </w:tcPr>
          <w:p w14:paraId="508D23E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投标文件按照招标文件要求签署、盖章。</w:t>
            </w:r>
          </w:p>
        </w:tc>
        <w:tc>
          <w:tcPr>
            <w:tcW w:w="2551" w:type="dxa"/>
            <w:vAlign w:val="center"/>
          </w:tcPr>
          <w:p w14:paraId="5C9D4734">
            <w:pPr>
              <w:rPr>
                <w:rFonts w:hint="eastAsia" w:ascii="宋体" w:hAnsi="宋体" w:eastAsia="宋体" w:cs="宋体"/>
                <w:color w:val="auto"/>
                <w:sz w:val="24"/>
                <w:highlight w:val="none"/>
              </w:rPr>
            </w:pPr>
            <w:r>
              <w:rPr>
                <w:rFonts w:hint="eastAsia" w:ascii="宋体" w:hAnsi="宋体" w:eastAsia="宋体" w:cs="宋体"/>
                <w:color w:val="auto"/>
                <w:sz w:val="24"/>
                <w:highlight w:val="none"/>
              </w:rPr>
              <w:t>需要使用电子签名或者签字盖章的投标文件的组成部分</w:t>
            </w:r>
          </w:p>
        </w:tc>
        <w:tc>
          <w:tcPr>
            <w:tcW w:w="1418" w:type="dxa"/>
          </w:tcPr>
          <w:p w14:paraId="19EB5035">
            <w:pPr>
              <w:rPr>
                <w:rFonts w:hint="eastAsia" w:ascii="宋体" w:hAnsi="宋体" w:eastAsia="宋体" w:cs="宋体"/>
                <w:color w:val="auto"/>
                <w:sz w:val="24"/>
                <w:highlight w:val="none"/>
              </w:rPr>
            </w:pPr>
          </w:p>
          <w:p w14:paraId="04367B7B">
            <w:pPr>
              <w:rPr>
                <w:rFonts w:hint="eastAsia" w:ascii="宋体" w:hAnsi="宋体" w:eastAsia="宋体" w:cs="宋体"/>
                <w:color w:val="auto"/>
                <w:sz w:val="24"/>
                <w:highlight w:val="none"/>
              </w:rPr>
            </w:pPr>
            <w:r>
              <w:rPr>
                <w:rFonts w:hint="eastAsia" w:ascii="宋体" w:hAnsi="宋体" w:eastAsia="宋体" w:cs="宋体"/>
                <w:color w:val="auto"/>
                <w:sz w:val="24"/>
                <w:highlight w:val="none"/>
              </w:rPr>
              <w:t>见投标文件</w:t>
            </w:r>
          </w:p>
          <w:p w14:paraId="5E3A8C24">
            <w:pPr>
              <w:rPr>
                <w:rFonts w:hint="eastAsia" w:ascii="宋体" w:hAnsi="宋体" w:eastAsia="宋体" w:cs="宋体"/>
                <w:color w:val="auto"/>
                <w:highlight w:val="none"/>
              </w:rPr>
            </w:pPr>
            <w:r>
              <w:rPr>
                <w:rFonts w:hint="eastAsia" w:ascii="宋体" w:hAnsi="宋体" w:eastAsia="宋体" w:cs="宋体"/>
                <w:color w:val="auto"/>
                <w:sz w:val="24"/>
                <w:highlight w:val="none"/>
              </w:rPr>
              <w:t>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119A3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E7C891C">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4991" w:type="dxa"/>
          </w:tcPr>
          <w:p w14:paraId="47E8537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投标文件中承诺的投标有效期不少于招标文件中载明的投标有效期。</w:t>
            </w:r>
          </w:p>
        </w:tc>
        <w:tc>
          <w:tcPr>
            <w:tcW w:w="2551" w:type="dxa"/>
            <w:vAlign w:val="center"/>
          </w:tcPr>
          <w:p w14:paraId="51059F9B">
            <w:pP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投标函</w:t>
            </w:r>
          </w:p>
        </w:tc>
        <w:tc>
          <w:tcPr>
            <w:tcW w:w="1418" w:type="dxa"/>
          </w:tcPr>
          <w:p w14:paraId="3E472BC9">
            <w:pPr>
              <w:rPr>
                <w:rFonts w:hint="eastAsia" w:ascii="宋体" w:hAnsi="宋体" w:eastAsia="宋体" w:cs="宋体"/>
                <w:color w:val="auto"/>
                <w:highlight w:val="none"/>
              </w:rPr>
            </w:pPr>
            <w:r>
              <w:rPr>
                <w:rFonts w:hint="eastAsia" w:ascii="宋体" w:hAnsi="宋体" w:eastAsia="宋体" w:cs="宋体"/>
                <w:color w:val="auto"/>
                <w:sz w:val="24"/>
                <w:highlight w:val="none"/>
              </w:rPr>
              <w:t>见投标文件第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0F96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E557A70">
            <w:pPr>
              <w:jc w:val="center"/>
              <w:rPr>
                <w:rFonts w:hint="eastAsia" w:ascii="宋体" w:hAnsi="宋体" w:eastAsia="宋体" w:cs="宋体"/>
                <w:color w:val="auto"/>
                <w:sz w:val="24"/>
                <w:highlight w:val="none"/>
              </w:rPr>
            </w:pPr>
            <w:r>
              <w:rPr>
                <w:rFonts w:hint="eastAsia" w:ascii="宋体" w:hAnsi="宋体" w:eastAsia="宋体" w:cs="宋体"/>
                <w:b w:val="0"/>
                <w:bCs w:val="0"/>
                <w:color w:val="auto"/>
                <w:sz w:val="24"/>
                <w:highlight w:val="none"/>
                <w:lang w:val="en-US" w:eastAsia="zh-CN"/>
              </w:rPr>
              <w:t>3</w:t>
            </w:r>
          </w:p>
        </w:tc>
        <w:tc>
          <w:tcPr>
            <w:tcW w:w="4991" w:type="dxa"/>
            <w:vAlign w:val="top"/>
          </w:tcPr>
          <w:p w14:paraId="51CF3574">
            <w:pPr>
              <w:snapToGrid w:val="0"/>
              <w:spacing w:line="360" w:lineRule="auto"/>
              <w:ind w:firstLine="0" w:firstLineChars="0"/>
              <w:rPr>
                <w:rFonts w:hint="eastAsia" w:ascii="宋体" w:hAnsi="宋体" w:eastAsia="宋体" w:cs="宋体"/>
                <w:b w:val="0"/>
                <w:bCs w:val="0"/>
                <w:snapToGrid w:val="0"/>
                <w:color w:val="auto"/>
                <w:sz w:val="24"/>
                <w:highlight w:val="none"/>
              </w:rPr>
            </w:pPr>
            <w:r>
              <w:rPr>
                <w:rFonts w:hint="eastAsia" w:ascii="宋体" w:hAnsi="宋体" w:eastAsia="宋体" w:cs="宋体"/>
                <w:b w:val="0"/>
                <w:bCs w:val="0"/>
                <w:snapToGrid w:val="0"/>
                <w:color w:val="auto"/>
                <w:sz w:val="24"/>
                <w:highlight w:val="none"/>
              </w:rPr>
              <w:t>投标</w:t>
            </w:r>
            <w:r>
              <w:rPr>
                <w:rFonts w:hint="eastAsia" w:ascii="宋体" w:hAnsi="宋体" w:eastAsia="宋体" w:cs="宋体"/>
                <w:b w:val="0"/>
                <w:bCs w:val="0"/>
                <w:snapToGrid w:val="0"/>
                <w:color w:val="auto"/>
                <w:sz w:val="24"/>
                <w:highlight w:val="none"/>
                <w:lang w:val="en-US" w:eastAsia="zh-CN"/>
              </w:rPr>
              <w:t>文件的组成应符合招标文件要求</w:t>
            </w:r>
          </w:p>
          <w:p w14:paraId="489A1393">
            <w:pPr>
              <w:spacing w:line="360" w:lineRule="auto"/>
              <w:rPr>
                <w:rFonts w:hint="eastAsia" w:ascii="宋体" w:hAnsi="宋体" w:eastAsia="宋体" w:cs="宋体"/>
                <w:color w:val="auto"/>
                <w:sz w:val="24"/>
                <w:highlight w:val="none"/>
              </w:rPr>
            </w:pPr>
          </w:p>
        </w:tc>
        <w:tc>
          <w:tcPr>
            <w:tcW w:w="2551" w:type="dxa"/>
            <w:vAlign w:val="center"/>
          </w:tcPr>
          <w:p w14:paraId="56BA1000">
            <w:pPr>
              <w:rPr>
                <w:rFonts w:hint="eastAsia" w:ascii="宋体" w:hAnsi="宋体" w:eastAsia="宋体" w:cs="宋体"/>
                <w:color w:val="auto"/>
                <w:sz w:val="24"/>
                <w:highlight w:val="none"/>
              </w:rPr>
            </w:pPr>
            <w:r>
              <w:rPr>
                <w:rFonts w:hint="eastAsia" w:ascii="宋体" w:hAnsi="宋体" w:eastAsia="宋体" w:cs="宋体"/>
                <w:b w:val="0"/>
                <w:bCs w:val="0"/>
                <w:color w:val="auto"/>
                <w:sz w:val="24"/>
                <w:highlight w:val="none"/>
                <w:lang w:val="en-US" w:eastAsia="zh-CN"/>
              </w:rPr>
              <w:t>投标文件</w:t>
            </w:r>
          </w:p>
        </w:tc>
        <w:tc>
          <w:tcPr>
            <w:tcW w:w="1418" w:type="dxa"/>
            <w:vAlign w:val="top"/>
          </w:tcPr>
          <w:p w14:paraId="51D3BD4A">
            <w:pPr>
              <w:rPr>
                <w:rFonts w:hint="eastAsia" w:ascii="宋体" w:hAnsi="宋体" w:eastAsia="宋体" w:cs="宋体"/>
                <w:color w:val="auto"/>
                <w:highlight w:val="none"/>
              </w:rPr>
            </w:pPr>
            <w:r>
              <w:rPr>
                <w:rFonts w:hint="eastAsia" w:ascii="宋体" w:hAnsi="宋体" w:eastAsia="宋体" w:cs="宋体"/>
                <w:b w:val="0"/>
                <w:bCs w:val="0"/>
                <w:color w:val="auto"/>
                <w:sz w:val="24"/>
                <w:highlight w:val="none"/>
                <w:lang w:val="en-US" w:eastAsia="zh-CN"/>
              </w:rPr>
              <w:t>/</w:t>
            </w:r>
          </w:p>
        </w:tc>
      </w:tr>
      <w:tr w14:paraId="672D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7234410">
            <w:pPr>
              <w:jc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4</w:t>
            </w:r>
          </w:p>
        </w:tc>
        <w:tc>
          <w:tcPr>
            <w:tcW w:w="4991" w:type="dxa"/>
            <w:vAlign w:val="top"/>
          </w:tcPr>
          <w:p w14:paraId="14C36CF9">
            <w:pPr>
              <w:spacing w:line="360" w:lineRule="auto"/>
              <w:rPr>
                <w:rFonts w:hint="eastAsia" w:ascii="宋体" w:hAnsi="宋体" w:eastAsia="宋体" w:cs="宋体"/>
                <w:color w:val="auto"/>
                <w:sz w:val="24"/>
                <w:highlight w:val="none"/>
              </w:rPr>
            </w:pPr>
            <w:r>
              <w:rPr>
                <w:rFonts w:hint="eastAsia" w:ascii="宋体" w:hAnsi="宋体" w:eastAsia="宋体" w:cs="宋体"/>
                <w:b w:val="0"/>
                <w:bCs w:val="0"/>
                <w:snapToGrid w:val="0"/>
                <w:color w:val="auto"/>
                <w:sz w:val="24"/>
                <w:highlight w:val="none"/>
                <w:lang w:val="en-US" w:eastAsia="zh-CN"/>
              </w:rPr>
              <w:t>其他实质性要求1：</w:t>
            </w:r>
          </w:p>
        </w:tc>
        <w:tc>
          <w:tcPr>
            <w:tcW w:w="2551" w:type="dxa"/>
            <w:vMerge w:val="restart"/>
            <w:vAlign w:val="center"/>
          </w:tcPr>
          <w:p w14:paraId="4F60E723">
            <w:pPr>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kern w:val="0"/>
                <w:sz w:val="24"/>
                <w:highlight w:val="none"/>
              </w:rPr>
              <w:t>招标文件其它实质性要求相应的材料（“▲” 系指实质性要求条款，招标文件无其它实质性要求的，无需提供）</w:t>
            </w:r>
          </w:p>
        </w:tc>
        <w:tc>
          <w:tcPr>
            <w:tcW w:w="1418" w:type="dxa"/>
            <w:vAlign w:val="top"/>
          </w:tcPr>
          <w:p w14:paraId="657316C9">
            <w:pPr>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见投标文件第</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页</w:t>
            </w:r>
          </w:p>
        </w:tc>
      </w:tr>
      <w:tr w14:paraId="62B7F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E5CE751">
            <w:pPr>
              <w:jc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lang w:val="en-US" w:eastAsia="zh-CN"/>
              </w:rPr>
              <w:t>5</w:t>
            </w:r>
          </w:p>
        </w:tc>
        <w:tc>
          <w:tcPr>
            <w:tcW w:w="4991" w:type="dxa"/>
            <w:vAlign w:val="top"/>
          </w:tcPr>
          <w:p w14:paraId="53E58ED7">
            <w:pPr>
              <w:spacing w:line="360" w:lineRule="auto"/>
              <w:rPr>
                <w:rFonts w:hint="eastAsia" w:ascii="宋体" w:hAnsi="宋体" w:eastAsia="宋体" w:cs="宋体"/>
                <w:color w:val="auto"/>
                <w:sz w:val="24"/>
                <w:highlight w:val="none"/>
              </w:rPr>
            </w:pPr>
            <w:r>
              <w:rPr>
                <w:rFonts w:hint="eastAsia" w:ascii="宋体" w:hAnsi="宋体" w:eastAsia="宋体" w:cs="宋体"/>
                <w:b w:val="0"/>
                <w:bCs w:val="0"/>
                <w:snapToGrid w:val="0"/>
                <w:color w:val="auto"/>
                <w:sz w:val="24"/>
                <w:highlight w:val="none"/>
                <w:lang w:val="en-US" w:eastAsia="zh-CN"/>
              </w:rPr>
              <w:t>其他实质性要求2：</w:t>
            </w:r>
          </w:p>
        </w:tc>
        <w:tc>
          <w:tcPr>
            <w:tcW w:w="2551" w:type="dxa"/>
            <w:vMerge w:val="continue"/>
            <w:vAlign w:val="center"/>
          </w:tcPr>
          <w:p w14:paraId="43E63F41">
            <w:pPr>
              <w:rPr>
                <w:rFonts w:hint="eastAsia" w:ascii="宋体" w:hAnsi="宋体" w:eastAsia="宋体" w:cs="宋体"/>
                <w:b w:val="0"/>
                <w:bCs w:val="0"/>
                <w:color w:val="auto"/>
                <w:sz w:val="24"/>
                <w:highlight w:val="none"/>
                <w:lang w:val="en-US" w:eastAsia="zh-CN"/>
              </w:rPr>
            </w:pPr>
          </w:p>
        </w:tc>
        <w:tc>
          <w:tcPr>
            <w:tcW w:w="1418" w:type="dxa"/>
            <w:vAlign w:val="top"/>
          </w:tcPr>
          <w:p w14:paraId="47E18884">
            <w:pPr>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见投标文件第</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页</w:t>
            </w:r>
          </w:p>
        </w:tc>
      </w:tr>
      <w:tr w14:paraId="579ED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38FDEC6">
            <w:pPr>
              <w:jc w:val="center"/>
              <w:rPr>
                <w:rFonts w:hint="eastAsia" w:ascii="宋体" w:hAnsi="宋体" w:eastAsia="宋体" w:cs="宋体"/>
                <w:b w:val="0"/>
                <w:bCs w:val="0"/>
                <w:color w:val="auto"/>
                <w:sz w:val="24"/>
                <w:highlight w:val="none"/>
                <w:lang w:val="en-US" w:eastAsia="zh-CN"/>
              </w:rPr>
            </w:pPr>
            <w:r>
              <w:rPr>
                <w:rFonts w:hint="eastAsia" w:ascii="宋体" w:hAnsi="宋体" w:eastAsia="宋体" w:cs="宋体"/>
                <w:color w:val="auto"/>
                <w:kern w:val="0"/>
                <w:sz w:val="24"/>
                <w:highlight w:val="none"/>
              </w:rPr>
              <w:t>……</w:t>
            </w:r>
          </w:p>
        </w:tc>
        <w:tc>
          <w:tcPr>
            <w:tcW w:w="4991" w:type="dxa"/>
            <w:vAlign w:val="top"/>
          </w:tcPr>
          <w:p w14:paraId="665BD1A6">
            <w:pPr>
              <w:spacing w:line="360" w:lineRule="auto"/>
              <w:rPr>
                <w:rFonts w:hint="eastAsia" w:ascii="宋体" w:hAnsi="宋体" w:eastAsia="宋体" w:cs="宋体"/>
                <w:color w:val="auto"/>
                <w:sz w:val="24"/>
                <w:highlight w:val="none"/>
              </w:rPr>
            </w:pPr>
            <w:r>
              <w:rPr>
                <w:rFonts w:hint="eastAsia" w:ascii="宋体" w:hAnsi="宋体" w:eastAsia="宋体" w:cs="宋体"/>
                <w:b w:val="0"/>
                <w:bCs w:val="0"/>
                <w:snapToGrid w:val="0"/>
                <w:color w:val="auto"/>
                <w:sz w:val="24"/>
                <w:highlight w:val="none"/>
                <w:lang w:val="en-US" w:eastAsia="zh-CN"/>
              </w:rPr>
              <w:t>其他实质性要求</w:t>
            </w:r>
            <w:r>
              <w:rPr>
                <w:rFonts w:hint="eastAsia" w:ascii="宋体" w:hAnsi="宋体" w:eastAsia="宋体" w:cs="宋体"/>
                <w:color w:val="auto"/>
                <w:kern w:val="0"/>
                <w:sz w:val="24"/>
                <w:highlight w:val="none"/>
              </w:rPr>
              <w:t>……</w:t>
            </w:r>
            <w:r>
              <w:rPr>
                <w:rFonts w:hint="eastAsia" w:ascii="宋体" w:hAnsi="宋体" w:eastAsia="宋体" w:cs="宋体"/>
                <w:b w:val="0"/>
                <w:bCs w:val="0"/>
                <w:snapToGrid w:val="0"/>
                <w:color w:val="auto"/>
                <w:sz w:val="24"/>
                <w:highlight w:val="none"/>
                <w:lang w:val="en-US" w:eastAsia="zh-CN"/>
              </w:rPr>
              <w:t>：</w:t>
            </w:r>
          </w:p>
        </w:tc>
        <w:tc>
          <w:tcPr>
            <w:tcW w:w="2551" w:type="dxa"/>
            <w:vMerge w:val="continue"/>
            <w:vAlign w:val="center"/>
          </w:tcPr>
          <w:p w14:paraId="44425AAA">
            <w:pPr>
              <w:rPr>
                <w:rFonts w:hint="eastAsia" w:ascii="宋体" w:hAnsi="宋体" w:eastAsia="宋体" w:cs="宋体"/>
                <w:b w:val="0"/>
                <w:bCs w:val="0"/>
                <w:color w:val="auto"/>
                <w:sz w:val="24"/>
                <w:highlight w:val="none"/>
                <w:lang w:val="en-US" w:eastAsia="zh-CN"/>
              </w:rPr>
            </w:pPr>
          </w:p>
        </w:tc>
        <w:tc>
          <w:tcPr>
            <w:tcW w:w="1418" w:type="dxa"/>
            <w:vAlign w:val="top"/>
          </w:tcPr>
          <w:p w14:paraId="5A977B37">
            <w:pPr>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见投标文件第</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页</w:t>
            </w:r>
          </w:p>
        </w:tc>
      </w:tr>
    </w:tbl>
    <w:p w14:paraId="161F6485">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645162FD">
      <w:pPr>
        <w:spacing w:line="360" w:lineRule="auto"/>
        <w:ind w:right="420"/>
        <w:jc w:val="both"/>
        <w:rPr>
          <w:rFonts w:hint="eastAsia" w:ascii="宋体" w:hAnsi="宋体" w:eastAsia="宋体" w:cs="宋体"/>
          <w:b/>
          <w:color w:val="auto"/>
          <w:kern w:val="0"/>
          <w:sz w:val="32"/>
          <w:szCs w:val="32"/>
          <w:highlight w:val="none"/>
        </w:rPr>
      </w:pPr>
      <w:r>
        <w:rPr>
          <w:rFonts w:hint="eastAsia" w:ascii="宋体" w:hAnsi="宋体" w:eastAsia="宋体" w:cs="宋体"/>
          <w:b/>
          <w:bCs/>
          <w:color w:val="auto"/>
          <w:sz w:val="24"/>
          <w:highlight w:val="none"/>
        </w:rPr>
        <w:t>2、招标文件中实质性要求必须明确响应。</w:t>
      </w:r>
    </w:p>
    <w:p w14:paraId="45CFE418">
      <w:pPr>
        <w:pStyle w:val="81"/>
        <w:rPr>
          <w:rFonts w:hint="eastAsia" w:ascii="宋体" w:hAnsi="宋体" w:eastAsia="宋体" w:cs="宋体"/>
          <w:color w:val="auto"/>
          <w:highlight w:val="none"/>
        </w:rPr>
      </w:pPr>
    </w:p>
    <w:p w14:paraId="6BDBA760">
      <w:pPr>
        <w:jc w:val="center"/>
        <w:rPr>
          <w:rFonts w:hint="eastAsia" w:ascii="宋体" w:hAnsi="宋体" w:eastAsia="宋体" w:cs="宋体"/>
          <w:b/>
          <w:color w:val="auto"/>
          <w:kern w:val="0"/>
          <w:sz w:val="32"/>
          <w:szCs w:val="32"/>
          <w:highlight w:val="none"/>
        </w:rPr>
      </w:pPr>
    </w:p>
    <w:p w14:paraId="4F1BE3AD">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 xml:space="preserve">            </w:t>
      </w:r>
    </w:p>
    <w:p w14:paraId="0C04CAF6">
      <w:pPr>
        <w:jc w:val="center"/>
        <w:rPr>
          <w:rFonts w:hint="eastAsia" w:ascii="宋体" w:hAnsi="宋体" w:eastAsia="宋体" w:cs="宋体"/>
          <w:b/>
          <w:color w:val="auto"/>
          <w:kern w:val="0"/>
          <w:sz w:val="32"/>
          <w:szCs w:val="32"/>
          <w:highlight w:val="none"/>
        </w:rPr>
      </w:pPr>
    </w:p>
    <w:p w14:paraId="77DEDDA7">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38FB1927">
      <w:pPr>
        <w:jc w:val="center"/>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rPr>
        <w:t>五、评标标准相应的商务技术资料</w:t>
      </w:r>
    </w:p>
    <w:p w14:paraId="37CC91C7">
      <w:pPr>
        <w:snapToGrid w:val="0"/>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50CD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2C63AEB8">
            <w:pPr>
              <w:snapToGrid w:val="0"/>
              <w:spacing w:line="360" w:lineRule="auto"/>
              <w:jc w:val="center"/>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序号</w:t>
            </w:r>
          </w:p>
        </w:tc>
        <w:tc>
          <w:tcPr>
            <w:tcW w:w="5465" w:type="dxa"/>
          </w:tcPr>
          <w:p w14:paraId="75406B33">
            <w:pPr>
              <w:snapToGrid w:val="0"/>
              <w:spacing w:line="360" w:lineRule="auto"/>
              <w:jc w:val="center"/>
              <w:rPr>
                <w:rFonts w:hint="eastAsia" w:ascii="宋体" w:hAnsi="宋体" w:eastAsia="宋体" w:cs="宋体"/>
                <w:b w:val="0"/>
                <w:bCs/>
                <w:color w:val="auto"/>
                <w:sz w:val="24"/>
                <w:highlight w:val="none"/>
                <w:vertAlign w:val="baseline"/>
              </w:rPr>
            </w:pPr>
            <w:r>
              <w:rPr>
                <w:rFonts w:hint="eastAsia" w:ascii="宋体" w:hAnsi="宋体" w:eastAsia="宋体" w:cs="宋体"/>
                <w:b w:val="0"/>
                <w:bCs/>
                <w:color w:val="auto"/>
                <w:sz w:val="24"/>
                <w:highlight w:val="none"/>
              </w:rPr>
              <w:t>投标文件中评标标准相应的商务技术资料目录*</w:t>
            </w:r>
          </w:p>
        </w:tc>
        <w:tc>
          <w:tcPr>
            <w:tcW w:w="3046" w:type="dxa"/>
          </w:tcPr>
          <w:p w14:paraId="3C19FAE4">
            <w:pPr>
              <w:snapToGrid w:val="0"/>
              <w:spacing w:line="240" w:lineRule="atLeast"/>
              <w:jc w:val="center"/>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val="0"/>
                <w:bCs/>
                <w:color w:val="auto"/>
                <w:sz w:val="24"/>
                <w:highlight w:val="none"/>
              </w:rPr>
              <w:t>投标文件中的页码位置</w:t>
            </w:r>
          </w:p>
        </w:tc>
      </w:tr>
      <w:tr w14:paraId="7AF3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072D6DB9">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val="0"/>
                <w:bCs/>
                <w:color w:val="auto"/>
                <w:sz w:val="24"/>
                <w:highlight w:val="none"/>
                <w:vertAlign w:val="baseline"/>
                <w:lang w:val="en-US" w:eastAsia="zh-CN"/>
              </w:rPr>
              <w:t>1</w:t>
            </w:r>
          </w:p>
        </w:tc>
        <w:tc>
          <w:tcPr>
            <w:tcW w:w="5465" w:type="dxa"/>
          </w:tcPr>
          <w:p w14:paraId="0EE45CC0">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val="0"/>
                <w:bCs/>
                <w:color w:val="auto"/>
                <w:sz w:val="24"/>
                <w:highlight w:val="none"/>
                <w:vertAlign w:val="baseline"/>
                <w:lang w:val="en-US" w:eastAsia="zh-CN"/>
              </w:rPr>
              <w:t>XXX（预先填写）</w:t>
            </w:r>
          </w:p>
        </w:tc>
        <w:tc>
          <w:tcPr>
            <w:tcW w:w="3046" w:type="dxa"/>
          </w:tcPr>
          <w:p w14:paraId="04FF8365">
            <w:pPr>
              <w:snapToGrid/>
              <w:spacing w:line="240" w:lineRule="auto"/>
              <w:jc w:val="center"/>
              <w:rPr>
                <w:rFonts w:hint="eastAsia" w:ascii="宋体" w:hAnsi="宋体" w:eastAsia="宋体" w:cs="宋体"/>
                <w:b w:val="0"/>
                <w:bCs/>
                <w:color w:val="auto"/>
                <w:sz w:val="24"/>
                <w:highlight w:val="none"/>
                <w:vertAlign w:val="baseli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31CF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14263CF1">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val="0"/>
                <w:bCs/>
                <w:color w:val="auto"/>
                <w:sz w:val="24"/>
                <w:highlight w:val="none"/>
                <w:vertAlign w:val="baseline"/>
                <w:lang w:val="en-US" w:eastAsia="zh-CN"/>
              </w:rPr>
              <w:t>2</w:t>
            </w:r>
          </w:p>
        </w:tc>
        <w:tc>
          <w:tcPr>
            <w:tcW w:w="5465" w:type="dxa"/>
          </w:tcPr>
          <w:p w14:paraId="180AC06F">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val="0"/>
                <w:bCs/>
                <w:color w:val="auto"/>
                <w:sz w:val="24"/>
                <w:highlight w:val="none"/>
                <w:vertAlign w:val="baseline"/>
                <w:lang w:val="en-US" w:eastAsia="zh-CN"/>
              </w:rPr>
              <w:t>XXX</w:t>
            </w:r>
          </w:p>
        </w:tc>
        <w:tc>
          <w:tcPr>
            <w:tcW w:w="3046" w:type="dxa"/>
          </w:tcPr>
          <w:p w14:paraId="5C1B3769">
            <w:pPr>
              <w:snapToGrid/>
              <w:spacing w:line="240" w:lineRule="auto"/>
              <w:jc w:val="center"/>
              <w:rPr>
                <w:rFonts w:hint="eastAsia" w:ascii="宋体" w:hAnsi="宋体" w:eastAsia="宋体" w:cs="宋体"/>
                <w:b w:val="0"/>
                <w:bCs/>
                <w:color w:val="auto"/>
                <w:sz w:val="24"/>
                <w:highlight w:val="none"/>
                <w:vertAlign w:val="baseli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19FD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83B1426">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color w:val="auto"/>
                <w:kern w:val="0"/>
                <w:sz w:val="24"/>
                <w:highlight w:val="none"/>
              </w:rPr>
              <w:t>……</w:t>
            </w:r>
          </w:p>
        </w:tc>
        <w:tc>
          <w:tcPr>
            <w:tcW w:w="5465" w:type="dxa"/>
          </w:tcPr>
          <w:p w14:paraId="76A30D8D">
            <w:pPr>
              <w:snapToGrid w:val="0"/>
              <w:spacing w:line="360" w:lineRule="auto"/>
              <w:jc w:val="center"/>
              <w:rPr>
                <w:rFonts w:hint="eastAsia" w:ascii="宋体" w:hAnsi="宋体" w:eastAsia="宋体" w:cs="宋体"/>
                <w:b w:val="0"/>
                <w:bCs/>
                <w:color w:val="auto"/>
                <w:sz w:val="24"/>
                <w:highlight w:val="none"/>
                <w:vertAlign w:val="baseline"/>
              </w:rPr>
            </w:pPr>
          </w:p>
        </w:tc>
        <w:tc>
          <w:tcPr>
            <w:tcW w:w="3046" w:type="dxa"/>
          </w:tcPr>
          <w:p w14:paraId="3F5AB342">
            <w:pPr>
              <w:snapToGrid/>
              <w:spacing w:line="240" w:lineRule="auto"/>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bl>
    <w:p w14:paraId="42466B0E">
      <w:pPr>
        <w:pStyle w:val="81"/>
        <w:rPr>
          <w:rFonts w:hint="eastAsia" w:ascii="宋体" w:hAnsi="宋体" w:eastAsia="宋体" w:cs="宋体"/>
          <w:color w:val="auto"/>
          <w:highlight w:val="none"/>
        </w:rPr>
      </w:pPr>
    </w:p>
    <w:p w14:paraId="5EE14287">
      <w:pPr>
        <w:jc w:val="center"/>
        <w:rPr>
          <w:rFonts w:hint="eastAsia" w:ascii="宋体" w:hAnsi="宋体" w:eastAsia="宋体" w:cs="宋体"/>
          <w:b/>
          <w:color w:val="auto"/>
          <w:kern w:val="0"/>
          <w:sz w:val="32"/>
          <w:szCs w:val="32"/>
          <w:highlight w:val="none"/>
        </w:rPr>
      </w:pPr>
    </w:p>
    <w:p w14:paraId="15E92740">
      <w:pPr>
        <w:jc w:val="center"/>
        <w:rPr>
          <w:rFonts w:hint="eastAsia" w:ascii="宋体" w:hAnsi="宋体" w:eastAsia="宋体" w:cs="宋体"/>
          <w:b/>
          <w:color w:val="auto"/>
          <w:kern w:val="0"/>
          <w:sz w:val="32"/>
          <w:szCs w:val="32"/>
          <w:highlight w:val="none"/>
        </w:rPr>
      </w:pPr>
    </w:p>
    <w:p w14:paraId="2ED322B6">
      <w:pPr>
        <w:jc w:val="center"/>
        <w:rPr>
          <w:rFonts w:hint="eastAsia" w:ascii="宋体" w:hAnsi="宋体" w:eastAsia="宋体" w:cs="宋体"/>
          <w:b/>
          <w:color w:val="auto"/>
          <w:kern w:val="0"/>
          <w:sz w:val="32"/>
          <w:szCs w:val="32"/>
          <w:highlight w:val="none"/>
        </w:rPr>
      </w:pPr>
    </w:p>
    <w:p w14:paraId="6E55E80F">
      <w:pPr>
        <w:ind w:firstLine="2891" w:firstLineChars="90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24056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BFBE09D">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06148F1C">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494A7CA6">
            <w:pPr>
              <w:spacing w:line="360" w:lineRule="auto"/>
              <w:jc w:val="center"/>
              <w:rPr>
                <w:rFonts w:hint="eastAsia" w:ascii="宋体" w:hAnsi="宋体" w:eastAsia="宋体" w:cs="宋体"/>
                <w:b/>
                <w:color w:val="auto"/>
                <w:sz w:val="24"/>
                <w:highlight w:val="none"/>
              </w:rPr>
            </w:pPr>
          </w:p>
          <w:p w14:paraId="335C6D63">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73611643">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76628FB6">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3AF9E21B">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w:t>
            </w:r>
          </w:p>
        </w:tc>
      </w:tr>
      <w:tr w14:paraId="2D67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42E250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2B1E2AF2">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6B3752EC">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907BEB7">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522F9D39">
            <w:pPr>
              <w:spacing w:line="36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2FD77F02">
            <w:pPr>
              <w:spacing w:line="360" w:lineRule="auto"/>
              <w:jc w:val="center"/>
              <w:rPr>
                <w:rFonts w:hint="eastAsia" w:ascii="宋体" w:hAnsi="宋体" w:eastAsia="宋体" w:cs="宋体"/>
                <w:color w:val="auto"/>
                <w:sz w:val="24"/>
                <w:highlight w:val="none"/>
              </w:rPr>
            </w:pPr>
          </w:p>
        </w:tc>
      </w:tr>
      <w:tr w14:paraId="2788F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954FD5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1AAE4418">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305FAD45">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C152C2D">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EAF238B">
            <w:pPr>
              <w:spacing w:line="36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02982A34">
            <w:pPr>
              <w:spacing w:line="360" w:lineRule="auto"/>
              <w:jc w:val="center"/>
              <w:rPr>
                <w:rFonts w:hint="eastAsia" w:ascii="宋体" w:hAnsi="宋体" w:eastAsia="宋体" w:cs="宋体"/>
                <w:color w:val="auto"/>
                <w:sz w:val="24"/>
                <w:highlight w:val="none"/>
              </w:rPr>
            </w:pPr>
          </w:p>
        </w:tc>
      </w:tr>
      <w:tr w14:paraId="2059C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3789609">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6B1573A3">
            <w:pPr>
              <w:snapToGrid w:val="0"/>
              <w:spacing w:line="360" w:lineRule="auto"/>
              <w:jc w:val="center"/>
              <w:rPr>
                <w:rFonts w:hint="eastAsia" w:ascii="宋体" w:hAnsi="宋体" w:eastAsia="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221130E8">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211846B">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6FF83B99">
            <w:pPr>
              <w:spacing w:line="36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27B50FC">
            <w:pPr>
              <w:spacing w:line="360" w:lineRule="auto"/>
              <w:jc w:val="center"/>
              <w:rPr>
                <w:rFonts w:hint="eastAsia" w:ascii="宋体" w:hAnsi="宋体" w:eastAsia="宋体" w:cs="宋体"/>
                <w:color w:val="auto"/>
                <w:sz w:val="24"/>
                <w:highlight w:val="none"/>
              </w:rPr>
            </w:pPr>
          </w:p>
        </w:tc>
      </w:tr>
    </w:tbl>
    <w:p w14:paraId="234A2009">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08604B20">
      <w:pPr>
        <w:jc w:val="center"/>
        <w:rPr>
          <w:rFonts w:hint="eastAsia" w:ascii="宋体" w:hAnsi="宋体" w:eastAsia="宋体" w:cs="宋体"/>
          <w:b/>
          <w:color w:val="auto"/>
          <w:kern w:val="0"/>
          <w:sz w:val="32"/>
          <w:szCs w:val="32"/>
          <w:highlight w:val="none"/>
        </w:rPr>
      </w:pPr>
    </w:p>
    <w:p w14:paraId="2C4F6974">
      <w:pPr>
        <w:jc w:val="center"/>
        <w:rPr>
          <w:rFonts w:hint="eastAsia" w:ascii="宋体" w:hAnsi="宋体" w:eastAsia="宋体" w:cs="宋体"/>
          <w:b/>
          <w:color w:val="auto"/>
          <w:kern w:val="0"/>
          <w:sz w:val="32"/>
          <w:szCs w:val="32"/>
          <w:highlight w:val="none"/>
        </w:rPr>
      </w:pPr>
    </w:p>
    <w:p w14:paraId="275D3EE4">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七、商务技术偏离表</w:t>
      </w:r>
    </w:p>
    <w:tbl>
      <w:tblPr>
        <w:tblStyle w:val="63"/>
        <w:tblW w:w="9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102"/>
        <w:gridCol w:w="1088"/>
      </w:tblGrid>
      <w:tr w14:paraId="44AC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336E666">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3180" w:type="dxa"/>
          </w:tcPr>
          <w:p w14:paraId="11F1EE15">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招标文件章节及具体内容</w:t>
            </w:r>
          </w:p>
        </w:tc>
        <w:tc>
          <w:tcPr>
            <w:tcW w:w="3062" w:type="dxa"/>
          </w:tcPr>
          <w:p w14:paraId="466127C3">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投标文件章节及具体内容</w:t>
            </w:r>
          </w:p>
        </w:tc>
        <w:tc>
          <w:tcPr>
            <w:tcW w:w="1102" w:type="dxa"/>
          </w:tcPr>
          <w:p w14:paraId="09E66BBB">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偏离说明</w:t>
            </w:r>
          </w:p>
        </w:tc>
        <w:tc>
          <w:tcPr>
            <w:tcW w:w="1088" w:type="dxa"/>
          </w:tcPr>
          <w:p w14:paraId="517BF2A4">
            <w:pPr>
              <w:jc w:val="center"/>
              <w:rPr>
                <w:rFonts w:hint="eastAsia" w:ascii="宋体" w:hAnsi="宋体" w:eastAsia="宋体" w:cs="宋体"/>
                <w:b/>
                <w:bCs/>
                <w:color w:val="auto"/>
                <w:sz w:val="24"/>
                <w:highlight w:val="none"/>
                <w:lang w:eastAsia="zh-CN"/>
              </w:rPr>
            </w:pPr>
          </w:p>
        </w:tc>
      </w:tr>
      <w:tr w14:paraId="1092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1165013">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180" w:type="dxa"/>
          </w:tcPr>
          <w:p w14:paraId="2B67CE56">
            <w:pPr>
              <w:jc w:val="center"/>
              <w:rPr>
                <w:rFonts w:hint="eastAsia" w:ascii="宋体" w:hAnsi="宋体" w:eastAsia="宋体" w:cs="宋体"/>
                <w:b/>
                <w:color w:val="auto"/>
                <w:kern w:val="0"/>
                <w:sz w:val="32"/>
                <w:szCs w:val="32"/>
                <w:highlight w:val="none"/>
              </w:rPr>
            </w:pPr>
          </w:p>
        </w:tc>
        <w:tc>
          <w:tcPr>
            <w:tcW w:w="3062" w:type="dxa"/>
          </w:tcPr>
          <w:p w14:paraId="04C3F373">
            <w:pPr>
              <w:jc w:val="center"/>
              <w:rPr>
                <w:rFonts w:hint="eastAsia" w:ascii="宋体" w:hAnsi="宋体" w:eastAsia="宋体" w:cs="宋体"/>
                <w:b/>
                <w:color w:val="auto"/>
                <w:kern w:val="0"/>
                <w:sz w:val="32"/>
                <w:szCs w:val="32"/>
                <w:highlight w:val="none"/>
              </w:rPr>
            </w:pPr>
          </w:p>
        </w:tc>
        <w:tc>
          <w:tcPr>
            <w:tcW w:w="1102" w:type="dxa"/>
          </w:tcPr>
          <w:p w14:paraId="5D73D42D">
            <w:pPr>
              <w:jc w:val="center"/>
              <w:rPr>
                <w:rFonts w:hint="eastAsia" w:ascii="宋体" w:hAnsi="宋体" w:eastAsia="宋体" w:cs="宋体"/>
                <w:b/>
                <w:color w:val="auto"/>
                <w:kern w:val="0"/>
                <w:sz w:val="32"/>
                <w:szCs w:val="32"/>
                <w:highlight w:val="none"/>
              </w:rPr>
            </w:pPr>
          </w:p>
        </w:tc>
        <w:tc>
          <w:tcPr>
            <w:tcW w:w="1088" w:type="dxa"/>
          </w:tcPr>
          <w:p w14:paraId="6530EE4A">
            <w:pPr>
              <w:jc w:val="center"/>
              <w:rPr>
                <w:rFonts w:hint="eastAsia" w:ascii="宋体" w:hAnsi="宋体" w:eastAsia="宋体" w:cs="宋体"/>
                <w:b/>
                <w:color w:val="auto"/>
                <w:kern w:val="0"/>
                <w:sz w:val="32"/>
                <w:szCs w:val="32"/>
                <w:highlight w:val="none"/>
              </w:rPr>
            </w:pPr>
          </w:p>
        </w:tc>
      </w:tr>
      <w:tr w14:paraId="0AC3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D98A8F2">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180" w:type="dxa"/>
          </w:tcPr>
          <w:p w14:paraId="5BE689D4">
            <w:pPr>
              <w:jc w:val="center"/>
              <w:rPr>
                <w:rFonts w:hint="eastAsia" w:ascii="宋体" w:hAnsi="宋体" w:eastAsia="宋体" w:cs="宋体"/>
                <w:b/>
                <w:color w:val="auto"/>
                <w:kern w:val="0"/>
                <w:sz w:val="32"/>
                <w:szCs w:val="32"/>
                <w:highlight w:val="none"/>
              </w:rPr>
            </w:pPr>
          </w:p>
        </w:tc>
        <w:tc>
          <w:tcPr>
            <w:tcW w:w="3062" w:type="dxa"/>
          </w:tcPr>
          <w:p w14:paraId="191D43DB">
            <w:pPr>
              <w:jc w:val="center"/>
              <w:rPr>
                <w:rFonts w:hint="eastAsia" w:ascii="宋体" w:hAnsi="宋体" w:eastAsia="宋体" w:cs="宋体"/>
                <w:b/>
                <w:color w:val="auto"/>
                <w:kern w:val="0"/>
                <w:sz w:val="32"/>
                <w:szCs w:val="32"/>
                <w:highlight w:val="none"/>
              </w:rPr>
            </w:pPr>
          </w:p>
        </w:tc>
        <w:tc>
          <w:tcPr>
            <w:tcW w:w="1102" w:type="dxa"/>
          </w:tcPr>
          <w:p w14:paraId="6B66832E">
            <w:pPr>
              <w:jc w:val="center"/>
              <w:rPr>
                <w:rFonts w:hint="eastAsia" w:ascii="宋体" w:hAnsi="宋体" w:eastAsia="宋体" w:cs="宋体"/>
                <w:b/>
                <w:color w:val="auto"/>
                <w:kern w:val="0"/>
                <w:sz w:val="32"/>
                <w:szCs w:val="32"/>
                <w:highlight w:val="none"/>
              </w:rPr>
            </w:pPr>
          </w:p>
        </w:tc>
        <w:tc>
          <w:tcPr>
            <w:tcW w:w="1088" w:type="dxa"/>
          </w:tcPr>
          <w:p w14:paraId="3D32CEBD">
            <w:pPr>
              <w:jc w:val="center"/>
              <w:rPr>
                <w:rFonts w:hint="eastAsia" w:ascii="宋体" w:hAnsi="宋体" w:eastAsia="宋体" w:cs="宋体"/>
                <w:b/>
                <w:color w:val="auto"/>
                <w:kern w:val="0"/>
                <w:sz w:val="32"/>
                <w:szCs w:val="32"/>
                <w:highlight w:val="none"/>
              </w:rPr>
            </w:pPr>
          </w:p>
        </w:tc>
      </w:tr>
      <w:tr w14:paraId="5BCE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96BE33C">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180" w:type="dxa"/>
          </w:tcPr>
          <w:p w14:paraId="3EB36D6E">
            <w:pPr>
              <w:jc w:val="center"/>
              <w:rPr>
                <w:rFonts w:hint="eastAsia" w:ascii="宋体" w:hAnsi="宋体" w:eastAsia="宋体" w:cs="宋体"/>
                <w:b/>
                <w:color w:val="auto"/>
                <w:kern w:val="0"/>
                <w:sz w:val="32"/>
                <w:szCs w:val="32"/>
                <w:highlight w:val="none"/>
              </w:rPr>
            </w:pPr>
          </w:p>
        </w:tc>
        <w:tc>
          <w:tcPr>
            <w:tcW w:w="3062" w:type="dxa"/>
          </w:tcPr>
          <w:p w14:paraId="11A80FB7">
            <w:pPr>
              <w:jc w:val="center"/>
              <w:rPr>
                <w:rFonts w:hint="eastAsia" w:ascii="宋体" w:hAnsi="宋体" w:eastAsia="宋体" w:cs="宋体"/>
                <w:b/>
                <w:color w:val="auto"/>
                <w:kern w:val="0"/>
                <w:sz w:val="32"/>
                <w:szCs w:val="32"/>
                <w:highlight w:val="none"/>
              </w:rPr>
            </w:pPr>
          </w:p>
        </w:tc>
        <w:tc>
          <w:tcPr>
            <w:tcW w:w="1102" w:type="dxa"/>
          </w:tcPr>
          <w:p w14:paraId="4D902A82">
            <w:pPr>
              <w:jc w:val="center"/>
              <w:rPr>
                <w:rFonts w:hint="eastAsia" w:ascii="宋体" w:hAnsi="宋体" w:eastAsia="宋体" w:cs="宋体"/>
                <w:b/>
                <w:color w:val="auto"/>
                <w:kern w:val="0"/>
                <w:sz w:val="32"/>
                <w:szCs w:val="32"/>
                <w:highlight w:val="none"/>
              </w:rPr>
            </w:pPr>
          </w:p>
        </w:tc>
        <w:tc>
          <w:tcPr>
            <w:tcW w:w="1088" w:type="dxa"/>
          </w:tcPr>
          <w:p w14:paraId="2DED68B0">
            <w:pPr>
              <w:jc w:val="center"/>
              <w:rPr>
                <w:rFonts w:hint="eastAsia" w:ascii="宋体" w:hAnsi="宋体" w:eastAsia="宋体" w:cs="宋体"/>
                <w:b/>
                <w:color w:val="auto"/>
                <w:kern w:val="0"/>
                <w:sz w:val="32"/>
                <w:szCs w:val="32"/>
                <w:highlight w:val="none"/>
              </w:rPr>
            </w:pPr>
          </w:p>
        </w:tc>
      </w:tr>
    </w:tbl>
    <w:p w14:paraId="28CA70CA">
      <w:pPr>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投标人保证：除商务技术偏离表列出的偏离外，投标人响应招标文件的全部要求</w:t>
      </w:r>
    </w:p>
    <w:p w14:paraId="1563ADDE">
      <w:pPr>
        <w:jc w:val="center"/>
        <w:rPr>
          <w:rFonts w:hint="eastAsia" w:ascii="宋体" w:hAnsi="宋体" w:eastAsia="宋体" w:cs="宋体"/>
          <w:b/>
          <w:color w:val="auto"/>
          <w:kern w:val="0"/>
          <w:sz w:val="32"/>
          <w:szCs w:val="32"/>
          <w:highlight w:val="none"/>
        </w:rPr>
      </w:pPr>
    </w:p>
    <w:p w14:paraId="46CD26E6">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0C1333D8">
      <w:pPr>
        <w:pStyle w:val="81"/>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2.本表格所反映的偏离情况与“符合性审查资料”、“评标标准相应的商务技术资料”不一致的，以“符合性审查资料”、“评标标准相应的商务技术资料”为准。</w:t>
      </w:r>
    </w:p>
    <w:p w14:paraId="437BE8D4">
      <w:pPr>
        <w:pStyle w:val="81"/>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3.投标人须保证：除商务技术偏离表列出的偏离外，投标人响应招标文件的全部非实质性要求。</w:t>
      </w:r>
    </w:p>
    <w:p w14:paraId="5F1E0DC7">
      <w:pPr>
        <w:pStyle w:val="81"/>
        <w:rPr>
          <w:rFonts w:hint="eastAsia" w:ascii="宋体" w:hAnsi="宋体" w:eastAsia="宋体" w:cs="宋体"/>
          <w:color w:val="auto"/>
          <w:highlight w:val="none"/>
          <w:lang w:val="en-US" w:eastAsia="zh-CN"/>
        </w:rPr>
      </w:pPr>
    </w:p>
    <w:p w14:paraId="0E9929B3">
      <w:pPr>
        <w:ind w:firstLine="1911" w:firstLineChars="595"/>
        <w:rPr>
          <w:rFonts w:hint="eastAsia" w:ascii="宋体" w:hAnsi="宋体" w:eastAsia="宋体" w:cs="宋体"/>
          <w:b/>
          <w:bCs/>
          <w:color w:val="auto"/>
          <w:sz w:val="32"/>
          <w:szCs w:val="32"/>
          <w:highlight w:val="none"/>
        </w:rPr>
      </w:pPr>
    </w:p>
    <w:p w14:paraId="7A82CC23">
      <w:pPr>
        <w:ind w:firstLine="1911" w:firstLineChars="595"/>
        <w:rPr>
          <w:rFonts w:hint="eastAsia" w:ascii="宋体" w:hAnsi="宋体" w:eastAsia="宋体" w:cs="宋体"/>
          <w:b/>
          <w:bCs/>
          <w:color w:val="auto"/>
          <w:sz w:val="32"/>
          <w:szCs w:val="32"/>
          <w:highlight w:val="none"/>
        </w:rPr>
      </w:pPr>
    </w:p>
    <w:p w14:paraId="64D3BD05">
      <w:pPr>
        <w:ind w:firstLine="1911" w:firstLineChars="595"/>
        <w:rPr>
          <w:rFonts w:hint="eastAsia" w:ascii="宋体" w:hAnsi="宋体" w:eastAsia="宋体" w:cs="宋体"/>
          <w:b/>
          <w:bCs/>
          <w:color w:val="auto"/>
          <w:sz w:val="32"/>
          <w:szCs w:val="32"/>
          <w:highlight w:val="none"/>
        </w:rPr>
      </w:pPr>
    </w:p>
    <w:p w14:paraId="55D2F524">
      <w:pPr>
        <w:ind w:firstLine="1911" w:firstLineChars="595"/>
        <w:rPr>
          <w:rFonts w:hint="eastAsia" w:ascii="宋体" w:hAnsi="宋体" w:eastAsia="宋体" w:cs="宋体"/>
          <w:b/>
          <w:bCs/>
          <w:color w:val="auto"/>
          <w:sz w:val="32"/>
          <w:szCs w:val="32"/>
          <w:highlight w:val="none"/>
        </w:rPr>
      </w:pPr>
    </w:p>
    <w:p w14:paraId="53679451">
      <w:pPr>
        <w:ind w:firstLine="1911" w:firstLineChars="595"/>
        <w:rPr>
          <w:rFonts w:hint="eastAsia" w:ascii="宋体" w:hAnsi="宋体" w:eastAsia="宋体" w:cs="宋体"/>
          <w:b/>
          <w:bCs/>
          <w:color w:val="auto"/>
          <w:sz w:val="32"/>
          <w:szCs w:val="32"/>
          <w:highlight w:val="none"/>
        </w:rPr>
      </w:pPr>
    </w:p>
    <w:p w14:paraId="68D87A01">
      <w:pPr>
        <w:widowControl/>
        <w:adjustRightInd/>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42470B42">
      <w:pPr>
        <w:ind w:firstLine="1911" w:firstLineChars="595"/>
        <w:rPr>
          <w:rFonts w:hint="eastAsia" w:ascii="宋体" w:hAnsi="宋体" w:eastAsia="宋体" w:cs="宋体"/>
          <w:b/>
          <w:color w:val="auto"/>
          <w:kern w:val="0"/>
          <w:sz w:val="32"/>
          <w:szCs w:val="32"/>
          <w:highlight w:val="none"/>
        </w:rPr>
      </w:pPr>
      <w:r>
        <w:rPr>
          <w:rFonts w:hint="eastAsia" w:ascii="宋体" w:hAnsi="宋体" w:eastAsia="宋体" w:cs="宋体"/>
          <w:b/>
          <w:bCs/>
          <w:color w:val="auto"/>
          <w:sz w:val="32"/>
          <w:szCs w:val="32"/>
          <w:highlight w:val="none"/>
        </w:rPr>
        <w:t>八</w:t>
      </w:r>
      <w:r>
        <w:rPr>
          <w:rFonts w:hint="eastAsia" w:ascii="宋体" w:hAnsi="宋体" w:eastAsia="宋体" w:cs="宋体"/>
          <w:b/>
          <w:color w:val="auto"/>
          <w:kern w:val="0"/>
          <w:sz w:val="32"/>
          <w:szCs w:val="32"/>
          <w:highlight w:val="none"/>
        </w:rPr>
        <w:t>、</w:t>
      </w:r>
      <w:r>
        <w:rPr>
          <w:rFonts w:hint="eastAsia" w:ascii="宋体" w:hAnsi="宋体" w:eastAsia="宋体" w:cs="宋体"/>
          <w:b/>
          <w:color w:val="auto"/>
          <w:kern w:val="0"/>
          <w:sz w:val="32"/>
          <w:szCs w:val="32"/>
          <w:highlight w:val="none"/>
          <w:lang w:val="zh-CN"/>
        </w:rPr>
        <w:t>政府采购供应商廉洁自律承诺书</w:t>
      </w:r>
    </w:p>
    <w:p w14:paraId="3058E808">
      <w:pPr>
        <w:snapToGrid w:val="0"/>
        <w:spacing w:line="360" w:lineRule="auto"/>
        <w:rPr>
          <w:rFonts w:hint="eastAsia" w:ascii="宋体" w:hAnsi="宋体" w:eastAsia="宋体" w:cs="宋体"/>
          <w:color w:val="auto"/>
          <w:sz w:val="24"/>
          <w:highlight w:val="none"/>
        </w:rPr>
      </w:pPr>
    </w:p>
    <w:p w14:paraId="5CED0944">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杭州第九中学树范学校</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浙江豪圣建设项目管理有限公司</w:t>
      </w:r>
      <w:r>
        <w:rPr>
          <w:rFonts w:hint="eastAsia" w:ascii="宋体" w:hAnsi="宋体" w:eastAsia="宋体" w:cs="宋体"/>
          <w:color w:val="auto"/>
          <w:kern w:val="0"/>
          <w:sz w:val="24"/>
          <w:highlight w:val="none"/>
          <w:lang w:val="zh-CN"/>
        </w:rPr>
        <w:t>：</w:t>
      </w:r>
    </w:p>
    <w:p w14:paraId="2AC8C0A8">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项目招标要求参加投标。在这次投标过程中和中标后，我们将严格遵守国家法律法规要求，并郑重承诺：</w:t>
      </w:r>
    </w:p>
    <w:p w14:paraId="6D64A55E">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一、不向项目有关人员及部门赠送礼金礼物、有价证券、回扣以及中介费、介绍费、咨询费等好处费； </w:t>
      </w:r>
    </w:p>
    <w:p w14:paraId="6E6A4A4E">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二、不为项目有关人员及部门报销应由你方单位或个人支付的费用； </w:t>
      </w:r>
    </w:p>
    <w:p w14:paraId="591BCA2C">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三、不向项目有关人员及部门提供有可能影响公正的宴请和健身娱乐等活动； </w:t>
      </w:r>
    </w:p>
    <w:p w14:paraId="00E75816">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14:paraId="7E9D88B7">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w:t>
      </w:r>
    </w:p>
    <w:p w14:paraId="37E1C55E">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好处；</w:t>
      </w:r>
    </w:p>
    <w:p w14:paraId="31D4B123">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六、严格遵守《</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政府采购法》《</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招标投标</w:t>
      </w:r>
    </w:p>
    <w:p w14:paraId="47B493C1">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法》</w:t>
      </w:r>
      <w:r>
        <w:rPr>
          <w:rFonts w:hint="eastAsia" w:ascii="宋体" w:hAnsi="宋体" w:eastAsia="宋体" w:cs="宋体"/>
          <w:color w:val="auto"/>
          <w:sz w:val="24"/>
          <w:highlight w:val="none"/>
          <w:lang w:val="zh-CN"/>
        </w:rPr>
        <w:t>《中华人民共和国民法典》</w:t>
      </w:r>
      <w:r>
        <w:rPr>
          <w:rFonts w:hint="eastAsia" w:ascii="宋体" w:hAnsi="宋体" w:eastAsia="宋体" w:cs="宋体"/>
          <w:color w:val="auto"/>
          <w:kern w:val="0"/>
          <w:sz w:val="24"/>
          <w:highlight w:val="none"/>
          <w:lang w:val="zh-CN"/>
        </w:rPr>
        <w:t xml:space="preserve">等法律法规，诚实守信，合法经营，坚决抵制各种违法违纪行为。 </w:t>
      </w:r>
    </w:p>
    <w:p w14:paraId="2CCA20BF">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有权立即取消我单位投标、中标或在建项目的建设资格，有权拒绝我单位在一定时期内进入你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进行项目建设或其他经营活动，并通报市财政局。由此引起的相应损失均由我单位承担。</w:t>
      </w:r>
    </w:p>
    <w:p w14:paraId="39519710">
      <w:pPr>
        <w:autoSpaceDE w:val="0"/>
        <w:autoSpaceDN w:val="0"/>
        <w:spacing w:line="360" w:lineRule="auto"/>
        <w:ind w:left="2"/>
        <w:jc w:val="left"/>
        <w:rPr>
          <w:rFonts w:hint="eastAsia" w:ascii="宋体" w:hAnsi="宋体" w:eastAsia="宋体" w:cs="宋体"/>
          <w:color w:val="auto"/>
          <w:kern w:val="0"/>
          <w:sz w:val="24"/>
          <w:highlight w:val="none"/>
          <w:lang w:val="zh-CN"/>
        </w:rPr>
      </w:pPr>
    </w:p>
    <w:p w14:paraId="7112641E">
      <w:pPr>
        <w:autoSpaceDE w:val="0"/>
        <w:autoSpaceDN w:val="0"/>
        <w:spacing w:line="360" w:lineRule="auto"/>
        <w:ind w:left="2"/>
        <w:jc w:val="left"/>
        <w:rPr>
          <w:rFonts w:hint="eastAsia" w:ascii="宋体" w:hAnsi="宋体" w:eastAsia="宋体" w:cs="宋体"/>
          <w:color w:val="auto"/>
          <w:kern w:val="0"/>
          <w:sz w:val="24"/>
          <w:highlight w:val="none"/>
          <w:lang w:val="zh-CN"/>
        </w:rPr>
      </w:pPr>
    </w:p>
    <w:p w14:paraId="709F431E">
      <w:pPr>
        <w:autoSpaceDE w:val="0"/>
        <w:autoSpaceDN w:val="0"/>
        <w:spacing w:line="360" w:lineRule="auto"/>
        <w:ind w:left="2"/>
        <w:jc w:val="left"/>
        <w:rPr>
          <w:rFonts w:hint="eastAsia" w:ascii="宋体" w:hAnsi="宋体" w:eastAsia="宋体" w:cs="宋体"/>
          <w:color w:val="auto"/>
          <w:kern w:val="0"/>
          <w:sz w:val="24"/>
          <w:highlight w:val="none"/>
          <w:lang w:val="zh-CN"/>
        </w:rPr>
      </w:pPr>
    </w:p>
    <w:p w14:paraId="2DEAE965">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投标人名称（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 xml:space="preserve">）：                                                                                                                                                                                                               </w:t>
      </w:r>
    </w:p>
    <w:p w14:paraId="05F3FF72">
      <w:pPr>
        <w:spacing w:line="360" w:lineRule="auto"/>
        <w:ind w:left="4620" w:leftChars="2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 xml:space="preserve">   年   月   日</w:t>
      </w:r>
    </w:p>
    <w:p w14:paraId="11FF3F00">
      <w:pPr>
        <w:spacing w:line="360" w:lineRule="auto"/>
        <w:jc w:val="center"/>
        <w:rPr>
          <w:rFonts w:hint="eastAsia" w:ascii="宋体" w:hAnsi="宋体" w:eastAsia="宋体" w:cs="宋体"/>
          <w:b/>
          <w:bCs/>
          <w:color w:val="auto"/>
          <w:sz w:val="24"/>
          <w:highlight w:val="none"/>
        </w:rPr>
      </w:pPr>
    </w:p>
    <w:p w14:paraId="02E2D37F">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025E2BA9">
      <w:pPr>
        <w:spacing w:line="360" w:lineRule="auto"/>
        <w:jc w:val="center"/>
        <w:rPr>
          <w:rFonts w:hint="eastAsia" w:ascii="宋体" w:hAnsi="宋体" w:eastAsia="宋体" w:cs="宋体"/>
          <w:b/>
          <w:bCs/>
          <w:color w:val="auto"/>
          <w:sz w:val="24"/>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14:paraId="761CF611">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报价文件部分</w:t>
      </w:r>
    </w:p>
    <w:p w14:paraId="025A260C">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758C2A24">
      <w:pPr>
        <w:spacing w:line="360" w:lineRule="auto"/>
        <w:jc w:val="center"/>
        <w:outlineLvl w:val="0"/>
        <w:rPr>
          <w:rFonts w:hint="eastAsia" w:ascii="宋体" w:hAnsi="宋体" w:eastAsia="宋体" w:cs="宋体"/>
          <w:b/>
          <w:color w:val="auto"/>
          <w:kern w:val="0"/>
          <w:sz w:val="36"/>
          <w:szCs w:val="36"/>
          <w:highlight w:val="none"/>
        </w:rPr>
      </w:pPr>
    </w:p>
    <w:p w14:paraId="73B9C6AD">
      <w:pPr>
        <w:numPr>
          <w:ilvl w:val="0"/>
          <w:numId w:val="12"/>
        </w:num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开标一览表（报价表）………………………………………………………（页码）</w:t>
      </w:r>
    </w:p>
    <w:p w14:paraId="77FC063A">
      <w:pPr>
        <w:snapToGrid w:val="0"/>
        <w:spacing w:line="360" w:lineRule="auto"/>
        <w:rPr>
          <w:rFonts w:hint="eastAsia" w:ascii="宋体" w:hAnsi="宋体" w:eastAsia="宋体" w:cs="宋体"/>
          <w:color w:val="auto"/>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highlight w:val="none"/>
        </w:rPr>
        <w:t>）</w:t>
      </w:r>
      <w:r>
        <w:rPr>
          <w:rFonts w:hint="eastAsia" w:ascii="宋体" w:hAnsi="宋体" w:eastAsia="宋体" w:cs="宋体"/>
          <w:b w:val="0"/>
          <w:bCs/>
          <w:snapToGrid w:val="0"/>
          <w:color w:val="auto"/>
          <w:kern w:val="2"/>
          <w:sz w:val="24"/>
          <w:szCs w:val="24"/>
          <w:highlight w:val="none"/>
          <w:lang w:val="en-US" w:eastAsia="zh-CN" w:bidi="ar-SA"/>
        </w:rPr>
        <w:t>报价情况说明</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（页码）</w:t>
      </w:r>
    </w:p>
    <w:p w14:paraId="68D65F1D">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）中小企业声明函………………………………………………………………（页码）</w:t>
      </w:r>
    </w:p>
    <w:p w14:paraId="4F78E9D1">
      <w:pPr>
        <w:pStyle w:val="82"/>
        <w:rPr>
          <w:rFonts w:hint="eastAsia" w:ascii="宋体" w:hAnsi="宋体" w:eastAsia="宋体" w:cs="宋体"/>
          <w:color w:val="auto"/>
          <w:highlight w:val="none"/>
        </w:rPr>
      </w:pPr>
    </w:p>
    <w:p w14:paraId="7226B3B4">
      <w:pPr>
        <w:snapToGrid w:val="0"/>
        <w:spacing w:line="360" w:lineRule="auto"/>
        <w:ind w:right="480"/>
        <w:jc w:val="center"/>
        <w:rPr>
          <w:rFonts w:hint="eastAsia" w:ascii="宋体" w:hAnsi="宋体" w:eastAsia="宋体" w:cs="宋体"/>
          <w:b/>
          <w:color w:val="auto"/>
          <w:kern w:val="0"/>
          <w:sz w:val="32"/>
          <w:szCs w:val="32"/>
          <w:highlight w:val="none"/>
        </w:rPr>
      </w:pPr>
    </w:p>
    <w:p w14:paraId="2114D7EB">
      <w:pPr>
        <w:snapToGrid w:val="0"/>
        <w:spacing w:line="360" w:lineRule="auto"/>
        <w:ind w:right="480"/>
        <w:jc w:val="center"/>
        <w:rPr>
          <w:rFonts w:hint="eastAsia" w:ascii="宋体" w:hAnsi="宋体" w:eastAsia="宋体" w:cs="宋体"/>
          <w:b/>
          <w:color w:val="auto"/>
          <w:kern w:val="0"/>
          <w:sz w:val="32"/>
          <w:szCs w:val="32"/>
          <w:highlight w:val="none"/>
        </w:rPr>
      </w:pPr>
    </w:p>
    <w:p w14:paraId="48216A67">
      <w:pPr>
        <w:snapToGrid w:val="0"/>
        <w:spacing w:line="360" w:lineRule="auto"/>
        <w:ind w:right="480"/>
        <w:jc w:val="center"/>
        <w:rPr>
          <w:rFonts w:hint="eastAsia" w:ascii="宋体" w:hAnsi="宋体" w:eastAsia="宋体" w:cs="宋体"/>
          <w:b/>
          <w:color w:val="auto"/>
          <w:kern w:val="0"/>
          <w:sz w:val="32"/>
          <w:szCs w:val="32"/>
          <w:highlight w:val="none"/>
        </w:rPr>
      </w:pPr>
    </w:p>
    <w:p w14:paraId="454CA73B">
      <w:pPr>
        <w:snapToGrid w:val="0"/>
        <w:spacing w:line="360" w:lineRule="auto"/>
        <w:ind w:right="480"/>
        <w:jc w:val="center"/>
        <w:rPr>
          <w:rFonts w:hint="eastAsia" w:ascii="宋体" w:hAnsi="宋体" w:eastAsia="宋体" w:cs="宋体"/>
          <w:b/>
          <w:color w:val="auto"/>
          <w:kern w:val="0"/>
          <w:sz w:val="32"/>
          <w:szCs w:val="32"/>
          <w:highlight w:val="none"/>
        </w:rPr>
      </w:pPr>
    </w:p>
    <w:p w14:paraId="392CCBBE">
      <w:pPr>
        <w:snapToGrid w:val="0"/>
        <w:spacing w:line="360" w:lineRule="auto"/>
        <w:ind w:right="480"/>
        <w:jc w:val="center"/>
        <w:rPr>
          <w:rFonts w:hint="eastAsia" w:ascii="宋体" w:hAnsi="宋体" w:eastAsia="宋体" w:cs="宋体"/>
          <w:b/>
          <w:color w:val="auto"/>
          <w:kern w:val="0"/>
          <w:sz w:val="32"/>
          <w:szCs w:val="32"/>
          <w:highlight w:val="none"/>
        </w:rPr>
      </w:pPr>
    </w:p>
    <w:p w14:paraId="4AE5D440">
      <w:pPr>
        <w:snapToGrid w:val="0"/>
        <w:spacing w:line="360" w:lineRule="auto"/>
        <w:ind w:right="480"/>
        <w:jc w:val="center"/>
        <w:rPr>
          <w:rFonts w:hint="eastAsia" w:ascii="宋体" w:hAnsi="宋体" w:eastAsia="宋体" w:cs="宋体"/>
          <w:b/>
          <w:color w:val="auto"/>
          <w:kern w:val="0"/>
          <w:sz w:val="32"/>
          <w:szCs w:val="32"/>
          <w:highlight w:val="none"/>
        </w:rPr>
      </w:pPr>
    </w:p>
    <w:p w14:paraId="22417879">
      <w:pPr>
        <w:snapToGrid w:val="0"/>
        <w:spacing w:line="360" w:lineRule="auto"/>
        <w:ind w:right="480"/>
        <w:jc w:val="center"/>
        <w:rPr>
          <w:rFonts w:hint="eastAsia" w:ascii="宋体" w:hAnsi="宋体" w:eastAsia="宋体" w:cs="宋体"/>
          <w:b/>
          <w:color w:val="auto"/>
          <w:kern w:val="0"/>
          <w:sz w:val="32"/>
          <w:szCs w:val="32"/>
          <w:highlight w:val="none"/>
        </w:rPr>
      </w:pPr>
    </w:p>
    <w:p w14:paraId="74BD176E">
      <w:pPr>
        <w:snapToGrid w:val="0"/>
        <w:spacing w:line="360" w:lineRule="auto"/>
        <w:ind w:right="480"/>
        <w:jc w:val="center"/>
        <w:rPr>
          <w:rFonts w:hint="eastAsia" w:ascii="宋体" w:hAnsi="宋体" w:eastAsia="宋体" w:cs="宋体"/>
          <w:b/>
          <w:color w:val="auto"/>
          <w:kern w:val="0"/>
          <w:sz w:val="32"/>
          <w:szCs w:val="32"/>
          <w:highlight w:val="none"/>
        </w:rPr>
      </w:pPr>
    </w:p>
    <w:p w14:paraId="3B3FD173">
      <w:pPr>
        <w:snapToGrid w:val="0"/>
        <w:spacing w:line="360" w:lineRule="auto"/>
        <w:ind w:right="480"/>
        <w:jc w:val="center"/>
        <w:rPr>
          <w:rFonts w:hint="eastAsia" w:ascii="宋体" w:hAnsi="宋体" w:eastAsia="宋体" w:cs="宋体"/>
          <w:b/>
          <w:color w:val="auto"/>
          <w:kern w:val="0"/>
          <w:sz w:val="32"/>
          <w:szCs w:val="32"/>
          <w:highlight w:val="none"/>
        </w:rPr>
      </w:pPr>
    </w:p>
    <w:p w14:paraId="08EB9058">
      <w:pPr>
        <w:snapToGrid w:val="0"/>
        <w:spacing w:line="360" w:lineRule="auto"/>
        <w:ind w:right="480"/>
        <w:jc w:val="center"/>
        <w:rPr>
          <w:rFonts w:hint="eastAsia" w:ascii="宋体" w:hAnsi="宋体" w:eastAsia="宋体" w:cs="宋体"/>
          <w:b/>
          <w:color w:val="auto"/>
          <w:kern w:val="0"/>
          <w:sz w:val="32"/>
          <w:szCs w:val="32"/>
          <w:highlight w:val="none"/>
        </w:rPr>
      </w:pPr>
    </w:p>
    <w:p w14:paraId="41D87E16">
      <w:pPr>
        <w:snapToGrid w:val="0"/>
        <w:spacing w:line="360" w:lineRule="auto"/>
        <w:ind w:right="480"/>
        <w:jc w:val="center"/>
        <w:rPr>
          <w:rFonts w:hint="eastAsia" w:ascii="宋体" w:hAnsi="宋体" w:eastAsia="宋体" w:cs="宋体"/>
          <w:b/>
          <w:color w:val="auto"/>
          <w:kern w:val="0"/>
          <w:sz w:val="32"/>
          <w:szCs w:val="32"/>
          <w:highlight w:val="none"/>
        </w:rPr>
      </w:pPr>
    </w:p>
    <w:p w14:paraId="51454AA0">
      <w:pPr>
        <w:snapToGrid w:val="0"/>
        <w:spacing w:line="360" w:lineRule="auto"/>
        <w:ind w:right="480"/>
        <w:jc w:val="center"/>
        <w:rPr>
          <w:rFonts w:hint="eastAsia" w:ascii="宋体" w:hAnsi="宋体" w:eastAsia="宋体" w:cs="宋体"/>
          <w:b/>
          <w:color w:val="auto"/>
          <w:kern w:val="0"/>
          <w:sz w:val="32"/>
          <w:szCs w:val="32"/>
          <w:highlight w:val="none"/>
        </w:rPr>
      </w:pPr>
    </w:p>
    <w:p w14:paraId="771ABF39">
      <w:pPr>
        <w:snapToGrid w:val="0"/>
        <w:spacing w:line="360" w:lineRule="auto"/>
        <w:ind w:right="480"/>
        <w:jc w:val="center"/>
        <w:rPr>
          <w:rFonts w:hint="eastAsia" w:ascii="宋体" w:hAnsi="宋体" w:eastAsia="宋体" w:cs="宋体"/>
          <w:b/>
          <w:color w:val="auto"/>
          <w:kern w:val="0"/>
          <w:sz w:val="32"/>
          <w:szCs w:val="32"/>
          <w:highlight w:val="none"/>
        </w:rPr>
      </w:pPr>
    </w:p>
    <w:p w14:paraId="70618418">
      <w:pPr>
        <w:snapToGrid w:val="0"/>
        <w:spacing w:line="360" w:lineRule="auto"/>
        <w:ind w:right="480"/>
        <w:jc w:val="center"/>
        <w:rPr>
          <w:rFonts w:hint="eastAsia" w:ascii="宋体" w:hAnsi="宋体" w:eastAsia="宋体" w:cs="宋体"/>
          <w:b/>
          <w:color w:val="auto"/>
          <w:kern w:val="0"/>
          <w:sz w:val="32"/>
          <w:szCs w:val="32"/>
          <w:highlight w:val="none"/>
        </w:rPr>
      </w:pPr>
    </w:p>
    <w:p w14:paraId="34E0D880">
      <w:pPr>
        <w:snapToGrid w:val="0"/>
        <w:spacing w:line="360" w:lineRule="auto"/>
        <w:ind w:right="480"/>
        <w:jc w:val="center"/>
        <w:rPr>
          <w:rFonts w:hint="eastAsia" w:ascii="宋体" w:hAnsi="宋体" w:eastAsia="宋体" w:cs="宋体"/>
          <w:b/>
          <w:color w:val="auto"/>
          <w:kern w:val="0"/>
          <w:sz w:val="32"/>
          <w:szCs w:val="32"/>
          <w:highlight w:val="none"/>
        </w:rPr>
      </w:pPr>
    </w:p>
    <w:p w14:paraId="672AF7CD">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21" w:type="first"/>
          <w:footerReference r:id="rId23" w:type="first"/>
          <w:headerReference r:id="rId20" w:type="default"/>
          <w:footerReference r:id="rId22" w:type="default"/>
          <w:pgSz w:w="11906" w:h="16838"/>
          <w:pgMar w:top="1276" w:right="1418" w:bottom="1247" w:left="1418" w:header="851" w:footer="992" w:gutter="0"/>
          <w:cols w:space="720" w:num="1"/>
          <w:titlePg/>
          <w:docGrid w:linePitch="312" w:charSpace="0"/>
        </w:sectPr>
      </w:pPr>
    </w:p>
    <w:p w14:paraId="5A0E8789">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33F95B5D">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eastAsia="zh-CN"/>
        </w:rPr>
        <w:t>杭州第九中学树范学校</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浙江豪圣建设项目管理有限公司</w:t>
      </w:r>
      <w:r>
        <w:rPr>
          <w:rFonts w:hint="eastAsia" w:ascii="宋体" w:hAnsi="宋体" w:eastAsia="宋体" w:cs="宋体"/>
          <w:color w:val="auto"/>
          <w:kern w:val="0"/>
          <w:sz w:val="24"/>
          <w:highlight w:val="none"/>
          <w:lang w:val="zh-CN"/>
        </w:rPr>
        <w:t>：</w:t>
      </w:r>
    </w:p>
    <w:p w14:paraId="319F7E96">
      <w:pPr>
        <w:snapToGrid w:val="0"/>
        <w:spacing w:line="360" w:lineRule="auto"/>
        <w:ind w:firstLine="482"/>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auto"/>
          <w:sz w:val="24"/>
          <w:highlight w:val="none"/>
          <w:lang w:eastAsia="zh-CN"/>
        </w:rPr>
        <w:t>杭州第九中学树范学校</w:t>
      </w:r>
      <w:r>
        <w:rPr>
          <w:rFonts w:hint="eastAsia" w:ascii="宋体" w:hAnsi="宋体" w:cs="宋体"/>
          <w:color w:val="auto"/>
          <w:sz w:val="24"/>
          <w:highlight w:val="none"/>
          <w:lang w:eastAsia="zh-CN"/>
        </w:rPr>
        <w:t>报告厅椅子采购</w:t>
      </w:r>
      <w:r>
        <w:rPr>
          <w:rFonts w:hint="eastAsia" w:ascii="宋体" w:hAnsi="宋体" w:eastAsia="宋体" w:cs="宋体"/>
          <w:color w:val="auto"/>
          <w:kern w:val="0"/>
          <w:sz w:val="24"/>
          <w:highlight w:val="none"/>
          <w:lang w:val="zh-CN"/>
        </w:rPr>
        <w:t>【招标编号：</w:t>
      </w:r>
      <w:r>
        <w:rPr>
          <w:rFonts w:hint="eastAsia" w:ascii="宋体" w:hAnsi="宋体" w:eastAsia="宋体" w:cs="宋体"/>
          <w:color w:val="auto"/>
          <w:sz w:val="24"/>
          <w:highlight w:val="none"/>
          <w:lang w:eastAsia="zh-CN"/>
        </w:rPr>
        <w:t>HSZB-2024-1478</w:t>
      </w:r>
      <w:r>
        <w:rPr>
          <w:rFonts w:hint="eastAsia" w:ascii="宋体" w:hAnsi="宋体" w:eastAsia="宋体" w:cs="宋体"/>
          <w:color w:val="auto"/>
          <w:sz w:val="24"/>
          <w:highlight w:val="none"/>
        </w:rPr>
        <w:t>】的实施</w:t>
      </w:r>
      <w:r>
        <w:rPr>
          <w:rFonts w:hint="eastAsia" w:ascii="宋体" w:hAnsi="宋体" w:eastAsia="宋体" w:cs="宋体"/>
          <w:color w:val="auto"/>
          <w:kern w:val="0"/>
          <w:sz w:val="24"/>
          <w:highlight w:val="none"/>
          <w:lang w:val="zh-CN"/>
        </w:rPr>
        <w:t>。</w:t>
      </w:r>
    </w:p>
    <w:p w14:paraId="23F95C74">
      <w:pPr>
        <w:spacing w:line="360" w:lineRule="auto"/>
        <w:jc w:val="center"/>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32D2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4600B130">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417" w:type="dxa"/>
            <w:vAlign w:val="center"/>
          </w:tcPr>
          <w:p w14:paraId="3916ABCB">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1843" w:type="dxa"/>
          </w:tcPr>
          <w:p w14:paraId="219DBCC8">
            <w:pPr>
              <w:spacing w:line="360" w:lineRule="auto"/>
              <w:jc w:val="center"/>
              <w:rPr>
                <w:rFonts w:hint="eastAsia" w:ascii="宋体" w:hAnsi="宋体" w:eastAsia="宋体" w:cs="宋体"/>
                <w:b/>
                <w:color w:val="auto"/>
                <w:sz w:val="24"/>
                <w:highlight w:val="none"/>
              </w:rPr>
            </w:pPr>
          </w:p>
          <w:p w14:paraId="67991D23">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品牌（如果有）</w:t>
            </w:r>
          </w:p>
        </w:tc>
        <w:tc>
          <w:tcPr>
            <w:tcW w:w="3118" w:type="dxa"/>
            <w:vAlign w:val="center"/>
          </w:tcPr>
          <w:p w14:paraId="271BA3F2">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规格型号</w:t>
            </w:r>
          </w:p>
        </w:tc>
        <w:tc>
          <w:tcPr>
            <w:tcW w:w="993" w:type="dxa"/>
            <w:vAlign w:val="center"/>
          </w:tcPr>
          <w:p w14:paraId="6B2C99E0">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559" w:type="dxa"/>
            <w:vAlign w:val="center"/>
          </w:tcPr>
          <w:p w14:paraId="5D3040DF">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单价</w:t>
            </w:r>
          </w:p>
        </w:tc>
        <w:tc>
          <w:tcPr>
            <w:tcW w:w="1984" w:type="dxa"/>
            <w:vAlign w:val="center"/>
          </w:tcPr>
          <w:p w14:paraId="061AF06C">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合计</w:t>
            </w:r>
          </w:p>
        </w:tc>
        <w:tc>
          <w:tcPr>
            <w:tcW w:w="3119" w:type="dxa"/>
            <w:vAlign w:val="center"/>
          </w:tcPr>
          <w:p w14:paraId="33116A66">
            <w:pPr>
              <w:spacing w:line="360" w:lineRule="auto"/>
              <w:jc w:val="center"/>
              <w:rPr>
                <w:rFonts w:hint="eastAsia" w:ascii="宋体" w:hAnsi="宋体" w:eastAsia="宋体" w:cs="宋体"/>
                <w:b/>
                <w:color w:val="auto"/>
                <w:sz w:val="24"/>
                <w:highlight w:val="none"/>
              </w:rPr>
            </w:pPr>
          </w:p>
          <w:p w14:paraId="3E9AA7D1">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备注（如果有）</w:t>
            </w:r>
          </w:p>
          <w:p w14:paraId="7E38D927">
            <w:pPr>
              <w:spacing w:line="360" w:lineRule="auto"/>
              <w:jc w:val="center"/>
              <w:rPr>
                <w:rFonts w:hint="eastAsia" w:ascii="宋体" w:hAnsi="宋体" w:eastAsia="宋体" w:cs="宋体"/>
                <w:b/>
                <w:color w:val="auto"/>
                <w:sz w:val="24"/>
                <w:highlight w:val="none"/>
              </w:rPr>
            </w:pPr>
          </w:p>
        </w:tc>
      </w:tr>
      <w:tr w14:paraId="5E73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8ED2D4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417" w:type="dxa"/>
            <w:vAlign w:val="center"/>
          </w:tcPr>
          <w:p w14:paraId="6EA4FBEA">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1843" w:type="dxa"/>
            <w:vAlign w:val="center"/>
          </w:tcPr>
          <w:p w14:paraId="1BF74EFA">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588E5B90">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581689DF">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5393C297">
            <w:pPr>
              <w:spacing w:line="360" w:lineRule="auto"/>
              <w:jc w:val="center"/>
              <w:rPr>
                <w:rFonts w:hint="eastAsia" w:ascii="宋体" w:hAnsi="宋体" w:eastAsia="宋体" w:cs="宋体"/>
                <w:color w:val="auto"/>
                <w:sz w:val="24"/>
                <w:highlight w:val="none"/>
              </w:rPr>
            </w:pPr>
          </w:p>
        </w:tc>
        <w:tc>
          <w:tcPr>
            <w:tcW w:w="1984" w:type="dxa"/>
            <w:vAlign w:val="center"/>
          </w:tcPr>
          <w:p w14:paraId="2BCB5D42">
            <w:pPr>
              <w:spacing w:line="360" w:lineRule="auto"/>
              <w:jc w:val="center"/>
              <w:rPr>
                <w:rFonts w:hint="eastAsia" w:ascii="宋体" w:hAnsi="宋体" w:eastAsia="宋体" w:cs="宋体"/>
                <w:color w:val="auto"/>
                <w:sz w:val="24"/>
                <w:highlight w:val="none"/>
              </w:rPr>
            </w:pPr>
          </w:p>
        </w:tc>
        <w:tc>
          <w:tcPr>
            <w:tcW w:w="3119" w:type="dxa"/>
            <w:vAlign w:val="center"/>
          </w:tcPr>
          <w:p w14:paraId="33FC0AC3">
            <w:pPr>
              <w:spacing w:line="360" w:lineRule="auto"/>
              <w:jc w:val="center"/>
              <w:rPr>
                <w:rFonts w:hint="eastAsia" w:ascii="宋体" w:hAnsi="宋体" w:eastAsia="宋体" w:cs="宋体"/>
                <w:color w:val="auto"/>
                <w:sz w:val="24"/>
                <w:highlight w:val="none"/>
              </w:rPr>
            </w:pPr>
          </w:p>
        </w:tc>
      </w:tr>
      <w:tr w14:paraId="7AFE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B4D2CE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417" w:type="dxa"/>
            <w:vAlign w:val="center"/>
          </w:tcPr>
          <w:p w14:paraId="790699E6">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1843" w:type="dxa"/>
            <w:vAlign w:val="center"/>
          </w:tcPr>
          <w:p w14:paraId="5F507E20">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6EDE8A65">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76492F5E">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26DA7DB1">
            <w:pPr>
              <w:spacing w:line="360" w:lineRule="auto"/>
              <w:jc w:val="center"/>
              <w:rPr>
                <w:rFonts w:hint="eastAsia" w:ascii="宋体" w:hAnsi="宋体" w:eastAsia="宋体" w:cs="宋体"/>
                <w:color w:val="auto"/>
                <w:sz w:val="24"/>
                <w:highlight w:val="none"/>
              </w:rPr>
            </w:pPr>
          </w:p>
        </w:tc>
        <w:tc>
          <w:tcPr>
            <w:tcW w:w="1984" w:type="dxa"/>
            <w:vAlign w:val="center"/>
          </w:tcPr>
          <w:p w14:paraId="19F17B9F">
            <w:pPr>
              <w:spacing w:line="360" w:lineRule="auto"/>
              <w:jc w:val="center"/>
              <w:rPr>
                <w:rFonts w:hint="eastAsia" w:ascii="宋体" w:hAnsi="宋体" w:eastAsia="宋体" w:cs="宋体"/>
                <w:color w:val="auto"/>
                <w:sz w:val="24"/>
                <w:highlight w:val="none"/>
              </w:rPr>
            </w:pPr>
          </w:p>
        </w:tc>
        <w:tc>
          <w:tcPr>
            <w:tcW w:w="3119" w:type="dxa"/>
            <w:vAlign w:val="center"/>
          </w:tcPr>
          <w:p w14:paraId="283E6F92">
            <w:pPr>
              <w:spacing w:line="360" w:lineRule="auto"/>
              <w:jc w:val="center"/>
              <w:rPr>
                <w:rFonts w:hint="eastAsia" w:ascii="宋体" w:hAnsi="宋体" w:eastAsia="宋体" w:cs="宋体"/>
                <w:color w:val="auto"/>
                <w:sz w:val="24"/>
                <w:highlight w:val="none"/>
              </w:rPr>
            </w:pPr>
          </w:p>
        </w:tc>
      </w:tr>
      <w:tr w14:paraId="4A34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9A9897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417" w:type="dxa"/>
            <w:vAlign w:val="center"/>
          </w:tcPr>
          <w:p w14:paraId="058E37F6">
            <w:pPr>
              <w:snapToGrid w:val="0"/>
              <w:spacing w:line="360" w:lineRule="auto"/>
              <w:jc w:val="center"/>
              <w:rPr>
                <w:rFonts w:hint="eastAsia" w:ascii="宋体" w:hAnsi="宋体" w:eastAsia="宋体" w:cs="宋体"/>
                <w:color w:val="auto"/>
                <w:sz w:val="24"/>
                <w:highlight w:val="none"/>
              </w:rPr>
            </w:pPr>
          </w:p>
        </w:tc>
        <w:tc>
          <w:tcPr>
            <w:tcW w:w="1843" w:type="dxa"/>
            <w:vAlign w:val="center"/>
          </w:tcPr>
          <w:p w14:paraId="439F8B2A">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2EEE7B94">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69E1BC25">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1197E03D">
            <w:pPr>
              <w:spacing w:line="360" w:lineRule="auto"/>
              <w:jc w:val="center"/>
              <w:rPr>
                <w:rFonts w:hint="eastAsia" w:ascii="宋体" w:hAnsi="宋体" w:eastAsia="宋体" w:cs="宋体"/>
                <w:color w:val="auto"/>
                <w:sz w:val="24"/>
                <w:highlight w:val="none"/>
              </w:rPr>
            </w:pPr>
          </w:p>
        </w:tc>
        <w:tc>
          <w:tcPr>
            <w:tcW w:w="1984" w:type="dxa"/>
            <w:vAlign w:val="center"/>
          </w:tcPr>
          <w:p w14:paraId="3CBD9310">
            <w:pPr>
              <w:spacing w:line="360" w:lineRule="auto"/>
              <w:jc w:val="center"/>
              <w:rPr>
                <w:rFonts w:hint="eastAsia" w:ascii="宋体" w:hAnsi="宋体" w:eastAsia="宋体" w:cs="宋体"/>
                <w:color w:val="auto"/>
                <w:sz w:val="24"/>
                <w:highlight w:val="none"/>
              </w:rPr>
            </w:pPr>
          </w:p>
        </w:tc>
        <w:tc>
          <w:tcPr>
            <w:tcW w:w="3119" w:type="dxa"/>
            <w:vAlign w:val="center"/>
          </w:tcPr>
          <w:p w14:paraId="10BCCFB9">
            <w:pPr>
              <w:spacing w:line="360" w:lineRule="auto"/>
              <w:jc w:val="center"/>
              <w:rPr>
                <w:rFonts w:hint="eastAsia" w:ascii="宋体" w:hAnsi="宋体" w:eastAsia="宋体" w:cs="宋体"/>
                <w:color w:val="auto"/>
                <w:sz w:val="24"/>
                <w:highlight w:val="none"/>
              </w:rPr>
            </w:pPr>
          </w:p>
        </w:tc>
      </w:tr>
      <w:tr w14:paraId="6826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29FEF81">
            <w:pPr>
              <w:spacing w:line="360" w:lineRule="auto"/>
              <w:jc w:val="center"/>
              <w:rPr>
                <w:rFonts w:hint="eastAsia" w:ascii="宋体" w:hAnsi="宋体" w:eastAsia="宋体" w:cs="宋体"/>
                <w:color w:val="auto"/>
                <w:sz w:val="24"/>
                <w:highlight w:val="none"/>
              </w:rPr>
            </w:pPr>
          </w:p>
        </w:tc>
        <w:tc>
          <w:tcPr>
            <w:tcW w:w="1417" w:type="dxa"/>
            <w:vAlign w:val="center"/>
          </w:tcPr>
          <w:p w14:paraId="459FA377">
            <w:pPr>
              <w:snapToGrid w:val="0"/>
              <w:spacing w:line="360" w:lineRule="auto"/>
              <w:jc w:val="center"/>
              <w:rPr>
                <w:rFonts w:hint="eastAsia" w:ascii="宋体" w:hAnsi="宋体" w:eastAsia="宋体" w:cs="宋体"/>
                <w:color w:val="auto"/>
                <w:sz w:val="24"/>
                <w:highlight w:val="none"/>
              </w:rPr>
            </w:pPr>
          </w:p>
        </w:tc>
        <w:tc>
          <w:tcPr>
            <w:tcW w:w="1843" w:type="dxa"/>
            <w:vAlign w:val="center"/>
          </w:tcPr>
          <w:p w14:paraId="4E117101">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41F09474">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56DDD966">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55287C86">
            <w:pPr>
              <w:spacing w:line="360" w:lineRule="auto"/>
              <w:jc w:val="center"/>
              <w:rPr>
                <w:rFonts w:hint="eastAsia" w:ascii="宋体" w:hAnsi="宋体" w:eastAsia="宋体" w:cs="宋体"/>
                <w:color w:val="auto"/>
                <w:sz w:val="24"/>
                <w:highlight w:val="none"/>
              </w:rPr>
            </w:pPr>
          </w:p>
        </w:tc>
        <w:tc>
          <w:tcPr>
            <w:tcW w:w="1984" w:type="dxa"/>
            <w:vAlign w:val="center"/>
          </w:tcPr>
          <w:p w14:paraId="0797800D">
            <w:pPr>
              <w:spacing w:line="360" w:lineRule="auto"/>
              <w:jc w:val="center"/>
              <w:rPr>
                <w:rFonts w:hint="eastAsia" w:ascii="宋体" w:hAnsi="宋体" w:eastAsia="宋体" w:cs="宋体"/>
                <w:color w:val="auto"/>
                <w:sz w:val="24"/>
                <w:highlight w:val="none"/>
              </w:rPr>
            </w:pPr>
          </w:p>
        </w:tc>
        <w:tc>
          <w:tcPr>
            <w:tcW w:w="3119" w:type="dxa"/>
            <w:vAlign w:val="center"/>
          </w:tcPr>
          <w:p w14:paraId="0DEEC2D4">
            <w:pPr>
              <w:spacing w:line="360" w:lineRule="auto"/>
              <w:jc w:val="center"/>
              <w:rPr>
                <w:rFonts w:hint="eastAsia" w:ascii="宋体" w:hAnsi="宋体" w:eastAsia="宋体" w:cs="宋体"/>
                <w:color w:val="auto"/>
                <w:sz w:val="24"/>
                <w:highlight w:val="none"/>
              </w:rPr>
            </w:pPr>
          </w:p>
        </w:tc>
      </w:tr>
      <w:tr w14:paraId="6291D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6165D92">
            <w:pPr>
              <w:spacing w:line="360" w:lineRule="auto"/>
              <w:jc w:val="center"/>
              <w:rPr>
                <w:rFonts w:hint="eastAsia" w:ascii="宋体" w:hAnsi="宋体" w:eastAsia="宋体" w:cs="宋体"/>
                <w:color w:val="auto"/>
                <w:sz w:val="24"/>
                <w:highlight w:val="none"/>
              </w:rPr>
            </w:pPr>
          </w:p>
        </w:tc>
        <w:tc>
          <w:tcPr>
            <w:tcW w:w="1417" w:type="dxa"/>
            <w:vAlign w:val="center"/>
          </w:tcPr>
          <w:p w14:paraId="125E3A54">
            <w:pPr>
              <w:snapToGrid w:val="0"/>
              <w:spacing w:line="360" w:lineRule="auto"/>
              <w:jc w:val="center"/>
              <w:rPr>
                <w:rFonts w:hint="eastAsia" w:ascii="宋体" w:hAnsi="宋体" w:eastAsia="宋体" w:cs="宋体"/>
                <w:color w:val="auto"/>
                <w:sz w:val="24"/>
                <w:highlight w:val="none"/>
              </w:rPr>
            </w:pPr>
          </w:p>
        </w:tc>
        <w:tc>
          <w:tcPr>
            <w:tcW w:w="1843" w:type="dxa"/>
            <w:vAlign w:val="center"/>
          </w:tcPr>
          <w:p w14:paraId="2E21D56F">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66A9E1E7">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2006C156">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1F5D12ED">
            <w:pPr>
              <w:spacing w:line="360" w:lineRule="auto"/>
              <w:jc w:val="center"/>
              <w:rPr>
                <w:rFonts w:hint="eastAsia" w:ascii="宋体" w:hAnsi="宋体" w:eastAsia="宋体" w:cs="宋体"/>
                <w:color w:val="auto"/>
                <w:sz w:val="24"/>
                <w:highlight w:val="none"/>
              </w:rPr>
            </w:pPr>
          </w:p>
        </w:tc>
        <w:tc>
          <w:tcPr>
            <w:tcW w:w="1984" w:type="dxa"/>
            <w:vAlign w:val="center"/>
          </w:tcPr>
          <w:p w14:paraId="17F91726">
            <w:pPr>
              <w:spacing w:line="360" w:lineRule="auto"/>
              <w:jc w:val="center"/>
              <w:rPr>
                <w:rFonts w:hint="eastAsia" w:ascii="宋体" w:hAnsi="宋体" w:eastAsia="宋体" w:cs="宋体"/>
                <w:color w:val="auto"/>
                <w:sz w:val="24"/>
                <w:highlight w:val="none"/>
              </w:rPr>
            </w:pPr>
          </w:p>
        </w:tc>
        <w:tc>
          <w:tcPr>
            <w:tcW w:w="3119" w:type="dxa"/>
            <w:vAlign w:val="center"/>
          </w:tcPr>
          <w:p w14:paraId="5D1ED9F1">
            <w:pPr>
              <w:spacing w:line="360" w:lineRule="auto"/>
              <w:jc w:val="center"/>
              <w:rPr>
                <w:rFonts w:hint="eastAsia" w:ascii="宋体" w:hAnsi="宋体" w:eastAsia="宋体" w:cs="宋体"/>
                <w:color w:val="auto"/>
                <w:sz w:val="24"/>
                <w:highlight w:val="none"/>
              </w:rPr>
            </w:pPr>
          </w:p>
        </w:tc>
      </w:tr>
      <w:tr w14:paraId="3602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43A37457">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投标报价（小写）</w:t>
            </w:r>
          </w:p>
        </w:tc>
        <w:tc>
          <w:tcPr>
            <w:tcW w:w="7655" w:type="dxa"/>
            <w:gridSpan w:val="4"/>
            <w:vAlign w:val="center"/>
          </w:tcPr>
          <w:p w14:paraId="063EBC47">
            <w:pPr>
              <w:spacing w:line="360" w:lineRule="auto"/>
              <w:jc w:val="center"/>
              <w:rPr>
                <w:rFonts w:hint="eastAsia" w:ascii="宋体" w:hAnsi="宋体" w:eastAsia="宋体" w:cs="宋体"/>
                <w:color w:val="auto"/>
                <w:sz w:val="24"/>
                <w:highlight w:val="none"/>
              </w:rPr>
            </w:pPr>
          </w:p>
        </w:tc>
      </w:tr>
      <w:tr w14:paraId="52CD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10A67B3C">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投标报价（大写）</w:t>
            </w:r>
          </w:p>
        </w:tc>
        <w:tc>
          <w:tcPr>
            <w:tcW w:w="7655" w:type="dxa"/>
            <w:gridSpan w:val="4"/>
            <w:vAlign w:val="center"/>
          </w:tcPr>
          <w:p w14:paraId="59000F31">
            <w:pPr>
              <w:spacing w:line="360" w:lineRule="auto"/>
              <w:jc w:val="center"/>
              <w:rPr>
                <w:rFonts w:hint="eastAsia" w:ascii="宋体" w:hAnsi="宋体" w:eastAsia="宋体" w:cs="宋体"/>
                <w:color w:val="auto"/>
                <w:sz w:val="24"/>
                <w:highlight w:val="none"/>
              </w:rPr>
            </w:pPr>
          </w:p>
        </w:tc>
      </w:tr>
    </w:tbl>
    <w:p w14:paraId="1CB56B2E">
      <w:pPr>
        <w:snapToGrid w:val="0"/>
        <w:spacing w:line="360" w:lineRule="auto"/>
        <w:ind w:left="480"/>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注：</w:t>
      </w:r>
    </w:p>
    <w:p w14:paraId="2323A7AB">
      <w:pPr>
        <w:spacing w:line="360" w:lineRule="auto"/>
        <w:ind w:left="-2" w:leftChars="-1"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1、投标人需按本表格式填写</w:t>
      </w:r>
      <w:r>
        <w:rPr>
          <w:rFonts w:hint="eastAsia" w:ascii="宋体" w:hAnsi="宋体" w:eastAsia="宋体" w:cs="宋体"/>
          <w:b/>
          <w:color w:val="auto"/>
          <w:kern w:val="0"/>
          <w:sz w:val="24"/>
          <w:highlight w:val="none"/>
          <w:lang w:val="zh-CN"/>
        </w:rPr>
        <w:t>，</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投标文件含有采购人不能接受的附加条件，投标无效</w:t>
      </w:r>
      <w:r>
        <w:rPr>
          <w:rFonts w:hint="eastAsia" w:ascii="宋体" w:hAnsi="宋体" w:eastAsia="宋体" w:cs="宋体"/>
          <w:color w:val="auto"/>
          <w:kern w:val="0"/>
          <w:sz w:val="24"/>
          <w:highlight w:val="none"/>
          <w:lang w:val="zh-CN"/>
        </w:rPr>
        <w:t>。</w:t>
      </w:r>
    </w:p>
    <w:p w14:paraId="43961C43">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2、有关本项目实施所涉及的一切费用均计入报价。</w:t>
      </w:r>
      <w:r>
        <w:rPr>
          <w:rFonts w:hint="eastAsia" w:ascii="宋体" w:hAnsi="宋体" w:eastAsia="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，报价明细表中</w:t>
      </w:r>
      <w:r>
        <w:rPr>
          <w:rFonts w:hint="eastAsia" w:ascii="宋体" w:hAnsi="宋体" w:eastAsia="宋体" w:cs="宋体"/>
          <w:color w:val="auto"/>
          <w:spacing w:val="0"/>
          <w:kern w:val="0"/>
          <w:sz w:val="24"/>
          <w:szCs w:val="24"/>
          <w:highlight w:val="none"/>
          <w:lang w:eastAsia="zh-CN"/>
        </w:rPr>
        <w:t>（删除）部分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eastAsia="宋体" w:cs="宋体"/>
          <w:b/>
          <w:color w:val="auto"/>
          <w:kern w:val="0"/>
          <w:sz w:val="24"/>
          <w:highlight w:val="none"/>
          <w:lang w:val="zh-CN"/>
        </w:rPr>
        <w:t>采购内容未包含在《开标一览表（报价表）》名称栏中，投标人不能作出合理解释的，</w:t>
      </w:r>
      <w:r>
        <w:rPr>
          <w:rFonts w:hint="eastAsia" w:ascii="宋体" w:hAnsi="宋体" w:eastAsia="宋体" w:cs="宋体"/>
          <w:b/>
          <w:color w:val="auto"/>
          <w:kern w:val="0"/>
          <w:sz w:val="24"/>
          <w:highlight w:val="none"/>
        </w:rPr>
        <w:t>视为</w:t>
      </w:r>
      <w:r>
        <w:rPr>
          <w:rFonts w:hint="eastAsia" w:ascii="宋体" w:hAnsi="宋体" w:eastAsia="宋体" w:cs="宋体"/>
          <w:b/>
          <w:color w:val="auto"/>
          <w:sz w:val="24"/>
          <w:highlight w:val="none"/>
        </w:rPr>
        <w:t>投标文件含有采购人不能接受的附加条件的，投标无效。</w:t>
      </w:r>
    </w:p>
    <w:p w14:paraId="20CF98B2">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4E1763A1">
      <w:pPr>
        <w:snapToGrid w:val="0"/>
        <w:spacing w:line="360" w:lineRule="auto"/>
        <w:ind w:firstLine="480" w:firstLineChars="200"/>
        <w:jc w:val="left"/>
        <w:rPr>
          <w:rFonts w:hint="eastAsia" w:ascii="宋体" w:hAnsi="宋体" w:eastAsia="宋体" w:cs="宋体"/>
          <w:color w:val="auto"/>
          <w:kern w:val="0"/>
          <w:sz w:val="24"/>
          <w:highlight w:val="none"/>
          <w:lang w:val="zh-CN"/>
        </w:rPr>
      </w:pPr>
    </w:p>
    <w:p w14:paraId="4881A8AD">
      <w:pPr>
        <w:spacing w:line="360" w:lineRule="auto"/>
        <w:ind w:firstLine="482" w:firstLineChars="200"/>
        <w:rPr>
          <w:rFonts w:hint="eastAsia" w:ascii="宋体" w:hAnsi="宋体" w:eastAsia="宋体" w:cs="宋体"/>
          <w:b/>
          <w:color w:val="auto"/>
          <w:kern w:val="0"/>
          <w:sz w:val="24"/>
          <w:highlight w:val="none"/>
        </w:rPr>
      </w:pPr>
    </w:p>
    <w:p w14:paraId="4963E020">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022303E5">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28804624">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lang w:val="en-US" w:eastAsia="zh-CN"/>
        </w:rPr>
      </w:pPr>
    </w:p>
    <w:p w14:paraId="17650826">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lang w:val="en-US" w:eastAsia="zh-CN"/>
        </w:rPr>
      </w:pPr>
    </w:p>
    <w:p w14:paraId="1CA710ED">
      <w:pPr>
        <w:pStyle w:val="693"/>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val="en-US" w:eastAsia="zh-CN"/>
        </w:rPr>
        <w:t>三</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w:t>
      </w:r>
      <w:bookmarkStart w:id="549" w:name="_Hlk101259491"/>
      <w:r>
        <w:rPr>
          <w:rFonts w:hint="eastAsia" w:ascii="宋体" w:hAnsi="宋体" w:eastAsia="宋体" w:cs="宋体"/>
          <w:color w:val="auto"/>
          <w:sz w:val="32"/>
          <w:szCs w:val="32"/>
          <w:highlight w:val="none"/>
        </w:rPr>
        <w:t>（如果有）</w:t>
      </w:r>
      <w:bookmarkEnd w:id="549"/>
    </w:p>
    <w:p w14:paraId="29BD7023">
      <w:pPr>
        <w:widowControl/>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38CB106">
      <w:pPr>
        <w:pStyle w:val="693"/>
        <w:keepNext w:val="0"/>
        <w:pageBreakBefore w:val="0"/>
        <w:tabs>
          <w:tab w:val="clear" w:pos="720"/>
        </w:tabs>
        <w:snapToGrid w:val="0"/>
        <w:spacing w:before="120" w:after="120"/>
        <w:ind w:firstLine="643"/>
        <w:outlineLvl w:val="9"/>
        <w:rPr>
          <w:rFonts w:hint="eastAsia" w:ascii="宋体" w:hAnsi="宋体" w:eastAsia="宋体" w:cs="宋体"/>
          <w:b w:val="0"/>
          <w:color w:val="auto"/>
          <w:sz w:val="32"/>
          <w:szCs w:val="32"/>
          <w:highlight w:val="none"/>
        </w:rPr>
      </w:pPr>
    </w:p>
    <w:p w14:paraId="4C4D13D8">
      <w:pPr>
        <w:spacing w:line="360" w:lineRule="auto"/>
        <w:ind w:right="420" w:firstLine="3614" w:firstLineChars="1000"/>
        <w:rPr>
          <w:rFonts w:hint="eastAsia" w:ascii="宋体" w:hAnsi="宋体" w:eastAsia="宋体" w:cs="宋体"/>
          <w:b/>
          <w:color w:val="auto"/>
          <w:kern w:val="0"/>
          <w:sz w:val="36"/>
          <w:szCs w:val="36"/>
          <w:highlight w:val="none"/>
        </w:rPr>
      </w:pPr>
    </w:p>
    <w:p w14:paraId="2BB63E84">
      <w:pPr>
        <w:spacing w:line="360" w:lineRule="auto"/>
        <w:ind w:right="420" w:firstLine="3614" w:firstLineChars="1000"/>
        <w:rPr>
          <w:rFonts w:hint="eastAsia" w:ascii="宋体" w:hAnsi="宋体" w:eastAsia="宋体" w:cs="宋体"/>
          <w:b/>
          <w:color w:val="auto"/>
          <w:kern w:val="0"/>
          <w:sz w:val="36"/>
          <w:szCs w:val="36"/>
          <w:highlight w:val="none"/>
        </w:rPr>
      </w:pPr>
    </w:p>
    <w:p w14:paraId="4DAF5B2D">
      <w:pPr>
        <w:spacing w:line="360" w:lineRule="auto"/>
        <w:ind w:right="420" w:firstLine="3614" w:firstLineChars="1000"/>
        <w:rPr>
          <w:rFonts w:hint="eastAsia" w:ascii="宋体" w:hAnsi="宋体" w:eastAsia="宋体" w:cs="宋体"/>
          <w:b/>
          <w:color w:val="auto"/>
          <w:kern w:val="0"/>
          <w:sz w:val="36"/>
          <w:szCs w:val="36"/>
          <w:highlight w:val="none"/>
        </w:rPr>
      </w:pPr>
    </w:p>
    <w:p w14:paraId="25536052">
      <w:pPr>
        <w:spacing w:line="360" w:lineRule="auto"/>
        <w:ind w:right="420" w:firstLine="3614" w:firstLineChars="1000"/>
        <w:rPr>
          <w:rFonts w:hint="eastAsia" w:ascii="宋体" w:hAnsi="宋体" w:eastAsia="宋体" w:cs="宋体"/>
          <w:b/>
          <w:color w:val="auto"/>
          <w:kern w:val="0"/>
          <w:sz w:val="36"/>
          <w:szCs w:val="36"/>
          <w:highlight w:val="none"/>
        </w:rPr>
      </w:pPr>
    </w:p>
    <w:p w14:paraId="0EC8D94D">
      <w:pPr>
        <w:spacing w:line="360" w:lineRule="auto"/>
        <w:ind w:right="420" w:firstLine="3614" w:firstLineChars="1000"/>
        <w:rPr>
          <w:rFonts w:hint="eastAsia" w:ascii="宋体" w:hAnsi="宋体" w:eastAsia="宋体" w:cs="宋体"/>
          <w:b/>
          <w:color w:val="auto"/>
          <w:kern w:val="0"/>
          <w:sz w:val="36"/>
          <w:szCs w:val="36"/>
          <w:highlight w:val="none"/>
        </w:rPr>
      </w:pPr>
    </w:p>
    <w:p w14:paraId="787B39B1">
      <w:pPr>
        <w:spacing w:line="360" w:lineRule="auto"/>
        <w:ind w:right="420" w:firstLine="3614" w:firstLineChars="1000"/>
        <w:rPr>
          <w:rFonts w:hint="eastAsia" w:ascii="宋体" w:hAnsi="宋体" w:eastAsia="宋体" w:cs="宋体"/>
          <w:b/>
          <w:color w:val="auto"/>
          <w:kern w:val="0"/>
          <w:sz w:val="36"/>
          <w:szCs w:val="36"/>
          <w:highlight w:val="none"/>
        </w:rPr>
      </w:pPr>
    </w:p>
    <w:p w14:paraId="75931B85">
      <w:pPr>
        <w:spacing w:line="360" w:lineRule="auto"/>
        <w:ind w:right="420" w:firstLine="3614" w:firstLineChars="1000"/>
        <w:rPr>
          <w:rFonts w:hint="eastAsia" w:ascii="宋体" w:hAnsi="宋体" w:eastAsia="宋体" w:cs="宋体"/>
          <w:b/>
          <w:color w:val="auto"/>
          <w:kern w:val="0"/>
          <w:sz w:val="36"/>
          <w:szCs w:val="36"/>
          <w:highlight w:val="none"/>
        </w:rPr>
      </w:pPr>
    </w:p>
    <w:p w14:paraId="5BC88FA7">
      <w:pPr>
        <w:spacing w:line="360" w:lineRule="auto"/>
        <w:ind w:right="420" w:firstLine="3614" w:firstLineChars="1000"/>
        <w:rPr>
          <w:rFonts w:hint="eastAsia" w:ascii="宋体" w:hAnsi="宋体" w:eastAsia="宋体" w:cs="宋体"/>
          <w:b/>
          <w:color w:val="auto"/>
          <w:kern w:val="0"/>
          <w:sz w:val="36"/>
          <w:szCs w:val="36"/>
          <w:highlight w:val="none"/>
        </w:rPr>
      </w:pPr>
    </w:p>
    <w:p w14:paraId="608CB3DE">
      <w:pPr>
        <w:spacing w:line="360" w:lineRule="auto"/>
        <w:ind w:right="420" w:firstLine="3614" w:firstLineChars="1000"/>
        <w:rPr>
          <w:rFonts w:hint="eastAsia" w:ascii="宋体" w:hAnsi="宋体" w:eastAsia="宋体" w:cs="宋体"/>
          <w:b/>
          <w:color w:val="auto"/>
          <w:kern w:val="0"/>
          <w:sz w:val="36"/>
          <w:szCs w:val="36"/>
          <w:highlight w:val="none"/>
        </w:rPr>
      </w:pPr>
    </w:p>
    <w:p w14:paraId="3F95963C">
      <w:pPr>
        <w:spacing w:line="360" w:lineRule="auto"/>
        <w:ind w:right="420" w:firstLine="3614" w:firstLineChars="1000"/>
        <w:rPr>
          <w:rFonts w:hint="eastAsia" w:ascii="宋体" w:hAnsi="宋体" w:eastAsia="宋体" w:cs="宋体"/>
          <w:b/>
          <w:color w:val="auto"/>
          <w:kern w:val="0"/>
          <w:sz w:val="36"/>
          <w:szCs w:val="36"/>
          <w:highlight w:val="none"/>
        </w:rPr>
      </w:pPr>
    </w:p>
    <w:p w14:paraId="57A41895">
      <w:pPr>
        <w:spacing w:line="360" w:lineRule="auto"/>
        <w:ind w:right="420" w:firstLine="3614" w:firstLineChars="1000"/>
        <w:rPr>
          <w:rFonts w:hint="eastAsia" w:ascii="宋体" w:hAnsi="宋体" w:eastAsia="宋体" w:cs="宋体"/>
          <w:b/>
          <w:color w:val="auto"/>
          <w:kern w:val="0"/>
          <w:sz w:val="36"/>
          <w:szCs w:val="36"/>
          <w:highlight w:val="none"/>
        </w:rPr>
      </w:pPr>
    </w:p>
    <w:p w14:paraId="3FC6B6AC">
      <w:pPr>
        <w:spacing w:line="360" w:lineRule="auto"/>
        <w:ind w:right="420" w:firstLine="3614" w:firstLineChars="1000"/>
        <w:rPr>
          <w:rFonts w:hint="eastAsia" w:ascii="宋体" w:hAnsi="宋体" w:eastAsia="宋体" w:cs="宋体"/>
          <w:b/>
          <w:color w:val="auto"/>
          <w:kern w:val="0"/>
          <w:sz w:val="36"/>
          <w:szCs w:val="36"/>
          <w:highlight w:val="none"/>
        </w:rPr>
      </w:pPr>
    </w:p>
    <w:p w14:paraId="5D86F4BA">
      <w:pPr>
        <w:spacing w:line="360" w:lineRule="auto"/>
        <w:ind w:right="420" w:firstLine="3614" w:firstLineChars="1000"/>
        <w:rPr>
          <w:rFonts w:hint="eastAsia" w:ascii="宋体" w:hAnsi="宋体" w:eastAsia="宋体" w:cs="宋体"/>
          <w:b/>
          <w:color w:val="auto"/>
          <w:kern w:val="0"/>
          <w:sz w:val="36"/>
          <w:szCs w:val="36"/>
          <w:highlight w:val="none"/>
        </w:rPr>
      </w:pPr>
    </w:p>
    <w:p w14:paraId="04DBC998">
      <w:pPr>
        <w:spacing w:line="360" w:lineRule="auto"/>
        <w:ind w:right="420" w:firstLine="3614" w:firstLineChars="1000"/>
        <w:rPr>
          <w:rFonts w:hint="eastAsia" w:ascii="宋体" w:hAnsi="宋体" w:eastAsia="宋体" w:cs="宋体"/>
          <w:b/>
          <w:color w:val="auto"/>
          <w:kern w:val="0"/>
          <w:sz w:val="36"/>
          <w:szCs w:val="36"/>
          <w:highlight w:val="none"/>
        </w:rPr>
      </w:pPr>
    </w:p>
    <w:p w14:paraId="75FABA63">
      <w:pPr>
        <w:pStyle w:val="3"/>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color w:val="auto"/>
          <w:highlight w:val="none"/>
        </w:rPr>
      </w:pPr>
      <w:bookmarkStart w:id="550" w:name="_Toc465665161"/>
      <w:r>
        <w:rPr>
          <w:rFonts w:hint="eastAsia" w:ascii="宋体" w:hAnsi="宋体" w:eastAsia="宋体" w:cs="宋体"/>
          <w:color w:val="auto"/>
          <w:highlight w:val="none"/>
        </w:rPr>
        <w:t>附件</w:t>
      </w:r>
      <w:bookmarkEnd w:id="550"/>
    </w:p>
    <w:p w14:paraId="38EBACA0">
      <w:pPr>
        <w:spacing w:line="360" w:lineRule="auto"/>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附件1：</w:t>
      </w:r>
    </w:p>
    <w:p w14:paraId="0EAC7988">
      <w:pPr>
        <w:spacing w:line="360" w:lineRule="auto"/>
        <w:jc w:val="center"/>
        <w:rPr>
          <w:rFonts w:hint="eastAsia" w:ascii="宋体" w:hAnsi="宋体" w:eastAsia="宋体" w:cs="宋体"/>
          <w:b/>
          <w:color w:val="auto"/>
          <w:spacing w:val="6"/>
          <w:sz w:val="32"/>
          <w:szCs w:val="32"/>
          <w:highlight w:val="none"/>
        </w:rPr>
      </w:pPr>
      <w:bookmarkStart w:id="551" w:name="OLE_LINK14"/>
      <w:bookmarkStart w:id="552" w:name="OLE_LINK13"/>
      <w:r>
        <w:rPr>
          <w:rFonts w:hint="eastAsia" w:ascii="宋体" w:hAnsi="宋体" w:eastAsia="宋体" w:cs="宋体"/>
          <w:b/>
          <w:color w:val="auto"/>
          <w:spacing w:val="6"/>
          <w:sz w:val="32"/>
          <w:szCs w:val="32"/>
          <w:highlight w:val="none"/>
        </w:rPr>
        <w:t>残疾人福利性单位声明函</w:t>
      </w:r>
    </w:p>
    <w:bookmarkEnd w:id="551"/>
    <w:bookmarkEnd w:id="552"/>
    <w:p w14:paraId="071049FA">
      <w:pPr>
        <w:spacing w:line="360" w:lineRule="auto"/>
        <w:rPr>
          <w:rFonts w:hint="eastAsia" w:ascii="宋体" w:hAnsi="宋体" w:eastAsia="宋体" w:cs="宋体"/>
          <w:b/>
          <w:color w:val="auto"/>
          <w:spacing w:val="6"/>
          <w:sz w:val="30"/>
          <w:szCs w:val="30"/>
          <w:highlight w:val="none"/>
        </w:rPr>
      </w:pPr>
    </w:p>
    <w:p w14:paraId="34AC9AB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宋体" w:cs="宋体"/>
          <w:color w:val="auto"/>
          <w:sz w:val="24"/>
          <w:highlight w:val="none"/>
          <w:u w:val="single"/>
          <w:lang w:eastAsia="zh-CN"/>
        </w:rPr>
        <w:t>杭州第九中学树范学校</w:t>
      </w:r>
      <w:r>
        <w:rPr>
          <w:rFonts w:hint="eastAsia" w:ascii="宋体" w:hAnsi="宋体" w:eastAsia="宋体" w:cs="宋体"/>
          <w:color w:val="auto"/>
          <w:sz w:val="24"/>
          <w:highlight w:val="none"/>
        </w:rPr>
        <w:t>_单位的_</w:t>
      </w:r>
      <w:r>
        <w:rPr>
          <w:rFonts w:hint="eastAsia" w:ascii="宋体" w:hAnsi="宋体" w:eastAsia="宋体" w:cs="宋体"/>
          <w:color w:val="auto"/>
          <w:sz w:val="24"/>
          <w:highlight w:val="none"/>
          <w:u w:val="single"/>
          <w:lang w:eastAsia="zh-CN"/>
        </w:rPr>
        <w:t>杭州第九中学树范学校</w:t>
      </w:r>
      <w:r>
        <w:rPr>
          <w:rFonts w:hint="eastAsia" w:ascii="宋体" w:hAnsi="宋体" w:cs="宋体"/>
          <w:color w:val="auto"/>
          <w:sz w:val="24"/>
          <w:highlight w:val="none"/>
          <w:u w:val="single"/>
          <w:lang w:eastAsia="zh-CN"/>
        </w:rPr>
        <w:t>报告厅椅子采购</w:t>
      </w:r>
      <w:r>
        <w:rPr>
          <w:rFonts w:hint="eastAsia" w:ascii="宋体" w:hAnsi="宋体" w:eastAsia="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18F24A3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2F6275D9">
      <w:pPr>
        <w:spacing w:line="360" w:lineRule="auto"/>
        <w:ind w:firstLine="480" w:firstLineChars="200"/>
        <w:rPr>
          <w:rFonts w:hint="eastAsia" w:ascii="宋体" w:hAnsi="宋体" w:eastAsia="宋体" w:cs="宋体"/>
          <w:color w:val="auto"/>
          <w:sz w:val="24"/>
          <w:highlight w:val="none"/>
        </w:rPr>
      </w:pPr>
    </w:p>
    <w:p w14:paraId="6FB985C4">
      <w:pPr>
        <w:spacing w:line="360" w:lineRule="auto"/>
        <w:ind w:firstLine="480" w:firstLineChars="200"/>
        <w:rPr>
          <w:rFonts w:hint="eastAsia" w:ascii="宋体" w:hAnsi="宋体" w:eastAsia="宋体" w:cs="宋体"/>
          <w:color w:val="auto"/>
          <w:sz w:val="24"/>
          <w:highlight w:val="none"/>
        </w:rPr>
      </w:pPr>
    </w:p>
    <w:p w14:paraId="492E942B">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lang w:val="zh-CN"/>
        </w:rPr>
        <w:t>投标人名称（电子签名）</w:t>
      </w:r>
      <w:r>
        <w:rPr>
          <w:rFonts w:hint="eastAsia" w:ascii="宋体" w:hAnsi="宋体" w:eastAsia="宋体" w:cs="宋体"/>
          <w:color w:val="auto"/>
          <w:sz w:val="24"/>
          <w:highlight w:val="none"/>
        </w:rPr>
        <w:t>：</w:t>
      </w:r>
    </w:p>
    <w:p w14:paraId="5E6C9D5D">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  期：</w:t>
      </w:r>
    </w:p>
    <w:p w14:paraId="594881BC">
      <w:pPr>
        <w:spacing w:line="360" w:lineRule="auto"/>
        <w:ind w:firstLine="480" w:firstLineChars="200"/>
        <w:rPr>
          <w:rFonts w:hint="eastAsia" w:ascii="宋体" w:hAnsi="宋体" w:eastAsia="宋体" w:cs="宋体"/>
          <w:color w:val="auto"/>
          <w:sz w:val="24"/>
          <w:highlight w:val="none"/>
        </w:rPr>
      </w:pPr>
    </w:p>
    <w:p w14:paraId="1B6494CB">
      <w:pPr>
        <w:spacing w:line="360" w:lineRule="auto"/>
        <w:ind w:firstLine="420" w:firstLineChars="200"/>
        <w:rPr>
          <w:rFonts w:hint="eastAsia" w:ascii="宋体" w:hAnsi="宋体" w:eastAsia="宋体" w:cs="宋体"/>
          <w:color w:val="auto"/>
          <w:highlight w:val="none"/>
        </w:rPr>
      </w:pPr>
    </w:p>
    <w:p w14:paraId="15781B82">
      <w:pPr>
        <w:spacing w:line="360" w:lineRule="auto"/>
        <w:ind w:firstLine="420" w:firstLineChars="200"/>
        <w:rPr>
          <w:rFonts w:hint="eastAsia" w:ascii="宋体" w:hAnsi="宋体" w:eastAsia="宋体" w:cs="宋体"/>
          <w:color w:val="auto"/>
          <w:highlight w:val="none"/>
        </w:rPr>
      </w:pPr>
    </w:p>
    <w:p w14:paraId="251819F7">
      <w:pPr>
        <w:spacing w:line="360" w:lineRule="auto"/>
        <w:ind w:firstLine="420" w:firstLineChars="200"/>
        <w:rPr>
          <w:rFonts w:hint="eastAsia" w:ascii="宋体" w:hAnsi="宋体" w:eastAsia="宋体" w:cs="宋体"/>
          <w:color w:val="auto"/>
          <w:highlight w:val="none"/>
        </w:rPr>
      </w:pPr>
    </w:p>
    <w:p w14:paraId="09112DB3">
      <w:pPr>
        <w:spacing w:line="360" w:lineRule="auto"/>
        <w:ind w:firstLine="420" w:firstLineChars="200"/>
        <w:rPr>
          <w:rFonts w:hint="eastAsia" w:ascii="宋体" w:hAnsi="宋体" w:eastAsia="宋体" w:cs="宋体"/>
          <w:color w:val="auto"/>
          <w:highlight w:val="none"/>
        </w:rPr>
      </w:pPr>
    </w:p>
    <w:p w14:paraId="0EE2BF1D">
      <w:pPr>
        <w:spacing w:line="360" w:lineRule="auto"/>
        <w:rPr>
          <w:rFonts w:hint="eastAsia" w:ascii="宋体" w:hAnsi="宋体" w:eastAsia="宋体" w:cs="宋体"/>
          <w:b/>
          <w:color w:val="auto"/>
          <w:sz w:val="24"/>
          <w:highlight w:val="none"/>
        </w:rPr>
      </w:pPr>
    </w:p>
    <w:p w14:paraId="76F2DA09">
      <w:pPr>
        <w:spacing w:line="360" w:lineRule="auto"/>
        <w:rPr>
          <w:rFonts w:hint="eastAsia" w:ascii="宋体" w:hAnsi="宋体" w:eastAsia="宋体" w:cs="宋体"/>
          <w:b/>
          <w:color w:val="auto"/>
          <w:sz w:val="24"/>
          <w:highlight w:val="none"/>
        </w:rPr>
      </w:pPr>
    </w:p>
    <w:p w14:paraId="142F1864">
      <w:pPr>
        <w:spacing w:line="360" w:lineRule="auto"/>
        <w:rPr>
          <w:rFonts w:hint="eastAsia" w:ascii="宋体" w:hAnsi="宋体" w:eastAsia="宋体" w:cs="宋体"/>
          <w:b/>
          <w:color w:val="auto"/>
          <w:sz w:val="24"/>
          <w:highlight w:val="none"/>
        </w:rPr>
      </w:pPr>
    </w:p>
    <w:p w14:paraId="0A40B5ED">
      <w:pPr>
        <w:spacing w:line="360" w:lineRule="auto"/>
        <w:rPr>
          <w:rFonts w:hint="eastAsia" w:ascii="宋体" w:hAnsi="宋体" w:eastAsia="宋体" w:cs="宋体"/>
          <w:b/>
          <w:color w:val="auto"/>
          <w:sz w:val="24"/>
          <w:highlight w:val="none"/>
        </w:rPr>
      </w:pPr>
    </w:p>
    <w:p w14:paraId="41D1DD0A">
      <w:pPr>
        <w:spacing w:line="360" w:lineRule="auto"/>
        <w:rPr>
          <w:rFonts w:hint="eastAsia" w:ascii="宋体" w:hAnsi="宋体" w:eastAsia="宋体" w:cs="宋体"/>
          <w:b/>
          <w:color w:val="auto"/>
          <w:sz w:val="24"/>
          <w:highlight w:val="none"/>
        </w:rPr>
      </w:pPr>
    </w:p>
    <w:p w14:paraId="1D2C5FD5">
      <w:pPr>
        <w:spacing w:line="360" w:lineRule="auto"/>
        <w:rPr>
          <w:rFonts w:hint="eastAsia" w:ascii="宋体" w:hAnsi="宋体" w:eastAsia="宋体" w:cs="宋体"/>
          <w:b/>
          <w:color w:val="auto"/>
          <w:sz w:val="24"/>
          <w:highlight w:val="none"/>
        </w:rPr>
      </w:pPr>
    </w:p>
    <w:p w14:paraId="72FE2679">
      <w:pPr>
        <w:spacing w:line="360" w:lineRule="auto"/>
        <w:rPr>
          <w:rFonts w:hint="eastAsia" w:ascii="宋体" w:hAnsi="宋体" w:eastAsia="宋体" w:cs="宋体"/>
          <w:b/>
          <w:color w:val="auto"/>
          <w:sz w:val="24"/>
          <w:highlight w:val="none"/>
        </w:rPr>
      </w:pPr>
    </w:p>
    <w:p w14:paraId="6EDC4C59">
      <w:pPr>
        <w:spacing w:line="360" w:lineRule="auto"/>
        <w:rPr>
          <w:rFonts w:hint="eastAsia" w:ascii="宋体" w:hAnsi="宋体" w:eastAsia="宋体" w:cs="宋体"/>
          <w:b/>
          <w:color w:val="auto"/>
          <w:sz w:val="24"/>
          <w:highlight w:val="none"/>
        </w:rPr>
      </w:pPr>
    </w:p>
    <w:p w14:paraId="334D730E">
      <w:pPr>
        <w:spacing w:line="360" w:lineRule="auto"/>
        <w:rPr>
          <w:rFonts w:hint="eastAsia" w:ascii="宋体" w:hAnsi="宋体" w:eastAsia="宋体" w:cs="宋体"/>
          <w:b/>
          <w:color w:val="auto"/>
          <w:sz w:val="24"/>
          <w:highlight w:val="none"/>
        </w:rPr>
      </w:pPr>
    </w:p>
    <w:p w14:paraId="2A8D7915">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附件2：质疑函范本及制作说明</w:t>
      </w:r>
    </w:p>
    <w:p w14:paraId="308EC20B">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14:paraId="564C335D">
      <w:pPr>
        <w:snapToGrid w:val="0"/>
        <w:spacing w:before="240"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14:paraId="4B200464">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14:paraId="05B7CA55">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34C0E9E7">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37C9E00B">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14:paraId="08240CAB">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1C0DD97B">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0445A884">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14:paraId="1EB54198">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14:paraId="2E7E93D6">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5F61CED4">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14:paraId="52073D3A">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14:paraId="30762C74">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14:paraId="044E06D7">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14:paraId="15A78E69">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63802FAD">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14:paraId="0514771D">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0F294156">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13A52C38">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14:paraId="64C6DA68">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3D698511">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14:paraId="38C9220C">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14:paraId="551ECD4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7CFFFF7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48875E73">
      <w:pPr>
        <w:spacing w:line="360" w:lineRule="auto"/>
        <w:jc w:val="center"/>
        <w:rPr>
          <w:rFonts w:hint="eastAsia" w:ascii="宋体" w:hAnsi="宋体" w:eastAsia="宋体" w:cs="宋体"/>
          <w:b/>
          <w:bCs/>
          <w:color w:val="auto"/>
          <w:sz w:val="24"/>
          <w:highlight w:val="none"/>
        </w:rPr>
      </w:pPr>
    </w:p>
    <w:p w14:paraId="5051B56B">
      <w:pPr>
        <w:spacing w:line="360" w:lineRule="auto"/>
        <w:rPr>
          <w:rFonts w:hint="eastAsia" w:ascii="宋体" w:hAnsi="宋体" w:eastAsia="宋体" w:cs="宋体"/>
          <w:b/>
          <w:color w:val="auto"/>
          <w:sz w:val="24"/>
          <w:highlight w:val="none"/>
        </w:rPr>
      </w:pPr>
    </w:p>
    <w:p w14:paraId="5911DD17">
      <w:pPr>
        <w:spacing w:line="360" w:lineRule="auto"/>
        <w:rPr>
          <w:rFonts w:hint="eastAsia" w:ascii="宋体" w:hAnsi="宋体" w:eastAsia="宋体" w:cs="宋体"/>
          <w:b/>
          <w:color w:val="auto"/>
          <w:sz w:val="24"/>
          <w:highlight w:val="none"/>
        </w:rPr>
      </w:pPr>
    </w:p>
    <w:p w14:paraId="224DFB61">
      <w:pPr>
        <w:spacing w:line="360" w:lineRule="auto"/>
        <w:rPr>
          <w:rFonts w:hint="eastAsia" w:ascii="宋体" w:hAnsi="宋体" w:eastAsia="宋体" w:cs="宋体"/>
          <w:b/>
          <w:color w:val="auto"/>
          <w:sz w:val="24"/>
          <w:highlight w:val="none"/>
        </w:rPr>
      </w:pPr>
    </w:p>
    <w:p w14:paraId="2EBFA228">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14:paraId="1A868B3F">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14:paraId="381211E6">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14:paraId="2FAD650A">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14:paraId="646AD64C">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14:paraId="43DF49A5">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14:paraId="1FE4B21B">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4D80AF13">
      <w:pPr>
        <w:widowControl/>
        <w:spacing w:line="360" w:lineRule="auto"/>
        <w:ind w:firstLine="600" w:firstLineChars="200"/>
        <w:jc w:val="left"/>
        <w:rPr>
          <w:rFonts w:hint="eastAsia" w:ascii="宋体" w:hAnsi="宋体" w:eastAsia="宋体" w:cs="宋体"/>
          <w:color w:val="auto"/>
          <w:sz w:val="30"/>
          <w:szCs w:val="30"/>
          <w:highlight w:val="none"/>
        </w:rPr>
      </w:pPr>
    </w:p>
    <w:p w14:paraId="6F2F8749">
      <w:pPr>
        <w:spacing w:line="360" w:lineRule="auto"/>
        <w:jc w:val="center"/>
        <w:rPr>
          <w:rFonts w:hint="eastAsia" w:ascii="宋体" w:hAnsi="宋体" w:eastAsia="宋体" w:cs="宋体"/>
          <w:b/>
          <w:color w:val="auto"/>
          <w:spacing w:val="6"/>
          <w:sz w:val="32"/>
          <w:szCs w:val="32"/>
          <w:highlight w:val="none"/>
        </w:rPr>
      </w:pPr>
    </w:p>
    <w:p w14:paraId="7BC68686">
      <w:pPr>
        <w:spacing w:line="360" w:lineRule="auto"/>
        <w:jc w:val="center"/>
        <w:rPr>
          <w:rFonts w:hint="eastAsia" w:ascii="宋体" w:hAnsi="宋体" w:eastAsia="宋体" w:cs="宋体"/>
          <w:b/>
          <w:color w:val="auto"/>
          <w:spacing w:val="6"/>
          <w:sz w:val="32"/>
          <w:szCs w:val="32"/>
          <w:highlight w:val="none"/>
        </w:rPr>
      </w:pPr>
    </w:p>
    <w:p w14:paraId="09F09ED9">
      <w:pPr>
        <w:spacing w:line="360" w:lineRule="auto"/>
        <w:jc w:val="center"/>
        <w:rPr>
          <w:rFonts w:hint="eastAsia" w:ascii="宋体" w:hAnsi="宋体" w:eastAsia="宋体" w:cs="宋体"/>
          <w:b/>
          <w:color w:val="auto"/>
          <w:spacing w:val="6"/>
          <w:sz w:val="32"/>
          <w:szCs w:val="32"/>
          <w:highlight w:val="none"/>
        </w:rPr>
      </w:pPr>
    </w:p>
    <w:p w14:paraId="68CE1E1C">
      <w:pPr>
        <w:spacing w:line="360" w:lineRule="auto"/>
        <w:jc w:val="center"/>
        <w:rPr>
          <w:rFonts w:hint="eastAsia" w:ascii="宋体" w:hAnsi="宋体" w:eastAsia="宋体" w:cs="宋体"/>
          <w:b/>
          <w:color w:val="auto"/>
          <w:spacing w:val="6"/>
          <w:sz w:val="32"/>
          <w:szCs w:val="32"/>
          <w:highlight w:val="none"/>
        </w:rPr>
      </w:pPr>
    </w:p>
    <w:p w14:paraId="11ED1E81">
      <w:pPr>
        <w:spacing w:line="360" w:lineRule="auto"/>
        <w:jc w:val="center"/>
        <w:rPr>
          <w:rFonts w:hint="eastAsia" w:ascii="宋体" w:hAnsi="宋体" w:eastAsia="宋体" w:cs="宋体"/>
          <w:b/>
          <w:color w:val="auto"/>
          <w:spacing w:val="6"/>
          <w:sz w:val="32"/>
          <w:szCs w:val="32"/>
          <w:highlight w:val="none"/>
        </w:rPr>
      </w:pPr>
    </w:p>
    <w:p w14:paraId="2055A9E2">
      <w:pPr>
        <w:spacing w:line="360" w:lineRule="auto"/>
        <w:jc w:val="center"/>
        <w:rPr>
          <w:rFonts w:hint="eastAsia" w:ascii="宋体" w:hAnsi="宋体" w:eastAsia="宋体" w:cs="宋体"/>
          <w:b/>
          <w:color w:val="auto"/>
          <w:spacing w:val="6"/>
          <w:sz w:val="32"/>
          <w:szCs w:val="32"/>
          <w:highlight w:val="none"/>
        </w:rPr>
      </w:pPr>
    </w:p>
    <w:p w14:paraId="6BAC83EF">
      <w:pPr>
        <w:spacing w:line="360" w:lineRule="auto"/>
        <w:jc w:val="center"/>
        <w:rPr>
          <w:rFonts w:hint="eastAsia" w:ascii="宋体" w:hAnsi="宋体" w:eastAsia="宋体" w:cs="宋体"/>
          <w:b/>
          <w:color w:val="auto"/>
          <w:spacing w:val="6"/>
          <w:sz w:val="32"/>
          <w:szCs w:val="32"/>
          <w:highlight w:val="none"/>
        </w:rPr>
      </w:pPr>
    </w:p>
    <w:p w14:paraId="4F9F0D02">
      <w:pPr>
        <w:spacing w:line="360" w:lineRule="auto"/>
        <w:jc w:val="center"/>
        <w:rPr>
          <w:rFonts w:hint="eastAsia" w:ascii="宋体" w:hAnsi="宋体" w:eastAsia="宋体" w:cs="宋体"/>
          <w:b/>
          <w:color w:val="auto"/>
          <w:spacing w:val="6"/>
          <w:sz w:val="32"/>
          <w:szCs w:val="32"/>
          <w:highlight w:val="none"/>
        </w:rPr>
      </w:pPr>
    </w:p>
    <w:p w14:paraId="2CBB416D">
      <w:pPr>
        <w:spacing w:line="360" w:lineRule="auto"/>
        <w:jc w:val="center"/>
        <w:rPr>
          <w:rFonts w:hint="eastAsia" w:ascii="宋体" w:hAnsi="宋体" w:eastAsia="宋体" w:cs="宋体"/>
          <w:b/>
          <w:color w:val="auto"/>
          <w:spacing w:val="6"/>
          <w:sz w:val="32"/>
          <w:szCs w:val="32"/>
          <w:highlight w:val="none"/>
        </w:rPr>
      </w:pPr>
    </w:p>
    <w:p w14:paraId="04842F4C">
      <w:pPr>
        <w:spacing w:line="360" w:lineRule="auto"/>
        <w:jc w:val="center"/>
        <w:rPr>
          <w:rFonts w:hint="eastAsia" w:ascii="宋体" w:hAnsi="宋体" w:eastAsia="宋体" w:cs="宋体"/>
          <w:b/>
          <w:color w:val="auto"/>
          <w:spacing w:val="6"/>
          <w:sz w:val="32"/>
          <w:szCs w:val="32"/>
          <w:highlight w:val="none"/>
        </w:rPr>
      </w:pPr>
    </w:p>
    <w:p w14:paraId="29B75052">
      <w:pPr>
        <w:spacing w:line="360" w:lineRule="auto"/>
        <w:jc w:val="center"/>
        <w:rPr>
          <w:rFonts w:hint="eastAsia" w:ascii="宋体" w:hAnsi="宋体" w:eastAsia="宋体" w:cs="宋体"/>
          <w:b/>
          <w:color w:val="auto"/>
          <w:spacing w:val="6"/>
          <w:sz w:val="32"/>
          <w:szCs w:val="32"/>
          <w:highlight w:val="none"/>
        </w:rPr>
      </w:pPr>
    </w:p>
    <w:p w14:paraId="0DD4415D">
      <w:pPr>
        <w:spacing w:line="360" w:lineRule="auto"/>
        <w:jc w:val="center"/>
        <w:rPr>
          <w:rFonts w:hint="eastAsia" w:ascii="宋体" w:hAnsi="宋体" w:eastAsia="宋体" w:cs="宋体"/>
          <w:b/>
          <w:color w:val="auto"/>
          <w:spacing w:val="6"/>
          <w:sz w:val="32"/>
          <w:szCs w:val="32"/>
          <w:highlight w:val="none"/>
        </w:rPr>
      </w:pPr>
    </w:p>
    <w:p w14:paraId="6C6ED870">
      <w:pPr>
        <w:spacing w:line="360" w:lineRule="auto"/>
        <w:jc w:val="left"/>
        <w:rPr>
          <w:rFonts w:hint="eastAsia" w:ascii="宋体" w:hAnsi="宋体" w:eastAsia="宋体" w:cs="宋体"/>
          <w:b/>
          <w:color w:val="auto"/>
          <w:spacing w:val="6"/>
          <w:sz w:val="32"/>
          <w:szCs w:val="32"/>
          <w:highlight w:val="none"/>
        </w:rPr>
      </w:pPr>
    </w:p>
    <w:p w14:paraId="33AAE658">
      <w:pPr>
        <w:spacing w:line="360" w:lineRule="auto"/>
        <w:jc w:val="left"/>
        <w:rPr>
          <w:rFonts w:hint="eastAsia" w:ascii="宋体" w:hAnsi="宋体" w:eastAsia="宋体" w:cs="宋体"/>
          <w:b/>
          <w:color w:val="auto"/>
          <w:spacing w:val="6"/>
          <w:sz w:val="32"/>
          <w:szCs w:val="32"/>
          <w:highlight w:val="none"/>
        </w:rPr>
      </w:pPr>
    </w:p>
    <w:p w14:paraId="437A5A73">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附件3：投诉书范本及制作说明</w:t>
      </w:r>
    </w:p>
    <w:p w14:paraId="182C4EB2">
      <w:pPr>
        <w:spacing w:line="360" w:lineRule="auto"/>
        <w:jc w:val="center"/>
        <w:rPr>
          <w:rFonts w:hint="eastAsia" w:ascii="宋体" w:hAnsi="宋体" w:eastAsia="宋体" w:cs="宋体"/>
          <w:b/>
          <w:color w:val="auto"/>
          <w:sz w:val="24"/>
          <w:highlight w:val="none"/>
        </w:rPr>
      </w:pPr>
    </w:p>
    <w:p w14:paraId="74AC8E87">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14:paraId="73AD673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14:paraId="75DBD02C">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r>
        <w:rPr>
          <w:rFonts w:hint="eastAsia" w:ascii="宋体" w:hAnsi="宋体" w:eastAsia="宋体" w:cs="宋体"/>
          <w:color w:val="auto"/>
          <w:sz w:val="24"/>
          <w:highlight w:val="none"/>
          <w:u w:val="dotted"/>
        </w:rPr>
        <w:t xml:space="preserve">                                               </w:t>
      </w:r>
    </w:p>
    <w:p w14:paraId="34979EA4">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68628F4C">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4C47F673">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2A4598F8">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3BA58D7A">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dotted"/>
        </w:rPr>
        <w:t xml:space="preserve">                   </w:t>
      </w:r>
    </w:p>
    <w:p w14:paraId="1267DAEB">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733802D">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2F69EDA1">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4D896D0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14:paraId="5FBC1ACA">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0CF6F597">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7C071631">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3F65333B">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110A8AC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14:paraId="2B7B5707">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dotted"/>
        </w:rPr>
        <w:t xml:space="preserve">                                        </w:t>
      </w:r>
    </w:p>
    <w:p w14:paraId="45D73F07">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697F8D9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68CF1C8A">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r>
        <w:rPr>
          <w:rFonts w:hint="eastAsia" w:ascii="宋体" w:hAnsi="宋体" w:eastAsia="宋体" w:cs="宋体"/>
          <w:color w:val="auto"/>
          <w:sz w:val="24"/>
          <w:highlight w:val="none"/>
          <w:u w:val="dotted"/>
        </w:rPr>
        <w:t xml:space="preserve">                                         </w:t>
      </w:r>
    </w:p>
    <w:p w14:paraId="49F8655B">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1EE4B31D">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12CD0D4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14:paraId="621B646F">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日,向</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提出质疑，质疑事项为：</w:t>
      </w:r>
      <w:r>
        <w:rPr>
          <w:rFonts w:hint="eastAsia" w:ascii="宋体" w:hAnsi="宋体" w:eastAsia="宋体" w:cs="宋体"/>
          <w:color w:val="auto"/>
          <w:sz w:val="24"/>
          <w:highlight w:val="none"/>
          <w:u w:val="dotted"/>
        </w:rPr>
        <w:t xml:space="preserve">                                </w:t>
      </w:r>
    </w:p>
    <w:p w14:paraId="4D8E7D1E">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5179DFEE">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采购人/代理机构</w:t>
      </w:r>
      <w:r>
        <w:rPr>
          <w:rFonts w:hint="eastAsia" w:ascii="宋体" w:hAnsi="宋体" w:eastAsia="宋体" w:cs="宋体"/>
          <w:color w:val="auto"/>
          <w:sz w:val="24"/>
          <w:highlight w:val="none"/>
        </w:rPr>
        <w:t>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日,就质疑事项作出了答复/没有在法定期限内作出答复。</w:t>
      </w:r>
    </w:p>
    <w:p w14:paraId="73CEB18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14:paraId="1E2704C1">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r>
        <w:rPr>
          <w:rFonts w:hint="eastAsia" w:ascii="宋体" w:hAnsi="宋体" w:eastAsia="宋体" w:cs="宋体"/>
          <w:color w:val="auto"/>
          <w:sz w:val="24"/>
          <w:highlight w:val="none"/>
          <w:u w:val="dotted"/>
        </w:rPr>
        <w:t xml:space="preserve">                                       </w:t>
      </w:r>
    </w:p>
    <w:p w14:paraId="54C4E2B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747E6A27">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1E160B91">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23965BF5">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5E173F0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14:paraId="61CB327A">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1322B5A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14:paraId="24FA32B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5E8116C0">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5FD07A3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3424B0C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6962694E">
      <w:pPr>
        <w:spacing w:line="360" w:lineRule="auto"/>
        <w:rPr>
          <w:rFonts w:hint="eastAsia" w:ascii="宋体" w:hAnsi="宋体" w:eastAsia="宋体" w:cs="宋体"/>
          <w:b/>
          <w:color w:val="auto"/>
          <w:sz w:val="24"/>
          <w:highlight w:val="none"/>
        </w:rPr>
      </w:pPr>
    </w:p>
    <w:p w14:paraId="5E53433E">
      <w:pPr>
        <w:spacing w:line="360" w:lineRule="auto"/>
        <w:rPr>
          <w:rFonts w:hint="eastAsia" w:ascii="宋体" w:hAnsi="宋体" w:eastAsia="宋体" w:cs="宋体"/>
          <w:b/>
          <w:color w:val="auto"/>
          <w:sz w:val="24"/>
          <w:highlight w:val="none"/>
        </w:rPr>
      </w:pPr>
    </w:p>
    <w:p w14:paraId="09F0B25E">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14:paraId="43C68810">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14:paraId="16E63F9A">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14:paraId="38E73AF3">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14:paraId="0FBAD900">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14:paraId="41721F75">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14:paraId="01A955A4">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14:paraId="448407EA">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42683C84">
      <w:pPr>
        <w:spacing w:line="360" w:lineRule="auto"/>
        <w:rPr>
          <w:rFonts w:hint="eastAsia" w:ascii="宋体" w:hAnsi="宋体" w:eastAsia="宋体" w:cs="宋体"/>
          <w:b/>
          <w:color w:val="auto"/>
          <w:sz w:val="24"/>
          <w:highlight w:val="none"/>
        </w:rPr>
      </w:pPr>
    </w:p>
    <w:p w14:paraId="12EDAC3E">
      <w:pPr>
        <w:autoSpaceDE w:val="0"/>
        <w:autoSpaceDN w:val="0"/>
        <w:jc w:val="center"/>
        <w:rPr>
          <w:rFonts w:hint="eastAsia" w:ascii="宋体" w:hAnsi="宋体" w:eastAsia="宋体" w:cs="宋体"/>
          <w:b/>
          <w:color w:val="auto"/>
          <w:spacing w:val="6"/>
          <w:sz w:val="32"/>
          <w:szCs w:val="32"/>
          <w:highlight w:val="none"/>
        </w:rPr>
      </w:pPr>
    </w:p>
    <w:p w14:paraId="047DA2F7">
      <w:pPr>
        <w:autoSpaceDE w:val="0"/>
        <w:autoSpaceDN w:val="0"/>
        <w:jc w:val="center"/>
        <w:rPr>
          <w:rFonts w:hint="eastAsia" w:ascii="宋体" w:hAnsi="宋体" w:eastAsia="宋体" w:cs="宋体"/>
          <w:b/>
          <w:color w:val="auto"/>
          <w:spacing w:val="6"/>
          <w:sz w:val="32"/>
          <w:szCs w:val="32"/>
          <w:highlight w:val="none"/>
        </w:rPr>
      </w:pPr>
    </w:p>
    <w:p w14:paraId="6A14507F">
      <w:pPr>
        <w:autoSpaceDE w:val="0"/>
        <w:autoSpaceDN w:val="0"/>
        <w:jc w:val="center"/>
        <w:rPr>
          <w:rFonts w:hint="eastAsia" w:ascii="宋体" w:hAnsi="宋体" w:eastAsia="宋体" w:cs="宋体"/>
          <w:b/>
          <w:bCs/>
          <w:color w:val="auto"/>
          <w:sz w:val="32"/>
          <w:szCs w:val="32"/>
          <w:highlight w:val="none"/>
        </w:rPr>
      </w:pPr>
      <w:r>
        <w:rPr>
          <w:rFonts w:hint="eastAsia" w:ascii="宋体" w:hAnsi="宋体" w:eastAsia="宋体" w:cs="宋体"/>
          <w:b/>
          <w:color w:val="auto"/>
          <w:spacing w:val="6"/>
          <w:sz w:val="32"/>
          <w:szCs w:val="32"/>
          <w:highlight w:val="none"/>
        </w:rPr>
        <w:t>附件4：</w:t>
      </w:r>
      <w:r>
        <w:rPr>
          <w:rFonts w:hint="eastAsia" w:ascii="宋体" w:hAnsi="宋体" w:eastAsia="宋体" w:cs="宋体"/>
          <w:b/>
          <w:bCs/>
          <w:color w:val="auto"/>
          <w:sz w:val="32"/>
          <w:szCs w:val="32"/>
          <w:highlight w:val="none"/>
        </w:rPr>
        <w:t>业务专用章使用说明函</w:t>
      </w:r>
    </w:p>
    <w:p w14:paraId="52D6845B">
      <w:pPr>
        <w:spacing w:line="360" w:lineRule="auto"/>
        <w:rPr>
          <w:rFonts w:hint="eastAsia" w:ascii="宋体" w:hAnsi="宋体" w:eastAsia="宋体" w:cs="宋体"/>
          <w:color w:val="auto"/>
          <w:sz w:val="24"/>
          <w:highlight w:val="none"/>
          <w:u w:val="single"/>
        </w:rPr>
      </w:pPr>
    </w:p>
    <w:p w14:paraId="4DEC7BA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lang w:eastAsia="zh-CN"/>
        </w:rPr>
        <w:t>杭州第九中学树范学校</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eastAsia="zh-CN"/>
        </w:rPr>
        <w:t>浙江豪圣建设项目管理有限公司</w:t>
      </w:r>
      <w:r>
        <w:rPr>
          <w:rFonts w:hint="eastAsia" w:ascii="宋体" w:hAnsi="宋体" w:eastAsia="宋体" w:cs="宋体"/>
          <w:color w:val="auto"/>
          <w:sz w:val="24"/>
          <w:highlight w:val="none"/>
          <w:u w:val="single"/>
        </w:rPr>
        <w:t>：</w:t>
      </w:r>
    </w:p>
    <w:p w14:paraId="1FE9B9E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(投标人全称)是中华人民共和国依法登记注册的合法企业，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你方组织的</w:t>
      </w:r>
      <w:r>
        <w:rPr>
          <w:rFonts w:hint="eastAsia" w:ascii="宋体" w:hAnsi="宋体" w:eastAsia="宋体" w:cs="宋体"/>
          <w:color w:val="auto"/>
          <w:sz w:val="24"/>
          <w:highlight w:val="none"/>
          <w:lang w:eastAsia="zh-CN"/>
        </w:rPr>
        <w:t>杭州第九中学树范学校</w:t>
      </w:r>
      <w:r>
        <w:rPr>
          <w:rFonts w:hint="eastAsia" w:ascii="宋体" w:hAnsi="宋体" w:cs="宋体"/>
          <w:color w:val="auto"/>
          <w:sz w:val="24"/>
          <w:highlight w:val="none"/>
          <w:lang w:eastAsia="zh-CN"/>
        </w:rPr>
        <w:t>报告厅椅子采购</w:t>
      </w:r>
      <w:r>
        <w:rPr>
          <w:rFonts w:hint="eastAsia" w:ascii="宋体" w:hAnsi="宋体" w:eastAsia="宋体" w:cs="宋体"/>
          <w:color w:val="auto"/>
          <w:sz w:val="24"/>
          <w:highlight w:val="none"/>
        </w:rPr>
        <w:t>【招标编号：</w:t>
      </w:r>
      <w:r>
        <w:rPr>
          <w:rFonts w:hint="eastAsia" w:ascii="宋体" w:hAnsi="宋体" w:eastAsia="宋体" w:cs="宋体"/>
          <w:color w:val="auto"/>
          <w:sz w:val="24"/>
          <w:highlight w:val="none"/>
          <w:lang w:eastAsia="zh-CN"/>
        </w:rPr>
        <w:t>HSZB-2024-1478</w:t>
      </w:r>
      <w:r>
        <w:rPr>
          <w:rFonts w:hint="eastAsia" w:ascii="宋体" w:hAnsi="宋体" w:eastAsia="宋体" w:cs="宋体"/>
          <w:color w:val="auto"/>
          <w:sz w:val="24"/>
          <w:highlight w:val="none"/>
        </w:rPr>
        <w:t>】</w:t>
      </w:r>
      <w:r>
        <w:rPr>
          <w:rFonts w:hint="eastAsia" w:ascii="宋体" w:hAnsi="宋体" w:eastAsia="宋体" w:cs="宋体"/>
          <w:bCs/>
          <w:color w:val="auto"/>
          <w:sz w:val="24"/>
          <w:highlight w:val="none"/>
        </w:rPr>
        <w:t>投标活动中作如下说明：</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14:paraId="69C680A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14:paraId="0ACF9ED2">
      <w:pPr>
        <w:spacing w:line="360" w:lineRule="auto"/>
        <w:ind w:firstLine="494"/>
        <w:rPr>
          <w:rFonts w:hint="eastAsia" w:ascii="宋体" w:hAnsi="宋体" w:eastAsia="宋体" w:cs="宋体"/>
          <w:color w:val="auto"/>
          <w:sz w:val="24"/>
          <w:highlight w:val="none"/>
        </w:rPr>
      </w:pPr>
    </w:p>
    <w:p w14:paraId="28EBB647">
      <w:pPr>
        <w:spacing w:line="360" w:lineRule="auto"/>
        <w:ind w:firstLine="494"/>
        <w:rPr>
          <w:rFonts w:hint="eastAsia" w:ascii="宋体" w:hAnsi="宋体" w:eastAsia="宋体" w:cs="宋体"/>
          <w:color w:val="auto"/>
          <w:sz w:val="24"/>
          <w:highlight w:val="none"/>
        </w:rPr>
      </w:pPr>
    </w:p>
    <w:p w14:paraId="09036A2E">
      <w:pPr>
        <w:spacing w:line="360" w:lineRule="auto"/>
        <w:ind w:firstLine="494"/>
        <w:rPr>
          <w:rFonts w:hint="eastAsia" w:ascii="宋体" w:hAnsi="宋体" w:eastAsia="宋体" w:cs="宋体"/>
          <w:color w:val="auto"/>
          <w:sz w:val="24"/>
          <w:highlight w:val="none"/>
        </w:rPr>
      </w:pPr>
    </w:p>
    <w:p w14:paraId="17AD7879">
      <w:pPr>
        <w:spacing w:line="360" w:lineRule="auto"/>
        <w:ind w:right="48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投标单位（法定名称章）：</w:t>
      </w:r>
    </w:p>
    <w:p w14:paraId="243B23E0">
      <w:pPr>
        <w:ind w:right="1440" w:firstLine="49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04212DD4">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14:paraId="1262E014">
      <w:pPr>
        <w:spacing w:line="360" w:lineRule="auto"/>
        <w:rPr>
          <w:rFonts w:hint="eastAsia" w:ascii="宋体" w:hAnsi="宋体" w:eastAsia="宋体" w:cs="宋体"/>
          <w:bCs/>
          <w:color w:val="auto"/>
          <w:sz w:val="24"/>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color w:val="auto"/>
          <w:sz w:val="24"/>
          <w:highlight w:val="none"/>
        </w:rPr>
        <w:t>投标单位法定名称章（印模）                投标单位“XX专用章”（印模）</w:t>
      </w:r>
    </w:p>
    <w:p w14:paraId="4ABBA83A">
      <w:pPr>
        <w:autoSpaceDE w:val="0"/>
        <w:autoSpaceDN w:val="0"/>
        <w:jc w:val="center"/>
        <w:rPr>
          <w:rFonts w:hint="eastAsia" w:ascii="宋体" w:hAnsi="宋体" w:eastAsia="宋体" w:cs="宋体"/>
          <w:b/>
          <w:color w:val="auto"/>
          <w:spacing w:val="6"/>
          <w:sz w:val="32"/>
          <w:szCs w:val="32"/>
          <w:highlight w:val="none"/>
        </w:rPr>
      </w:pPr>
    </w:p>
    <w:p w14:paraId="0B9AEDC2">
      <w:pPr>
        <w:autoSpaceDE w:val="0"/>
        <w:autoSpaceDN w:val="0"/>
        <w:jc w:val="center"/>
        <w:rPr>
          <w:rFonts w:hint="eastAsia" w:ascii="宋体" w:hAnsi="宋体" w:eastAsia="宋体" w:cs="宋体"/>
          <w:b/>
          <w:color w:val="auto"/>
          <w:spacing w:val="6"/>
          <w:sz w:val="32"/>
          <w:szCs w:val="32"/>
          <w:highlight w:val="none"/>
        </w:rPr>
      </w:pPr>
    </w:p>
    <w:p w14:paraId="6506EE06">
      <w:pPr>
        <w:autoSpaceDE w:val="0"/>
        <w:autoSpaceDN w:val="0"/>
        <w:jc w:val="center"/>
        <w:rPr>
          <w:rFonts w:hint="eastAsia" w:ascii="宋体" w:hAnsi="宋体" w:eastAsia="宋体" w:cs="宋体"/>
          <w:b/>
          <w:color w:val="auto"/>
          <w:spacing w:val="6"/>
          <w:sz w:val="32"/>
          <w:szCs w:val="32"/>
          <w:highlight w:val="none"/>
        </w:rPr>
      </w:pPr>
    </w:p>
    <w:p w14:paraId="0D8844C5">
      <w:pPr>
        <w:autoSpaceDE w:val="0"/>
        <w:autoSpaceDN w:val="0"/>
        <w:jc w:val="center"/>
        <w:rPr>
          <w:rFonts w:hint="eastAsia" w:ascii="宋体" w:hAnsi="宋体" w:eastAsia="宋体" w:cs="宋体"/>
          <w:b/>
          <w:color w:val="auto"/>
          <w:spacing w:val="6"/>
          <w:sz w:val="32"/>
          <w:szCs w:val="32"/>
          <w:highlight w:val="none"/>
        </w:rPr>
      </w:pPr>
    </w:p>
    <w:p w14:paraId="17FCB120">
      <w:pPr>
        <w:autoSpaceDE w:val="0"/>
        <w:autoSpaceDN w:val="0"/>
        <w:jc w:val="center"/>
        <w:rPr>
          <w:rFonts w:hint="eastAsia" w:ascii="宋体" w:hAnsi="宋体" w:eastAsia="宋体" w:cs="宋体"/>
          <w:b/>
          <w:color w:val="auto"/>
          <w:spacing w:val="6"/>
          <w:sz w:val="32"/>
          <w:szCs w:val="32"/>
          <w:highlight w:val="none"/>
        </w:rPr>
      </w:pPr>
    </w:p>
    <w:p w14:paraId="4154DFA0">
      <w:pPr>
        <w:autoSpaceDE w:val="0"/>
        <w:autoSpaceDN w:val="0"/>
        <w:jc w:val="center"/>
        <w:rPr>
          <w:rFonts w:hint="eastAsia" w:ascii="宋体" w:hAnsi="宋体" w:eastAsia="宋体" w:cs="宋体"/>
          <w:b/>
          <w:color w:val="auto"/>
          <w:spacing w:val="6"/>
          <w:sz w:val="32"/>
          <w:szCs w:val="32"/>
          <w:highlight w:val="none"/>
        </w:rPr>
      </w:pPr>
    </w:p>
    <w:p w14:paraId="1B5D79EE">
      <w:pPr>
        <w:autoSpaceDE w:val="0"/>
        <w:autoSpaceDN w:val="0"/>
        <w:jc w:val="center"/>
        <w:rPr>
          <w:rFonts w:hint="eastAsia" w:ascii="宋体" w:hAnsi="宋体" w:eastAsia="宋体" w:cs="宋体"/>
          <w:b/>
          <w:color w:val="auto"/>
          <w:spacing w:val="6"/>
          <w:sz w:val="32"/>
          <w:szCs w:val="32"/>
          <w:highlight w:val="none"/>
        </w:rPr>
      </w:pPr>
    </w:p>
    <w:p w14:paraId="72EA3DD6">
      <w:pPr>
        <w:autoSpaceDE w:val="0"/>
        <w:autoSpaceDN w:val="0"/>
        <w:jc w:val="center"/>
        <w:rPr>
          <w:rFonts w:hint="eastAsia" w:ascii="宋体" w:hAnsi="宋体" w:eastAsia="宋体" w:cs="宋体"/>
          <w:b/>
          <w:color w:val="auto"/>
          <w:spacing w:val="6"/>
          <w:sz w:val="32"/>
          <w:szCs w:val="32"/>
          <w:highlight w:val="none"/>
        </w:rPr>
      </w:pPr>
    </w:p>
    <w:p w14:paraId="40F4A422">
      <w:pPr>
        <w:autoSpaceDE w:val="0"/>
        <w:autoSpaceDN w:val="0"/>
        <w:jc w:val="center"/>
        <w:rPr>
          <w:rFonts w:hint="eastAsia" w:ascii="宋体" w:hAnsi="宋体" w:eastAsia="宋体" w:cs="宋体"/>
          <w:b/>
          <w:color w:val="auto"/>
          <w:spacing w:val="6"/>
          <w:sz w:val="32"/>
          <w:szCs w:val="32"/>
          <w:highlight w:val="none"/>
        </w:rPr>
      </w:pPr>
    </w:p>
    <w:p w14:paraId="12C04853">
      <w:pPr>
        <w:autoSpaceDE w:val="0"/>
        <w:autoSpaceDN w:val="0"/>
        <w:jc w:val="center"/>
        <w:rPr>
          <w:rFonts w:hint="eastAsia" w:ascii="宋体" w:hAnsi="宋体" w:eastAsia="宋体" w:cs="宋体"/>
          <w:b/>
          <w:color w:val="auto"/>
          <w:spacing w:val="6"/>
          <w:sz w:val="32"/>
          <w:szCs w:val="32"/>
          <w:highlight w:val="none"/>
        </w:rPr>
      </w:pPr>
    </w:p>
    <w:p w14:paraId="1693FB2A">
      <w:pPr>
        <w:autoSpaceDE w:val="0"/>
        <w:autoSpaceDN w:val="0"/>
        <w:jc w:val="center"/>
        <w:rPr>
          <w:rFonts w:hint="eastAsia" w:ascii="宋体" w:hAnsi="宋体" w:eastAsia="宋体" w:cs="宋体"/>
          <w:b/>
          <w:color w:val="auto"/>
          <w:spacing w:val="6"/>
          <w:sz w:val="32"/>
          <w:szCs w:val="32"/>
          <w:highlight w:val="none"/>
        </w:rPr>
      </w:pPr>
    </w:p>
    <w:p w14:paraId="1B81F8B7">
      <w:pPr>
        <w:autoSpaceDE w:val="0"/>
        <w:autoSpaceDN w:val="0"/>
        <w:jc w:val="center"/>
        <w:rPr>
          <w:rFonts w:hint="eastAsia" w:ascii="宋体" w:hAnsi="宋体" w:eastAsia="宋体" w:cs="宋体"/>
          <w:b/>
          <w:color w:val="auto"/>
          <w:spacing w:val="6"/>
          <w:sz w:val="32"/>
          <w:szCs w:val="32"/>
          <w:highlight w:val="none"/>
        </w:rPr>
      </w:pPr>
    </w:p>
    <w:p w14:paraId="224BAC19">
      <w:pPr>
        <w:autoSpaceDE w:val="0"/>
        <w:autoSpaceDN w:val="0"/>
        <w:jc w:val="center"/>
        <w:rPr>
          <w:rFonts w:hint="eastAsia" w:ascii="宋体" w:hAnsi="宋体" w:eastAsia="宋体" w:cs="宋体"/>
          <w:b/>
          <w:color w:val="auto"/>
          <w:spacing w:val="6"/>
          <w:sz w:val="32"/>
          <w:szCs w:val="32"/>
          <w:highlight w:val="none"/>
        </w:rPr>
      </w:pPr>
    </w:p>
    <w:p w14:paraId="729E980C">
      <w:pPr>
        <w:autoSpaceDE w:val="0"/>
        <w:autoSpaceDN w:val="0"/>
        <w:jc w:val="center"/>
        <w:rPr>
          <w:rFonts w:hint="eastAsia" w:ascii="宋体" w:hAnsi="宋体" w:eastAsia="宋体" w:cs="宋体"/>
          <w:b/>
          <w:color w:val="auto"/>
          <w:spacing w:val="6"/>
          <w:sz w:val="32"/>
          <w:szCs w:val="32"/>
          <w:highlight w:val="none"/>
        </w:rPr>
      </w:pPr>
    </w:p>
    <w:p w14:paraId="47EC0EC7">
      <w:pPr>
        <w:autoSpaceDE w:val="0"/>
        <w:autoSpaceDN w:val="0"/>
        <w:jc w:val="center"/>
        <w:rPr>
          <w:rFonts w:hint="eastAsia" w:ascii="宋体" w:hAnsi="宋体" w:eastAsia="宋体" w:cs="宋体"/>
          <w:b/>
          <w:color w:val="auto"/>
          <w:spacing w:val="6"/>
          <w:sz w:val="32"/>
          <w:szCs w:val="32"/>
          <w:highlight w:val="none"/>
        </w:rPr>
      </w:pPr>
    </w:p>
    <w:p w14:paraId="0038C346">
      <w:pPr>
        <w:autoSpaceDE w:val="0"/>
        <w:autoSpaceDN w:val="0"/>
        <w:jc w:val="center"/>
        <w:rPr>
          <w:rFonts w:hint="eastAsia" w:ascii="宋体" w:hAnsi="宋体" w:eastAsia="宋体" w:cs="宋体"/>
          <w:b/>
          <w:color w:val="auto"/>
          <w:spacing w:val="6"/>
          <w:sz w:val="32"/>
          <w:szCs w:val="32"/>
          <w:highlight w:val="none"/>
        </w:rPr>
      </w:pPr>
    </w:p>
    <w:p w14:paraId="18D82A8E">
      <w:pPr>
        <w:autoSpaceDE w:val="0"/>
        <w:autoSpaceDN w:val="0"/>
        <w:jc w:val="center"/>
        <w:rPr>
          <w:rFonts w:hint="eastAsia" w:ascii="宋体" w:hAnsi="宋体" w:eastAsia="宋体" w:cs="宋体"/>
          <w:b/>
          <w:color w:val="auto"/>
          <w:spacing w:val="6"/>
          <w:sz w:val="32"/>
          <w:szCs w:val="32"/>
          <w:highlight w:val="none"/>
        </w:rPr>
      </w:pPr>
    </w:p>
    <w:p w14:paraId="2AEA8118">
      <w:pPr>
        <w:autoSpaceDE w:val="0"/>
        <w:autoSpaceDN w:val="0"/>
        <w:jc w:val="center"/>
        <w:rPr>
          <w:rFonts w:hint="eastAsia" w:ascii="宋体" w:hAnsi="宋体" w:eastAsia="宋体" w:cs="宋体"/>
          <w:b/>
          <w:color w:val="auto"/>
          <w:spacing w:val="6"/>
          <w:sz w:val="32"/>
          <w:szCs w:val="32"/>
          <w:highlight w:val="none"/>
        </w:rPr>
      </w:pPr>
    </w:p>
    <w:p w14:paraId="3F2EC552">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附件5：联合协议</w:t>
      </w:r>
    </w:p>
    <w:p w14:paraId="5ABA9534">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（以联合体形式投标的，提供联合协议；本项目不接受联合体投标或者投标人不以联合体形式投标的，则不需要提供）</w:t>
      </w:r>
    </w:p>
    <w:p w14:paraId="174CB142">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组成一个联合体，以一个投标人的身份</w:t>
      </w:r>
      <w:r>
        <w:rPr>
          <w:rFonts w:hint="eastAsia" w:ascii="宋体" w:hAnsi="宋体" w:eastAsia="宋体" w:cs="宋体"/>
          <w:color w:val="auto"/>
          <w:kern w:val="0"/>
          <w:sz w:val="24"/>
          <w:highlight w:val="none"/>
        </w:rPr>
        <w:t>参加</w:t>
      </w:r>
      <w:r>
        <w:rPr>
          <w:rFonts w:hint="eastAsia" w:ascii="宋体" w:hAnsi="宋体" w:eastAsia="宋体" w:cs="宋体"/>
          <w:color w:val="auto"/>
          <w:sz w:val="24"/>
          <w:highlight w:val="none"/>
          <w:lang w:eastAsia="zh-CN"/>
        </w:rPr>
        <w:t>杭州第九中学树范学校</w:t>
      </w:r>
      <w:r>
        <w:rPr>
          <w:rFonts w:hint="eastAsia" w:ascii="宋体" w:hAnsi="宋体" w:cs="宋体"/>
          <w:color w:val="auto"/>
          <w:sz w:val="24"/>
          <w:highlight w:val="none"/>
          <w:lang w:eastAsia="zh-CN"/>
        </w:rPr>
        <w:t>报告厅椅子采购</w:t>
      </w:r>
      <w:r>
        <w:rPr>
          <w:rFonts w:hint="eastAsia" w:ascii="宋体" w:hAnsi="宋体" w:eastAsia="宋体" w:cs="宋体"/>
          <w:color w:val="auto"/>
          <w:sz w:val="24"/>
          <w:highlight w:val="none"/>
        </w:rPr>
        <w:t>【招标编号：</w:t>
      </w:r>
      <w:r>
        <w:rPr>
          <w:rFonts w:hint="eastAsia" w:ascii="宋体" w:hAnsi="宋体" w:eastAsia="宋体" w:cs="宋体"/>
          <w:color w:val="auto"/>
          <w:sz w:val="24"/>
          <w:highlight w:val="none"/>
          <w:lang w:eastAsia="zh-CN"/>
        </w:rPr>
        <w:t>HSZB-2024-1478</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 xml:space="preserve">投标。 </w:t>
      </w:r>
    </w:p>
    <w:p w14:paraId="38FAFCC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一、各方一致决定，</w:t>
      </w:r>
      <w:r>
        <w:rPr>
          <w:rFonts w:hint="eastAsia" w:ascii="宋体" w:hAnsi="宋体" w:eastAsia="宋体" w:cs="宋体"/>
          <w:color w:val="auto"/>
          <w:kern w:val="0"/>
          <w:sz w:val="24"/>
          <w:highlight w:val="none"/>
          <w:u w:val="single"/>
        </w:rPr>
        <w:t>（某联合体成员名称）</w:t>
      </w:r>
      <w:r>
        <w:rPr>
          <w:rFonts w:hint="eastAsia" w:ascii="宋体" w:hAnsi="宋体" w:eastAsia="宋体" w:cs="宋体"/>
          <w:color w:val="auto"/>
          <w:kern w:val="0"/>
          <w:sz w:val="24"/>
          <w:highlight w:val="none"/>
        </w:rPr>
        <w:t>为联合体</w:t>
      </w:r>
      <w:r>
        <w:rPr>
          <w:rFonts w:hint="eastAsia" w:ascii="宋体" w:hAnsi="宋体" w:eastAsia="宋体" w:cs="宋体"/>
          <w:color w:val="auto"/>
          <w:kern w:val="0"/>
          <w:sz w:val="24"/>
          <w:highlight w:val="none"/>
          <w:lang w:val="zh-CN"/>
        </w:rPr>
        <w:t>牵头人</w:t>
      </w:r>
      <w:r>
        <w:rPr>
          <w:rFonts w:hint="eastAsia" w:ascii="宋体" w:hAnsi="宋体" w:eastAsia="宋体" w:cs="宋体"/>
          <w:color w:val="auto"/>
          <w:sz w:val="24"/>
          <w:highlight w:val="none"/>
        </w:rPr>
        <w:t>，代表所有联合体成员负责投标和合同实施阶段的主办、协调工作</w:t>
      </w:r>
      <w:r>
        <w:rPr>
          <w:rFonts w:hint="eastAsia" w:ascii="宋体" w:hAnsi="宋体" w:eastAsia="宋体" w:cs="宋体"/>
          <w:color w:val="auto"/>
          <w:kern w:val="0"/>
          <w:sz w:val="24"/>
          <w:highlight w:val="none"/>
          <w:lang w:val="zh-CN"/>
        </w:rPr>
        <w:t>。</w:t>
      </w:r>
    </w:p>
    <w:p w14:paraId="79ECD19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w:t>
      </w:r>
      <w:r>
        <w:rPr>
          <w:rFonts w:hint="eastAsia" w:ascii="宋体" w:hAnsi="宋体" w:eastAsia="宋体" w:cs="宋体"/>
          <w:color w:val="auto"/>
          <w:sz w:val="24"/>
          <w:highlight w:val="none"/>
        </w:rPr>
        <w:t>所有联合体成员各方签署授权书，授权书载明的</w:t>
      </w:r>
      <w:r>
        <w:rPr>
          <w:rFonts w:hint="eastAsia" w:ascii="宋体" w:hAnsi="宋体" w:eastAsia="宋体" w:cs="宋体"/>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77053F38">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三、本次联合投标中，分工如下：</w:t>
      </w:r>
    </w:p>
    <w:p w14:paraId="15B5865B">
      <w:pPr>
        <w:snapToGrid w:val="0"/>
        <w:spacing w:line="360" w:lineRule="auto"/>
        <w:ind w:firstLine="576"/>
        <w:rPr>
          <w:rFonts w:hint="eastAsia" w:ascii="宋体" w:hAnsi="宋体" w:eastAsia="宋体" w:cs="宋体"/>
          <w:color w:val="auto"/>
          <w:kern w:val="0"/>
          <w:sz w:val="24"/>
          <w:highlight w:val="none"/>
          <w:lang w:val="zh-CN"/>
        </w:rPr>
      </w:pPr>
      <w:bookmarkStart w:id="553" w:name="_Hlk101134295"/>
      <w:r>
        <w:rPr>
          <w:rFonts w:hint="eastAsia" w:ascii="宋体" w:hAnsi="宋体" w:eastAsia="宋体" w:cs="宋体"/>
          <w:color w:val="auto"/>
          <w:kern w:val="0"/>
          <w:sz w:val="24"/>
          <w:highlight w:val="none"/>
          <w:u w:val="single"/>
        </w:rPr>
        <w:t>（联合体成员1）</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77699E79">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（联合体成员2）</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3571F201">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w:t>
      </w:r>
    </w:p>
    <w:bookmarkEnd w:id="553"/>
    <w:p w14:paraId="026770FF">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四、联合体成员中小企业合同份额。</w:t>
      </w:r>
    </w:p>
    <w:p w14:paraId="16870F21">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u w:val="single"/>
        </w:rPr>
        <w:t>（联合体成员X,……）</w:t>
      </w:r>
      <w:r>
        <w:rPr>
          <w:rFonts w:hint="eastAsia" w:ascii="宋体" w:hAnsi="宋体" w:eastAsia="宋体" w:cs="宋体"/>
          <w:color w:val="auto"/>
          <w:kern w:val="0"/>
          <w:sz w:val="24"/>
          <w:highlight w:val="none"/>
        </w:rPr>
        <w:t>提供的全部货物由小微企业制造，其合同份额占到合同总金额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027DA8D2">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2、中小企业合同金额达到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auto"/>
          <w:kern w:val="0"/>
          <w:sz w:val="24"/>
          <w:highlight w:val="none"/>
          <w:lang w:val="zh-CN"/>
        </w:rPr>
        <w:t>）</w:t>
      </w:r>
    </w:p>
    <w:p w14:paraId="001A979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五、如果中标，</w:t>
      </w:r>
      <w:r>
        <w:rPr>
          <w:rFonts w:hint="eastAsia" w:ascii="宋体" w:hAnsi="宋体" w:eastAsia="宋体" w:cs="宋体"/>
          <w:color w:val="auto"/>
          <w:sz w:val="24"/>
          <w:highlight w:val="none"/>
        </w:rPr>
        <w:t>联合体各成员方共同与采购人签订合同，并就采购合同约定的事项对采购人承担连带责任。</w:t>
      </w:r>
    </w:p>
    <w:p w14:paraId="0F5DCFC3">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六、有关本次联合投标的其他事宜：</w:t>
      </w:r>
    </w:p>
    <w:p w14:paraId="583A32B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1、联合体各方不再单独参加或者与其他供应商另外组成联合体参加同一合同项下的政府采购活动。</w:t>
      </w:r>
    </w:p>
    <w:p w14:paraId="401D18A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2、联合体中有同类资质的各方按照联合体分工承担相同工作的，按照资质等级较低的供应商确定资质等级。</w:t>
      </w:r>
    </w:p>
    <w:p w14:paraId="15283572">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3、本协议提交采购人、采购代理机构后，联合体各方不得以任何形式对上述内容进行修改或撤销。</w:t>
      </w:r>
    </w:p>
    <w:p w14:paraId="2323E5B2">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63308159">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7BBED95A">
      <w:pPr>
        <w:snapToGrid w:val="0"/>
        <w:spacing w:line="360" w:lineRule="auto"/>
        <w:ind w:right="960"/>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037AAA46">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7E3700C9">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54A8D504">
      <w:pPr>
        <w:autoSpaceDE w:val="0"/>
        <w:autoSpaceDN w:val="0"/>
        <w:jc w:val="center"/>
        <w:rPr>
          <w:rFonts w:hint="eastAsia" w:ascii="宋体" w:hAnsi="宋体" w:eastAsia="宋体" w:cs="宋体"/>
          <w:b/>
          <w:color w:val="auto"/>
          <w:spacing w:val="6"/>
          <w:sz w:val="32"/>
          <w:szCs w:val="32"/>
          <w:highlight w:val="none"/>
        </w:rPr>
      </w:pPr>
    </w:p>
    <w:p w14:paraId="51F9CABF">
      <w:pPr>
        <w:autoSpaceDE w:val="0"/>
        <w:autoSpaceDN w:val="0"/>
        <w:jc w:val="center"/>
        <w:rPr>
          <w:rFonts w:hint="eastAsia" w:ascii="宋体" w:hAnsi="宋体" w:eastAsia="宋体" w:cs="宋体"/>
          <w:b/>
          <w:color w:val="auto"/>
          <w:spacing w:val="6"/>
          <w:sz w:val="32"/>
          <w:szCs w:val="32"/>
          <w:highlight w:val="none"/>
        </w:rPr>
      </w:pPr>
    </w:p>
    <w:p w14:paraId="082FBC35">
      <w:pPr>
        <w:autoSpaceDE w:val="0"/>
        <w:autoSpaceDN w:val="0"/>
        <w:jc w:val="center"/>
        <w:rPr>
          <w:rFonts w:hint="eastAsia" w:ascii="宋体" w:hAnsi="宋体" w:eastAsia="宋体" w:cs="宋体"/>
          <w:b/>
          <w:color w:val="auto"/>
          <w:spacing w:val="6"/>
          <w:sz w:val="32"/>
          <w:szCs w:val="32"/>
          <w:highlight w:val="none"/>
        </w:rPr>
      </w:pPr>
    </w:p>
    <w:p w14:paraId="219984D3">
      <w:pPr>
        <w:autoSpaceDE w:val="0"/>
        <w:autoSpaceDN w:val="0"/>
        <w:jc w:val="center"/>
        <w:rPr>
          <w:rFonts w:hint="eastAsia" w:ascii="宋体" w:hAnsi="宋体" w:eastAsia="宋体" w:cs="宋体"/>
          <w:b/>
          <w:color w:val="auto"/>
          <w:spacing w:val="6"/>
          <w:sz w:val="32"/>
          <w:szCs w:val="32"/>
          <w:highlight w:val="none"/>
        </w:rPr>
      </w:pPr>
    </w:p>
    <w:p w14:paraId="6C775647">
      <w:pPr>
        <w:autoSpaceDE w:val="0"/>
        <w:autoSpaceDN w:val="0"/>
        <w:jc w:val="center"/>
        <w:rPr>
          <w:rFonts w:hint="eastAsia" w:ascii="宋体" w:hAnsi="宋体" w:eastAsia="宋体" w:cs="宋体"/>
          <w:b/>
          <w:color w:val="auto"/>
          <w:spacing w:val="6"/>
          <w:sz w:val="32"/>
          <w:szCs w:val="32"/>
          <w:highlight w:val="none"/>
        </w:rPr>
      </w:pPr>
    </w:p>
    <w:p w14:paraId="082AE730">
      <w:pPr>
        <w:autoSpaceDE w:val="0"/>
        <w:autoSpaceDN w:val="0"/>
        <w:jc w:val="center"/>
        <w:rPr>
          <w:rFonts w:hint="eastAsia" w:ascii="宋体" w:hAnsi="宋体" w:eastAsia="宋体" w:cs="宋体"/>
          <w:b/>
          <w:color w:val="auto"/>
          <w:spacing w:val="6"/>
          <w:sz w:val="32"/>
          <w:szCs w:val="32"/>
          <w:highlight w:val="none"/>
        </w:rPr>
      </w:pPr>
    </w:p>
    <w:p w14:paraId="56056B09">
      <w:pPr>
        <w:autoSpaceDE w:val="0"/>
        <w:autoSpaceDN w:val="0"/>
        <w:jc w:val="center"/>
        <w:rPr>
          <w:rFonts w:hint="eastAsia" w:ascii="宋体" w:hAnsi="宋体" w:eastAsia="宋体" w:cs="宋体"/>
          <w:b/>
          <w:color w:val="auto"/>
          <w:spacing w:val="6"/>
          <w:sz w:val="32"/>
          <w:szCs w:val="32"/>
          <w:highlight w:val="none"/>
        </w:rPr>
      </w:pPr>
    </w:p>
    <w:p w14:paraId="0BD40666">
      <w:pPr>
        <w:autoSpaceDE w:val="0"/>
        <w:autoSpaceDN w:val="0"/>
        <w:jc w:val="center"/>
        <w:rPr>
          <w:rFonts w:hint="eastAsia" w:ascii="宋体" w:hAnsi="宋体" w:eastAsia="宋体" w:cs="宋体"/>
          <w:b/>
          <w:color w:val="auto"/>
          <w:spacing w:val="6"/>
          <w:sz w:val="32"/>
          <w:szCs w:val="32"/>
          <w:highlight w:val="none"/>
        </w:rPr>
      </w:pPr>
    </w:p>
    <w:p w14:paraId="77106777">
      <w:pPr>
        <w:autoSpaceDE w:val="0"/>
        <w:autoSpaceDN w:val="0"/>
        <w:jc w:val="center"/>
        <w:rPr>
          <w:rFonts w:hint="eastAsia" w:ascii="宋体" w:hAnsi="宋体" w:eastAsia="宋体" w:cs="宋体"/>
          <w:b/>
          <w:color w:val="auto"/>
          <w:spacing w:val="6"/>
          <w:sz w:val="32"/>
          <w:szCs w:val="32"/>
          <w:highlight w:val="none"/>
        </w:rPr>
      </w:pPr>
    </w:p>
    <w:p w14:paraId="716A0CB7">
      <w:pPr>
        <w:autoSpaceDE w:val="0"/>
        <w:autoSpaceDN w:val="0"/>
        <w:jc w:val="center"/>
        <w:rPr>
          <w:rFonts w:hint="eastAsia" w:ascii="宋体" w:hAnsi="宋体" w:eastAsia="宋体" w:cs="宋体"/>
          <w:b/>
          <w:color w:val="auto"/>
          <w:spacing w:val="6"/>
          <w:sz w:val="32"/>
          <w:szCs w:val="32"/>
          <w:highlight w:val="none"/>
        </w:rPr>
      </w:pPr>
    </w:p>
    <w:p w14:paraId="61F54E11">
      <w:pPr>
        <w:autoSpaceDE w:val="0"/>
        <w:autoSpaceDN w:val="0"/>
        <w:jc w:val="center"/>
        <w:rPr>
          <w:rFonts w:hint="eastAsia" w:ascii="宋体" w:hAnsi="宋体" w:eastAsia="宋体" w:cs="宋体"/>
          <w:b/>
          <w:color w:val="auto"/>
          <w:spacing w:val="6"/>
          <w:sz w:val="32"/>
          <w:szCs w:val="32"/>
          <w:highlight w:val="none"/>
        </w:rPr>
      </w:pPr>
    </w:p>
    <w:p w14:paraId="50F3EE8A">
      <w:pPr>
        <w:autoSpaceDE w:val="0"/>
        <w:autoSpaceDN w:val="0"/>
        <w:jc w:val="center"/>
        <w:rPr>
          <w:rFonts w:hint="eastAsia" w:ascii="宋体" w:hAnsi="宋体" w:eastAsia="宋体" w:cs="宋体"/>
          <w:b/>
          <w:color w:val="auto"/>
          <w:spacing w:val="6"/>
          <w:sz w:val="32"/>
          <w:szCs w:val="32"/>
          <w:highlight w:val="none"/>
        </w:rPr>
      </w:pPr>
    </w:p>
    <w:p w14:paraId="07C37353">
      <w:pPr>
        <w:autoSpaceDE w:val="0"/>
        <w:autoSpaceDN w:val="0"/>
        <w:jc w:val="center"/>
        <w:rPr>
          <w:rFonts w:hint="eastAsia" w:ascii="宋体" w:hAnsi="宋体" w:eastAsia="宋体" w:cs="宋体"/>
          <w:b/>
          <w:color w:val="auto"/>
          <w:spacing w:val="6"/>
          <w:sz w:val="32"/>
          <w:szCs w:val="32"/>
          <w:highlight w:val="none"/>
        </w:rPr>
      </w:pPr>
    </w:p>
    <w:p w14:paraId="75948E1D">
      <w:pPr>
        <w:autoSpaceDE w:val="0"/>
        <w:autoSpaceDN w:val="0"/>
        <w:jc w:val="center"/>
        <w:rPr>
          <w:rFonts w:hint="eastAsia" w:ascii="宋体" w:hAnsi="宋体" w:eastAsia="宋体" w:cs="宋体"/>
          <w:b/>
          <w:color w:val="auto"/>
          <w:spacing w:val="6"/>
          <w:sz w:val="32"/>
          <w:szCs w:val="32"/>
          <w:highlight w:val="none"/>
        </w:rPr>
      </w:pPr>
    </w:p>
    <w:p w14:paraId="1D53E5D9">
      <w:pPr>
        <w:autoSpaceDE w:val="0"/>
        <w:autoSpaceDN w:val="0"/>
        <w:jc w:val="center"/>
        <w:rPr>
          <w:rFonts w:hint="eastAsia" w:ascii="宋体" w:hAnsi="宋体" w:eastAsia="宋体" w:cs="宋体"/>
          <w:b/>
          <w:color w:val="auto"/>
          <w:spacing w:val="6"/>
          <w:sz w:val="32"/>
          <w:szCs w:val="32"/>
          <w:highlight w:val="none"/>
        </w:rPr>
      </w:pPr>
    </w:p>
    <w:p w14:paraId="604DB43C">
      <w:pPr>
        <w:autoSpaceDE w:val="0"/>
        <w:autoSpaceDN w:val="0"/>
        <w:jc w:val="center"/>
        <w:rPr>
          <w:rFonts w:hint="eastAsia" w:ascii="宋体" w:hAnsi="宋体" w:eastAsia="宋体" w:cs="宋体"/>
          <w:b/>
          <w:color w:val="auto"/>
          <w:spacing w:val="6"/>
          <w:sz w:val="32"/>
          <w:szCs w:val="32"/>
          <w:highlight w:val="none"/>
        </w:rPr>
      </w:pPr>
    </w:p>
    <w:p w14:paraId="39045196">
      <w:pPr>
        <w:autoSpaceDE w:val="0"/>
        <w:autoSpaceDN w:val="0"/>
        <w:jc w:val="center"/>
        <w:rPr>
          <w:rFonts w:hint="eastAsia" w:ascii="宋体" w:hAnsi="宋体" w:eastAsia="宋体" w:cs="宋体"/>
          <w:b/>
          <w:color w:val="auto"/>
          <w:spacing w:val="6"/>
          <w:sz w:val="32"/>
          <w:szCs w:val="32"/>
          <w:highlight w:val="none"/>
        </w:rPr>
      </w:pPr>
    </w:p>
    <w:p w14:paraId="703C4219">
      <w:pPr>
        <w:autoSpaceDE w:val="0"/>
        <w:autoSpaceDN w:val="0"/>
        <w:jc w:val="center"/>
        <w:rPr>
          <w:rFonts w:hint="eastAsia" w:ascii="宋体" w:hAnsi="宋体" w:eastAsia="宋体" w:cs="宋体"/>
          <w:b/>
          <w:color w:val="auto"/>
          <w:spacing w:val="6"/>
          <w:sz w:val="32"/>
          <w:szCs w:val="32"/>
          <w:highlight w:val="none"/>
        </w:rPr>
      </w:pPr>
    </w:p>
    <w:p w14:paraId="1EEA09BA">
      <w:pPr>
        <w:autoSpaceDE w:val="0"/>
        <w:autoSpaceDN w:val="0"/>
        <w:jc w:val="center"/>
        <w:rPr>
          <w:rFonts w:hint="eastAsia" w:ascii="宋体" w:hAnsi="宋体" w:eastAsia="宋体" w:cs="宋体"/>
          <w:b/>
          <w:color w:val="auto"/>
          <w:spacing w:val="6"/>
          <w:sz w:val="32"/>
          <w:szCs w:val="32"/>
          <w:highlight w:val="none"/>
        </w:rPr>
      </w:pPr>
    </w:p>
    <w:p w14:paraId="4727CF57">
      <w:pPr>
        <w:autoSpaceDE w:val="0"/>
        <w:autoSpaceDN w:val="0"/>
        <w:jc w:val="center"/>
        <w:rPr>
          <w:rFonts w:hint="eastAsia" w:ascii="宋体" w:hAnsi="宋体" w:eastAsia="宋体" w:cs="宋体"/>
          <w:b/>
          <w:color w:val="auto"/>
          <w:spacing w:val="6"/>
          <w:sz w:val="32"/>
          <w:szCs w:val="32"/>
          <w:highlight w:val="none"/>
        </w:rPr>
      </w:pPr>
    </w:p>
    <w:p w14:paraId="4FF6A883">
      <w:pPr>
        <w:autoSpaceDE w:val="0"/>
        <w:autoSpaceDN w:val="0"/>
        <w:jc w:val="center"/>
        <w:rPr>
          <w:rFonts w:hint="eastAsia" w:ascii="宋体" w:hAnsi="宋体" w:eastAsia="宋体" w:cs="宋体"/>
          <w:b/>
          <w:color w:val="auto"/>
          <w:spacing w:val="6"/>
          <w:sz w:val="32"/>
          <w:szCs w:val="32"/>
          <w:highlight w:val="none"/>
        </w:rPr>
      </w:pPr>
    </w:p>
    <w:p w14:paraId="6B1FFF69">
      <w:pPr>
        <w:autoSpaceDE w:val="0"/>
        <w:autoSpaceDN w:val="0"/>
        <w:jc w:val="center"/>
        <w:rPr>
          <w:rFonts w:hint="eastAsia" w:ascii="宋体" w:hAnsi="宋体" w:eastAsia="宋体" w:cs="宋体"/>
          <w:b/>
          <w:color w:val="auto"/>
          <w:spacing w:val="6"/>
          <w:sz w:val="32"/>
          <w:szCs w:val="32"/>
          <w:highlight w:val="none"/>
        </w:rPr>
      </w:pPr>
    </w:p>
    <w:p w14:paraId="2E386467">
      <w:pPr>
        <w:autoSpaceDE w:val="0"/>
        <w:autoSpaceDN w:val="0"/>
        <w:jc w:val="center"/>
        <w:rPr>
          <w:rFonts w:hint="eastAsia" w:ascii="宋体" w:hAnsi="宋体" w:eastAsia="宋体" w:cs="宋体"/>
          <w:b/>
          <w:color w:val="auto"/>
          <w:spacing w:val="6"/>
          <w:sz w:val="32"/>
          <w:szCs w:val="32"/>
          <w:highlight w:val="none"/>
        </w:rPr>
      </w:pPr>
    </w:p>
    <w:p w14:paraId="0B4330C0">
      <w:pPr>
        <w:autoSpaceDE w:val="0"/>
        <w:autoSpaceDN w:val="0"/>
        <w:jc w:val="center"/>
        <w:rPr>
          <w:rFonts w:hint="eastAsia" w:ascii="宋体" w:hAnsi="宋体" w:eastAsia="宋体" w:cs="宋体"/>
          <w:b/>
          <w:color w:val="auto"/>
          <w:spacing w:val="6"/>
          <w:sz w:val="32"/>
          <w:szCs w:val="32"/>
          <w:highlight w:val="none"/>
        </w:rPr>
      </w:pPr>
    </w:p>
    <w:p w14:paraId="5E598B1A">
      <w:pPr>
        <w:autoSpaceDE w:val="0"/>
        <w:autoSpaceDN w:val="0"/>
        <w:jc w:val="center"/>
        <w:rPr>
          <w:rFonts w:hint="eastAsia" w:ascii="宋体" w:hAnsi="宋体" w:eastAsia="宋体" w:cs="宋体"/>
          <w:b/>
          <w:color w:val="auto"/>
          <w:spacing w:val="6"/>
          <w:sz w:val="32"/>
          <w:szCs w:val="32"/>
          <w:highlight w:val="none"/>
        </w:rPr>
      </w:pPr>
    </w:p>
    <w:p w14:paraId="76E04D6B">
      <w:pPr>
        <w:autoSpaceDE w:val="0"/>
        <w:autoSpaceDN w:val="0"/>
        <w:jc w:val="center"/>
        <w:rPr>
          <w:rFonts w:hint="eastAsia" w:ascii="宋体" w:hAnsi="宋体" w:eastAsia="宋体" w:cs="宋体"/>
          <w:b/>
          <w:color w:val="auto"/>
          <w:spacing w:val="6"/>
          <w:sz w:val="32"/>
          <w:szCs w:val="32"/>
          <w:highlight w:val="none"/>
        </w:rPr>
      </w:pPr>
    </w:p>
    <w:p w14:paraId="1FD35325">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附件6：分包意向协议</w:t>
      </w:r>
    </w:p>
    <w:p w14:paraId="3AEA4BFC">
      <w:pPr>
        <w:widowControl/>
        <w:spacing w:line="360" w:lineRule="auto"/>
        <w:ind w:firstLine="120" w:firstLineChars="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color w:val="auto"/>
          <w:sz w:val="24"/>
          <w:highlight w:val="none"/>
        </w:rPr>
        <w:t>）</w:t>
      </w:r>
    </w:p>
    <w:p w14:paraId="70D3EA2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若成为</w:t>
      </w:r>
      <w:r>
        <w:rPr>
          <w:rFonts w:hint="eastAsia" w:ascii="宋体" w:hAnsi="宋体" w:eastAsia="宋体" w:cs="宋体"/>
          <w:color w:val="auto"/>
          <w:sz w:val="24"/>
          <w:highlight w:val="none"/>
          <w:lang w:eastAsia="zh-CN"/>
        </w:rPr>
        <w:t>杭州第九中学树范学校</w:t>
      </w:r>
      <w:r>
        <w:rPr>
          <w:rFonts w:hint="eastAsia" w:ascii="宋体" w:hAnsi="宋体" w:cs="宋体"/>
          <w:color w:val="auto"/>
          <w:sz w:val="24"/>
          <w:highlight w:val="none"/>
          <w:lang w:eastAsia="zh-CN"/>
        </w:rPr>
        <w:t>报告厅椅子采购</w:t>
      </w:r>
      <w:r>
        <w:rPr>
          <w:rFonts w:hint="eastAsia" w:ascii="宋体" w:hAnsi="宋体" w:eastAsia="宋体" w:cs="宋体"/>
          <w:color w:val="auto"/>
          <w:sz w:val="24"/>
          <w:highlight w:val="none"/>
        </w:rPr>
        <w:t>【招标编号：</w:t>
      </w:r>
      <w:r>
        <w:rPr>
          <w:rFonts w:hint="eastAsia" w:ascii="宋体" w:hAnsi="宋体" w:eastAsia="宋体" w:cs="宋体"/>
          <w:color w:val="auto"/>
          <w:sz w:val="24"/>
          <w:highlight w:val="none"/>
          <w:lang w:eastAsia="zh-CN"/>
        </w:rPr>
        <w:t>HSZB-2024-1478</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的中标供应商，将依法采取分包方式履行合同。</w:t>
      </w: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rPr>
        <w:t>与</w:t>
      </w:r>
      <w:r>
        <w:rPr>
          <w:rFonts w:hint="eastAsia" w:ascii="宋体" w:hAnsi="宋体" w:eastAsia="宋体" w:cs="宋体"/>
          <w:color w:val="auto"/>
          <w:kern w:val="0"/>
          <w:sz w:val="24"/>
          <w:highlight w:val="none"/>
          <w:u w:val="single"/>
        </w:rPr>
        <w:t>（所有分包供应商名称）</w:t>
      </w:r>
      <w:r>
        <w:rPr>
          <w:rFonts w:hint="eastAsia" w:ascii="宋体" w:hAnsi="宋体" w:eastAsia="宋体" w:cs="宋体"/>
          <w:color w:val="auto"/>
          <w:kern w:val="0"/>
          <w:sz w:val="24"/>
          <w:highlight w:val="none"/>
        </w:rPr>
        <w:t>达成分包意向协议</w:t>
      </w:r>
      <w:r>
        <w:rPr>
          <w:rFonts w:hint="eastAsia" w:ascii="宋体" w:hAnsi="宋体" w:eastAsia="宋体" w:cs="宋体"/>
          <w:color w:val="auto"/>
          <w:kern w:val="0"/>
          <w:sz w:val="24"/>
          <w:highlight w:val="none"/>
          <w:lang w:val="zh-CN"/>
        </w:rPr>
        <w:t xml:space="preserve">。 </w:t>
      </w:r>
    </w:p>
    <w:p w14:paraId="60235EA5">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一、分包标的及数量</w:t>
      </w:r>
    </w:p>
    <w:p w14:paraId="423436E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将</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u w:val="single"/>
        </w:rPr>
        <w:t xml:space="preserve">  XX工作内容   </w:t>
      </w:r>
      <w:r>
        <w:rPr>
          <w:rFonts w:hint="eastAsia" w:ascii="宋体" w:hAnsi="宋体" w:eastAsia="宋体" w:cs="宋体"/>
          <w:color w:val="auto"/>
          <w:sz w:val="24"/>
          <w:highlight w:val="none"/>
        </w:rPr>
        <w:t>分包给</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u w:val="single"/>
        </w:rPr>
        <w:t>（分包供应商1名称），</w:t>
      </w:r>
      <w:r>
        <w:rPr>
          <w:rFonts w:hint="eastAsia" w:ascii="宋体" w:hAnsi="宋体" w:eastAsia="宋体" w:cs="宋体"/>
          <w:color w:val="auto"/>
          <w:kern w:val="0"/>
          <w:sz w:val="24"/>
          <w:highlight w:val="none"/>
          <w:lang w:val="zh-CN"/>
        </w:rPr>
        <w:t>具备承</w:t>
      </w:r>
      <w:r>
        <w:rPr>
          <w:rFonts w:hint="eastAsia" w:ascii="宋体" w:hAnsi="宋体" w:eastAsia="宋体" w:cs="宋体"/>
          <w:color w:val="auto"/>
          <w:kern w:val="0"/>
          <w:sz w:val="24"/>
          <w:highlight w:val="none"/>
        </w:rPr>
        <w:t>担</w:t>
      </w:r>
      <w:r>
        <w:rPr>
          <w:rFonts w:hint="eastAsia" w:ascii="宋体" w:hAnsi="宋体" w:eastAsia="宋体" w:cs="宋体"/>
          <w:color w:val="auto"/>
          <w:kern w:val="0"/>
          <w:sz w:val="24"/>
          <w:highlight w:val="none"/>
          <w:u w:val="single"/>
          <w:lang w:val="zh-CN"/>
        </w:rPr>
        <w:t>XX工作内容</w:t>
      </w:r>
      <w:r>
        <w:rPr>
          <w:rFonts w:hint="eastAsia" w:ascii="宋体" w:hAnsi="宋体" w:eastAsia="宋体" w:cs="宋体"/>
          <w:color w:val="auto"/>
          <w:kern w:val="0"/>
          <w:sz w:val="24"/>
          <w:highlight w:val="none"/>
          <w:lang w:val="zh-CN"/>
        </w:rPr>
        <w:t>相应资质条件且不得再次分包；</w:t>
      </w:r>
    </w:p>
    <w:p w14:paraId="2B806F98">
      <w:pPr>
        <w:pStyle w:val="2"/>
        <w:ind w:left="664" w:leftChars="316" w:firstLine="229" w:firstLineChars="9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6ACEF46A">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二、分包供应商中小企业合同份额</w:t>
      </w:r>
    </w:p>
    <w:p w14:paraId="501537FD">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u w:val="single"/>
        </w:rPr>
        <w:t>（分包供应商X,……）提供的货物全部由小微企业制造，</w:t>
      </w:r>
      <w:r>
        <w:rPr>
          <w:rFonts w:hint="eastAsia" w:ascii="宋体" w:hAnsi="宋体" w:eastAsia="宋体" w:cs="宋体"/>
          <w:color w:val="auto"/>
          <w:kern w:val="0"/>
          <w:sz w:val="24"/>
          <w:highlight w:val="none"/>
        </w:rPr>
        <w:t>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highlight w:val="none"/>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217156FA">
      <w:pPr>
        <w:spacing w:line="360" w:lineRule="auto"/>
        <w:ind w:firstLine="480" w:firstLineChars="200"/>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w:t>
      </w:r>
      <w:bookmarkStart w:id="554" w:name="_Hlk101133173"/>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要求合同分包形式参加的项目或采购包，供应商按招标文件第一部分招标公告申请人的资格要求中规定的</w:t>
      </w:r>
      <w:r>
        <w:rPr>
          <w:rFonts w:hint="eastAsia" w:ascii="宋体" w:hAnsi="宋体" w:eastAsia="宋体" w:cs="宋体"/>
          <w:b/>
          <w:color w:val="auto"/>
          <w:kern w:val="0"/>
          <w:sz w:val="24"/>
          <w:highlight w:val="none"/>
          <w:lang w:val="zh-CN"/>
        </w:rPr>
        <w:t>分包意向协议</w:t>
      </w:r>
      <w:r>
        <w:rPr>
          <w:rFonts w:hint="eastAsia" w:ascii="宋体" w:hAnsi="宋体" w:eastAsia="宋体" w:cs="宋体"/>
          <w:b/>
          <w:bCs/>
          <w:color w:val="auto"/>
          <w:sz w:val="24"/>
          <w:highlight w:val="none"/>
        </w:rPr>
        <w:t>中中小企业、小微企业合同金额应当达到的比例要求填写。</w:t>
      </w:r>
      <w:r>
        <w:rPr>
          <w:rFonts w:hint="eastAsia" w:ascii="宋体" w:hAnsi="宋体" w:eastAsia="宋体" w:cs="宋体"/>
          <w:b/>
          <w:bCs/>
          <w:color w:val="auto"/>
          <w:kern w:val="0"/>
          <w:sz w:val="24"/>
          <w:highlight w:val="none"/>
          <w:lang w:val="zh-CN"/>
        </w:rPr>
        <w:t>）</w:t>
      </w:r>
      <w:bookmarkEnd w:id="554"/>
    </w:p>
    <w:p w14:paraId="249B1915">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三、分包工作履行期限、地点、方式</w:t>
      </w:r>
    </w:p>
    <w:p w14:paraId="5A581535">
      <w:pPr>
        <w:snapToGrid w:val="0"/>
        <w:spacing w:line="360" w:lineRule="auto"/>
        <w:ind w:firstLine="576"/>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                                                                                  </w:t>
      </w:r>
    </w:p>
    <w:p w14:paraId="68DFFE77">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四、质量</w:t>
      </w:r>
    </w:p>
    <w:p w14:paraId="1294ADD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38066DC0">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五、价款或者报酬</w:t>
      </w:r>
    </w:p>
    <w:p w14:paraId="1F742EBB">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4BC882A8">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六、违约责任</w:t>
      </w:r>
    </w:p>
    <w:p w14:paraId="6667242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14AC756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七、争议解决的办法</w:t>
      </w:r>
    </w:p>
    <w:p w14:paraId="254227C7">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0F005D05">
      <w:pPr>
        <w:snapToGrid w:val="0"/>
        <w:spacing w:line="360" w:lineRule="auto"/>
        <w:ind w:left="5758" w:leftChars="342" w:hanging="5040" w:hanging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w:t>
      </w:r>
    </w:p>
    <w:p w14:paraId="6472B6EC">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分包供应商名称(电子签名/公章)：</w:t>
      </w:r>
    </w:p>
    <w:p w14:paraId="5DB0931F">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0FBC6587">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02B9CDBE">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3D7C7207">
      <w:pPr>
        <w:autoSpaceDE w:val="0"/>
        <w:autoSpaceDN w:val="0"/>
        <w:jc w:val="center"/>
        <w:rPr>
          <w:rFonts w:hint="eastAsia" w:ascii="宋体" w:hAnsi="宋体" w:eastAsia="宋体" w:cs="宋体"/>
          <w:b/>
          <w:color w:val="auto"/>
          <w:spacing w:val="6"/>
          <w:sz w:val="32"/>
          <w:szCs w:val="32"/>
          <w:highlight w:val="none"/>
        </w:rPr>
      </w:pPr>
    </w:p>
    <w:p w14:paraId="0D7F3571">
      <w:pPr>
        <w:autoSpaceDE w:val="0"/>
        <w:autoSpaceDN w:val="0"/>
        <w:jc w:val="center"/>
        <w:rPr>
          <w:rFonts w:hint="eastAsia" w:ascii="宋体" w:hAnsi="宋体" w:eastAsia="宋体" w:cs="宋体"/>
          <w:b/>
          <w:color w:val="auto"/>
          <w:spacing w:val="6"/>
          <w:sz w:val="32"/>
          <w:szCs w:val="32"/>
          <w:highlight w:val="none"/>
        </w:rPr>
      </w:pPr>
    </w:p>
    <w:p w14:paraId="2C94EA65">
      <w:pPr>
        <w:autoSpaceDE w:val="0"/>
        <w:autoSpaceDN w:val="0"/>
        <w:jc w:val="center"/>
        <w:rPr>
          <w:rFonts w:hint="eastAsia" w:ascii="宋体" w:hAnsi="宋体" w:eastAsia="宋体" w:cs="宋体"/>
          <w:b/>
          <w:color w:val="auto"/>
          <w:spacing w:val="6"/>
          <w:sz w:val="32"/>
          <w:szCs w:val="32"/>
          <w:highlight w:val="none"/>
        </w:rPr>
      </w:pPr>
    </w:p>
    <w:p w14:paraId="397E01AF">
      <w:pPr>
        <w:autoSpaceDE w:val="0"/>
        <w:autoSpaceDN w:val="0"/>
        <w:jc w:val="center"/>
        <w:rPr>
          <w:rFonts w:hint="eastAsia" w:ascii="宋体" w:hAnsi="宋体" w:eastAsia="宋体" w:cs="宋体"/>
          <w:b/>
          <w:color w:val="auto"/>
          <w:spacing w:val="6"/>
          <w:sz w:val="32"/>
          <w:szCs w:val="32"/>
          <w:highlight w:val="none"/>
        </w:rPr>
      </w:pPr>
    </w:p>
    <w:p w14:paraId="5659513B">
      <w:pPr>
        <w:autoSpaceDE w:val="0"/>
        <w:autoSpaceDN w:val="0"/>
        <w:jc w:val="center"/>
        <w:rPr>
          <w:rFonts w:hint="eastAsia" w:ascii="宋体" w:hAnsi="宋体" w:eastAsia="宋体" w:cs="宋体"/>
          <w:b/>
          <w:color w:val="auto"/>
          <w:spacing w:val="6"/>
          <w:sz w:val="32"/>
          <w:szCs w:val="32"/>
          <w:highlight w:val="none"/>
        </w:rPr>
      </w:pPr>
    </w:p>
    <w:p w14:paraId="2D9D85B7">
      <w:pPr>
        <w:autoSpaceDE w:val="0"/>
        <w:autoSpaceDN w:val="0"/>
        <w:jc w:val="center"/>
        <w:rPr>
          <w:rFonts w:hint="eastAsia" w:ascii="宋体" w:hAnsi="宋体" w:eastAsia="宋体" w:cs="宋体"/>
          <w:b/>
          <w:color w:val="auto"/>
          <w:spacing w:val="6"/>
          <w:sz w:val="32"/>
          <w:szCs w:val="32"/>
          <w:highlight w:val="none"/>
        </w:rPr>
      </w:pPr>
    </w:p>
    <w:p w14:paraId="6C789929">
      <w:pPr>
        <w:autoSpaceDE w:val="0"/>
        <w:autoSpaceDN w:val="0"/>
        <w:jc w:val="center"/>
        <w:rPr>
          <w:rFonts w:hint="eastAsia" w:ascii="宋体" w:hAnsi="宋体" w:eastAsia="宋体" w:cs="宋体"/>
          <w:b/>
          <w:color w:val="auto"/>
          <w:spacing w:val="6"/>
          <w:sz w:val="32"/>
          <w:szCs w:val="32"/>
          <w:highlight w:val="none"/>
        </w:rPr>
      </w:pPr>
    </w:p>
    <w:p w14:paraId="55DDE94E">
      <w:pPr>
        <w:autoSpaceDE w:val="0"/>
        <w:autoSpaceDN w:val="0"/>
        <w:jc w:val="center"/>
        <w:rPr>
          <w:rFonts w:hint="eastAsia" w:ascii="宋体" w:hAnsi="宋体" w:eastAsia="宋体" w:cs="宋体"/>
          <w:b/>
          <w:color w:val="auto"/>
          <w:spacing w:val="6"/>
          <w:sz w:val="32"/>
          <w:szCs w:val="32"/>
          <w:highlight w:val="none"/>
        </w:rPr>
      </w:pPr>
    </w:p>
    <w:p w14:paraId="3ABAD05C">
      <w:pPr>
        <w:autoSpaceDE w:val="0"/>
        <w:autoSpaceDN w:val="0"/>
        <w:jc w:val="center"/>
        <w:rPr>
          <w:rFonts w:hint="eastAsia" w:ascii="宋体" w:hAnsi="宋体" w:eastAsia="宋体" w:cs="宋体"/>
          <w:b/>
          <w:color w:val="auto"/>
          <w:spacing w:val="6"/>
          <w:sz w:val="32"/>
          <w:szCs w:val="32"/>
          <w:highlight w:val="none"/>
        </w:rPr>
      </w:pPr>
    </w:p>
    <w:p w14:paraId="1152BB0B">
      <w:pPr>
        <w:autoSpaceDE w:val="0"/>
        <w:autoSpaceDN w:val="0"/>
        <w:jc w:val="center"/>
        <w:rPr>
          <w:rFonts w:hint="eastAsia" w:ascii="宋体" w:hAnsi="宋体" w:eastAsia="宋体" w:cs="宋体"/>
          <w:b/>
          <w:color w:val="auto"/>
          <w:spacing w:val="6"/>
          <w:sz w:val="32"/>
          <w:szCs w:val="32"/>
          <w:highlight w:val="none"/>
        </w:rPr>
      </w:pPr>
    </w:p>
    <w:p w14:paraId="10615577">
      <w:pPr>
        <w:autoSpaceDE w:val="0"/>
        <w:autoSpaceDN w:val="0"/>
        <w:jc w:val="center"/>
        <w:rPr>
          <w:rFonts w:hint="eastAsia" w:ascii="宋体" w:hAnsi="宋体" w:eastAsia="宋体" w:cs="宋体"/>
          <w:b/>
          <w:color w:val="auto"/>
          <w:spacing w:val="6"/>
          <w:sz w:val="32"/>
          <w:szCs w:val="32"/>
          <w:highlight w:val="none"/>
        </w:rPr>
      </w:pPr>
    </w:p>
    <w:p w14:paraId="6B8241C7">
      <w:pPr>
        <w:autoSpaceDE w:val="0"/>
        <w:autoSpaceDN w:val="0"/>
        <w:jc w:val="center"/>
        <w:rPr>
          <w:rFonts w:hint="eastAsia" w:ascii="宋体" w:hAnsi="宋体" w:eastAsia="宋体" w:cs="宋体"/>
          <w:b/>
          <w:color w:val="auto"/>
          <w:spacing w:val="6"/>
          <w:sz w:val="32"/>
          <w:szCs w:val="32"/>
          <w:highlight w:val="none"/>
        </w:rPr>
      </w:pPr>
    </w:p>
    <w:p w14:paraId="57FCAB35">
      <w:pPr>
        <w:autoSpaceDE w:val="0"/>
        <w:autoSpaceDN w:val="0"/>
        <w:jc w:val="center"/>
        <w:rPr>
          <w:rFonts w:hint="eastAsia" w:ascii="宋体" w:hAnsi="宋体" w:eastAsia="宋体" w:cs="宋体"/>
          <w:b/>
          <w:color w:val="auto"/>
          <w:spacing w:val="6"/>
          <w:sz w:val="32"/>
          <w:szCs w:val="32"/>
          <w:highlight w:val="none"/>
        </w:rPr>
      </w:pPr>
    </w:p>
    <w:p w14:paraId="24966E8E">
      <w:pPr>
        <w:autoSpaceDE w:val="0"/>
        <w:autoSpaceDN w:val="0"/>
        <w:jc w:val="center"/>
        <w:rPr>
          <w:rFonts w:hint="eastAsia" w:ascii="宋体" w:hAnsi="宋体" w:eastAsia="宋体" w:cs="宋体"/>
          <w:b/>
          <w:color w:val="auto"/>
          <w:spacing w:val="6"/>
          <w:sz w:val="32"/>
          <w:szCs w:val="32"/>
          <w:highlight w:val="none"/>
        </w:rPr>
      </w:pPr>
    </w:p>
    <w:p w14:paraId="5E2F7A7D">
      <w:pPr>
        <w:autoSpaceDE w:val="0"/>
        <w:autoSpaceDN w:val="0"/>
        <w:jc w:val="center"/>
        <w:rPr>
          <w:rFonts w:hint="eastAsia" w:ascii="宋体" w:hAnsi="宋体" w:eastAsia="宋体" w:cs="宋体"/>
          <w:b/>
          <w:color w:val="auto"/>
          <w:spacing w:val="6"/>
          <w:sz w:val="32"/>
          <w:szCs w:val="32"/>
          <w:highlight w:val="none"/>
        </w:rPr>
      </w:pPr>
    </w:p>
    <w:p w14:paraId="57292F43">
      <w:pPr>
        <w:autoSpaceDE w:val="0"/>
        <w:autoSpaceDN w:val="0"/>
        <w:jc w:val="center"/>
        <w:rPr>
          <w:rFonts w:hint="eastAsia" w:ascii="宋体" w:hAnsi="宋体" w:eastAsia="宋体" w:cs="宋体"/>
          <w:b/>
          <w:color w:val="auto"/>
          <w:spacing w:val="6"/>
          <w:sz w:val="32"/>
          <w:szCs w:val="32"/>
          <w:highlight w:val="none"/>
        </w:rPr>
      </w:pPr>
    </w:p>
    <w:p w14:paraId="06F4ECAE">
      <w:pPr>
        <w:autoSpaceDE w:val="0"/>
        <w:autoSpaceDN w:val="0"/>
        <w:jc w:val="center"/>
        <w:rPr>
          <w:rFonts w:hint="eastAsia" w:ascii="宋体" w:hAnsi="宋体" w:eastAsia="宋体" w:cs="宋体"/>
          <w:b/>
          <w:color w:val="auto"/>
          <w:spacing w:val="6"/>
          <w:sz w:val="32"/>
          <w:szCs w:val="32"/>
          <w:highlight w:val="none"/>
        </w:rPr>
      </w:pPr>
    </w:p>
    <w:p w14:paraId="6E574203">
      <w:pPr>
        <w:autoSpaceDE w:val="0"/>
        <w:autoSpaceDN w:val="0"/>
        <w:jc w:val="center"/>
        <w:rPr>
          <w:rFonts w:hint="eastAsia" w:ascii="宋体" w:hAnsi="宋体" w:eastAsia="宋体" w:cs="宋体"/>
          <w:b/>
          <w:color w:val="auto"/>
          <w:spacing w:val="6"/>
          <w:sz w:val="32"/>
          <w:szCs w:val="32"/>
          <w:highlight w:val="none"/>
        </w:rPr>
      </w:pPr>
    </w:p>
    <w:p w14:paraId="048B7FC9">
      <w:pPr>
        <w:autoSpaceDE w:val="0"/>
        <w:autoSpaceDN w:val="0"/>
        <w:jc w:val="center"/>
        <w:rPr>
          <w:rFonts w:hint="eastAsia" w:ascii="宋体" w:hAnsi="宋体" w:eastAsia="宋体" w:cs="宋体"/>
          <w:b/>
          <w:color w:val="auto"/>
          <w:spacing w:val="6"/>
          <w:sz w:val="32"/>
          <w:szCs w:val="32"/>
          <w:highlight w:val="none"/>
        </w:rPr>
      </w:pPr>
    </w:p>
    <w:p w14:paraId="240CA520">
      <w:pPr>
        <w:autoSpaceDE w:val="0"/>
        <w:autoSpaceDN w:val="0"/>
        <w:jc w:val="center"/>
        <w:rPr>
          <w:rFonts w:hint="eastAsia" w:ascii="宋体" w:hAnsi="宋体" w:eastAsia="宋体" w:cs="宋体"/>
          <w:b/>
          <w:color w:val="auto"/>
          <w:spacing w:val="6"/>
          <w:sz w:val="32"/>
          <w:szCs w:val="32"/>
          <w:highlight w:val="none"/>
        </w:rPr>
      </w:pPr>
    </w:p>
    <w:p w14:paraId="39CA0691">
      <w:pPr>
        <w:autoSpaceDE w:val="0"/>
        <w:autoSpaceDN w:val="0"/>
        <w:jc w:val="center"/>
        <w:rPr>
          <w:rFonts w:hint="eastAsia" w:ascii="宋体" w:hAnsi="宋体" w:eastAsia="宋体" w:cs="宋体"/>
          <w:b/>
          <w:color w:val="auto"/>
          <w:spacing w:val="6"/>
          <w:sz w:val="32"/>
          <w:szCs w:val="32"/>
          <w:highlight w:val="none"/>
        </w:rPr>
      </w:pPr>
    </w:p>
    <w:p w14:paraId="6ABF7D50">
      <w:pPr>
        <w:autoSpaceDE w:val="0"/>
        <w:autoSpaceDN w:val="0"/>
        <w:jc w:val="center"/>
        <w:rPr>
          <w:rFonts w:hint="eastAsia" w:ascii="宋体" w:hAnsi="宋体" w:eastAsia="宋体" w:cs="宋体"/>
          <w:b/>
          <w:color w:val="auto"/>
          <w:spacing w:val="6"/>
          <w:sz w:val="32"/>
          <w:szCs w:val="32"/>
          <w:highlight w:val="none"/>
        </w:rPr>
      </w:pPr>
    </w:p>
    <w:p w14:paraId="18C6683E">
      <w:pPr>
        <w:autoSpaceDE w:val="0"/>
        <w:autoSpaceDN w:val="0"/>
        <w:jc w:val="center"/>
        <w:rPr>
          <w:rFonts w:hint="eastAsia" w:ascii="宋体" w:hAnsi="宋体" w:eastAsia="宋体" w:cs="宋体"/>
          <w:b/>
          <w:color w:val="auto"/>
          <w:spacing w:val="6"/>
          <w:sz w:val="32"/>
          <w:szCs w:val="32"/>
          <w:highlight w:val="none"/>
        </w:rPr>
      </w:pPr>
    </w:p>
    <w:p w14:paraId="2D4F64BE">
      <w:pPr>
        <w:autoSpaceDE w:val="0"/>
        <w:autoSpaceDN w:val="0"/>
        <w:jc w:val="center"/>
        <w:rPr>
          <w:rFonts w:hint="eastAsia" w:ascii="宋体" w:hAnsi="宋体" w:eastAsia="宋体" w:cs="宋体"/>
          <w:b/>
          <w:color w:val="auto"/>
          <w:spacing w:val="6"/>
          <w:sz w:val="32"/>
          <w:szCs w:val="32"/>
          <w:highlight w:val="none"/>
        </w:rPr>
      </w:pPr>
    </w:p>
    <w:p w14:paraId="2941A0E5">
      <w:pPr>
        <w:autoSpaceDE w:val="0"/>
        <w:autoSpaceDN w:val="0"/>
        <w:jc w:val="center"/>
        <w:rPr>
          <w:rFonts w:hint="eastAsia" w:ascii="宋体" w:hAnsi="宋体" w:eastAsia="宋体" w:cs="宋体"/>
          <w:b/>
          <w:color w:val="auto"/>
          <w:spacing w:val="6"/>
          <w:sz w:val="32"/>
          <w:szCs w:val="32"/>
          <w:highlight w:val="none"/>
        </w:rPr>
      </w:pPr>
    </w:p>
    <w:p w14:paraId="323C914C">
      <w:pPr>
        <w:autoSpaceDE w:val="0"/>
        <w:autoSpaceDN w:val="0"/>
        <w:jc w:val="center"/>
        <w:rPr>
          <w:rFonts w:hint="eastAsia" w:ascii="宋体" w:hAnsi="宋体" w:eastAsia="宋体" w:cs="宋体"/>
          <w:b/>
          <w:color w:val="auto"/>
          <w:spacing w:val="6"/>
          <w:sz w:val="32"/>
          <w:szCs w:val="32"/>
          <w:highlight w:val="none"/>
        </w:rPr>
      </w:pPr>
    </w:p>
    <w:p w14:paraId="16A5C37D">
      <w:pPr>
        <w:autoSpaceDE w:val="0"/>
        <w:autoSpaceDN w:val="0"/>
        <w:jc w:val="center"/>
        <w:rPr>
          <w:rFonts w:hint="eastAsia" w:ascii="宋体" w:hAnsi="宋体" w:eastAsia="宋体" w:cs="宋体"/>
          <w:b/>
          <w:color w:val="auto"/>
          <w:spacing w:val="6"/>
          <w:sz w:val="32"/>
          <w:szCs w:val="32"/>
          <w:highlight w:val="none"/>
        </w:rPr>
      </w:pPr>
    </w:p>
    <w:p w14:paraId="136761D3">
      <w:pPr>
        <w:autoSpaceDE w:val="0"/>
        <w:autoSpaceDN w:val="0"/>
        <w:jc w:val="center"/>
        <w:rPr>
          <w:rFonts w:hint="eastAsia" w:ascii="宋体" w:hAnsi="宋体" w:eastAsia="宋体" w:cs="宋体"/>
          <w:b/>
          <w:color w:val="auto"/>
          <w:spacing w:val="6"/>
          <w:sz w:val="32"/>
          <w:szCs w:val="32"/>
          <w:highlight w:val="none"/>
        </w:rPr>
      </w:pPr>
    </w:p>
    <w:p w14:paraId="1F52B04E">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3CA151C9">
      <w:pPr>
        <w:snapToGrid w:val="0"/>
        <w:spacing w:line="360" w:lineRule="auto"/>
        <w:outlineLvl w:val="0"/>
        <w:rPr>
          <w:rFonts w:hint="eastAsia" w:ascii="宋体" w:hAnsi="宋体" w:eastAsia="宋体" w:cs="宋体"/>
          <w:b/>
          <w:color w:val="auto"/>
          <w:kern w:val="0"/>
          <w:sz w:val="44"/>
          <w:szCs w:val="44"/>
          <w:highlight w:val="none"/>
        </w:rPr>
      </w:pPr>
      <w:r>
        <w:rPr>
          <w:rFonts w:hint="eastAsia" w:ascii="宋体" w:hAnsi="宋体" w:eastAsia="宋体" w:cs="宋体"/>
          <w:b/>
          <w:color w:val="auto"/>
          <w:kern w:val="0"/>
          <w:sz w:val="44"/>
          <w:szCs w:val="44"/>
          <w:highlight w:val="none"/>
        </w:rPr>
        <w:t>附件7：中小企业声明函</w:t>
      </w:r>
    </w:p>
    <w:p w14:paraId="4190AD8E">
      <w:pPr>
        <w:spacing w:line="360" w:lineRule="auto"/>
        <w:jc w:val="center"/>
        <w:rPr>
          <w:rFonts w:hint="eastAsia" w:ascii="宋体" w:hAnsi="宋体" w:eastAsia="宋体" w:cs="宋体"/>
          <w:color w:val="auto"/>
          <w:sz w:val="24"/>
          <w:highlight w:val="none"/>
          <w:u w:val="single"/>
        </w:rPr>
      </w:pPr>
    </w:p>
    <w:p w14:paraId="26FA3A62">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中小企业声明函（货物）</w:t>
      </w:r>
    </w:p>
    <w:p w14:paraId="7A6EFC9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eastAsia="宋体" w:cs="宋体"/>
          <w:color w:val="auto"/>
          <w:sz w:val="24"/>
          <w:highlight w:val="none"/>
          <w:u w:val="single"/>
          <w:lang w:eastAsia="zh-CN"/>
        </w:rPr>
        <w:t>杭州第九中学树范学校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的 </w:t>
      </w:r>
      <w:r>
        <w:rPr>
          <w:rFonts w:hint="eastAsia" w:ascii="宋体" w:hAnsi="宋体" w:eastAsia="宋体" w:cs="宋体"/>
          <w:color w:val="auto"/>
          <w:sz w:val="24"/>
          <w:highlight w:val="none"/>
          <w:u w:val="single"/>
          <w:lang w:eastAsia="zh-CN"/>
        </w:rPr>
        <w:t>杭州第九中学树范学校</w:t>
      </w:r>
      <w:r>
        <w:rPr>
          <w:rFonts w:hint="eastAsia" w:ascii="宋体" w:hAnsi="宋体" w:cs="宋体"/>
          <w:color w:val="auto"/>
          <w:sz w:val="24"/>
          <w:highlight w:val="none"/>
          <w:u w:val="single"/>
          <w:lang w:eastAsia="zh-CN"/>
        </w:rPr>
        <w:t>报告厅椅子采购</w:t>
      </w:r>
      <w:r>
        <w:rPr>
          <w:rFonts w:hint="eastAsia" w:ascii="宋体" w:hAnsi="宋体" w:eastAsia="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646C3CC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0EC2A83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5181497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5E27BB7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14:paraId="6B8D05D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14:paraId="26414541">
      <w:pPr>
        <w:snapToGrid w:val="0"/>
        <w:spacing w:line="360" w:lineRule="auto"/>
        <w:ind w:firstLine="5160" w:firstLineChars="21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6C2366AA">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5315C777">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3DA846C8">
      <w:pPr>
        <w:spacing w:line="240" w:lineRule="auto"/>
        <w:ind w:right="0"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①</w:t>
      </w:r>
      <w:r>
        <w:rPr>
          <w:rFonts w:hint="eastAsia" w:ascii="宋体" w:hAnsi="宋体" w:eastAsia="宋体" w:cs="宋体"/>
          <w:color w:val="auto"/>
          <w:sz w:val="24"/>
          <w:highlight w:val="none"/>
        </w:rPr>
        <w:t>从业人员、营业收入、资产总额填报上一年度数据，无上一年度数据的新成立企业可不填报</w:t>
      </w:r>
      <w:r>
        <w:rPr>
          <w:rFonts w:hint="eastAsia" w:ascii="宋体" w:hAnsi="宋体" w:eastAsia="宋体" w:cs="宋体"/>
          <w:color w:val="auto"/>
          <w:sz w:val="24"/>
          <w:highlight w:val="none"/>
          <w:lang w:eastAsia="zh-CN"/>
        </w:rPr>
        <w:t>。</w:t>
      </w:r>
      <w:r>
        <w:rPr>
          <w:rFonts w:hint="eastAsia" w:ascii="宋体" w:hAnsi="宋体" w:eastAsia="宋体" w:cs="宋体"/>
          <w:i w:val="0"/>
          <w:caps w:val="0"/>
          <w:color w:val="auto"/>
          <w:spacing w:val="0"/>
          <w:sz w:val="21"/>
          <w:szCs w:val="21"/>
          <w:highlight w:val="none"/>
          <w:shd w:val="clear" w:fill="C9E7FF"/>
          <w:lang w:eastAsia="zh-CN"/>
        </w:rPr>
        <w:t>②</w:t>
      </w:r>
      <w:r>
        <w:rPr>
          <w:rFonts w:hint="eastAsia" w:ascii="宋体" w:hAnsi="宋体" w:eastAsia="宋体" w:cs="宋体"/>
          <w:i w:val="0"/>
          <w:caps w:val="0"/>
          <w:color w:val="auto"/>
          <w:spacing w:val="0"/>
          <w:sz w:val="21"/>
          <w:szCs w:val="21"/>
          <w:highlight w:val="none"/>
          <w:shd w:val="clear" w:fill="C9E7FF"/>
        </w:rPr>
        <w:t>《中小企业声明函》中“标的名称”、“采购文件中明确的所属行业”依据招标文件第二部分投标人须知前附表中“采购标的及其对应的中小企业划分标准所属行业”的指引，逐一填写，不得缺漏。《中小企业声明函》填写标的、行业错误或者未填写标的、行业的，声明函无效。</w:t>
      </w:r>
      <w:r>
        <w:rPr>
          <w:rFonts w:hint="eastAsia" w:ascii="宋体" w:hAnsi="宋体" w:eastAsia="宋体" w:cs="宋体"/>
          <w:i w:val="0"/>
          <w:caps w:val="0"/>
          <w:color w:val="auto"/>
          <w:spacing w:val="0"/>
          <w:sz w:val="21"/>
          <w:szCs w:val="21"/>
          <w:highlight w:val="none"/>
          <w:shd w:val="clear" w:fill="C9E7FF"/>
          <w:lang w:eastAsia="zh-CN"/>
        </w:rPr>
        <w:t>③</w:t>
      </w:r>
      <w:r>
        <w:rPr>
          <w:rFonts w:hint="eastAsia" w:ascii="宋体" w:hAnsi="宋体" w:eastAsia="宋体" w:cs="宋体"/>
          <w:color w:val="auto"/>
          <w:sz w:val="24"/>
          <w:highlight w:val="none"/>
          <w:lang w:val="en-US" w:eastAsia="zh-CN"/>
        </w:rPr>
        <w:t>《中小企业声明函》填写企业类型错误或者未填写企业类型的，投标无效。</w:t>
      </w:r>
    </w:p>
    <w:p w14:paraId="36AC0C55">
      <w:pP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br w:type="page"/>
      </w:r>
    </w:p>
    <w:p w14:paraId="355D104B">
      <w:pPr>
        <w:autoSpaceDN w:val="0"/>
        <w:snapToGrid w:val="0"/>
        <w:spacing w:line="360" w:lineRule="auto"/>
        <w:ind w:left="238"/>
        <w:jc w:val="center"/>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第七章 附件</w:t>
      </w:r>
    </w:p>
    <w:p w14:paraId="383D5399">
      <w:pPr>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（以下相关文件及规定如与最新规定不一致的，以最新发布的为准）</w:t>
      </w:r>
    </w:p>
    <w:p w14:paraId="771CC1EA">
      <w:pPr>
        <w:keepNext/>
        <w:keepLines/>
        <w:autoSpaceDN w:val="0"/>
        <w:spacing w:before="240" w:line="360" w:lineRule="auto"/>
        <w:jc w:val="left"/>
        <w:outlineLvl w:val="2"/>
        <w:rPr>
          <w:rFonts w:hint="eastAsia" w:ascii="宋体" w:hAnsi="宋体" w:eastAsia="宋体" w:cs="宋体"/>
          <w:b/>
          <w:bCs/>
          <w:color w:val="auto"/>
          <w:kern w:val="0"/>
          <w:sz w:val="24"/>
          <w:highlight w:val="none"/>
        </w:rPr>
      </w:pPr>
      <w:bookmarkStart w:id="555" w:name="_Toc4294377"/>
      <w:bookmarkStart w:id="556" w:name="_Toc7542913"/>
      <w:bookmarkStart w:id="557" w:name="_Toc25765007"/>
      <w:bookmarkStart w:id="558" w:name="_Toc17428346"/>
      <w:bookmarkStart w:id="559" w:name="_Toc7988472"/>
      <w:bookmarkStart w:id="560" w:name="_Toc24471815"/>
      <w:bookmarkStart w:id="561" w:name="_Toc7668947"/>
      <w:bookmarkStart w:id="562" w:name="_Toc17428251"/>
      <w:bookmarkStart w:id="563" w:name="_Toc7492525"/>
      <w:bookmarkStart w:id="564" w:name="_Toc7488756"/>
      <w:bookmarkStart w:id="565" w:name="_Toc7993638"/>
      <w:bookmarkStart w:id="566" w:name="_Toc7663594"/>
      <w:bookmarkStart w:id="567" w:name="_Toc8007002"/>
      <w:bookmarkStart w:id="568" w:name="_Toc20358289"/>
      <w:bookmarkStart w:id="569" w:name="_Toc10432455"/>
      <w:bookmarkStart w:id="570" w:name="_Toc7574702"/>
      <w:bookmarkStart w:id="571" w:name="_Toc7664194"/>
      <w:bookmarkStart w:id="572" w:name="_Toc7988418"/>
      <w:bookmarkStart w:id="573" w:name="_Toc522417531"/>
      <w:bookmarkStart w:id="574" w:name="_Toc522830351"/>
      <w:bookmarkStart w:id="575" w:name="_Toc2002574"/>
      <w:bookmarkStart w:id="576" w:name="_Toc4649580"/>
      <w:bookmarkStart w:id="577" w:name="_Toc532440701"/>
      <w:r>
        <w:rPr>
          <w:rFonts w:hint="eastAsia" w:ascii="宋体" w:hAnsi="宋体" w:eastAsia="宋体" w:cs="宋体"/>
          <w:b/>
          <w:bCs/>
          <w:color w:val="auto"/>
          <w:kern w:val="0"/>
          <w:sz w:val="24"/>
          <w:highlight w:val="none"/>
        </w:rPr>
        <w:t>一、</w:t>
      </w:r>
      <w:bookmarkEnd w:id="555"/>
      <w:r>
        <w:rPr>
          <w:rFonts w:hint="eastAsia" w:ascii="宋体" w:hAnsi="宋体" w:eastAsia="宋体" w:cs="宋体"/>
          <w:b/>
          <w:bCs/>
          <w:color w:val="auto"/>
          <w:kern w:val="0"/>
          <w:sz w:val="24"/>
          <w:highlight w:val="none"/>
        </w:rPr>
        <w:t>关于调整优化节能产品、环境标志产品政府采购执行机制的通知（财库[2019]9号）</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tbl>
      <w:tblPr>
        <w:tblStyle w:val="62"/>
        <w:tblW w:w="0" w:type="auto"/>
        <w:tblInd w:w="0" w:type="dxa"/>
        <w:tblBorders>
          <w:top w:val="thinThickSmallGap" w:color="0070C0" w:sz="18" w:space="0"/>
          <w:left w:val="thinThickSmallGap" w:color="0070C0" w:sz="18" w:space="0"/>
          <w:bottom w:val="thinThickSmallGap" w:color="0070C0" w:sz="18" w:space="0"/>
          <w:right w:val="thinThickSmallGap" w:color="0070C0" w:sz="18" w:space="0"/>
          <w:insideH w:val="thinThickSmallGap" w:color="0070C0" w:sz="18" w:space="0"/>
          <w:insideV w:val="thinThickSmallGap" w:color="0070C0" w:sz="18" w:space="0"/>
        </w:tblBorders>
        <w:tblLayout w:type="fixed"/>
        <w:tblCellMar>
          <w:top w:w="0" w:type="dxa"/>
          <w:left w:w="108" w:type="dxa"/>
          <w:bottom w:w="0" w:type="dxa"/>
          <w:right w:w="108" w:type="dxa"/>
        </w:tblCellMar>
      </w:tblPr>
      <w:tblGrid>
        <w:gridCol w:w="9145"/>
      </w:tblGrid>
      <w:tr w14:paraId="2EF50D12">
        <w:tblPrEx>
          <w:tblBorders>
            <w:top w:val="thinThickSmallGap" w:color="0070C0" w:sz="18" w:space="0"/>
            <w:left w:val="thinThickSmallGap" w:color="0070C0" w:sz="18" w:space="0"/>
            <w:bottom w:val="thinThickSmallGap" w:color="0070C0" w:sz="18" w:space="0"/>
            <w:right w:val="thinThickSmallGap" w:color="0070C0" w:sz="18" w:space="0"/>
            <w:insideH w:val="thinThickSmallGap" w:color="0070C0" w:sz="18" w:space="0"/>
            <w:insideV w:val="thinThickSmallGap" w:color="0070C0" w:sz="18" w:space="0"/>
          </w:tblBorders>
        </w:tblPrEx>
        <w:tc>
          <w:tcPr>
            <w:tcW w:w="9145" w:type="dxa"/>
            <w:tcBorders>
              <w:top w:val="thinThickSmallGap" w:color="0070C0" w:sz="18" w:space="0"/>
              <w:left w:val="thinThickSmallGap" w:color="0070C0" w:sz="18" w:space="0"/>
              <w:bottom w:val="thinThickSmallGap" w:color="0070C0" w:sz="18" w:space="0"/>
              <w:right w:val="thinThickSmallGap" w:color="0070C0" w:sz="18" w:space="0"/>
            </w:tcBorders>
            <w:noWrap/>
          </w:tcPr>
          <w:p w14:paraId="640D4D62">
            <w:pPr>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财政部 发展改革委 生态环境部 市场监管总局</w:t>
            </w:r>
          </w:p>
          <w:p w14:paraId="7BA249A6">
            <w:pPr>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关于调整优化节能产品、环境标志产品政府采购执行机制的通知</w:t>
            </w:r>
          </w:p>
          <w:p w14:paraId="068766AB">
            <w:pPr>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财库〔2019〕9号</w:t>
            </w:r>
          </w:p>
          <w:p w14:paraId="16AB2874">
            <w:pPr>
              <w:autoSpaceDN w:val="0"/>
              <w:spacing w:line="360" w:lineRule="auto"/>
              <w:jc w:val="center"/>
              <w:rPr>
                <w:rFonts w:hint="eastAsia" w:ascii="宋体" w:hAnsi="宋体" w:eastAsia="宋体" w:cs="宋体"/>
                <w:b/>
                <w:color w:val="auto"/>
                <w:sz w:val="24"/>
                <w:highlight w:val="none"/>
              </w:rPr>
            </w:pPr>
          </w:p>
          <w:p w14:paraId="3F55D6D3">
            <w:pPr>
              <w:autoSpaceDN w:val="0"/>
              <w:spacing w:line="360" w:lineRule="auto"/>
              <w:ind w:firstLine="48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有关中央预算单位，各省、自治区、直辖市、计划单列市财政厅（局）、发展改革委（经信委、工信委、工信厅、经信局）、生态环境厅（局）、市场监管部门，新疆生产建设兵团财政局、发展改革委、工信委、环境保护局、市场监管局：</w:t>
            </w:r>
          </w:p>
          <w:p w14:paraId="6FF24A2C">
            <w:pPr>
              <w:autoSpaceDN w:val="0"/>
              <w:spacing w:line="360" w:lineRule="auto"/>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为落实“放管服”改革要求，完善政府绿色采购政策，简化节能（节水）产品、环境标志产品政府采购执行机制，优化供应商参与政府采购活动的市场环境，现就节能产品、环境标志产品政府采购有关事项通知如下：</w:t>
            </w:r>
          </w:p>
          <w:p w14:paraId="048BABFF">
            <w:pPr>
              <w:autoSpaceDN w:val="0"/>
              <w:spacing w:line="360" w:lineRule="auto"/>
              <w:ind w:firstLine="426" w:firstLineChars="177"/>
              <w:rPr>
                <w:rFonts w:hint="eastAsia" w:ascii="宋体" w:hAnsi="宋体" w:eastAsia="宋体" w:cs="宋体"/>
                <w:color w:val="auto"/>
                <w:sz w:val="24"/>
                <w:highlight w:val="none"/>
              </w:rPr>
            </w:pPr>
            <w:r>
              <w:rPr>
                <w:rFonts w:hint="eastAsia" w:ascii="宋体" w:hAnsi="宋体" w:eastAsia="宋体" w:cs="宋体"/>
                <w:b/>
                <w:color w:val="auto"/>
                <w:sz w:val="24"/>
                <w:highlight w:val="none"/>
              </w:rPr>
              <w:t>一、对政府采购节能产品、环境标志产品实施品目清单管理。</w:t>
            </w:r>
            <w:r>
              <w:rPr>
                <w:rFonts w:hint="eastAsia" w:ascii="宋体" w:hAnsi="宋体" w:eastAsia="宋体" w:cs="宋体"/>
                <w:color w:val="auto"/>
                <w:sz w:val="24"/>
                <w:highlight w:val="none"/>
              </w:rPr>
              <w:t>财政部、发展改革委、生态环境部等部门根据产品节能环保性能、技术水平和市场成熟程度等因素，确定实施政府优先采购和强制采购的产品类别及所依据的相关标准规范，以品目清单的形式发布并适时调整。不再发布“节能产品政府采购清单”和“环境标志产品政府采购清单”。</w:t>
            </w:r>
          </w:p>
          <w:p w14:paraId="5EB81DDC">
            <w:pPr>
              <w:autoSpaceDN w:val="0"/>
              <w:spacing w:line="360" w:lineRule="auto"/>
              <w:ind w:firstLine="426" w:firstLineChars="177"/>
              <w:rPr>
                <w:rFonts w:hint="eastAsia" w:ascii="宋体" w:hAnsi="宋体" w:eastAsia="宋体" w:cs="宋体"/>
                <w:color w:val="auto"/>
                <w:sz w:val="24"/>
                <w:highlight w:val="none"/>
              </w:rPr>
            </w:pPr>
            <w:r>
              <w:rPr>
                <w:rFonts w:hint="eastAsia" w:ascii="宋体" w:hAnsi="宋体" w:eastAsia="宋体" w:cs="宋体"/>
                <w:b/>
                <w:color w:val="auto"/>
                <w:sz w:val="24"/>
                <w:highlight w:val="none"/>
              </w:rPr>
              <w:t>二、依据品目清单和认证证书实施政府优先采购和强制采购。</w:t>
            </w:r>
            <w:r>
              <w:rPr>
                <w:rFonts w:hint="eastAsia" w:ascii="宋体" w:hAnsi="宋体" w:eastAsia="宋体" w:cs="宋体"/>
                <w:color w:val="auto"/>
                <w:sz w:val="24"/>
                <w:highlight w:val="none"/>
              </w:rPr>
              <w:t>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74DD1F13">
            <w:pPr>
              <w:autoSpaceDN w:val="0"/>
              <w:spacing w:line="360" w:lineRule="auto"/>
              <w:ind w:firstLine="426" w:firstLineChars="177"/>
              <w:rPr>
                <w:rFonts w:hint="eastAsia" w:ascii="宋体" w:hAnsi="宋体" w:eastAsia="宋体" w:cs="宋体"/>
                <w:color w:val="auto"/>
                <w:sz w:val="24"/>
                <w:highlight w:val="none"/>
              </w:rPr>
            </w:pPr>
            <w:r>
              <w:rPr>
                <w:rFonts w:hint="eastAsia" w:ascii="宋体" w:hAnsi="宋体" w:eastAsia="宋体" w:cs="宋体"/>
                <w:b/>
                <w:color w:val="auto"/>
                <w:sz w:val="24"/>
                <w:highlight w:val="none"/>
              </w:rPr>
              <w:t>三、逐步扩大节能产品、环境标志产品认证机构范围。</w:t>
            </w:r>
            <w:r>
              <w:rPr>
                <w:rFonts w:hint="eastAsia" w:ascii="宋体" w:hAnsi="宋体" w:eastAsia="宋体" w:cs="宋体"/>
                <w:color w:val="auto"/>
                <w:sz w:val="24"/>
                <w:highlight w:val="none"/>
              </w:rPr>
              <w:t>根据认证机构发展状况，市场监管总局商有关部门按照试点先行、逐步放开、有序竞争的原则，逐步增加实施节能产品、环境标志产品认证的机构。加强对相关认证市场监管力度，推行“双随机、一公开”监管，建立认证机构信用监管机制，严厉打击认证违法行为。</w:t>
            </w:r>
          </w:p>
          <w:p w14:paraId="3821DDFA">
            <w:pPr>
              <w:autoSpaceDN w:val="0"/>
              <w:spacing w:line="360" w:lineRule="auto"/>
              <w:ind w:firstLine="426" w:firstLineChars="177"/>
              <w:rPr>
                <w:rFonts w:hint="eastAsia" w:ascii="宋体" w:hAnsi="宋体" w:eastAsia="宋体" w:cs="宋体"/>
                <w:color w:val="auto"/>
                <w:sz w:val="24"/>
                <w:highlight w:val="none"/>
              </w:rPr>
            </w:pPr>
            <w:r>
              <w:rPr>
                <w:rFonts w:hint="eastAsia" w:ascii="宋体" w:hAnsi="宋体" w:eastAsia="宋体" w:cs="宋体"/>
                <w:b/>
                <w:color w:val="auto"/>
                <w:sz w:val="24"/>
                <w:highlight w:val="none"/>
              </w:rPr>
              <w:t>四、发布认证机构和获证产品信息。</w:t>
            </w:r>
            <w:r>
              <w:rPr>
                <w:rFonts w:hint="eastAsia" w:ascii="宋体" w:hAnsi="宋体" w:eastAsia="宋体" w:cs="宋体"/>
                <w:color w:val="auto"/>
                <w:sz w:val="24"/>
                <w:highlight w:val="none"/>
              </w:rPr>
              <w:t>市场监管总局组织建立节能产品、环境标志产品认证结果信息发布平台，公布相关认证机构和获证产品信息。节能产品、环境标志产品认证机构应当建立健全数据共享机制，及时向认证结果信息发布平台提供相关信息。中国政府采购网（www.ccgp.gov.cn）建立与认证结果信息发布平台的链接，方便采购人和采购代理机构查询、了解认证机构和获证产品相关情况。</w:t>
            </w:r>
          </w:p>
          <w:p w14:paraId="3FF6A449">
            <w:pPr>
              <w:autoSpaceDN w:val="0"/>
              <w:spacing w:line="360" w:lineRule="auto"/>
              <w:ind w:firstLine="426" w:firstLineChars="177"/>
              <w:rPr>
                <w:rFonts w:hint="eastAsia" w:ascii="宋体" w:hAnsi="宋体" w:eastAsia="宋体" w:cs="宋体"/>
                <w:color w:val="auto"/>
                <w:sz w:val="24"/>
                <w:highlight w:val="none"/>
              </w:rPr>
            </w:pPr>
            <w:r>
              <w:rPr>
                <w:rFonts w:hint="eastAsia" w:ascii="宋体" w:hAnsi="宋体" w:eastAsia="宋体" w:cs="宋体"/>
                <w:b/>
                <w:color w:val="auto"/>
                <w:sz w:val="24"/>
                <w:highlight w:val="none"/>
              </w:rPr>
              <w:t>五、加大政府绿色采购力度。</w:t>
            </w:r>
            <w:r>
              <w:rPr>
                <w:rFonts w:hint="eastAsia" w:ascii="宋体" w:hAnsi="宋体" w:eastAsia="宋体" w:cs="宋体"/>
                <w:color w:val="auto"/>
                <w:sz w:val="24"/>
                <w:highlight w:val="none"/>
              </w:rPr>
              <w:t>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4CACD7F8">
            <w:pPr>
              <w:autoSpaceDN w:val="0"/>
              <w:spacing w:line="360" w:lineRule="auto"/>
              <w:ind w:firstLine="426" w:firstLineChars="177"/>
              <w:rPr>
                <w:rFonts w:hint="eastAsia" w:ascii="宋体" w:hAnsi="宋体" w:eastAsia="宋体" w:cs="宋体"/>
                <w:color w:val="auto"/>
                <w:sz w:val="24"/>
                <w:highlight w:val="none"/>
              </w:rPr>
            </w:pPr>
            <w:r>
              <w:rPr>
                <w:rFonts w:hint="eastAsia" w:ascii="宋体" w:hAnsi="宋体" w:eastAsia="宋体" w:cs="宋体"/>
                <w:b/>
                <w:color w:val="auto"/>
                <w:sz w:val="24"/>
                <w:highlight w:val="none"/>
              </w:rPr>
              <w:t>六、本通知自2019年4月1日起执行。</w:t>
            </w:r>
            <w:r>
              <w:rPr>
                <w:rFonts w:hint="eastAsia" w:ascii="宋体" w:hAnsi="宋体" w:eastAsia="宋体" w:cs="宋体"/>
                <w:color w:val="auto"/>
                <w:sz w:val="24"/>
                <w:highlight w:val="none"/>
              </w:rPr>
              <w:t>《财政部 生态环境部关于调整公布第二十二期环境标志产品政府采购清单的通知》（财库〔2018〕70号）和《财政部 国家发展改革委关于调整公布第二十四期节能产品政府采购清单的通知》（财库〔2018〕73号）同时停止执行。</w:t>
            </w:r>
          </w:p>
          <w:p w14:paraId="78130ED0">
            <w:pPr>
              <w:autoSpaceDN w:val="0"/>
              <w:spacing w:line="360"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财政部 发展改革委 生态环境部 市场监管总局</w:t>
            </w:r>
          </w:p>
          <w:p w14:paraId="2F18D866">
            <w:pPr>
              <w:autoSpaceDN w:val="0"/>
              <w:spacing w:line="360" w:lineRule="auto"/>
              <w:jc w:val="righ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2019年2月1日</w:t>
            </w:r>
          </w:p>
        </w:tc>
      </w:tr>
    </w:tbl>
    <w:p w14:paraId="4341A0B1">
      <w:pPr>
        <w:widowControl/>
        <w:shd w:val="clear" w:color="auto" w:fill="FFFFFF"/>
        <w:autoSpaceDN w:val="0"/>
        <w:spacing w:line="360" w:lineRule="auto"/>
        <w:jc w:val="center"/>
        <w:textAlignment w:val="baseline"/>
        <w:rPr>
          <w:rFonts w:hint="eastAsia" w:ascii="宋体" w:hAnsi="宋体" w:eastAsia="宋体" w:cs="宋体"/>
          <w:color w:val="auto"/>
          <w:kern w:val="0"/>
          <w:sz w:val="24"/>
          <w:highlight w:val="none"/>
        </w:rPr>
      </w:pPr>
    </w:p>
    <w:p w14:paraId="0AFBBE52">
      <w:pPr>
        <w:widowControl/>
        <w:autoSpaceDN w:val="0"/>
        <w:spacing w:line="360" w:lineRule="auto"/>
        <w:jc w:val="right"/>
        <w:rPr>
          <w:rFonts w:hint="eastAsia" w:ascii="宋体" w:hAnsi="宋体" w:eastAsia="宋体" w:cs="宋体"/>
          <w:color w:val="auto"/>
          <w:kern w:val="0"/>
          <w:sz w:val="24"/>
          <w:highlight w:val="none"/>
        </w:rPr>
      </w:pPr>
    </w:p>
    <w:p w14:paraId="404B81FB">
      <w:pPr>
        <w:keepNext/>
        <w:keepLines/>
        <w:autoSpaceDN w:val="0"/>
        <w:spacing w:before="240" w:line="360" w:lineRule="auto"/>
        <w:jc w:val="left"/>
        <w:outlineLvl w:val="2"/>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br w:type="page"/>
      </w:r>
      <w:bookmarkStart w:id="578" w:name="_Toc17428252"/>
      <w:bookmarkStart w:id="579" w:name="_Toc17428347"/>
      <w:bookmarkStart w:id="580" w:name="_Toc20358290"/>
      <w:bookmarkStart w:id="581" w:name="_Toc25765008"/>
      <w:bookmarkStart w:id="582" w:name="_Toc10432456"/>
      <w:bookmarkStart w:id="583" w:name="_Toc7542914"/>
      <w:bookmarkStart w:id="584" w:name="_Toc7488757"/>
      <w:bookmarkStart w:id="585" w:name="_Toc7664195"/>
      <w:bookmarkStart w:id="586" w:name="_Toc7663595"/>
      <w:bookmarkStart w:id="587" w:name="_Toc7988473"/>
      <w:bookmarkStart w:id="588" w:name="_Toc7993639"/>
      <w:bookmarkStart w:id="589" w:name="_Toc24471816"/>
      <w:bookmarkStart w:id="590" w:name="_Toc7492526"/>
      <w:bookmarkStart w:id="591" w:name="_Toc8007003"/>
      <w:bookmarkStart w:id="592" w:name="_Toc7574703"/>
      <w:bookmarkStart w:id="593" w:name="_Toc7668948"/>
      <w:bookmarkStart w:id="594" w:name="_Toc7988419"/>
      <w:r>
        <w:rPr>
          <w:rFonts w:hint="eastAsia" w:ascii="宋体" w:hAnsi="宋体" w:eastAsia="宋体" w:cs="宋体"/>
          <w:b/>
          <w:bCs/>
          <w:color w:val="auto"/>
          <w:kern w:val="0"/>
          <w:sz w:val="24"/>
          <w:highlight w:val="none"/>
        </w:rPr>
        <w:t>二、关于印发节能产品政府采购品目清单的通知（财库〔2019〕19号）</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tbl>
      <w:tblPr>
        <w:tblStyle w:val="62"/>
        <w:tblW w:w="8970" w:type="dxa"/>
        <w:tblInd w:w="0" w:type="dxa"/>
        <w:tblBorders>
          <w:top w:val="thinThickSmallGap" w:color="0070C0" w:sz="18" w:space="0"/>
          <w:left w:val="thinThickSmallGap" w:color="0070C0" w:sz="18" w:space="0"/>
          <w:bottom w:val="thinThickSmallGap" w:color="0070C0" w:sz="18" w:space="0"/>
          <w:right w:val="thinThickSmallGap" w:color="0070C0" w:sz="18" w:space="0"/>
          <w:insideH w:val="thinThickSmallGap" w:color="0070C0" w:sz="18" w:space="0"/>
          <w:insideV w:val="thinThickSmallGap" w:color="0070C0" w:sz="18" w:space="0"/>
        </w:tblBorders>
        <w:tblLayout w:type="fixed"/>
        <w:tblCellMar>
          <w:top w:w="0" w:type="dxa"/>
          <w:left w:w="108" w:type="dxa"/>
          <w:bottom w:w="0" w:type="dxa"/>
          <w:right w:w="108" w:type="dxa"/>
        </w:tblCellMar>
      </w:tblPr>
      <w:tblGrid>
        <w:gridCol w:w="8970"/>
      </w:tblGrid>
      <w:tr w14:paraId="79D3F5F4">
        <w:tblPrEx>
          <w:tblBorders>
            <w:top w:val="thinThickSmallGap" w:color="0070C0" w:sz="18" w:space="0"/>
            <w:left w:val="thinThickSmallGap" w:color="0070C0" w:sz="18" w:space="0"/>
            <w:bottom w:val="thinThickSmallGap" w:color="0070C0" w:sz="18" w:space="0"/>
            <w:right w:val="thinThickSmallGap" w:color="0070C0" w:sz="18" w:space="0"/>
            <w:insideH w:val="thinThickSmallGap" w:color="0070C0" w:sz="18" w:space="0"/>
            <w:insideV w:val="thinThickSmallGap" w:color="0070C0" w:sz="18" w:space="0"/>
          </w:tblBorders>
          <w:tblCellMar>
            <w:top w:w="0" w:type="dxa"/>
            <w:left w:w="108" w:type="dxa"/>
            <w:bottom w:w="0" w:type="dxa"/>
            <w:right w:w="108" w:type="dxa"/>
          </w:tblCellMar>
        </w:tblPrEx>
        <w:tc>
          <w:tcPr>
            <w:tcW w:w="8969" w:type="dxa"/>
            <w:tcBorders>
              <w:top w:val="thinThickSmallGap" w:color="0070C0" w:sz="18" w:space="0"/>
              <w:left w:val="thinThickSmallGap" w:color="0070C0" w:sz="18" w:space="0"/>
              <w:bottom w:val="thinThickSmallGap" w:color="0070C0" w:sz="18" w:space="0"/>
              <w:right w:val="thinThickSmallGap" w:color="0070C0" w:sz="18" w:space="0"/>
            </w:tcBorders>
            <w:noWrap/>
          </w:tcPr>
          <w:p w14:paraId="0BFC5305">
            <w:pPr>
              <w:widowControl/>
              <w:autoSpaceDN w:val="0"/>
              <w:spacing w:line="360" w:lineRule="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关于印发节能产品政府采购品目清单的通知</w:t>
            </w:r>
          </w:p>
          <w:p w14:paraId="410BDFFD">
            <w:pPr>
              <w:widowControl/>
              <w:autoSpaceDN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财库〔2019〕19号</w:t>
            </w:r>
          </w:p>
          <w:p w14:paraId="43F714F9">
            <w:pPr>
              <w:widowControl/>
              <w:autoSpaceDN w:val="0"/>
              <w:spacing w:line="360" w:lineRule="auto"/>
              <w:jc w:val="center"/>
              <w:rPr>
                <w:rFonts w:hint="eastAsia" w:ascii="宋体" w:hAnsi="宋体" w:eastAsia="宋体" w:cs="宋体"/>
                <w:color w:val="auto"/>
                <w:kern w:val="0"/>
                <w:sz w:val="24"/>
                <w:highlight w:val="none"/>
              </w:rPr>
            </w:pPr>
          </w:p>
          <w:p w14:paraId="417F8452">
            <w:pPr>
              <w:widowControl/>
              <w:autoSpaceDN w:val="0"/>
              <w:spacing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有关中央预算单位，各省、自治区、直辖市、计划单列市财政厅（局）、发展改革委（经信委、工信委、工信厅、经信局），新疆生产建设兵团财政局、发展改革委：</w:t>
            </w:r>
          </w:p>
          <w:p w14:paraId="3A37A903">
            <w:pPr>
              <w:widowControl/>
              <w:autoSpaceDN w:val="0"/>
              <w:spacing w:line="360" w:lineRule="auto"/>
              <w:jc w:val="left"/>
              <w:rPr>
                <w:rFonts w:hint="eastAsia" w:ascii="宋体" w:hAnsi="宋体" w:eastAsia="宋体" w:cs="宋体"/>
                <w:color w:val="auto"/>
                <w:kern w:val="0"/>
                <w:sz w:val="24"/>
                <w:highlight w:val="none"/>
              </w:rPr>
            </w:pPr>
          </w:p>
          <w:p w14:paraId="532A190B">
            <w:pPr>
              <w:widowControl/>
              <w:autoSpaceDN w:val="0"/>
              <w:spacing w:line="360" w:lineRule="auto"/>
              <w:ind w:firstLine="484" w:firstLineChars="202"/>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根据《财政部发展改革委 生态环境部 市场监管总局关于调整优化节能产品 环境标志产品政府采购执行机制的通知》（财库〔2019〕9号），我们研究制定节能产品政府采购品目清单，现印发给你们，请遵照执行。</w:t>
            </w:r>
          </w:p>
          <w:p w14:paraId="19622510">
            <w:pPr>
              <w:widowControl/>
              <w:autoSpaceDN w:val="0"/>
              <w:spacing w:line="360" w:lineRule="auto"/>
              <w:jc w:val="left"/>
              <w:rPr>
                <w:rFonts w:hint="eastAsia" w:ascii="宋体" w:hAnsi="宋体" w:eastAsia="宋体" w:cs="宋体"/>
                <w:color w:val="auto"/>
                <w:kern w:val="0"/>
                <w:sz w:val="24"/>
                <w:highlight w:val="none"/>
              </w:rPr>
            </w:pPr>
          </w:p>
          <w:p w14:paraId="5CC6B74D">
            <w:pPr>
              <w:widowControl/>
              <w:autoSpaceDN w:val="0"/>
              <w:spacing w:line="360" w:lineRule="auto"/>
              <w:jc w:val="left"/>
              <w:rPr>
                <w:rFonts w:hint="eastAsia" w:ascii="宋体" w:hAnsi="宋体" w:eastAsia="宋体" w:cs="宋体"/>
                <w:color w:val="auto"/>
                <w:kern w:val="0"/>
                <w:sz w:val="24"/>
                <w:highlight w:val="none"/>
              </w:rPr>
            </w:pPr>
          </w:p>
          <w:p w14:paraId="7AE4BF67">
            <w:pPr>
              <w:widowControl/>
              <w:autoSpaceDN w:val="0"/>
              <w:spacing w:line="360" w:lineRule="auto"/>
              <w:jc w:val="left"/>
              <w:rPr>
                <w:rFonts w:hint="eastAsia" w:ascii="宋体" w:hAnsi="宋体" w:eastAsia="宋体" w:cs="宋体"/>
                <w:color w:val="auto"/>
                <w:kern w:val="0"/>
                <w:sz w:val="24"/>
                <w:highlight w:val="none"/>
              </w:rPr>
            </w:pPr>
          </w:p>
          <w:p w14:paraId="0EEB8EB1">
            <w:pPr>
              <w:widowControl/>
              <w:autoSpaceDN w:val="0"/>
              <w:spacing w:line="360" w:lineRule="auto"/>
              <w:jc w:val="left"/>
              <w:rPr>
                <w:rFonts w:hint="eastAsia" w:ascii="宋体" w:hAnsi="宋体" w:eastAsia="宋体" w:cs="宋体"/>
                <w:color w:val="auto"/>
                <w:kern w:val="0"/>
                <w:sz w:val="24"/>
                <w:highlight w:val="none"/>
              </w:rPr>
            </w:pPr>
          </w:p>
          <w:p w14:paraId="21C3F743">
            <w:pPr>
              <w:widowControl/>
              <w:autoSpaceDN w:val="0"/>
              <w:spacing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附件：节能产品政府采购品目清单</w:t>
            </w:r>
          </w:p>
          <w:p w14:paraId="6B8134E7">
            <w:pPr>
              <w:widowControl/>
              <w:autoSpaceDN w:val="0"/>
              <w:spacing w:line="360" w:lineRule="auto"/>
              <w:jc w:val="left"/>
              <w:rPr>
                <w:rFonts w:hint="eastAsia" w:ascii="宋体" w:hAnsi="宋体" w:eastAsia="宋体" w:cs="宋体"/>
                <w:color w:val="auto"/>
                <w:kern w:val="0"/>
                <w:sz w:val="24"/>
                <w:highlight w:val="none"/>
              </w:rPr>
            </w:pPr>
          </w:p>
          <w:p w14:paraId="5F963EAE">
            <w:pPr>
              <w:widowControl/>
              <w:autoSpaceDN w:val="0"/>
              <w:spacing w:line="360" w:lineRule="auto"/>
              <w:jc w:val="left"/>
              <w:rPr>
                <w:rFonts w:hint="eastAsia" w:ascii="宋体" w:hAnsi="宋体" w:eastAsia="宋体" w:cs="宋体"/>
                <w:color w:val="auto"/>
                <w:kern w:val="0"/>
                <w:sz w:val="24"/>
                <w:highlight w:val="none"/>
              </w:rPr>
            </w:pPr>
          </w:p>
          <w:p w14:paraId="76C3DF67">
            <w:pPr>
              <w:widowControl/>
              <w:autoSpaceDN w:val="0"/>
              <w:spacing w:line="360" w:lineRule="auto"/>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财政部发展改革委</w:t>
            </w:r>
          </w:p>
          <w:p w14:paraId="5BA46AD6">
            <w:pPr>
              <w:widowControl/>
              <w:autoSpaceDN w:val="0"/>
              <w:spacing w:line="360" w:lineRule="auto"/>
              <w:jc w:val="right"/>
              <w:rPr>
                <w:rFonts w:hint="eastAsia" w:ascii="宋体" w:hAnsi="宋体" w:eastAsia="宋体" w:cs="宋体"/>
                <w:b/>
                <w:color w:val="auto"/>
                <w:kern w:val="0"/>
                <w:sz w:val="24"/>
                <w:highlight w:val="none"/>
              </w:rPr>
            </w:pPr>
            <w:r>
              <w:rPr>
                <w:rFonts w:hint="eastAsia" w:ascii="宋体" w:hAnsi="宋体" w:eastAsia="宋体" w:cs="宋体"/>
                <w:color w:val="auto"/>
                <w:kern w:val="0"/>
                <w:sz w:val="24"/>
                <w:highlight w:val="none"/>
              </w:rPr>
              <w:t>2019年4月2日</w:t>
            </w:r>
          </w:p>
        </w:tc>
      </w:tr>
    </w:tbl>
    <w:p w14:paraId="1BCD8F69">
      <w:pPr>
        <w:keepNext/>
        <w:keepLines/>
        <w:autoSpaceDN w:val="0"/>
        <w:spacing w:before="240" w:line="360" w:lineRule="auto"/>
        <w:jc w:val="left"/>
        <w:outlineLvl w:val="3"/>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r>
        <w:rPr>
          <w:rFonts w:hint="eastAsia" w:ascii="宋体" w:hAnsi="宋体" w:eastAsia="宋体" w:cs="宋体"/>
          <w:b/>
          <w:bCs/>
          <w:color w:val="auto"/>
          <w:sz w:val="24"/>
          <w:highlight w:val="none"/>
        </w:rPr>
        <w:t>附：节能产品政府采购品目清单</w:t>
      </w:r>
    </w:p>
    <w:tbl>
      <w:tblPr>
        <w:tblStyle w:val="62"/>
        <w:tblW w:w="9390" w:type="dxa"/>
        <w:tblInd w:w="-295" w:type="dxa"/>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Layout w:type="fixed"/>
        <w:tblCellMar>
          <w:top w:w="0" w:type="dxa"/>
          <w:left w:w="108" w:type="dxa"/>
          <w:bottom w:w="0" w:type="dxa"/>
          <w:right w:w="108" w:type="dxa"/>
        </w:tblCellMar>
      </w:tblPr>
      <w:tblGrid>
        <w:gridCol w:w="671"/>
        <w:gridCol w:w="1857"/>
        <w:gridCol w:w="2267"/>
        <w:gridCol w:w="1549"/>
        <w:gridCol w:w="3046"/>
      </w:tblGrid>
      <w:tr w14:paraId="20630B5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672" w:type="dxa"/>
            <w:tcBorders>
              <w:top w:val="thinThickSmallGap" w:color="0070C0" w:sz="18" w:space="0"/>
              <w:left w:val="thinThickSmallGap" w:color="0070C0" w:sz="18" w:space="0"/>
              <w:bottom w:val="single" w:color="0070C0" w:sz="6" w:space="0"/>
              <w:right w:val="single" w:color="0070C0" w:sz="6" w:space="0"/>
            </w:tcBorders>
            <w:shd w:val="clear" w:color="auto" w:fill="DAEEF3"/>
            <w:noWrap/>
            <w:vAlign w:val="center"/>
          </w:tcPr>
          <w:p w14:paraId="05F0A519">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品目序号</w:t>
            </w:r>
          </w:p>
        </w:tc>
        <w:tc>
          <w:tcPr>
            <w:tcW w:w="5676" w:type="dxa"/>
            <w:gridSpan w:val="3"/>
            <w:tcBorders>
              <w:top w:val="thinThickSmallGap" w:color="0070C0" w:sz="18" w:space="0"/>
              <w:left w:val="single" w:color="0070C0" w:sz="6" w:space="0"/>
              <w:bottom w:val="single" w:color="0070C0" w:sz="6" w:space="0"/>
              <w:right w:val="single" w:color="0070C0" w:sz="6" w:space="0"/>
            </w:tcBorders>
            <w:shd w:val="clear" w:color="auto" w:fill="DAEEF3"/>
            <w:noWrap/>
            <w:vAlign w:val="center"/>
          </w:tcPr>
          <w:p w14:paraId="0CF2519D">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名称</w:t>
            </w:r>
          </w:p>
        </w:tc>
        <w:tc>
          <w:tcPr>
            <w:tcW w:w="3048" w:type="dxa"/>
            <w:tcBorders>
              <w:top w:val="thinThickSmallGap" w:color="0070C0" w:sz="18" w:space="0"/>
              <w:left w:val="single" w:color="0070C0" w:sz="6" w:space="0"/>
              <w:bottom w:val="single" w:color="0070C0" w:sz="6" w:space="0"/>
              <w:right w:val="thickThinSmallGap" w:color="0070C0" w:sz="18" w:space="0"/>
            </w:tcBorders>
            <w:shd w:val="clear" w:color="auto" w:fill="DAEEF3"/>
            <w:noWrap/>
            <w:vAlign w:val="center"/>
          </w:tcPr>
          <w:p w14:paraId="70B5B004">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依据的标准</w:t>
            </w:r>
          </w:p>
        </w:tc>
      </w:tr>
      <w:tr w14:paraId="23E70009">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07CD5953">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1</w:t>
            </w:r>
          </w:p>
        </w:tc>
        <w:tc>
          <w:tcPr>
            <w:tcW w:w="1858" w:type="dxa"/>
            <w:vMerge w:val="restart"/>
            <w:tcBorders>
              <w:top w:val="single" w:color="0070C0" w:sz="6" w:space="0"/>
              <w:left w:val="single" w:color="0070C0" w:sz="6" w:space="0"/>
              <w:bottom w:val="single" w:color="0070C0" w:sz="6" w:space="0"/>
              <w:right w:val="single" w:color="0070C0" w:sz="6" w:space="0"/>
            </w:tcBorders>
            <w:noWrap/>
            <w:vAlign w:val="center"/>
          </w:tcPr>
          <w:p w14:paraId="5ABFDE96">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A020101计算机设备</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35662BDF">
            <w:pPr>
              <w:autoSpaceDN w:val="0"/>
              <w:jc w:val="left"/>
              <w:rPr>
                <w:rFonts w:hint="eastAsia" w:ascii="宋体" w:hAnsi="宋体" w:eastAsia="宋体" w:cs="宋体"/>
                <w:b/>
                <w:color w:val="auto"/>
                <w:w w:val="90"/>
                <w:sz w:val="24"/>
                <w:highlight w:val="none"/>
              </w:rPr>
            </w:pPr>
            <w:r>
              <w:rPr>
                <w:rFonts w:hint="eastAsia" w:ascii="宋体" w:hAnsi="宋体" w:eastAsia="宋体" w:cs="宋体"/>
                <w:color w:val="auto"/>
                <w:w w:val="90"/>
                <w:sz w:val="24"/>
                <w:highlight w:val="none"/>
              </w:rPr>
              <w:t>★</w:t>
            </w:r>
            <w:r>
              <w:rPr>
                <w:rFonts w:hint="eastAsia" w:ascii="宋体" w:hAnsi="宋体" w:eastAsia="宋体" w:cs="宋体"/>
                <w:b/>
                <w:color w:val="auto"/>
                <w:w w:val="90"/>
                <w:sz w:val="24"/>
                <w:highlight w:val="none"/>
              </w:rPr>
              <w:t>A02010104台式计算机</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091C6A60">
            <w:pPr>
              <w:autoSpaceDN w:val="0"/>
              <w:jc w:val="center"/>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769B4D89">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《微型计算机能效限定值及能效等级》（GB 28380）</w:t>
            </w:r>
          </w:p>
        </w:tc>
      </w:tr>
      <w:tr w14:paraId="7DF2044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31289B23">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5E128687">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00EA6238">
            <w:pPr>
              <w:autoSpaceDN w:val="0"/>
              <w:jc w:val="left"/>
              <w:rPr>
                <w:rFonts w:hint="eastAsia" w:ascii="宋体" w:hAnsi="宋体" w:eastAsia="宋体" w:cs="宋体"/>
                <w:b/>
                <w:color w:val="auto"/>
                <w:w w:val="90"/>
                <w:sz w:val="24"/>
                <w:highlight w:val="none"/>
              </w:rPr>
            </w:pPr>
            <w:r>
              <w:rPr>
                <w:rFonts w:hint="eastAsia" w:ascii="宋体" w:hAnsi="宋体" w:eastAsia="宋体" w:cs="宋体"/>
                <w:color w:val="auto"/>
                <w:w w:val="90"/>
                <w:sz w:val="24"/>
                <w:highlight w:val="none"/>
              </w:rPr>
              <w:t>★</w:t>
            </w:r>
            <w:r>
              <w:rPr>
                <w:rFonts w:hint="eastAsia" w:ascii="宋体" w:hAnsi="宋体" w:eastAsia="宋体" w:cs="宋体"/>
                <w:b/>
                <w:color w:val="auto"/>
                <w:w w:val="90"/>
                <w:sz w:val="24"/>
                <w:highlight w:val="none"/>
              </w:rPr>
              <w:t>A02010105便携式计算</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04192F9C">
            <w:pPr>
              <w:autoSpaceDN w:val="0"/>
              <w:jc w:val="center"/>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2C1E3E68">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《微型计算机能效限定值及能效等级》（GB 28380）</w:t>
            </w:r>
          </w:p>
        </w:tc>
      </w:tr>
      <w:tr w14:paraId="44E0E6F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007B6F3F">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0B11A230">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305F041E">
            <w:pPr>
              <w:autoSpaceDN w:val="0"/>
              <w:jc w:val="left"/>
              <w:rPr>
                <w:rFonts w:hint="eastAsia" w:ascii="宋体" w:hAnsi="宋体" w:eastAsia="宋体" w:cs="宋体"/>
                <w:b/>
                <w:color w:val="auto"/>
                <w:w w:val="90"/>
                <w:sz w:val="24"/>
                <w:highlight w:val="none"/>
              </w:rPr>
            </w:pPr>
            <w:r>
              <w:rPr>
                <w:rFonts w:hint="eastAsia" w:ascii="宋体" w:hAnsi="宋体" w:eastAsia="宋体" w:cs="宋体"/>
                <w:color w:val="auto"/>
                <w:w w:val="90"/>
                <w:sz w:val="24"/>
                <w:highlight w:val="none"/>
              </w:rPr>
              <w:t>★</w:t>
            </w:r>
            <w:r>
              <w:rPr>
                <w:rFonts w:hint="eastAsia" w:ascii="宋体" w:hAnsi="宋体" w:eastAsia="宋体" w:cs="宋体"/>
                <w:b/>
                <w:color w:val="auto"/>
                <w:w w:val="90"/>
                <w:sz w:val="24"/>
                <w:highlight w:val="none"/>
              </w:rPr>
              <w:t>A02010107平板式微型计算机</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6BD7A9CC">
            <w:pPr>
              <w:autoSpaceDN w:val="0"/>
              <w:jc w:val="center"/>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10432B47">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《微型计算机能效限定值及能效等级》（GB 28380）</w:t>
            </w:r>
          </w:p>
        </w:tc>
      </w:tr>
      <w:tr w14:paraId="2D5DCA55">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594DD415">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2</w:t>
            </w:r>
          </w:p>
        </w:tc>
        <w:tc>
          <w:tcPr>
            <w:tcW w:w="1858" w:type="dxa"/>
            <w:vMerge w:val="restart"/>
            <w:tcBorders>
              <w:top w:val="single" w:color="0070C0" w:sz="6" w:space="0"/>
              <w:left w:val="single" w:color="0070C0" w:sz="6" w:space="0"/>
              <w:bottom w:val="single" w:color="0070C0" w:sz="6" w:space="0"/>
              <w:right w:val="single" w:color="0070C0" w:sz="6" w:space="0"/>
            </w:tcBorders>
            <w:noWrap/>
            <w:vAlign w:val="center"/>
          </w:tcPr>
          <w:p w14:paraId="09606319">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A020106输入输出设备</w:t>
            </w:r>
          </w:p>
        </w:tc>
        <w:tc>
          <w:tcPr>
            <w:tcW w:w="2268" w:type="dxa"/>
            <w:vMerge w:val="restart"/>
            <w:tcBorders>
              <w:top w:val="single" w:color="0070C0" w:sz="6" w:space="0"/>
              <w:left w:val="single" w:color="0070C0" w:sz="6" w:space="0"/>
              <w:bottom w:val="single" w:color="0070C0" w:sz="6" w:space="0"/>
              <w:right w:val="single" w:color="0070C0" w:sz="6" w:space="0"/>
            </w:tcBorders>
            <w:noWrap/>
            <w:vAlign w:val="center"/>
          </w:tcPr>
          <w:p w14:paraId="3042EEC5">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A02010601打印设备</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70CC982E">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A0201060101喷墨打印机</w:t>
            </w: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18863049">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《复印机、打印机和传真机能效限定值及能效等级》（GB 21521）</w:t>
            </w:r>
          </w:p>
        </w:tc>
      </w:tr>
      <w:tr w14:paraId="24F0B80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478AC309">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568FB3BD">
            <w:pPr>
              <w:widowControl/>
              <w:jc w:val="left"/>
              <w:rPr>
                <w:rFonts w:hint="eastAsia" w:ascii="宋体" w:hAnsi="宋体" w:eastAsia="宋体" w:cs="宋体"/>
                <w:color w:val="auto"/>
                <w:w w:val="90"/>
                <w:sz w:val="24"/>
                <w:highlight w:val="none"/>
              </w:rPr>
            </w:pPr>
          </w:p>
        </w:tc>
        <w:tc>
          <w:tcPr>
            <w:tcW w:w="2268" w:type="dxa"/>
            <w:vMerge w:val="continue"/>
            <w:tcBorders>
              <w:top w:val="single" w:color="0070C0" w:sz="6" w:space="0"/>
              <w:left w:val="single" w:color="0070C0" w:sz="6" w:space="0"/>
              <w:bottom w:val="single" w:color="0070C0" w:sz="6" w:space="0"/>
              <w:right w:val="single" w:color="0070C0" w:sz="6" w:space="0"/>
            </w:tcBorders>
            <w:vAlign w:val="center"/>
          </w:tcPr>
          <w:p w14:paraId="204EEC9E">
            <w:pPr>
              <w:widowControl/>
              <w:jc w:val="left"/>
              <w:rPr>
                <w:rFonts w:hint="eastAsia" w:ascii="宋体" w:hAnsi="宋体" w:eastAsia="宋体" w:cs="宋体"/>
                <w:color w:val="auto"/>
                <w:w w:val="90"/>
                <w:sz w:val="24"/>
                <w:highlight w:val="none"/>
              </w:rPr>
            </w:pP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2FEC5846">
            <w:pPr>
              <w:autoSpaceDN w:val="0"/>
              <w:jc w:val="left"/>
              <w:rPr>
                <w:rFonts w:hint="eastAsia" w:ascii="宋体" w:hAnsi="宋体" w:eastAsia="宋体" w:cs="宋体"/>
                <w:b/>
                <w:color w:val="auto"/>
                <w:w w:val="90"/>
                <w:sz w:val="24"/>
                <w:highlight w:val="none"/>
              </w:rPr>
            </w:pPr>
            <w:r>
              <w:rPr>
                <w:rFonts w:hint="eastAsia" w:ascii="宋体" w:hAnsi="宋体" w:eastAsia="宋体" w:cs="宋体"/>
                <w:color w:val="auto"/>
                <w:w w:val="90"/>
                <w:sz w:val="24"/>
                <w:highlight w:val="none"/>
              </w:rPr>
              <w:t>★</w:t>
            </w:r>
            <w:r>
              <w:rPr>
                <w:rFonts w:hint="eastAsia" w:ascii="宋体" w:hAnsi="宋体" w:eastAsia="宋体" w:cs="宋体"/>
                <w:b/>
                <w:color w:val="auto"/>
                <w:w w:val="90"/>
                <w:sz w:val="24"/>
                <w:highlight w:val="none"/>
              </w:rPr>
              <w:t>A0201060102激光打印机</w:t>
            </w: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54307184">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《复印机、打印机和传真机能效限定值及能效等级》（GB 21521）</w:t>
            </w:r>
          </w:p>
        </w:tc>
      </w:tr>
      <w:tr w14:paraId="37CC486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3A2EFF5C">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708B7A13">
            <w:pPr>
              <w:widowControl/>
              <w:jc w:val="left"/>
              <w:rPr>
                <w:rFonts w:hint="eastAsia" w:ascii="宋体" w:hAnsi="宋体" w:eastAsia="宋体" w:cs="宋体"/>
                <w:color w:val="auto"/>
                <w:w w:val="90"/>
                <w:sz w:val="24"/>
                <w:highlight w:val="none"/>
              </w:rPr>
            </w:pPr>
          </w:p>
        </w:tc>
        <w:tc>
          <w:tcPr>
            <w:tcW w:w="2268" w:type="dxa"/>
            <w:vMerge w:val="continue"/>
            <w:tcBorders>
              <w:top w:val="single" w:color="0070C0" w:sz="6" w:space="0"/>
              <w:left w:val="single" w:color="0070C0" w:sz="6" w:space="0"/>
              <w:bottom w:val="single" w:color="0070C0" w:sz="6" w:space="0"/>
              <w:right w:val="single" w:color="0070C0" w:sz="6" w:space="0"/>
            </w:tcBorders>
            <w:vAlign w:val="center"/>
          </w:tcPr>
          <w:p w14:paraId="743147A5">
            <w:pPr>
              <w:widowControl/>
              <w:jc w:val="left"/>
              <w:rPr>
                <w:rFonts w:hint="eastAsia" w:ascii="宋体" w:hAnsi="宋体" w:eastAsia="宋体" w:cs="宋体"/>
                <w:color w:val="auto"/>
                <w:w w:val="90"/>
                <w:sz w:val="24"/>
                <w:highlight w:val="none"/>
              </w:rPr>
            </w:pP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6A69B015">
            <w:pPr>
              <w:autoSpaceDN w:val="0"/>
              <w:jc w:val="left"/>
              <w:rPr>
                <w:rFonts w:hint="eastAsia" w:ascii="宋体" w:hAnsi="宋体" w:eastAsia="宋体" w:cs="宋体"/>
                <w:b/>
                <w:color w:val="auto"/>
                <w:w w:val="90"/>
                <w:sz w:val="24"/>
                <w:highlight w:val="none"/>
              </w:rPr>
            </w:pPr>
            <w:r>
              <w:rPr>
                <w:rFonts w:hint="eastAsia" w:ascii="宋体" w:hAnsi="宋体" w:eastAsia="宋体" w:cs="宋体"/>
                <w:color w:val="auto"/>
                <w:w w:val="90"/>
                <w:sz w:val="24"/>
                <w:highlight w:val="none"/>
              </w:rPr>
              <w:t>★</w:t>
            </w:r>
            <w:r>
              <w:rPr>
                <w:rFonts w:hint="eastAsia" w:ascii="宋体" w:hAnsi="宋体" w:eastAsia="宋体" w:cs="宋体"/>
                <w:b/>
                <w:color w:val="auto"/>
                <w:w w:val="90"/>
                <w:sz w:val="24"/>
                <w:highlight w:val="none"/>
              </w:rPr>
              <w:t>A0201060104针式打印机</w:t>
            </w: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5703E599">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《复印机、打印机和传真机能效限定值及能效等级》（GB 21521）</w:t>
            </w:r>
          </w:p>
        </w:tc>
      </w:tr>
      <w:tr w14:paraId="6FB75F75">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54A06A21">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7FBC1D4D">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4C18E499">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A02010604显示设备</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54314BB4">
            <w:pPr>
              <w:autoSpaceDN w:val="0"/>
              <w:jc w:val="left"/>
              <w:rPr>
                <w:rFonts w:hint="eastAsia" w:ascii="宋体" w:hAnsi="宋体" w:eastAsia="宋体" w:cs="宋体"/>
                <w:b/>
                <w:color w:val="auto"/>
                <w:w w:val="90"/>
                <w:sz w:val="24"/>
                <w:highlight w:val="none"/>
              </w:rPr>
            </w:pPr>
            <w:r>
              <w:rPr>
                <w:rFonts w:hint="eastAsia" w:ascii="宋体" w:hAnsi="宋体" w:eastAsia="宋体" w:cs="宋体"/>
                <w:color w:val="auto"/>
                <w:w w:val="90"/>
                <w:sz w:val="24"/>
                <w:highlight w:val="none"/>
              </w:rPr>
              <w:t>★</w:t>
            </w:r>
            <w:r>
              <w:rPr>
                <w:rFonts w:hint="eastAsia" w:ascii="宋体" w:hAnsi="宋体" w:eastAsia="宋体" w:cs="宋体"/>
                <w:b/>
                <w:color w:val="auto"/>
                <w:w w:val="90"/>
                <w:sz w:val="24"/>
                <w:highlight w:val="none"/>
              </w:rPr>
              <w:t>A0201060401液晶显示器</w:t>
            </w: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6587CBE8">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《计算机显示器能效限定值及能效等级》（GB 21520）</w:t>
            </w:r>
          </w:p>
        </w:tc>
      </w:tr>
      <w:tr w14:paraId="47C8753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70A01532">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5AE0C4B2">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5F63E2FB">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A02010609图形图像输入设备</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1A5896A5">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A0201060901扫描仪</w:t>
            </w: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556B8A53">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参照《复印机、打印机和传真机能效限定值及能效等级》（GB 21521中打印速度为 15 页/分的针式打印机相关要求</w:t>
            </w:r>
          </w:p>
        </w:tc>
      </w:tr>
      <w:tr w14:paraId="38D7EF8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tcBorders>
              <w:top w:val="single" w:color="0070C0" w:sz="6" w:space="0"/>
              <w:left w:val="thinThickSmallGap" w:color="0070C0" w:sz="18" w:space="0"/>
              <w:bottom w:val="single" w:color="0070C0" w:sz="6" w:space="0"/>
              <w:right w:val="single" w:color="0070C0" w:sz="6" w:space="0"/>
            </w:tcBorders>
            <w:noWrap/>
            <w:vAlign w:val="center"/>
          </w:tcPr>
          <w:p w14:paraId="3B6312DA">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3</w:t>
            </w:r>
          </w:p>
        </w:tc>
        <w:tc>
          <w:tcPr>
            <w:tcW w:w="1858" w:type="dxa"/>
            <w:tcBorders>
              <w:top w:val="single" w:color="0070C0" w:sz="6" w:space="0"/>
              <w:left w:val="single" w:color="0070C0" w:sz="6" w:space="0"/>
              <w:bottom w:val="single" w:color="0070C0" w:sz="6" w:space="0"/>
              <w:right w:val="single" w:color="0070C0" w:sz="6" w:space="0"/>
            </w:tcBorders>
            <w:noWrap/>
            <w:vAlign w:val="center"/>
          </w:tcPr>
          <w:p w14:paraId="394A45EE">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A020202投影仪</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0E5BD2FE">
            <w:pPr>
              <w:autoSpaceDN w:val="0"/>
              <w:jc w:val="left"/>
              <w:rPr>
                <w:rFonts w:hint="eastAsia" w:ascii="宋体" w:hAnsi="宋体" w:eastAsia="宋体" w:cs="宋体"/>
                <w:color w:val="auto"/>
                <w:w w:val="90"/>
                <w:sz w:val="24"/>
                <w:highlight w:val="none"/>
              </w:rPr>
            </w:pP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17FB644E">
            <w:pPr>
              <w:autoSpaceDN w:val="0"/>
              <w:jc w:val="center"/>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376886A7">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《投影机能效限定值及能效等级（GB 32028）</w:t>
            </w:r>
          </w:p>
        </w:tc>
      </w:tr>
      <w:tr w14:paraId="4A50348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tcBorders>
              <w:top w:val="single" w:color="0070C0" w:sz="6" w:space="0"/>
              <w:left w:val="thinThickSmallGap" w:color="0070C0" w:sz="18" w:space="0"/>
              <w:bottom w:val="single" w:color="0070C0" w:sz="6" w:space="0"/>
              <w:right w:val="single" w:color="0070C0" w:sz="6" w:space="0"/>
            </w:tcBorders>
            <w:noWrap/>
            <w:vAlign w:val="center"/>
          </w:tcPr>
          <w:p w14:paraId="085D98F4">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4</w:t>
            </w:r>
          </w:p>
        </w:tc>
        <w:tc>
          <w:tcPr>
            <w:tcW w:w="1858" w:type="dxa"/>
            <w:tcBorders>
              <w:top w:val="single" w:color="0070C0" w:sz="6" w:space="0"/>
              <w:left w:val="single" w:color="0070C0" w:sz="6" w:space="0"/>
              <w:bottom w:val="single" w:color="0070C0" w:sz="6" w:space="0"/>
              <w:right w:val="single" w:color="0070C0" w:sz="6" w:space="0"/>
            </w:tcBorders>
            <w:noWrap/>
            <w:vAlign w:val="center"/>
          </w:tcPr>
          <w:p w14:paraId="6AF836F9">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A020204多功能一体机</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4AA12759">
            <w:pPr>
              <w:autoSpaceDN w:val="0"/>
              <w:jc w:val="left"/>
              <w:rPr>
                <w:rFonts w:hint="eastAsia" w:ascii="宋体" w:hAnsi="宋体" w:eastAsia="宋体" w:cs="宋体"/>
                <w:color w:val="auto"/>
                <w:w w:val="90"/>
                <w:sz w:val="24"/>
                <w:highlight w:val="none"/>
              </w:rPr>
            </w:pP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09677139">
            <w:pPr>
              <w:autoSpaceDN w:val="0"/>
              <w:jc w:val="center"/>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46181E97">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《复印机、打印机和传真机能效限定值及能效等级》（GB 21521）</w:t>
            </w:r>
          </w:p>
        </w:tc>
      </w:tr>
      <w:tr w14:paraId="112B0E5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tcBorders>
              <w:top w:val="single" w:color="0070C0" w:sz="6" w:space="0"/>
              <w:left w:val="thinThickSmallGap" w:color="0070C0" w:sz="18" w:space="0"/>
              <w:bottom w:val="single" w:color="0070C0" w:sz="6" w:space="0"/>
              <w:right w:val="single" w:color="0070C0" w:sz="6" w:space="0"/>
            </w:tcBorders>
            <w:noWrap/>
            <w:vAlign w:val="center"/>
          </w:tcPr>
          <w:p w14:paraId="2DA54E2E">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5</w:t>
            </w:r>
          </w:p>
        </w:tc>
        <w:tc>
          <w:tcPr>
            <w:tcW w:w="1858" w:type="dxa"/>
            <w:tcBorders>
              <w:top w:val="single" w:color="0070C0" w:sz="6" w:space="0"/>
              <w:left w:val="single" w:color="0070C0" w:sz="6" w:space="0"/>
              <w:bottom w:val="single" w:color="0070C0" w:sz="6" w:space="0"/>
              <w:right w:val="single" w:color="0070C0" w:sz="6" w:space="0"/>
            </w:tcBorders>
            <w:noWrap/>
            <w:vAlign w:val="center"/>
          </w:tcPr>
          <w:p w14:paraId="65916E24">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A020519泵</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2DA8DBE6">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A02051901离心泵</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5FF22A9A">
            <w:pPr>
              <w:autoSpaceDN w:val="0"/>
              <w:jc w:val="center"/>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2BE039C6">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《清水离心泵能效限定值及节能评价值》（GB 19762）</w:t>
            </w:r>
          </w:p>
        </w:tc>
      </w:tr>
      <w:tr w14:paraId="3FD3E97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4CC3F90D">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6</w:t>
            </w:r>
          </w:p>
        </w:tc>
        <w:tc>
          <w:tcPr>
            <w:tcW w:w="1858" w:type="dxa"/>
            <w:vMerge w:val="restart"/>
            <w:tcBorders>
              <w:top w:val="single" w:color="0070C0" w:sz="6" w:space="0"/>
              <w:left w:val="single" w:color="0070C0" w:sz="6" w:space="0"/>
              <w:bottom w:val="single" w:color="0070C0" w:sz="6" w:space="0"/>
              <w:right w:val="single" w:color="0070C0" w:sz="6" w:space="0"/>
            </w:tcBorders>
            <w:noWrap/>
            <w:vAlign w:val="center"/>
          </w:tcPr>
          <w:p w14:paraId="724CFF4E">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A020523制冷空调设备</w:t>
            </w:r>
          </w:p>
        </w:tc>
        <w:tc>
          <w:tcPr>
            <w:tcW w:w="2268" w:type="dxa"/>
            <w:vMerge w:val="restart"/>
            <w:tcBorders>
              <w:top w:val="single" w:color="0070C0" w:sz="6" w:space="0"/>
              <w:left w:val="single" w:color="0070C0" w:sz="6" w:space="0"/>
              <w:bottom w:val="single" w:color="0070C0" w:sz="6" w:space="0"/>
              <w:right w:val="single" w:color="0070C0" w:sz="6" w:space="0"/>
            </w:tcBorders>
            <w:noWrap/>
            <w:vAlign w:val="center"/>
          </w:tcPr>
          <w:p w14:paraId="1E2BB0CD">
            <w:pPr>
              <w:autoSpaceDN w:val="0"/>
              <w:jc w:val="left"/>
              <w:rPr>
                <w:rFonts w:hint="eastAsia" w:ascii="宋体" w:hAnsi="宋体" w:eastAsia="宋体" w:cs="宋体"/>
                <w:b/>
                <w:color w:val="auto"/>
                <w:w w:val="90"/>
                <w:sz w:val="24"/>
                <w:highlight w:val="none"/>
              </w:rPr>
            </w:pPr>
            <w:r>
              <w:rPr>
                <w:rFonts w:hint="eastAsia" w:ascii="宋体" w:hAnsi="宋体" w:eastAsia="宋体" w:cs="宋体"/>
                <w:color w:val="auto"/>
                <w:w w:val="90"/>
                <w:sz w:val="24"/>
                <w:highlight w:val="none"/>
              </w:rPr>
              <w:t>★</w:t>
            </w:r>
            <w:r>
              <w:rPr>
                <w:rFonts w:hint="eastAsia" w:ascii="宋体" w:hAnsi="宋体" w:eastAsia="宋体" w:cs="宋体"/>
                <w:b/>
                <w:color w:val="auto"/>
                <w:w w:val="90"/>
                <w:sz w:val="24"/>
                <w:highlight w:val="none"/>
              </w:rPr>
              <w:t>A02052301制冷压缩机</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021740C9">
            <w:pPr>
              <w:autoSpaceDN w:val="0"/>
              <w:jc w:val="left"/>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冷水机组</w:t>
            </w: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08E22B8C">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《冷水机组能效限定值及能效等级》（GB 19577），《低环境温度空气源热泵（冷水）机组能效限定值及能效等级》（GB 37480）</w:t>
            </w:r>
          </w:p>
        </w:tc>
      </w:tr>
      <w:tr w14:paraId="5EE38F2C">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3ED9FF4D">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33A2E5F7">
            <w:pPr>
              <w:widowControl/>
              <w:jc w:val="left"/>
              <w:rPr>
                <w:rFonts w:hint="eastAsia" w:ascii="宋体" w:hAnsi="宋体" w:eastAsia="宋体" w:cs="宋体"/>
                <w:color w:val="auto"/>
                <w:w w:val="90"/>
                <w:sz w:val="24"/>
                <w:highlight w:val="none"/>
              </w:rPr>
            </w:pPr>
          </w:p>
        </w:tc>
        <w:tc>
          <w:tcPr>
            <w:tcW w:w="2268" w:type="dxa"/>
            <w:vMerge w:val="continue"/>
            <w:tcBorders>
              <w:top w:val="single" w:color="0070C0" w:sz="6" w:space="0"/>
              <w:left w:val="single" w:color="0070C0" w:sz="6" w:space="0"/>
              <w:bottom w:val="single" w:color="0070C0" w:sz="6" w:space="0"/>
              <w:right w:val="single" w:color="0070C0" w:sz="6" w:space="0"/>
            </w:tcBorders>
            <w:vAlign w:val="center"/>
          </w:tcPr>
          <w:p w14:paraId="442A1B6D">
            <w:pPr>
              <w:widowControl/>
              <w:jc w:val="left"/>
              <w:rPr>
                <w:rFonts w:hint="eastAsia" w:ascii="宋体" w:hAnsi="宋体" w:eastAsia="宋体" w:cs="宋体"/>
                <w:b/>
                <w:color w:val="auto"/>
                <w:w w:val="90"/>
                <w:sz w:val="24"/>
                <w:highlight w:val="none"/>
              </w:rPr>
            </w:pP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2A06E475">
            <w:pPr>
              <w:autoSpaceDN w:val="0"/>
              <w:jc w:val="left"/>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水源热泵机组</w:t>
            </w: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4F9F0096">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《水（地）源热泵机组能效限定值及能效等级》（GB 30721）</w:t>
            </w:r>
          </w:p>
        </w:tc>
      </w:tr>
      <w:tr w14:paraId="4E471B72">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36267898">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249AA671">
            <w:pPr>
              <w:widowControl/>
              <w:jc w:val="left"/>
              <w:rPr>
                <w:rFonts w:hint="eastAsia" w:ascii="宋体" w:hAnsi="宋体" w:eastAsia="宋体" w:cs="宋体"/>
                <w:color w:val="auto"/>
                <w:w w:val="90"/>
                <w:sz w:val="24"/>
                <w:highlight w:val="none"/>
              </w:rPr>
            </w:pPr>
          </w:p>
        </w:tc>
        <w:tc>
          <w:tcPr>
            <w:tcW w:w="2268" w:type="dxa"/>
            <w:vMerge w:val="continue"/>
            <w:tcBorders>
              <w:top w:val="single" w:color="0070C0" w:sz="6" w:space="0"/>
              <w:left w:val="single" w:color="0070C0" w:sz="6" w:space="0"/>
              <w:bottom w:val="single" w:color="0070C0" w:sz="6" w:space="0"/>
              <w:right w:val="single" w:color="0070C0" w:sz="6" w:space="0"/>
            </w:tcBorders>
            <w:vAlign w:val="center"/>
          </w:tcPr>
          <w:p w14:paraId="1C718F3F">
            <w:pPr>
              <w:widowControl/>
              <w:jc w:val="left"/>
              <w:rPr>
                <w:rFonts w:hint="eastAsia" w:ascii="宋体" w:hAnsi="宋体" w:eastAsia="宋体" w:cs="宋体"/>
                <w:b/>
                <w:color w:val="auto"/>
                <w:w w:val="90"/>
                <w:sz w:val="24"/>
                <w:highlight w:val="none"/>
              </w:rPr>
            </w:pP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7EBC479E">
            <w:pPr>
              <w:autoSpaceDN w:val="0"/>
              <w:jc w:val="left"/>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溴化锂吸收式冷水机组</w:t>
            </w: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186B628F">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《溴化锂吸收式冷水机组能效限定值及能效等级》（GB 29540）</w:t>
            </w:r>
          </w:p>
        </w:tc>
      </w:tr>
      <w:tr w14:paraId="513A8EBC">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710F4254">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2A10BB91">
            <w:pPr>
              <w:widowControl/>
              <w:jc w:val="left"/>
              <w:rPr>
                <w:rFonts w:hint="eastAsia" w:ascii="宋体" w:hAnsi="宋体" w:eastAsia="宋体" w:cs="宋体"/>
                <w:color w:val="auto"/>
                <w:w w:val="90"/>
                <w:sz w:val="24"/>
                <w:highlight w:val="none"/>
              </w:rPr>
            </w:pPr>
          </w:p>
        </w:tc>
        <w:tc>
          <w:tcPr>
            <w:tcW w:w="2268" w:type="dxa"/>
            <w:vMerge w:val="restart"/>
            <w:tcBorders>
              <w:top w:val="single" w:color="0070C0" w:sz="6" w:space="0"/>
              <w:left w:val="single" w:color="0070C0" w:sz="6" w:space="0"/>
              <w:bottom w:val="single" w:color="0070C0" w:sz="6" w:space="0"/>
              <w:right w:val="single" w:color="0070C0" w:sz="6" w:space="0"/>
            </w:tcBorders>
            <w:noWrap/>
            <w:vAlign w:val="center"/>
          </w:tcPr>
          <w:p w14:paraId="10CF7201">
            <w:pPr>
              <w:autoSpaceDN w:val="0"/>
              <w:jc w:val="left"/>
              <w:rPr>
                <w:rFonts w:hint="eastAsia" w:ascii="宋体" w:hAnsi="宋体" w:eastAsia="宋体" w:cs="宋体"/>
                <w:b/>
                <w:color w:val="auto"/>
                <w:w w:val="90"/>
                <w:sz w:val="24"/>
                <w:highlight w:val="none"/>
              </w:rPr>
            </w:pPr>
            <w:r>
              <w:rPr>
                <w:rFonts w:hint="eastAsia" w:ascii="宋体" w:hAnsi="宋体" w:eastAsia="宋体" w:cs="宋体"/>
                <w:color w:val="auto"/>
                <w:w w:val="90"/>
                <w:sz w:val="24"/>
                <w:highlight w:val="none"/>
              </w:rPr>
              <w:t>★</w:t>
            </w:r>
            <w:r>
              <w:rPr>
                <w:rFonts w:hint="eastAsia" w:ascii="宋体" w:hAnsi="宋体" w:eastAsia="宋体" w:cs="宋体"/>
                <w:b/>
                <w:color w:val="auto"/>
                <w:w w:val="90"/>
                <w:sz w:val="24"/>
                <w:highlight w:val="none"/>
              </w:rPr>
              <w:t>A02052305 空调机组</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6BAF70AE">
            <w:pPr>
              <w:autoSpaceDN w:val="0"/>
              <w:jc w:val="left"/>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多联式空调（热泵）机组(制冷量&gt;14000W)</w:t>
            </w: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295ABDFA">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《多联式空调（热泵）机组能效限定值及能源效率等级》（GB 21454</w:t>
            </w:r>
          </w:p>
        </w:tc>
      </w:tr>
      <w:tr w14:paraId="4DF2067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7A05E2F1">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2F58A5D8">
            <w:pPr>
              <w:widowControl/>
              <w:jc w:val="left"/>
              <w:rPr>
                <w:rFonts w:hint="eastAsia" w:ascii="宋体" w:hAnsi="宋体" w:eastAsia="宋体" w:cs="宋体"/>
                <w:color w:val="auto"/>
                <w:w w:val="90"/>
                <w:sz w:val="24"/>
                <w:highlight w:val="none"/>
              </w:rPr>
            </w:pPr>
          </w:p>
        </w:tc>
        <w:tc>
          <w:tcPr>
            <w:tcW w:w="2268" w:type="dxa"/>
            <w:vMerge w:val="continue"/>
            <w:tcBorders>
              <w:top w:val="single" w:color="0070C0" w:sz="6" w:space="0"/>
              <w:left w:val="single" w:color="0070C0" w:sz="6" w:space="0"/>
              <w:bottom w:val="single" w:color="0070C0" w:sz="6" w:space="0"/>
              <w:right w:val="single" w:color="0070C0" w:sz="6" w:space="0"/>
            </w:tcBorders>
            <w:vAlign w:val="center"/>
          </w:tcPr>
          <w:p w14:paraId="5609AE3D">
            <w:pPr>
              <w:widowControl/>
              <w:jc w:val="left"/>
              <w:rPr>
                <w:rFonts w:hint="eastAsia" w:ascii="宋体" w:hAnsi="宋体" w:eastAsia="宋体" w:cs="宋体"/>
                <w:b/>
                <w:color w:val="auto"/>
                <w:w w:val="90"/>
                <w:sz w:val="24"/>
                <w:highlight w:val="none"/>
              </w:rPr>
            </w:pP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3E5A1F11">
            <w:pPr>
              <w:autoSpaceDN w:val="0"/>
              <w:jc w:val="left"/>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单元式空气调节机(制冷量&gt;14000W)</w:t>
            </w: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3948EA39">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《单元式空气调节机能效限定值及能效等级》（GB 19576）《风管送风式空调机组能效限定值及能效等级》（GB 37479）</w:t>
            </w:r>
          </w:p>
        </w:tc>
      </w:tr>
      <w:tr w14:paraId="6A4F1D7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637ACCBC">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35A956FF">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13A3F914">
            <w:pPr>
              <w:autoSpaceDN w:val="0"/>
              <w:jc w:val="left"/>
              <w:rPr>
                <w:rFonts w:hint="eastAsia" w:ascii="宋体" w:hAnsi="宋体" w:eastAsia="宋体" w:cs="宋体"/>
                <w:b/>
                <w:color w:val="auto"/>
                <w:w w:val="90"/>
                <w:sz w:val="24"/>
                <w:highlight w:val="none"/>
              </w:rPr>
            </w:pPr>
            <w:r>
              <w:rPr>
                <w:rFonts w:hint="eastAsia" w:ascii="宋体" w:hAnsi="宋体" w:eastAsia="宋体" w:cs="宋体"/>
                <w:color w:val="auto"/>
                <w:w w:val="90"/>
                <w:sz w:val="24"/>
                <w:highlight w:val="none"/>
              </w:rPr>
              <w:t>★</w:t>
            </w:r>
            <w:r>
              <w:rPr>
                <w:rFonts w:hint="eastAsia" w:ascii="宋体" w:hAnsi="宋体" w:eastAsia="宋体" w:cs="宋体"/>
                <w:b/>
                <w:color w:val="auto"/>
                <w:w w:val="90"/>
                <w:sz w:val="24"/>
                <w:highlight w:val="none"/>
              </w:rPr>
              <w:t>A02052309 专用制冷、空调设备</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2E3121E4">
            <w:pPr>
              <w:autoSpaceDN w:val="0"/>
              <w:jc w:val="left"/>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机房空调</w:t>
            </w: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51FBE058">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《单元式空气调节机能效限定值及能效等级》（GB 19576）</w:t>
            </w:r>
          </w:p>
        </w:tc>
      </w:tr>
      <w:tr w14:paraId="76ADA7D3">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31C78A61">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7FF35E01">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5B3B99BA">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A02052399 其他制冷空调设备</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428F4100">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冷却塔</w:t>
            </w: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23B704FF">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《机械通风冷却塔 第 1 部分：中小型开式冷却塔》（GB /T 7190.1）</w:t>
            </w:r>
          </w:p>
          <w:p w14:paraId="4BCFC5C2">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《机械通风冷却塔 第 2 部分：大型开式冷却塔》（GB /T 7190.2</w:t>
            </w:r>
          </w:p>
        </w:tc>
      </w:tr>
      <w:tr w14:paraId="09B926A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tcBorders>
              <w:top w:val="single" w:color="0070C0" w:sz="6" w:space="0"/>
              <w:left w:val="thinThickSmallGap" w:color="0070C0" w:sz="18" w:space="0"/>
              <w:bottom w:val="single" w:color="0070C0" w:sz="6" w:space="0"/>
              <w:right w:val="single" w:color="0070C0" w:sz="6" w:space="0"/>
            </w:tcBorders>
            <w:noWrap/>
            <w:vAlign w:val="center"/>
          </w:tcPr>
          <w:p w14:paraId="591B578B">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7</w:t>
            </w:r>
          </w:p>
        </w:tc>
        <w:tc>
          <w:tcPr>
            <w:tcW w:w="1858" w:type="dxa"/>
            <w:tcBorders>
              <w:top w:val="single" w:color="0070C0" w:sz="6" w:space="0"/>
              <w:left w:val="single" w:color="0070C0" w:sz="6" w:space="0"/>
              <w:bottom w:val="single" w:color="0070C0" w:sz="6" w:space="0"/>
              <w:right w:val="single" w:color="0070C0" w:sz="6" w:space="0"/>
            </w:tcBorders>
            <w:noWrap/>
            <w:vAlign w:val="center"/>
          </w:tcPr>
          <w:p w14:paraId="2C3D9DF8">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A020601电机</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6AA62BA9">
            <w:pPr>
              <w:autoSpaceDN w:val="0"/>
              <w:jc w:val="left"/>
              <w:rPr>
                <w:rFonts w:hint="eastAsia" w:ascii="宋体" w:hAnsi="宋体" w:eastAsia="宋体" w:cs="宋体"/>
                <w:color w:val="auto"/>
                <w:w w:val="90"/>
                <w:sz w:val="24"/>
                <w:highlight w:val="none"/>
              </w:rPr>
            </w:pP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21BD3281">
            <w:pPr>
              <w:autoSpaceDN w:val="0"/>
              <w:jc w:val="center"/>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1FD8A774">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《中小型三相异步电动机能效限定值及能效等级》（GB 18613）</w:t>
            </w:r>
          </w:p>
        </w:tc>
      </w:tr>
      <w:tr w14:paraId="35D56DA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tcBorders>
              <w:top w:val="single" w:color="0070C0" w:sz="6" w:space="0"/>
              <w:left w:val="thinThickSmallGap" w:color="0070C0" w:sz="18" w:space="0"/>
              <w:bottom w:val="single" w:color="0070C0" w:sz="6" w:space="0"/>
              <w:right w:val="single" w:color="0070C0" w:sz="6" w:space="0"/>
            </w:tcBorders>
            <w:noWrap/>
            <w:vAlign w:val="center"/>
          </w:tcPr>
          <w:p w14:paraId="07218492">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8</w:t>
            </w:r>
          </w:p>
        </w:tc>
        <w:tc>
          <w:tcPr>
            <w:tcW w:w="1858" w:type="dxa"/>
            <w:tcBorders>
              <w:top w:val="single" w:color="0070C0" w:sz="6" w:space="0"/>
              <w:left w:val="single" w:color="0070C0" w:sz="6" w:space="0"/>
              <w:bottom w:val="single" w:color="0070C0" w:sz="6" w:space="0"/>
              <w:right w:val="single" w:color="0070C0" w:sz="6" w:space="0"/>
            </w:tcBorders>
            <w:noWrap/>
            <w:vAlign w:val="center"/>
          </w:tcPr>
          <w:p w14:paraId="5D2264DB">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A020602变压器</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31213DBD">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配电变压器</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4F8BF2DA">
            <w:pPr>
              <w:autoSpaceDN w:val="0"/>
              <w:jc w:val="center"/>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617AFDAB">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《三相配电变压器能效限定值及能效等级》（GB 20052）</w:t>
            </w:r>
          </w:p>
        </w:tc>
      </w:tr>
      <w:tr w14:paraId="5492AF0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tcBorders>
              <w:top w:val="single" w:color="0070C0" w:sz="6" w:space="0"/>
              <w:left w:val="thinThickSmallGap" w:color="0070C0" w:sz="18" w:space="0"/>
              <w:bottom w:val="single" w:color="0070C0" w:sz="6" w:space="0"/>
              <w:right w:val="single" w:color="0070C0" w:sz="6" w:space="0"/>
            </w:tcBorders>
            <w:noWrap/>
            <w:vAlign w:val="center"/>
          </w:tcPr>
          <w:p w14:paraId="49565EF8">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9</w:t>
            </w:r>
          </w:p>
        </w:tc>
        <w:tc>
          <w:tcPr>
            <w:tcW w:w="1858" w:type="dxa"/>
            <w:tcBorders>
              <w:top w:val="single" w:color="0070C0" w:sz="6" w:space="0"/>
              <w:left w:val="single" w:color="0070C0" w:sz="6" w:space="0"/>
              <w:bottom w:val="single" w:color="0070C0" w:sz="6" w:space="0"/>
              <w:right w:val="single" w:color="0070C0" w:sz="6" w:space="0"/>
            </w:tcBorders>
            <w:noWrap/>
            <w:vAlign w:val="center"/>
          </w:tcPr>
          <w:p w14:paraId="7A8C1F37">
            <w:pPr>
              <w:autoSpaceDN w:val="0"/>
              <w:jc w:val="left"/>
              <w:rPr>
                <w:rFonts w:hint="eastAsia" w:ascii="宋体" w:hAnsi="宋体" w:eastAsia="宋体" w:cs="宋体"/>
                <w:b/>
                <w:color w:val="auto"/>
                <w:w w:val="90"/>
                <w:sz w:val="24"/>
                <w:highlight w:val="none"/>
              </w:rPr>
            </w:pPr>
            <w:r>
              <w:rPr>
                <w:rFonts w:hint="eastAsia" w:ascii="宋体" w:hAnsi="宋体" w:eastAsia="宋体" w:cs="宋体"/>
                <w:color w:val="auto"/>
                <w:w w:val="90"/>
                <w:sz w:val="24"/>
                <w:highlight w:val="none"/>
              </w:rPr>
              <w:t>★</w:t>
            </w:r>
            <w:r>
              <w:rPr>
                <w:rFonts w:hint="eastAsia" w:ascii="宋体" w:hAnsi="宋体" w:eastAsia="宋体" w:cs="宋体"/>
                <w:b/>
                <w:color w:val="auto"/>
                <w:w w:val="90"/>
                <w:sz w:val="24"/>
                <w:highlight w:val="none"/>
              </w:rPr>
              <w:t>A020609 镇流器</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7085A152">
            <w:pPr>
              <w:autoSpaceDN w:val="0"/>
              <w:jc w:val="left"/>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管型荧光灯镇流器</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7F8E60A8">
            <w:pPr>
              <w:autoSpaceDN w:val="0"/>
              <w:jc w:val="center"/>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6E78BF5F">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《管形荧光灯镇流器能效限定值及能效等级》（GB 17896）</w:t>
            </w:r>
          </w:p>
        </w:tc>
      </w:tr>
      <w:tr w14:paraId="63E573C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1D38D245">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10</w:t>
            </w:r>
          </w:p>
        </w:tc>
        <w:tc>
          <w:tcPr>
            <w:tcW w:w="1858" w:type="dxa"/>
            <w:vMerge w:val="restart"/>
            <w:tcBorders>
              <w:top w:val="single" w:color="0070C0" w:sz="6" w:space="0"/>
              <w:left w:val="single" w:color="0070C0" w:sz="6" w:space="0"/>
              <w:bottom w:val="single" w:color="0070C0" w:sz="6" w:space="0"/>
              <w:right w:val="single" w:color="0070C0" w:sz="6" w:space="0"/>
            </w:tcBorders>
            <w:noWrap/>
            <w:vAlign w:val="center"/>
          </w:tcPr>
          <w:p w14:paraId="0CF460B4">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A020618 生活用电器</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312445F2">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A0206180101 电冰箱</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57D99A55">
            <w:pPr>
              <w:autoSpaceDN w:val="0"/>
              <w:jc w:val="center"/>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7D7B9603">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《家用电冰箱耗电量限定值及能效等级》（GB</w:t>
            </w:r>
            <w:r>
              <w:rPr>
                <w:rFonts w:hint="eastAsia" w:ascii="宋体" w:hAnsi="宋体" w:eastAsia="宋体" w:cs="宋体"/>
                <w:color w:val="auto"/>
                <w:w w:val="90"/>
                <w:sz w:val="24"/>
                <w:highlight w:val="none"/>
              </w:rPr>
              <w:tab/>
            </w:r>
            <w:r>
              <w:rPr>
                <w:rFonts w:hint="eastAsia" w:ascii="宋体" w:hAnsi="宋体" w:eastAsia="宋体" w:cs="宋体"/>
                <w:color w:val="auto"/>
                <w:w w:val="90"/>
                <w:sz w:val="24"/>
                <w:highlight w:val="none"/>
              </w:rPr>
              <w:t>12021.2）</w:t>
            </w:r>
          </w:p>
        </w:tc>
      </w:tr>
      <w:tr w14:paraId="11BBA34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41F04AD4">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0D6E333B">
            <w:pPr>
              <w:widowControl/>
              <w:jc w:val="left"/>
              <w:rPr>
                <w:rFonts w:hint="eastAsia" w:ascii="宋体" w:hAnsi="宋体" w:eastAsia="宋体" w:cs="宋体"/>
                <w:color w:val="auto"/>
                <w:w w:val="90"/>
                <w:sz w:val="24"/>
                <w:highlight w:val="none"/>
              </w:rPr>
            </w:pPr>
          </w:p>
        </w:tc>
        <w:tc>
          <w:tcPr>
            <w:tcW w:w="2268" w:type="dxa"/>
            <w:vMerge w:val="restart"/>
            <w:tcBorders>
              <w:top w:val="single" w:color="0070C0" w:sz="6" w:space="0"/>
              <w:left w:val="single" w:color="0070C0" w:sz="6" w:space="0"/>
              <w:bottom w:val="single" w:color="0070C0" w:sz="6" w:space="0"/>
              <w:right w:val="single" w:color="0070C0" w:sz="6" w:space="0"/>
            </w:tcBorders>
            <w:noWrap/>
            <w:vAlign w:val="center"/>
          </w:tcPr>
          <w:p w14:paraId="5251EBED">
            <w:pPr>
              <w:autoSpaceDN w:val="0"/>
              <w:jc w:val="left"/>
              <w:rPr>
                <w:rFonts w:hint="eastAsia" w:ascii="宋体" w:hAnsi="宋体" w:eastAsia="宋体" w:cs="宋体"/>
                <w:b/>
                <w:color w:val="auto"/>
                <w:w w:val="90"/>
                <w:sz w:val="24"/>
                <w:highlight w:val="none"/>
              </w:rPr>
            </w:pPr>
            <w:r>
              <w:rPr>
                <w:rFonts w:hint="eastAsia" w:ascii="宋体" w:hAnsi="宋体" w:eastAsia="宋体" w:cs="宋体"/>
                <w:color w:val="auto"/>
                <w:w w:val="90"/>
                <w:sz w:val="24"/>
                <w:highlight w:val="none"/>
              </w:rPr>
              <w:t>★</w:t>
            </w:r>
            <w:r>
              <w:rPr>
                <w:rFonts w:hint="eastAsia" w:ascii="宋体" w:hAnsi="宋体" w:eastAsia="宋体" w:cs="宋体"/>
                <w:b/>
                <w:color w:val="auto"/>
                <w:w w:val="90"/>
                <w:sz w:val="24"/>
                <w:highlight w:val="none"/>
              </w:rPr>
              <w:t>A0206180203 空调机</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1710D632">
            <w:pPr>
              <w:autoSpaceDN w:val="0"/>
              <w:jc w:val="left"/>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房间空气调节器</w:t>
            </w: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35CF3A13">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《转速可控型房间空气调节器能效限定值及能效等级》（GB21455-2013），待 2019 年修订发布后，按《房间空气调节器能效限定值及能效等级》（GB21455-2019</w:t>
            </w:r>
          </w:p>
          <w:p w14:paraId="706CE317">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实施。</w:t>
            </w:r>
          </w:p>
        </w:tc>
      </w:tr>
      <w:tr w14:paraId="4B5EB37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5FFC85A6">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6617306F">
            <w:pPr>
              <w:widowControl/>
              <w:jc w:val="left"/>
              <w:rPr>
                <w:rFonts w:hint="eastAsia" w:ascii="宋体" w:hAnsi="宋体" w:eastAsia="宋体" w:cs="宋体"/>
                <w:color w:val="auto"/>
                <w:w w:val="90"/>
                <w:sz w:val="24"/>
                <w:highlight w:val="none"/>
              </w:rPr>
            </w:pPr>
          </w:p>
        </w:tc>
        <w:tc>
          <w:tcPr>
            <w:tcW w:w="2268" w:type="dxa"/>
            <w:vMerge w:val="continue"/>
            <w:tcBorders>
              <w:top w:val="single" w:color="0070C0" w:sz="6" w:space="0"/>
              <w:left w:val="single" w:color="0070C0" w:sz="6" w:space="0"/>
              <w:bottom w:val="single" w:color="0070C0" w:sz="6" w:space="0"/>
              <w:right w:val="single" w:color="0070C0" w:sz="6" w:space="0"/>
            </w:tcBorders>
            <w:vAlign w:val="center"/>
          </w:tcPr>
          <w:p w14:paraId="6403DFAA">
            <w:pPr>
              <w:widowControl/>
              <w:jc w:val="left"/>
              <w:rPr>
                <w:rFonts w:hint="eastAsia" w:ascii="宋体" w:hAnsi="宋体" w:eastAsia="宋体" w:cs="宋体"/>
                <w:b/>
                <w:color w:val="auto"/>
                <w:w w:val="90"/>
                <w:sz w:val="24"/>
                <w:highlight w:val="none"/>
              </w:rPr>
            </w:pP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105AB3FF">
            <w:pPr>
              <w:autoSpaceDN w:val="0"/>
              <w:jc w:val="left"/>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多联式空调（热泵）机组（制冷量≤ 14000W）</w:t>
            </w: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78BF6040">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《多联式空调（热泵）机组能效限定值及能源效率等级》（GB 21454</w:t>
            </w:r>
          </w:p>
        </w:tc>
      </w:tr>
      <w:tr w14:paraId="3AC70DA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3FC4BE2F">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063B2BF2">
            <w:pPr>
              <w:widowControl/>
              <w:jc w:val="left"/>
              <w:rPr>
                <w:rFonts w:hint="eastAsia" w:ascii="宋体" w:hAnsi="宋体" w:eastAsia="宋体" w:cs="宋体"/>
                <w:color w:val="auto"/>
                <w:w w:val="90"/>
                <w:sz w:val="24"/>
                <w:highlight w:val="none"/>
              </w:rPr>
            </w:pPr>
          </w:p>
        </w:tc>
        <w:tc>
          <w:tcPr>
            <w:tcW w:w="2268" w:type="dxa"/>
            <w:vMerge w:val="continue"/>
            <w:tcBorders>
              <w:top w:val="single" w:color="0070C0" w:sz="6" w:space="0"/>
              <w:left w:val="single" w:color="0070C0" w:sz="6" w:space="0"/>
              <w:bottom w:val="single" w:color="0070C0" w:sz="6" w:space="0"/>
              <w:right w:val="single" w:color="0070C0" w:sz="6" w:space="0"/>
            </w:tcBorders>
            <w:vAlign w:val="center"/>
          </w:tcPr>
          <w:p w14:paraId="16201B0F">
            <w:pPr>
              <w:widowControl/>
              <w:jc w:val="left"/>
              <w:rPr>
                <w:rFonts w:hint="eastAsia" w:ascii="宋体" w:hAnsi="宋体" w:eastAsia="宋体" w:cs="宋体"/>
                <w:b/>
                <w:color w:val="auto"/>
                <w:w w:val="90"/>
                <w:sz w:val="24"/>
                <w:highlight w:val="none"/>
              </w:rPr>
            </w:pP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04906FB1">
            <w:pPr>
              <w:autoSpaceDN w:val="0"/>
              <w:jc w:val="left"/>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单元式空气调节机(制冷量≤14000W)</w:t>
            </w: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3506A34C">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《单元式空气调节机能效限定值及能源效率等级》（GB 19576）《风管送风式空调机组能效限定值及</w:t>
            </w:r>
          </w:p>
          <w:p w14:paraId="5CDFD690">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能效等级》（GB 37479）</w:t>
            </w:r>
          </w:p>
        </w:tc>
      </w:tr>
      <w:tr w14:paraId="04EFA802">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118AFDE7">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6CEDB755">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1B041CEB">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A0206180301洗衣机</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7F2C6028">
            <w:pPr>
              <w:autoSpaceDN w:val="0"/>
              <w:jc w:val="left"/>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44D8B1BA">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《电动洗衣机能效水效限定值及等级》（GB 12021.4）</w:t>
            </w:r>
          </w:p>
        </w:tc>
      </w:tr>
      <w:tr w14:paraId="0FA69CB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63EB2E29">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1D59E0AF">
            <w:pPr>
              <w:widowControl/>
              <w:jc w:val="left"/>
              <w:rPr>
                <w:rFonts w:hint="eastAsia" w:ascii="宋体" w:hAnsi="宋体" w:eastAsia="宋体" w:cs="宋体"/>
                <w:color w:val="auto"/>
                <w:w w:val="90"/>
                <w:sz w:val="24"/>
                <w:highlight w:val="none"/>
              </w:rPr>
            </w:pPr>
          </w:p>
        </w:tc>
        <w:tc>
          <w:tcPr>
            <w:tcW w:w="2268" w:type="dxa"/>
            <w:vMerge w:val="restart"/>
            <w:tcBorders>
              <w:top w:val="single" w:color="0070C0" w:sz="6" w:space="0"/>
              <w:left w:val="single" w:color="0070C0" w:sz="6" w:space="0"/>
              <w:bottom w:val="single" w:color="0070C0" w:sz="6" w:space="0"/>
              <w:right w:val="single" w:color="0070C0" w:sz="6" w:space="0"/>
            </w:tcBorders>
            <w:noWrap/>
            <w:vAlign w:val="center"/>
          </w:tcPr>
          <w:p w14:paraId="17462F29">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A02061808 热水器</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38E785BC">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w:t>
            </w:r>
            <w:r>
              <w:rPr>
                <w:rFonts w:hint="eastAsia" w:ascii="宋体" w:hAnsi="宋体" w:eastAsia="宋体" w:cs="宋体"/>
                <w:b/>
                <w:color w:val="auto"/>
                <w:w w:val="90"/>
                <w:sz w:val="24"/>
                <w:highlight w:val="none"/>
              </w:rPr>
              <w:t>电热水器</w:t>
            </w: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0AC439A7">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《储水式电热水器能效限定值及能效等级》（GB</w:t>
            </w:r>
            <w:r>
              <w:rPr>
                <w:rFonts w:hint="eastAsia" w:ascii="宋体" w:hAnsi="宋体" w:eastAsia="宋体" w:cs="宋体"/>
                <w:color w:val="auto"/>
                <w:w w:val="90"/>
                <w:sz w:val="24"/>
                <w:highlight w:val="none"/>
              </w:rPr>
              <w:tab/>
            </w:r>
            <w:r>
              <w:rPr>
                <w:rFonts w:hint="eastAsia" w:ascii="宋体" w:hAnsi="宋体" w:eastAsia="宋体" w:cs="宋体"/>
                <w:color w:val="auto"/>
                <w:w w:val="90"/>
                <w:sz w:val="24"/>
                <w:highlight w:val="none"/>
              </w:rPr>
              <w:t>21519）</w:t>
            </w:r>
          </w:p>
        </w:tc>
      </w:tr>
      <w:tr w14:paraId="26CE5555">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3C217753">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56F531F6">
            <w:pPr>
              <w:widowControl/>
              <w:jc w:val="left"/>
              <w:rPr>
                <w:rFonts w:hint="eastAsia" w:ascii="宋体" w:hAnsi="宋体" w:eastAsia="宋体" w:cs="宋体"/>
                <w:color w:val="auto"/>
                <w:w w:val="90"/>
                <w:sz w:val="24"/>
                <w:highlight w:val="none"/>
              </w:rPr>
            </w:pPr>
          </w:p>
        </w:tc>
        <w:tc>
          <w:tcPr>
            <w:tcW w:w="2268" w:type="dxa"/>
            <w:vMerge w:val="continue"/>
            <w:tcBorders>
              <w:top w:val="single" w:color="0070C0" w:sz="6" w:space="0"/>
              <w:left w:val="single" w:color="0070C0" w:sz="6" w:space="0"/>
              <w:bottom w:val="single" w:color="0070C0" w:sz="6" w:space="0"/>
              <w:right w:val="single" w:color="0070C0" w:sz="6" w:space="0"/>
            </w:tcBorders>
            <w:vAlign w:val="center"/>
          </w:tcPr>
          <w:p w14:paraId="41ECC59A">
            <w:pPr>
              <w:widowControl/>
              <w:jc w:val="left"/>
              <w:rPr>
                <w:rFonts w:hint="eastAsia" w:ascii="宋体" w:hAnsi="宋体" w:eastAsia="宋体" w:cs="宋体"/>
                <w:color w:val="auto"/>
                <w:w w:val="90"/>
                <w:sz w:val="24"/>
                <w:highlight w:val="none"/>
              </w:rPr>
            </w:pP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0C5D42CB">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燃气热水器</w:t>
            </w: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760E54C9">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《家用燃气快速热水器和燃气采暖热水炉能效限定值及能效等级（GB 20665）</w:t>
            </w:r>
          </w:p>
        </w:tc>
      </w:tr>
      <w:tr w14:paraId="0167DA3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180BF89A">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1F0D0F75">
            <w:pPr>
              <w:widowControl/>
              <w:jc w:val="left"/>
              <w:rPr>
                <w:rFonts w:hint="eastAsia" w:ascii="宋体" w:hAnsi="宋体" w:eastAsia="宋体" w:cs="宋体"/>
                <w:color w:val="auto"/>
                <w:w w:val="90"/>
                <w:sz w:val="24"/>
                <w:highlight w:val="none"/>
              </w:rPr>
            </w:pPr>
          </w:p>
        </w:tc>
        <w:tc>
          <w:tcPr>
            <w:tcW w:w="2268" w:type="dxa"/>
            <w:vMerge w:val="continue"/>
            <w:tcBorders>
              <w:top w:val="single" w:color="0070C0" w:sz="6" w:space="0"/>
              <w:left w:val="single" w:color="0070C0" w:sz="6" w:space="0"/>
              <w:bottom w:val="single" w:color="0070C0" w:sz="6" w:space="0"/>
              <w:right w:val="single" w:color="0070C0" w:sz="6" w:space="0"/>
            </w:tcBorders>
            <w:vAlign w:val="center"/>
          </w:tcPr>
          <w:p w14:paraId="0B72EC3E">
            <w:pPr>
              <w:widowControl/>
              <w:jc w:val="left"/>
              <w:rPr>
                <w:rFonts w:hint="eastAsia" w:ascii="宋体" w:hAnsi="宋体" w:eastAsia="宋体" w:cs="宋体"/>
                <w:color w:val="auto"/>
                <w:w w:val="90"/>
                <w:sz w:val="24"/>
                <w:highlight w:val="none"/>
              </w:rPr>
            </w:pP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4C68D95D">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热泵热水器</w:t>
            </w: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5111342D">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《热泵热水机（器）能效限定值及能效等级》（GB 29541）</w:t>
            </w:r>
          </w:p>
        </w:tc>
      </w:tr>
      <w:tr w14:paraId="3B29A08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0B5A93B7">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34B836EC">
            <w:pPr>
              <w:widowControl/>
              <w:jc w:val="left"/>
              <w:rPr>
                <w:rFonts w:hint="eastAsia" w:ascii="宋体" w:hAnsi="宋体" w:eastAsia="宋体" w:cs="宋体"/>
                <w:color w:val="auto"/>
                <w:w w:val="90"/>
                <w:sz w:val="24"/>
                <w:highlight w:val="none"/>
              </w:rPr>
            </w:pPr>
          </w:p>
        </w:tc>
        <w:tc>
          <w:tcPr>
            <w:tcW w:w="2268" w:type="dxa"/>
            <w:vMerge w:val="continue"/>
            <w:tcBorders>
              <w:top w:val="single" w:color="0070C0" w:sz="6" w:space="0"/>
              <w:left w:val="single" w:color="0070C0" w:sz="6" w:space="0"/>
              <w:bottom w:val="single" w:color="0070C0" w:sz="6" w:space="0"/>
              <w:right w:val="single" w:color="0070C0" w:sz="6" w:space="0"/>
            </w:tcBorders>
            <w:vAlign w:val="center"/>
          </w:tcPr>
          <w:p w14:paraId="75BE02FC">
            <w:pPr>
              <w:widowControl/>
              <w:jc w:val="left"/>
              <w:rPr>
                <w:rFonts w:hint="eastAsia" w:ascii="宋体" w:hAnsi="宋体" w:eastAsia="宋体" w:cs="宋体"/>
                <w:color w:val="auto"/>
                <w:w w:val="90"/>
                <w:sz w:val="24"/>
                <w:highlight w:val="none"/>
              </w:rPr>
            </w:pP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2423FD6C">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太阳能热水系统</w:t>
            </w: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02C913C8">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《家用太阳能热水系统能效限定值及能效等级》（GB 26969）</w:t>
            </w:r>
          </w:p>
        </w:tc>
      </w:tr>
      <w:tr w14:paraId="1E3812D5">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779895D5">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11</w:t>
            </w:r>
          </w:p>
        </w:tc>
        <w:tc>
          <w:tcPr>
            <w:tcW w:w="1858" w:type="dxa"/>
            <w:vMerge w:val="restart"/>
            <w:tcBorders>
              <w:top w:val="single" w:color="0070C0" w:sz="6" w:space="0"/>
              <w:left w:val="single" w:color="0070C0" w:sz="6" w:space="0"/>
              <w:bottom w:val="single" w:color="0070C0" w:sz="6" w:space="0"/>
              <w:right w:val="single" w:color="0070C0" w:sz="6" w:space="0"/>
            </w:tcBorders>
            <w:noWrap/>
            <w:vAlign w:val="center"/>
          </w:tcPr>
          <w:p w14:paraId="6B181618">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A020619 照明设备</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5E42FB94">
            <w:pPr>
              <w:autoSpaceDN w:val="0"/>
              <w:jc w:val="left"/>
              <w:rPr>
                <w:rFonts w:hint="eastAsia" w:ascii="宋体" w:hAnsi="宋体" w:eastAsia="宋体" w:cs="宋体"/>
                <w:b/>
                <w:color w:val="auto"/>
                <w:w w:val="90"/>
                <w:sz w:val="24"/>
                <w:highlight w:val="none"/>
              </w:rPr>
            </w:pPr>
            <w:r>
              <w:rPr>
                <w:rFonts w:hint="eastAsia" w:ascii="宋体" w:hAnsi="宋体" w:eastAsia="宋体" w:cs="宋体"/>
                <w:color w:val="auto"/>
                <w:w w:val="90"/>
                <w:sz w:val="24"/>
                <w:highlight w:val="none"/>
              </w:rPr>
              <w:t>★</w:t>
            </w:r>
            <w:r>
              <w:rPr>
                <w:rFonts w:hint="eastAsia" w:ascii="宋体" w:hAnsi="宋体" w:eastAsia="宋体" w:cs="宋体"/>
                <w:b/>
                <w:color w:val="auto"/>
                <w:w w:val="90"/>
                <w:sz w:val="24"/>
                <w:highlight w:val="none"/>
              </w:rPr>
              <w:t>普通照明用双端荧光灯</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1B8393AA">
            <w:pPr>
              <w:autoSpaceDN w:val="0"/>
              <w:jc w:val="center"/>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6D2B1D2F">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《普通照明用双端荧光灯能效限定值及能效等级》（GB 19043）</w:t>
            </w:r>
          </w:p>
        </w:tc>
      </w:tr>
      <w:tr w14:paraId="6460CA0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0663DB38">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7C5ED181">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632A0FFC">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LED道路/隧道照明产品</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29F56B45">
            <w:pPr>
              <w:autoSpaceDN w:val="0"/>
              <w:jc w:val="center"/>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0718108B">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《道路和隧道照明用 LED 灯具能效限定值及能效等级》（GB 37478</w:t>
            </w:r>
          </w:p>
        </w:tc>
      </w:tr>
      <w:tr w14:paraId="4C4889C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5A9CCD91">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2353F4E9">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04D02582">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LED筒灯</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343BE92D">
            <w:pPr>
              <w:autoSpaceDN w:val="0"/>
              <w:jc w:val="center"/>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21348D42">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《室内照明用LED产品能效限定值及能效等级》（GB 30255）</w:t>
            </w:r>
          </w:p>
        </w:tc>
      </w:tr>
      <w:tr w14:paraId="605DF232">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4C55ABDD">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6AEA1692">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351146E6">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普通照明用非定向自镇流LED灯</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74FD8D22">
            <w:pPr>
              <w:autoSpaceDN w:val="0"/>
              <w:jc w:val="center"/>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368F24D7">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《室内照明用 LED 产品能效限定值及能效等级》（GB 30255）</w:t>
            </w:r>
          </w:p>
        </w:tc>
      </w:tr>
      <w:tr w14:paraId="4D91130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tcBorders>
              <w:top w:val="single" w:color="0070C0" w:sz="6" w:space="0"/>
              <w:left w:val="thinThickSmallGap" w:color="0070C0" w:sz="18" w:space="0"/>
              <w:bottom w:val="single" w:color="0070C0" w:sz="6" w:space="0"/>
              <w:right w:val="single" w:color="0070C0" w:sz="6" w:space="0"/>
            </w:tcBorders>
            <w:noWrap/>
            <w:vAlign w:val="center"/>
          </w:tcPr>
          <w:p w14:paraId="62719132">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12</w:t>
            </w:r>
          </w:p>
        </w:tc>
        <w:tc>
          <w:tcPr>
            <w:tcW w:w="1858" w:type="dxa"/>
            <w:tcBorders>
              <w:top w:val="single" w:color="0070C0" w:sz="6" w:space="0"/>
              <w:left w:val="single" w:color="0070C0" w:sz="6" w:space="0"/>
              <w:bottom w:val="single" w:color="0070C0" w:sz="6" w:space="0"/>
              <w:right w:val="single" w:color="0070C0" w:sz="6" w:space="0"/>
            </w:tcBorders>
            <w:noWrap/>
            <w:vAlign w:val="center"/>
          </w:tcPr>
          <w:p w14:paraId="4615014C">
            <w:pPr>
              <w:autoSpaceDN w:val="0"/>
              <w:jc w:val="left"/>
              <w:rPr>
                <w:rFonts w:hint="eastAsia" w:ascii="宋体" w:hAnsi="宋体" w:eastAsia="宋体" w:cs="宋体"/>
                <w:b/>
                <w:color w:val="auto"/>
                <w:w w:val="90"/>
                <w:sz w:val="24"/>
                <w:highlight w:val="none"/>
              </w:rPr>
            </w:pPr>
            <w:r>
              <w:rPr>
                <w:rFonts w:hint="eastAsia" w:ascii="宋体" w:hAnsi="宋体" w:eastAsia="宋体" w:cs="宋体"/>
                <w:color w:val="auto"/>
                <w:w w:val="90"/>
                <w:sz w:val="24"/>
                <w:highlight w:val="none"/>
              </w:rPr>
              <w:t>★</w:t>
            </w:r>
            <w:r>
              <w:rPr>
                <w:rFonts w:hint="eastAsia" w:ascii="宋体" w:hAnsi="宋体" w:eastAsia="宋体" w:cs="宋体"/>
                <w:b/>
                <w:color w:val="auto"/>
                <w:w w:val="90"/>
                <w:sz w:val="24"/>
                <w:highlight w:val="none"/>
              </w:rPr>
              <w:t>A020910电视设备</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0FCD1153">
            <w:pPr>
              <w:autoSpaceDN w:val="0"/>
              <w:jc w:val="left"/>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A02091001普通电视设备（电视机）</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6F493B05">
            <w:pPr>
              <w:autoSpaceDN w:val="0"/>
              <w:jc w:val="center"/>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74513077">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《平板电视能效限定值及能效等级》（GB 24850）</w:t>
            </w:r>
          </w:p>
        </w:tc>
      </w:tr>
      <w:tr w14:paraId="5E43E8E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tcBorders>
              <w:top w:val="single" w:color="0070C0" w:sz="6" w:space="0"/>
              <w:left w:val="thinThickSmallGap" w:color="0070C0" w:sz="18" w:space="0"/>
              <w:bottom w:val="single" w:color="0070C0" w:sz="6" w:space="0"/>
              <w:right w:val="single" w:color="0070C0" w:sz="6" w:space="0"/>
            </w:tcBorders>
            <w:noWrap/>
            <w:vAlign w:val="center"/>
          </w:tcPr>
          <w:p w14:paraId="62B0486C">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13</w:t>
            </w:r>
          </w:p>
        </w:tc>
        <w:tc>
          <w:tcPr>
            <w:tcW w:w="1858" w:type="dxa"/>
            <w:tcBorders>
              <w:top w:val="single" w:color="0070C0" w:sz="6" w:space="0"/>
              <w:left w:val="single" w:color="0070C0" w:sz="6" w:space="0"/>
              <w:bottom w:val="single" w:color="0070C0" w:sz="6" w:space="0"/>
              <w:right w:val="single" w:color="0070C0" w:sz="6" w:space="0"/>
            </w:tcBorders>
            <w:noWrap/>
            <w:vAlign w:val="center"/>
          </w:tcPr>
          <w:p w14:paraId="26A8DAE1">
            <w:pPr>
              <w:autoSpaceDN w:val="0"/>
              <w:jc w:val="left"/>
              <w:rPr>
                <w:rFonts w:hint="eastAsia" w:ascii="宋体" w:hAnsi="宋体" w:eastAsia="宋体" w:cs="宋体"/>
                <w:b/>
                <w:color w:val="auto"/>
                <w:w w:val="90"/>
                <w:sz w:val="24"/>
                <w:highlight w:val="none"/>
              </w:rPr>
            </w:pPr>
            <w:r>
              <w:rPr>
                <w:rFonts w:hint="eastAsia" w:ascii="宋体" w:hAnsi="宋体" w:eastAsia="宋体" w:cs="宋体"/>
                <w:color w:val="auto"/>
                <w:w w:val="90"/>
                <w:sz w:val="24"/>
                <w:highlight w:val="none"/>
              </w:rPr>
              <w:t>★</w:t>
            </w:r>
            <w:r>
              <w:rPr>
                <w:rFonts w:hint="eastAsia" w:ascii="宋体" w:hAnsi="宋体" w:eastAsia="宋体" w:cs="宋体"/>
                <w:b/>
                <w:color w:val="auto"/>
                <w:w w:val="90"/>
                <w:sz w:val="24"/>
                <w:highlight w:val="none"/>
              </w:rPr>
              <w:t>A020911视频设备</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31075F4D">
            <w:pPr>
              <w:autoSpaceDN w:val="0"/>
              <w:jc w:val="left"/>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A02091107 视频监控设备</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59814333">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监视器</w:t>
            </w: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7F22FD30">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以射频信号为主要信号输入的监视器应符合《平板电视能效限定值及能效等级》（GB 24850），以数字信号为主要信号输入的监视器应符合《计算机显示器能效限定值及能效等级》（GB 21520）</w:t>
            </w:r>
          </w:p>
        </w:tc>
      </w:tr>
      <w:tr w14:paraId="314B6FE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tcBorders>
              <w:top w:val="single" w:color="0070C0" w:sz="6" w:space="0"/>
              <w:left w:val="thinThickSmallGap" w:color="0070C0" w:sz="18" w:space="0"/>
              <w:bottom w:val="single" w:color="0070C0" w:sz="6" w:space="0"/>
              <w:right w:val="single" w:color="0070C0" w:sz="6" w:space="0"/>
            </w:tcBorders>
            <w:noWrap/>
            <w:vAlign w:val="center"/>
          </w:tcPr>
          <w:p w14:paraId="77056B55">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14</w:t>
            </w:r>
          </w:p>
        </w:tc>
        <w:tc>
          <w:tcPr>
            <w:tcW w:w="1858" w:type="dxa"/>
            <w:tcBorders>
              <w:top w:val="single" w:color="0070C0" w:sz="6" w:space="0"/>
              <w:left w:val="single" w:color="0070C0" w:sz="6" w:space="0"/>
              <w:bottom w:val="single" w:color="0070C0" w:sz="6" w:space="0"/>
              <w:right w:val="single" w:color="0070C0" w:sz="6" w:space="0"/>
            </w:tcBorders>
            <w:noWrap/>
            <w:vAlign w:val="center"/>
          </w:tcPr>
          <w:p w14:paraId="1B5F72DE">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A031210饮食炊事机械</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1384F112">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商用燃气灶具</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35FD9208">
            <w:pPr>
              <w:autoSpaceDN w:val="0"/>
              <w:jc w:val="center"/>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2698E485">
            <w:pPr>
              <w:autoSpaceDN w:val="0"/>
              <w:jc w:val="left"/>
              <w:rPr>
                <w:rFonts w:hint="eastAsia" w:ascii="宋体" w:hAnsi="宋体" w:eastAsia="宋体" w:cs="宋体"/>
                <w:color w:val="auto"/>
                <w:w w:val="90"/>
                <w:sz w:val="24"/>
                <w:highlight w:val="none"/>
              </w:rPr>
            </w:pPr>
          </w:p>
        </w:tc>
      </w:tr>
      <w:tr w14:paraId="17234C7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7F200ACF">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15</w:t>
            </w:r>
          </w:p>
        </w:tc>
        <w:tc>
          <w:tcPr>
            <w:tcW w:w="1858" w:type="dxa"/>
            <w:vMerge w:val="restart"/>
            <w:tcBorders>
              <w:top w:val="single" w:color="0070C0" w:sz="6" w:space="0"/>
              <w:left w:val="single" w:color="0070C0" w:sz="6" w:space="0"/>
              <w:bottom w:val="single" w:color="0070C0" w:sz="6" w:space="0"/>
              <w:right w:val="single" w:color="0070C0" w:sz="6" w:space="0"/>
            </w:tcBorders>
            <w:noWrap/>
            <w:vAlign w:val="center"/>
          </w:tcPr>
          <w:p w14:paraId="3F5F7E0B">
            <w:pPr>
              <w:autoSpaceDN w:val="0"/>
              <w:jc w:val="left"/>
              <w:rPr>
                <w:rFonts w:hint="eastAsia" w:ascii="宋体" w:hAnsi="宋体" w:eastAsia="宋体" w:cs="宋体"/>
                <w:b/>
                <w:color w:val="auto"/>
                <w:w w:val="90"/>
                <w:sz w:val="24"/>
                <w:highlight w:val="none"/>
              </w:rPr>
            </w:pPr>
            <w:r>
              <w:rPr>
                <w:rFonts w:hint="eastAsia" w:ascii="宋体" w:hAnsi="宋体" w:eastAsia="宋体" w:cs="宋体"/>
                <w:color w:val="auto"/>
                <w:w w:val="90"/>
                <w:sz w:val="24"/>
                <w:highlight w:val="none"/>
              </w:rPr>
              <w:t>★</w:t>
            </w:r>
            <w:r>
              <w:rPr>
                <w:rFonts w:hint="eastAsia" w:ascii="宋体" w:hAnsi="宋体" w:eastAsia="宋体" w:cs="宋体"/>
                <w:b/>
                <w:color w:val="auto"/>
                <w:w w:val="90"/>
                <w:sz w:val="24"/>
                <w:highlight w:val="none"/>
              </w:rPr>
              <w:t>A060805便器</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3126F4BA">
            <w:pPr>
              <w:autoSpaceDN w:val="0"/>
              <w:jc w:val="left"/>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坐便器</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431FD3C9">
            <w:pPr>
              <w:autoSpaceDN w:val="0"/>
              <w:jc w:val="center"/>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47658EB2">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《坐便器水效限定值及水效等级</w:t>
            </w:r>
          </w:p>
          <w:p w14:paraId="3FF42373">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（GB 25502）</w:t>
            </w:r>
          </w:p>
        </w:tc>
      </w:tr>
      <w:tr w14:paraId="57F902B9">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245688D0">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15465BC9">
            <w:pPr>
              <w:widowControl/>
              <w:jc w:val="left"/>
              <w:rPr>
                <w:rFonts w:hint="eastAsia" w:ascii="宋体" w:hAnsi="宋体" w:eastAsia="宋体" w:cs="宋体"/>
                <w:b/>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6C5172AF">
            <w:pPr>
              <w:autoSpaceDN w:val="0"/>
              <w:jc w:val="left"/>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蹲便器</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11AD7364">
            <w:pPr>
              <w:autoSpaceDN w:val="0"/>
              <w:jc w:val="center"/>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7EB61842">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《蹲便器用水效率限定值及用水效率等级》（GB 30717）</w:t>
            </w:r>
          </w:p>
        </w:tc>
      </w:tr>
      <w:tr w14:paraId="67823E1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vMerge w:val="continue"/>
            <w:tcBorders>
              <w:top w:val="single" w:color="0070C0" w:sz="6" w:space="0"/>
              <w:left w:val="thinThickSmallGap" w:color="0070C0" w:sz="18" w:space="0"/>
              <w:bottom w:val="single" w:color="0070C0" w:sz="6" w:space="0"/>
              <w:right w:val="single" w:color="0070C0" w:sz="6" w:space="0"/>
            </w:tcBorders>
            <w:vAlign w:val="center"/>
          </w:tcPr>
          <w:p w14:paraId="6EF5F742">
            <w:pPr>
              <w:widowControl/>
              <w:jc w:val="left"/>
              <w:rPr>
                <w:rFonts w:hint="eastAsia" w:ascii="宋体" w:hAnsi="宋体" w:eastAsia="宋体" w:cs="宋体"/>
                <w:color w:val="auto"/>
                <w:w w:val="90"/>
                <w:sz w:val="24"/>
                <w:highlight w:val="none"/>
              </w:rPr>
            </w:pPr>
          </w:p>
        </w:tc>
        <w:tc>
          <w:tcPr>
            <w:tcW w:w="5676" w:type="dxa"/>
            <w:vMerge w:val="continue"/>
            <w:tcBorders>
              <w:top w:val="single" w:color="0070C0" w:sz="6" w:space="0"/>
              <w:left w:val="single" w:color="0070C0" w:sz="6" w:space="0"/>
              <w:bottom w:val="single" w:color="0070C0" w:sz="6" w:space="0"/>
              <w:right w:val="single" w:color="0070C0" w:sz="6" w:space="0"/>
            </w:tcBorders>
            <w:vAlign w:val="center"/>
          </w:tcPr>
          <w:p w14:paraId="2723ADD1">
            <w:pPr>
              <w:widowControl/>
              <w:jc w:val="left"/>
              <w:rPr>
                <w:rFonts w:hint="eastAsia" w:ascii="宋体" w:hAnsi="宋体" w:eastAsia="宋体" w:cs="宋体"/>
                <w:b/>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11B0483B">
            <w:pPr>
              <w:autoSpaceDN w:val="0"/>
              <w:jc w:val="left"/>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小便器</w:t>
            </w: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3B24D14E">
            <w:pPr>
              <w:autoSpaceDN w:val="0"/>
              <w:jc w:val="center"/>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21AF9A5B">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《小便器用水效率限定值及用水效率等级》（GB 28377）</w:t>
            </w:r>
          </w:p>
        </w:tc>
      </w:tr>
      <w:tr w14:paraId="3B76D2B2">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tcBorders>
              <w:top w:val="single" w:color="0070C0" w:sz="6" w:space="0"/>
              <w:left w:val="thinThickSmallGap" w:color="0070C0" w:sz="18" w:space="0"/>
              <w:bottom w:val="single" w:color="0070C0" w:sz="6" w:space="0"/>
              <w:right w:val="single" w:color="0070C0" w:sz="6" w:space="0"/>
            </w:tcBorders>
            <w:noWrap/>
            <w:vAlign w:val="center"/>
          </w:tcPr>
          <w:p w14:paraId="3911A39E">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16</w:t>
            </w:r>
          </w:p>
        </w:tc>
        <w:tc>
          <w:tcPr>
            <w:tcW w:w="1858" w:type="dxa"/>
            <w:tcBorders>
              <w:top w:val="single" w:color="0070C0" w:sz="6" w:space="0"/>
              <w:left w:val="single" w:color="0070C0" w:sz="6" w:space="0"/>
              <w:bottom w:val="single" w:color="0070C0" w:sz="6" w:space="0"/>
              <w:right w:val="single" w:color="0070C0" w:sz="6" w:space="0"/>
            </w:tcBorders>
            <w:noWrap/>
            <w:vAlign w:val="center"/>
          </w:tcPr>
          <w:p w14:paraId="2808D3DD">
            <w:pPr>
              <w:autoSpaceDN w:val="0"/>
              <w:jc w:val="left"/>
              <w:rPr>
                <w:rFonts w:hint="eastAsia" w:ascii="宋体" w:hAnsi="宋体" w:eastAsia="宋体" w:cs="宋体"/>
                <w:b/>
                <w:color w:val="auto"/>
                <w:w w:val="90"/>
                <w:sz w:val="24"/>
                <w:highlight w:val="none"/>
              </w:rPr>
            </w:pPr>
            <w:r>
              <w:rPr>
                <w:rFonts w:hint="eastAsia" w:ascii="宋体" w:hAnsi="宋体" w:eastAsia="宋体" w:cs="宋体"/>
                <w:color w:val="auto"/>
                <w:w w:val="90"/>
                <w:sz w:val="24"/>
                <w:highlight w:val="none"/>
              </w:rPr>
              <w:t>★</w:t>
            </w:r>
            <w:r>
              <w:rPr>
                <w:rFonts w:hint="eastAsia" w:ascii="宋体" w:hAnsi="宋体" w:eastAsia="宋体" w:cs="宋体"/>
                <w:b/>
                <w:color w:val="auto"/>
                <w:w w:val="90"/>
                <w:sz w:val="24"/>
                <w:highlight w:val="none"/>
              </w:rPr>
              <w:t>A060806水嘴</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7AFDBE27">
            <w:pPr>
              <w:autoSpaceDN w:val="0"/>
              <w:jc w:val="left"/>
              <w:rPr>
                <w:rFonts w:hint="eastAsia" w:ascii="宋体" w:hAnsi="宋体" w:eastAsia="宋体" w:cs="宋体"/>
                <w:color w:val="auto"/>
                <w:w w:val="90"/>
                <w:sz w:val="24"/>
                <w:highlight w:val="none"/>
              </w:rPr>
            </w:pP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3B250E25">
            <w:pPr>
              <w:autoSpaceDN w:val="0"/>
              <w:jc w:val="center"/>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3F090ECE">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《水嘴用水效率限定值及用水效率等级》（GB 25501）</w:t>
            </w:r>
          </w:p>
        </w:tc>
      </w:tr>
      <w:tr w14:paraId="368AB7B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tcBorders>
              <w:top w:val="single" w:color="0070C0" w:sz="6" w:space="0"/>
              <w:left w:val="thinThickSmallGap" w:color="0070C0" w:sz="18" w:space="0"/>
              <w:bottom w:val="single" w:color="0070C0" w:sz="6" w:space="0"/>
              <w:right w:val="single" w:color="0070C0" w:sz="6" w:space="0"/>
            </w:tcBorders>
            <w:noWrap/>
            <w:vAlign w:val="center"/>
          </w:tcPr>
          <w:p w14:paraId="76FC6A35">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17</w:t>
            </w:r>
          </w:p>
        </w:tc>
        <w:tc>
          <w:tcPr>
            <w:tcW w:w="1858" w:type="dxa"/>
            <w:tcBorders>
              <w:top w:val="single" w:color="0070C0" w:sz="6" w:space="0"/>
              <w:left w:val="single" w:color="0070C0" w:sz="6" w:space="0"/>
              <w:bottom w:val="single" w:color="0070C0" w:sz="6" w:space="0"/>
              <w:right w:val="single" w:color="0070C0" w:sz="6" w:space="0"/>
            </w:tcBorders>
            <w:noWrap/>
            <w:vAlign w:val="center"/>
          </w:tcPr>
          <w:p w14:paraId="6EE065DF">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A060807便器冲洗阀</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0029CC7F">
            <w:pPr>
              <w:autoSpaceDN w:val="0"/>
              <w:jc w:val="left"/>
              <w:rPr>
                <w:rFonts w:hint="eastAsia" w:ascii="宋体" w:hAnsi="宋体" w:eastAsia="宋体" w:cs="宋体"/>
                <w:color w:val="auto"/>
                <w:w w:val="90"/>
                <w:sz w:val="24"/>
                <w:highlight w:val="none"/>
              </w:rPr>
            </w:pPr>
          </w:p>
        </w:tc>
        <w:tc>
          <w:tcPr>
            <w:tcW w:w="1550" w:type="dxa"/>
            <w:tcBorders>
              <w:top w:val="single" w:color="0070C0" w:sz="6" w:space="0"/>
              <w:left w:val="single" w:color="0070C0" w:sz="6" w:space="0"/>
              <w:bottom w:val="single" w:color="0070C0" w:sz="6" w:space="0"/>
              <w:right w:val="single" w:color="0070C0" w:sz="6" w:space="0"/>
            </w:tcBorders>
            <w:noWrap/>
            <w:vAlign w:val="center"/>
          </w:tcPr>
          <w:p w14:paraId="4DC8A75D">
            <w:pPr>
              <w:autoSpaceDN w:val="0"/>
              <w:jc w:val="center"/>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single" w:color="0070C0" w:sz="6" w:space="0"/>
              <w:right w:val="thickThinSmallGap" w:color="0070C0" w:sz="18" w:space="0"/>
            </w:tcBorders>
            <w:noWrap/>
            <w:vAlign w:val="center"/>
          </w:tcPr>
          <w:p w14:paraId="67B803EA">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《便器冲洗阀用水效率限定值及用水效率等级》（GB 28379）</w:t>
            </w:r>
          </w:p>
        </w:tc>
      </w:tr>
      <w:tr w14:paraId="0E446F0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672" w:type="dxa"/>
            <w:tcBorders>
              <w:top w:val="single" w:color="0070C0" w:sz="6" w:space="0"/>
              <w:left w:val="thinThickSmallGap" w:color="0070C0" w:sz="18" w:space="0"/>
              <w:bottom w:val="thickThinSmallGap" w:color="0070C0" w:sz="18" w:space="0"/>
              <w:right w:val="single" w:color="0070C0" w:sz="6" w:space="0"/>
            </w:tcBorders>
            <w:noWrap/>
            <w:vAlign w:val="center"/>
          </w:tcPr>
          <w:p w14:paraId="030658A3">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18</w:t>
            </w:r>
          </w:p>
        </w:tc>
        <w:tc>
          <w:tcPr>
            <w:tcW w:w="1858" w:type="dxa"/>
            <w:tcBorders>
              <w:top w:val="single" w:color="0070C0" w:sz="6" w:space="0"/>
              <w:left w:val="single" w:color="0070C0" w:sz="6" w:space="0"/>
              <w:bottom w:val="thickThinSmallGap" w:color="0070C0" w:sz="18" w:space="0"/>
              <w:right w:val="single" w:color="0070C0" w:sz="6" w:space="0"/>
            </w:tcBorders>
            <w:noWrap/>
            <w:vAlign w:val="center"/>
          </w:tcPr>
          <w:p w14:paraId="5078E3FE">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A060810淋浴器</w:t>
            </w:r>
          </w:p>
        </w:tc>
        <w:tc>
          <w:tcPr>
            <w:tcW w:w="2268" w:type="dxa"/>
            <w:tcBorders>
              <w:top w:val="single" w:color="0070C0" w:sz="6" w:space="0"/>
              <w:left w:val="single" w:color="0070C0" w:sz="6" w:space="0"/>
              <w:bottom w:val="thickThinSmallGap" w:color="0070C0" w:sz="18" w:space="0"/>
              <w:right w:val="single" w:color="0070C0" w:sz="6" w:space="0"/>
            </w:tcBorders>
            <w:noWrap/>
            <w:vAlign w:val="center"/>
          </w:tcPr>
          <w:p w14:paraId="36A38DCF">
            <w:pPr>
              <w:autoSpaceDN w:val="0"/>
              <w:jc w:val="left"/>
              <w:rPr>
                <w:rFonts w:hint="eastAsia" w:ascii="宋体" w:hAnsi="宋体" w:eastAsia="宋体" w:cs="宋体"/>
                <w:color w:val="auto"/>
                <w:w w:val="90"/>
                <w:sz w:val="24"/>
                <w:highlight w:val="none"/>
              </w:rPr>
            </w:pPr>
          </w:p>
        </w:tc>
        <w:tc>
          <w:tcPr>
            <w:tcW w:w="1550" w:type="dxa"/>
            <w:tcBorders>
              <w:top w:val="single" w:color="0070C0" w:sz="6" w:space="0"/>
              <w:left w:val="single" w:color="0070C0" w:sz="6" w:space="0"/>
              <w:bottom w:val="thickThinSmallGap" w:color="0070C0" w:sz="18" w:space="0"/>
              <w:right w:val="single" w:color="0070C0" w:sz="6" w:space="0"/>
            </w:tcBorders>
            <w:noWrap/>
            <w:vAlign w:val="center"/>
          </w:tcPr>
          <w:p w14:paraId="6736CAB8">
            <w:pPr>
              <w:autoSpaceDN w:val="0"/>
              <w:jc w:val="center"/>
              <w:rPr>
                <w:rFonts w:hint="eastAsia" w:ascii="宋体" w:hAnsi="宋体" w:eastAsia="宋体" w:cs="宋体"/>
                <w:color w:val="auto"/>
                <w:w w:val="90"/>
                <w:sz w:val="24"/>
                <w:highlight w:val="none"/>
              </w:rPr>
            </w:pPr>
          </w:p>
        </w:tc>
        <w:tc>
          <w:tcPr>
            <w:tcW w:w="3048" w:type="dxa"/>
            <w:tcBorders>
              <w:top w:val="single" w:color="0070C0" w:sz="6" w:space="0"/>
              <w:left w:val="single" w:color="0070C0" w:sz="6" w:space="0"/>
              <w:bottom w:val="thickThinSmallGap" w:color="0070C0" w:sz="18" w:space="0"/>
              <w:right w:val="thickThinSmallGap" w:color="0070C0" w:sz="18" w:space="0"/>
            </w:tcBorders>
            <w:noWrap/>
            <w:vAlign w:val="center"/>
          </w:tcPr>
          <w:p w14:paraId="162EB8C5">
            <w:pPr>
              <w:autoSpaceDN w:val="0"/>
              <w:jc w:val="left"/>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《淋浴器用水效率限定值及用水效率等级》（GB 28378）</w:t>
            </w:r>
          </w:p>
        </w:tc>
      </w:tr>
    </w:tbl>
    <w:p w14:paraId="77DE05DA">
      <w:pPr>
        <w:autoSpaceDN w:val="0"/>
        <w:spacing w:line="360" w:lineRule="auto"/>
        <w:ind w:left="-850" w:leftChars="-405" w:right="-1050" w:rightChars="-500" w:firstLine="436" w:firstLineChars="201"/>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注：1、节能产品认证应依据相关国家标准的最新版本，依据国家标准中二级能效（水效）指标。</w:t>
      </w:r>
    </w:p>
    <w:p w14:paraId="4B30CBA8">
      <w:pPr>
        <w:autoSpaceDN w:val="0"/>
        <w:spacing w:line="360" w:lineRule="auto"/>
        <w:ind w:left="-850" w:leftChars="-405" w:right="-1050" w:rightChars="-500" w:firstLine="436" w:firstLineChars="201"/>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2、上述产品中认证标准发生变更的，依据原认证标准获得的、仍在有效期内的认证证书可使用至2019年6月1日。</w:t>
      </w:r>
    </w:p>
    <w:p w14:paraId="0EECEC1C">
      <w:pPr>
        <w:autoSpaceDN w:val="0"/>
        <w:spacing w:line="360" w:lineRule="auto"/>
        <w:ind w:left="-850" w:leftChars="-405" w:right="-1050" w:rightChars="-500" w:firstLine="436" w:firstLineChars="201"/>
        <w:rPr>
          <w:rFonts w:hint="eastAsia" w:ascii="宋体" w:hAnsi="宋体" w:eastAsia="宋体" w:cs="宋体"/>
          <w:color w:val="auto"/>
          <w:sz w:val="24"/>
          <w:highlight w:val="none"/>
        </w:rPr>
      </w:pPr>
      <w:r>
        <w:rPr>
          <w:rFonts w:hint="eastAsia" w:ascii="宋体" w:hAnsi="宋体" w:eastAsia="宋体" w:cs="宋体"/>
          <w:b/>
          <w:color w:val="auto"/>
          <w:w w:val="90"/>
          <w:sz w:val="24"/>
          <w:highlight w:val="none"/>
        </w:rPr>
        <w:t>3、以“★”标注的为政府强制采购产品。</w:t>
      </w:r>
    </w:p>
    <w:p w14:paraId="6CDEDBD6">
      <w:pPr>
        <w:keepNext/>
        <w:keepLines/>
        <w:autoSpaceDN w:val="0"/>
        <w:spacing w:before="240" w:line="360" w:lineRule="auto"/>
        <w:jc w:val="left"/>
        <w:outlineLvl w:val="2"/>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br w:type="page"/>
      </w:r>
      <w:bookmarkStart w:id="595" w:name="_Toc17428253"/>
      <w:bookmarkStart w:id="596" w:name="_Toc8007004"/>
      <w:bookmarkStart w:id="597" w:name="_Toc7492527"/>
      <w:bookmarkStart w:id="598" w:name="_Toc7542915"/>
      <w:bookmarkStart w:id="599" w:name="_Toc7988420"/>
      <w:bookmarkStart w:id="600" w:name="_Toc7663596"/>
      <w:bookmarkStart w:id="601" w:name="_Toc7488758"/>
      <w:bookmarkStart w:id="602" w:name="_Toc20358291"/>
      <w:bookmarkStart w:id="603" w:name="_Toc7574704"/>
      <w:bookmarkStart w:id="604" w:name="_Toc25765009"/>
      <w:bookmarkStart w:id="605" w:name="_Toc7664196"/>
      <w:bookmarkStart w:id="606" w:name="_Toc17428348"/>
      <w:bookmarkStart w:id="607" w:name="_Toc7668949"/>
      <w:bookmarkStart w:id="608" w:name="_Toc7988474"/>
      <w:bookmarkStart w:id="609" w:name="_Toc24471817"/>
      <w:bookmarkStart w:id="610" w:name="_Toc7993640"/>
      <w:bookmarkStart w:id="611" w:name="_Toc10432457"/>
      <w:r>
        <w:rPr>
          <w:rFonts w:hint="eastAsia" w:ascii="宋体" w:hAnsi="宋体" w:eastAsia="宋体" w:cs="宋体"/>
          <w:b/>
          <w:bCs/>
          <w:color w:val="auto"/>
          <w:kern w:val="0"/>
          <w:sz w:val="24"/>
          <w:highlight w:val="none"/>
        </w:rPr>
        <w:t>三、关于印发环境标志产品政府采购品目清单的通知（财库〔2019〕18号）</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41E44A87">
      <w:pPr>
        <w:autoSpaceDN w:val="0"/>
        <w:jc w:val="center"/>
        <w:rPr>
          <w:rFonts w:hint="eastAsia" w:ascii="宋体" w:hAnsi="宋体" w:eastAsia="宋体" w:cs="宋体"/>
          <w:color w:val="auto"/>
          <w:kern w:val="0"/>
          <w:sz w:val="24"/>
          <w:highlight w:val="none"/>
        </w:rPr>
      </w:pPr>
    </w:p>
    <w:p w14:paraId="1CD65658">
      <w:pPr>
        <w:autoSpaceDN w:val="0"/>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关于印发环境标志产品政府采购品目清单的通知</w:t>
      </w:r>
    </w:p>
    <w:p w14:paraId="67FEBF7C">
      <w:pPr>
        <w:autoSpaceDN w:val="0"/>
        <w:jc w:val="center"/>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rPr>
        <w:t>财库〔2019〕18号</w:t>
      </w:r>
    </w:p>
    <w:p w14:paraId="078E5A33">
      <w:pPr>
        <w:autoSpaceDN w:val="0"/>
        <w:spacing w:line="360" w:lineRule="auto"/>
        <w:rPr>
          <w:rFonts w:hint="eastAsia" w:ascii="宋体" w:hAnsi="宋体" w:eastAsia="宋体" w:cs="宋体"/>
          <w:color w:val="auto"/>
          <w:kern w:val="0"/>
          <w:sz w:val="24"/>
          <w:highlight w:val="none"/>
        </w:rPr>
      </w:pPr>
    </w:p>
    <w:p w14:paraId="1350965F">
      <w:pPr>
        <w:autoSpaceDN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有关中央预算单位，各省、自治区、直辖市、计划单列市财政厅（局）、生态环境厅（局），新疆生产建设兵团财政局、环境保护局：</w:t>
      </w:r>
    </w:p>
    <w:p w14:paraId="045698C5">
      <w:pPr>
        <w:autoSpaceDN w:val="0"/>
        <w:spacing w:line="360" w:lineRule="auto"/>
        <w:rPr>
          <w:rFonts w:hint="eastAsia" w:ascii="宋体" w:hAnsi="宋体" w:eastAsia="宋体" w:cs="宋体"/>
          <w:color w:val="auto"/>
          <w:kern w:val="0"/>
          <w:sz w:val="24"/>
          <w:highlight w:val="none"/>
        </w:rPr>
      </w:pPr>
    </w:p>
    <w:p w14:paraId="1CA3F8E1">
      <w:pPr>
        <w:autoSpaceDN w:val="0"/>
        <w:spacing w:line="360" w:lineRule="auto"/>
        <w:ind w:firstLine="484" w:firstLineChars="202"/>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根据《财政部发展改革委 生态环境部 市场监管总局关于调整优化节能产品环境标志产品政府采购执行机制的通知》（财库〔2019〕9号），我们研究制定了环境标志产品政府采购品目清单，现印发给你们，请遵照执行。</w:t>
      </w:r>
    </w:p>
    <w:p w14:paraId="33393185">
      <w:pPr>
        <w:autoSpaceDN w:val="0"/>
        <w:spacing w:line="360" w:lineRule="auto"/>
        <w:ind w:firstLine="484" w:firstLineChars="202"/>
        <w:rPr>
          <w:rFonts w:hint="eastAsia" w:ascii="宋体" w:hAnsi="宋体" w:eastAsia="宋体" w:cs="宋体"/>
          <w:color w:val="auto"/>
          <w:kern w:val="0"/>
          <w:sz w:val="24"/>
          <w:highlight w:val="none"/>
        </w:rPr>
      </w:pPr>
    </w:p>
    <w:p w14:paraId="33E421F5">
      <w:pPr>
        <w:autoSpaceDN w:val="0"/>
        <w:spacing w:line="360" w:lineRule="auto"/>
        <w:ind w:firstLine="336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附件：环境标志产品政府采购品目清单</w:t>
      </w:r>
    </w:p>
    <w:p w14:paraId="1D7FC00F">
      <w:pPr>
        <w:autoSpaceDN w:val="0"/>
        <w:spacing w:line="360" w:lineRule="auto"/>
        <w:ind w:firstLine="3360"/>
        <w:rPr>
          <w:rFonts w:hint="eastAsia" w:ascii="宋体" w:hAnsi="宋体" w:eastAsia="宋体" w:cs="宋体"/>
          <w:color w:val="auto"/>
          <w:kern w:val="0"/>
          <w:sz w:val="24"/>
          <w:highlight w:val="none"/>
        </w:rPr>
      </w:pPr>
    </w:p>
    <w:p w14:paraId="4A040E6F">
      <w:pPr>
        <w:autoSpaceDN w:val="0"/>
        <w:spacing w:line="360" w:lineRule="auto"/>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财政部   生态环境部</w:t>
      </w:r>
    </w:p>
    <w:p w14:paraId="4363A472">
      <w:pPr>
        <w:autoSpaceDN w:val="0"/>
        <w:spacing w:line="360" w:lineRule="auto"/>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2019年3月29日</w:t>
      </w:r>
    </w:p>
    <w:p w14:paraId="3BF4ACAC">
      <w:pPr>
        <w:keepNext/>
        <w:keepLines/>
        <w:autoSpaceDN w:val="0"/>
        <w:spacing w:before="240" w:line="360" w:lineRule="auto"/>
        <w:jc w:val="left"/>
        <w:outlineLvl w:val="3"/>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r>
        <w:rPr>
          <w:rFonts w:hint="eastAsia" w:ascii="宋体" w:hAnsi="宋体" w:eastAsia="宋体" w:cs="宋体"/>
          <w:b/>
          <w:bCs/>
          <w:color w:val="auto"/>
          <w:sz w:val="24"/>
          <w:highlight w:val="none"/>
        </w:rPr>
        <w:t>附：环境标志产品政府采购品目清单</w:t>
      </w:r>
    </w:p>
    <w:tbl>
      <w:tblPr>
        <w:tblStyle w:val="62"/>
        <w:tblW w:w="9555" w:type="dxa"/>
        <w:tblInd w:w="-459" w:type="dxa"/>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Layout w:type="fixed"/>
        <w:tblCellMar>
          <w:top w:w="0" w:type="dxa"/>
          <w:left w:w="108" w:type="dxa"/>
          <w:bottom w:w="0" w:type="dxa"/>
          <w:right w:w="108" w:type="dxa"/>
        </w:tblCellMar>
      </w:tblPr>
      <w:tblGrid>
        <w:gridCol w:w="710"/>
        <w:gridCol w:w="1985"/>
        <w:gridCol w:w="2268"/>
        <w:gridCol w:w="1855"/>
        <w:gridCol w:w="2737"/>
      </w:tblGrid>
      <w:tr w14:paraId="08A8165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709" w:type="dxa"/>
            <w:tcBorders>
              <w:top w:val="thinThickSmallGap" w:color="0070C0" w:sz="18" w:space="0"/>
              <w:left w:val="thinThickSmallGap" w:color="0070C0" w:sz="18" w:space="0"/>
              <w:bottom w:val="single" w:color="0070C0" w:sz="6" w:space="0"/>
              <w:right w:val="single" w:color="0070C0" w:sz="6" w:space="0"/>
            </w:tcBorders>
            <w:shd w:val="clear" w:color="auto" w:fill="DAEEF3"/>
            <w:noWrap/>
            <w:vAlign w:val="center"/>
          </w:tcPr>
          <w:p w14:paraId="5F6D02F0">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品目序号</w:t>
            </w:r>
          </w:p>
        </w:tc>
        <w:tc>
          <w:tcPr>
            <w:tcW w:w="6108" w:type="dxa"/>
            <w:gridSpan w:val="3"/>
            <w:tcBorders>
              <w:top w:val="thinThickSmallGap" w:color="0070C0" w:sz="18" w:space="0"/>
              <w:left w:val="single" w:color="0070C0" w:sz="6" w:space="0"/>
              <w:bottom w:val="single" w:color="0070C0" w:sz="6" w:space="0"/>
              <w:right w:val="single" w:color="0070C0" w:sz="6" w:space="0"/>
            </w:tcBorders>
            <w:shd w:val="clear" w:color="auto" w:fill="DAEEF3"/>
            <w:noWrap/>
            <w:vAlign w:val="center"/>
          </w:tcPr>
          <w:p w14:paraId="5A95D218">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名称</w:t>
            </w:r>
          </w:p>
        </w:tc>
        <w:tc>
          <w:tcPr>
            <w:tcW w:w="2736" w:type="dxa"/>
            <w:tcBorders>
              <w:top w:val="thinThickSmallGap" w:color="0070C0" w:sz="18" w:space="0"/>
              <w:left w:val="single" w:color="0070C0" w:sz="6" w:space="0"/>
              <w:bottom w:val="single" w:color="0070C0" w:sz="6" w:space="0"/>
              <w:right w:val="thickThinSmallGap" w:color="0070C0" w:sz="18" w:space="0"/>
            </w:tcBorders>
            <w:shd w:val="clear" w:color="auto" w:fill="DAEEF3"/>
            <w:noWrap/>
            <w:vAlign w:val="center"/>
          </w:tcPr>
          <w:p w14:paraId="31C3048D">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依据的标准</w:t>
            </w:r>
          </w:p>
        </w:tc>
      </w:tr>
      <w:tr w14:paraId="3AF63A9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40519300">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1</w:t>
            </w:r>
          </w:p>
        </w:tc>
        <w:tc>
          <w:tcPr>
            <w:tcW w:w="1985" w:type="dxa"/>
            <w:vMerge w:val="restart"/>
            <w:tcBorders>
              <w:top w:val="single" w:color="0070C0" w:sz="6" w:space="0"/>
              <w:left w:val="single" w:color="0070C0" w:sz="6" w:space="0"/>
              <w:bottom w:val="single" w:color="0070C0" w:sz="6" w:space="0"/>
              <w:right w:val="single" w:color="0070C0" w:sz="6" w:space="0"/>
            </w:tcBorders>
            <w:noWrap/>
            <w:vAlign w:val="center"/>
          </w:tcPr>
          <w:p w14:paraId="37C1D127">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A020101计算机设备</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45608396">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A02010103服务器</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2292EA0D">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5D23393A">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HJ2507网络服务器</w:t>
            </w:r>
          </w:p>
        </w:tc>
      </w:tr>
      <w:tr w14:paraId="790E87E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482FF31E">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3674699A">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251F7D3A">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A02010104台式计算机</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7A9147F4">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0BFA3773">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HJ2536微型计算机、显示器</w:t>
            </w:r>
          </w:p>
        </w:tc>
      </w:tr>
      <w:tr w14:paraId="2CDCFF42">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5C814731">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0B37206D">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0CCD4006">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A02010105便携式计算机</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672B15A1">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771D4932">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HJ2536微型计算机、显示器</w:t>
            </w:r>
          </w:p>
        </w:tc>
      </w:tr>
      <w:tr w14:paraId="0B27D4F2">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2A307D07">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0F81C670">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4C6354F9">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A02010107平板式微型计算机</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400CE8C4">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6B9E09AE">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HJ2536微型计算机、显示器</w:t>
            </w:r>
          </w:p>
        </w:tc>
      </w:tr>
      <w:tr w14:paraId="5C4EB84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049455B1">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796BE842">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382CF311">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A02010108网络计算机</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33EB3D9F">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2A869BD6">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HJ2536微型计算机、显示器</w:t>
            </w:r>
          </w:p>
        </w:tc>
      </w:tr>
      <w:tr w14:paraId="0E715C2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4BDE3F6D">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40107C68">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70E68AC9">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A02010109计算机工作站</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219312CC">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7CF20284">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HJ2536微型计算机、显示器</w:t>
            </w:r>
          </w:p>
        </w:tc>
      </w:tr>
      <w:tr w14:paraId="6E85078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72DECF55">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2E07CA8E">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189B4209">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A02010199其他计算机设备</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531A509B">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2A9F8FB7">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HJ2536微型计算机、显示器</w:t>
            </w:r>
          </w:p>
        </w:tc>
      </w:tr>
      <w:tr w14:paraId="155332C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02BEE3BF">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2</w:t>
            </w:r>
          </w:p>
        </w:tc>
        <w:tc>
          <w:tcPr>
            <w:tcW w:w="1985" w:type="dxa"/>
            <w:vMerge w:val="restart"/>
            <w:tcBorders>
              <w:top w:val="single" w:color="0070C0" w:sz="6" w:space="0"/>
              <w:left w:val="single" w:color="0070C0" w:sz="6" w:space="0"/>
              <w:bottom w:val="single" w:color="0070C0" w:sz="6" w:space="0"/>
              <w:right w:val="single" w:color="0070C0" w:sz="6" w:space="0"/>
            </w:tcBorders>
            <w:noWrap/>
            <w:vAlign w:val="center"/>
          </w:tcPr>
          <w:p w14:paraId="692E2DCD">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A020106输入输出设备</w:t>
            </w:r>
          </w:p>
        </w:tc>
        <w:tc>
          <w:tcPr>
            <w:tcW w:w="2268" w:type="dxa"/>
            <w:vMerge w:val="restart"/>
            <w:tcBorders>
              <w:top w:val="single" w:color="0070C0" w:sz="6" w:space="0"/>
              <w:left w:val="single" w:color="0070C0" w:sz="6" w:space="0"/>
              <w:bottom w:val="single" w:color="0070C0" w:sz="6" w:space="0"/>
              <w:right w:val="single" w:color="0070C0" w:sz="6" w:space="0"/>
            </w:tcBorders>
            <w:noWrap/>
            <w:vAlign w:val="center"/>
          </w:tcPr>
          <w:p w14:paraId="5539F5FF">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A02010601打印设备</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26D9E407">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A0201060101喷墨打印机</w:t>
            </w: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02031633">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HJ2512打印机、传真机及多功能一体机</w:t>
            </w:r>
          </w:p>
        </w:tc>
      </w:tr>
      <w:tr w14:paraId="10E3DDF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79995FCD">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3B6DAD85">
            <w:pPr>
              <w:widowControl/>
              <w:jc w:val="left"/>
              <w:rPr>
                <w:rFonts w:hint="eastAsia" w:ascii="宋体" w:hAnsi="宋体" w:eastAsia="宋体" w:cs="宋体"/>
                <w:color w:val="auto"/>
                <w:w w:val="90"/>
                <w:sz w:val="24"/>
                <w:highlight w:val="none"/>
              </w:rPr>
            </w:pPr>
          </w:p>
        </w:tc>
        <w:tc>
          <w:tcPr>
            <w:tcW w:w="2268" w:type="dxa"/>
            <w:vMerge w:val="continue"/>
            <w:tcBorders>
              <w:top w:val="single" w:color="0070C0" w:sz="6" w:space="0"/>
              <w:left w:val="single" w:color="0070C0" w:sz="6" w:space="0"/>
              <w:bottom w:val="single" w:color="0070C0" w:sz="6" w:space="0"/>
              <w:right w:val="single" w:color="0070C0" w:sz="6" w:space="0"/>
            </w:tcBorders>
            <w:vAlign w:val="center"/>
          </w:tcPr>
          <w:p w14:paraId="51C8B60F">
            <w:pPr>
              <w:widowControl/>
              <w:jc w:val="left"/>
              <w:rPr>
                <w:rFonts w:hint="eastAsia" w:ascii="宋体" w:hAnsi="宋体" w:eastAsia="宋体" w:cs="宋体"/>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1BE83534">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A0201060102激光打印机</w:t>
            </w: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0E78F81A">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HJ2512打印机、传真机及多功能一体机</w:t>
            </w:r>
          </w:p>
        </w:tc>
      </w:tr>
      <w:tr w14:paraId="74FEDB6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3FFDBCE8">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3E586258">
            <w:pPr>
              <w:widowControl/>
              <w:jc w:val="left"/>
              <w:rPr>
                <w:rFonts w:hint="eastAsia" w:ascii="宋体" w:hAnsi="宋体" w:eastAsia="宋体" w:cs="宋体"/>
                <w:color w:val="auto"/>
                <w:w w:val="90"/>
                <w:sz w:val="24"/>
                <w:highlight w:val="none"/>
              </w:rPr>
            </w:pPr>
          </w:p>
        </w:tc>
        <w:tc>
          <w:tcPr>
            <w:tcW w:w="2268" w:type="dxa"/>
            <w:vMerge w:val="continue"/>
            <w:tcBorders>
              <w:top w:val="single" w:color="0070C0" w:sz="6" w:space="0"/>
              <w:left w:val="single" w:color="0070C0" w:sz="6" w:space="0"/>
              <w:bottom w:val="single" w:color="0070C0" w:sz="6" w:space="0"/>
              <w:right w:val="single" w:color="0070C0" w:sz="6" w:space="0"/>
            </w:tcBorders>
            <w:vAlign w:val="center"/>
          </w:tcPr>
          <w:p w14:paraId="4C0B89CB">
            <w:pPr>
              <w:widowControl/>
              <w:jc w:val="left"/>
              <w:rPr>
                <w:rFonts w:hint="eastAsia" w:ascii="宋体" w:hAnsi="宋体" w:eastAsia="宋体" w:cs="宋体"/>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7258D465">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A0201060103热式打印机</w:t>
            </w: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091F63DE">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HJ2512打印机、传真机及多功能一体机</w:t>
            </w:r>
          </w:p>
        </w:tc>
      </w:tr>
      <w:tr w14:paraId="4805BEA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4F4DF4A7">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5C3C26D9">
            <w:pPr>
              <w:widowControl/>
              <w:jc w:val="left"/>
              <w:rPr>
                <w:rFonts w:hint="eastAsia" w:ascii="宋体" w:hAnsi="宋体" w:eastAsia="宋体" w:cs="宋体"/>
                <w:color w:val="auto"/>
                <w:w w:val="90"/>
                <w:sz w:val="24"/>
                <w:highlight w:val="none"/>
              </w:rPr>
            </w:pPr>
          </w:p>
        </w:tc>
        <w:tc>
          <w:tcPr>
            <w:tcW w:w="2268" w:type="dxa"/>
            <w:vMerge w:val="continue"/>
            <w:tcBorders>
              <w:top w:val="single" w:color="0070C0" w:sz="6" w:space="0"/>
              <w:left w:val="single" w:color="0070C0" w:sz="6" w:space="0"/>
              <w:bottom w:val="single" w:color="0070C0" w:sz="6" w:space="0"/>
              <w:right w:val="single" w:color="0070C0" w:sz="6" w:space="0"/>
            </w:tcBorders>
            <w:vAlign w:val="center"/>
          </w:tcPr>
          <w:p w14:paraId="0C5E582F">
            <w:pPr>
              <w:widowControl/>
              <w:jc w:val="left"/>
              <w:rPr>
                <w:rFonts w:hint="eastAsia" w:ascii="宋体" w:hAnsi="宋体" w:eastAsia="宋体" w:cs="宋体"/>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0D426DD5">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A0201060104针式打印机</w:t>
            </w: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3D31BB6E">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HJ2512打印机、传真机及多功能一体机</w:t>
            </w:r>
          </w:p>
        </w:tc>
      </w:tr>
      <w:tr w14:paraId="290AD13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29E934AC">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3F1CEFCD">
            <w:pPr>
              <w:widowControl/>
              <w:jc w:val="left"/>
              <w:rPr>
                <w:rFonts w:hint="eastAsia" w:ascii="宋体" w:hAnsi="宋体" w:eastAsia="宋体" w:cs="宋体"/>
                <w:color w:val="auto"/>
                <w:w w:val="90"/>
                <w:sz w:val="24"/>
                <w:highlight w:val="none"/>
              </w:rPr>
            </w:pPr>
          </w:p>
        </w:tc>
        <w:tc>
          <w:tcPr>
            <w:tcW w:w="2268" w:type="dxa"/>
            <w:vMerge w:val="restart"/>
            <w:tcBorders>
              <w:top w:val="single" w:color="0070C0" w:sz="6" w:space="0"/>
              <w:left w:val="single" w:color="0070C0" w:sz="6" w:space="0"/>
              <w:bottom w:val="single" w:color="0070C0" w:sz="6" w:space="0"/>
              <w:right w:val="single" w:color="0070C0" w:sz="6" w:space="0"/>
            </w:tcBorders>
            <w:noWrap/>
            <w:vAlign w:val="center"/>
          </w:tcPr>
          <w:p w14:paraId="77922446">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A02010604显示设备</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3D8A4C7D">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A0201060401液晶显示器</w:t>
            </w: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67EA2000">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HJ2536微型计算机、显示器</w:t>
            </w:r>
          </w:p>
        </w:tc>
      </w:tr>
      <w:tr w14:paraId="212F205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643562A4">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35614C30">
            <w:pPr>
              <w:widowControl/>
              <w:jc w:val="left"/>
              <w:rPr>
                <w:rFonts w:hint="eastAsia" w:ascii="宋体" w:hAnsi="宋体" w:eastAsia="宋体" w:cs="宋体"/>
                <w:color w:val="auto"/>
                <w:w w:val="90"/>
                <w:sz w:val="24"/>
                <w:highlight w:val="none"/>
              </w:rPr>
            </w:pPr>
          </w:p>
        </w:tc>
        <w:tc>
          <w:tcPr>
            <w:tcW w:w="2268" w:type="dxa"/>
            <w:vMerge w:val="continue"/>
            <w:tcBorders>
              <w:top w:val="single" w:color="0070C0" w:sz="6" w:space="0"/>
              <w:left w:val="single" w:color="0070C0" w:sz="6" w:space="0"/>
              <w:bottom w:val="single" w:color="0070C0" w:sz="6" w:space="0"/>
              <w:right w:val="single" w:color="0070C0" w:sz="6" w:space="0"/>
            </w:tcBorders>
            <w:vAlign w:val="center"/>
          </w:tcPr>
          <w:p w14:paraId="6E4A3BA1">
            <w:pPr>
              <w:widowControl/>
              <w:jc w:val="left"/>
              <w:rPr>
                <w:rFonts w:hint="eastAsia" w:ascii="宋体" w:hAnsi="宋体" w:eastAsia="宋体" w:cs="宋体"/>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47FA7055">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A0201060499其他显示器</w:t>
            </w: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00BE6112">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HJ2536微型计算机、显示器</w:t>
            </w:r>
          </w:p>
        </w:tc>
      </w:tr>
      <w:tr w14:paraId="5CCF1B65">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2DBC4304">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5E77950A">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1732BF99">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A02010609图形图像输入设备</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2599EEF1">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A0201060901扫描仪</w:t>
            </w: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280C196A">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HJ2517扫描仪</w:t>
            </w:r>
          </w:p>
        </w:tc>
      </w:tr>
      <w:tr w14:paraId="35D76CC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2A71DF4B">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3</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24C33755">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A020202投影仪</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28F98946">
            <w:pPr>
              <w:autoSpaceDN w:val="0"/>
              <w:rPr>
                <w:rFonts w:hint="eastAsia" w:ascii="宋体" w:hAnsi="宋体" w:eastAsia="宋体" w:cs="宋体"/>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074A82DF">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686E72A2">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HJ2516投影仪</w:t>
            </w:r>
          </w:p>
        </w:tc>
      </w:tr>
      <w:tr w14:paraId="7CAA6E95">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4A95B834">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4</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6B7AFEFF">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A020201复印机</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673D0122">
            <w:pPr>
              <w:autoSpaceDN w:val="0"/>
              <w:rPr>
                <w:rFonts w:hint="eastAsia" w:ascii="宋体" w:hAnsi="宋体" w:eastAsia="宋体" w:cs="宋体"/>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19E543CD">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38F541AC">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HJ424数字式复印（包括多功能）设备</w:t>
            </w:r>
          </w:p>
        </w:tc>
      </w:tr>
      <w:tr w14:paraId="1E544F2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09EC2432">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5</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2CA5267B">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A020204多功能一体机</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6B0D9693">
            <w:pPr>
              <w:autoSpaceDN w:val="0"/>
              <w:rPr>
                <w:rFonts w:hint="eastAsia" w:ascii="宋体" w:hAnsi="宋体" w:eastAsia="宋体" w:cs="宋体"/>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0976E800">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2AD9AC14">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HJ424数字式复印（包括多功能）设备</w:t>
            </w:r>
          </w:p>
        </w:tc>
      </w:tr>
      <w:tr w14:paraId="42319BCC">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5B1DFD43">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6</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5089599A">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A020210文印设备</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3B77EC9F">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A02021001速印机</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41E0932C">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63446055">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HJ472数字式一体化速印机</w:t>
            </w:r>
          </w:p>
        </w:tc>
      </w:tr>
      <w:tr w14:paraId="4FAD3A5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3093003A">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7</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74B4EFE8">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A020301载货汽车（含自卸汽车）</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65885E11">
            <w:pPr>
              <w:autoSpaceDN w:val="0"/>
              <w:rPr>
                <w:rFonts w:hint="eastAsia" w:ascii="宋体" w:hAnsi="宋体" w:eastAsia="宋体" w:cs="宋体"/>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52FBC30E">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7AAD50A4">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HJ2532轻型汽车</w:t>
            </w:r>
          </w:p>
        </w:tc>
      </w:tr>
      <w:tr w14:paraId="60F9E29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43F70586">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8</w:t>
            </w:r>
          </w:p>
        </w:tc>
        <w:tc>
          <w:tcPr>
            <w:tcW w:w="1985" w:type="dxa"/>
            <w:vMerge w:val="restart"/>
            <w:tcBorders>
              <w:top w:val="single" w:color="0070C0" w:sz="6" w:space="0"/>
              <w:left w:val="single" w:color="0070C0" w:sz="6" w:space="0"/>
              <w:bottom w:val="single" w:color="0070C0" w:sz="6" w:space="0"/>
              <w:right w:val="single" w:color="0070C0" w:sz="6" w:space="0"/>
            </w:tcBorders>
            <w:noWrap/>
            <w:vAlign w:val="center"/>
          </w:tcPr>
          <w:p w14:paraId="7E198010">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A020305乘用车（轿车）</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2EF868E9">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A02030501轿车</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544E280E">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292B0AE4">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HJ2532轻型汽车</w:t>
            </w:r>
          </w:p>
        </w:tc>
      </w:tr>
      <w:tr w14:paraId="622C6089">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01EC77F1">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255AB420">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1DE64C5F">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A02030599其他乘用车（轿车）</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679A21BB">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6448FD89">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HJ2532轻型汽车</w:t>
            </w:r>
          </w:p>
        </w:tc>
      </w:tr>
      <w:tr w14:paraId="4F027CBC">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0A1BB0F1">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9</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366925C7">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A020306客车</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028437DB">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A02030601小型客车</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53D9F556">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708022A0">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HJ2532轻型汽车</w:t>
            </w:r>
          </w:p>
        </w:tc>
      </w:tr>
      <w:tr w14:paraId="7BB300A2">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00E0E87D">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10</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407D50D9">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A020307专用车辆</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3D75222A">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A02030799其他专用汽车</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29B0DE8F">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05D8964B">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HJ2532轻型汽车</w:t>
            </w:r>
          </w:p>
        </w:tc>
      </w:tr>
      <w:tr w14:paraId="319EB64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7B381210">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11</w:t>
            </w:r>
          </w:p>
        </w:tc>
        <w:tc>
          <w:tcPr>
            <w:tcW w:w="1985" w:type="dxa"/>
            <w:vMerge w:val="restart"/>
            <w:tcBorders>
              <w:top w:val="single" w:color="0070C0" w:sz="6" w:space="0"/>
              <w:left w:val="single" w:color="0070C0" w:sz="6" w:space="0"/>
              <w:bottom w:val="single" w:color="0070C0" w:sz="6" w:space="0"/>
              <w:right w:val="single" w:color="0070C0" w:sz="6" w:space="0"/>
            </w:tcBorders>
            <w:noWrap/>
            <w:vAlign w:val="center"/>
          </w:tcPr>
          <w:p w14:paraId="205F067C">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A020523制冷空调设备</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436955B9">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A02052301制冷压缩机</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7054D6AD">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473D5870">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HJ2531工商用制冷设备</w:t>
            </w:r>
          </w:p>
        </w:tc>
      </w:tr>
      <w:tr w14:paraId="0C742BD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71092571">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04D6C265">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1482E0FD">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A02052305空调机组</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43B3156C">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564A00B4">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HJ2531工商用制冷设备</w:t>
            </w:r>
          </w:p>
        </w:tc>
      </w:tr>
      <w:tr w14:paraId="6E54744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6F363EE7">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1853DCED">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7F9FE5D0">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A02052309专用制冷、空调设备</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4CCECF76">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2E8E86F0">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HJ2531工商用制冷设备</w:t>
            </w:r>
          </w:p>
        </w:tc>
      </w:tr>
      <w:tr w14:paraId="46EF5EF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49F7FC67">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12</w:t>
            </w:r>
          </w:p>
        </w:tc>
        <w:tc>
          <w:tcPr>
            <w:tcW w:w="1985" w:type="dxa"/>
            <w:vMerge w:val="restart"/>
            <w:tcBorders>
              <w:top w:val="single" w:color="0070C0" w:sz="6" w:space="0"/>
              <w:left w:val="single" w:color="0070C0" w:sz="6" w:space="0"/>
              <w:bottom w:val="single" w:color="0070C0" w:sz="6" w:space="0"/>
              <w:right w:val="single" w:color="0070C0" w:sz="6" w:space="0"/>
            </w:tcBorders>
            <w:noWrap/>
            <w:vAlign w:val="center"/>
          </w:tcPr>
          <w:p w14:paraId="6DBAB642">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A020618生活用电器</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7A66C73C">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A02061802空气调节电器</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0FF16E88">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A0206180203空调机</w:t>
            </w: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1C130D5C">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HJ2535房间空气调节器</w:t>
            </w:r>
          </w:p>
        </w:tc>
      </w:tr>
      <w:tr w14:paraId="1AF786C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12012985">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2B906BAD">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1991EE4B">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A02061808热水器</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2337E627">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1AB120AB">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HJ/T362太阳能集热器</w:t>
            </w:r>
          </w:p>
        </w:tc>
      </w:tr>
      <w:tr w14:paraId="22CB91D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1FC357E4">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13</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1B36C364">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A020619照明设备</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17B0A0BF">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A02061908室内照明灯具</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7025A642">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27EA3DE8">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HJ2518照明光源</w:t>
            </w:r>
          </w:p>
        </w:tc>
      </w:tr>
      <w:tr w14:paraId="33BDF4A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2EA36E09">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14</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6CBF2C5B">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A020810传真及数据数字通信设备</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5C4D9952">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A02081001传真通信设备</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10A0CA98">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7B5C4C03">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HJ2512打印机、传真机及多功能一体机</w:t>
            </w:r>
          </w:p>
        </w:tc>
      </w:tr>
      <w:tr w14:paraId="2A7BFBE9">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16CA023E">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15</w:t>
            </w:r>
          </w:p>
        </w:tc>
        <w:tc>
          <w:tcPr>
            <w:tcW w:w="1985" w:type="dxa"/>
            <w:vMerge w:val="restart"/>
            <w:tcBorders>
              <w:top w:val="single" w:color="0070C0" w:sz="6" w:space="0"/>
              <w:left w:val="single" w:color="0070C0" w:sz="6" w:space="0"/>
              <w:bottom w:val="single" w:color="0070C0" w:sz="6" w:space="0"/>
              <w:right w:val="single" w:color="0070C0" w:sz="6" w:space="0"/>
            </w:tcBorders>
            <w:noWrap/>
            <w:vAlign w:val="center"/>
          </w:tcPr>
          <w:p w14:paraId="47DD3C41">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A020910 电视设备</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2492C49E">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A02091001普通电视设备（电视机）</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050E0511">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2B21378B">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HJ2506彩色电视广播接收机</w:t>
            </w:r>
          </w:p>
        </w:tc>
      </w:tr>
      <w:tr w14:paraId="11DBC84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081CDD26">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3A5B57C2">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6A20648F">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A02091003特殊功能应用电视设备</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6CB76ADA">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0A04C07C">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HJ2506彩色电视广播接收机</w:t>
            </w:r>
          </w:p>
        </w:tc>
      </w:tr>
      <w:tr w14:paraId="002B072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29BB37BA">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16</w:t>
            </w:r>
          </w:p>
        </w:tc>
        <w:tc>
          <w:tcPr>
            <w:tcW w:w="1985" w:type="dxa"/>
            <w:vMerge w:val="restart"/>
            <w:tcBorders>
              <w:top w:val="single" w:color="0070C0" w:sz="6" w:space="0"/>
              <w:left w:val="single" w:color="0070C0" w:sz="6" w:space="0"/>
              <w:bottom w:val="single" w:color="0070C0" w:sz="6" w:space="0"/>
              <w:right w:val="single" w:color="0070C0" w:sz="6" w:space="0"/>
            </w:tcBorders>
            <w:noWrap/>
            <w:vAlign w:val="center"/>
          </w:tcPr>
          <w:p w14:paraId="7850A4D5">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A0601床类</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390CCEBC">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A060101钢木床类</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12030501">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63824FC9">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HJ2547家具/HJ2540 木塑制品</w:t>
            </w:r>
          </w:p>
        </w:tc>
      </w:tr>
      <w:tr w14:paraId="3B8DC9B2">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074BF0D6">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7C652600">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02229218">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A060104木制床类</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3DB5DE09">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2733D1E6">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HJ2547家具/HJ2540 木塑制品</w:t>
            </w:r>
          </w:p>
        </w:tc>
      </w:tr>
      <w:tr w14:paraId="5CEF0AE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351BBDA9">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5BAF97CC">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6FA8759E">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A060199其他床类</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348120BB">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14DF586A">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HJ2547家具/HJ2540 木塑制品</w:t>
            </w:r>
          </w:p>
        </w:tc>
      </w:tr>
      <w:tr w14:paraId="4DE814C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14BB989A">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17</w:t>
            </w:r>
          </w:p>
        </w:tc>
        <w:tc>
          <w:tcPr>
            <w:tcW w:w="1985" w:type="dxa"/>
            <w:vMerge w:val="restart"/>
            <w:tcBorders>
              <w:top w:val="single" w:color="0070C0" w:sz="6" w:space="0"/>
              <w:left w:val="single" w:color="0070C0" w:sz="6" w:space="0"/>
              <w:bottom w:val="single" w:color="0070C0" w:sz="6" w:space="0"/>
              <w:right w:val="single" w:color="0070C0" w:sz="6" w:space="0"/>
            </w:tcBorders>
            <w:noWrap/>
            <w:vAlign w:val="center"/>
          </w:tcPr>
          <w:p w14:paraId="608033A3">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A0602台、桌类</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78D4341E">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A060201钢木台、桌类</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357E8D09">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6E4986AF">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HJ2547家具/HJ2540 木塑制品</w:t>
            </w:r>
          </w:p>
        </w:tc>
      </w:tr>
      <w:tr w14:paraId="1A34A45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0F5F262D">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1D90CC81">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1E068177">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A060205木制台、桌类</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58317776">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77DC6056">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HJ2547家具/HJ2540 木塑制品</w:t>
            </w:r>
          </w:p>
        </w:tc>
      </w:tr>
      <w:tr w14:paraId="7DAB3B7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76C120BA">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40FFFB9D">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206C5224">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A060299其他台、桌类</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3F8E9C52">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119F0F6C">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HJ2547家具/HJ2540 木塑制品</w:t>
            </w:r>
          </w:p>
        </w:tc>
      </w:tr>
      <w:tr w14:paraId="737EA36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61BFC64A">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18</w:t>
            </w:r>
          </w:p>
        </w:tc>
        <w:tc>
          <w:tcPr>
            <w:tcW w:w="1985" w:type="dxa"/>
            <w:vMerge w:val="restart"/>
            <w:tcBorders>
              <w:top w:val="single" w:color="0070C0" w:sz="6" w:space="0"/>
              <w:left w:val="single" w:color="0070C0" w:sz="6" w:space="0"/>
              <w:bottom w:val="single" w:color="0070C0" w:sz="6" w:space="0"/>
              <w:right w:val="single" w:color="0070C0" w:sz="6" w:space="0"/>
            </w:tcBorders>
            <w:noWrap/>
            <w:vAlign w:val="center"/>
          </w:tcPr>
          <w:p w14:paraId="60984E00">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A0603椅凳类</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53BB112B">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A060301金属骨架为主的椅凳类</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64CDDA55">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287566ED">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HJ2547家具/HJ2540 木塑制品</w:t>
            </w:r>
          </w:p>
        </w:tc>
      </w:tr>
      <w:tr w14:paraId="001EF74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36B3975A">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38B37AF5">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14A93387">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A060302木骨架为主的椅凳类</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3B3EFC2E">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20336257">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HJ2547家具/HJ2540 木塑制品</w:t>
            </w:r>
          </w:p>
        </w:tc>
      </w:tr>
      <w:tr w14:paraId="67446E9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5A9BB544">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5450A116">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3E7FC176">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A060399其他椅凳类</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079EA570">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42B8E393">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HJ2547家具/HJ2540 木塑制品</w:t>
            </w:r>
          </w:p>
        </w:tc>
      </w:tr>
      <w:tr w14:paraId="239DE26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5115C753">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19</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392EFAE2">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A0604沙发类</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231B980D">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A060499其他沙发类</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032AF2E0">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73E734B3">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HJ2547家具/HJ2540 木塑制品</w:t>
            </w:r>
          </w:p>
        </w:tc>
      </w:tr>
      <w:tr w14:paraId="11B0427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7401F624">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20</w:t>
            </w:r>
          </w:p>
        </w:tc>
        <w:tc>
          <w:tcPr>
            <w:tcW w:w="1985" w:type="dxa"/>
            <w:vMerge w:val="restart"/>
            <w:tcBorders>
              <w:top w:val="single" w:color="0070C0" w:sz="6" w:space="0"/>
              <w:left w:val="single" w:color="0070C0" w:sz="6" w:space="0"/>
              <w:bottom w:val="single" w:color="0070C0" w:sz="6" w:space="0"/>
              <w:right w:val="single" w:color="0070C0" w:sz="6" w:space="0"/>
            </w:tcBorders>
            <w:noWrap/>
            <w:vAlign w:val="center"/>
          </w:tcPr>
          <w:p w14:paraId="0D1573AB">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A0605柜类</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63F3FFC9">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A060501木质柜类</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46736870">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64099524">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HJ2547家具/HJ2540 木塑制品</w:t>
            </w:r>
          </w:p>
        </w:tc>
      </w:tr>
      <w:tr w14:paraId="3B8C403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15DF57E0">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363BE6E9">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3A7ADBB1">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A060503金属质柜类</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43DA55F5">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14A3BC59">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HJ2547家具/HJ2540 木塑制品</w:t>
            </w:r>
          </w:p>
        </w:tc>
      </w:tr>
      <w:tr w14:paraId="2F08FAE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2BFA2F9F">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6E4430A9">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444B2DD7">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A060599其他柜类</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0B001B09">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0BA83635">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HJ2547家具/HJ2540 木塑制品</w:t>
            </w:r>
          </w:p>
        </w:tc>
      </w:tr>
      <w:tr w14:paraId="1C9DFE8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099E22BA">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21</w:t>
            </w:r>
          </w:p>
        </w:tc>
        <w:tc>
          <w:tcPr>
            <w:tcW w:w="1985" w:type="dxa"/>
            <w:vMerge w:val="restart"/>
            <w:tcBorders>
              <w:top w:val="single" w:color="0070C0" w:sz="6" w:space="0"/>
              <w:left w:val="single" w:color="0070C0" w:sz="6" w:space="0"/>
              <w:bottom w:val="single" w:color="0070C0" w:sz="6" w:space="0"/>
              <w:right w:val="single" w:color="0070C0" w:sz="6" w:space="0"/>
            </w:tcBorders>
            <w:noWrap/>
            <w:vAlign w:val="center"/>
          </w:tcPr>
          <w:p w14:paraId="1C36042C">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A0606架类</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7738DB2F">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A060601木质架类</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33494EB4">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68B6F0F9">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HJ2547家具/HJ2540 木塑制品</w:t>
            </w:r>
          </w:p>
        </w:tc>
      </w:tr>
      <w:tr w14:paraId="759CF983">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1A778CD4">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2A3B6243">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5BCAC140">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A060602金属质架类</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0406FA54">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3D067000">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HJ2547家具/HJ2540 木塑制品</w:t>
            </w:r>
          </w:p>
        </w:tc>
      </w:tr>
      <w:tr w14:paraId="353BE533">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72125CAA">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22</w:t>
            </w:r>
          </w:p>
        </w:tc>
        <w:tc>
          <w:tcPr>
            <w:tcW w:w="1985" w:type="dxa"/>
            <w:vMerge w:val="restart"/>
            <w:tcBorders>
              <w:top w:val="single" w:color="0070C0" w:sz="6" w:space="0"/>
              <w:left w:val="single" w:color="0070C0" w:sz="6" w:space="0"/>
              <w:bottom w:val="single" w:color="0070C0" w:sz="6" w:space="0"/>
              <w:right w:val="single" w:color="0070C0" w:sz="6" w:space="0"/>
            </w:tcBorders>
            <w:noWrap/>
            <w:vAlign w:val="center"/>
          </w:tcPr>
          <w:p w14:paraId="5835A003">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A0607屏风类</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752AFF1B">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A060701木质屏风类</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01C7199A">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009A45BC">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HJ2547家具/HJ2540 木塑制品</w:t>
            </w:r>
          </w:p>
        </w:tc>
      </w:tr>
      <w:tr w14:paraId="79B49865">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0B7A8469">
            <w:pPr>
              <w:widowControl/>
              <w:jc w:val="left"/>
              <w:rPr>
                <w:rFonts w:hint="eastAsia" w:ascii="宋体" w:hAnsi="宋体" w:eastAsia="宋体" w:cs="宋体"/>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4CC5A91F">
            <w:pPr>
              <w:widowControl/>
              <w:jc w:val="left"/>
              <w:rPr>
                <w:rFonts w:hint="eastAsia" w:ascii="宋体" w:hAnsi="宋体" w:eastAsia="宋体" w:cs="宋体"/>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738003B4">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A060702金属质屏风类</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41323EFA">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02C50C01">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HJ2547家具/HJ2540 木塑制品</w:t>
            </w:r>
          </w:p>
        </w:tc>
      </w:tr>
      <w:tr w14:paraId="69798569">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18AA093E">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23</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175C786D">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A060804水池</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29BC7C71">
            <w:pPr>
              <w:autoSpaceDN w:val="0"/>
              <w:rPr>
                <w:rFonts w:hint="eastAsia" w:ascii="宋体" w:hAnsi="宋体" w:eastAsia="宋体" w:cs="宋体"/>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179E9B36">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3269AB6C">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HJ/T296卫生陶瓷</w:t>
            </w:r>
          </w:p>
        </w:tc>
      </w:tr>
      <w:tr w14:paraId="208241F5">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1AB74480">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24</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3DFC732D">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A060805便器</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69228573">
            <w:pPr>
              <w:autoSpaceDN w:val="0"/>
              <w:rPr>
                <w:rFonts w:hint="eastAsia" w:ascii="宋体" w:hAnsi="宋体" w:eastAsia="宋体" w:cs="宋体"/>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5ECC80FF">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17C67DF5">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HJ/T296卫生陶瓷</w:t>
            </w:r>
          </w:p>
        </w:tc>
      </w:tr>
      <w:tr w14:paraId="7355136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71683EAB">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25</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2ABD6817">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A060806水嘴</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30F5F01F">
            <w:pPr>
              <w:autoSpaceDN w:val="0"/>
              <w:rPr>
                <w:rFonts w:hint="eastAsia" w:ascii="宋体" w:hAnsi="宋体" w:eastAsia="宋体" w:cs="宋体"/>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12573738">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248C058B">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HJ/T411水嘴</w:t>
            </w:r>
          </w:p>
        </w:tc>
      </w:tr>
      <w:tr w14:paraId="14602B3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6348473B">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26</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4552F647">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A0609组合家具</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7528C66D">
            <w:pPr>
              <w:autoSpaceDN w:val="0"/>
              <w:rPr>
                <w:rFonts w:hint="eastAsia" w:ascii="宋体" w:hAnsi="宋体" w:eastAsia="宋体" w:cs="宋体"/>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21AC1CAF">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66CC3F72">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HJ2547家具/HJ2540 木塑制品</w:t>
            </w:r>
          </w:p>
        </w:tc>
      </w:tr>
      <w:tr w14:paraId="703EF0A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2CC9370C">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27</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7EBCB346">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A0610家用家具零配件</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5DC2A7D7">
            <w:pPr>
              <w:autoSpaceDN w:val="0"/>
              <w:rPr>
                <w:rFonts w:hint="eastAsia" w:ascii="宋体" w:hAnsi="宋体" w:eastAsia="宋体" w:cs="宋体"/>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2813D5DF">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0E226FE3">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HJ2547家具/HJ2540 木塑制品</w:t>
            </w:r>
          </w:p>
        </w:tc>
      </w:tr>
      <w:tr w14:paraId="2BCCD40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15787EE8">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28</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48888D12">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A0699其他家具</w:t>
            </w:r>
          </w:p>
          <w:p w14:paraId="5B0B0783">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用具</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3E04E8AD">
            <w:pPr>
              <w:autoSpaceDN w:val="0"/>
              <w:rPr>
                <w:rFonts w:hint="eastAsia" w:ascii="宋体" w:hAnsi="宋体" w:eastAsia="宋体" w:cs="宋体"/>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7AD00FEB">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07C16CE3">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HJ2547家具/HJ2540 木塑制品</w:t>
            </w:r>
          </w:p>
        </w:tc>
      </w:tr>
      <w:tr w14:paraId="0B617D8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6EE80CA1">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29</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43EE8422">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A070101棉、化纤纺织及印染原料</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55DB2BAE">
            <w:pPr>
              <w:autoSpaceDN w:val="0"/>
              <w:rPr>
                <w:rFonts w:hint="eastAsia" w:ascii="宋体" w:hAnsi="宋体" w:eastAsia="宋体" w:cs="宋体"/>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6B8C9674">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311F610E">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HJ2546纺织产品</w:t>
            </w:r>
          </w:p>
        </w:tc>
      </w:tr>
      <w:tr w14:paraId="211EDC7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04943973">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30</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507F268E">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A090101复印纸（包括再生复印纸）</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5E355901">
            <w:pPr>
              <w:autoSpaceDN w:val="0"/>
              <w:rPr>
                <w:rFonts w:hint="eastAsia" w:ascii="宋体" w:hAnsi="宋体" w:eastAsia="宋体" w:cs="宋体"/>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193BF010">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3C674486">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HJ410文化用纸</w:t>
            </w:r>
          </w:p>
        </w:tc>
      </w:tr>
      <w:tr w14:paraId="2FDC725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70CA0CBE">
            <w:pPr>
              <w:autoSpaceDN w:val="0"/>
              <w:jc w:val="center"/>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31</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06AB162D">
            <w:pPr>
              <w:autoSpaceDN w:val="0"/>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A090201鼓粉盒（包括再生鼓粉盒）</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1792DFCE">
            <w:pPr>
              <w:autoSpaceDN w:val="0"/>
              <w:rPr>
                <w:rFonts w:hint="eastAsia" w:ascii="宋体" w:hAnsi="宋体" w:eastAsia="宋体" w:cs="宋体"/>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18844CA7">
            <w:pPr>
              <w:autoSpaceDN w:val="0"/>
              <w:rPr>
                <w:rFonts w:hint="eastAsia" w:ascii="宋体" w:hAnsi="宋体" w:eastAsia="宋体" w:cs="宋体"/>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6BE24AC8">
            <w:pPr>
              <w:autoSpaceDN w:val="0"/>
              <w:rPr>
                <w:rFonts w:hint="eastAsia" w:ascii="宋体" w:hAnsi="宋体" w:eastAsia="宋体" w:cs="宋体"/>
                <w:color w:val="auto"/>
                <w:w w:val="90"/>
                <w:sz w:val="24"/>
                <w:highlight w:val="none"/>
              </w:rPr>
            </w:pPr>
          </w:p>
        </w:tc>
      </w:tr>
      <w:tr w14:paraId="08CCFD8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42FF1A44">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32</w:t>
            </w:r>
          </w:p>
        </w:tc>
        <w:tc>
          <w:tcPr>
            <w:tcW w:w="1985" w:type="dxa"/>
            <w:vMerge w:val="restart"/>
            <w:tcBorders>
              <w:top w:val="single" w:color="0070C0" w:sz="6" w:space="0"/>
              <w:left w:val="single" w:color="0070C0" w:sz="6" w:space="0"/>
              <w:bottom w:val="single" w:color="0070C0" w:sz="6" w:space="0"/>
              <w:right w:val="single" w:color="0070C0" w:sz="6" w:space="0"/>
            </w:tcBorders>
            <w:noWrap/>
            <w:vAlign w:val="center"/>
          </w:tcPr>
          <w:p w14:paraId="656E2688">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A100203人造板</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336F9473">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A10020301胶合板</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1EC0B987">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5BCAEA09">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HJ571人造板及其制品</w:t>
            </w:r>
          </w:p>
        </w:tc>
      </w:tr>
      <w:tr w14:paraId="379D5C9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760FE891">
            <w:pPr>
              <w:widowControl/>
              <w:jc w:val="left"/>
              <w:rPr>
                <w:rFonts w:hint="eastAsia" w:ascii="宋体" w:hAnsi="宋体" w:eastAsia="宋体" w:cs="宋体"/>
                <w:b/>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5092245E">
            <w:pPr>
              <w:widowControl/>
              <w:jc w:val="left"/>
              <w:rPr>
                <w:rFonts w:hint="eastAsia" w:ascii="宋体" w:hAnsi="宋体" w:eastAsia="宋体" w:cs="宋体"/>
                <w:b/>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111E6780">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A10020302纤维板</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57CE16FC">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4CA15BDD">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HJ571人造板及其制品</w:t>
            </w:r>
          </w:p>
        </w:tc>
      </w:tr>
      <w:tr w14:paraId="2D85152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6F6DB509">
            <w:pPr>
              <w:widowControl/>
              <w:jc w:val="left"/>
              <w:rPr>
                <w:rFonts w:hint="eastAsia" w:ascii="宋体" w:hAnsi="宋体" w:eastAsia="宋体" w:cs="宋体"/>
                <w:b/>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4448464B">
            <w:pPr>
              <w:widowControl/>
              <w:jc w:val="left"/>
              <w:rPr>
                <w:rFonts w:hint="eastAsia" w:ascii="宋体" w:hAnsi="宋体" w:eastAsia="宋体" w:cs="宋体"/>
                <w:b/>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568A2DE8">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A10020303刨花板</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28D6F8D9">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7FA02DBC">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HJ571人造板及其制品</w:t>
            </w:r>
          </w:p>
        </w:tc>
      </w:tr>
      <w:tr w14:paraId="18D9EE6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0F025EA4">
            <w:pPr>
              <w:widowControl/>
              <w:jc w:val="left"/>
              <w:rPr>
                <w:rFonts w:hint="eastAsia" w:ascii="宋体" w:hAnsi="宋体" w:eastAsia="宋体" w:cs="宋体"/>
                <w:b/>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6625D422">
            <w:pPr>
              <w:widowControl/>
              <w:jc w:val="left"/>
              <w:rPr>
                <w:rFonts w:hint="eastAsia" w:ascii="宋体" w:hAnsi="宋体" w:eastAsia="宋体" w:cs="宋体"/>
                <w:b/>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707C5BD4">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A10020304细木工板</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0E295B9B">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259D92C8">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HJ571人造板及其制品</w:t>
            </w:r>
          </w:p>
        </w:tc>
      </w:tr>
      <w:tr w14:paraId="4E23AD3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294442EE">
            <w:pPr>
              <w:widowControl/>
              <w:jc w:val="left"/>
              <w:rPr>
                <w:rFonts w:hint="eastAsia" w:ascii="宋体" w:hAnsi="宋体" w:eastAsia="宋体" w:cs="宋体"/>
                <w:b/>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33031E8C">
            <w:pPr>
              <w:widowControl/>
              <w:jc w:val="left"/>
              <w:rPr>
                <w:rFonts w:hint="eastAsia" w:ascii="宋体" w:hAnsi="宋体" w:eastAsia="宋体" w:cs="宋体"/>
                <w:b/>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57407753">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A10020399其他人造板</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2C340291">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250B4F0B">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HJ571人造板及其制品</w:t>
            </w:r>
          </w:p>
        </w:tc>
      </w:tr>
      <w:tr w14:paraId="783386D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4966C31F">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33</w:t>
            </w:r>
          </w:p>
        </w:tc>
        <w:tc>
          <w:tcPr>
            <w:tcW w:w="1985" w:type="dxa"/>
            <w:vMerge w:val="restart"/>
            <w:tcBorders>
              <w:top w:val="single" w:color="0070C0" w:sz="6" w:space="0"/>
              <w:left w:val="single" w:color="0070C0" w:sz="6" w:space="0"/>
              <w:bottom w:val="single" w:color="0070C0" w:sz="6" w:space="0"/>
              <w:right w:val="single" w:color="0070C0" w:sz="6" w:space="0"/>
            </w:tcBorders>
            <w:noWrap/>
            <w:vAlign w:val="center"/>
          </w:tcPr>
          <w:p w14:paraId="44F8178B">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A100204二次加工材,相关板材</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569D5F82">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A10020404人造板表面装饰板</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49B05BEC">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7E37FECD">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HJ571人造板及其制品/HJ2540 木塑制品</w:t>
            </w:r>
          </w:p>
        </w:tc>
      </w:tr>
      <w:tr w14:paraId="20EA7E1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09CEF2BC">
            <w:pPr>
              <w:widowControl/>
              <w:jc w:val="left"/>
              <w:rPr>
                <w:rFonts w:hint="eastAsia" w:ascii="宋体" w:hAnsi="宋体" w:eastAsia="宋体" w:cs="宋体"/>
                <w:b/>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57BC795A">
            <w:pPr>
              <w:widowControl/>
              <w:jc w:val="left"/>
              <w:rPr>
                <w:rFonts w:hint="eastAsia" w:ascii="宋体" w:hAnsi="宋体" w:eastAsia="宋体" w:cs="宋体"/>
                <w:b/>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4DD69541">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A10020404人造板表面装饰板（地板）</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3539CDE7">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284BFA91">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HJ571人造板及其制品/HJ2540 木塑制品</w:t>
            </w:r>
          </w:p>
        </w:tc>
      </w:tr>
      <w:tr w14:paraId="7E9364E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1622663F">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34</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09EEE22D">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A100301水泥熟料及水泥</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7798B6B1">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A10030102水泥</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520BD67F">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31447CB1">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HJ2519水泥</w:t>
            </w:r>
          </w:p>
        </w:tc>
      </w:tr>
      <w:tr w14:paraId="0FA17F3C">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14516644">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35</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7631DF6F">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A100303水泥混凝土制品</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0B06C93F">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A10030301商品混凝土</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61B66344">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4B06EEF2">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HJ/T412预拌混凝土</w:t>
            </w:r>
          </w:p>
        </w:tc>
      </w:tr>
      <w:tr w14:paraId="42D0218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69302CA2">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36</w:t>
            </w:r>
          </w:p>
        </w:tc>
        <w:tc>
          <w:tcPr>
            <w:tcW w:w="1985" w:type="dxa"/>
            <w:vMerge w:val="restart"/>
            <w:tcBorders>
              <w:top w:val="single" w:color="0070C0" w:sz="6" w:space="0"/>
              <w:left w:val="single" w:color="0070C0" w:sz="6" w:space="0"/>
              <w:bottom w:val="single" w:color="0070C0" w:sz="6" w:space="0"/>
              <w:right w:val="single" w:color="0070C0" w:sz="6" w:space="0"/>
            </w:tcBorders>
            <w:noWrap/>
            <w:vAlign w:val="center"/>
          </w:tcPr>
          <w:p w14:paraId="7D1FEE2E">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A100304纤维增强水泥制品</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5C8F48A1">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A10030402纤维增强硅酸钙板</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17226E10">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4C665B93">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HJ/T223轻质墙体板材</w:t>
            </w:r>
          </w:p>
        </w:tc>
      </w:tr>
      <w:tr w14:paraId="3EA1A2E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49DA1E47">
            <w:pPr>
              <w:widowControl/>
              <w:jc w:val="left"/>
              <w:rPr>
                <w:rFonts w:hint="eastAsia" w:ascii="宋体" w:hAnsi="宋体" w:eastAsia="宋体" w:cs="宋体"/>
                <w:b/>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7E35AC81">
            <w:pPr>
              <w:widowControl/>
              <w:jc w:val="left"/>
              <w:rPr>
                <w:rFonts w:hint="eastAsia" w:ascii="宋体" w:hAnsi="宋体" w:eastAsia="宋体" w:cs="宋体"/>
                <w:b/>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15618EA7">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A10030403无石棉纤维水泥制品</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54384378">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1DD920A0">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HJ/T223轻质墙体板材</w:t>
            </w:r>
          </w:p>
        </w:tc>
      </w:tr>
      <w:tr w14:paraId="404DC72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63E58F54">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37</w:t>
            </w:r>
          </w:p>
        </w:tc>
        <w:tc>
          <w:tcPr>
            <w:tcW w:w="1985" w:type="dxa"/>
            <w:vMerge w:val="restart"/>
            <w:tcBorders>
              <w:top w:val="single" w:color="0070C0" w:sz="6" w:space="0"/>
              <w:left w:val="single" w:color="0070C0" w:sz="6" w:space="0"/>
              <w:bottom w:val="single" w:color="0070C0" w:sz="6" w:space="0"/>
              <w:right w:val="single" w:color="0070C0" w:sz="6" w:space="0"/>
            </w:tcBorders>
            <w:noWrap/>
            <w:vAlign w:val="center"/>
          </w:tcPr>
          <w:p w14:paraId="084455B9">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A100305轻质建筑材料及制品</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15A09EA4">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A10030501石膏板</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7F39ED70">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5664BE20">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HJ/T223轻质墙体板材</w:t>
            </w:r>
          </w:p>
        </w:tc>
      </w:tr>
      <w:tr w14:paraId="2392F28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4CD7833C">
            <w:pPr>
              <w:widowControl/>
              <w:jc w:val="left"/>
              <w:rPr>
                <w:rFonts w:hint="eastAsia" w:ascii="宋体" w:hAnsi="宋体" w:eastAsia="宋体" w:cs="宋体"/>
                <w:b/>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66BE60E5">
            <w:pPr>
              <w:widowControl/>
              <w:jc w:val="left"/>
              <w:rPr>
                <w:rFonts w:hint="eastAsia" w:ascii="宋体" w:hAnsi="宋体" w:eastAsia="宋体" w:cs="宋体"/>
                <w:b/>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5209FF3B">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A10030503轻质隔墙条板</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3DADB891">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5F7358A7">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HJ/T223轻质墙体板材</w:t>
            </w:r>
          </w:p>
        </w:tc>
      </w:tr>
      <w:tr w14:paraId="6FE6A0D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3CF14BEF">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38</w:t>
            </w:r>
          </w:p>
        </w:tc>
        <w:tc>
          <w:tcPr>
            <w:tcW w:w="1985" w:type="dxa"/>
            <w:vMerge w:val="restart"/>
            <w:tcBorders>
              <w:top w:val="single" w:color="0070C0" w:sz="6" w:space="0"/>
              <w:left w:val="single" w:color="0070C0" w:sz="6" w:space="0"/>
              <w:bottom w:val="single" w:color="0070C0" w:sz="6" w:space="0"/>
              <w:right w:val="single" w:color="0070C0" w:sz="6" w:space="0"/>
            </w:tcBorders>
            <w:noWrap/>
            <w:vAlign w:val="center"/>
          </w:tcPr>
          <w:p w14:paraId="219A683E">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A100307建筑陶瓷制品</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67FD073C">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A10030701瓷质砖</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3796ECE4">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4001BD30">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HJ/T297陶瓷砖</w:t>
            </w:r>
          </w:p>
        </w:tc>
      </w:tr>
      <w:tr w14:paraId="0D2B1A6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6C188F5B">
            <w:pPr>
              <w:widowControl/>
              <w:jc w:val="left"/>
              <w:rPr>
                <w:rFonts w:hint="eastAsia" w:ascii="宋体" w:hAnsi="宋体" w:eastAsia="宋体" w:cs="宋体"/>
                <w:b/>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272717AD">
            <w:pPr>
              <w:widowControl/>
              <w:jc w:val="left"/>
              <w:rPr>
                <w:rFonts w:hint="eastAsia" w:ascii="宋体" w:hAnsi="宋体" w:eastAsia="宋体" w:cs="宋体"/>
                <w:b/>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6D63CAB3">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A10030704炻质砖</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11B68891">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0BD4ADD5">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HJ/T297陶瓷砖</w:t>
            </w:r>
          </w:p>
        </w:tc>
      </w:tr>
      <w:tr w14:paraId="66704A4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49D57FA6">
            <w:pPr>
              <w:widowControl/>
              <w:jc w:val="left"/>
              <w:rPr>
                <w:rFonts w:hint="eastAsia" w:ascii="宋体" w:hAnsi="宋体" w:eastAsia="宋体" w:cs="宋体"/>
                <w:b/>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05E1A05B">
            <w:pPr>
              <w:widowControl/>
              <w:jc w:val="left"/>
              <w:rPr>
                <w:rFonts w:hint="eastAsia" w:ascii="宋体" w:hAnsi="宋体" w:eastAsia="宋体" w:cs="宋体"/>
                <w:b/>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4894D7BC">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A10030705陶质砖</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5C97AA46">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1134F60B">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HJ/T297陶瓷砖</w:t>
            </w:r>
          </w:p>
        </w:tc>
      </w:tr>
      <w:tr w14:paraId="0BF00EF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44F0C860">
            <w:pPr>
              <w:widowControl/>
              <w:jc w:val="left"/>
              <w:rPr>
                <w:rFonts w:hint="eastAsia" w:ascii="宋体" w:hAnsi="宋体" w:eastAsia="宋体" w:cs="宋体"/>
                <w:b/>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64F51DEC">
            <w:pPr>
              <w:widowControl/>
              <w:jc w:val="left"/>
              <w:rPr>
                <w:rFonts w:hint="eastAsia" w:ascii="宋体" w:hAnsi="宋体" w:eastAsia="宋体" w:cs="宋体"/>
                <w:b/>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509AEBB2">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A10030799其他建筑陶瓷制品</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4A1C0561">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5E251F48">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HJ/T297陶瓷砖</w:t>
            </w:r>
          </w:p>
        </w:tc>
      </w:tr>
      <w:tr w14:paraId="48468863">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03B4B0FE">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39</w:t>
            </w:r>
          </w:p>
        </w:tc>
        <w:tc>
          <w:tcPr>
            <w:tcW w:w="1985" w:type="dxa"/>
            <w:vMerge w:val="restart"/>
            <w:tcBorders>
              <w:top w:val="single" w:color="0070C0" w:sz="6" w:space="0"/>
              <w:left w:val="single" w:color="0070C0" w:sz="6" w:space="0"/>
              <w:bottom w:val="single" w:color="0070C0" w:sz="6" w:space="0"/>
              <w:right w:val="single" w:color="0070C0" w:sz="6" w:space="0"/>
            </w:tcBorders>
            <w:noWrap/>
            <w:vAlign w:val="center"/>
          </w:tcPr>
          <w:p w14:paraId="5AC71434">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A100309建筑防水卷材及制品</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396BCE9D">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A10030901沥青和改性沥青防水卷材</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18A94282">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3BEE8113">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HJ455防水卷材</w:t>
            </w:r>
          </w:p>
        </w:tc>
      </w:tr>
      <w:tr w14:paraId="7750DA9C">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6F2A1392">
            <w:pPr>
              <w:widowControl/>
              <w:jc w:val="left"/>
              <w:rPr>
                <w:rFonts w:hint="eastAsia" w:ascii="宋体" w:hAnsi="宋体" w:eastAsia="宋体" w:cs="宋体"/>
                <w:b/>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18C5F54D">
            <w:pPr>
              <w:widowControl/>
              <w:jc w:val="left"/>
              <w:rPr>
                <w:rFonts w:hint="eastAsia" w:ascii="宋体" w:hAnsi="宋体" w:eastAsia="宋体" w:cs="宋体"/>
                <w:b/>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7B15C990">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A10030903自粘防水卷材</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132BB25B">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7A8C2AD5">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HJ455防水卷材</w:t>
            </w:r>
          </w:p>
        </w:tc>
      </w:tr>
      <w:tr w14:paraId="425BB98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062CE4D7">
            <w:pPr>
              <w:widowControl/>
              <w:jc w:val="left"/>
              <w:rPr>
                <w:rFonts w:hint="eastAsia" w:ascii="宋体" w:hAnsi="宋体" w:eastAsia="宋体" w:cs="宋体"/>
                <w:b/>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792E8063">
            <w:pPr>
              <w:widowControl/>
              <w:jc w:val="left"/>
              <w:rPr>
                <w:rFonts w:hint="eastAsia" w:ascii="宋体" w:hAnsi="宋体" w:eastAsia="宋体" w:cs="宋体"/>
                <w:b/>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762C358C">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A10030906 高分子防水卷（片）材</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38342D19">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4592CA88">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HJ455防水卷材</w:t>
            </w:r>
          </w:p>
        </w:tc>
      </w:tr>
      <w:tr w14:paraId="68CCE76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6A39808A">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40</w:t>
            </w:r>
          </w:p>
        </w:tc>
        <w:tc>
          <w:tcPr>
            <w:tcW w:w="1985" w:type="dxa"/>
            <w:vMerge w:val="restart"/>
            <w:tcBorders>
              <w:top w:val="single" w:color="0070C0" w:sz="6" w:space="0"/>
              <w:left w:val="single" w:color="0070C0" w:sz="6" w:space="0"/>
              <w:bottom w:val="single" w:color="0070C0" w:sz="6" w:space="0"/>
              <w:right w:val="single" w:color="0070C0" w:sz="6" w:space="0"/>
            </w:tcBorders>
            <w:noWrap/>
            <w:vAlign w:val="center"/>
          </w:tcPr>
          <w:p w14:paraId="7773BF3C">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A100310隔热、隔音人造矿物材料及其制品</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588116A0">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A10031001矿物绝热和吸声材料</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643C2B75">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41D958F4">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HJ/T223轻质墙体板材</w:t>
            </w:r>
          </w:p>
        </w:tc>
      </w:tr>
      <w:tr w14:paraId="0199A9D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417403CF">
            <w:pPr>
              <w:widowControl/>
              <w:jc w:val="left"/>
              <w:rPr>
                <w:rFonts w:hint="eastAsia" w:ascii="宋体" w:hAnsi="宋体" w:eastAsia="宋体" w:cs="宋体"/>
                <w:b/>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24953CF9">
            <w:pPr>
              <w:widowControl/>
              <w:jc w:val="left"/>
              <w:rPr>
                <w:rFonts w:hint="eastAsia" w:ascii="宋体" w:hAnsi="宋体" w:eastAsia="宋体" w:cs="宋体"/>
                <w:b/>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7316CB52">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A10031002矿物材料制品</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308DC6ED">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0FB72BF9">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HJ/T223轻质墙体板材</w:t>
            </w:r>
          </w:p>
        </w:tc>
      </w:tr>
      <w:tr w14:paraId="7AC64C45">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0DC29F79">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41</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18B97A06">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A100601功能性建筑涂料</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62B4D7E3">
            <w:pPr>
              <w:autoSpaceDN w:val="0"/>
              <w:rPr>
                <w:rFonts w:hint="eastAsia" w:ascii="宋体" w:hAnsi="宋体" w:eastAsia="宋体" w:cs="宋体"/>
                <w:b/>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3BC71BE9">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6BC2B299">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HJ2537水性涂料</w:t>
            </w:r>
          </w:p>
        </w:tc>
      </w:tr>
      <w:tr w14:paraId="1FB4EF0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34CAC180">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42</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499660CC">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A100399 其他非金属矿物制品</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1650CA92">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A10039901其他非金属建筑材料</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0D61198E">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7285C15D">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HJ456刚性防水材料</w:t>
            </w:r>
          </w:p>
        </w:tc>
      </w:tr>
      <w:tr w14:paraId="03B253A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tcBorders>
              <w:top w:val="single" w:color="0070C0" w:sz="6" w:space="0"/>
              <w:left w:val="thinThickSmallGap" w:color="0070C0" w:sz="18" w:space="0"/>
              <w:bottom w:val="single" w:color="0070C0" w:sz="6" w:space="0"/>
              <w:right w:val="single" w:color="0070C0" w:sz="6" w:space="0"/>
            </w:tcBorders>
            <w:noWrap/>
            <w:vAlign w:val="center"/>
          </w:tcPr>
          <w:p w14:paraId="56334501">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43</w:t>
            </w:r>
          </w:p>
        </w:tc>
        <w:tc>
          <w:tcPr>
            <w:tcW w:w="1985" w:type="dxa"/>
            <w:vMerge w:val="restart"/>
            <w:tcBorders>
              <w:top w:val="single" w:color="0070C0" w:sz="6" w:space="0"/>
              <w:left w:val="single" w:color="0070C0" w:sz="6" w:space="0"/>
              <w:bottom w:val="single" w:color="0070C0" w:sz="6" w:space="0"/>
              <w:right w:val="single" w:color="0070C0" w:sz="6" w:space="0"/>
            </w:tcBorders>
            <w:noWrap/>
            <w:vAlign w:val="center"/>
          </w:tcPr>
          <w:p w14:paraId="25B44E66">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A100602墙面涂料</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384F144B">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A10060202合成树脂乳液内墙涂料</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38669A40">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0D791D5D">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HJ2537水性涂料</w:t>
            </w:r>
          </w:p>
        </w:tc>
      </w:tr>
      <w:tr w14:paraId="7EAAE4FC">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10B670FC">
            <w:pPr>
              <w:widowControl/>
              <w:jc w:val="left"/>
              <w:rPr>
                <w:rFonts w:hint="eastAsia" w:ascii="宋体" w:hAnsi="宋体" w:eastAsia="宋体" w:cs="宋体"/>
                <w:b/>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73825B50">
            <w:pPr>
              <w:widowControl/>
              <w:jc w:val="left"/>
              <w:rPr>
                <w:rFonts w:hint="eastAsia" w:ascii="宋体" w:hAnsi="宋体" w:eastAsia="宋体" w:cs="宋体"/>
                <w:b/>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1D7800C6">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A10060203合成树脂乳液外墙涂料</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1F987B7A">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2AFBBFCF">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HJ2537水性涂料</w:t>
            </w:r>
          </w:p>
        </w:tc>
      </w:tr>
      <w:tr w14:paraId="0FEBAF6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tcBorders>
              <w:top w:val="single" w:color="0070C0" w:sz="6" w:space="0"/>
              <w:left w:val="thinThickSmallGap" w:color="0070C0" w:sz="18" w:space="0"/>
              <w:bottom w:val="single" w:color="0070C0" w:sz="6" w:space="0"/>
              <w:right w:val="single" w:color="0070C0" w:sz="6" w:space="0"/>
            </w:tcBorders>
            <w:vAlign w:val="center"/>
          </w:tcPr>
          <w:p w14:paraId="32CA80E6">
            <w:pPr>
              <w:widowControl/>
              <w:jc w:val="left"/>
              <w:rPr>
                <w:rFonts w:hint="eastAsia" w:ascii="宋体" w:hAnsi="宋体" w:eastAsia="宋体" w:cs="宋体"/>
                <w:b/>
                <w:color w:val="auto"/>
                <w:w w:val="90"/>
                <w:sz w:val="24"/>
                <w:highlight w:val="none"/>
              </w:rPr>
            </w:pPr>
          </w:p>
        </w:tc>
        <w:tc>
          <w:tcPr>
            <w:tcW w:w="6108" w:type="dxa"/>
            <w:vMerge w:val="continue"/>
            <w:tcBorders>
              <w:top w:val="single" w:color="0070C0" w:sz="6" w:space="0"/>
              <w:left w:val="single" w:color="0070C0" w:sz="6" w:space="0"/>
              <w:bottom w:val="single" w:color="0070C0" w:sz="6" w:space="0"/>
              <w:right w:val="single" w:color="0070C0" w:sz="6" w:space="0"/>
            </w:tcBorders>
            <w:vAlign w:val="center"/>
          </w:tcPr>
          <w:p w14:paraId="67099A9D">
            <w:pPr>
              <w:widowControl/>
              <w:jc w:val="left"/>
              <w:rPr>
                <w:rFonts w:hint="eastAsia" w:ascii="宋体" w:hAnsi="宋体" w:eastAsia="宋体" w:cs="宋体"/>
                <w:b/>
                <w:color w:val="auto"/>
                <w:w w:val="90"/>
                <w:sz w:val="24"/>
                <w:highlight w:val="none"/>
              </w:rPr>
            </w:pP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67AE8A04">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A10060299其他墙面涂料</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76292682">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207472D5">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HJ2537水性涂料</w:t>
            </w:r>
          </w:p>
        </w:tc>
      </w:tr>
      <w:tr w14:paraId="3CDD081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431577C4">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44</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0FA32140">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A100604防水涂料</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725BD6BE">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A10060499其他防水涂料</w:t>
            </w: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3BD57264">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2639D6AA">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HJ2537水性涂料</w:t>
            </w:r>
          </w:p>
        </w:tc>
      </w:tr>
      <w:tr w14:paraId="0BD16D7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4422B94D">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45</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3B584CF4">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A100699其他建筑涂料</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25C6DF33">
            <w:pPr>
              <w:autoSpaceDN w:val="0"/>
              <w:rPr>
                <w:rFonts w:hint="eastAsia" w:ascii="宋体" w:hAnsi="宋体" w:eastAsia="宋体" w:cs="宋体"/>
                <w:b/>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06A180C2">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2BD2F678">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HJ2537水性涂料</w:t>
            </w:r>
          </w:p>
        </w:tc>
      </w:tr>
      <w:tr w14:paraId="5206DEE2">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1916199E">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46</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24191C3D">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A100701门、门槛</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17D06D89">
            <w:pPr>
              <w:autoSpaceDN w:val="0"/>
              <w:rPr>
                <w:rFonts w:hint="eastAsia" w:ascii="宋体" w:hAnsi="宋体" w:eastAsia="宋体" w:cs="宋体"/>
                <w:b/>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2B1AFB59">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742C4A9E">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HJ/T 237塑料门窗/HJ459 木质门和钢质门</w:t>
            </w:r>
          </w:p>
        </w:tc>
      </w:tr>
      <w:tr w14:paraId="212097C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27FFC049">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47</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250F5CD8">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A100702窗</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2BD71385">
            <w:pPr>
              <w:autoSpaceDN w:val="0"/>
              <w:rPr>
                <w:rFonts w:hint="eastAsia" w:ascii="宋体" w:hAnsi="宋体" w:eastAsia="宋体" w:cs="宋体"/>
                <w:b/>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0E52D74C">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1590F25B">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HJ/T237塑料门窗</w:t>
            </w:r>
          </w:p>
        </w:tc>
      </w:tr>
      <w:tr w14:paraId="5481A4C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7020D09E">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48</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68BB38FB">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A170108涂料（建筑涂料除外）</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14E4F550">
            <w:pPr>
              <w:autoSpaceDN w:val="0"/>
              <w:rPr>
                <w:rFonts w:hint="eastAsia" w:ascii="宋体" w:hAnsi="宋体" w:eastAsia="宋体" w:cs="宋体"/>
                <w:b/>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7FF66C8F">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7A738E59">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HJ2537水性涂料</w:t>
            </w:r>
          </w:p>
        </w:tc>
      </w:tr>
      <w:tr w14:paraId="008FC99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single" w:color="0070C0" w:sz="6" w:space="0"/>
              <w:right w:val="single" w:color="0070C0" w:sz="6" w:space="0"/>
            </w:tcBorders>
            <w:noWrap/>
            <w:vAlign w:val="center"/>
          </w:tcPr>
          <w:p w14:paraId="55257DD6">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49</w:t>
            </w:r>
          </w:p>
        </w:tc>
        <w:tc>
          <w:tcPr>
            <w:tcW w:w="1985" w:type="dxa"/>
            <w:tcBorders>
              <w:top w:val="single" w:color="0070C0" w:sz="6" w:space="0"/>
              <w:left w:val="single" w:color="0070C0" w:sz="6" w:space="0"/>
              <w:bottom w:val="single" w:color="0070C0" w:sz="6" w:space="0"/>
              <w:right w:val="single" w:color="0070C0" w:sz="6" w:space="0"/>
            </w:tcBorders>
            <w:noWrap/>
            <w:vAlign w:val="center"/>
          </w:tcPr>
          <w:p w14:paraId="17F00C80">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A170112密封用填料及类似品</w:t>
            </w:r>
          </w:p>
        </w:tc>
        <w:tc>
          <w:tcPr>
            <w:tcW w:w="2268" w:type="dxa"/>
            <w:tcBorders>
              <w:top w:val="single" w:color="0070C0" w:sz="6" w:space="0"/>
              <w:left w:val="single" w:color="0070C0" w:sz="6" w:space="0"/>
              <w:bottom w:val="single" w:color="0070C0" w:sz="6" w:space="0"/>
              <w:right w:val="single" w:color="0070C0" w:sz="6" w:space="0"/>
            </w:tcBorders>
            <w:noWrap/>
            <w:vAlign w:val="center"/>
          </w:tcPr>
          <w:p w14:paraId="7EB8F64C">
            <w:pPr>
              <w:autoSpaceDN w:val="0"/>
              <w:rPr>
                <w:rFonts w:hint="eastAsia" w:ascii="宋体" w:hAnsi="宋体" w:eastAsia="宋体" w:cs="宋体"/>
                <w:b/>
                <w:color w:val="auto"/>
                <w:w w:val="90"/>
                <w:sz w:val="24"/>
                <w:highlight w:val="none"/>
              </w:rPr>
            </w:pPr>
          </w:p>
        </w:tc>
        <w:tc>
          <w:tcPr>
            <w:tcW w:w="1855" w:type="dxa"/>
            <w:tcBorders>
              <w:top w:val="single" w:color="0070C0" w:sz="6" w:space="0"/>
              <w:left w:val="single" w:color="0070C0" w:sz="6" w:space="0"/>
              <w:bottom w:val="single" w:color="0070C0" w:sz="6" w:space="0"/>
              <w:right w:val="single" w:color="0070C0" w:sz="6" w:space="0"/>
            </w:tcBorders>
            <w:noWrap/>
            <w:vAlign w:val="center"/>
          </w:tcPr>
          <w:p w14:paraId="47535E3C">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single" w:color="0070C0" w:sz="6" w:space="0"/>
              <w:right w:val="thickThinSmallGap" w:color="0070C0" w:sz="18" w:space="0"/>
            </w:tcBorders>
            <w:noWrap/>
            <w:vAlign w:val="center"/>
          </w:tcPr>
          <w:p w14:paraId="580DDD93">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HJ2541胶粘剂</w:t>
            </w:r>
          </w:p>
        </w:tc>
      </w:tr>
      <w:tr w14:paraId="3C5BF31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left w:val="thinThickSmallGap" w:color="0070C0" w:sz="18" w:space="0"/>
              <w:bottom w:val="thickThinSmallGap" w:color="0070C0" w:sz="18" w:space="0"/>
              <w:right w:val="single" w:color="0070C0" w:sz="6" w:space="0"/>
            </w:tcBorders>
            <w:noWrap/>
            <w:vAlign w:val="center"/>
          </w:tcPr>
          <w:p w14:paraId="67F961F7">
            <w:pPr>
              <w:autoSpaceDN w:val="0"/>
              <w:jc w:val="center"/>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50</w:t>
            </w:r>
          </w:p>
        </w:tc>
        <w:tc>
          <w:tcPr>
            <w:tcW w:w="1985" w:type="dxa"/>
            <w:tcBorders>
              <w:top w:val="single" w:color="0070C0" w:sz="6" w:space="0"/>
              <w:left w:val="single" w:color="0070C0" w:sz="6" w:space="0"/>
              <w:bottom w:val="thickThinSmallGap" w:color="0070C0" w:sz="18" w:space="0"/>
              <w:right w:val="single" w:color="0070C0" w:sz="6" w:space="0"/>
            </w:tcBorders>
            <w:noWrap/>
            <w:vAlign w:val="center"/>
          </w:tcPr>
          <w:p w14:paraId="7CC205A6">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A180201塑料制品</w:t>
            </w:r>
          </w:p>
        </w:tc>
        <w:tc>
          <w:tcPr>
            <w:tcW w:w="2268" w:type="dxa"/>
            <w:tcBorders>
              <w:top w:val="single" w:color="0070C0" w:sz="6" w:space="0"/>
              <w:left w:val="single" w:color="0070C0" w:sz="6" w:space="0"/>
              <w:bottom w:val="thickThinSmallGap" w:color="0070C0" w:sz="18" w:space="0"/>
              <w:right w:val="single" w:color="0070C0" w:sz="6" w:space="0"/>
            </w:tcBorders>
            <w:noWrap/>
            <w:vAlign w:val="center"/>
          </w:tcPr>
          <w:p w14:paraId="69119AEA">
            <w:pPr>
              <w:autoSpaceDN w:val="0"/>
              <w:rPr>
                <w:rFonts w:hint="eastAsia" w:ascii="宋体" w:hAnsi="宋体" w:eastAsia="宋体" w:cs="宋体"/>
                <w:b/>
                <w:color w:val="auto"/>
                <w:w w:val="90"/>
                <w:sz w:val="24"/>
                <w:highlight w:val="none"/>
              </w:rPr>
            </w:pPr>
          </w:p>
        </w:tc>
        <w:tc>
          <w:tcPr>
            <w:tcW w:w="1855" w:type="dxa"/>
            <w:tcBorders>
              <w:top w:val="single" w:color="0070C0" w:sz="6" w:space="0"/>
              <w:left w:val="single" w:color="0070C0" w:sz="6" w:space="0"/>
              <w:bottom w:val="thickThinSmallGap" w:color="0070C0" w:sz="18" w:space="0"/>
              <w:right w:val="single" w:color="0070C0" w:sz="6" w:space="0"/>
            </w:tcBorders>
            <w:noWrap/>
            <w:vAlign w:val="center"/>
          </w:tcPr>
          <w:p w14:paraId="0E9CCF94">
            <w:pPr>
              <w:autoSpaceDN w:val="0"/>
              <w:rPr>
                <w:rFonts w:hint="eastAsia" w:ascii="宋体" w:hAnsi="宋体" w:eastAsia="宋体" w:cs="宋体"/>
                <w:b/>
                <w:color w:val="auto"/>
                <w:w w:val="90"/>
                <w:sz w:val="24"/>
                <w:highlight w:val="none"/>
              </w:rPr>
            </w:pPr>
          </w:p>
        </w:tc>
        <w:tc>
          <w:tcPr>
            <w:tcW w:w="2736" w:type="dxa"/>
            <w:tcBorders>
              <w:top w:val="single" w:color="0070C0" w:sz="6" w:space="0"/>
              <w:left w:val="single" w:color="0070C0" w:sz="6" w:space="0"/>
              <w:bottom w:val="thickThinSmallGap" w:color="0070C0" w:sz="18" w:space="0"/>
              <w:right w:val="thickThinSmallGap" w:color="0070C0" w:sz="18" w:space="0"/>
            </w:tcBorders>
            <w:noWrap/>
            <w:vAlign w:val="center"/>
          </w:tcPr>
          <w:p w14:paraId="2CC08D30">
            <w:pPr>
              <w:autoSpaceDN w:val="0"/>
              <w:rPr>
                <w:rFonts w:hint="eastAsia" w:ascii="宋体" w:hAnsi="宋体" w:eastAsia="宋体" w:cs="宋体"/>
                <w:b/>
                <w:color w:val="auto"/>
                <w:w w:val="90"/>
                <w:sz w:val="24"/>
                <w:highlight w:val="none"/>
              </w:rPr>
            </w:pPr>
            <w:r>
              <w:rPr>
                <w:rFonts w:hint="eastAsia" w:ascii="宋体" w:hAnsi="宋体" w:eastAsia="宋体" w:cs="宋体"/>
                <w:b/>
                <w:color w:val="auto"/>
                <w:w w:val="90"/>
                <w:sz w:val="24"/>
                <w:highlight w:val="none"/>
              </w:rPr>
              <w:t>HJ/T226建筑用塑料管材/HJ/T231 再生塑料制品</w:t>
            </w:r>
          </w:p>
        </w:tc>
      </w:tr>
    </w:tbl>
    <w:p w14:paraId="017C2F21">
      <w:pPr>
        <w:autoSpaceDN w:val="0"/>
        <w:spacing w:line="360" w:lineRule="auto"/>
        <w:ind w:left="-850" w:leftChars="-405" w:right="-1050" w:rightChars="-500" w:firstLine="436" w:firstLineChars="201"/>
        <w:rPr>
          <w:rFonts w:hint="eastAsia" w:ascii="宋体" w:hAnsi="宋体" w:eastAsia="宋体" w:cs="宋体"/>
          <w:color w:val="auto"/>
          <w:kern w:val="0"/>
          <w:sz w:val="24"/>
          <w:highlight w:val="none"/>
        </w:rPr>
      </w:pPr>
      <w:r>
        <w:rPr>
          <w:rFonts w:hint="eastAsia" w:ascii="宋体" w:hAnsi="宋体" w:eastAsia="宋体" w:cs="宋体"/>
          <w:b/>
          <w:color w:val="auto"/>
          <w:w w:val="90"/>
          <w:sz w:val="24"/>
          <w:highlight w:val="none"/>
        </w:rPr>
        <w:t>注：环境标志产品认证应依据相关标准的最新版本。</w:t>
      </w:r>
    </w:p>
    <w:p w14:paraId="7885566B">
      <w:pPr>
        <w:keepNext/>
        <w:keepLines/>
        <w:autoSpaceDN w:val="0"/>
        <w:spacing w:before="240" w:line="360" w:lineRule="auto"/>
        <w:jc w:val="left"/>
        <w:outlineLvl w:val="2"/>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br w:type="page"/>
      </w:r>
      <w:bookmarkStart w:id="612" w:name="_Toc10432458"/>
      <w:bookmarkStart w:id="613" w:name="_Toc17428349"/>
      <w:bookmarkStart w:id="614" w:name="_Toc8007005"/>
      <w:bookmarkStart w:id="615" w:name="_Toc24471818"/>
      <w:bookmarkStart w:id="616" w:name="_Toc7668950"/>
      <w:bookmarkStart w:id="617" w:name="_Toc7542916"/>
      <w:bookmarkStart w:id="618" w:name="_Toc25765010"/>
      <w:bookmarkStart w:id="619" w:name="_Toc7664197"/>
      <w:bookmarkStart w:id="620" w:name="_Toc7988475"/>
      <w:bookmarkStart w:id="621" w:name="_Toc20358292"/>
      <w:bookmarkStart w:id="622" w:name="_Toc7663597"/>
      <w:bookmarkStart w:id="623" w:name="_Toc7993641"/>
      <w:bookmarkStart w:id="624" w:name="_Toc7492528"/>
      <w:bookmarkStart w:id="625" w:name="_Toc7988421"/>
      <w:bookmarkStart w:id="626" w:name="_Toc7488759"/>
      <w:bookmarkStart w:id="627" w:name="_Toc17428254"/>
      <w:bookmarkStart w:id="628" w:name="_Toc7574705"/>
      <w:r>
        <w:rPr>
          <w:rFonts w:hint="eastAsia" w:ascii="宋体" w:hAnsi="宋体" w:eastAsia="宋体" w:cs="宋体"/>
          <w:b/>
          <w:bCs/>
          <w:color w:val="auto"/>
          <w:kern w:val="0"/>
          <w:sz w:val="24"/>
          <w:highlight w:val="none"/>
        </w:rPr>
        <w:t>四、市场监管总局关于发布参与实施政府采购节能产品、环境标志产品认证机构名录的公告（2019年第16号）</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3D2464E6">
      <w:pPr>
        <w:widowControl/>
        <w:shd w:val="clear" w:color="auto" w:fill="FFFFFF"/>
        <w:autoSpaceDN w:val="0"/>
        <w:spacing w:before="68" w:after="299" w:line="360" w:lineRule="auto"/>
        <w:jc w:val="center"/>
        <w:textAlignment w:val="baseline"/>
        <w:rPr>
          <w:rFonts w:hint="eastAsia" w:ascii="宋体" w:hAnsi="宋体" w:eastAsia="宋体" w:cs="宋体"/>
          <w:b/>
          <w:color w:val="auto"/>
          <w:kern w:val="0"/>
          <w:sz w:val="24"/>
          <w:highlight w:val="none"/>
        </w:rPr>
      </w:pPr>
    </w:p>
    <w:p w14:paraId="31606798">
      <w:pPr>
        <w:widowControl/>
        <w:shd w:val="clear" w:color="auto" w:fill="FFFFFF"/>
        <w:autoSpaceDN w:val="0"/>
        <w:spacing w:before="68" w:after="299" w:line="360" w:lineRule="auto"/>
        <w:jc w:val="center"/>
        <w:textAlignment w:val="baseline"/>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市场监管总局关于发布参与实施政府采购节能产品、环境</w:t>
      </w:r>
    </w:p>
    <w:p w14:paraId="405C802D">
      <w:pPr>
        <w:widowControl/>
        <w:shd w:val="clear" w:color="auto" w:fill="FFFFFF"/>
        <w:autoSpaceDN w:val="0"/>
        <w:spacing w:before="68" w:after="299" w:line="360" w:lineRule="auto"/>
        <w:jc w:val="center"/>
        <w:textAlignment w:val="baseline"/>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标志产品认证机构名录的公告</w:t>
      </w:r>
    </w:p>
    <w:p w14:paraId="7ADACBBA">
      <w:pPr>
        <w:widowControl/>
        <w:shd w:val="clear" w:color="auto" w:fill="FFFFFF"/>
        <w:autoSpaceDN w:val="0"/>
        <w:spacing w:before="68" w:after="299" w:line="360" w:lineRule="auto"/>
        <w:jc w:val="center"/>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2019年第16号</w:t>
      </w:r>
    </w:p>
    <w:p w14:paraId="57A3F95D">
      <w:pPr>
        <w:widowControl/>
        <w:shd w:val="clear" w:color="auto" w:fill="FFFFFF"/>
        <w:autoSpaceDN w:val="0"/>
        <w:spacing w:before="68" w:after="299" w:line="360" w:lineRule="auto"/>
        <w:ind w:firstLine="424" w:firstLineChars="177"/>
        <w:jc w:val="left"/>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根据《财政部 发展改革委 生态环境部 市场监管总局关于调整优化节能产品、环境标志产品政府采购执行机制的通知》(财库〔2019〕9号)和《市场监管总局办公厅关于扩大参与实施政府采购节能产品、环境标志产品认证机构范围的通知》（市监认证函〔2019〕513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14:paraId="276972F5">
      <w:pPr>
        <w:widowControl/>
        <w:shd w:val="clear" w:color="auto" w:fill="FFFFFF"/>
        <w:autoSpaceDN w:val="0"/>
        <w:spacing w:before="68" w:after="299" w:line="360" w:lineRule="auto"/>
        <w:ind w:firstLine="424" w:firstLineChars="177"/>
        <w:jc w:val="left"/>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自本公告发布后，新增认证机构应尽快完成政府采购认证信息系统对接，对接完成后方可开展相关认证工作。</w:t>
      </w:r>
    </w:p>
    <w:p w14:paraId="31C356A1">
      <w:pPr>
        <w:widowControl/>
        <w:shd w:val="clear" w:color="auto" w:fill="FFFFFF"/>
        <w:autoSpaceDN w:val="0"/>
        <w:spacing w:before="68" w:after="299" w:line="360" w:lineRule="auto"/>
        <w:jc w:val="right"/>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市场监管总局</w:t>
      </w:r>
    </w:p>
    <w:p w14:paraId="621AAA1F">
      <w:pPr>
        <w:widowControl/>
        <w:shd w:val="clear" w:color="auto" w:fill="FFFFFF"/>
        <w:autoSpaceDN w:val="0"/>
        <w:spacing w:before="68" w:after="299" w:line="360" w:lineRule="auto"/>
        <w:jc w:val="right"/>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2019年4月3日</w:t>
      </w:r>
    </w:p>
    <w:p w14:paraId="1AF06E96">
      <w:pPr>
        <w:keepNext/>
        <w:keepLines/>
        <w:autoSpaceDN w:val="0"/>
        <w:spacing w:before="240" w:line="360" w:lineRule="auto"/>
        <w:jc w:val="left"/>
        <w:outlineLvl w:val="3"/>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r>
        <w:rPr>
          <w:rFonts w:hint="eastAsia" w:ascii="宋体" w:hAnsi="宋体" w:eastAsia="宋体" w:cs="宋体"/>
          <w:b/>
          <w:bCs/>
          <w:color w:val="auto"/>
          <w:sz w:val="24"/>
          <w:highlight w:val="none"/>
        </w:rPr>
        <w:t>附1：参与实施政府采购节能产品认证机构名录</w:t>
      </w:r>
    </w:p>
    <w:tbl>
      <w:tblPr>
        <w:tblStyle w:val="62"/>
        <w:tblW w:w="9090" w:type="dxa"/>
        <w:tblInd w:w="-176" w:type="dxa"/>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Layout w:type="fixed"/>
        <w:tblCellMar>
          <w:top w:w="27" w:type="dxa"/>
          <w:left w:w="27" w:type="dxa"/>
          <w:bottom w:w="27" w:type="dxa"/>
          <w:right w:w="27" w:type="dxa"/>
        </w:tblCellMar>
      </w:tblPr>
      <w:tblGrid>
        <w:gridCol w:w="567"/>
        <w:gridCol w:w="1135"/>
        <w:gridCol w:w="1348"/>
        <w:gridCol w:w="1309"/>
        <w:gridCol w:w="1597"/>
        <w:gridCol w:w="3134"/>
      </w:tblGrid>
      <w:tr w14:paraId="3B1E2BD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blHeader/>
        </w:trPr>
        <w:tc>
          <w:tcPr>
            <w:tcW w:w="568" w:type="dxa"/>
            <w:vMerge w:val="restart"/>
            <w:tcBorders>
              <w:top w:val="thinThickSmallGap" w:color="0070C0" w:sz="18" w:space="0"/>
              <w:left w:val="thinThickSmallGap" w:color="0070C0" w:sz="18" w:space="0"/>
              <w:bottom w:val="single" w:color="0070C0" w:sz="6" w:space="0"/>
              <w:right w:val="single" w:color="0070C0" w:sz="6" w:space="0"/>
            </w:tcBorders>
            <w:shd w:val="clear" w:color="auto" w:fill="DAEEF3"/>
            <w:noWrap/>
            <w:tcMar>
              <w:top w:w="0" w:type="dxa"/>
              <w:left w:w="108" w:type="dxa"/>
              <w:bottom w:w="0" w:type="dxa"/>
              <w:right w:w="108" w:type="dxa"/>
            </w:tcMar>
            <w:vAlign w:val="center"/>
          </w:tcPr>
          <w:p w14:paraId="3731E89E">
            <w:pPr>
              <w:widowControl/>
              <w:autoSpaceDN w:val="0"/>
              <w:spacing w:line="276" w:lineRule="auto"/>
              <w:jc w:val="center"/>
              <w:textAlignment w:val="baseline"/>
              <w:rPr>
                <w:rFonts w:hint="eastAsia" w:ascii="宋体" w:hAnsi="宋体" w:eastAsia="宋体" w:cs="宋体"/>
                <w:b/>
                <w:color w:val="auto"/>
                <w:w w:val="90"/>
                <w:kern w:val="0"/>
                <w:sz w:val="24"/>
                <w:highlight w:val="none"/>
              </w:rPr>
            </w:pPr>
            <w:r>
              <w:rPr>
                <w:rFonts w:hint="eastAsia" w:ascii="宋体" w:hAnsi="宋体" w:eastAsia="宋体" w:cs="宋体"/>
                <w:b/>
                <w:color w:val="auto"/>
                <w:w w:val="90"/>
                <w:kern w:val="0"/>
                <w:sz w:val="24"/>
                <w:highlight w:val="none"/>
              </w:rPr>
              <w:t>序号</w:t>
            </w:r>
          </w:p>
        </w:tc>
        <w:tc>
          <w:tcPr>
            <w:tcW w:w="2481" w:type="dxa"/>
            <w:gridSpan w:val="2"/>
            <w:tcBorders>
              <w:top w:val="thinThickSmallGap" w:color="0070C0" w:sz="18" w:space="0"/>
              <w:left w:val="single" w:color="0070C0" w:sz="6" w:space="0"/>
              <w:bottom w:val="single" w:color="0070C0" w:sz="6" w:space="0"/>
              <w:right w:val="single" w:color="0070C0" w:sz="6" w:space="0"/>
            </w:tcBorders>
            <w:shd w:val="clear" w:color="auto" w:fill="DAEEF3"/>
            <w:noWrap/>
            <w:tcMar>
              <w:top w:w="0" w:type="dxa"/>
              <w:left w:w="108" w:type="dxa"/>
              <w:bottom w:w="0" w:type="dxa"/>
              <w:right w:w="108" w:type="dxa"/>
            </w:tcMar>
            <w:vAlign w:val="center"/>
          </w:tcPr>
          <w:p w14:paraId="14A5F5B4">
            <w:pPr>
              <w:widowControl/>
              <w:autoSpaceDN w:val="0"/>
              <w:spacing w:line="276" w:lineRule="auto"/>
              <w:jc w:val="center"/>
              <w:textAlignment w:val="baseline"/>
              <w:rPr>
                <w:rFonts w:hint="eastAsia" w:ascii="宋体" w:hAnsi="宋体" w:eastAsia="宋体" w:cs="宋体"/>
                <w:b/>
                <w:color w:val="auto"/>
                <w:w w:val="90"/>
                <w:kern w:val="0"/>
                <w:sz w:val="24"/>
                <w:highlight w:val="none"/>
              </w:rPr>
            </w:pPr>
            <w:r>
              <w:rPr>
                <w:rFonts w:hint="eastAsia" w:ascii="宋体" w:hAnsi="宋体" w:eastAsia="宋体" w:cs="宋体"/>
                <w:b/>
                <w:color w:val="auto"/>
                <w:w w:val="90"/>
                <w:kern w:val="0"/>
                <w:sz w:val="24"/>
                <w:highlight w:val="none"/>
              </w:rPr>
              <w:t>一级目录</w:t>
            </w:r>
          </w:p>
        </w:tc>
        <w:tc>
          <w:tcPr>
            <w:tcW w:w="2904" w:type="dxa"/>
            <w:gridSpan w:val="2"/>
            <w:tcBorders>
              <w:top w:val="thinThickSmallGap" w:color="0070C0" w:sz="18" w:space="0"/>
              <w:left w:val="single" w:color="0070C0" w:sz="6" w:space="0"/>
              <w:bottom w:val="single" w:color="0070C0" w:sz="6" w:space="0"/>
              <w:right w:val="single" w:color="0070C0" w:sz="6" w:space="0"/>
            </w:tcBorders>
            <w:shd w:val="clear" w:color="auto" w:fill="DAEEF3"/>
            <w:noWrap/>
            <w:tcMar>
              <w:top w:w="0" w:type="dxa"/>
              <w:left w:w="108" w:type="dxa"/>
              <w:bottom w:w="0" w:type="dxa"/>
              <w:right w:w="108" w:type="dxa"/>
            </w:tcMar>
            <w:vAlign w:val="center"/>
          </w:tcPr>
          <w:p w14:paraId="3046EFDC">
            <w:pPr>
              <w:widowControl/>
              <w:autoSpaceDN w:val="0"/>
              <w:spacing w:line="276" w:lineRule="auto"/>
              <w:jc w:val="center"/>
              <w:textAlignment w:val="baseline"/>
              <w:rPr>
                <w:rFonts w:hint="eastAsia" w:ascii="宋体" w:hAnsi="宋体" w:eastAsia="宋体" w:cs="宋体"/>
                <w:b/>
                <w:color w:val="auto"/>
                <w:w w:val="90"/>
                <w:kern w:val="0"/>
                <w:sz w:val="24"/>
                <w:highlight w:val="none"/>
              </w:rPr>
            </w:pPr>
            <w:r>
              <w:rPr>
                <w:rFonts w:hint="eastAsia" w:ascii="宋体" w:hAnsi="宋体" w:eastAsia="宋体" w:cs="宋体"/>
                <w:b/>
                <w:color w:val="auto"/>
                <w:w w:val="90"/>
                <w:kern w:val="0"/>
                <w:sz w:val="24"/>
                <w:highlight w:val="none"/>
              </w:rPr>
              <w:t>二级目录</w:t>
            </w:r>
          </w:p>
        </w:tc>
        <w:tc>
          <w:tcPr>
            <w:tcW w:w="3132" w:type="dxa"/>
            <w:vMerge w:val="restart"/>
            <w:tcBorders>
              <w:top w:val="thinThickSmallGap" w:color="0070C0" w:sz="18" w:space="0"/>
              <w:left w:val="single" w:color="0070C0" w:sz="6" w:space="0"/>
              <w:bottom w:val="single" w:color="0070C0" w:sz="6" w:space="0"/>
              <w:right w:val="thickThinSmallGap" w:color="0070C0" w:sz="18" w:space="0"/>
            </w:tcBorders>
            <w:shd w:val="clear" w:color="auto" w:fill="DAEEF3"/>
            <w:noWrap/>
            <w:tcMar>
              <w:top w:w="0" w:type="dxa"/>
              <w:left w:w="108" w:type="dxa"/>
              <w:bottom w:w="0" w:type="dxa"/>
              <w:right w:w="108" w:type="dxa"/>
            </w:tcMar>
            <w:vAlign w:val="center"/>
          </w:tcPr>
          <w:p w14:paraId="70F2C706">
            <w:pPr>
              <w:widowControl/>
              <w:autoSpaceDN w:val="0"/>
              <w:spacing w:line="276" w:lineRule="auto"/>
              <w:jc w:val="center"/>
              <w:textAlignment w:val="baseline"/>
              <w:rPr>
                <w:rFonts w:hint="eastAsia" w:ascii="宋体" w:hAnsi="宋体" w:eastAsia="宋体" w:cs="宋体"/>
                <w:b/>
                <w:color w:val="auto"/>
                <w:w w:val="90"/>
                <w:kern w:val="0"/>
                <w:sz w:val="24"/>
                <w:highlight w:val="none"/>
              </w:rPr>
            </w:pPr>
            <w:r>
              <w:rPr>
                <w:rFonts w:hint="eastAsia" w:ascii="宋体" w:hAnsi="宋体" w:eastAsia="宋体" w:cs="宋体"/>
                <w:b/>
                <w:color w:val="auto"/>
                <w:w w:val="90"/>
                <w:kern w:val="0"/>
                <w:sz w:val="24"/>
                <w:highlight w:val="none"/>
              </w:rPr>
              <w:t>认证机构名录</w:t>
            </w:r>
          </w:p>
        </w:tc>
      </w:tr>
      <w:tr w14:paraId="39F6FF2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blHeader/>
        </w:trPr>
        <w:tc>
          <w:tcPr>
            <w:tcW w:w="568" w:type="dxa"/>
            <w:vMerge w:val="continue"/>
            <w:tcBorders>
              <w:top w:val="thinThickSmallGap" w:color="0070C0" w:sz="18" w:space="0"/>
              <w:left w:val="thinThickSmallGap" w:color="0070C0" w:sz="18" w:space="0"/>
              <w:bottom w:val="single" w:color="0070C0" w:sz="6" w:space="0"/>
              <w:right w:val="single" w:color="0070C0" w:sz="6" w:space="0"/>
            </w:tcBorders>
            <w:shd w:val="clear" w:color="auto" w:fill="FFFFFF"/>
            <w:vAlign w:val="center"/>
          </w:tcPr>
          <w:p w14:paraId="1B51BB6F">
            <w:pPr>
              <w:widowControl/>
              <w:jc w:val="left"/>
              <w:rPr>
                <w:rFonts w:hint="eastAsia" w:ascii="宋体" w:hAnsi="宋体" w:eastAsia="宋体" w:cs="宋体"/>
                <w:b/>
                <w:color w:val="auto"/>
                <w:w w:val="90"/>
                <w:kern w:val="0"/>
                <w:sz w:val="24"/>
                <w:highlight w:val="none"/>
              </w:rPr>
            </w:pPr>
          </w:p>
        </w:tc>
        <w:tc>
          <w:tcPr>
            <w:tcW w:w="1134" w:type="dxa"/>
            <w:tcBorders>
              <w:top w:val="single" w:color="0070C0" w:sz="6" w:space="0"/>
              <w:left w:val="single" w:color="0070C0" w:sz="6" w:space="0"/>
              <w:bottom w:val="single" w:color="0070C0" w:sz="6" w:space="0"/>
              <w:right w:val="single" w:color="0070C0" w:sz="6" w:space="0"/>
            </w:tcBorders>
            <w:shd w:val="clear" w:color="auto" w:fill="DAEEF3"/>
            <w:noWrap/>
            <w:tcMar>
              <w:top w:w="0" w:type="dxa"/>
              <w:left w:w="108" w:type="dxa"/>
              <w:bottom w:w="0" w:type="dxa"/>
              <w:right w:w="108" w:type="dxa"/>
            </w:tcMar>
            <w:vAlign w:val="center"/>
          </w:tcPr>
          <w:p w14:paraId="2B2B31BD">
            <w:pPr>
              <w:widowControl/>
              <w:autoSpaceDN w:val="0"/>
              <w:spacing w:line="276" w:lineRule="auto"/>
              <w:jc w:val="center"/>
              <w:textAlignment w:val="baseline"/>
              <w:rPr>
                <w:rFonts w:hint="eastAsia" w:ascii="宋体" w:hAnsi="宋体" w:eastAsia="宋体" w:cs="宋体"/>
                <w:b/>
                <w:color w:val="auto"/>
                <w:w w:val="90"/>
                <w:kern w:val="0"/>
                <w:sz w:val="24"/>
                <w:highlight w:val="none"/>
              </w:rPr>
            </w:pPr>
            <w:r>
              <w:rPr>
                <w:rFonts w:hint="eastAsia" w:ascii="宋体" w:hAnsi="宋体" w:eastAsia="宋体" w:cs="宋体"/>
                <w:b/>
                <w:color w:val="auto"/>
                <w:w w:val="90"/>
                <w:kern w:val="0"/>
                <w:sz w:val="24"/>
                <w:highlight w:val="none"/>
              </w:rPr>
              <w:t>产品代码</w:t>
            </w:r>
          </w:p>
        </w:tc>
        <w:tc>
          <w:tcPr>
            <w:tcW w:w="1347" w:type="dxa"/>
            <w:tcBorders>
              <w:top w:val="single" w:color="0070C0" w:sz="6" w:space="0"/>
              <w:left w:val="single" w:color="0070C0" w:sz="6" w:space="0"/>
              <w:bottom w:val="single" w:color="0070C0" w:sz="6" w:space="0"/>
              <w:right w:val="single" w:color="0070C0" w:sz="6" w:space="0"/>
            </w:tcBorders>
            <w:shd w:val="clear" w:color="auto" w:fill="DAEEF3"/>
            <w:noWrap/>
            <w:tcMar>
              <w:top w:w="0" w:type="dxa"/>
              <w:left w:w="0" w:type="dxa"/>
              <w:bottom w:w="0" w:type="dxa"/>
              <w:right w:w="0" w:type="dxa"/>
            </w:tcMar>
            <w:vAlign w:val="center"/>
          </w:tcPr>
          <w:p w14:paraId="14CB27DD">
            <w:pPr>
              <w:widowControl/>
              <w:autoSpaceDN w:val="0"/>
              <w:spacing w:line="276" w:lineRule="auto"/>
              <w:jc w:val="center"/>
              <w:textAlignment w:val="baseline"/>
              <w:rPr>
                <w:rFonts w:hint="eastAsia" w:ascii="宋体" w:hAnsi="宋体" w:eastAsia="宋体" w:cs="宋体"/>
                <w:b/>
                <w:color w:val="auto"/>
                <w:w w:val="90"/>
                <w:kern w:val="0"/>
                <w:sz w:val="24"/>
                <w:highlight w:val="none"/>
              </w:rPr>
            </w:pPr>
            <w:r>
              <w:rPr>
                <w:rFonts w:hint="eastAsia" w:ascii="宋体" w:hAnsi="宋体" w:eastAsia="宋体" w:cs="宋体"/>
                <w:b/>
                <w:color w:val="auto"/>
                <w:w w:val="90"/>
                <w:kern w:val="0"/>
                <w:sz w:val="24"/>
                <w:highlight w:val="none"/>
              </w:rPr>
              <w:t>产品名称</w:t>
            </w:r>
          </w:p>
        </w:tc>
        <w:tc>
          <w:tcPr>
            <w:tcW w:w="1308" w:type="dxa"/>
            <w:tcBorders>
              <w:top w:val="single" w:color="0070C0" w:sz="6" w:space="0"/>
              <w:left w:val="single" w:color="0070C0" w:sz="6" w:space="0"/>
              <w:bottom w:val="single" w:color="0070C0" w:sz="6" w:space="0"/>
              <w:right w:val="single" w:color="0070C0" w:sz="6" w:space="0"/>
            </w:tcBorders>
            <w:shd w:val="clear" w:color="auto" w:fill="DAEEF3"/>
            <w:noWrap/>
            <w:tcMar>
              <w:top w:w="0" w:type="dxa"/>
              <w:bottom w:w="0" w:type="dxa"/>
            </w:tcMar>
            <w:vAlign w:val="center"/>
          </w:tcPr>
          <w:p w14:paraId="3661C49B">
            <w:pPr>
              <w:widowControl/>
              <w:autoSpaceDN w:val="0"/>
              <w:spacing w:line="276" w:lineRule="auto"/>
              <w:jc w:val="center"/>
              <w:textAlignment w:val="baseline"/>
              <w:rPr>
                <w:rFonts w:hint="eastAsia" w:ascii="宋体" w:hAnsi="宋体" w:eastAsia="宋体" w:cs="宋体"/>
                <w:b/>
                <w:color w:val="auto"/>
                <w:w w:val="90"/>
                <w:kern w:val="0"/>
                <w:sz w:val="24"/>
                <w:highlight w:val="none"/>
              </w:rPr>
            </w:pPr>
            <w:r>
              <w:rPr>
                <w:rFonts w:hint="eastAsia" w:ascii="宋体" w:hAnsi="宋体" w:eastAsia="宋体" w:cs="宋体"/>
                <w:b/>
                <w:color w:val="auto"/>
                <w:w w:val="90"/>
                <w:kern w:val="0"/>
                <w:sz w:val="24"/>
                <w:highlight w:val="none"/>
              </w:rPr>
              <w:t>产品代码</w:t>
            </w:r>
          </w:p>
        </w:tc>
        <w:tc>
          <w:tcPr>
            <w:tcW w:w="1596" w:type="dxa"/>
            <w:tcBorders>
              <w:top w:val="single" w:color="0070C0" w:sz="6" w:space="0"/>
              <w:left w:val="single" w:color="0070C0" w:sz="6" w:space="0"/>
              <w:bottom w:val="single" w:color="0070C0" w:sz="6" w:space="0"/>
              <w:right w:val="single" w:color="0070C0" w:sz="6" w:space="0"/>
            </w:tcBorders>
            <w:shd w:val="clear" w:color="auto" w:fill="DAEEF3"/>
            <w:noWrap/>
            <w:tcMar>
              <w:top w:w="0" w:type="dxa"/>
              <w:bottom w:w="0" w:type="dxa"/>
            </w:tcMar>
            <w:vAlign w:val="center"/>
          </w:tcPr>
          <w:p w14:paraId="595ADCDB">
            <w:pPr>
              <w:widowControl/>
              <w:autoSpaceDN w:val="0"/>
              <w:spacing w:line="276" w:lineRule="auto"/>
              <w:jc w:val="center"/>
              <w:textAlignment w:val="baseline"/>
              <w:rPr>
                <w:rFonts w:hint="eastAsia" w:ascii="宋体" w:hAnsi="宋体" w:eastAsia="宋体" w:cs="宋体"/>
                <w:b/>
                <w:color w:val="auto"/>
                <w:w w:val="90"/>
                <w:kern w:val="0"/>
                <w:sz w:val="24"/>
                <w:highlight w:val="none"/>
              </w:rPr>
            </w:pPr>
            <w:r>
              <w:rPr>
                <w:rFonts w:hint="eastAsia" w:ascii="宋体" w:hAnsi="宋体" w:eastAsia="宋体" w:cs="宋体"/>
                <w:b/>
                <w:color w:val="auto"/>
                <w:w w:val="90"/>
                <w:kern w:val="0"/>
                <w:sz w:val="24"/>
                <w:highlight w:val="none"/>
              </w:rPr>
              <w:t>产品名称</w:t>
            </w:r>
          </w:p>
        </w:tc>
        <w:tc>
          <w:tcPr>
            <w:tcW w:w="3132" w:type="dxa"/>
            <w:vMerge w:val="continue"/>
            <w:tcBorders>
              <w:top w:val="thinThickSmallGap" w:color="0070C0" w:sz="18" w:space="0"/>
              <w:left w:val="single" w:color="0070C0" w:sz="6" w:space="0"/>
              <w:bottom w:val="single" w:color="0070C0" w:sz="6" w:space="0"/>
              <w:right w:val="thickThinSmallGap" w:color="0070C0" w:sz="18" w:space="0"/>
            </w:tcBorders>
            <w:shd w:val="clear" w:color="auto" w:fill="FFFFFF"/>
            <w:vAlign w:val="center"/>
          </w:tcPr>
          <w:p w14:paraId="33EDAA88">
            <w:pPr>
              <w:widowControl/>
              <w:jc w:val="left"/>
              <w:rPr>
                <w:rFonts w:hint="eastAsia" w:ascii="宋体" w:hAnsi="宋体" w:eastAsia="宋体" w:cs="宋体"/>
                <w:b/>
                <w:color w:val="auto"/>
                <w:w w:val="90"/>
                <w:kern w:val="0"/>
                <w:sz w:val="24"/>
                <w:highlight w:val="none"/>
              </w:rPr>
            </w:pPr>
          </w:p>
        </w:tc>
      </w:tr>
      <w:tr w14:paraId="668B2982">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vMerge w:val="restart"/>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53C7B72F">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1</w:t>
            </w:r>
          </w:p>
        </w:tc>
        <w:tc>
          <w:tcPr>
            <w:tcW w:w="1134" w:type="dxa"/>
            <w:vMerge w:val="restart"/>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125735B7">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A020101</w:t>
            </w:r>
          </w:p>
        </w:tc>
        <w:tc>
          <w:tcPr>
            <w:tcW w:w="1347" w:type="dxa"/>
            <w:vMerge w:val="restart"/>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51E36A1">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计算机设备</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2CCDD6D">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A02010104</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92F316F">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台式计算机</w:t>
            </w:r>
          </w:p>
        </w:tc>
        <w:tc>
          <w:tcPr>
            <w:tcW w:w="3132" w:type="dxa"/>
            <w:vMerge w:val="restart"/>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108" w:type="dxa"/>
              <w:bottom w:w="0" w:type="dxa"/>
              <w:right w:w="108" w:type="dxa"/>
            </w:tcMar>
            <w:vAlign w:val="center"/>
          </w:tcPr>
          <w:p w14:paraId="5BD7646C">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中国质量认证中心</w:t>
            </w:r>
          </w:p>
          <w:p w14:paraId="4B24C042">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北京赛西认证有限责任公司</w:t>
            </w:r>
          </w:p>
          <w:p w14:paraId="271B6D23">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中国网络安全审查技术与认证中心</w:t>
            </w:r>
          </w:p>
          <w:p w14:paraId="3F6B7285">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广州赛宝认证中心服务有限公司</w:t>
            </w:r>
          </w:p>
        </w:tc>
      </w:tr>
      <w:tr w14:paraId="1E753DA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vMerge w:val="continue"/>
            <w:tcBorders>
              <w:top w:val="single" w:color="0070C0" w:sz="6" w:space="0"/>
              <w:left w:val="thinThickSmallGap" w:color="0070C0" w:sz="18" w:space="0"/>
              <w:bottom w:val="single" w:color="0070C0" w:sz="6" w:space="0"/>
              <w:right w:val="single" w:color="0070C0" w:sz="6" w:space="0"/>
            </w:tcBorders>
            <w:shd w:val="clear" w:color="auto" w:fill="FFFFFF"/>
            <w:vAlign w:val="center"/>
          </w:tcPr>
          <w:p w14:paraId="5E92C149">
            <w:pPr>
              <w:widowControl/>
              <w:jc w:val="left"/>
              <w:rPr>
                <w:rFonts w:hint="eastAsia" w:ascii="宋体" w:hAnsi="宋体" w:eastAsia="宋体" w:cs="宋体"/>
                <w:color w:val="auto"/>
                <w:w w:val="90"/>
                <w:kern w:val="0"/>
                <w:sz w:val="24"/>
                <w:highlight w:val="none"/>
              </w:rPr>
            </w:pPr>
          </w:p>
        </w:tc>
        <w:tc>
          <w:tcPr>
            <w:tcW w:w="2481"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328C5C9F">
            <w:pPr>
              <w:widowControl/>
              <w:jc w:val="left"/>
              <w:rPr>
                <w:rFonts w:hint="eastAsia" w:ascii="宋体" w:hAnsi="宋体" w:eastAsia="宋体" w:cs="宋体"/>
                <w:color w:val="auto"/>
                <w:w w:val="90"/>
                <w:kern w:val="0"/>
                <w:sz w:val="24"/>
                <w:highlight w:val="none"/>
              </w:rPr>
            </w:pPr>
          </w:p>
        </w:tc>
        <w:tc>
          <w:tcPr>
            <w:tcW w:w="1347"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481AB055">
            <w:pPr>
              <w:widowControl/>
              <w:jc w:val="left"/>
              <w:rPr>
                <w:rFonts w:hint="eastAsia" w:ascii="宋体" w:hAnsi="宋体" w:eastAsia="宋体" w:cs="宋体"/>
                <w:color w:val="auto"/>
                <w:w w:val="90"/>
                <w:kern w:val="0"/>
                <w:sz w:val="24"/>
                <w:highlight w:val="none"/>
              </w:rPr>
            </w:pP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56D38CF9">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A02010105</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0" w:type="dxa"/>
              <w:bottom w:w="0" w:type="dxa"/>
              <w:right w:w="0" w:type="dxa"/>
            </w:tcMar>
            <w:vAlign w:val="center"/>
          </w:tcPr>
          <w:p w14:paraId="51977543">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便携式计算机</w:t>
            </w:r>
          </w:p>
        </w:tc>
        <w:tc>
          <w:tcPr>
            <w:tcW w:w="3132" w:type="dxa"/>
            <w:vMerge w:val="continue"/>
            <w:tcBorders>
              <w:top w:val="single" w:color="0070C0" w:sz="6" w:space="0"/>
              <w:left w:val="single" w:color="0070C0" w:sz="6" w:space="0"/>
              <w:bottom w:val="single" w:color="0070C0" w:sz="6" w:space="0"/>
              <w:right w:val="thickThinSmallGap" w:color="0070C0" w:sz="18" w:space="0"/>
            </w:tcBorders>
            <w:shd w:val="clear" w:color="auto" w:fill="FFFFFF"/>
            <w:vAlign w:val="center"/>
          </w:tcPr>
          <w:p w14:paraId="511DCA38">
            <w:pPr>
              <w:widowControl/>
              <w:jc w:val="left"/>
              <w:rPr>
                <w:rFonts w:hint="eastAsia" w:ascii="宋体" w:hAnsi="宋体" w:eastAsia="宋体" w:cs="宋体"/>
                <w:color w:val="auto"/>
                <w:w w:val="90"/>
                <w:kern w:val="0"/>
                <w:sz w:val="24"/>
                <w:highlight w:val="none"/>
              </w:rPr>
            </w:pPr>
          </w:p>
        </w:tc>
      </w:tr>
      <w:tr w14:paraId="39BA46C9">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vMerge w:val="continue"/>
            <w:tcBorders>
              <w:top w:val="single" w:color="0070C0" w:sz="6" w:space="0"/>
              <w:left w:val="thinThickSmallGap" w:color="0070C0" w:sz="18" w:space="0"/>
              <w:bottom w:val="single" w:color="0070C0" w:sz="6" w:space="0"/>
              <w:right w:val="single" w:color="0070C0" w:sz="6" w:space="0"/>
            </w:tcBorders>
            <w:shd w:val="clear" w:color="auto" w:fill="FFFFFF"/>
            <w:vAlign w:val="center"/>
          </w:tcPr>
          <w:p w14:paraId="240AE11C">
            <w:pPr>
              <w:widowControl/>
              <w:jc w:val="left"/>
              <w:rPr>
                <w:rFonts w:hint="eastAsia" w:ascii="宋体" w:hAnsi="宋体" w:eastAsia="宋体" w:cs="宋体"/>
                <w:color w:val="auto"/>
                <w:w w:val="90"/>
                <w:kern w:val="0"/>
                <w:sz w:val="24"/>
                <w:highlight w:val="none"/>
              </w:rPr>
            </w:pPr>
          </w:p>
        </w:tc>
        <w:tc>
          <w:tcPr>
            <w:tcW w:w="2481"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21DE24C9">
            <w:pPr>
              <w:widowControl/>
              <w:jc w:val="left"/>
              <w:rPr>
                <w:rFonts w:hint="eastAsia" w:ascii="宋体" w:hAnsi="宋体" w:eastAsia="宋体" w:cs="宋体"/>
                <w:color w:val="auto"/>
                <w:w w:val="90"/>
                <w:kern w:val="0"/>
                <w:sz w:val="24"/>
                <w:highlight w:val="none"/>
              </w:rPr>
            </w:pPr>
          </w:p>
        </w:tc>
        <w:tc>
          <w:tcPr>
            <w:tcW w:w="1347"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0C6DF502">
            <w:pPr>
              <w:widowControl/>
              <w:jc w:val="left"/>
              <w:rPr>
                <w:rFonts w:hint="eastAsia" w:ascii="宋体" w:hAnsi="宋体" w:eastAsia="宋体" w:cs="宋体"/>
                <w:color w:val="auto"/>
                <w:w w:val="90"/>
                <w:kern w:val="0"/>
                <w:sz w:val="24"/>
                <w:highlight w:val="none"/>
              </w:rPr>
            </w:pP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D1DE0D7">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A02010107</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0" w:type="dxa"/>
              <w:bottom w:w="0" w:type="dxa"/>
              <w:right w:w="0" w:type="dxa"/>
            </w:tcMar>
            <w:vAlign w:val="center"/>
          </w:tcPr>
          <w:p w14:paraId="68FD192A">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平板式微型计算机</w:t>
            </w:r>
          </w:p>
        </w:tc>
        <w:tc>
          <w:tcPr>
            <w:tcW w:w="3132" w:type="dxa"/>
            <w:vMerge w:val="continue"/>
            <w:tcBorders>
              <w:top w:val="single" w:color="0070C0" w:sz="6" w:space="0"/>
              <w:left w:val="single" w:color="0070C0" w:sz="6" w:space="0"/>
              <w:bottom w:val="single" w:color="0070C0" w:sz="6" w:space="0"/>
              <w:right w:val="thickThinSmallGap" w:color="0070C0" w:sz="18" w:space="0"/>
            </w:tcBorders>
            <w:shd w:val="clear" w:color="auto" w:fill="FFFFFF"/>
            <w:vAlign w:val="center"/>
          </w:tcPr>
          <w:p w14:paraId="1BDD2B6E">
            <w:pPr>
              <w:widowControl/>
              <w:jc w:val="left"/>
              <w:rPr>
                <w:rFonts w:hint="eastAsia" w:ascii="宋体" w:hAnsi="宋体" w:eastAsia="宋体" w:cs="宋体"/>
                <w:color w:val="auto"/>
                <w:w w:val="90"/>
                <w:kern w:val="0"/>
                <w:sz w:val="24"/>
                <w:highlight w:val="none"/>
              </w:rPr>
            </w:pPr>
          </w:p>
        </w:tc>
      </w:tr>
      <w:tr w14:paraId="1C3E664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vMerge w:val="restart"/>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051ECA6">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2</w:t>
            </w:r>
          </w:p>
        </w:tc>
        <w:tc>
          <w:tcPr>
            <w:tcW w:w="1134" w:type="dxa"/>
            <w:vMerge w:val="restart"/>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59D0F36C">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A020106</w:t>
            </w:r>
          </w:p>
        </w:tc>
        <w:tc>
          <w:tcPr>
            <w:tcW w:w="1347" w:type="dxa"/>
            <w:vMerge w:val="restart"/>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F6A47BC">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输入输出设备</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F3DD1F3">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A02010601</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1C16FA29">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打印设备</w:t>
            </w:r>
          </w:p>
        </w:tc>
        <w:tc>
          <w:tcPr>
            <w:tcW w:w="3132" w:type="dxa"/>
            <w:vMerge w:val="continue"/>
            <w:tcBorders>
              <w:top w:val="single" w:color="0070C0" w:sz="6" w:space="0"/>
              <w:left w:val="single" w:color="0070C0" w:sz="6" w:space="0"/>
              <w:bottom w:val="single" w:color="0070C0" w:sz="6" w:space="0"/>
              <w:right w:val="thickThinSmallGap" w:color="0070C0" w:sz="18" w:space="0"/>
            </w:tcBorders>
            <w:shd w:val="clear" w:color="auto" w:fill="FFFFFF"/>
            <w:vAlign w:val="center"/>
          </w:tcPr>
          <w:p w14:paraId="5C8AAD72">
            <w:pPr>
              <w:widowControl/>
              <w:jc w:val="left"/>
              <w:rPr>
                <w:rFonts w:hint="eastAsia" w:ascii="宋体" w:hAnsi="宋体" w:eastAsia="宋体" w:cs="宋体"/>
                <w:color w:val="auto"/>
                <w:w w:val="90"/>
                <w:kern w:val="0"/>
                <w:sz w:val="24"/>
                <w:highlight w:val="none"/>
              </w:rPr>
            </w:pPr>
          </w:p>
        </w:tc>
      </w:tr>
      <w:tr w14:paraId="18956292">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vMerge w:val="continue"/>
            <w:tcBorders>
              <w:top w:val="single" w:color="0070C0" w:sz="6" w:space="0"/>
              <w:left w:val="thinThickSmallGap" w:color="0070C0" w:sz="18" w:space="0"/>
              <w:bottom w:val="single" w:color="0070C0" w:sz="6" w:space="0"/>
              <w:right w:val="single" w:color="0070C0" w:sz="6" w:space="0"/>
            </w:tcBorders>
            <w:shd w:val="clear" w:color="auto" w:fill="FFFFFF"/>
            <w:vAlign w:val="center"/>
          </w:tcPr>
          <w:p w14:paraId="67109B5C">
            <w:pPr>
              <w:widowControl/>
              <w:jc w:val="left"/>
              <w:rPr>
                <w:rFonts w:hint="eastAsia" w:ascii="宋体" w:hAnsi="宋体" w:eastAsia="宋体" w:cs="宋体"/>
                <w:color w:val="auto"/>
                <w:w w:val="90"/>
                <w:kern w:val="0"/>
                <w:sz w:val="24"/>
                <w:highlight w:val="none"/>
              </w:rPr>
            </w:pPr>
          </w:p>
        </w:tc>
        <w:tc>
          <w:tcPr>
            <w:tcW w:w="2481"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5A529CDD">
            <w:pPr>
              <w:widowControl/>
              <w:jc w:val="left"/>
              <w:rPr>
                <w:rFonts w:hint="eastAsia" w:ascii="宋体" w:hAnsi="宋体" w:eastAsia="宋体" w:cs="宋体"/>
                <w:color w:val="auto"/>
                <w:w w:val="90"/>
                <w:kern w:val="0"/>
                <w:sz w:val="24"/>
                <w:highlight w:val="none"/>
              </w:rPr>
            </w:pPr>
          </w:p>
        </w:tc>
        <w:tc>
          <w:tcPr>
            <w:tcW w:w="1347"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33A091B6">
            <w:pPr>
              <w:widowControl/>
              <w:jc w:val="left"/>
              <w:rPr>
                <w:rFonts w:hint="eastAsia" w:ascii="宋体" w:hAnsi="宋体" w:eastAsia="宋体" w:cs="宋体"/>
                <w:color w:val="auto"/>
                <w:w w:val="90"/>
                <w:kern w:val="0"/>
                <w:sz w:val="24"/>
                <w:highlight w:val="none"/>
              </w:rPr>
            </w:pP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4704E92">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A02010604</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0" w:type="dxa"/>
              <w:bottom w:w="0" w:type="dxa"/>
              <w:right w:w="0" w:type="dxa"/>
            </w:tcMar>
            <w:vAlign w:val="center"/>
          </w:tcPr>
          <w:p w14:paraId="55052D5F">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显示设备</w:t>
            </w:r>
          </w:p>
        </w:tc>
        <w:tc>
          <w:tcPr>
            <w:tcW w:w="3132" w:type="dxa"/>
            <w:vMerge w:val="continue"/>
            <w:tcBorders>
              <w:top w:val="single" w:color="0070C0" w:sz="6" w:space="0"/>
              <w:left w:val="single" w:color="0070C0" w:sz="6" w:space="0"/>
              <w:bottom w:val="single" w:color="0070C0" w:sz="6" w:space="0"/>
              <w:right w:val="thickThinSmallGap" w:color="0070C0" w:sz="18" w:space="0"/>
            </w:tcBorders>
            <w:shd w:val="clear" w:color="auto" w:fill="FFFFFF"/>
            <w:vAlign w:val="center"/>
          </w:tcPr>
          <w:p w14:paraId="2141833C">
            <w:pPr>
              <w:widowControl/>
              <w:jc w:val="left"/>
              <w:rPr>
                <w:rFonts w:hint="eastAsia" w:ascii="宋体" w:hAnsi="宋体" w:eastAsia="宋体" w:cs="宋体"/>
                <w:color w:val="auto"/>
                <w:w w:val="90"/>
                <w:kern w:val="0"/>
                <w:sz w:val="24"/>
                <w:highlight w:val="none"/>
              </w:rPr>
            </w:pPr>
          </w:p>
        </w:tc>
      </w:tr>
      <w:tr w14:paraId="2F766CB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trPr>
        <w:tc>
          <w:tcPr>
            <w:tcW w:w="568" w:type="dxa"/>
            <w:vMerge w:val="continue"/>
            <w:tcBorders>
              <w:top w:val="single" w:color="0070C0" w:sz="6" w:space="0"/>
              <w:left w:val="thinThickSmallGap" w:color="0070C0" w:sz="18" w:space="0"/>
              <w:bottom w:val="single" w:color="0070C0" w:sz="6" w:space="0"/>
              <w:right w:val="single" w:color="0070C0" w:sz="6" w:space="0"/>
            </w:tcBorders>
            <w:shd w:val="clear" w:color="auto" w:fill="FFFFFF"/>
            <w:vAlign w:val="center"/>
          </w:tcPr>
          <w:p w14:paraId="7C9A0E4C">
            <w:pPr>
              <w:widowControl/>
              <w:jc w:val="left"/>
              <w:rPr>
                <w:rFonts w:hint="eastAsia" w:ascii="宋体" w:hAnsi="宋体" w:eastAsia="宋体" w:cs="宋体"/>
                <w:color w:val="auto"/>
                <w:w w:val="90"/>
                <w:kern w:val="0"/>
                <w:sz w:val="24"/>
                <w:highlight w:val="none"/>
              </w:rPr>
            </w:pPr>
          </w:p>
        </w:tc>
        <w:tc>
          <w:tcPr>
            <w:tcW w:w="2481"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222B747E">
            <w:pPr>
              <w:widowControl/>
              <w:jc w:val="left"/>
              <w:rPr>
                <w:rFonts w:hint="eastAsia" w:ascii="宋体" w:hAnsi="宋体" w:eastAsia="宋体" w:cs="宋体"/>
                <w:color w:val="auto"/>
                <w:w w:val="90"/>
                <w:kern w:val="0"/>
                <w:sz w:val="24"/>
                <w:highlight w:val="none"/>
              </w:rPr>
            </w:pPr>
          </w:p>
        </w:tc>
        <w:tc>
          <w:tcPr>
            <w:tcW w:w="1347"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6B3D67E3">
            <w:pPr>
              <w:widowControl/>
              <w:jc w:val="left"/>
              <w:rPr>
                <w:rFonts w:hint="eastAsia" w:ascii="宋体" w:hAnsi="宋体" w:eastAsia="宋体" w:cs="宋体"/>
                <w:color w:val="auto"/>
                <w:w w:val="90"/>
                <w:kern w:val="0"/>
                <w:sz w:val="24"/>
                <w:highlight w:val="none"/>
              </w:rPr>
            </w:pP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8C08C75">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A02010609</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0" w:type="dxa"/>
              <w:bottom w:w="0" w:type="dxa"/>
              <w:right w:w="0" w:type="dxa"/>
            </w:tcMar>
            <w:vAlign w:val="center"/>
          </w:tcPr>
          <w:p w14:paraId="10254CF5">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图形图像输入设备</w:t>
            </w:r>
          </w:p>
        </w:tc>
        <w:tc>
          <w:tcPr>
            <w:tcW w:w="3132" w:type="dxa"/>
            <w:vMerge w:val="continue"/>
            <w:tcBorders>
              <w:top w:val="single" w:color="0070C0" w:sz="6" w:space="0"/>
              <w:left w:val="single" w:color="0070C0" w:sz="6" w:space="0"/>
              <w:bottom w:val="single" w:color="0070C0" w:sz="6" w:space="0"/>
              <w:right w:val="thickThinSmallGap" w:color="0070C0" w:sz="18" w:space="0"/>
            </w:tcBorders>
            <w:shd w:val="clear" w:color="auto" w:fill="FFFFFF"/>
            <w:vAlign w:val="center"/>
          </w:tcPr>
          <w:p w14:paraId="53096F6C">
            <w:pPr>
              <w:widowControl/>
              <w:jc w:val="left"/>
              <w:rPr>
                <w:rFonts w:hint="eastAsia" w:ascii="宋体" w:hAnsi="宋体" w:eastAsia="宋体" w:cs="宋体"/>
                <w:color w:val="auto"/>
                <w:w w:val="90"/>
                <w:kern w:val="0"/>
                <w:sz w:val="24"/>
                <w:highlight w:val="none"/>
              </w:rPr>
            </w:pPr>
          </w:p>
        </w:tc>
      </w:tr>
      <w:tr w14:paraId="5C8A146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C41CE5F">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3</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11C468B1">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A020202</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D3B51C5">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投影仪</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1EB3349">
            <w:pPr>
              <w:widowControl/>
              <w:autoSpaceDN w:val="0"/>
              <w:spacing w:line="276" w:lineRule="auto"/>
              <w:jc w:val="center"/>
              <w:textAlignment w:val="baseline"/>
              <w:rPr>
                <w:rFonts w:hint="eastAsia" w:ascii="宋体" w:hAnsi="宋体" w:eastAsia="宋体" w:cs="宋体"/>
                <w:color w:val="auto"/>
                <w:w w:val="90"/>
                <w:kern w:val="0"/>
                <w:sz w:val="24"/>
                <w:highlight w:val="none"/>
              </w:rPr>
            </w:pP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2741603F">
            <w:pPr>
              <w:widowControl/>
              <w:autoSpaceDN w:val="0"/>
              <w:spacing w:line="276" w:lineRule="auto"/>
              <w:jc w:val="center"/>
              <w:textAlignment w:val="baseline"/>
              <w:rPr>
                <w:rFonts w:hint="eastAsia" w:ascii="宋体" w:hAnsi="宋体" w:eastAsia="宋体" w:cs="宋体"/>
                <w:color w:val="auto"/>
                <w:w w:val="90"/>
                <w:kern w:val="0"/>
                <w:sz w:val="24"/>
                <w:highlight w:val="none"/>
              </w:rPr>
            </w:pPr>
          </w:p>
        </w:tc>
        <w:tc>
          <w:tcPr>
            <w:tcW w:w="3132" w:type="dxa"/>
            <w:vMerge w:val="continue"/>
            <w:tcBorders>
              <w:top w:val="single" w:color="0070C0" w:sz="6" w:space="0"/>
              <w:left w:val="single" w:color="0070C0" w:sz="6" w:space="0"/>
              <w:bottom w:val="single" w:color="0070C0" w:sz="6" w:space="0"/>
              <w:right w:val="thickThinSmallGap" w:color="0070C0" w:sz="18" w:space="0"/>
            </w:tcBorders>
            <w:shd w:val="clear" w:color="auto" w:fill="FFFFFF"/>
            <w:vAlign w:val="center"/>
          </w:tcPr>
          <w:p w14:paraId="35F251F3">
            <w:pPr>
              <w:widowControl/>
              <w:jc w:val="left"/>
              <w:rPr>
                <w:rFonts w:hint="eastAsia" w:ascii="宋体" w:hAnsi="宋体" w:eastAsia="宋体" w:cs="宋体"/>
                <w:color w:val="auto"/>
                <w:w w:val="90"/>
                <w:kern w:val="0"/>
                <w:sz w:val="24"/>
                <w:highlight w:val="none"/>
              </w:rPr>
            </w:pPr>
          </w:p>
        </w:tc>
      </w:tr>
      <w:tr w14:paraId="4D870F3C">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DF5936C">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4</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B6C5B1E">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A020204</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2FAC4439">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多功能一体机</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CB9E6FF">
            <w:pPr>
              <w:widowControl/>
              <w:autoSpaceDN w:val="0"/>
              <w:spacing w:line="276" w:lineRule="auto"/>
              <w:jc w:val="center"/>
              <w:textAlignment w:val="baseline"/>
              <w:rPr>
                <w:rFonts w:hint="eastAsia" w:ascii="宋体" w:hAnsi="宋体" w:eastAsia="宋体" w:cs="宋体"/>
                <w:color w:val="auto"/>
                <w:w w:val="90"/>
                <w:kern w:val="0"/>
                <w:sz w:val="24"/>
                <w:highlight w:val="none"/>
              </w:rPr>
            </w:pP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E9D5631">
            <w:pPr>
              <w:widowControl/>
              <w:autoSpaceDN w:val="0"/>
              <w:spacing w:line="276" w:lineRule="auto"/>
              <w:jc w:val="center"/>
              <w:textAlignment w:val="baseline"/>
              <w:rPr>
                <w:rFonts w:hint="eastAsia" w:ascii="宋体" w:hAnsi="宋体" w:eastAsia="宋体" w:cs="宋体"/>
                <w:color w:val="auto"/>
                <w:w w:val="90"/>
                <w:kern w:val="0"/>
                <w:sz w:val="24"/>
                <w:highlight w:val="none"/>
              </w:rPr>
            </w:pPr>
          </w:p>
        </w:tc>
        <w:tc>
          <w:tcPr>
            <w:tcW w:w="3132" w:type="dxa"/>
            <w:vMerge w:val="continue"/>
            <w:tcBorders>
              <w:top w:val="single" w:color="0070C0" w:sz="6" w:space="0"/>
              <w:left w:val="single" w:color="0070C0" w:sz="6" w:space="0"/>
              <w:bottom w:val="single" w:color="0070C0" w:sz="6" w:space="0"/>
              <w:right w:val="thickThinSmallGap" w:color="0070C0" w:sz="18" w:space="0"/>
            </w:tcBorders>
            <w:shd w:val="clear" w:color="auto" w:fill="FFFFFF"/>
            <w:vAlign w:val="center"/>
          </w:tcPr>
          <w:p w14:paraId="3F0E4C38">
            <w:pPr>
              <w:widowControl/>
              <w:jc w:val="left"/>
              <w:rPr>
                <w:rFonts w:hint="eastAsia" w:ascii="宋体" w:hAnsi="宋体" w:eastAsia="宋体" w:cs="宋体"/>
                <w:color w:val="auto"/>
                <w:w w:val="90"/>
                <w:kern w:val="0"/>
                <w:sz w:val="24"/>
                <w:highlight w:val="none"/>
              </w:rPr>
            </w:pPr>
          </w:p>
        </w:tc>
      </w:tr>
      <w:tr w14:paraId="4D91437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58C5951F">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5</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873F00A">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A020519</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EF44CD5">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泵</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52848CCA">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A02051901</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590762F4">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离心泵</w:t>
            </w:r>
          </w:p>
        </w:tc>
        <w:tc>
          <w:tcPr>
            <w:tcW w:w="3132" w:type="dxa"/>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108" w:type="dxa"/>
              <w:bottom w:w="0" w:type="dxa"/>
              <w:right w:w="108" w:type="dxa"/>
            </w:tcMar>
            <w:vAlign w:val="center"/>
          </w:tcPr>
          <w:p w14:paraId="3BC024A3">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中国质量认证中心</w:t>
            </w:r>
          </w:p>
          <w:p w14:paraId="444B8A51">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电能（北京）认证中心有限公司</w:t>
            </w:r>
          </w:p>
          <w:p w14:paraId="4BA6BC30">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方圆标志认证集团有限公司</w:t>
            </w:r>
          </w:p>
        </w:tc>
      </w:tr>
      <w:tr w14:paraId="0AE6C4A9">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trPr>
        <w:tc>
          <w:tcPr>
            <w:tcW w:w="568" w:type="dxa"/>
            <w:vMerge w:val="restart"/>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F4CC7F7">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6</w:t>
            </w:r>
          </w:p>
        </w:tc>
        <w:tc>
          <w:tcPr>
            <w:tcW w:w="1134" w:type="dxa"/>
            <w:vMerge w:val="restart"/>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3C36F5D">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A020523</w:t>
            </w:r>
          </w:p>
        </w:tc>
        <w:tc>
          <w:tcPr>
            <w:tcW w:w="1347" w:type="dxa"/>
            <w:vMerge w:val="restart"/>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F4A001B">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制冷空调设备</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FF6A023">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A02052301</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A92A10A">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制冷压缩机</w:t>
            </w:r>
          </w:p>
        </w:tc>
        <w:tc>
          <w:tcPr>
            <w:tcW w:w="3132" w:type="dxa"/>
            <w:vMerge w:val="restart"/>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108" w:type="dxa"/>
              <w:bottom w:w="0" w:type="dxa"/>
              <w:right w:w="108" w:type="dxa"/>
            </w:tcMar>
            <w:vAlign w:val="center"/>
          </w:tcPr>
          <w:p w14:paraId="593BF9D9">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中国质量认证中心</w:t>
            </w:r>
          </w:p>
          <w:p w14:paraId="3FF67189">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威凯认证检测有限公司</w:t>
            </w:r>
          </w:p>
          <w:p w14:paraId="55745661">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合肥通用机械产品认证有限公司</w:t>
            </w:r>
          </w:p>
          <w:p w14:paraId="1F560671">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北京中冷通质量认证中心有限公司</w:t>
            </w:r>
          </w:p>
        </w:tc>
      </w:tr>
      <w:tr w14:paraId="24E5169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vMerge w:val="continue"/>
            <w:tcBorders>
              <w:top w:val="single" w:color="0070C0" w:sz="6" w:space="0"/>
              <w:left w:val="thinThickSmallGap" w:color="0070C0" w:sz="18" w:space="0"/>
              <w:bottom w:val="single" w:color="0070C0" w:sz="6" w:space="0"/>
              <w:right w:val="single" w:color="0070C0" w:sz="6" w:space="0"/>
            </w:tcBorders>
            <w:shd w:val="clear" w:color="auto" w:fill="FFFFFF"/>
            <w:vAlign w:val="center"/>
          </w:tcPr>
          <w:p w14:paraId="4D1376C4">
            <w:pPr>
              <w:widowControl/>
              <w:jc w:val="left"/>
              <w:rPr>
                <w:rFonts w:hint="eastAsia" w:ascii="宋体" w:hAnsi="宋体" w:eastAsia="宋体" w:cs="宋体"/>
                <w:color w:val="auto"/>
                <w:w w:val="90"/>
                <w:kern w:val="0"/>
                <w:sz w:val="24"/>
                <w:highlight w:val="none"/>
              </w:rPr>
            </w:pPr>
          </w:p>
        </w:tc>
        <w:tc>
          <w:tcPr>
            <w:tcW w:w="2481"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30C23A75">
            <w:pPr>
              <w:widowControl/>
              <w:jc w:val="left"/>
              <w:rPr>
                <w:rFonts w:hint="eastAsia" w:ascii="宋体" w:hAnsi="宋体" w:eastAsia="宋体" w:cs="宋体"/>
                <w:color w:val="auto"/>
                <w:w w:val="90"/>
                <w:kern w:val="0"/>
                <w:sz w:val="24"/>
                <w:highlight w:val="none"/>
              </w:rPr>
            </w:pPr>
          </w:p>
        </w:tc>
        <w:tc>
          <w:tcPr>
            <w:tcW w:w="1347"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10F54DFD">
            <w:pPr>
              <w:widowControl/>
              <w:jc w:val="left"/>
              <w:rPr>
                <w:rFonts w:hint="eastAsia" w:ascii="宋体" w:hAnsi="宋体" w:eastAsia="宋体" w:cs="宋体"/>
                <w:color w:val="auto"/>
                <w:w w:val="90"/>
                <w:kern w:val="0"/>
                <w:sz w:val="24"/>
                <w:highlight w:val="none"/>
              </w:rPr>
            </w:pP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150BB06">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A02052305</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0" w:type="dxa"/>
              <w:bottom w:w="0" w:type="dxa"/>
              <w:right w:w="0" w:type="dxa"/>
            </w:tcMar>
            <w:vAlign w:val="center"/>
          </w:tcPr>
          <w:p w14:paraId="2EA0BA43">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空调机组</w:t>
            </w:r>
          </w:p>
        </w:tc>
        <w:tc>
          <w:tcPr>
            <w:tcW w:w="3132" w:type="dxa"/>
            <w:vMerge w:val="continue"/>
            <w:tcBorders>
              <w:top w:val="single" w:color="0070C0" w:sz="6" w:space="0"/>
              <w:left w:val="single" w:color="0070C0" w:sz="6" w:space="0"/>
              <w:bottom w:val="single" w:color="0070C0" w:sz="6" w:space="0"/>
              <w:right w:val="thickThinSmallGap" w:color="0070C0" w:sz="18" w:space="0"/>
            </w:tcBorders>
            <w:shd w:val="clear" w:color="auto" w:fill="FFFFFF"/>
            <w:vAlign w:val="center"/>
          </w:tcPr>
          <w:p w14:paraId="63EED64B">
            <w:pPr>
              <w:widowControl/>
              <w:jc w:val="left"/>
              <w:rPr>
                <w:rFonts w:hint="eastAsia" w:ascii="宋体" w:hAnsi="宋体" w:eastAsia="宋体" w:cs="宋体"/>
                <w:color w:val="auto"/>
                <w:w w:val="90"/>
                <w:kern w:val="0"/>
                <w:sz w:val="24"/>
                <w:highlight w:val="none"/>
              </w:rPr>
            </w:pPr>
          </w:p>
        </w:tc>
      </w:tr>
      <w:tr w14:paraId="09604F2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vMerge w:val="continue"/>
            <w:tcBorders>
              <w:top w:val="single" w:color="0070C0" w:sz="6" w:space="0"/>
              <w:left w:val="thinThickSmallGap" w:color="0070C0" w:sz="18" w:space="0"/>
              <w:bottom w:val="single" w:color="0070C0" w:sz="6" w:space="0"/>
              <w:right w:val="single" w:color="0070C0" w:sz="6" w:space="0"/>
            </w:tcBorders>
            <w:shd w:val="clear" w:color="auto" w:fill="FFFFFF"/>
            <w:vAlign w:val="center"/>
          </w:tcPr>
          <w:p w14:paraId="743A90A0">
            <w:pPr>
              <w:widowControl/>
              <w:jc w:val="left"/>
              <w:rPr>
                <w:rFonts w:hint="eastAsia" w:ascii="宋体" w:hAnsi="宋体" w:eastAsia="宋体" w:cs="宋体"/>
                <w:color w:val="auto"/>
                <w:w w:val="90"/>
                <w:kern w:val="0"/>
                <w:sz w:val="24"/>
                <w:highlight w:val="none"/>
              </w:rPr>
            </w:pPr>
          </w:p>
        </w:tc>
        <w:tc>
          <w:tcPr>
            <w:tcW w:w="2481"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6F817553">
            <w:pPr>
              <w:widowControl/>
              <w:jc w:val="left"/>
              <w:rPr>
                <w:rFonts w:hint="eastAsia" w:ascii="宋体" w:hAnsi="宋体" w:eastAsia="宋体" w:cs="宋体"/>
                <w:color w:val="auto"/>
                <w:w w:val="90"/>
                <w:kern w:val="0"/>
                <w:sz w:val="24"/>
                <w:highlight w:val="none"/>
              </w:rPr>
            </w:pPr>
          </w:p>
        </w:tc>
        <w:tc>
          <w:tcPr>
            <w:tcW w:w="1347"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008948A8">
            <w:pPr>
              <w:widowControl/>
              <w:jc w:val="left"/>
              <w:rPr>
                <w:rFonts w:hint="eastAsia" w:ascii="宋体" w:hAnsi="宋体" w:eastAsia="宋体" w:cs="宋体"/>
                <w:color w:val="auto"/>
                <w:w w:val="90"/>
                <w:kern w:val="0"/>
                <w:sz w:val="24"/>
                <w:highlight w:val="none"/>
              </w:rPr>
            </w:pP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5A366647">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A02052309</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0" w:type="dxa"/>
              <w:bottom w:w="0" w:type="dxa"/>
              <w:right w:w="0" w:type="dxa"/>
            </w:tcMar>
            <w:vAlign w:val="center"/>
          </w:tcPr>
          <w:p w14:paraId="4F0B278F">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专用制冷、空调设备</w:t>
            </w:r>
          </w:p>
        </w:tc>
        <w:tc>
          <w:tcPr>
            <w:tcW w:w="3132" w:type="dxa"/>
            <w:vMerge w:val="continue"/>
            <w:tcBorders>
              <w:top w:val="single" w:color="0070C0" w:sz="6" w:space="0"/>
              <w:left w:val="single" w:color="0070C0" w:sz="6" w:space="0"/>
              <w:bottom w:val="single" w:color="0070C0" w:sz="6" w:space="0"/>
              <w:right w:val="thickThinSmallGap" w:color="0070C0" w:sz="18" w:space="0"/>
            </w:tcBorders>
            <w:shd w:val="clear" w:color="auto" w:fill="FFFFFF"/>
            <w:vAlign w:val="center"/>
          </w:tcPr>
          <w:p w14:paraId="5B1FF9EF">
            <w:pPr>
              <w:widowControl/>
              <w:jc w:val="left"/>
              <w:rPr>
                <w:rFonts w:hint="eastAsia" w:ascii="宋体" w:hAnsi="宋体" w:eastAsia="宋体" w:cs="宋体"/>
                <w:color w:val="auto"/>
                <w:w w:val="90"/>
                <w:kern w:val="0"/>
                <w:sz w:val="24"/>
                <w:highlight w:val="none"/>
              </w:rPr>
            </w:pPr>
          </w:p>
        </w:tc>
      </w:tr>
      <w:tr w14:paraId="21B77BA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vMerge w:val="continue"/>
            <w:tcBorders>
              <w:top w:val="single" w:color="0070C0" w:sz="6" w:space="0"/>
              <w:left w:val="thinThickSmallGap" w:color="0070C0" w:sz="18" w:space="0"/>
              <w:bottom w:val="single" w:color="0070C0" w:sz="6" w:space="0"/>
              <w:right w:val="single" w:color="0070C0" w:sz="6" w:space="0"/>
            </w:tcBorders>
            <w:shd w:val="clear" w:color="auto" w:fill="FFFFFF"/>
            <w:vAlign w:val="center"/>
          </w:tcPr>
          <w:p w14:paraId="165855FF">
            <w:pPr>
              <w:widowControl/>
              <w:jc w:val="left"/>
              <w:rPr>
                <w:rFonts w:hint="eastAsia" w:ascii="宋体" w:hAnsi="宋体" w:eastAsia="宋体" w:cs="宋体"/>
                <w:color w:val="auto"/>
                <w:w w:val="90"/>
                <w:kern w:val="0"/>
                <w:sz w:val="24"/>
                <w:highlight w:val="none"/>
              </w:rPr>
            </w:pPr>
          </w:p>
        </w:tc>
        <w:tc>
          <w:tcPr>
            <w:tcW w:w="2481"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59CB99D8">
            <w:pPr>
              <w:widowControl/>
              <w:jc w:val="left"/>
              <w:rPr>
                <w:rFonts w:hint="eastAsia" w:ascii="宋体" w:hAnsi="宋体" w:eastAsia="宋体" w:cs="宋体"/>
                <w:color w:val="auto"/>
                <w:w w:val="90"/>
                <w:kern w:val="0"/>
                <w:sz w:val="24"/>
                <w:highlight w:val="none"/>
              </w:rPr>
            </w:pPr>
          </w:p>
        </w:tc>
        <w:tc>
          <w:tcPr>
            <w:tcW w:w="1347"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08FF19A8">
            <w:pPr>
              <w:widowControl/>
              <w:jc w:val="left"/>
              <w:rPr>
                <w:rFonts w:hint="eastAsia" w:ascii="宋体" w:hAnsi="宋体" w:eastAsia="宋体" w:cs="宋体"/>
                <w:color w:val="auto"/>
                <w:w w:val="90"/>
                <w:kern w:val="0"/>
                <w:sz w:val="24"/>
                <w:highlight w:val="none"/>
              </w:rPr>
            </w:pP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52671228">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A02052399</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0" w:type="dxa"/>
              <w:bottom w:w="0" w:type="dxa"/>
              <w:right w:w="0" w:type="dxa"/>
            </w:tcMar>
            <w:vAlign w:val="center"/>
          </w:tcPr>
          <w:p w14:paraId="112D1400">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其他制冷空调设备</w:t>
            </w:r>
          </w:p>
        </w:tc>
        <w:tc>
          <w:tcPr>
            <w:tcW w:w="3132" w:type="dxa"/>
            <w:vMerge w:val="continue"/>
            <w:tcBorders>
              <w:top w:val="single" w:color="0070C0" w:sz="6" w:space="0"/>
              <w:left w:val="single" w:color="0070C0" w:sz="6" w:space="0"/>
              <w:bottom w:val="single" w:color="0070C0" w:sz="6" w:space="0"/>
              <w:right w:val="thickThinSmallGap" w:color="0070C0" w:sz="18" w:space="0"/>
            </w:tcBorders>
            <w:shd w:val="clear" w:color="auto" w:fill="FFFFFF"/>
            <w:vAlign w:val="center"/>
          </w:tcPr>
          <w:p w14:paraId="35A74005">
            <w:pPr>
              <w:widowControl/>
              <w:jc w:val="left"/>
              <w:rPr>
                <w:rFonts w:hint="eastAsia" w:ascii="宋体" w:hAnsi="宋体" w:eastAsia="宋体" w:cs="宋体"/>
                <w:color w:val="auto"/>
                <w:w w:val="90"/>
                <w:kern w:val="0"/>
                <w:sz w:val="24"/>
                <w:highlight w:val="none"/>
              </w:rPr>
            </w:pPr>
          </w:p>
        </w:tc>
      </w:tr>
      <w:tr w14:paraId="7D6F259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C7D5EE9">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7</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4B5B32A">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A020601</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F83187B">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电机</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F287CC2">
            <w:pPr>
              <w:widowControl/>
              <w:autoSpaceDN w:val="0"/>
              <w:spacing w:line="276" w:lineRule="auto"/>
              <w:jc w:val="center"/>
              <w:textAlignment w:val="baseline"/>
              <w:rPr>
                <w:rFonts w:hint="eastAsia" w:ascii="宋体" w:hAnsi="宋体" w:eastAsia="宋体" w:cs="宋体"/>
                <w:color w:val="auto"/>
                <w:w w:val="90"/>
                <w:kern w:val="0"/>
                <w:sz w:val="24"/>
                <w:highlight w:val="none"/>
              </w:rPr>
            </w:pP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D2342A2">
            <w:pPr>
              <w:widowControl/>
              <w:autoSpaceDN w:val="0"/>
              <w:spacing w:line="276" w:lineRule="auto"/>
              <w:jc w:val="center"/>
              <w:textAlignment w:val="baseline"/>
              <w:rPr>
                <w:rFonts w:hint="eastAsia" w:ascii="宋体" w:hAnsi="宋体" w:eastAsia="宋体" w:cs="宋体"/>
                <w:color w:val="auto"/>
                <w:w w:val="90"/>
                <w:kern w:val="0"/>
                <w:sz w:val="24"/>
                <w:highlight w:val="none"/>
              </w:rPr>
            </w:pPr>
          </w:p>
        </w:tc>
        <w:tc>
          <w:tcPr>
            <w:tcW w:w="3132" w:type="dxa"/>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108" w:type="dxa"/>
              <w:bottom w:w="0" w:type="dxa"/>
              <w:right w:w="108" w:type="dxa"/>
            </w:tcMar>
            <w:vAlign w:val="center"/>
          </w:tcPr>
          <w:p w14:paraId="5F773168">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中国质量认证中心</w:t>
            </w:r>
          </w:p>
          <w:p w14:paraId="235B2613">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威凯认证检测有限公司</w:t>
            </w:r>
          </w:p>
          <w:p w14:paraId="358CD2CA">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电能（北京）认证中心有限公司</w:t>
            </w:r>
          </w:p>
          <w:p w14:paraId="1D0CE244">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中国船级社质量认证公司</w:t>
            </w:r>
          </w:p>
        </w:tc>
      </w:tr>
      <w:tr w14:paraId="16A5A19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281AFA14">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8</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1560CF1B">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A020602</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DB79743">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变压器</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06D367B">
            <w:pPr>
              <w:widowControl/>
              <w:autoSpaceDN w:val="0"/>
              <w:spacing w:line="276" w:lineRule="auto"/>
              <w:jc w:val="center"/>
              <w:textAlignment w:val="baseline"/>
              <w:rPr>
                <w:rFonts w:hint="eastAsia" w:ascii="宋体" w:hAnsi="宋体" w:eastAsia="宋体" w:cs="宋体"/>
                <w:color w:val="auto"/>
                <w:w w:val="90"/>
                <w:kern w:val="0"/>
                <w:sz w:val="24"/>
                <w:highlight w:val="none"/>
              </w:rPr>
            </w:pP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4448771">
            <w:pPr>
              <w:widowControl/>
              <w:autoSpaceDN w:val="0"/>
              <w:spacing w:line="276" w:lineRule="auto"/>
              <w:jc w:val="center"/>
              <w:textAlignment w:val="baseline"/>
              <w:rPr>
                <w:rFonts w:hint="eastAsia" w:ascii="宋体" w:hAnsi="宋体" w:eastAsia="宋体" w:cs="宋体"/>
                <w:color w:val="auto"/>
                <w:w w:val="90"/>
                <w:kern w:val="0"/>
                <w:sz w:val="24"/>
                <w:highlight w:val="none"/>
              </w:rPr>
            </w:pPr>
          </w:p>
        </w:tc>
        <w:tc>
          <w:tcPr>
            <w:tcW w:w="3132" w:type="dxa"/>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108" w:type="dxa"/>
              <w:bottom w:w="0" w:type="dxa"/>
              <w:right w:w="108" w:type="dxa"/>
            </w:tcMar>
            <w:vAlign w:val="center"/>
          </w:tcPr>
          <w:p w14:paraId="6B60E094">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中国质量认证中心</w:t>
            </w:r>
          </w:p>
          <w:p w14:paraId="18DEB8AF">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电能（北京）认证中心有限公司</w:t>
            </w:r>
          </w:p>
          <w:p w14:paraId="47374707">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方圆标志认证集团有限公司</w:t>
            </w:r>
          </w:p>
        </w:tc>
      </w:tr>
      <w:tr w14:paraId="21D7614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C4CEFFF">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9</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D249DE3">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A020609</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0BBE8DE">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镇流器</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AC900A5">
            <w:pPr>
              <w:widowControl/>
              <w:autoSpaceDN w:val="0"/>
              <w:spacing w:line="276" w:lineRule="auto"/>
              <w:jc w:val="center"/>
              <w:textAlignment w:val="baseline"/>
              <w:rPr>
                <w:rFonts w:hint="eastAsia" w:ascii="宋体" w:hAnsi="宋体" w:eastAsia="宋体" w:cs="宋体"/>
                <w:color w:val="auto"/>
                <w:w w:val="90"/>
                <w:kern w:val="0"/>
                <w:sz w:val="24"/>
                <w:highlight w:val="none"/>
              </w:rPr>
            </w:pP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7F67FD4">
            <w:pPr>
              <w:widowControl/>
              <w:autoSpaceDN w:val="0"/>
              <w:spacing w:line="276" w:lineRule="auto"/>
              <w:jc w:val="center"/>
              <w:textAlignment w:val="baseline"/>
              <w:rPr>
                <w:rFonts w:hint="eastAsia" w:ascii="宋体" w:hAnsi="宋体" w:eastAsia="宋体" w:cs="宋体"/>
                <w:color w:val="auto"/>
                <w:w w:val="90"/>
                <w:kern w:val="0"/>
                <w:sz w:val="24"/>
                <w:highlight w:val="none"/>
              </w:rPr>
            </w:pPr>
          </w:p>
        </w:tc>
        <w:tc>
          <w:tcPr>
            <w:tcW w:w="3132" w:type="dxa"/>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108" w:type="dxa"/>
              <w:bottom w:w="0" w:type="dxa"/>
              <w:right w:w="108" w:type="dxa"/>
            </w:tcMar>
            <w:vAlign w:val="center"/>
          </w:tcPr>
          <w:p w14:paraId="0BD586E6">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中国质量认证中心</w:t>
            </w:r>
          </w:p>
          <w:p w14:paraId="47FD5C90">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深圳市计量质量检测研究院</w:t>
            </w:r>
          </w:p>
          <w:p w14:paraId="67B2D5E5">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中标合信（北京）认证有限公司</w:t>
            </w:r>
          </w:p>
        </w:tc>
      </w:tr>
      <w:tr w14:paraId="4E5E301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trPr>
        <w:tc>
          <w:tcPr>
            <w:tcW w:w="568" w:type="dxa"/>
            <w:vMerge w:val="restart"/>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50FE54B3">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10</w:t>
            </w:r>
          </w:p>
        </w:tc>
        <w:tc>
          <w:tcPr>
            <w:tcW w:w="1134" w:type="dxa"/>
            <w:vMerge w:val="restart"/>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B271906">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A020618</w:t>
            </w:r>
          </w:p>
        </w:tc>
        <w:tc>
          <w:tcPr>
            <w:tcW w:w="1347" w:type="dxa"/>
            <w:vMerge w:val="restart"/>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CAEF932">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生活用电器</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E2B972F">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A0206180101</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CFA60A4">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电冰箱</w:t>
            </w:r>
          </w:p>
        </w:tc>
        <w:tc>
          <w:tcPr>
            <w:tcW w:w="3132" w:type="dxa"/>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108" w:type="dxa"/>
              <w:bottom w:w="0" w:type="dxa"/>
              <w:right w:w="108" w:type="dxa"/>
            </w:tcMar>
            <w:vAlign w:val="center"/>
          </w:tcPr>
          <w:p w14:paraId="1097C470">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中国质量认证中心</w:t>
            </w:r>
          </w:p>
          <w:p w14:paraId="3D6C13FE">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威凯认证检测有限公司</w:t>
            </w:r>
          </w:p>
          <w:p w14:paraId="6DC71826">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中家院（北京）检测认证有限公司</w:t>
            </w:r>
          </w:p>
        </w:tc>
      </w:tr>
      <w:tr w14:paraId="20E7698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vMerge w:val="continue"/>
            <w:tcBorders>
              <w:top w:val="single" w:color="0070C0" w:sz="6" w:space="0"/>
              <w:left w:val="thinThickSmallGap" w:color="0070C0" w:sz="18" w:space="0"/>
              <w:bottom w:val="single" w:color="0070C0" w:sz="6" w:space="0"/>
              <w:right w:val="single" w:color="0070C0" w:sz="6" w:space="0"/>
            </w:tcBorders>
            <w:shd w:val="clear" w:color="auto" w:fill="FFFFFF"/>
            <w:vAlign w:val="center"/>
          </w:tcPr>
          <w:p w14:paraId="1284623A">
            <w:pPr>
              <w:widowControl/>
              <w:jc w:val="left"/>
              <w:rPr>
                <w:rFonts w:hint="eastAsia" w:ascii="宋体" w:hAnsi="宋体" w:eastAsia="宋体" w:cs="宋体"/>
                <w:color w:val="auto"/>
                <w:w w:val="90"/>
                <w:kern w:val="0"/>
                <w:sz w:val="24"/>
                <w:highlight w:val="none"/>
              </w:rPr>
            </w:pPr>
          </w:p>
        </w:tc>
        <w:tc>
          <w:tcPr>
            <w:tcW w:w="2481"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6D234C35">
            <w:pPr>
              <w:widowControl/>
              <w:jc w:val="left"/>
              <w:rPr>
                <w:rFonts w:hint="eastAsia" w:ascii="宋体" w:hAnsi="宋体" w:eastAsia="宋体" w:cs="宋体"/>
                <w:color w:val="auto"/>
                <w:w w:val="90"/>
                <w:kern w:val="0"/>
                <w:sz w:val="24"/>
                <w:highlight w:val="none"/>
              </w:rPr>
            </w:pPr>
          </w:p>
        </w:tc>
        <w:tc>
          <w:tcPr>
            <w:tcW w:w="1347"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223A51B4">
            <w:pPr>
              <w:widowControl/>
              <w:jc w:val="left"/>
              <w:rPr>
                <w:rFonts w:hint="eastAsia" w:ascii="宋体" w:hAnsi="宋体" w:eastAsia="宋体" w:cs="宋体"/>
                <w:color w:val="auto"/>
                <w:w w:val="90"/>
                <w:kern w:val="0"/>
                <w:sz w:val="24"/>
                <w:highlight w:val="none"/>
              </w:rPr>
            </w:pP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1CB43DC9">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A0206180203</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0" w:type="dxa"/>
              <w:bottom w:w="0" w:type="dxa"/>
              <w:right w:w="0" w:type="dxa"/>
            </w:tcMar>
            <w:vAlign w:val="center"/>
          </w:tcPr>
          <w:p w14:paraId="5B6DC142">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空调机</w:t>
            </w:r>
          </w:p>
        </w:tc>
        <w:tc>
          <w:tcPr>
            <w:tcW w:w="3132" w:type="dxa"/>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bottom w:w="0" w:type="dxa"/>
            </w:tcMar>
            <w:vAlign w:val="center"/>
          </w:tcPr>
          <w:p w14:paraId="70030E57">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中国质量认证中心</w:t>
            </w:r>
          </w:p>
          <w:p w14:paraId="34A25848">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威凯认证检测有限公司</w:t>
            </w:r>
          </w:p>
          <w:p w14:paraId="3FEF1804">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中家院（北京）检测认证有限公司</w:t>
            </w:r>
          </w:p>
          <w:p w14:paraId="2D37EEA9">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合肥通用机械产品认证有限公司</w:t>
            </w:r>
          </w:p>
        </w:tc>
      </w:tr>
      <w:tr w14:paraId="43863C63">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vMerge w:val="continue"/>
            <w:tcBorders>
              <w:top w:val="single" w:color="0070C0" w:sz="6" w:space="0"/>
              <w:left w:val="thinThickSmallGap" w:color="0070C0" w:sz="18" w:space="0"/>
              <w:bottom w:val="single" w:color="0070C0" w:sz="6" w:space="0"/>
              <w:right w:val="single" w:color="0070C0" w:sz="6" w:space="0"/>
            </w:tcBorders>
            <w:shd w:val="clear" w:color="auto" w:fill="FFFFFF"/>
            <w:vAlign w:val="center"/>
          </w:tcPr>
          <w:p w14:paraId="7EEAC24A">
            <w:pPr>
              <w:widowControl/>
              <w:jc w:val="left"/>
              <w:rPr>
                <w:rFonts w:hint="eastAsia" w:ascii="宋体" w:hAnsi="宋体" w:eastAsia="宋体" w:cs="宋体"/>
                <w:color w:val="auto"/>
                <w:w w:val="90"/>
                <w:kern w:val="0"/>
                <w:sz w:val="24"/>
                <w:highlight w:val="none"/>
              </w:rPr>
            </w:pPr>
          </w:p>
        </w:tc>
        <w:tc>
          <w:tcPr>
            <w:tcW w:w="2481"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721E9A1F">
            <w:pPr>
              <w:widowControl/>
              <w:jc w:val="left"/>
              <w:rPr>
                <w:rFonts w:hint="eastAsia" w:ascii="宋体" w:hAnsi="宋体" w:eastAsia="宋体" w:cs="宋体"/>
                <w:color w:val="auto"/>
                <w:w w:val="90"/>
                <w:kern w:val="0"/>
                <w:sz w:val="24"/>
                <w:highlight w:val="none"/>
              </w:rPr>
            </w:pPr>
          </w:p>
        </w:tc>
        <w:tc>
          <w:tcPr>
            <w:tcW w:w="1347"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18B97C53">
            <w:pPr>
              <w:widowControl/>
              <w:jc w:val="left"/>
              <w:rPr>
                <w:rFonts w:hint="eastAsia" w:ascii="宋体" w:hAnsi="宋体" w:eastAsia="宋体" w:cs="宋体"/>
                <w:color w:val="auto"/>
                <w:w w:val="90"/>
                <w:kern w:val="0"/>
                <w:sz w:val="24"/>
                <w:highlight w:val="none"/>
              </w:rPr>
            </w:pP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18B37229">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A0206180301</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0" w:type="dxa"/>
              <w:bottom w:w="0" w:type="dxa"/>
              <w:right w:w="0" w:type="dxa"/>
            </w:tcMar>
            <w:vAlign w:val="center"/>
          </w:tcPr>
          <w:p w14:paraId="4536086F">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洗衣机</w:t>
            </w:r>
          </w:p>
        </w:tc>
        <w:tc>
          <w:tcPr>
            <w:tcW w:w="3132" w:type="dxa"/>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bottom w:w="0" w:type="dxa"/>
            </w:tcMar>
            <w:vAlign w:val="center"/>
          </w:tcPr>
          <w:p w14:paraId="6492AD89">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中国质量认证中心</w:t>
            </w:r>
          </w:p>
          <w:p w14:paraId="3825BE47">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威凯认证检测有限公司</w:t>
            </w:r>
          </w:p>
          <w:p w14:paraId="01AC56E8">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中家院（北京）检测认证有限公司</w:t>
            </w:r>
          </w:p>
        </w:tc>
      </w:tr>
      <w:tr w14:paraId="1F6C2B55">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vMerge w:val="continue"/>
            <w:tcBorders>
              <w:top w:val="single" w:color="0070C0" w:sz="6" w:space="0"/>
              <w:left w:val="thinThickSmallGap" w:color="0070C0" w:sz="18" w:space="0"/>
              <w:bottom w:val="single" w:color="0070C0" w:sz="6" w:space="0"/>
              <w:right w:val="single" w:color="0070C0" w:sz="6" w:space="0"/>
            </w:tcBorders>
            <w:shd w:val="clear" w:color="auto" w:fill="FFFFFF"/>
            <w:vAlign w:val="center"/>
          </w:tcPr>
          <w:p w14:paraId="3ABCF034">
            <w:pPr>
              <w:widowControl/>
              <w:jc w:val="left"/>
              <w:rPr>
                <w:rFonts w:hint="eastAsia" w:ascii="宋体" w:hAnsi="宋体" w:eastAsia="宋体" w:cs="宋体"/>
                <w:color w:val="auto"/>
                <w:w w:val="90"/>
                <w:kern w:val="0"/>
                <w:sz w:val="24"/>
                <w:highlight w:val="none"/>
              </w:rPr>
            </w:pPr>
          </w:p>
        </w:tc>
        <w:tc>
          <w:tcPr>
            <w:tcW w:w="2481"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5E2B79B6">
            <w:pPr>
              <w:widowControl/>
              <w:jc w:val="left"/>
              <w:rPr>
                <w:rFonts w:hint="eastAsia" w:ascii="宋体" w:hAnsi="宋体" w:eastAsia="宋体" w:cs="宋体"/>
                <w:color w:val="auto"/>
                <w:w w:val="90"/>
                <w:kern w:val="0"/>
                <w:sz w:val="24"/>
                <w:highlight w:val="none"/>
              </w:rPr>
            </w:pPr>
          </w:p>
        </w:tc>
        <w:tc>
          <w:tcPr>
            <w:tcW w:w="1347"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6225009B">
            <w:pPr>
              <w:widowControl/>
              <w:jc w:val="left"/>
              <w:rPr>
                <w:rFonts w:hint="eastAsia" w:ascii="宋体" w:hAnsi="宋体" w:eastAsia="宋体" w:cs="宋体"/>
                <w:color w:val="auto"/>
                <w:w w:val="90"/>
                <w:kern w:val="0"/>
                <w:sz w:val="24"/>
                <w:highlight w:val="none"/>
              </w:rPr>
            </w:pP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639A82A">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A02061808</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0" w:type="dxa"/>
              <w:bottom w:w="0" w:type="dxa"/>
              <w:right w:w="0" w:type="dxa"/>
            </w:tcMar>
            <w:vAlign w:val="center"/>
          </w:tcPr>
          <w:p w14:paraId="2E955F6A">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热水器</w:t>
            </w:r>
          </w:p>
        </w:tc>
        <w:tc>
          <w:tcPr>
            <w:tcW w:w="3132" w:type="dxa"/>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bottom w:w="0" w:type="dxa"/>
            </w:tcMar>
            <w:vAlign w:val="center"/>
          </w:tcPr>
          <w:p w14:paraId="7B8CC18D">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中国质量认证中心</w:t>
            </w:r>
          </w:p>
          <w:p w14:paraId="7390897F">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威凯认证检测有限公司</w:t>
            </w:r>
          </w:p>
          <w:p w14:paraId="3D76B5C4">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中家院（北京）检测认证有限公司</w:t>
            </w:r>
          </w:p>
          <w:p w14:paraId="63009355">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合肥通用机械产品认证有限公司(范围仅限于“热泵热水器”)</w:t>
            </w:r>
          </w:p>
        </w:tc>
      </w:tr>
      <w:tr w14:paraId="083534B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D0AE658">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11</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5BD38D3D">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A020619</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288E22B">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照明设备</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2072CF93">
            <w:pPr>
              <w:widowControl/>
              <w:autoSpaceDN w:val="0"/>
              <w:spacing w:line="276" w:lineRule="auto"/>
              <w:jc w:val="center"/>
              <w:textAlignment w:val="baseline"/>
              <w:rPr>
                <w:rFonts w:hint="eastAsia" w:ascii="宋体" w:hAnsi="宋体" w:eastAsia="宋体" w:cs="宋体"/>
                <w:color w:val="auto"/>
                <w:w w:val="90"/>
                <w:kern w:val="0"/>
                <w:sz w:val="24"/>
                <w:highlight w:val="none"/>
              </w:rPr>
            </w:pP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16D12849">
            <w:pPr>
              <w:widowControl/>
              <w:autoSpaceDN w:val="0"/>
              <w:spacing w:line="276" w:lineRule="auto"/>
              <w:jc w:val="center"/>
              <w:textAlignment w:val="baseline"/>
              <w:rPr>
                <w:rFonts w:hint="eastAsia" w:ascii="宋体" w:hAnsi="宋体" w:eastAsia="宋体" w:cs="宋体"/>
                <w:color w:val="auto"/>
                <w:w w:val="90"/>
                <w:kern w:val="0"/>
                <w:sz w:val="24"/>
                <w:highlight w:val="none"/>
              </w:rPr>
            </w:pPr>
          </w:p>
        </w:tc>
        <w:tc>
          <w:tcPr>
            <w:tcW w:w="3132" w:type="dxa"/>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108" w:type="dxa"/>
              <w:bottom w:w="0" w:type="dxa"/>
              <w:right w:w="108" w:type="dxa"/>
            </w:tcMar>
            <w:vAlign w:val="center"/>
          </w:tcPr>
          <w:p w14:paraId="3E678703">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中国质量认证中心</w:t>
            </w:r>
          </w:p>
          <w:p w14:paraId="4171A335">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深圳市计量质量检测研究院</w:t>
            </w:r>
          </w:p>
          <w:p w14:paraId="5D8F9EB0">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中标合信（北京）认证有限公司</w:t>
            </w:r>
          </w:p>
        </w:tc>
      </w:tr>
      <w:tr w14:paraId="53CA45A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90DCE1E">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12</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1BD5E706">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A020910</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95BD1CA">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电视设备</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50508669">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A02091001</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F84B07F">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普通电视设备（电视机）</w:t>
            </w:r>
          </w:p>
        </w:tc>
        <w:tc>
          <w:tcPr>
            <w:tcW w:w="3132" w:type="dxa"/>
            <w:vMerge w:val="restart"/>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108" w:type="dxa"/>
              <w:bottom w:w="0" w:type="dxa"/>
              <w:right w:w="108" w:type="dxa"/>
            </w:tcMar>
            <w:vAlign w:val="center"/>
          </w:tcPr>
          <w:p w14:paraId="3B587542">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中国质量认证中心</w:t>
            </w:r>
          </w:p>
          <w:p w14:paraId="4E79DD5D">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北京泰瑞特认证有限责任公司</w:t>
            </w:r>
          </w:p>
          <w:p w14:paraId="028C3147">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广州赛宝认证中心服务有限公司</w:t>
            </w:r>
          </w:p>
        </w:tc>
      </w:tr>
      <w:tr w14:paraId="441E2E0C">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29A337A3">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13</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EA9EEE7">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A020911</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28C1D8B2">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视频设备</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2D16EFDF">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A02091107</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82C7EF6">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视频监控设备</w:t>
            </w:r>
          </w:p>
        </w:tc>
        <w:tc>
          <w:tcPr>
            <w:tcW w:w="3132" w:type="dxa"/>
            <w:vMerge w:val="continue"/>
            <w:tcBorders>
              <w:top w:val="single" w:color="0070C0" w:sz="6" w:space="0"/>
              <w:left w:val="single" w:color="0070C0" w:sz="6" w:space="0"/>
              <w:bottom w:val="single" w:color="0070C0" w:sz="6" w:space="0"/>
              <w:right w:val="thickThinSmallGap" w:color="0070C0" w:sz="18" w:space="0"/>
            </w:tcBorders>
            <w:shd w:val="clear" w:color="auto" w:fill="FFFFFF"/>
            <w:vAlign w:val="center"/>
          </w:tcPr>
          <w:p w14:paraId="3A1C836B">
            <w:pPr>
              <w:widowControl/>
              <w:jc w:val="left"/>
              <w:rPr>
                <w:rFonts w:hint="eastAsia" w:ascii="宋体" w:hAnsi="宋体" w:eastAsia="宋体" w:cs="宋体"/>
                <w:color w:val="auto"/>
                <w:w w:val="90"/>
                <w:kern w:val="0"/>
                <w:sz w:val="24"/>
                <w:highlight w:val="none"/>
              </w:rPr>
            </w:pPr>
          </w:p>
        </w:tc>
      </w:tr>
      <w:tr w14:paraId="32E5398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15BD5F8C">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14</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9BFF927">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A031210</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6EF8DB5">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饮食炊事机械</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0E3D1CF">
            <w:pPr>
              <w:widowControl/>
              <w:autoSpaceDN w:val="0"/>
              <w:spacing w:line="276" w:lineRule="auto"/>
              <w:jc w:val="center"/>
              <w:textAlignment w:val="baseline"/>
              <w:rPr>
                <w:rFonts w:hint="eastAsia" w:ascii="宋体" w:hAnsi="宋体" w:eastAsia="宋体" w:cs="宋体"/>
                <w:color w:val="auto"/>
                <w:w w:val="90"/>
                <w:kern w:val="0"/>
                <w:sz w:val="24"/>
                <w:highlight w:val="none"/>
              </w:rPr>
            </w:pP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53C10F14">
            <w:pPr>
              <w:widowControl/>
              <w:autoSpaceDN w:val="0"/>
              <w:spacing w:line="276" w:lineRule="auto"/>
              <w:jc w:val="center"/>
              <w:textAlignment w:val="baseline"/>
              <w:rPr>
                <w:rFonts w:hint="eastAsia" w:ascii="宋体" w:hAnsi="宋体" w:eastAsia="宋体" w:cs="宋体"/>
                <w:color w:val="auto"/>
                <w:w w:val="90"/>
                <w:kern w:val="0"/>
                <w:sz w:val="24"/>
                <w:highlight w:val="none"/>
              </w:rPr>
            </w:pPr>
          </w:p>
        </w:tc>
        <w:tc>
          <w:tcPr>
            <w:tcW w:w="3132" w:type="dxa"/>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108" w:type="dxa"/>
              <w:bottom w:w="0" w:type="dxa"/>
              <w:right w:w="108" w:type="dxa"/>
            </w:tcMar>
            <w:vAlign w:val="center"/>
          </w:tcPr>
          <w:p w14:paraId="18BC23BC">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中国质量认证中心</w:t>
            </w:r>
          </w:p>
          <w:p w14:paraId="4757761F">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北京鉴衡认证中心</w:t>
            </w:r>
          </w:p>
          <w:p w14:paraId="1D0008FA">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中国建筑工程华北设计研究总院有限公司</w:t>
            </w:r>
          </w:p>
        </w:tc>
      </w:tr>
      <w:tr w14:paraId="13DCC67C">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2E26985">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15</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13EF19EB">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A060805</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2A461BA">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便器</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C6D7A1D">
            <w:pPr>
              <w:widowControl/>
              <w:autoSpaceDN w:val="0"/>
              <w:spacing w:line="276" w:lineRule="auto"/>
              <w:jc w:val="center"/>
              <w:textAlignment w:val="baseline"/>
              <w:rPr>
                <w:rFonts w:hint="eastAsia" w:ascii="宋体" w:hAnsi="宋体" w:eastAsia="宋体" w:cs="宋体"/>
                <w:color w:val="auto"/>
                <w:w w:val="90"/>
                <w:kern w:val="0"/>
                <w:sz w:val="24"/>
                <w:highlight w:val="none"/>
              </w:rPr>
            </w:pP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9BF516F">
            <w:pPr>
              <w:widowControl/>
              <w:autoSpaceDN w:val="0"/>
              <w:spacing w:line="276" w:lineRule="auto"/>
              <w:jc w:val="center"/>
              <w:textAlignment w:val="baseline"/>
              <w:rPr>
                <w:rFonts w:hint="eastAsia" w:ascii="宋体" w:hAnsi="宋体" w:eastAsia="宋体" w:cs="宋体"/>
                <w:color w:val="auto"/>
                <w:w w:val="90"/>
                <w:kern w:val="0"/>
                <w:sz w:val="24"/>
                <w:highlight w:val="none"/>
              </w:rPr>
            </w:pPr>
          </w:p>
        </w:tc>
        <w:tc>
          <w:tcPr>
            <w:tcW w:w="3132" w:type="dxa"/>
            <w:vMerge w:val="restart"/>
            <w:tcBorders>
              <w:top w:val="single" w:color="0070C0" w:sz="6" w:space="0"/>
              <w:left w:val="single" w:color="0070C0" w:sz="6" w:space="0"/>
              <w:bottom w:val="thickThinSmallGap" w:color="0070C0" w:sz="18" w:space="0"/>
              <w:right w:val="thickThinSmallGap" w:color="0070C0" w:sz="18" w:space="0"/>
            </w:tcBorders>
            <w:shd w:val="clear" w:color="auto" w:fill="FFFFFF"/>
            <w:noWrap/>
            <w:tcMar>
              <w:top w:w="0" w:type="dxa"/>
              <w:left w:w="108" w:type="dxa"/>
              <w:bottom w:w="0" w:type="dxa"/>
              <w:right w:w="108" w:type="dxa"/>
            </w:tcMar>
            <w:vAlign w:val="center"/>
          </w:tcPr>
          <w:p w14:paraId="2A4A0FB4">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中国质量认证中心</w:t>
            </w:r>
          </w:p>
          <w:p w14:paraId="20D46A59">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北京新华节水产品认证有限公司</w:t>
            </w:r>
          </w:p>
          <w:p w14:paraId="71692417">
            <w:pPr>
              <w:widowControl/>
              <w:autoSpaceDN w:val="0"/>
              <w:spacing w:line="276" w:lineRule="auto"/>
              <w:jc w:val="left"/>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方圆标志认证集团有限公司</w:t>
            </w:r>
          </w:p>
        </w:tc>
      </w:tr>
      <w:tr w14:paraId="572AF96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25A89600">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16</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2399EB07">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A060806</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32663BC">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水嘴</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53CB71C5">
            <w:pPr>
              <w:widowControl/>
              <w:autoSpaceDN w:val="0"/>
              <w:spacing w:line="276" w:lineRule="auto"/>
              <w:jc w:val="center"/>
              <w:textAlignment w:val="baseline"/>
              <w:rPr>
                <w:rFonts w:hint="eastAsia" w:ascii="宋体" w:hAnsi="宋体" w:eastAsia="宋体" w:cs="宋体"/>
                <w:color w:val="auto"/>
                <w:w w:val="90"/>
                <w:kern w:val="0"/>
                <w:sz w:val="24"/>
                <w:highlight w:val="none"/>
              </w:rPr>
            </w:pP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6B28FD9">
            <w:pPr>
              <w:widowControl/>
              <w:autoSpaceDN w:val="0"/>
              <w:spacing w:line="276" w:lineRule="auto"/>
              <w:jc w:val="center"/>
              <w:textAlignment w:val="baseline"/>
              <w:rPr>
                <w:rFonts w:hint="eastAsia" w:ascii="宋体" w:hAnsi="宋体" w:eastAsia="宋体" w:cs="宋体"/>
                <w:color w:val="auto"/>
                <w:w w:val="90"/>
                <w:kern w:val="0"/>
                <w:sz w:val="24"/>
                <w:highlight w:val="none"/>
              </w:rPr>
            </w:pPr>
          </w:p>
        </w:tc>
        <w:tc>
          <w:tcPr>
            <w:tcW w:w="3132" w:type="dxa"/>
            <w:vMerge w:val="continue"/>
            <w:tcBorders>
              <w:top w:val="single" w:color="0070C0" w:sz="6" w:space="0"/>
              <w:left w:val="single" w:color="0070C0" w:sz="6" w:space="0"/>
              <w:bottom w:val="thickThinSmallGap" w:color="0070C0" w:sz="18" w:space="0"/>
              <w:right w:val="thickThinSmallGap" w:color="0070C0" w:sz="18" w:space="0"/>
            </w:tcBorders>
            <w:shd w:val="clear" w:color="auto" w:fill="FFFFFF"/>
            <w:vAlign w:val="center"/>
          </w:tcPr>
          <w:p w14:paraId="31E56893">
            <w:pPr>
              <w:widowControl/>
              <w:jc w:val="left"/>
              <w:rPr>
                <w:rFonts w:hint="eastAsia" w:ascii="宋体" w:hAnsi="宋体" w:eastAsia="宋体" w:cs="宋体"/>
                <w:color w:val="auto"/>
                <w:w w:val="90"/>
                <w:kern w:val="0"/>
                <w:sz w:val="24"/>
                <w:highlight w:val="none"/>
              </w:rPr>
            </w:pPr>
          </w:p>
        </w:tc>
      </w:tr>
      <w:tr w14:paraId="380845C3">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21BA84A0">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17</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FB32869">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A060807</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1CB3DED">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便器冲洗阀</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1AD0E02B">
            <w:pPr>
              <w:widowControl/>
              <w:autoSpaceDN w:val="0"/>
              <w:spacing w:line="276" w:lineRule="auto"/>
              <w:jc w:val="center"/>
              <w:textAlignment w:val="baseline"/>
              <w:rPr>
                <w:rFonts w:hint="eastAsia" w:ascii="宋体" w:hAnsi="宋体" w:eastAsia="宋体" w:cs="宋体"/>
                <w:color w:val="auto"/>
                <w:w w:val="90"/>
                <w:kern w:val="0"/>
                <w:sz w:val="24"/>
                <w:highlight w:val="none"/>
              </w:rPr>
            </w:pP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6308A33">
            <w:pPr>
              <w:widowControl/>
              <w:autoSpaceDN w:val="0"/>
              <w:spacing w:line="276" w:lineRule="auto"/>
              <w:jc w:val="center"/>
              <w:textAlignment w:val="baseline"/>
              <w:rPr>
                <w:rFonts w:hint="eastAsia" w:ascii="宋体" w:hAnsi="宋体" w:eastAsia="宋体" w:cs="宋体"/>
                <w:color w:val="auto"/>
                <w:w w:val="90"/>
                <w:kern w:val="0"/>
                <w:sz w:val="24"/>
                <w:highlight w:val="none"/>
              </w:rPr>
            </w:pPr>
          </w:p>
        </w:tc>
        <w:tc>
          <w:tcPr>
            <w:tcW w:w="3132" w:type="dxa"/>
            <w:vMerge w:val="continue"/>
            <w:tcBorders>
              <w:top w:val="single" w:color="0070C0" w:sz="6" w:space="0"/>
              <w:left w:val="single" w:color="0070C0" w:sz="6" w:space="0"/>
              <w:bottom w:val="thickThinSmallGap" w:color="0070C0" w:sz="18" w:space="0"/>
              <w:right w:val="thickThinSmallGap" w:color="0070C0" w:sz="18" w:space="0"/>
            </w:tcBorders>
            <w:shd w:val="clear" w:color="auto" w:fill="FFFFFF"/>
            <w:vAlign w:val="center"/>
          </w:tcPr>
          <w:p w14:paraId="34B41077">
            <w:pPr>
              <w:widowControl/>
              <w:jc w:val="left"/>
              <w:rPr>
                <w:rFonts w:hint="eastAsia" w:ascii="宋体" w:hAnsi="宋体" w:eastAsia="宋体" w:cs="宋体"/>
                <w:color w:val="auto"/>
                <w:w w:val="90"/>
                <w:kern w:val="0"/>
                <w:sz w:val="24"/>
                <w:highlight w:val="none"/>
              </w:rPr>
            </w:pPr>
          </w:p>
        </w:tc>
      </w:tr>
      <w:tr w14:paraId="317D1C6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thickThinSmallGap" w:color="0070C0" w:sz="18" w:space="0"/>
              <w:right w:val="single" w:color="0070C0" w:sz="6" w:space="0"/>
            </w:tcBorders>
            <w:shd w:val="clear" w:color="auto" w:fill="FFFFFF"/>
            <w:noWrap/>
            <w:tcMar>
              <w:top w:w="0" w:type="dxa"/>
              <w:left w:w="108" w:type="dxa"/>
              <w:bottom w:w="0" w:type="dxa"/>
              <w:right w:w="108" w:type="dxa"/>
            </w:tcMar>
            <w:vAlign w:val="center"/>
          </w:tcPr>
          <w:p w14:paraId="2EA72263">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18</w:t>
            </w:r>
          </w:p>
        </w:tc>
        <w:tc>
          <w:tcPr>
            <w:tcW w:w="1134" w:type="dxa"/>
            <w:tcBorders>
              <w:top w:val="single" w:color="0070C0" w:sz="6" w:space="0"/>
              <w:left w:val="single" w:color="0070C0" w:sz="6" w:space="0"/>
              <w:bottom w:val="thickThinSmallGap" w:color="0070C0" w:sz="18" w:space="0"/>
              <w:right w:val="single" w:color="0070C0" w:sz="6" w:space="0"/>
            </w:tcBorders>
            <w:shd w:val="clear" w:color="auto" w:fill="FFFFFF"/>
            <w:noWrap/>
            <w:tcMar>
              <w:top w:w="0" w:type="dxa"/>
              <w:left w:w="108" w:type="dxa"/>
              <w:bottom w:w="0" w:type="dxa"/>
              <w:right w:w="108" w:type="dxa"/>
            </w:tcMar>
            <w:vAlign w:val="center"/>
          </w:tcPr>
          <w:p w14:paraId="301C3C22">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A060810</w:t>
            </w:r>
          </w:p>
        </w:tc>
        <w:tc>
          <w:tcPr>
            <w:tcW w:w="1347" w:type="dxa"/>
            <w:tcBorders>
              <w:top w:val="single" w:color="0070C0" w:sz="6" w:space="0"/>
              <w:left w:val="single" w:color="0070C0" w:sz="6" w:space="0"/>
              <w:bottom w:val="thickThinSmallGap" w:color="0070C0" w:sz="18" w:space="0"/>
              <w:right w:val="single" w:color="0070C0" w:sz="6" w:space="0"/>
            </w:tcBorders>
            <w:shd w:val="clear" w:color="auto" w:fill="FFFFFF"/>
            <w:noWrap/>
            <w:tcMar>
              <w:top w:w="0" w:type="dxa"/>
              <w:left w:w="108" w:type="dxa"/>
              <w:bottom w:w="0" w:type="dxa"/>
              <w:right w:w="108" w:type="dxa"/>
            </w:tcMar>
            <w:vAlign w:val="center"/>
          </w:tcPr>
          <w:p w14:paraId="28B2A182">
            <w:pPr>
              <w:widowControl/>
              <w:autoSpaceDN w:val="0"/>
              <w:spacing w:line="276" w:lineRule="auto"/>
              <w:jc w:val="center"/>
              <w:textAlignment w:val="baseline"/>
              <w:rPr>
                <w:rFonts w:hint="eastAsia" w:ascii="宋体" w:hAnsi="宋体" w:eastAsia="宋体" w:cs="宋体"/>
                <w:color w:val="auto"/>
                <w:w w:val="90"/>
                <w:kern w:val="0"/>
                <w:sz w:val="24"/>
                <w:highlight w:val="none"/>
              </w:rPr>
            </w:pPr>
            <w:r>
              <w:rPr>
                <w:rFonts w:hint="eastAsia" w:ascii="宋体" w:hAnsi="宋体" w:eastAsia="宋体" w:cs="宋体"/>
                <w:color w:val="auto"/>
                <w:w w:val="90"/>
                <w:kern w:val="0"/>
                <w:sz w:val="24"/>
                <w:highlight w:val="none"/>
              </w:rPr>
              <w:t>淋浴器</w:t>
            </w:r>
          </w:p>
        </w:tc>
        <w:tc>
          <w:tcPr>
            <w:tcW w:w="1308" w:type="dxa"/>
            <w:tcBorders>
              <w:top w:val="single" w:color="0070C0" w:sz="6" w:space="0"/>
              <w:left w:val="single" w:color="0070C0" w:sz="6" w:space="0"/>
              <w:bottom w:val="thickThinSmallGap" w:color="0070C0" w:sz="18" w:space="0"/>
              <w:right w:val="single" w:color="0070C0" w:sz="6" w:space="0"/>
            </w:tcBorders>
            <w:shd w:val="clear" w:color="auto" w:fill="FFFFFF"/>
            <w:noWrap/>
            <w:tcMar>
              <w:top w:w="0" w:type="dxa"/>
              <w:left w:w="108" w:type="dxa"/>
              <w:bottom w:w="0" w:type="dxa"/>
              <w:right w:w="108" w:type="dxa"/>
            </w:tcMar>
            <w:vAlign w:val="center"/>
          </w:tcPr>
          <w:p w14:paraId="1FBC2BA1">
            <w:pPr>
              <w:widowControl/>
              <w:autoSpaceDN w:val="0"/>
              <w:spacing w:line="276" w:lineRule="auto"/>
              <w:jc w:val="center"/>
              <w:textAlignment w:val="baseline"/>
              <w:rPr>
                <w:rFonts w:hint="eastAsia" w:ascii="宋体" w:hAnsi="宋体" w:eastAsia="宋体" w:cs="宋体"/>
                <w:color w:val="auto"/>
                <w:w w:val="90"/>
                <w:kern w:val="0"/>
                <w:sz w:val="24"/>
                <w:highlight w:val="none"/>
              </w:rPr>
            </w:pPr>
          </w:p>
        </w:tc>
        <w:tc>
          <w:tcPr>
            <w:tcW w:w="1596" w:type="dxa"/>
            <w:tcBorders>
              <w:top w:val="single" w:color="0070C0" w:sz="6" w:space="0"/>
              <w:left w:val="single" w:color="0070C0" w:sz="6" w:space="0"/>
              <w:bottom w:val="thickThinSmallGap" w:color="0070C0" w:sz="18" w:space="0"/>
              <w:right w:val="single" w:color="0070C0" w:sz="6" w:space="0"/>
            </w:tcBorders>
            <w:shd w:val="clear" w:color="auto" w:fill="FFFFFF"/>
            <w:noWrap/>
            <w:tcMar>
              <w:top w:w="0" w:type="dxa"/>
              <w:left w:w="108" w:type="dxa"/>
              <w:bottom w:w="0" w:type="dxa"/>
              <w:right w:w="108" w:type="dxa"/>
            </w:tcMar>
            <w:vAlign w:val="center"/>
          </w:tcPr>
          <w:p w14:paraId="27AC59D9">
            <w:pPr>
              <w:widowControl/>
              <w:autoSpaceDN w:val="0"/>
              <w:spacing w:line="276" w:lineRule="auto"/>
              <w:jc w:val="center"/>
              <w:textAlignment w:val="baseline"/>
              <w:rPr>
                <w:rFonts w:hint="eastAsia" w:ascii="宋体" w:hAnsi="宋体" w:eastAsia="宋体" w:cs="宋体"/>
                <w:color w:val="auto"/>
                <w:w w:val="90"/>
                <w:kern w:val="0"/>
                <w:sz w:val="24"/>
                <w:highlight w:val="none"/>
              </w:rPr>
            </w:pPr>
          </w:p>
        </w:tc>
        <w:tc>
          <w:tcPr>
            <w:tcW w:w="3132" w:type="dxa"/>
            <w:vMerge w:val="continue"/>
            <w:tcBorders>
              <w:top w:val="single" w:color="0070C0" w:sz="6" w:space="0"/>
              <w:left w:val="single" w:color="0070C0" w:sz="6" w:space="0"/>
              <w:bottom w:val="thickThinSmallGap" w:color="0070C0" w:sz="18" w:space="0"/>
              <w:right w:val="thickThinSmallGap" w:color="0070C0" w:sz="18" w:space="0"/>
            </w:tcBorders>
            <w:shd w:val="clear" w:color="auto" w:fill="FFFFFF"/>
            <w:vAlign w:val="center"/>
          </w:tcPr>
          <w:p w14:paraId="27026FFA">
            <w:pPr>
              <w:widowControl/>
              <w:jc w:val="left"/>
              <w:rPr>
                <w:rFonts w:hint="eastAsia" w:ascii="宋体" w:hAnsi="宋体" w:eastAsia="宋体" w:cs="宋体"/>
                <w:color w:val="auto"/>
                <w:w w:val="90"/>
                <w:kern w:val="0"/>
                <w:sz w:val="24"/>
                <w:highlight w:val="none"/>
              </w:rPr>
            </w:pPr>
          </w:p>
        </w:tc>
      </w:tr>
    </w:tbl>
    <w:p w14:paraId="7E30327F">
      <w:pPr>
        <w:keepNext/>
        <w:keepLines/>
        <w:autoSpaceDN w:val="0"/>
        <w:spacing w:before="240" w:line="360" w:lineRule="auto"/>
        <w:jc w:val="left"/>
        <w:outlineLvl w:val="3"/>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附2：参与实施政府采购环境标志产品认证机构名录</w:t>
      </w:r>
    </w:p>
    <w:tbl>
      <w:tblPr>
        <w:tblStyle w:val="62"/>
        <w:tblW w:w="9105" w:type="dxa"/>
        <w:tblInd w:w="-176" w:type="dxa"/>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Layout w:type="fixed"/>
        <w:tblCellMar>
          <w:top w:w="27" w:type="dxa"/>
          <w:left w:w="27" w:type="dxa"/>
          <w:bottom w:w="27" w:type="dxa"/>
          <w:right w:w="27" w:type="dxa"/>
        </w:tblCellMar>
      </w:tblPr>
      <w:tblGrid>
        <w:gridCol w:w="851"/>
        <w:gridCol w:w="2287"/>
        <w:gridCol w:w="5967"/>
      </w:tblGrid>
      <w:tr w14:paraId="7F991B29">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tblHeader/>
        </w:trPr>
        <w:tc>
          <w:tcPr>
            <w:tcW w:w="851" w:type="dxa"/>
            <w:tcBorders>
              <w:top w:val="thinThickSmallGap" w:color="0070C0" w:sz="18" w:space="0"/>
              <w:left w:val="thinThickSmallGap" w:color="0070C0" w:sz="18" w:space="0"/>
              <w:bottom w:val="single" w:color="0070C0" w:sz="6" w:space="0"/>
              <w:right w:val="single" w:color="0070C0" w:sz="6" w:space="0"/>
            </w:tcBorders>
            <w:shd w:val="clear" w:color="auto" w:fill="FDE9D9"/>
            <w:noWrap/>
            <w:tcMar>
              <w:top w:w="0" w:type="dxa"/>
              <w:left w:w="108" w:type="dxa"/>
              <w:bottom w:w="0" w:type="dxa"/>
              <w:right w:w="108" w:type="dxa"/>
            </w:tcMar>
            <w:vAlign w:val="center"/>
          </w:tcPr>
          <w:p w14:paraId="7365CB44">
            <w:pPr>
              <w:widowControl/>
              <w:autoSpaceDN w:val="0"/>
              <w:spacing w:line="276" w:lineRule="auto"/>
              <w:jc w:val="center"/>
              <w:textAlignment w:val="baseline"/>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序号</w:t>
            </w:r>
          </w:p>
        </w:tc>
        <w:tc>
          <w:tcPr>
            <w:tcW w:w="2288" w:type="dxa"/>
            <w:tcBorders>
              <w:top w:val="thinThickSmallGap" w:color="0070C0" w:sz="18" w:space="0"/>
              <w:left w:val="single" w:color="0070C0" w:sz="6" w:space="0"/>
              <w:bottom w:val="single" w:color="0070C0" w:sz="6" w:space="0"/>
              <w:right w:val="single" w:color="0070C0" w:sz="6" w:space="0"/>
            </w:tcBorders>
            <w:shd w:val="clear" w:color="auto" w:fill="FDE9D9"/>
            <w:noWrap/>
            <w:tcMar>
              <w:top w:w="0" w:type="dxa"/>
              <w:left w:w="108" w:type="dxa"/>
              <w:bottom w:w="0" w:type="dxa"/>
              <w:right w:w="108" w:type="dxa"/>
            </w:tcMar>
            <w:vAlign w:val="center"/>
          </w:tcPr>
          <w:p w14:paraId="756C6B79">
            <w:pPr>
              <w:widowControl/>
              <w:autoSpaceDN w:val="0"/>
              <w:spacing w:line="276" w:lineRule="auto"/>
              <w:jc w:val="center"/>
              <w:textAlignment w:val="baseline"/>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目录</w:t>
            </w:r>
          </w:p>
        </w:tc>
        <w:tc>
          <w:tcPr>
            <w:tcW w:w="5970" w:type="dxa"/>
            <w:tcBorders>
              <w:top w:val="thinThickSmallGap" w:color="0070C0" w:sz="18" w:space="0"/>
              <w:left w:val="single" w:color="0070C0" w:sz="6" w:space="0"/>
              <w:bottom w:val="single" w:color="0070C0" w:sz="6" w:space="0"/>
              <w:right w:val="thickThinSmallGap" w:color="0070C0" w:sz="18" w:space="0"/>
            </w:tcBorders>
            <w:shd w:val="clear" w:color="auto" w:fill="FDE9D9"/>
            <w:noWrap/>
            <w:tcMar>
              <w:top w:w="0" w:type="dxa"/>
              <w:left w:w="108" w:type="dxa"/>
              <w:bottom w:w="0" w:type="dxa"/>
              <w:right w:w="108" w:type="dxa"/>
            </w:tcMar>
            <w:vAlign w:val="center"/>
          </w:tcPr>
          <w:p w14:paraId="5B9F2180">
            <w:pPr>
              <w:widowControl/>
              <w:autoSpaceDN w:val="0"/>
              <w:spacing w:line="276" w:lineRule="auto"/>
              <w:jc w:val="center"/>
              <w:textAlignment w:val="baseline"/>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认证机构名录</w:t>
            </w:r>
          </w:p>
        </w:tc>
      </w:tr>
      <w:tr w14:paraId="4591C4E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trPr>
        <w:tc>
          <w:tcPr>
            <w:tcW w:w="851" w:type="dxa"/>
            <w:tcBorders>
              <w:top w:val="single" w:color="0070C0" w:sz="6" w:space="0"/>
              <w:left w:val="thinThickSmallGap" w:color="0070C0" w:sz="18" w:space="0"/>
              <w:bottom w:val="thickThinSmallGap" w:color="0070C0" w:sz="18" w:space="0"/>
              <w:right w:val="single" w:color="0070C0" w:sz="6" w:space="0"/>
            </w:tcBorders>
            <w:shd w:val="clear" w:color="auto" w:fill="FFFFFF"/>
            <w:noWrap/>
            <w:tcMar>
              <w:top w:w="0" w:type="dxa"/>
              <w:left w:w="108" w:type="dxa"/>
              <w:bottom w:w="0" w:type="dxa"/>
              <w:right w:w="108" w:type="dxa"/>
            </w:tcMar>
            <w:vAlign w:val="center"/>
          </w:tcPr>
          <w:p w14:paraId="688B3F72">
            <w:pPr>
              <w:widowControl/>
              <w:autoSpaceDN w:val="0"/>
              <w:spacing w:line="276" w:lineRule="auto"/>
              <w:jc w:val="center"/>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288" w:type="dxa"/>
            <w:tcBorders>
              <w:top w:val="single" w:color="0070C0" w:sz="6" w:space="0"/>
              <w:left w:val="single" w:color="0070C0" w:sz="6" w:space="0"/>
              <w:bottom w:val="thickThinSmallGap" w:color="0070C0" w:sz="18" w:space="0"/>
              <w:right w:val="single" w:color="0070C0" w:sz="6" w:space="0"/>
            </w:tcBorders>
            <w:shd w:val="clear" w:color="auto" w:fill="FFFFFF"/>
            <w:noWrap/>
            <w:tcMar>
              <w:top w:w="0" w:type="dxa"/>
              <w:left w:w="108" w:type="dxa"/>
              <w:bottom w:w="0" w:type="dxa"/>
              <w:right w:w="108" w:type="dxa"/>
            </w:tcMar>
            <w:vAlign w:val="center"/>
          </w:tcPr>
          <w:p w14:paraId="49D619B4">
            <w:pPr>
              <w:widowControl/>
              <w:autoSpaceDN w:val="0"/>
              <w:spacing w:line="276" w:lineRule="auto"/>
              <w:jc w:val="center"/>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环境标志产品</w:t>
            </w:r>
          </w:p>
        </w:tc>
        <w:tc>
          <w:tcPr>
            <w:tcW w:w="5970" w:type="dxa"/>
            <w:tcBorders>
              <w:top w:val="single" w:color="0070C0" w:sz="6" w:space="0"/>
              <w:left w:val="single" w:color="0070C0" w:sz="6" w:space="0"/>
              <w:bottom w:val="thickThinSmallGap" w:color="0070C0" w:sz="18" w:space="0"/>
              <w:right w:val="thickThinSmallGap" w:color="0070C0" w:sz="18" w:space="0"/>
            </w:tcBorders>
            <w:shd w:val="clear" w:color="auto" w:fill="FFFFFF"/>
            <w:noWrap/>
            <w:tcMar>
              <w:top w:w="0" w:type="dxa"/>
              <w:left w:w="108" w:type="dxa"/>
              <w:bottom w:w="0" w:type="dxa"/>
              <w:right w:w="108" w:type="dxa"/>
            </w:tcMar>
            <w:vAlign w:val="center"/>
          </w:tcPr>
          <w:p w14:paraId="6EFDFB53">
            <w:pPr>
              <w:widowControl/>
              <w:autoSpaceDN w:val="0"/>
              <w:spacing w:line="276" w:lineRule="auto"/>
              <w:jc w:val="left"/>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中环联合（北京）认证中心有限公司</w:t>
            </w:r>
          </w:p>
          <w:p w14:paraId="60CF481F">
            <w:pPr>
              <w:widowControl/>
              <w:autoSpaceDN w:val="0"/>
              <w:spacing w:line="276" w:lineRule="auto"/>
              <w:jc w:val="left"/>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中标合信（北京）认证有限公司</w:t>
            </w:r>
          </w:p>
          <w:p w14:paraId="7D981631">
            <w:pPr>
              <w:widowControl/>
              <w:autoSpaceDN w:val="0"/>
              <w:spacing w:line="276" w:lineRule="auto"/>
              <w:jc w:val="left"/>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中环协（北京）认证有限公司</w:t>
            </w:r>
          </w:p>
          <w:p w14:paraId="015357EE">
            <w:pPr>
              <w:widowControl/>
              <w:autoSpaceDN w:val="0"/>
              <w:spacing w:line="276" w:lineRule="auto"/>
              <w:jc w:val="left"/>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天津华诚认证有限公司</w:t>
            </w:r>
          </w:p>
        </w:tc>
      </w:tr>
      <w:bookmarkEnd w:id="573"/>
      <w:bookmarkEnd w:id="574"/>
      <w:bookmarkEnd w:id="575"/>
      <w:bookmarkEnd w:id="576"/>
      <w:bookmarkEnd w:id="577"/>
    </w:tbl>
    <w:p w14:paraId="1E9E77E6">
      <w:pPr>
        <w:autoSpaceDN w:val="0"/>
        <w:rPr>
          <w:rFonts w:hint="eastAsia" w:ascii="宋体" w:hAnsi="宋体" w:eastAsia="宋体" w:cs="宋体"/>
          <w:b/>
          <w:bCs/>
          <w:color w:val="auto"/>
          <w:sz w:val="24"/>
          <w:highlight w:val="none"/>
        </w:rPr>
      </w:pPr>
    </w:p>
    <w:p w14:paraId="37B6F9CD">
      <w:pPr>
        <w:rPr>
          <w:rFonts w:hint="eastAsia" w:ascii="宋体" w:hAnsi="宋体" w:eastAsia="宋体" w:cs="宋体"/>
          <w:color w:val="auto"/>
          <w:highlight w:val="none"/>
        </w:rPr>
      </w:pPr>
    </w:p>
    <w:p w14:paraId="3EA00443">
      <w:pPr>
        <w:pStyle w:val="26"/>
        <w:rPr>
          <w:rFonts w:hint="eastAsia" w:ascii="宋体" w:hAnsi="宋体" w:eastAsia="宋体" w:cs="宋体"/>
          <w:color w:val="auto"/>
          <w:highlight w:val="none"/>
        </w:rPr>
      </w:pPr>
    </w:p>
    <w:sectPr>
      <w:headerReference r:id="rId25" w:type="first"/>
      <w:footerReference r:id="rId28" w:type="first"/>
      <w:headerReference r:id="rId24" w:type="default"/>
      <w:footerReference r:id="rId26" w:type="default"/>
      <w:footerReference r:id="rId27"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Times New Roman"/>
    <w:panose1 w:val="020B0500000000000000"/>
    <w:charset w:val="00"/>
    <w:family w:val="swiss"/>
    <w:pitch w:val="default"/>
    <w:sig w:usb0="00000000" w:usb1="00000000" w:usb2="00000000" w:usb3="00000000" w:csb0="00000001" w:csb1="00000000"/>
  </w:font>
  <w:font w:name="Lucida Sans">
    <w:altName w:val="Lucida Sans Unicode"/>
    <w:panose1 w:val="020B0602040502020204"/>
    <w:charset w:val="00"/>
    <w:family w:val="swiss"/>
    <w:pitch w:val="default"/>
    <w:sig w:usb0="00000000" w:usb1="00000000" w:usb2="00000008" w:usb3="00000000" w:csb0="6000009F" w:csb1="FFFF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Arial">
    <w:panose1 w:val="020B0604020202020204"/>
    <w:charset w:val="00"/>
    <w:family w:val="auto"/>
    <w:pitch w:val="default"/>
    <w:sig w:usb0="E0002EFF" w:usb1="C000785B" w:usb2="00000009" w:usb3="00000000" w:csb0="400001FF" w:csb1="FFFF0000"/>
  </w:font>
  <w:font w:name="Yu Gothic UI">
    <w:panose1 w:val="020B0500000000000000"/>
    <w:charset w:val="80"/>
    <w:family w:val="auto"/>
    <w:pitch w:val="default"/>
    <w:sig w:usb0="E00002FF" w:usb1="2AC7FDFF" w:usb2="00000016" w:usb3="00000000" w:csb0="2002009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Wingdings 2">
    <w:altName w:val="Wingding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DE027">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C5F2D">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8F738D5">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A2B35">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0CF9755">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F66E3">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24A28">
    <w:pPr>
      <w:pStyle w:val="41"/>
      <w:framePr w:wrap="around" w:vAnchor="text" w:hAnchor="margin" w:xAlign="right" w:y="1"/>
      <w:rPr>
        <w:rStyle w:val="72"/>
      </w:rPr>
    </w:pPr>
    <w:r>
      <w:fldChar w:fldCharType="begin"/>
    </w:r>
    <w:r>
      <w:rPr>
        <w:rStyle w:val="72"/>
      </w:rPr>
      <w:instrText xml:space="preserve">PAGE  </w:instrText>
    </w:r>
    <w:r>
      <w:fldChar w:fldCharType="end"/>
    </w:r>
  </w:p>
  <w:p w14:paraId="2E91AEB1">
    <w:pPr>
      <w:pStyle w:val="41"/>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D96F9">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629" w:name="_Toc131845147"/>
    <w:bookmarkStart w:id="630" w:name="_Toc164085800"/>
    <w:bookmarkStart w:id="631" w:name="_Toc91899912"/>
    <w:bookmarkStart w:id="632" w:name="_Toc36110187"/>
    <w:r>
      <w:rPr>
        <w:rFonts w:hint="eastAsia" w:ascii="仿宋_GB2312" w:eastAsia="仿宋_GB2312"/>
        <w:kern w:val="0"/>
        <w:szCs w:val="21"/>
      </w:rPr>
      <w:t xml:space="preserve"> 页</w:t>
    </w:r>
    <w:bookmarkEnd w:id="629"/>
    <w:bookmarkEnd w:id="630"/>
    <w:bookmarkEnd w:id="631"/>
    <w:bookmarkEnd w:id="63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3ADE9">
    <w:pPr>
      <w:pStyle w:val="41"/>
      <w:framePr w:wrap="around" w:vAnchor="text" w:hAnchor="margin" w:xAlign="right" w:y="1"/>
      <w:rPr>
        <w:rStyle w:val="72"/>
      </w:rPr>
    </w:pPr>
    <w:r>
      <w:fldChar w:fldCharType="begin"/>
    </w:r>
    <w:r>
      <w:rPr>
        <w:rStyle w:val="72"/>
      </w:rPr>
      <w:instrText xml:space="preserve">PAGE  </w:instrText>
    </w:r>
    <w:r>
      <w:fldChar w:fldCharType="end"/>
    </w:r>
  </w:p>
  <w:p w14:paraId="5487293F">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F755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AE86D">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5198F">
    <w:pPr>
      <w:pStyle w:val="41"/>
      <w:jc w:val="center"/>
    </w:pPr>
    <w:r>
      <w:fldChar w:fldCharType="begin"/>
    </w:r>
    <w:r>
      <w:instrText xml:space="preserve">PAGE   \* MERGEFORMAT</w:instrText>
    </w:r>
    <w:r>
      <w:fldChar w:fldCharType="separate"/>
    </w:r>
    <w:r>
      <w:rPr>
        <w:lang w:val="zh-CN"/>
      </w:rPr>
      <w:t>31</w:t>
    </w:r>
    <w:r>
      <w:rPr>
        <w:lang w:val="zh-CN"/>
      </w:rPr>
      <w:fldChar w:fldCharType="end"/>
    </w:r>
  </w:p>
  <w:p w14:paraId="035EB494">
    <w:pPr>
      <w:pStyle w:val="4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305F7">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0FA58EA">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18774">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F08E3BB">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70B60">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52D0A117">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CF388">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66DA582">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74B27">
    <w:pPr>
      <w:pStyle w:val="42"/>
      <w:pBdr>
        <w:bottom w:val="single" w:color="auto" w:sz="6" w:space="4"/>
      </w:pBdr>
      <w:jc w:val="right"/>
    </w:pPr>
    <w:r>
      <w:t></w:t>
    </w:r>
    <w:r>
      <w:rPr>
        <w:rFonts w:hint="eastAsia"/>
      </w:rPr>
      <w:t xml:space="preserve">             </w:t>
    </w:r>
    <w:r>
      <w:t>杭州市政府采购公开招标文件</w:t>
    </w:r>
  </w:p>
  <w:p w14:paraId="397F940E">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CA675">
    <w:pPr>
      <w:pStyle w:val="42"/>
      <w:jc w:val="right"/>
    </w:pPr>
    <w:r>
      <w:rPr>
        <w:rFonts w:hint="eastAsia"/>
      </w:rPr>
      <w:t xml:space="preserve">                                                                                                        </w:t>
    </w: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650B0">
    <w:pPr>
      <w:pStyle w:val="42"/>
      <w:jc w:val="right"/>
      <w:rPr>
        <w:rFonts w:ascii="仿宋_GB2312" w:eastAsia="仿宋_GB2312"/>
        <w:b/>
        <w:i/>
        <w:iCs/>
        <w:u w:val="single"/>
      </w:rPr>
    </w:pPr>
    <w:r>
      <w:t>杭州市政府采购公开招标文件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4419">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73930">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56F49">
    <w:pPr>
      <w:pStyle w:val="4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003C0">
    <w:pPr>
      <w:pStyle w:val="42"/>
      <w:pBdr>
        <w:bottom w:val="none" w:color="auto" w:sz="0" w:space="0"/>
      </w:pBdr>
      <w:rPr>
        <w:rFonts w:eastAsia="宋体"/>
        <w:szCs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8508B">
    <w:pPr>
      <w:pStyle w:val="42"/>
      <w:jc w:val="right"/>
      <w:rPr>
        <w:rFonts w:ascii="仿宋_GB2312" w:eastAsia="仿宋_GB2312"/>
        <w:b/>
        <w:i/>
        <w:u w:val="single"/>
      </w:rPr>
    </w:pPr>
    <w:r>
      <w:t></w:t>
    </w: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3570B">
    <w:pPr>
      <w:pStyle w:val="42"/>
    </w:pPr>
    <w:r>
      <w:t></w:t>
    </w:r>
    <w:r>
      <w:rPr>
        <w:rFonts w:hint="eastAsia"/>
      </w:rPr>
      <w:t xml:space="preserve">         </w:t>
    </w:r>
  </w:p>
  <w:p w14:paraId="6DCFE797">
    <w:pPr>
      <w:pStyle w:val="42"/>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3F119">
    <w:pPr>
      <w:pStyle w:val="42"/>
      <w:rPr>
        <w:rFonts w:ascii="仿宋_GB2312" w:eastAsia="仿宋_GB2312"/>
        <w:b/>
        <w:i/>
        <w:u w:val="single"/>
      </w:rPr>
    </w:pPr>
    <w:r>
      <w:t></w:t>
    </w:r>
    <w:r>
      <w:rPr>
        <w:rFonts w:hint="eastAsia"/>
      </w:rPr>
      <w:t xml:space="preserve">                                                </w:t>
    </w:r>
    <w:r>
      <w:t xml:space="preserve"> 杭州市政府采购公开招标文件</w:t>
    </w:r>
  </w:p>
  <w:p w14:paraId="126308F2">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6F123">
    <w:pPr>
      <w:pStyle w:val="42"/>
      <w:jc w:val="right"/>
    </w:pPr>
    <w:r>
      <w:t></w:t>
    </w: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CE2B8">
    <w:pPr>
      <w:pStyle w:val="42"/>
      <w:jc w:val="right"/>
      <w:rPr>
        <w:rFonts w:ascii="仿宋_GB2312" w:eastAsia="仿宋_GB2312"/>
        <w:b/>
        <w:i/>
        <w:u w:val="single"/>
      </w:rPr>
    </w:pPr>
    <w:r>
      <w:rPr>
        <w:rFonts w:hint="eastAsia"/>
      </w:rPr>
      <w:t xml:space="preserve">                                  </w:t>
    </w:r>
    <w:r>
      <w:t>杭州市政府采购公开招标文件</w:t>
    </w:r>
  </w:p>
  <w:p w14:paraId="2C28BB21">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B90436"/>
    <w:multiLevelType w:val="singleLevel"/>
    <w:tmpl w:val="80B90436"/>
    <w:lvl w:ilvl="0" w:tentative="0">
      <w:start w:val="1"/>
      <w:numFmt w:val="decimal"/>
      <w:lvlText w:val="(%1)"/>
      <w:lvlJc w:val="left"/>
      <w:pPr>
        <w:ind w:left="425" w:hanging="425"/>
      </w:pPr>
      <w:rPr>
        <w:rFonts w:hint="default"/>
      </w:rPr>
    </w:lvl>
  </w:abstractNum>
  <w:abstractNum w:abstractNumId="1">
    <w:nsid w:val="91D30DC0"/>
    <w:multiLevelType w:val="singleLevel"/>
    <w:tmpl w:val="91D30DC0"/>
    <w:lvl w:ilvl="0" w:tentative="0">
      <w:start w:val="1"/>
      <w:numFmt w:val="decimal"/>
      <w:lvlText w:val="%1."/>
      <w:lvlJc w:val="left"/>
      <w:pPr>
        <w:tabs>
          <w:tab w:val="left" w:pos="312"/>
        </w:tabs>
      </w:pPr>
    </w:lvl>
  </w:abstractNum>
  <w:abstractNum w:abstractNumId="2">
    <w:nsid w:val="AD879B73"/>
    <w:multiLevelType w:val="singleLevel"/>
    <w:tmpl w:val="AD879B73"/>
    <w:lvl w:ilvl="0" w:tentative="0">
      <w:start w:val="4"/>
      <w:numFmt w:val="decimal"/>
      <w:lvlText w:val="%1."/>
      <w:lvlJc w:val="left"/>
      <w:pPr>
        <w:tabs>
          <w:tab w:val="left" w:pos="312"/>
        </w:tabs>
      </w:pPr>
    </w:lvl>
  </w:abstractNum>
  <w:abstractNum w:abstractNumId="3">
    <w:nsid w:val="BB22B723"/>
    <w:multiLevelType w:val="singleLevel"/>
    <w:tmpl w:val="BB22B723"/>
    <w:lvl w:ilvl="0" w:tentative="0">
      <w:start w:val="1"/>
      <w:numFmt w:val="decimal"/>
      <w:lvlText w:val="%1."/>
      <w:lvlJc w:val="left"/>
      <w:pPr>
        <w:tabs>
          <w:tab w:val="left" w:pos="312"/>
        </w:tabs>
      </w:pPr>
    </w:lvl>
  </w:abstractNum>
  <w:abstractNum w:abstractNumId="4">
    <w:nsid w:val="C89E3213"/>
    <w:multiLevelType w:val="singleLevel"/>
    <w:tmpl w:val="C89E3213"/>
    <w:lvl w:ilvl="0" w:tentative="0">
      <w:start w:val="1"/>
      <w:numFmt w:val="decimal"/>
      <w:lvlText w:val="(%1)"/>
      <w:lvlJc w:val="left"/>
      <w:pPr>
        <w:ind w:left="425" w:hanging="425"/>
      </w:pPr>
      <w:rPr>
        <w:rFonts w:hint="default"/>
      </w:rPr>
    </w:lvl>
  </w:abstractNum>
  <w:abstractNum w:abstractNumId="5">
    <w:nsid w:val="CF13A496"/>
    <w:multiLevelType w:val="singleLevel"/>
    <w:tmpl w:val="CF13A496"/>
    <w:lvl w:ilvl="0" w:tentative="0">
      <w:start w:val="1"/>
      <w:numFmt w:val="decimal"/>
      <w:suff w:val="nothing"/>
      <w:lvlText w:val="（%1）"/>
      <w:lvlJc w:val="left"/>
    </w:lvl>
  </w:abstractNum>
  <w:abstractNum w:abstractNumId="6">
    <w:nsid w:val="0C16576B"/>
    <w:multiLevelType w:val="multilevel"/>
    <w:tmpl w:val="0C16576B"/>
    <w:lvl w:ilvl="0" w:tentative="0">
      <w:start w:val="1"/>
      <w:numFmt w:val="japaneseCounting"/>
      <w:lvlText w:val="%1、"/>
      <w:lvlJc w:val="left"/>
      <w:pPr>
        <w:ind w:left="1202" w:hanging="7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7">
    <w:nsid w:val="3FE783E2"/>
    <w:multiLevelType w:val="singleLevel"/>
    <w:tmpl w:val="3FE783E2"/>
    <w:lvl w:ilvl="0" w:tentative="0">
      <w:start w:val="1"/>
      <w:numFmt w:val="decimal"/>
      <w:lvlText w:val="(%1)"/>
      <w:lvlJc w:val="left"/>
      <w:pPr>
        <w:ind w:left="425" w:hanging="425"/>
      </w:pPr>
      <w:rPr>
        <w:rFonts w:hint="default"/>
      </w:rPr>
    </w:lvl>
  </w:abstractNum>
  <w:abstractNum w:abstractNumId="8">
    <w:nsid w:val="4CA75A52"/>
    <w:multiLevelType w:val="multilevel"/>
    <w:tmpl w:val="4CA75A52"/>
    <w:lvl w:ilvl="0" w:tentative="0">
      <w:start w:val="1"/>
      <w:numFmt w:val="decimal"/>
      <w:pStyle w:val="968"/>
      <w:suff w:val="nothing"/>
      <w:lvlText w:val="（%1）"/>
      <w:lvlJc w:val="left"/>
      <w:pPr>
        <w:ind w:left="1135" w:firstLine="0"/>
      </w:pPr>
      <w:rPr>
        <w:rFonts w:hint="eastAsia"/>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decimal"/>
      <w:suff w:val="nothing"/>
      <w:lvlText w:val="%2）"/>
      <w:lvlJc w:val="left"/>
      <w:pPr>
        <w:ind w:left="1130" w:firstLine="0"/>
      </w:pPr>
      <w:rPr>
        <w:rFonts w:hint="eastAsia"/>
      </w:rPr>
    </w:lvl>
    <w:lvl w:ilvl="2" w:tentative="0">
      <w:start w:val="1"/>
      <w:numFmt w:val="lowerRoman"/>
      <w:lvlText w:val="%3."/>
      <w:lvlJc w:val="right"/>
      <w:pPr>
        <w:ind w:left="1550" w:firstLine="0"/>
      </w:pPr>
      <w:rPr>
        <w:rFonts w:hint="eastAsia"/>
      </w:rPr>
    </w:lvl>
    <w:lvl w:ilvl="3" w:tentative="0">
      <w:start w:val="1"/>
      <w:numFmt w:val="decimal"/>
      <w:lvlText w:val="%4）"/>
      <w:lvlJc w:val="left"/>
      <w:pPr>
        <w:ind w:left="1970" w:firstLine="0"/>
      </w:pPr>
      <w:rPr>
        <w:rFonts w:hint="eastAsia"/>
      </w:rPr>
    </w:lvl>
    <w:lvl w:ilvl="4" w:tentative="0">
      <w:start w:val="1"/>
      <w:numFmt w:val="lowerLetter"/>
      <w:lvlText w:val="%5)"/>
      <w:lvlJc w:val="left"/>
      <w:pPr>
        <w:ind w:left="2390" w:firstLine="0"/>
      </w:pPr>
      <w:rPr>
        <w:rFonts w:hint="eastAsia"/>
      </w:rPr>
    </w:lvl>
    <w:lvl w:ilvl="5" w:tentative="0">
      <w:start w:val="1"/>
      <w:numFmt w:val="lowerRoman"/>
      <w:lvlText w:val="%6."/>
      <w:lvlJc w:val="right"/>
      <w:pPr>
        <w:ind w:left="2810" w:firstLine="0"/>
      </w:pPr>
      <w:rPr>
        <w:rFonts w:hint="eastAsia"/>
      </w:rPr>
    </w:lvl>
    <w:lvl w:ilvl="6" w:tentative="0">
      <w:start w:val="1"/>
      <w:numFmt w:val="decimal"/>
      <w:lvlText w:val="%7."/>
      <w:lvlJc w:val="left"/>
      <w:pPr>
        <w:ind w:left="3230" w:firstLine="0"/>
      </w:pPr>
      <w:rPr>
        <w:rFonts w:hint="eastAsia"/>
      </w:rPr>
    </w:lvl>
    <w:lvl w:ilvl="7" w:tentative="0">
      <w:start w:val="1"/>
      <w:numFmt w:val="lowerLetter"/>
      <w:lvlText w:val="%8)"/>
      <w:lvlJc w:val="left"/>
      <w:pPr>
        <w:ind w:left="3650" w:firstLine="0"/>
      </w:pPr>
      <w:rPr>
        <w:rFonts w:hint="eastAsia"/>
      </w:rPr>
    </w:lvl>
    <w:lvl w:ilvl="8" w:tentative="0">
      <w:start w:val="1"/>
      <w:numFmt w:val="lowerRoman"/>
      <w:lvlText w:val="%9."/>
      <w:lvlJc w:val="right"/>
      <w:pPr>
        <w:ind w:left="4070" w:firstLine="0"/>
      </w:pPr>
      <w:rPr>
        <w:rFonts w:hint="eastAsia"/>
      </w:rPr>
    </w:lvl>
  </w:abstractNum>
  <w:abstractNum w:abstractNumId="9">
    <w:nsid w:val="4DA2775A"/>
    <w:multiLevelType w:val="multilevel"/>
    <w:tmpl w:val="4DA2775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B282944"/>
    <w:multiLevelType w:val="multilevel"/>
    <w:tmpl w:val="6B282944"/>
    <w:lvl w:ilvl="0" w:tentative="0">
      <w:start w:val="1"/>
      <w:numFmt w:val="bullet"/>
      <w:pStyle w:val="965"/>
      <w:lvlText w:val="q"/>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1">
    <w:nsid w:val="75FE302A"/>
    <w:multiLevelType w:val="singleLevel"/>
    <w:tmpl w:val="75FE302A"/>
    <w:lvl w:ilvl="0" w:tentative="0">
      <w:start w:val="1"/>
      <w:numFmt w:val="decimal"/>
      <w:lvlText w:val="(%1)"/>
      <w:lvlJc w:val="left"/>
      <w:pPr>
        <w:ind w:left="425" w:hanging="425"/>
      </w:pPr>
      <w:rPr>
        <w:rFonts w:hint="default"/>
      </w:rPr>
    </w:lvl>
  </w:abstractNum>
  <w:num w:numId="1">
    <w:abstractNumId w:val="10"/>
  </w:num>
  <w:num w:numId="2">
    <w:abstractNumId w:val="8"/>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4"/>
  </w:num>
  <w:num w:numId="6">
    <w:abstractNumId w:val="2"/>
  </w:num>
  <w:num w:numId="7">
    <w:abstractNumId w:val="9"/>
  </w:num>
  <w:num w:numId="8">
    <w:abstractNumId w:val="0"/>
  </w:num>
  <w:num w:numId="9">
    <w:abstractNumId w:val="7"/>
  </w:num>
  <w:num w:numId="10">
    <w:abstractNumId w:val="3"/>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AzMWUxYjE0MTA3ZjI2NzE3ZWM2YmI5MmM3ZDc0YTI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08441F"/>
    <w:rsid w:val="011F6449"/>
    <w:rsid w:val="01236AFB"/>
    <w:rsid w:val="017244EE"/>
    <w:rsid w:val="019F7441"/>
    <w:rsid w:val="01B37585"/>
    <w:rsid w:val="01D55165"/>
    <w:rsid w:val="01DF6BF8"/>
    <w:rsid w:val="01EC2C57"/>
    <w:rsid w:val="025F0711"/>
    <w:rsid w:val="026B2E25"/>
    <w:rsid w:val="02824D4D"/>
    <w:rsid w:val="02DC4B10"/>
    <w:rsid w:val="02DD76CE"/>
    <w:rsid w:val="02F36323"/>
    <w:rsid w:val="02F5619C"/>
    <w:rsid w:val="0326446A"/>
    <w:rsid w:val="032D5555"/>
    <w:rsid w:val="032E0E2D"/>
    <w:rsid w:val="036634D2"/>
    <w:rsid w:val="03DD35E4"/>
    <w:rsid w:val="04076900"/>
    <w:rsid w:val="041A5A3B"/>
    <w:rsid w:val="042311BA"/>
    <w:rsid w:val="042B157A"/>
    <w:rsid w:val="043725BB"/>
    <w:rsid w:val="048F763B"/>
    <w:rsid w:val="049F330E"/>
    <w:rsid w:val="04AA775C"/>
    <w:rsid w:val="04AF1889"/>
    <w:rsid w:val="04F66F48"/>
    <w:rsid w:val="05251E14"/>
    <w:rsid w:val="05A16594"/>
    <w:rsid w:val="05A7762D"/>
    <w:rsid w:val="060E5941"/>
    <w:rsid w:val="06110FAF"/>
    <w:rsid w:val="06493CA7"/>
    <w:rsid w:val="065A6178"/>
    <w:rsid w:val="066F1CF3"/>
    <w:rsid w:val="06871610"/>
    <w:rsid w:val="06930BB8"/>
    <w:rsid w:val="07245D42"/>
    <w:rsid w:val="07264C62"/>
    <w:rsid w:val="0779354C"/>
    <w:rsid w:val="08061376"/>
    <w:rsid w:val="08452D77"/>
    <w:rsid w:val="086401F8"/>
    <w:rsid w:val="08751CAA"/>
    <w:rsid w:val="087E4C40"/>
    <w:rsid w:val="08A871D0"/>
    <w:rsid w:val="08D66AD6"/>
    <w:rsid w:val="08DA33A3"/>
    <w:rsid w:val="08E80F13"/>
    <w:rsid w:val="08E87F44"/>
    <w:rsid w:val="091A360F"/>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A2B3A"/>
    <w:rsid w:val="0AAB7649"/>
    <w:rsid w:val="0ABC5606"/>
    <w:rsid w:val="0ACF4E8E"/>
    <w:rsid w:val="0B30404E"/>
    <w:rsid w:val="0B4C6C14"/>
    <w:rsid w:val="0B547599"/>
    <w:rsid w:val="0B631A88"/>
    <w:rsid w:val="0B683D45"/>
    <w:rsid w:val="0B7F3F11"/>
    <w:rsid w:val="0B884417"/>
    <w:rsid w:val="0B8B64C8"/>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1A2A5B"/>
    <w:rsid w:val="0D2E237F"/>
    <w:rsid w:val="0D3D74DD"/>
    <w:rsid w:val="0D4A7419"/>
    <w:rsid w:val="0D7F205C"/>
    <w:rsid w:val="0D827401"/>
    <w:rsid w:val="0D84094E"/>
    <w:rsid w:val="0D854AD0"/>
    <w:rsid w:val="0D8A00E9"/>
    <w:rsid w:val="0D8D589E"/>
    <w:rsid w:val="0DA01C73"/>
    <w:rsid w:val="0DD63300"/>
    <w:rsid w:val="0DF50604"/>
    <w:rsid w:val="0DF702FE"/>
    <w:rsid w:val="0E060E51"/>
    <w:rsid w:val="0E5604B2"/>
    <w:rsid w:val="0E6D5D79"/>
    <w:rsid w:val="0E9D0089"/>
    <w:rsid w:val="0EA474D2"/>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E576FA"/>
    <w:rsid w:val="10F33360"/>
    <w:rsid w:val="10FC16EA"/>
    <w:rsid w:val="110F1D40"/>
    <w:rsid w:val="11266F33"/>
    <w:rsid w:val="118963A1"/>
    <w:rsid w:val="118E23DD"/>
    <w:rsid w:val="11C6522A"/>
    <w:rsid w:val="11E104CC"/>
    <w:rsid w:val="11E20309"/>
    <w:rsid w:val="12255233"/>
    <w:rsid w:val="12530213"/>
    <w:rsid w:val="127723A9"/>
    <w:rsid w:val="12862074"/>
    <w:rsid w:val="12883966"/>
    <w:rsid w:val="129E45B4"/>
    <w:rsid w:val="12A87EC1"/>
    <w:rsid w:val="12D81596"/>
    <w:rsid w:val="13072A44"/>
    <w:rsid w:val="135F4BE2"/>
    <w:rsid w:val="139B1A0A"/>
    <w:rsid w:val="139D25C7"/>
    <w:rsid w:val="13BF3CE4"/>
    <w:rsid w:val="13C77A9D"/>
    <w:rsid w:val="141008D8"/>
    <w:rsid w:val="14125FE6"/>
    <w:rsid w:val="146D271E"/>
    <w:rsid w:val="14982588"/>
    <w:rsid w:val="149A5AD9"/>
    <w:rsid w:val="14A7619D"/>
    <w:rsid w:val="150536C3"/>
    <w:rsid w:val="150C1963"/>
    <w:rsid w:val="151447A0"/>
    <w:rsid w:val="154A6454"/>
    <w:rsid w:val="15762120"/>
    <w:rsid w:val="157C2388"/>
    <w:rsid w:val="16A8729C"/>
    <w:rsid w:val="16B33777"/>
    <w:rsid w:val="16BC70A7"/>
    <w:rsid w:val="16C6339E"/>
    <w:rsid w:val="172F2D79"/>
    <w:rsid w:val="17557BEF"/>
    <w:rsid w:val="17D349C1"/>
    <w:rsid w:val="18244F26"/>
    <w:rsid w:val="1830729E"/>
    <w:rsid w:val="1852128A"/>
    <w:rsid w:val="1870062C"/>
    <w:rsid w:val="187B28BB"/>
    <w:rsid w:val="18817102"/>
    <w:rsid w:val="18830A15"/>
    <w:rsid w:val="18852B28"/>
    <w:rsid w:val="188B5321"/>
    <w:rsid w:val="19883D90"/>
    <w:rsid w:val="19932372"/>
    <w:rsid w:val="199E7D0E"/>
    <w:rsid w:val="19A20DD5"/>
    <w:rsid w:val="19AE03F1"/>
    <w:rsid w:val="19D46BD3"/>
    <w:rsid w:val="1A071A03"/>
    <w:rsid w:val="1A1F16AE"/>
    <w:rsid w:val="1A3B5C77"/>
    <w:rsid w:val="1A6B1B55"/>
    <w:rsid w:val="1A984BAD"/>
    <w:rsid w:val="1AB8220E"/>
    <w:rsid w:val="1AE4166C"/>
    <w:rsid w:val="1AF06CFB"/>
    <w:rsid w:val="1AF11B8D"/>
    <w:rsid w:val="1B11359C"/>
    <w:rsid w:val="1B2A271F"/>
    <w:rsid w:val="1B530544"/>
    <w:rsid w:val="1B713184"/>
    <w:rsid w:val="1BA209CF"/>
    <w:rsid w:val="1BB4777D"/>
    <w:rsid w:val="1BD75AB8"/>
    <w:rsid w:val="1C0459C2"/>
    <w:rsid w:val="1C111C42"/>
    <w:rsid w:val="1C1B3B4A"/>
    <w:rsid w:val="1C88086E"/>
    <w:rsid w:val="1C9C7605"/>
    <w:rsid w:val="1CCB5193"/>
    <w:rsid w:val="1D266CE1"/>
    <w:rsid w:val="1D3963AF"/>
    <w:rsid w:val="1D6A673C"/>
    <w:rsid w:val="1D740886"/>
    <w:rsid w:val="1D9247AE"/>
    <w:rsid w:val="1DB567EC"/>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3516B"/>
    <w:rsid w:val="204E48BC"/>
    <w:rsid w:val="208921B3"/>
    <w:rsid w:val="20973DEB"/>
    <w:rsid w:val="20B26522"/>
    <w:rsid w:val="20B44310"/>
    <w:rsid w:val="211116EB"/>
    <w:rsid w:val="216133FC"/>
    <w:rsid w:val="219520B6"/>
    <w:rsid w:val="21D56769"/>
    <w:rsid w:val="21E52EF3"/>
    <w:rsid w:val="21FB1B96"/>
    <w:rsid w:val="21FB5D7B"/>
    <w:rsid w:val="22015E94"/>
    <w:rsid w:val="220B1C3D"/>
    <w:rsid w:val="221D1D20"/>
    <w:rsid w:val="222443D1"/>
    <w:rsid w:val="22334A87"/>
    <w:rsid w:val="22AD310E"/>
    <w:rsid w:val="22BE6801"/>
    <w:rsid w:val="23085827"/>
    <w:rsid w:val="233500BF"/>
    <w:rsid w:val="23377FF7"/>
    <w:rsid w:val="236B425F"/>
    <w:rsid w:val="23836192"/>
    <w:rsid w:val="238F0422"/>
    <w:rsid w:val="23901F29"/>
    <w:rsid w:val="239C0061"/>
    <w:rsid w:val="23B908A4"/>
    <w:rsid w:val="23E95BEF"/>
    <w:rsid w:val="23FD0064"/>
    <w:rsid w:val="245375B0"/>
    <w:rsid w:val="24642C0A"/>
    <w:rsid w:val="24726F7C"/>
    <w:rsid w:val="24B22173"/>
    <w:rsid w:val="24B95AD9"/>
    <w:rsid w:val="24BE24DA"/>
    <w:rsid w:val="24CF5825"/>
    <w:rsid w:val="24D663E6"/>
    <w:rsid w:val="24D77F2B"/>
    <w:rsid w:val="24FB5FF1"/>
    <w:rsid w:val="25152081"/>
    <w:rsid w:val="258B00E2"/>
    <w:rsid w:val="25A917A6"/>
    <w:rsid w:val="25BE27CC"/>
    <w:rsid w:val="25F74A5C"/>
    <w:rsid w:val="2628662C"/>
    <w:rsid w:val="262D45DE"/>
    <w:rsid w:val="26663631"/>
    <w:rsid w:val="26871DC8"/>
    <w:rsid w:val="26A53EF9"/>
    <w:rsid w:val="26A94201"/>
    <w:rsid w:val="26AC274F"/>
    <w:rsid w:val="26EA4592"/>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98358C"/>
    <w:rsid w:val="29F26D24"/>
    <w:rsid w:val="2A007DD9"/>
    <w:rsid w:val="2A15033F"/>
    <w:rsid w:val="2A1662C1"/>
    <w:rsid w:val="2A1C7367"/>
    <w:rsid w:val="2A2815FA"/>
    <w:rsid w:val="2A6D6092"/>
    <w:rsid w:val="2A7D76B4"/>
    <w:rsid w:val="2B152F50"/>
    <w:rsid w:val="2B437463"/>
    <w:rsid w:val="2B7807EE"/>
    <w:rsid w:val="2BA50BF7"/>
    <w:rsid w:val="2BBF00EC"/>
    <w:rsid w:val="2BC37CFD"/>
    <w:rsid w:val="2BD5237F"/>
    <w:rsid w:val="2BE536CE"/>
    <w:rsid w:val="2BE758D9"/>
    <w:rsid w:val="2BF346BB"/>
    <w:rsid w:val="2C09049E"/>
    <w:rsid w:val="2C0A653C"/>
    <w:rsid w:val="2C191F85"/>
    <w:rsid w:val="2CE54962"/>
    <w:rsid w:val="2CE82D6F"/>
    <w:rsid w:val="2D343236"/>
    <w:rsid w:val="2D38455E"/>
    <w:rsid w:val="2D4619ED"/>
    <w:rsid w:val="2D575011"/>
    <w:rsid w:val="2DD15014"/>
    <w:rsid w:val="2DF72DE4"/>
    <w:rsid w:val="2E0220AF"/>
    <w:rsid w:val="2E4B082A"/>
    <w:rsid w:val="2E59653C"/>
    <w:rsid w:val="2E5D4E86"/>
    <w:rsid w:val="2E5D790B"/>
    <w:rsid w:val="2E9A3C18"/>
    <w:rsid w:val="2EBB0FEE"/>
    <w:rsid w:val="2EC63002"/>
    <w:rsid w:val="2F0A6B38"/>
    <w:rsid w:val="2F196A8A"/>
    <w:rsid w:val="2F8360CF"/>
    <w:rsid w:val="2F946CCB"/>
    <w:rsid w:val="2FB771E8"/>
    <w:rsid w:val="2FBA5D44"/>
    <w:rsid w:val="2FD25781"/>
    <w:rsid w:val="2FDC745C"/>
    <w:rsid w:val="2FFD7934"/>
    <w:rsid w:val="30733ACD"/>
    <w:rsid w:val="308C3862"/>
    <w:rsid w:val="309379D8"/>
    <w:rsid w:val="30A270F7"/>
    <w:rsid w:val="30D61297"/>
    <w:rsid w:val="30DF1478"/>
    <w:rsid w:val="30EC586F"/>
    <w:rsid w:val="310B1936"/>
    <w:rsid w:val="313545C8"/>
    <w:rsid w:val="319C6071"/>
    <w:rsid w:val="31AC537E"/>
    <w:rsid w:val="31C25C55"/>
    <w:rsid w:val="31E3679B"/>
    <w:rsid w:val="31E732FD"/>
    <w:rsid w:val="32517576"/>
    <w:rsid w:val="32680DE1"/>
    <w:rsid w:val="32BE5C2C"/>
    <w:rsid w:val="32FB6478"/>
    <w:rsid w:val="33263B3F"/>
    <w:rsid w:val="33641113"/>
    <w:rsid w:val="336963EB"/>
    <w:rsid w:val="33816EEB"/>
    <w:rsid w:val="33EB55CD"/>
    <w:rsid w:val="33EC4C02"/>
    <w:rsid w:val="340D2360"/>
    <w:rsid w:val="3410665D"/>
    <w:rsid w:val="34211214"/>
    <w:rsid w:val="342E63AB"/>
    <w:rsid w:val="34837199"/>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202102"/>
    <w:rsid w:val="373F410B"/>
    <w:rsid w:val="37EE7094"/>
    <w:rsid w:val="38296C89"/>
    <w:rsid w:val="383002EB"/>
    <w:rsid w:val="38586797"/>
    <w:rsid w:val="385D15DF"/>
    <w:rsid w:val="38B55CCE"/>
    <w:rsid w:val="38BC0149"/>
    <w:rsid w:val="38D87D1C"/>
    <w:rsid w:val="39636459"/>
    <w:rsid w:val="396B7F6C"/>
    <w:rsid w:val="39B417A9"/>
    <w:rsid w:val="39EB371B"/>
    <w:rsid w:val="39FC5695"/>
    <w:rsid w:val="3A006D8E"/>
    <w:rsid w:val="3A3651E5"/>
    <w:rsid w:val="3A744481"/>
    <w:rsid w:val="3A8C7BEF"/>
    <w:rsid w:val="3A906246"/>
    <w:rsid w:val="3A9735EA"/>
    <w:rsid w:val="3B18127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166B6"/>
    <w:rsid w:val="3E0D48F6"/>
    <w:rsid w:val="3E1868B4"/>
    <w:rsid w:val="3E377251"/>
    <w:rsid w:val="3E3B73FC"/>
    <w:rsid w:val="3E42664B"/>
    <w:rsid w:val="3E452517"/>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B3BF6"/>
    <w:rsid w:val="406E1CAE"/>
    <w:rsid w:val="40A0133A"/>
    <w:rsid w:val="40C31A53"/>
    <w:rsid w:val="40FF545D"/>
    <w:rsid w:val="410067C8"/>
    <w:rsid w:val="418F0D2A"/>
    <w:rsid w:val="41A33A6C"/>
    <w:rsid w:val="41D01505"/>
    <w:rsid w:val="422C7A45"/>
    <w:rsid w:val="42474939"/>
    <w:rsid w:val="424C3C57"/>
    <w:rsid w:val="42613FF3"/>
    <w:rsid w:val="42660D96"/>
    <w:rsid w:val="428667D2"/>
    <w:rsid w:val="42CD1CE0"/>
    <w:rsid w:val="42E1381E"/>
    <w:rsid w:val="42ED6459"/>
    <w:rsid w:val="42FE58DD"/>
    <w:rsid w:val="43174B3D"/>
    <w:rsid w:val="43342EA7"/>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253BE9"/>
    <w:rsid w:val="46422483"/>
    <w:rsid w:val="4659254A"/>
    <w:rsid w:val="465B0637"/>
    <w:rsid w:val="465E3F0D"/>
    <w:rsid w:val="466A16E6"/>
    <w:rsid w:val="46893F2B"/>
    <w:rsid w:val="46B154C8"/>
    <w:rsid w:val="46C4686E"/>
    <w:rsid w:val="4742659B"/>
    <w:rsid w:val="477B778F"/>
    <w:rsid w:val="478203EC"/>
    <w:rsid w:val="47B025FA"/>
    <w:rsid w:val="47D32C2B"/>
    <w:rsid w:val="4809698F"/>
    <w:rsid w:val="4811697D"/>
    <w:rsid w:val="48261956"/>
    <w:rsid w:val="487A3E25"/>
    <w:rsid w:val="488B5503"/>
    <w:rsid w:val="48937E21"/>
    <w:rsid w:val="489A0361"/>
    <w:rsid w:val="489B3DA4"/>
    <w:rsid w:val="48B94FF3"/>
    <w:rsid w:val="48E37AAB"/>
    <w:rsid w:val="48FD4B4C"/>
    <w:rsid w:val="490A68E0"/>
    <w:rsid w:val="491055FE"/>
    <w:rsid w:val="495F5B3E"/>
    <w:rsid w:val="496F77D7"/>
    <w:rsid w:val="497654FD"/>
    <w:rsid w:val="49B64211"/>
    <w:rsid w:val="49C90C9A"/>
    <w:rsid w:val="49EC789D"/>
    <w:rsid w:val="49F6167F"/>
    <w:rsid w:val="4A064FA0"/>
    <w:rsid w:val="4A16615C"/>
    <w:rsid w:val="4A4424D7"/>
    <w:rsid w:val="4AB82D0F"/>
    <w:rsid w:val="4AC32699"/>
    <w:rsid w:val="4AEB7664"/>
    <w:rsid w:val="4AFD7C19"/>
    <w:rsid w:val="4B0567D1"/>
    <w:rsid w:val="4B236AAE"/>
    <w:rsid w:val="4B707271"/>
    <w:rsid w:val="4B9739F7"/>
    <w:rsid w:val="4B983B92"/>
    <w:rsid w:val="4BEE2503"/>
    <w:rsid w:val="4C245A30"/>
    <w:rsid w:val="4CB6685F"/>
    <w:rsid w:val="4CC367FE"/>
    <w:rsid w:val="4D077F3C"/>
    <w:rsid w:val="4D123355"/>
    <w:rsid w:val="4D2A3B31"/>
    <w:rsid w:val="4D312C52"/>
    <w:rsid w:val="4D905305"/>
    <w:rsid w:val="4D964A72"/>
    <w:rsid w:val="4D9C1254"/>
    <w:rsid w:val="4DC357CA"/>
    <w:rsid w:val="4E793892"/>
    <w:rsid w:val="4E800872"/>
    <w:rsid w:val="4EC569ED"/>
    <w:rsid w:val="4ED50EA1"/>
    <w:rsid w:val="4EEC050C"/>
    <w:rsid w:val="4F104EC3"/>
    <w:rsid w:val="4F47354A"/>
    <w:rsid w:val="4F8D1C8E"/>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1E002A5"/>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5FE705D"/>
    <w:rsid w:val="56471638"/>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E4F0C"/>
    <w:rsid w:val="58B85899"/>
    <w:rsid w:val="58E363A9"/>
    <w:rsid w:val="590A536E"/>
    <w:rsid w:val="59166304"/>
    <w:rsid w:val="59285338"/>
    <w:rsid w:val="59593C54"/>
    <w:rsid w:val="595E1678"/>
    <w:rsid w:val="596D5BD4"/>
    <w:rsid w:val="597E3DD8"/>
    <w:rsid w:val="59F80043"/>
    <w:rsid w:val="5A09252F"/>
    <w:rsid w:val="5A0B2778"/>
    <w:rsid w:val="5A12111C"/>
    <w:rsid w:val="5A2A7C7B"/>
    <w:rsid w:val="5A3E2560"/>
    <w:rsid w:val="5A571A52"/>
    <w:rsid w:val="5A5D3B6E"/>
    <w:rsid w:val="5A637A76"/>
    <w:rsid w:val="5A6B71E4"/>
    <w:rsid w:val="5A6D33BA"/>
    <w:rsid w:val="5A792B1F"/>
    <w:rsid w:val="5A874767"/>
    <w:rsid w:val="5AA85BE2"/>
    <w:rsid w:val="5AAD6F28"/>
    <w:rsid w:val="5AD63A24"/>
    <w:rsid w:val="5B244EA9"/>
    <w:rsid w:val="5B2E1A1D"/>
    <w:rsid w:val="5B843A1C"/>
    <w:rsid w:val="5B873E3F"/>
    <w:rsid w:val="5C02690E"/>
    <w:rsid w:val="5C196DA7"/>
    <w:rsid w:val="5C2A048C"/>
    <w:rsid w:val="5C610E82"/>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25134"/>
    <w:rsid w:val="5E552BBA"/>
    <w:rsid w:val="5E611C10"/>
    <w:rsid w:val="5E7A0F3F"/>
    <w:rsid w:val="5EFC7377"/>
    <w:rsid w:val="5F06174D"/>
    <w:rsid w:val="5F3A3602"/>
    <w:rsid w:val="5F45733B"/>
    <w:rsid w:val="5F6277C6"/>
    <w:rsid w:val="5F6D0B1D"/>
    <w:rsid w:val="5F8D0B82"/>
    <w:rsid w:val="5FCC5339"/>
    <w:rsid w:val="5FE34A5B"/>
    <w:rsid w:val="5FFE1E36"/>
    <w:rsid w:val="60232584"/>
    <w:rsid w:val="603F391E"/>
    <w:rsid w:val="607330CE"/>
    <w:rsid w:val="60825176"/>
    <w:rsid w:val="609F2AC4"/>
    <w:rsid w:val="60FA2EE8"/>
    <w:rsid w:val="610538E1"/>
    <w:rsid w:val="61054A27"/>
    <w:rsid w:val="610A52BC"/>
    <w:rsid w:val="611D2366"/>
    <w:rsid w:val="61421856"/>
    <w:rsid w:val="615227C4"/>
    <w:rsid w:val="61654E3F"/>
    <w:rsid w:val="6182292A"/>
    <w:rsid w:val="619F7F92"/>
    <w:rsid w:val="61C23CFC"/>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7042BD"/>
    <w:rsid w:val="648B6EEF"/>
    <w:rsid w:val="64C158BF"/>
    <w:rsid w:val="64CE2EAA"/>
    <w:rsid w:val="653C3090"/>
    <w:rsid w:val="65854376"/>
    <w:rsid w:val="658767BE"/>
    <w:rsid w:val="65892531"/>
    <w:rsid w:val="65BE297B"/>
    <w:rsid w:val="66195831"/>
    <w:rsid w:val="662E75B1"/>
    <w:rsid w:val="66342C2E"/>
    <w:rsid w:val="663E784C"/>
    <w:rsid w:val="668B6A45"/>
    <w:rsid w:val="66EC52C8"/>
    <w:rsid w:val="672E3C89"/>
    <w:rsid w:val="672F3F24"/>
    <w:rsid w:val="673E055F"/>
    <w:rsid w:val="67551CE3"/>
    <w:rsid w:val="67844587"/>
    <w:rsid w:val="67A22552"/>
    <w:rsid w:val="67B22DCC"/>
    <w:rsid w:val="67BE71AA"/>
    <w:rsid w:val="67D90273"/>
    <w:rsid w:val="67DE5875"/>
    <w:rsid w:val="67DF5D02"/>
    <w:rsid w:val="67E55852"/>
    <w:rsid w:val="67EB1AB4"/>
    <w:rsid w:val="67EC6609"/>
    <w:rsid w:val="67FA1285"/>
    <w:rsid w:val="68551F4F"/>
    <w:rsid w:val="687C10C9"/>
    <w:rsid w:val="68840C16"/>
    <w:rsid w:val="68876EFB"/>
    <w:rsid w:val="68884654"/>
    <w:rsid w:val="689F444F"/>
    <w:rsid w:val="68B96DBB"/>
    <w:rsid w:val="68CA2805"/>
    <w:rsid w:val="68E937A3"/>
    <w:rsid w:val="690B1C5C"/>
    <w:rsid w:val="693E15D3"/>
    <w:rsid w:val="69627681"/>
    <w:rsid w:val="6977531D"/>
    <w:rsid w:val="69CC2BFF"/>
    <w:rsid w:val="69FD55B8"/>
    <w:rsid w:val="6A0B1C62"/>
    <w:rsid w:val="6A2406C8"/>
    <w:rsid w:val="6ADC450E"/>
    <w:rsid w:val="6ADE0BD1"/>
    <w:rsid w:val="6AE96859"/>
    <w:rsid w:val="6B147746"/>
    <w:rsid w:val="6B24787C"/>
    <w:rsid w:val="6B573233"/>
    <w:rsid w:val="6B5B6274"/>
    <w:rsid w:val="6B935D53"/>
    <w:rsid w:val="6C196F71"/>
    <w:rsid w:val="6C226FCB"/>
    <w:rsid w:val="6C31226F"/>
    <w:rsid w:val="6C552F0B"/>
    <w:rsid w:val="6C5A2BED"/>
    <w:rsid w:val="6C8C67B7"/>
    <w:rsid w:val="6C9D744C"/>
    <w:rsid w:val="6D167928"/>
    <w:rsid w:val="6D26299B"/>
    <w:rsid w:val="6D4772EC"/>
    <w:rsid w:val="6D8E4F15"/>
    <w:rsid w:val="6D9078AF"/>
    <w:rsid w:val="6DAA3FEF"/>
    <w:rsid w:val="6DC0172B"/>
    <w:rsid w:val="6DCB690C"/>
    <w:rsid w:val="6DD41A5B"/>
    <w:rsid w:val="6DF43C2E"/>
    <w:rsid w:val="6DF51CA3"/>
    <w:rsid w:val="6E8335BD"/>
    <w:rsid w:val="6E8E12EF"/>
    <w:rsid w:val="6E950175"/>
    <w:rsid w:val="6E972936"/>
    <w:rsid w:val="6ED446C5"/>
    <w:rsid w:val="6F2A7D94"/>
    <w:rsid w:val="6F6049BF"/>
    <w:rsid w:val="6F8331F1"/>
    <w:rsid w:val="6FAE1A09"/>
    <w:rsid w:val="6FD75BF8"/>
    <w:rsid w:val="6FEC154B"/>
    <w:rsid w:val="707723D0"/>
    <w:rsid w:val="709B49BB"/>
    <w:rsid w:val="70F5661B"/>
    <w:rsid w:val="71360107"/>
    <w:rsid w:val="713B688E"/>
    <w:rsid w:val="718473E1"/>
    <w:rsid w:val="71D43752"/>
    <w:rsid w:val="71F1796A"/>
    <w:rsid w:val="72154626"/>
    <w:rsid w:val="72262B5D"/>
    <w:rsid w:val="72283FF7"/>
    <w:rsid w:val="722E7212"/>
    <w:rsid w:val="723A0474"/>
    <w:rsid w:val="725923E4"/>
    <w:rsid w:val="72864BF7"/>
    <w:rsid w:val="729023FC"/>
    <w:rsid w:val="72EC3730"/>
    <w:rsid w:val="73C0646E"/>
    <w:rsid w:val="742222F5"/>
    <w:rsid w:val="74476126"/>
    <w:rsid w:val="74706664"/>
    <w:rsid w:val="747F3682"/>
    <w:rsid w:val="749C4185"/>
    <w:rsid w:val="74B165A9"/>
    <w:rsid w:val="74B7279C"/>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A71C94"/>
    <w:rsid w:val="77D1700D"/>
    <w:rsid w:val="77EC04CC"/>
    <w:rsid w:val="78775729"/>
    <w:rsid w:val="78A42DB0"/>
    <w:rsid w:val="78A656AB"/>
    <w:rsid w:val="78A8590F"/>
    <w:rsid w:val="78AA1C61"/>
    <w:rsid w:val="78B2245C"/>
    <w:rsid w:val="78B37DFB"/>
    <w:rsid w:val="78C033AE"/>
    <w:rsid w:val="78E172CC"/>
    <w:rsid w:val="78EA1D1F"/>
    <w:rsid w:val="7904172F"/>
    <w:rsid w:val="790F7E27"/>
    <w:rsid w:val="792A231A"/>
    <w:rsid w:val="79316829"/>
    <w:rsid w:val="793C5C76"/>
    <w:rsid w:val="797E66A9"/>
    <w:rsid w:val="798518A4"/>
    <w:rsid w:val="79A97383"/>
    <w:rsid w:val="79E27E8B"/>
    <w:rsid w:val="79F850CE"/>
    <w:rsid w:val="79FD443C"/>
    <w:rsid w:val="7A1D1975"/>
    <w:rsid w:val="7A3E5150"/>
    <w:rsid w:val="7A4670D6"/>
    <w:rsid w:val="7A534B63"/>
    <w:rsid w:val="7A615382"/>
    <w:rsid w:val="7A67303B"/>
    <w:rsid w:val="7A696D08"/>
    <w:rsid w:val="7AAB1D04"/>
    <w:rsid w:val="7ABA4368"/>
    <w:rsid w:val="7AD05746"/>
    <w:rsid w:val="7B257FFD"/>
    <w:rsid w:val="7B343476"/>
    <w:rsid w:val="7B5A2978"/>
    <w:rsid w:val="7B5A7E4C"/>
    <w:rsid w:val="7B667AF9"/>
    <w:rsid w:val="7B7468F8"/>
    <w:rsid w:val="7BEE0103"/>
    <w:rsid w:val="7BFC7833"/>
    <w:rsid w:val="7C0A0FE4"/>
    <w:rsid w:val="7C254906"/>
    <w:rsid w:val="7C590818"/>
    <w:rsid w:val="7C7C10F6"/>
    <w:rsid w:val="7C853BEA"/>
    <w:rsid w:val="7C881368"/>
    <w:rsid w:val="7CE27788"/>
    <w:rsid w:val="7CEE1980"/>
    <w:rsid w:val="7D0C32F1"/>
    <w:rsid w:val="7D0F408D"/>
    <w:rsid w:val="7D491C6C"/>
    <w:rsid w:val="7D5429C0"/>
    <w:rsid w:val="7D6E6D43"/>
    <w:rsid w:val="7DB57A34"/>
    <w:rsid w:val="7DD86F60"/>
    <w:rsid w:val="7DE60973"/>
    <w:rsid w:val="7DEF0916"/>
    <w:rsid w:val="7E1E5218"/>
    <w:rsid w:val="7E4B27F6"/>
    <w:rsid w:val="7E9A4E1F"/>
    <w:rsid w:val="7EA7723A"/>
    <w:rsid w:val="7EED49A3"/>
    <w:rsid w:val="7EF56FBB"/>
    <w:rsid w:val="7F0768EB"/>
    <w:rsid w:val="7F143BEC"/>
    <w:rsid w:val="7F715AF2"/>
    <w:rsid w:val="7F886E69"/>
    <w:rsid w:val="7F961E7F"/>
    <w:rsid w:val="BB7FA927"/>
    <w:rsid w:val="F5FFD31F"/>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1"/>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next w:val="1"/>
    <w:link w:val="265"/>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8"/>
    <w:qFormat/>
    <w:uiPriority w:val="0"/>
    <w:rPr>
      <w:b/>
      <w:bCs/>
    </w:rPr>
  </w:style>
  <w:style w:type="paragraph" w:styleId="61">
    <w:name w:val="Body Text First Indent 2"/>
    <w:basedOn w:val="26"/>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标题 4 Char"/>
    <w:qFormat/>
    <w:uiPriority w:val="0"/>
    <w:rPr>
      <w:rFonts w:ascii="Arial" w:hAnsi="Arial" w:eastAsia="黑体"/>
      <w:b/>
      <w:kern w:val="2"/>
      <w:sz w:val="28"/>
    </w:rPr>
  </w:style>
  <w:style w:type="paragraph" w:customStyle="1" w:styleId="80">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2">
    <w:name w:val="正文空2字"/>
    <w:basedOn w:val="83"/>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3">
    <w:name w:val="左对齐正文"/>
    <w:qFormat/>
    <w:uiPriority w:val="99"/>
    <w:rPr>
      <w:rFonts w:ascii="Calibri" w:hAnsi="Calibri" w:eastAsia="仿宋_GB2312" w:cs="Calibri"/>
      <w:kern w:val="2"/>
      <w:sz w:val="32"/>
      <w:szCs w:val="32"/>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locked/>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semiHidden/>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0"/>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
    <w:qFormat/>
    <w:locked/>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semiHidden/>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locked/>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locked/>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locked/>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2"/>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semiHidden/>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semiHidden/>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semiHidden/>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locked/>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0"/>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semiHidden/>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locked/>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6"/>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2"/>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2"/>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0"/>
    <w:next w:val="80"/>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0"/>
    <w:next w:val="80"/>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5">
    <w:name w:val="list-布谷蓝途"/>
    <w:basedOn w:val="966"/>
    <w:qFormat/>
    <w:uiPriority w:val="0"/>
    <w:pPr>
      <w:numPr>
        <w:ilvl w:val="0"/>
        <w:numId w:val="1"/>
      </w:numPr>
      <w:ind w:left="250" w:leftChars="250" w:firstLine="0" w:firstLineChars="0"/>
      <w:jc w:val="left"/>
    </w:pPr>
  </w:style>
  <w:style w:type="paragraph" w:customStyle="1" w:styleId="966">
    <w:name w:val="正文-两端对齐"/>
    <w:basedOn w:val="258"/>
    <w:qFormat/>
    <w:uiPriority w:val="0"/>
    <w:pPr>
      <w:ind w:firstLine="560"/>
    </w:pPr>
    <w:rPr>
      <w:rFonts w:ascii="仿宋" w:hAnsi="仿宋" w:eastAsia="仿宋" w:cs="仿宋"/>
      <w:sz w:val="28"/>
      <w:szCs w:val="28"/>
    </w:rPr>
  </w:style>
  <w:style w:type="paragraph" w:customStyle="1" w:styleId="967">
    <w:name w:val="T-图片"/>
    <w:basedOn w:val="759"/>
    <w:qFormat/>
    <w:uiPriority w:val="0"/>
    <w:pPr>
      <w:ind w:firstLine="0" w:firstLineChars="0"/>
      <w:jc w:val="center"/>
    </w:pPr>
    <w:rPr>
      <w:rFonts w:eastAsia="宋体"/>
    </w:rPr>
  </w:style>
  <w:style w:type="paragraph" w:customStyle="1" w:styleId="968">
    <w:name w:val="正文（1）"/>
    <w:basedOn w:val="1"/>
    <w:qFormat/>
    <w:uiPriority w:val="0"/>
    <w:pPr>
      <w:numPr>
        <w:ilvl w:val="0"/>
        <w:numId w:val="2"/>
      </w:numPr>
      <w:adjustRightInd w:val="0"/>
      <w:snapToGrid w:val="0"/>
      <w:ind w:firstLineChars="0"/>
    </w:pPr>
  </w:style>
  <w:style w:type="paragraph" w:customStyle="1" w:styleId="969">
    <w:name w:val="表格1"/>
    <w:basedOn w:val="1"/>
    <w:qFormat/>
    <w:uiPriority w:val="0"/>
    <w:pPr>
      <w:widowControl/>
      <w:spacing w:line="240" w:lineRule="auto"/>
      <w:ind w:firstLine="0" w:firstLineChars="0"/>
      <w:jc w:val="center"/>
      <w:textAlignment w:val="center"/>
    </w:pPr>
    <w:rPr>
      <w:rFonts w:hint="eastAsia" w:ascii="宋体" w:hAnsi="宋体" w:eastAsia="宋体" w:cs="宋体"/>
      <w:b/>
      <w:bCs/>
      <w:color w:val="000000"/>
      <w:kern w:val="0"/>
      <w:sz w:val="21"/>
      <w:szCs w:val="21"/>
      <w:u w:val="none"/>
      <w:lang w:bidi="ar"/>
    </w:rPr>
  </w:style>
  <w:style w:type="paragraph" w:customStyle="1" w:styleId="970">
    <w:name w:val="表格正文1"/>
    <w:basedOn w:val="1"/>
    <w:autoRedefine/>
    <w:qFormat/>
    <w:uiPriority w:val="0"/>
    <w:pPr>
      <w:snapToGrid w:val="0"/>
      <w:spacing w:line="240" w:lineRule="auto"/>
      <w:ind w:firstLine="0" w:firstLineChars="0"/>
      <w:jc w:val="center"/>
    </w:pPr>
    <w:rPr>
      <w:rFonts w:hint="eastAsia" w:cs="仿宋"/>
      <w:b/>
      <w:color w:val="auto"/>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4.jpeg"/><Relationship Id="rId32" Type="http://schemas.openxmlformats.org/officeDocument/2006/relationships/image" Target="media/image3.jpeg"/><Relationship Id="rId31" Type="http://schemas.openxmlformats.org/officeDocument/2006/relationships/image" Target="media/image2.jpeg"/><Relationship Id="rId30" Type="http://schemas.openxmlformats.org/officeDocument/2006/relationships/image" Target="media/image1.jpe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96</Pages>
  <Words>599</Words>
  <Characters>707</Characters>
  <Lines>279</Lines>
  <Paragraphs>78</Paragraphs>
  <TotalTime>1</TotalTime>
  <ScaleCrop>false</ScaleCrop>
  <LinksUpToDate>false</LinksUpToDate>
  <CharactersWithSpaces>818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2021-07-30T08:22:00Z</dcterms:created>
  <dc:creator>玥</dc:creator>
  <cp:lastModifiedBy>Royce婧</cp:lastModifiedBy>
  <cp:lastPrinted>2021-12-27T11:06:00Z</cp:lastPrinted>
  <dcterms:modified xsi:type="dcterms:W3CDTF">2024-12-27T13:30:46Z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eyJoZGlkIjoiMzEwNTM5NzYwMDRjMzkwZTVkZjY2ODkwMGIxNGU0OTUiLCJ1c2VySWQiOiI0MTA3OTMzOTQifQ==</vt:lpwstr>
  </property>
</Properties>
</file>