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rPr>
          <w:rFonts w:ascii="宋体" w:hAnsi="宋体" w:cs="宋体"/>
          <w:b/>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浙江省杭州第四中学国际部教学楼、厕所、屋</w:t>
      </w:r>
      <w:bookmarkStart w:id="1098" w:name="_GoBack"/>
      <w:bookmarkEnd w:id="1098"/>
      <w:r>
        <w:rPr>
          <w:rFonts w:hint="eastAsia" w:ascii="宋体" w:hAnsi="宋体" w:cs="宋体"/>
          <w:color w:val="auto"/>
          <w:sz w:val="48"/>
          <w:szCs w:val="48"/>
          <w:highlight w:val="none"/>
          <w:lang w:eastAsia="zh-CN"/>
        </w:rPr>
        <w:t>面等维修项目</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竞争性磋商文件</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HSZB-2024-480</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pStyle w:val="26"/>
        <w:ind w:firstLine="0"/>
        <w:rPr>
          <w:rFonts w:hAnsi="宋体" w:cs="宋体"/>
          <w:highlight w:val="none"/>
        </w:rPr>
      </w:pPr>
    </w:p>
    <w:p>
      <w:pPr>
        <w:rPr>
          <w:highlight w:val="none"/>
        </w:rPr>
      </w:pPr>
    </w:p>
    <w:p>
      <w:pPr>
        <w:spacing w:line="360" w:lineRule="auto"/>
        <w:rPr>
          <w:rFonts w:ascii="宋体" w:hAnsi="宋体" w:cs="宋体"/>
          <w:sz w:val="32"/>
          <w:szCs w:val="32"/>
          <w:highlight w:val="none"/>
        </w:rPr>
      </w:pPr>
    </w:p>
    <w:p>
      <w:pPr>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浙江省杭州第四中学</w:t>
      </w: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浙江豪圣建设项目管理有限公司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竞争性磋商公告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1280" w:firstLineChars="400"/>
        <w:rPr>
          <w:rFonts w:ascii="宋体" w:hAnsi="宋体" w:cs="宋体"/>
          <w:sz w:val="32"/>
          <w:szCs w:val="32"/>
          <w:highlight w:val="none"/>
        </w:rPr>
      </w:pP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sz w:val="24"/>
          <w:highlight w:val="none"/>
          <w:u w:val="single"/>
          <w:lang w:eastAsia="zh-CN"/>
        </w:rPr>
        <w:t>浙江省杭州第四中学国际部教学楼、厕所、屋面等维修项目</w:t>
      </w:r>
      <w:r>
        <w:rPr>
          <w:rFonts w:hint="eastAsia" w:ascii="宋体" w:hAnsi="宋体" w:cs="宋体"/>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2024年0</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sz w:val="24"/>
          <w:highlight w:val="none"/>
        </w:rPr>
      </w:pPr>
      <w:r>
        <w:rPr>
          <w:rFonts w:hint="eastAsia" w:ascii="宋体" w:hAnsi="宋体" w:cs="宋体"/>
          <w:b/>
          <w:sz w:val="24"/>
          <w:highlight w:val="none"/>
        </w:rPr>
        <w:t>一、项目基本情况</w:t>
      </w:r>
    </w:p>
    <w:p>
      <w:pPr>
        <w:snapToGrid w:val="0"/>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HSZB-2024-480</w:t>
      </w:r>
    </w:p>
    <w:p>
      <w:pPr>
        <w:snapToGrid w:val="0"/>
        <w:spacing w:line="360" w:lineRule="auto"/>
        <w:ind w:firstLine="482" w:firstLineChars="200"/>
        <w:rPr>
          <w:rFonts w:hint="eastAsia" w:ascii="宋体" w:hAnsi="宋体" w:cs="宋体"/>
          <w:color w:val="FF0000"/>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浙江省杭州第四中学国际部教学楼、厕所、屋面等维修项目</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1120000</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1118588</w:t>
      </w:r>
    </w:p>
    <w:p>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浙江省杭州第四中学国际部教学楼、厕所、屋面等维修项目</w:t>
      </w:r>
      <w:r>
        <w:rPr>
          <w:rFonts w:hint="eastAsia" w:hAnsi="宋体" w:cs="宋体"/>
          <w:bCs/>
          <w:snapToGrid/>
          <w:color w:val="auto"/>
          <w:kern w:val="2"/>
          <w:sz w:val="24"/>
          <w:szCs w:val="24"/>
          <w:highlight w:val="none"/>
        </w:rPr>
        <w:t>，具体要求详见招标内容及施工图纸技术要求。详见采购文件第三部分采购需求。</w:t>
      </w:r>
    </w:p>
    <w:p>
      <w:pPr>
        <w:pStyle w:val="131"/>
        <w:snapToGrid w:val="0"/>
        <w:spacing w:before="0"/>
        <w:ind w:firstLine="482"/>
        <w:outlineLvl w:val="2"/>
        <w:rPr>
          <w:rFonts w:ascii="宋体" w:hAnsi="宋体" w:cs="宋体"/>
          <w:color w:val="FF0000"/>
          <w:highlight w:val="none"/>
        </w:rPr>
      </w:pPr>
      <w:r>
        <w:rPr>
          <w:rFonts w:hint="eastAsia" w:ascii="宋体" w:hAnsi="宋体" w:cs="宋体"/>
          <w:b/>
          <w:color w:val="auto"/>
          <w:highlight w:val="none"/>
        </w:rPr>
        <w:t>合同履约期限：签订合同后，接到甲方开工令后</w:t>
      </w:r>
      <w:r>
        <w:rPr>
          <w:rFonts w:hint="eastAsia" w:ascii="宋体" w:hAnsi="宋体" w:cs="宋体"/>
          <w:b/>
          <w:color w:val="auto"/>
          <w:highlight w:val="none"/>
          <w:lang w:val="en-US" w:eastAsia="zh-CN"/>
        </w:rPr>
        <w:t>30</w:t>
      </w:r>
      <w:r>
        <w:rPr>
          <w:rFonts w:hint="eastAsia" w:ascii="宋体" w:hAnsi="宋体" w:cs="宋体"/>
          <w:b/>
          <w:color w:val="auto"/>
          <w:highlight w:val="none"/>
        </w:rPr>
        <w:t>日历天内完成所有工程</w:t>
      </w:r>
      <w:r>
        <w:rPr>
          <w:rFonts w:hint="eastAsia" w:ascii="宋体" w:hAnsi="宋体" w:cs="宋体"/>
          <w:b/>
          <w:bCs/>
          <w:color w:val="auto"/>
          <w:highlight w:val="none"/>
        </w:rPr>
        <w:t>。</w:t>
      </w:r>
    </w:p>
    <w:p>
      <w:pPr>
        <w:pStyle w:val="1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1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1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p>
    <w:p>
      <w:pPr>
        <w:pStyle w:val="131"/>
        <w:snapToGrid w:val="0"/>
        <w:spacing w:before="0"/>
        <w:ind w:firstLine="482"/>
        <w:outlineLvl w:val="2"/>
        <w:rPr>
          <w:rFonts w:ascii="宋体" w:hAnsi="宋体" w:cs="宋体"/>
          <w:b/>
          <w:highlight w:val="none"/>
        </w:rPr>
      </w:pPr>
      <w:r>
        <w:rPr>
          <w:rFonts w:hint="eastAsia" w:ascii="宋体" w:hAnsi="宋体" w:cs="宋体"/>
          <w:b/>
          <w:highlight w:val="none"/>
        </w:rPr>
        <w:t>注：不得限制大中型企业与小微企业组成联合体参与。</w:t>
      </w:r>
    </w:p>
    <w:p>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.以联合体形式参与的，提供联合协议(本项目不接受联合体或者供应商不以联合体形式参与的，则不需要提供)；</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187781350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
        <w:sdtPr>
          <w:rPr>
            <w:rFonts w:hint="eastAsia" w:ascii="宋体" w:hAnsi="宋体" w:cs="宋体"/>
            <w:kern w:val="0"/>
            <w:sz w:val="24"/>
            <w:highlight w:val="none"/>
          </w:rPr>
          <w:id w:val="-924730588"/>
        </w:sdtPr>
        <w:sdtEndPr>
          <w:rPr>
            <w:rFonts w:hint="eastAsia" w:ascii="宋体" w:hAnsi="宋体" w:cs="宋体"/>
            <w:kern w:val="0"/>
            <w:sz w:val="24"/>
            <w:highlight w:val="none"/>
          </w:rPr>
        </w:sdtEndPr>
        <w:sdtContent/>
      </w:sdt>
      <w:r>
        <w:rPr>
          <w:rFonts w:hint="eastAsia" w:ascii="宋体" w:hAnsi="宋体" w:cs="宋体"/>
          <w:sz w:val="24"/>
          <w:highlight w:val="none"/>
        </w:rPr>
        <w:t>工程全部由符合政策要求的中小企业承建，提供中小企业声明函；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877813504"/>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98560779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sdtContent>
          </w:sdt>
        </w:sdtContent>
      </w:sdt>
      <w:r>
        <w:rPr>
          <w:rFonts w:hint="eastAsia" w:ascii="宋体" w:hAnsi="宋体" w:cs="宋体"/>
          <w:sz w:val="24"/>
          <w:highlight w:val="none"/>
        </w:rPr>
        <w:t>工程全部由符合政策要求的小微企业承建，提供中小企业声明函；</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sz w:val="24"/>
          <w:highlight w:val="none"/>
        </w:rPr>
        <w:t>；</w:t>
      </w:r>
    </w:p>
    <w:p>
      <w:pPr>
        <w:numPr>
          <w:ilvl w:val="0"/>
          <w:numId w:val="2"/>
        </w:numPr>
        <w:spacing w:line="360" w:lineRule="auto"/>
        <w:ind w:firstLine="480" w:firstLineChars="200"/>
        <w:rPr>
          <w:rFonts w:ascii="宋体" w:hAnsi="宋体" w:cs="宋体"/>
          <w:sz w:val="24"/>
          <w:highlight w:val="none"/>
        </w:rPr>
      </w:pPr>
      <w:r>
        <w:rPr>
          <w:rFonts w:hint="eastAsia" w:ascii="宋体" w:hAnsi="宋体" w:cs="宋体"/>
          <w:sz w:val="24"/>
          <w:highlight w:val="none"/>
        </w:rPr>
        <w:t>本项目的特定资格要求：</w:t>
      </w:r>
    </w:p>
    <w:p>
      <w:pPr>
        <w:spacing w:line="360" w:lineRule="auto"/>
        <w:ind w:firstLine="480" w:firstLineChars="200"/>
        <w:rPr>
          <w:rFonts w:eastAsia="仿宋_GB2312"/>
          <w:color w:val="auto"/>
          <w:highlight w:val="none"/>
        </w:rPr>
      </w:pPr>
      <w:r>
        <w:rPr>
          <w:rFonts w:hint="eastAsia" w:ascii="宋体" w:hAnsi="宋体" w:cs="宋体"/>
          <w:color w:val="auto"/>
          <w:sz w:val="24"/>
          <w:highlight w:val="none"/>
        </w:rPr>
        <w:t>①供应商具有建筑工程施工总承包三级及以上资质；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②具有有效期内的《安全生产许可证书》；</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pPr>
        <w:spacing w:line="360" w:lineRule="auto"/>
        <w:rPr>
          <w:rFonts w:ascii="宋体" w:hAnsi="宋体" w:cs="宋体"/>
          <w:b/>
          <w:sz w:val="24"/>
          <w:highlight w:val="none"/>
        </w:rPr>
      </w:pPr>
      <w:r>
        <w:rPr>
          <w:rFonts w:hint="eastAsia" w:ascii="宋体" w:hAnsi="宋体" w:cs="宋体"/>
          <w:b/>
          <w:sz w:val="24"/>
          <w:highlight w:val="none"/>
        </w:rPr>
        <w:t>七、其他补充事宜</w:t>
      </w:r>
    </w:p>
    <w:p>
      <w:pPr>
        <w:spacing w:line="360" w:lineRule="auto"/>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b/>
          <w:bCs/>
          <w:sz w:val="24"/>
          <w:highlight w:val="none"/>
        </w:rPr>
        <w:t>《浙江省财政厅关于进一步加大政府采购 支持中小企业力度 助力扎实稳住经济 的通知》（浙财采监〔2022〕8号）</w:t>
      </w:r>
      <w:r>
        <w:rPr>
          <w:rFonts w:hint="eastAsia" w:ascii="宋体" w:hAnsi="宋体" w:cs="宋体"/>
          <w:sz w:val="24"/>
          <w:highlight w:val="none"/>
        </w:rPr>
        <w:t>已分别于2022年1月29日、2022年2月1日和2022年7月1日开始实施，此前有关规定与上述文件内容不一致的，按上述文件要求执行。</w:t>
      </w:r>
    </w:p>
    <w:p>
      <w:pPr>
        <w:spacing w:line="360" w:lineRule="auto"/>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宋体" w:hAnsi="宋体" w:cs="宋体"/>
          <w:b/>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r>
        <w:rPr>
          <w:rFonts w:hint="eastAsia" w:ascii="宋体" w:hAnsi="宋体" w:cs="宋体"/>
          <w:b/>
          <w:sz w:val="24"/>
          <w:highlight w:val="none"/>
        </w:rPr>
        <w:t>八、对本次采购提出询问、质疑、投诉，请按以下方式联系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浙江省杭州第四中学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址：杭州市下沙6号大街436号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项目联系人（询问）：谢老师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项目联系方式（询问）：0571-86579988</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质疑联系人：王老师</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质疑联系方式：0571-89730337</w:t>
      </w:r>
    </w:p>
    <w:p>
      <w:pPr>
        <w:pStyle w:val="36"/>
        <w:rPr>
          <w:highlight w:val="none"/>
        </w:rPr>
      </w:pP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名    称：浙江豪圣建设项目管理有限公司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地    址：杭州市拱墅区大关路179号远洋国际中心A座17楼1706室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传    真：/</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田旭东</w:t>
      </w:r>
      <w:r>
        <w:rPr>
          <w:rFonts w:hint="eastAsia" w:ascii="宋体" w:hAnsi="宋体" w:cs="宋体"/>
          <w:sz w:val="24"/>
          <w:highlight w:val="none"/>
        </w:rPr>
        <w:t>、曹剑斌、陈敏娇</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项目联系方式（询问）：0571-87981527</w:t>
      </w:r>
    </w:p>
    <w:p>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桑国坚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质疑联系方式：0571-56386096</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3.同级政府采购监督管理部门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称：杭州市财政局政府采购监管处 /浙江省政府采购行政裁决服务中心（杭州）</w:t>
      </w:r>
    </w:p>
    <w:p>
      <w:pPr>
        <w:spacing w:line="360" w:lineRule="auto"/>
        <w:rPr>
          <w:rFonts w:ascii="宋体" w:hAnsi="宋体" w:cs="宋体"/>
          <w:sz w:val="24"/>
          <w:highlight w:val="none"/>
        </w:rPr>
      </w:pPr>
      <w:r>
        <w:rPr>
          <w:rFonts w:hint="eastAsia" w:ascii="宋体" w:hAnsi="宋体" w:cs="宋体"/>
          <w:sz w:val="24"/>
          <w:highlight w:val="none"/>
        </w:rPr>
        <w:t xml:space="preserve">    地    址：杭州市上城区四季青街道新业路市民之家G03办公室</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pPr>
        <w:spacing w:line="360" w:lineRule="auto"/>
        <w:ind w:firstLine="480"/>
        <w:rPr>
          <w:rFonts w:ascii="宋体" w:hAnsi="宋体" w:cs="宋体"/>
          <w:sz w:val="24"/>
          <w:highlight w:val="none"/>
        </w:rPr>
      </w:pPr>
      <w:r>
        <w:rPr>
          <w:rFonts w:hint="eastAsia" w:ascii="宋体" w:hAnsi="宋体" w:cs="宋体"/>
          <w:sz w:val="24"/>
          <w:highlight w:val="none"/>
        </w:rPr>
        <w:t>监督投诉电话：电话：0571-85252453</w:t>
      </w:r>
    </w:p>
    <w:p>
      <w:pPr>
        <w:spacing w:line="360" w:lineRule="auto"/>
        <w:ind w:firstLine="480"/>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highlight w:val="none"/>
        </w:rPr>
        <w:t>95763</w:t>
      </w:r>
      <w:r>
        <w:rPr>
          <w:rFonts w:hint="eastAsia" w:ascii="宋体" w:hAnsi="宋体" w:cs="宋体"/>
          <w:sz w:val="24"/>
          <w:highlight w:val="none"/>
        </w:rPr>
        <w:t>获取热线服务帮助。</w:t>
      </w:r>
    </w:p>
    <w:p>
      <w:pPr>
        <w:snapToGrid w:val="0"/>
        <w:spacing w:line="360" w:lineRule="auto"/>
        <w:ind w:firstLine="480" w:firstLineChars="200"/>
        <w:rPr>
          <w:rFonts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highlight w:val="none"/>
        </w:rPr>
        <w:t>CA问题联系电话（人工）：汇信CA 400-888-4636；天谷CA 400-087-8198。</w:t>
      </w:r>
    </w:p>
    <w:p>
      <w:pPr>
        <w:pStyle w:val="36"/>
        <w:spacing w:line="360" w:lineRule="auto"/>
        <w:jc w:val="center"/>
        <w:rPr>
          <w:rFonts w:hAnsi="宋体" w:cs="宋体"/>
          <w:b/>
          <w:snapToGrid/>
          <w:sz w:val="36"/>
          <w:szCs w:val="20"/>
          <w:highlight w:val="none"/>
        </w:rPr>
      </w:pPr>
      <w:r>
        <w:rPr>
          <w:rFonts w:hint="eastAsia" w:hAnsi="宋体" w:cs="宋体"/>
          <w:b/>
          <w:snapToGrid/>
          <w:sz w:val="36"/>
          <w:szCs w:val="20"/>
          <w:highlight w:val="none"/>
        </w:rPr>
        <w:t>第二部分</w:t>
      </w:r>
      <w:bookmarkEnd w:id="8"/>
      <w:r>
        <w:rPr>
          <w:rFonts w:hint="eastAsia" w:hAnsi="宋体" w:cs="宋体"/>
          <w:b/>
          <w:snapToGrid/>
          <w:sz w:val="36"/>
          <w:szCs w:val="20"/>
          <w:highlight w:val="none"/>
        </w:rPr>
        <w:t xml:space="preserve"> 供应商须知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5"/>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trPr>
        <w:tc>
          <w:tcPr>
            <w:tcW w:w="714" w:type="dxa"/>
            <w:vAlign w:val="center"/>
          </w:tcPr>
          <w:p>
            <w:pPr>
              <w:snapToGrid w:val="0"/>
              <w:jc w:val="center"/>
              <w:rPr>
                <w:rFonts w:ascii="宋体" w:hAnsi="宋体" w:cs="宋体"/>
                <w:b/>
                <w:sz w:val="24"/>
                <w:highlight w:val="none"/>
              </w:rPr>
            </w:pPr>
            <w:r>
              <w:rPr>
                <w:rFonts w:hint="eastAsia" w:ascii="宋体" w:hAnsi="宋体" w:cs="宋体"/>
                <w:b/>
                <w:sz w:val="24"/>
                <w:highlight w:val="none"/>
              </w:rPr>
              <w:t>序号</w:t>
            </w:r>
          </w:p>
        </w:tc>
        <w:tc>
          <w:tcPr>
            <w:tcW w:w="2093" w:type="dxa"/>
            <w:vAlign w:val="center"/>
          </w:tcPr>
          <w:p>
            <w:pPr>
              <w:snapToGrid w:val="0"/>
              <w:jc w:val="center"/>
              <w:rPr>
                <w:rFonts w:ascii="宋体" w:hAnsi="宋体" w:cs="宋体"/>
                <w:b/>
                <w:sz w:val="24"/>
                <w:highlight w:val="none"/>
              </w:rPr>
            </w:pPr>
            <w:r>
              <w:rPr>
                <w:rFonts w:hint="eastAsia" w:ascii="宋体" w:hAnsi="宋体" w:cs="宋体"/>
                <w:b/>
                <w:sz w:val="24"/>
                <w:highlight w:val="none"/>
              </w:rPr>
              <w:t>事项</w:t>
            </w:r>
          </w:p>
        </w:tc>
        <w:tc>
          <w:tcPr>
            <w:tcW w:w="6927" w:type="dxa"/>
            <w:vAlign w:val="center"/>
          </w:tcPr>
          <w:p>
            <w:pPr>
              <w:snapToGrid w:val="0"/>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714" w:type="dxa"/>
            <w:vAlign w:val="center"/>
          </w:tcPr>
          <w:p>
            <w:pPr>
              <w:snapToGrid w:val="0"/>
              <w:jc w:val="center"/>
              <w:rPr>
                <w:rFonts w:ascii="宋体" w:hAnsi="宋体" w:cs="宋体"/>
                <w:sz w:val="24"/>
                <w:highlight w:val="none"/>
              </w:rPr>
            </w:pPr>
            <w:r>
              <w:rPr>
                <w:rFonts w:hint="eastAsia" w:ascii="宋体" w:hAnsi="宋体" w:cs="宋体"/>
                <w:sz w:val="24"/>
                <w:highlight w:val="none"/>
              </w:rPr>
              <w:t>1</w:t>
            </w:r>
          </w:p>
        </w:tc>
        <w:tc>
          <w:tcPr>
            <w:tcW w:w="2093" w:type="dxa"/>
            <w:vAlign w:val="center"/>
          </w:tcPr>
          <w:p>
            <w:pPr>
              <w:snapToGrid w:val="0"/>
              <w:jc w:val="center"/>
              <w:rPr>
                <w:rFonts w:ascii="宋体" w:hAnsi="宋体" w:cs="宋体"/>
                <w:b/>
                <w:sz w:val="24"/>
                <w:highlight w:val="none"/>
              </w:rPr>
            </w:pPr>
            <w:r>
              <w:rPr>
                <w:rFonts w:hint="eastAsia" w:ascii="宋体" w:hAnsi="宋体" w:cs="宋体"/>
                <w:b/>
                <w:sz w:val="24"/>
                <w:highlight w:val="none"/>
              </w:rPr>
              <w:t>项目属性</w:t>
            </w:r>
          </w:p>
        </w:tc>
        <w:tc>
          <w:tcPr>
            <w:tcW w:w="6927" w:type="dxa"/>
            <w:vAlign w:val="center"/>
          </w:tcPr>
          <w:p>
            <w:pPr>
              <w:rPr>
                <w:rFonts w:ascii="宋体" w:hAnsi="宋体" w:cs="宋体"/>
                <w:sz w:val="24"/>
                <w:highlight w:val="none"/>
              </w:rPr>
            </w:pPr>
            <w:r>
              <w:rPr>
                <w:rFonts w:hint="eastAsia" w:ascii="宋体" w:hAnsi="宋体" w:cs="宋体"/>
                <w:kern w:val="0"/>
                <w:sz w:val="24"/>
                <w:highlight w:val="none"/>
              </w:rPr>
              <w:t>工程</w:t>
            </w:r>
            <w:r>
              <w:rPr>
                <w:rFonts w:hint="eastAsia" w:ascii="宋体" w:hAnsi="宋体" w:cs="宋体"/>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27" w:type="dxa"/>
            <w:vAlign w:val="center"/>
          </w:tcPr>
          <w:p>
            <w:pPr>
              <w:numPr>
                <w:ilvl w:val="0"/>
                <w:numId w:val="3"/>
              </w:numPr>
              <w:snapToGrid w:val="0"/>
              <w:spacing w:line="360" w:lineRule="auto"/>
              <w:rPr>
                <w:rFonts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lang w:eastAsia="zh-CN"/>
              </w:rPr>
              <w:t>浙江省杭州第四中学国际部教学楼、厕所、屋面等维修项目</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w:t>
            </w:r>
          </w:p>
          <w:p>
            <w:pPr>
              <w:snapToGrid w:val="0"/>
              <w:spacing w:line="360" w:lineRule="auto"/>
              <w:rPr>
                <w:rFonts w:ascii="宋体" w:hAnsi="宋体" w:cs="宋体"/>
                <w:highlight w:val="none"/>
              </w:rPr>
            </w:pPr>
            <w:r>
              <w:rPr>
                <w:rFonts w:hint="eastAsia" w:ascii="宋体" w:hAnsi="宋体" w:cs="宋体"/>
                <w:kern w:val="0"/>
                <w:sz w:val="24"/>
                <w:highlight w:val="none"/>
              </w:rPr>
              <w:t>（</w:t>
            </w:r>
            <w:r>
              <w:rPr>
                <w:rFonts w:ascii="宋体" w:hAnsi="宋体" w:cs="宋体"/>
                <w:kern w:val="0"/>
                <w:sz w:val="24"/>
                <w:highlight w:val="none"/>
              </w:rPr>
              <w:t xml:space="preserve">2）《关于印发中小企业划型标准规定的通知》（工信部联企业〔2011〕300）第（十六）条：营业收入 80000 </w:t>
            </w:r>
            <w:r>
              <w:rPr>
                <w:rFonts w:hint="eastAsia" w:ascii="宋体" w:hAnsi="宋体" w:cs="宋体"/>
                <w:kern w:val="0"/>
                <w:sz w:val="24"/>
                <w:highlight w:val="none"/>
              </w:rPr>
              <w:t>万元以下或资产总额</w:t>
            </w:r>
            <w:r>
              <w:rPr>
                <w:rFonts w:ascii="宋体" w:hAnsi="宋体" w:cs="宋体"/>
                <w:kern w:val="0"/>
                <w:sz w:val="24"/>
                <w:highlight w:val="none"/>
              </w:rPr>
              <w:t xml:space="preserve"> 80000 </w:t>
            </w:r>
            <w:r>
              <w:rPr>
                <w:rFonts w:hint="eastAsia" w:ascii="宋体" w:hAnsi="宋体" w:cs="宋体"/>
                <w:kern w:val="0"/>
                <w:sz w:val="24"/>
                <w:highlight w:val="none"/>
              </w:rPr>
              <w:t>万元以下的为中小微型企业。其中，营业收入</w:t>
            </w:r>
            <w:r>
              <w:rPr>
                <w:rFonts w:ascii="宋体" w:hAnsi="宋体" w:cs="宋体"/>
                <w:kern w:val="0"/>
                <w:sz w:val="24"/>
                <w:highlight w:val="none"/>
              </w:rPr>
              <w:t xml:space="preserve"> 6000 </w:t>
            </w:r>
            <w:r>
              <w:rPr>
                <w:rFonts w:hint="eastAsia" w:ascii="宋体" w:hAnsi="宋体" w:cs="宋体"/>
                <w:kern w:val="0"/>
                <w:sz w:val="24"/>
                <w:highlight w:val="none"/>
              </w:rPr>
              <w:t>万元及以上，且资产总额</w:t>
            </w:r>
            <w:r>
              <w:rPr>
                <w:rFonts w:ascii="宋体" w:hAnsi="宋体" w:cs="宋体"/>
                <w:kern w:val="0"/>
                <w:sz w:val="24"/>
                <w:highlight w:val="none"/>
              </w:rPr>
              <w:t xml:space="preserve"> 5000 </w:t>
            </w:r>
            <w:r>
              <w:rPr>
                <w:rFonts w:hint="eastAsia" w:ascii="宋体" w:hAnsi="宋体" w:cs="宋体"/>
                <w:kern w:val="0"/>
                <w:sz w:val="24"/>
                <w:highlight w:val="none"/>
              </w:rPr>
              <w:t>万元及以上的为中型企业；营业收入</w:t>
            </w:r>
            <w:r>
              <w:rPr>
                <w:rFonts w:ascii="宋体" w:hAnsi="宋体" w:cs="宋体"/>
                <w:kern w:val="0"/>
                <w:sz w:val="24"/>
                <w:highlight w:val="none"/>
              </w:rPr>
              <w:t xml:space="preserve"> 300 </w:t>
            </w:r>
            <w:r>
              <w:rPr>
                <w:rFonts w:hint="eastAsia" w:ascii="宋体" w:hAnsi="宋体" w:cs="宋体"/>
                <w:kern w:val="0"/>
                <w:sz w:val="24"/>
                <w:highlight w:val="none"/>
              </w:rPr>
              <w:t>万元及以上，且资产总额</w:t>
            </w:r>
            <w:r>
              <w:rPr>
                <w:rFonts w:ascii="宋体" w:hAnsi="宋体" w:cs="宋体"/>
                <w:kern w:val="0"/>
                <w:sz w:val="24"/>
                <w:highlight w:val="none"/>
              </w:rPr>
              <w:t xml:space="preserve"> 300 </w:t>
            </w:r>
            <w:r>
              <w:rPr>
                <w:rFonts w:hint="eastAsia" w:ascii="宋体" w:hAnsi="宋体" w:cs="宋体"/>
                <w:kern w:val="0"/>
                <w:sz w:val="24"/>
                <w:highlight w:val="none"/>
              </w:rPr>
              <w:t>万元及以上的为小型企业；营业收入</w:t>
            </w:r>
            <w:r>
              <w:rPr>
                <w:rFonts w:ascii="宋体" w:hAnsi="宋体" w:cs="宋体"/>
                <w:kern w:val="0"/>
                <w:sz w:val="24"/>
                <w:highlight w:val="none"/>
              </w:rPr>
              <w:t xml:space="preserve"> 300 </w:t>
            </w:r>
            <w:r>
              <w:rPr>
                <w:rFonts w:hint="eastAsia" w:ascii="宋体" w:hAnsi="宋体" w:cs="宋体"/>
                <w:kern w:val="0"/>
                <w:sz w:val="24"/>
                <w:highlight w:val="none"/>
              </w:rPr>
              <w:t>万元以下或资产总额</w:t>
            </w:r>
            <w:r>
              <w:rPr>
                <w:rFonts w:ascii="宋体" w:hAnsi="宋体" w:cs="宋体"/>
                <w:kern w:val="0"/>
                <w:sz w:val="24"/>
                <w:highlight w:val="none"/>
              </w:rPr>
              <w:t xml:space="preserve"> 300 </w:t>
            </w:r>
            <w:r>
              <w:rPr>
                <w:rFonts w:hint="eastAsia" w:ascii="宋体" w:hAnsi="宋体" w:cs="宋体"/>
                <w:kern w:val="0"/>
                <w:sz w:val="24"/>
                <w:highlight w:val="none"/>
              </w:rPr>
              <w:t>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927" w:type="dxa"/>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927"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477286927"/>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劳务分包</w:t>
            </w:r>
            <w:r>
              <w:rPr>
                <w:rFonts w:hint="eastAsia" w:ascii="宋体" w:hAnsi="宋体" w:cs="宋体"/>
                <w:sz w:val="24"/>
                <w:highlight w:val="none"/>
              </w:rPr>
              <w:t>工作分包。</w:t>
            </w:r>
          </w:p>
          <w:p>
            <w:pPr>
              <w:spacing w:line="360" w:lineRule="auto"/>
              <w:rPr>
                <w:rFonts w:ascii="宋体" w:hAnsi="宋体" w:cs="宋体"/>
                <w:sz w:val="24"/>
                <w:highlight w:val="none"/>
              </w:rPr>
            </w:pPr>
            <w:sdt>
              <w:sdtPr>
                <w:rPr>
                  <w:rFonts w:hint="eastAsia" w:ascii="宋体" w:hAnsi="宋体" w:cs="宋体"/>
                  <w:kern w:val="0"/>
                  <w:sz w:val="24"/>
                  <w:highlight w:val="none"/>
                </w:rPr>
                <w:id w:val="-1276331357"/>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不同意分包，具体理由：。</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86" w:hRule="atLeast"/>
        </w:trPr>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w:t>
            </w:r>
            <w:r>
              <w:rPr>
                <w:rFonts w:hint="eastAsia" w:ascii="宋体" w:hAnsi="宋体" w:cs="宋体"/>
                <w:color w:val="auto"/>
                <w:kern w:val="0"/>
                <w:sz w:val="24"/>
                <w:highlight w:val="none"/>
                <w:lang w:val="en-US" w:eastAsia="zh-CN"/>
              </w:rPr>
              <w:t>踏勘</w:t>
            </w:r>
            <w:r>
              <w:rPr>
                <w:rFonts w:hint="eastAsia" w:ascii="宋体" w:hAnsi="宋体" w:cs="宋体"/>
                <w:color w:val="auto"/>
                <w:kern w:val="0"/>
                <w:sz w:val="24"/>
                <w:highlight w:val="none"/>
              </w:rPr>
              <w:t>，</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p>
          <w:p>
            <w:pPr>
              <w:spacing w:line="360" w:lineRule="auto"/>
              <w:rPr>
                <w:rFonts w:hint="default"/>
                <w:color w:val="auto"/>
                <w:highlight w:val="none"/>
                <w:lang w:val="en-US" w:eastAsia="zh-CN"/>
              </w:rPr>
            </w:pPr>
            <w:r>
              <w:rPr>
                <w:rFonts w:hint="eastAsia" w:ascii="宋体" w:hAnsi="宋体" w:eastAsia="宋体" w:cs="宋体"/>
                <w:snapToGrid w:val="0"/>
                <w:color w:val="auto"/>
                <w:kern w:val="28"/>
                <w:sz w:val="24"/>
                <w:highlight w:val="none"/>
                <w:lang w:val="en-US" w:eastAsia="zh-CN"/>
              </w:rPr>
              <w:t>1、任何因忽视或误解项目实地情况及未踏勘造成的风险损失及不利影响均由投标人自身承担；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927"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2093" w:type="dxa"/>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927"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（1）在评审时安排每个供应商进行方案讲解演示。每个供应商时间不超过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分钟，讲解次序以响应文件解密时间先后次序为准，讲解演示人员不超过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人。讲解演示结束后按要求解答磋商小组提问。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2093" w:type="dxa"/>
            <w:vMerge w:val="restart"/>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927" w:type="dxa"/>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（1）资格证明文件：见采购文件第二部分11.1。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highlight w:val="none"/>
              </w:rPr>
            </w:pPr>
          </w:p>
        </w:tc>
        <w:tc>
          <w:tcPr>
            <w:tcW w:w="2093" w:type="dxa"/>
            <w:vMerge w:val="continue"/>
            <w:vAlign w:val="center"/>
          </w:tcPr>
          <w:p>
            <w:pPr>
              <w:snapToGrid w:val="0"/>
              <w:spacing w:line="360" w:lineRule="auto"/>
              <w:jc w:val="center"/>
              <w:rPr>
                <w:rFonts w:ascii="宋体" w:hAnsi="宋体" w:cs="宋体"/>
                <w:b/>
                <w:sz w:val="24"/>
                <w:highlight w:val="none"/>
              </w:rPr>
            </w:pPr>
          </w:p>
        </w:tc>
        <w:tc>
          <w:tcPr>
            <w:tcW w:w="6927" w:type="dxa"/>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927" w:type="dxa"/>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927" w:type="dxa"/>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报价单是报价的唯一载体</w:t>
            </w:r>
            <w:r>
              <w:rPr>
                <w:rFonts w:hint="eastAsia" w:ascii="宋体" w:hAnsi="宋体" w:cs="宋体"/>
                <w:kern w:val="0"/>
                <w:sz w:val="24"/>
                <w:highlight w:val="none"/>
                <w:lang w:val="zh-CN"/>
              </w:rPr>
              <w:t>。响应文件中价格全部采用人民币报价。采购文件未列明，而供应商认为必需的费用也需列入报价。</w:t>
            </w:r>
            <w:r>
              <w:rPr>
                <w:rFonts w:hint="eastAsia" w:ascii="宋体" w:hAnsi="宋体" w:cs="宋体"/>
                <w:b/>
                <w:kern w:val="0"/>
                <w:sz w:val="24"/>
                <w:highlight w:val="none"/>
                <w:lang w:val="zh-CN"/>
              </w:rPr>
              <w:t>提醒：验收时检测费用由采购人承担，不包含在总价中。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响应文件出现不是唯一的、有选择性最后报价的；</w:t>
            </w:r>
          </w:p>
          <w:p>
            <w:pPr>
              <w:snapToGrid w:val="0"/>
              <w:spacing w:line="360" w:lineRule="auto"/>
              <w:ind w:firstLine="241" w:firstLineChars="100"/>
              <w:jc w:val="left"/>
              <w:rPr>
                <w:highlight w:val="none"/>
              </w:rPr>
            </w:pPr>
            <w:r>
              <w:rPr>
                <w:rFonts w:hint="eastAsia" w:ascii="宋体" w:hAnsi="宋体" w:cs="宋体"/>
                <w:b/>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927" w:type="dxa"/>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8" w:hRule="atLeast"/>
        </w:trPr>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备份响应文件送达地点和签收人员</w:t>
            </w:r>
          </w:p>
        </w:tc>
        <w:tc>
          <w:tcPr>
            <w:tcW w:w="6927" w:type="dxa"/>
            <w:vAlign w:val="center"/>
          </w:tcPr>
          <w:p>
            <w:pPr>
              <w:pStyle w:val="36"/>
              <w:spacing w:line="360" w:lineRule="auto"/>
              <w:rPr>
                <w:rFonts w:hAnsi="宋体" w:cs="宋体"/>
                <w:kern w:val="28"/>
                <w:sz w:val="24"/>
                <w:szCs w:val="24"/>
                <w:highlight w:val="none"/>
              </w:rPr>
            </w:pPr>
            <w:r>
              <w:rPr>
                <w:rFonts w:hint="eastAsia" w:hAnsi="宋体" w:cs="宋体"/>
                <w:kern w:val="28"/>
                <w:sz w:val="24"/>
                <w:szCs w:val="24"/>
                <w:highlight w:val="none"/>
              </w:rPr>
              <w:t>备份响应文件送达地点：</w:t>
            </w:r>
            <w:r>
              <w:rPr>
                <w:rFonts w:hint="eastAsia" w:hAnsi="宋体" w:cs="宋体"/>
                <w:sz w:val="24"/>
                <w:highlight w:val="none"/>
                <w:u w:val="single"/>
              </w:rPr>
              <w:t>杭州市拱墅区大关路179号远洋国际中心A座17楼1706室</w:t>
            </w:r>
            <w:r>
              <w:rPr>
                <w:rFonts w:hint="eastAsia" w:hAnsi="宋体" w:cs="宋体"/>
                <w:kern w:val="28"/>
                <w:sz w:val="24"/>
                <w:szCs w:val="24"/>
                <w:highlight w:val="none"/>
              </w:rPr>
              <w:t>；</w:t>
            </w:r>
          </w:p>
          <w:p>
            <w:pPr>
              <w:pStyle w:val="36"/>
              <w:spacing w:line="360" w:lineRule="auto"/>
              <w:rPr>
                <w:rFonts w:hAnsi="宋体" w:cs="宋体"/>
                <w:sz w:val="24"/>
                <w:szCs w:val="24"/>
                <w:highlight w:val="none"/>
              </w:rPr>
            </w:pPr>
            <w:r>
              <w:rPr>
                <w:rFonts w:hint="eastAsia" w:hAnsi="宋体" w:cs="宋体"/>
                <w:kern w:val="28"/>
                <w:sz w:val="24"/>
                <w:szCs w:val="24"/>
                <w:highlight w:val="none"/>
              </w:rPr>
              <w:t>备份响应文件签收人员联系电话：</w:t>
            </w:r>
            <w:r>
              <w:rPr>
                <w:rFonts w:hint="eastAsia" w:hAnsi="宋体" w:cs="宋体"/>
                <w:sz w:val="24"/>
                <w:highlight w:val="none"/>
                <w:u w:val="single"/>
                <w:lang w:val="en-US" w:eastAsia="zh-CN"/>
              </w:rPr>
              <w:t>田旭东</w:t>
            </w:r>
            <w:r>
              <w:rPr>
                <w:rFonts w:hint="eastAsia" w:hAnsi="宋体" w:cs="宋体"/>
                <w:sz w:val="24"/>
                <w:highlight w:val="none"/>
                <w:u w:val="single"/>
              </w:rPr>
              <w:t>，0571-87981527</w:t>
            </w:r>
            <w:r>
              <w:rPr>
                <w:rFonts w:hint="eastAsia" w:hAnsi="宋体" w:cs="宋体"/>
                <w:sz w:val="24"/>
                <w:szCs w:val="24"/>
                <w:highlight w:val="none"/>
              </w:rPr>
              <w:t>。</w:t>
            </w:r>
          </w:p>
          <w:p>
            <w:pPr>
              <w:pStyle w:val="36"/>
              <w:spacing w:line="360" w:lineRule="auto"/>
              <w:rPr>
                <w:rFonts w:hAnsi="宋体" w:cs="宋体"/>
                <w:kern w:val="28"/>
                <w:sz w:val="24"/>
                <w:highlight w:val="none"/>
              </w:rPr>
            </w:pPr>
            <w:r>
              <w:rPr>
                <w:rFonts w:hint="eastAsia" w:hAnsi="宋体" w:cs="宋体"/>
                <w:b/>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6" w:hRule="atLeast"/>
        </w:trPr>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其它说明</w:t>
            </w:r>
          </w:p>
        </w:tc>
        <w:tc>
          <w:tcPr>
            <w:tcW w:w="6927" w:type="dxa"/>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pPr>
              <w:numPr>
                <w:ilvl w:val="0"/>
                <w:numId w:val="0"/>
              </w:numPr>
              <w:autoSpaceDE w:val="0"/>
              <w:autoSpaceDN w:val="0"/>
              <w:adjustRightInd/>
              <w:snapToGrid w:val="0"/>
              <w:spacing w:line="440" w:lineRule="exact"/>
              <w:ind w:leftChars="0"/>
              <w:textAlignment w:val="bottom"/>
              <w:rPr>
                <w:rFonts w:hint="eastAsia" w:ascii="宋体" w:hAnsi="宋体" w:cs="宋体"/>
                <w:snapToGrid w:val="0"/>
                <w:kern w:val="28"/>
                <w:sz w:val="24"/>
                <w:highlight w:val="none"/>
                <w:lang w:eastAsia="zh-CN"/>
              </w:rPr>
            </w:pPr>
            <w:r>
              <w:rPr>
                <w:rFonts w:hint="eastAsia" w:ascii="宋体" w:hAnsi="宋体" w:cs="宋体"/>
                <w:b/>
                <w:bCs/>
                <w:snapToGrid w:val="0"/>
                <w:kern w:val="28"/>
                <w:sz w:val="24"/>
                <w:highlight w:val="none"/>
                <w:lang w:eastAsia="zh-CN"/>
              </w:rPr>
              <w:t>本项目采购代理服务费</w:t>
            </w:r>
            <w:r>
              <w:rPr>
                <w:rFonts w:hint="eastAsia" w:ascii="宋体" w:hAnsi="宋体" w:cs="宋体"/>
                <w:snapToGrid w:val="0"/>
                <w:kern w:val="28"/>
                <w:sz w:val="24"/>
                <w:highlight w:val="none"/>
                <w:lang w:eastAsia="zh-CN"/>
              </w:rPr>
              <w:t>收费标准参照国家计委《招标代理服务收费管理暂行办法》（计价格[2002]1980号）文件及国家发改委下发的《关于降低部分建设项目收费标准规范收费行为等有关问题的通知》（发改价格[2011]534号）规定的收取标准的80%计取，不足5000元时按5000元收取，以中标价为计算基数。由中标人在领取中标通知书时支付给招标代理机构。该费用在投标文件中不单列，由中标人在投标总报价中综合考虑。</w:t>
            </w:r>
          </w:p>
          <w:p>
            <w:pPr>
              <w:spacing w:line="360" w:lineRule="auto"/>
              <w:rPr>
                <w:rFonts w:ascii="宋体" w:hAnsi="宋体" w:cs="宋体"/>
                <w:snapToGrid w:val="0"/>
                <w:color w:val="auto"/>
                <w:kern w:val="28"/>
                <w:sz w:val="24"/>
                <w:highlight w:val="none"/>
              </w:rPr>
            </w:pPr>
            <w:r>
              <w:rPr>
                <w:rFonts w:hint="eastAsia" w:ascii="宋体" w:hAnsi="宋体" w:cs="宋体"/>
                <w:b/>
                <w:bCs/>
                <w:snapToGrid w:val="0"/>
                <w:kern w:val="28"/>
                <w:sz w:val="24"/>
                <w:highlight w:val="none"/>
                <w:lang w:eastAsia="zh-CN"/>
              </w:rPr>
              <w:t>工程造价咨询服务费</w:t>
            </w:r>
            <w:r>
              <w:rPr>
                <w:rFonts w:hint="eastAsia" w:ascii="宋体" w:hAnsi="宋体" w:cs="宋体"/>
                <w:snapToGrid w:val="0"/>
                <w:kern w:val="28"/>
                <w:sz w:val="24"/>
                <w:highlight w:val="none"/>
                <w:lang w:eastAsia="zh-CN"/>
              </w:rPr>
              <w:t>(工程量清单及预算、招标控制价的编制或审核费用)：按照浙建价协(2021)13 号文件规定的相应项目收费标准 80%计取。造价咨询费单个保底收费3000元。由中标人在领取中标通知书时支付给招标代理机构。该费用在投标文件中不单列，由中标人在投标总报价中综合考虑。</w:t>
            </w:r>
          </w:p>
        </w:tc>
      </w:tr>
    </w:tbl>
    <w:p>
      <w:pPr>
        <w:snapToGrid w:val="0"/>
        <w:spacing w:line="360" w:lineRule="auto"/>
        <w:jc w:val="center"/>
        <w:rPr>
          <w:rFonts w:ascii="宋体" w:hAnsi="宋体" w:cs="宋体"/>
          <w:b/>
          <w:sz w:val="32"/>
          <w:szCs w:val="20"/>
          <w:highlight w:val="none"/>
        </w:rPr>
      </w:pPr>
    </w:p>
    <w:bookmarkEnd w:id="10"/>
    <w:p>
      <w:pPr>
        <w:widowControl/>
        <w:adjustRightInd/>
        <w:jc w:val="left"/>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br w:type="page"/>
      </w: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highlight w:val="none"/>
        </w:rPr>
      </w:pPr>
      <w:r>
        <w:rPr>
          <w:rFonts w:hint="eastAsia" w:ascii="宋体" w:hAnsi="宋体" w:cs="宋体"/>
          <w:b/>
          <w:sz w:val="24"/>
          <w:highlight w:val="none"/>
        </w:rPr>
        <w:t>2.定义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pPr>
        <w:snapToGrid w:val="0"/>
        <w:spacing w:line="360" w:lineRule="auto"/>
        <w:rPr>
          <w:rFonts w:ascii="宋体" w:hAnsi="宋体" w:cs="宋体"/>
          <w:b/>
          <w:sz w:val="24"/>
          <w:highlight w:val="none"/>
        </w:rPr>
      </w:pPr>
      <w:r>
        <w:rPr>
          <w:rFonts w:hint="eastAsia" w:ascii="宋体" w:hAnsi="宋体" w:cs="宋体"/>
          <w:b/>
          <w:sz w:val="24"/>
          <w:highlight w:val="none"/>
        </w:rPr>
        <w:t>3.采购项目需要落实的政府采购政策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highlight w:val="none"/>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highlight w:val="none"/>
        </w:rPr>
        <w:t>联合协议或者分包意向协议约定小微企业的合同份额占到合同总金额30%以上的</w:t>
      </w:r>
      <w:bookmarkEnd w:id="15"/>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6"/>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pPr>
        <w:pStyle w:val="36"/>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6"/>
        <w:snapToGrid w:val="0"/>
        <w:spacing w:line="360" w:lineRule="auto"/>
        <w:ind w:firstLine="480" w:firstLineChars="200"/>
        <w:rPr>
          <w:rFonts w:hAnsi="宋体" w:cs="宋体"/>
          <w:sz w:val="24"/>
          <w:highlight w:val="none"/>
        </w:rPr>
      </w:pPr>
      <w:r>
        <w:rPr>
          <w:rFonts w:hint="eastAsia" w:hAnsi="宋体" w:cs="宋体"/>
          <w:sz w:val="24"/>
          <w:highlight w:val="none"/>
        </w:rPr>
        <w:t>4.3.2.2对采购过程提出质疑的，质疑期限为各采购程序环节结束之日起计算。</w:t>
      </w:r>
    </w:p>
    <w:p>
      <w:pPr>
        <w:pStyle w:val="36"/>
        <w:snapToGrid w:val="0"/>
        <w:spacing w:line="360" w:lineRule="auto"/>
        <w:ind w:firstLine="480" w:firstLineChars="200"/>
        <w:rPr>
          <w:rFonts w:hAnsi="宋体" w:cs="宋体"/>
          <w:sz w:val="24"/>
          <w:highlight w:val="none"/>
        </w:rPr>
      </w:pPr>
      <w:r>
        <w:rPr>
          <w:rFonts w:hint="eastAsia" w:hAnsi="宋体" w:cs="宋体"/>
          <w:sz w:val="24"/>
          <w:highlight w:val="none"/>
        </w:rPr>
        <w:t>4.3.2.3对采购结果提出质疑的，质疑期限自采购结果公告期限届满之日起计算。</w:t>
      </w:r>
    </w:p>
    <w:p>
      <w:pPr>
        <w:pStyle w:val="36"/>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4.3.3.2质疑项目的名称、编号；</w:t>
      </w:r>
    </w:p>
    <w:p>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4.3.3.4事实依据；</w:t>
      </w:r>
    </w:p>
    <w:p>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4.3.3.5必要的法律依据；</w:t>
      </w:r>
    </w:p>
    <w:p>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highlight w:val="none"/>
        </w:rPr>
      </w:pPr>
      <w:r>
        <w:rPr>
          <w:rFonts w:hint="eastAsia" w:asciiTheme="minorEastAsia" w:hAnsiTheme="minorEastAsia" w:eastAsiaTheme="minorEastAsia"/>
          <w:highlight w:val="none"/>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pPr>
        <w:pStyle w:val="131"/>
        <w:snapToGrid w:val="0"/>
        <w:spacing w:before="0"/>
        <w:ind w:firstLine="360"/>
        <w:rPr>
          <w:rFonts w:ascii="宋体" w:hAnsi="宋体" w:cs="宋体"/>
          <w:sz w:val="18"/>
          <w:szCs w:val="18"/>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二、采购文件的构成、澄清、修改</w:t>
      </w:r>
    </w:p>
    <w:p>
      <w:pPr>
        <w:pStyle w:val="36"/>
        <w:spacing w:line="360" w:lineRule="auto"/>
        <w:rPr>
          <w:rFonts w:hAnsi="宋体" w:cs="宋体"/>
          <w:b/>
          <w:sz w:val="24"/>
          <w:szCs w:val="24"/>
          <w:highlight w:val="none"/>
        </w:rPr>
      </w:pPr>
      <w:r>
        <w:rPr>
          <w:rFonts w:hint="eastAsia" w:hAnsi="宋体" w:cs="宋体"/>
          <w:b/>
          <w:sz w:val="24"/>
          <w:szCs w:val="24"/>
          <w:highlight w:val="none"/>
        </w:rPr>
        <w:t>5．采购文件的构成</w:t>
      </w:r>
    </w:p>
    <w:p>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pPr>
        <w:pStyle w:val="36"/>
        <w:spacing w:line="360" w:lineRule="auto"/>
        <w:rPr>
          <w:rFonts w:hAnsi="宋体" w:cs="宋体"/>
          <w:b/>
          <w:sz w:val="24"/>
          <w:szCs w:val="24"/>
          <w:highlight w:val="none"/>
        </w:rPr>
      </w:pPr>
      <w:r>
        <w:rPr>
          <w:rFonts w:hint="eastAsia" w:hAnsi="宋体" w:cs="宋体"/>
          <w:b/>
          <w:sz w:val="24"/>
          <w:szCs w:val="24"/>
          <w:highlight w:val="none"/>
        </w:rPr>
        <w:t>6. 采购文件的澄清、修改</w:t>
      </w:r>
    </w:p>
    <w:p>
      <w:pPr>
        <w:pStyle w:val="131"/>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6.1已获取采购文件的潜在供应商，若有问题需要澄清，应于响应文件提交（上传）截止时间前，以书面形式向采购代理机构提出。</w:t>
      </w:r>
    </w:p>
    <w:p>
      <w:pPr>
        <w:pStyle w:val="131"/>
        <w:snapToGrid w:val="0"/>
        <w:spacing w:before="0"/>
        <w:ind w:firstLine="480"/>
        <w:rPr>
          <w:rFonts w:ascii="宋体" w:hAnsi="宋体" w:cs="宋体"/>
          <w:highlight w:val="none"/>
        </w:rPr>
      </w:pPr>
      <w:r>
        <w:rPr>
          <w:rFonts w:hint="eastAsia" w:ascii="宋体" w:hAnsi="宋体" w:cs="宋体"/>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5"/>
        <w:rPr>
          <w:rFonts w:hAnsi="宋体" w:cs="宋体"/>
          <w:sz w:val="18"/>
          <w:szCs w:val="18"/>
          <w:highlight w:val="none"/>
          <w:lang w:val="en-US"/>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三、提交响应文件</w:t>
      </w:r>
    </w:p>
    <w:p>
      <w:pPr>
        <w:pStyle w:val="36"/>
        <w:spacing w:line="360" w:lineRule="auto"/>
        <w:rPr>
          <w:rFonts w:hAnsi="宋体" w:cs="宋体"/>
          <w:b/>
          <w:sz w:val="24"/>
          <w:szCs w:val="24"/>
          <w:highlight w:val="none"/>
        </w:rPr>
      </w:pPr>
      <w:r>
        <w:rPr>
          <w:rFonts w:hint="eastAsia" w:hAnsi="宋体" w:cs="宋体"/>
          <w:b/>
          <w:sz w:val="24"/>
          <w:szCs w:val="24"/>
          <w:highlight w:val="none"/>
        </w:rPr>
        <w:t>7. 采购文件的获取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pPr>
        <w:pStyle w:val="36"/>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pPr>
        <w:pStyle w:val="36"/>
        <w:spacing w:line="360" w:lineRule="auto"/>
        <w:rPr>
          <w:rFonts w:hAnsi="宋体" w:cs="宋体"/>
          <w:b/>
          <w:szCs w:val="24"/>
          <w:highlight w:val="none"/>
        </w:rPr>
      </w:pPr>
      <w:r>
        <w:rPr>
          <w:rFonts w:hint="eastAsia" w:hAnsi="宋体" w:cs="宋体"/>
          <w:b/>
          <w:kern w:val="28"/>
          <w:sz w:val="24"/>
          <w:szCs w:val="24"/>
          <w:highlight w:val="none"/>
        </w:rPr>
        <w:t>9.磋商保证金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6"/>
        <w:spacing w:line="360" w:lineRule="auto"/>
        <w:rPr>
          <w:rFonts w:hAnsi="宋体" w:cs="宋体"/>
          <w:b/>
          <w:sz w:val="24"/>
          <w:szCs w:val="24"/>
          <w:highlight w:val="none"/>
        </w:rPr>
      </w:pPr>
      <w:r>
        <w:rPr>
          <w:rFonts w:hint="eastAsia" w:hAnsi="宋体" w:cs="宋体"/>
          <w:b/>
          <w:sz w:val="24"/>
          <w:szCs w:val="24"/>
          <w:highlight w:val="none"/>
        </w:rPr>
        <w:t>10. 响应文件的语言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pPr>
        <w:pStyle w:val="36"/>
        <w:spacing w:line="360" w:lineRule="auto"/>
        <w:rPr>
          <w:rFonts w:hAnsi="宋体" w:cs="宋体"/>
          <w:b/>
          <w:sz w:val="24"/>
          <w:szCs w:val="24"/>
          <w:highlight w:val="none"/>
        </w:rPr>
      </w:pPr>
      <w:r>
        <w:rPr>
          <w:rFonts w:hint="eastAsia" w:hAnsi="宋体" w:cs="宋体"/>
          <w:b/>
          <w:sz w:val="24"/>
          <w:szCs w:val="24"/>
          <w:highlight w:val="none"/>
        </w:rPr>
        <w:t>11. 响应文件的组成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6" w:name="_Hlk101259339"/>
      <w:r>
        <w:rPr>
          <w:rFonts w:hint="eastAsia" w:ascii="宋体" w:hAnsi="宋体" w:cs="宋体"/>
          <w:snapToGrid w:val="0"/>
          <w:kern w:val="28"/>
          <w:sz w:val="24"/>
          <w:szCs w:val="20"/>
          <w:highlight w:val="none"/>
        </w:rPr>
        <w:t>联合协议</w:t>
      </w:r>
      <w:bookmarkStart w:id="17" w:name="_Hlk101257010"/>
      <w:r>
        <w:rPr>
          <w:rFonts w:hint="eastAsia" w:ascii="宋体" w:hAnsi="宋体" w:cs="宋体"/>
          <w:snapToGrid w:val="0"/>
          <w:kern w:val="28"/>
          <w:sz w:val="24"/>
          <w:szCs w:val="20"/>
          <w:highlight w:val="none"/>
        </w:rPr>
        <w:t>（如果有)</w:t>
      </w:r>
      <w:bookmarkEnd w:id="16"/>
      <w:bookmarkEnd w:id="17"/>
      <w:r>
        <w:rPr>
          <w:rFonts w:hint="eastAsia" w:ascii="宋体" w:hAnsi="宋体" w:cs="宋体"/>
          <w:snapToGrid w:val="0"/>
          <w:kern w:val="28"/>
          <w:sz w:val="24"/>
          <w:szCs w:val="20"/>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pPr>
        <w:pStyle w:val="2"/>
        <w:ind w:firstLine="960" w:firstLineChars="400"/>
        <w:rPr>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8其它</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11.3.2已标价工程量清单；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响应文件含有采购人不能接受的附加条件的，响应文件无效；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供应商提供虚假材料的，响应文件无效。</w:t>
      </w:r>
    </w:p>
    <w:p>
      <w:pPr>
        <w:pStyle w:val="13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pPr>
        <w:pStyle w:val="131"/>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pPr>
        <w:pStyle w:val="131"/>
        <w:snapToGrid w:val="0"/>
        <w:spacing w:before="0"/>
        <w:ind w:firstLine="0" w:firstLineChars="0"/>
        <w:rPr>
          <w:rFonts w:ascii="宋体" w:hAnsi="宋体" w:cs="宋体"/>
          <w:b/>
          <w:szCs w:val="24"/>
          <w:highlight w:val="none"/>
        </w:rPr>
      </w:pPr>
    </w:p>
    <w:p>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pPr>
        <w:pStyle w:val="131"/>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6"/>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pPr>
        <w:pStyle w:val="36"/>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但采购人、采购代理机构不强制或变相强制供应商提交备份响应文件。</w:t>
      </w:r>
    </w:p>
    <w:p>
      <w:pPr>
        <w:pStyle w:val="36"/>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pPr>
        <w:pStyle w:val="36"/>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6"/>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6"/>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pPr>
        <w:pStyle w:val="28"/>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17.1响应文件有效期为从提交响应文件的截止之日起120天。▲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pPr>
        <w:pStyle w:val="131"/>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pPr>
        <w:pStyle w:val="131"/>
        <w:spacing w:before="0"/>
        <w:ind w:firstLine="480"/>
        <w:rPr>
          <w:rFonts w:ascii="宋体" w:hAnsi="宋体" w:cs="宋体"/>
          <w:highlight w:val="none"/>
        </w:rPr>
      </w:pPr>
      <w:r>
        <w:rPr>
          <w:rFonts w:hint="eastAsia" w:ascii="宋体" w:hAnsi="宋体" w:cs="宋体"/>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sz w:val="32"/>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pPr>
        <w:pStyle w:val="557"/>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p>
    <w:p>
      <w:pPr>
        <w:pStyle w:val="557"/>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采购人、采购代理机构或磋商小组依据法律法规和采购文件的规定，对供应商的资格进行审查。</w:t>
      </w:r>
    </w:p>
    <w:p>
      <w:pPr>
        <w:pStyle w:val="131"/>
        <w:spacing w:before="0"/>
        <w:ind w:firstLine="480"/>
        <w:rPr>
          <w:rFonts w:ascii="宋体" w:hAnsi="宋体" w:cs="宋体"/>
          <w:highlight w:val="none"/>
        </w:rPr>
      </w:pPr>
      <w:r>
        <w:rPr>
          <w:rFonts w:hint="eastAsia" w:ascii="宋体" w:hAnsi="宋体" w:cs="宋体"/>
          <w:kern w:val="0"/>
          <w:szCs w:val="24"/>
          <w:highlight w:val="none"/>
        </w:rPr>
        <w:t>19.2供应商未按照采购文件要求提供与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3对未通过资格审查的供应商，采购人或采购代理机构告知其未通过的原因。</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4合格供应商不足3家的，不再评审。</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1"/>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五、评审</w:t>
      </w:r>
    </w:p>
    <w:p>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六、成交供应商确定</w:t>
      </w:r>
    </w:p>
    <w:p>
      <w:pPr>
        <w:pStyle w:val="28"/>
        <w:spacing w:line="360" w:lineRule="auto"/>
        <w:ind w:left="479" w:hanging="479" w:hangingChars="199"/>
        <w:rPr>
          <w:rFonts w:cs="宋体"/>
          <w:b/>
          <w:highlight w:val="none"/>
        </w:rPr>
      </w:pPr>
      <w:r>
        <w:rPr>
          <w:rFonts w:hint="eastAsia" w:cs="宋体"/>
          <w:b/>
          <w:highlight w:val="none"/>
        </w:rPr>
        <w:t>22. 确定成交供应商</w:t>
      </w:r>
    </w:p>
    <w:p>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成交通知与成交结果公告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七、合同授予</w:t>
      </w:r>
    </w:p>
    <w:p>
      <w:pPr>
        <w:pStyle w:val="28"/>
        <w:snapToGrid w:val="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8"/>
        <w:snapToGrid w:val="0"/>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pPr>
        <w:pStyle w:val="28"/>
        <w:snapToGrid w:val="0"/>
        <w:spacing w:line="360" w:lineRule="auto"/>
        <w:ind w:left="479" w:hanging="479" w:hangingChars="199"/>
        <w:rPr>
          <w:rFonts w:cs="宋体"/>
          <w:b/>
          <w:highlight w:val="none"/>
        </w:rPr>
      </w:pPr>
      <w:r>
        <w:rPr>
          <w:rFonts w:hint="eastAsia" w:cs="宋体"/>
          <w:b/>
          <w:highlight w:val="none"/>
        </w:rPr>
        <w:t>26. 履约保证金</w:t>
      </w:r>
    </w:p>
    <w:p>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4"/>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sz w:val="24"/>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八、电子交易活动的中止</w:t>
      </w:r>
    </w:p>
    <w:p>
      <w:pPr>
        <w:pStyle w:val="131"/>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31"/>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1"/>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31"/>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31"/>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九、验收</w:t>
      </w:r>
    </w:p>
    <w:p>
      <w:pPr>
        <w:pStyle w:val="28"/>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highlight w:val="none"/>
        </w:rPr>
        <w:sectPr>
          <w:pgSz w:w="11906" w:h="16838"/>
          <w:pgMar w:top="1440" w:right="1080" w:bottom="1440" w:left="1080" w:header="851" w:footer="992" w:gutter="0"/>
          <w:cols w:space="720" w:num="1"/>
          <w:titlePg/>
          <w:docGrid w:linePitch="312" w:charSpace="0"/>
        </w:sectPr>
      </w:pPr>
      <w:bookmarkStart w:id="19" w:name="_Hlt68057669"/>
      <w:bookmarkEnd w:id="19"/>
      <w:bookmarkStart w:id="20" w:name="_Hlt75236101"/>
      <w:bookmarkEnd w:id="20"/>
      <w:bookmarkStart w:id="21" w:name="_Hlt75236011"/>
      <w:bookmarkEnd w:id="21"/>
      <w:bookmarkStart w:id="22" w:name="_Hlt68073093"/>
      <w:bookmarkEnd w:id="22"/>
      <w:bookmarkStart w:id="23" w:name="_Hlt74707468"/>
      <w:bookmarkEnd w:id="23"/>
      <w:bookmarkStart w:id="24" w:name="_Hlt68072990"/>
      <w:bookmarkEnd w:id="24"/>
      <w:bookmarkStart w:id="25" w:name="_Hlt68403820"/>
      <w:bookmarkEnd w:id="25"/>
      <w:bookmarkStart w:id="26" w:name="_Hlt74729768"/>
      <w:bookmarkEnd w:id="26"/>
      <w:bookmarkStart w:id="27" w:name="_Hlt68072998"/>
      <w:bookmarkEnd w:id="27"/>
      <w:bookmarkStart w:id="28" w:name="_Hlt74730295"/>
      <w:bookmarkEnd w:id="28"/>
      <w:bookmarkStart w:id="29" w:name="_Hlt74714665"/>
      <w:bookmarkEnd w:id="29"/>
      <w:bookmarkStart w:id="30" w:name="_Hlt75236290"/>
      <w:bookmarkEnd w:id="30"/>
    </w:p>
    <w:bookmarkEnd w:id="13"/>
    <w:bookmarkEnd w:id="14"/>
    <w:p>
      <w:pPr>
        <w:pStyle w:val="36"/>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lang w:eastAsia="zh-CN"/>
        </w:rPr>
        <w:t>浙江省杭州第四中学国际部教学楼、厕所、屋面等维修项目</w:t>
      </w:r>
      <w:r>
        <w:rPr>
          <w:rFonts w:hint="eastAsia" w:ascii="宋体" w:hAnsi="宋体"/>
          <w:color w:val="auto"/>
          <w:sz w:val="24"/>
          <w:highlight w:val="none"/>
        </w:rPr>
        <w:t>主要内容：</w:t>
      </w:r>
      <w:r>
        <w:rPr>
          <w:rFonts w:hint="eastAsia" w:ascii="宋体" w:hAnsi="宋体"/>
          <w:color w:val="auto"/>
          <w:sz w:val="24"/>
          <w:highlight w:val="none"/>
          <w:lang w:eastAsia="zh-CN"/>
        </w:rPr>
        <w:t>国际部教学楼、厕所、屋面改造等工程</w:t>
      </w:r>
      <w:r>
        <w:rPr>
          <w:rFonts w:hint="eastAsia" w:ascii="宋体" w:hAnsi="宋体"/>
          <w:color w:val="auto"/>
          <w:sz w:val="24"/>
          <w:highlight w:val="none"/>
        </w:rPr>
        <w:t>，具体内容详见采购文件的要求、施工图纸以及工程量清单，并结合现场实际情况进行施工。</w:t>
      </w:r>
    </w:p>
    <w:p>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pPr>
        <w:spacing w:line="360" w:lineRule="auto"/>
        <w:ind w:left="210" w:leftChars="100" w:firstLine="208" w:firstLineChars="87"/>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浙江省杭州第四中学国际部教学楼、厕所、屋面等维修项目</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（1）已具备施工条件，但施工不能影响正常的工作。</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（1）工程施工图中所包括的一切内容和工程量清单等已明确的工程内容。</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（2）可能出现的施工图修改引起的工程量增减以及根据招标人明确指令需在招标范围外增加的工程量及招标范围内减少的工程量。</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工程质量符合（工程施工质量验收规范）合格标准。</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5.1技术规范要求：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（1）本工程项目的材料、设备、施工必须达到现行中华人民共和国及省、市、行业的一切有关法规、规范的要求，如标准及规范要求有出入则以较严格者为准。</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在合同履行期间，若上述标准或规范有修改或重新颁布，成交供应商应遵照执行。</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规范的获得由承包人自行解决。</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5.2安全文明施工要求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（1）成交供应商应对进度施工现场的施工人员进行安全文明施工教育，配备必要的劳动保护用具，保证工程的施工安全和人身安全。</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（2）成交供应商应强化安全意识，抓好安全生产，杜绝事故发生，施工中若因供应商原因发生安全及人身事故由成交供应商自行负责处理，并承担全部费用。</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（3）成交供应商须遵守地方政府和有关部门及采购人对施工场地交通、环卫、安全和施工噪音等的管理规定，并按规定办理相关审批手续。</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（4）成交供应商应采取有效措施尽量减小尘土和噪音污染，需要进行夜间作业时应经有关部门批准。</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（5）因项目实施期间，相关施工区域仍将维持正常运行，为减少对正常办公秩序的影响，要求确保文明施工措施到位。</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5.3其它施工过程中需注意事项</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（1）本工程在施工期间，成交供应商应注意保护好采购人周边现有成品，如有损坏，须无条件修复至采购人满意。</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（2）废弃材料不得丢弃或随意堆放在校园内，清理产生的拆除费、搬运费、交通运输费等各项费用均由供应商自行考虑并计入响应总价且一次性包干</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（3）工程完工后，成交供应商需对施工现场进行全面的清洁工作。</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6.工程管理要求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（3）成交供应商应有详细的工程安全措施和安全组织及配备专职安全负责人的说明和承诺，以确保安全施工。</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（4）成交供应商在进场施工前，应对建筑、结构施工图及现场实物、预埋件等进行核对并对不符合要求部分提出整改意见，若成交供应商未及时提出意见造成的有关损失由成交供应商承担。</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（5）电力不足或停电，自备发电机，其费用由成交供应商自行承担。</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（6）成交供应商在工程施工全过程中要认真做好产品保护。因失窃或失火造成的损失均由成交供应商负责，凡由此而损及采购方利益时，采购方将向成交供应商索赔。</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7）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8）为减少改造工程对学校正常学习工作的影响，应按学校管理要求临时调整施工时间、施工方案等，施工作业环境的种种不利因素，如夜间施工、垃圾装袋外运等等均需由供应商考虑，并将所需费用包含在磋商报价中。</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（9）施工期间，所有施工人员的食宿均由成交供应商自行安排。</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（10）工程管理其他要求：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1）本项目施工现场采购人不提供食宿，施工期间，所有施工人员的食宿均由成交供应商自行安排，材料的堆放及停车必须服从采购人的安排。</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2）成交供应商须满足学校管理的要求、遵守学校的有关管理制度，服从监理的管理和协调，确保施工项目的安全、高效、顺利进行，满足采购人的日常需求，防范消防等安全事件的发生。</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施工期间，如遇重大的活动、节庆、参观、来访、大型会议等，成交供应商应给予配合，并无条件按采购人要求做好施工现场及其周边的卫生、特殊防护等，必要时需要中断施工等等，均需要由供应商在磋商报价中充分考虑并包含。</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4）施工现场严禁吸烟。</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5）如涉及疫情管理需要，成交供应商须严格遵守采购人要求，所有进场人员需按照采购人要求做好核酸检测和登记办理施工出入手续。</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（1）本项目涉及的所有材料设备，必须经采购人确认后方能采购、进场、加工、安装。否则一律不予承认，不予支付相应款项。</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3）供应商应在响应文件中写明各类主要材料（设备）的选用品牌、产地、规格、型号。如供应商没有明确注明，或虽注明品牌未注明型号、规格的，则实际施工过程中采购人有权在磋商文件推荐的材料品牌范围内自行确定品牌和规格，且磋商价格不予调整。</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（4）材料质量要求：</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1）在保修期内，成交供应商对有缺陷的部位必须给予修理与更换，并承担一切由此引起的对采购人或第三者的直接损失，除非该缺陷是由于人为破坏或合同规定的不可抗力因素造成的损坏（费用含在报价中）。</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3）室内装饰用材均需满足相应环保要求，采购人有权聘请独立第三方检测机构对室内装饰用材进行环保检测，如不合格供应商须更换，且采购人保留索赔的权利（费用含在报价中）。</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8.项目人员要求</w:t>
      </w:r>
    </w:p>
    <w:p>
      <w:pPr>
        <w:spacing w:line="360" w:lineRule="auto"/>
        <w:ind w:firstLine="422" w:firstLineChars="175"/>
        <w:jc w:val="left"/>
        <w:rPr>
          <w:rFonts w:ascii="宋体" w:hAnsi="宋体"/>
          <w:b/>
          <w:bCs/>
          <w:color w:val="auto"/>
          <w:sz w:val="24"/>
          <w:highlight w:val="none"/>
        </w:rPr>
      </w:pPr>
      <w:r>
        <w:rPr>
          <w:rFonts w:hint="eastAsia" w:ascii="宋体" w:hAnsi="宋体"/>
          <w:b/>
          <w:bCs/>
          <w:color w:val="auto"/>
          <w:sz w:val="24"/>
          <w:highlight w:val="none"/>
        </w:rPr>
        <w:t>▲拟派项目负责人具有建筑工程专业二级及以上建造师资格证书，同时具有有效的安全考核证书B证。</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pPr>
        <w:spacing w:line="360" w:lineRule="auto"/>
        <w:ind w:left="210" w:leftChars="100" w:firstLine="208" w:firstLineChars="87"/>
        <w:jc w:val="left"/>
        <w:rPr>
          <w:rFonts w:ascii="宋体" w:hAnsi="宋体"/>
          <w:color w:val="auto"/>
          <w:sz w:val="24"/>
          <w:highlight w:val="none"/>
        </w:rPr>
      </w:pPr>
      <w:r>
        <w:rPr>
          <w:rFonts w:hint="eastAsia" w:ascii="宋体" w:hAnsi="宋体" w:cs="仿宋_GB2312"/>
          <w:color w:val="auto"/>
          <w:sz w:val="24"/>
          <w:highlight w:val="none"/>
        </w:rPr>
        <w:t>1.工期要求：</w:t>
      </w:r>
      <w:r>
        <w:rPr>
          <w:rFonts w:hint="eastAsia" w:ascii="宋体" w:hAnsi="宋体" w:cs="仿宋_GB2312"/>
          <w:color w:val="auto"/>
          <w:sz w:val="24"/>
          <w:highlight w:val="none"/>
          <w:lang w:val="en-US" w:eastAsia="zh-CN"/>
        </w:rPr>
        <w:t>施工工期30日历天</w:t>
      </w:r>
    </w:p>
    <w:p>
      <w:pPr>
        <w:spacing w:line="360" w:lineRule="auto"/>
        <w:ind w:left="210" w:leftChars="100" w:firstLine="208" w:firstLineChars="87"/>
        <w:jc w:val="left"/>
        <w:rPr>
          <w:rFonts w:hint="eastAsia" w:ascii="宋体" w:hAnsi="宋体" w:eastAsia="宋体"/>
          <w:color w:val="auto"/>
          <w:sz w:val="24"/>
          <w:highlight w:val="none"/>
          <w:lang w:eastAsia="zh-CN"/>
        </w:rPr>
      </w:pPr>
      <w:r>
        <w:rPr>
          <w:rFonts w:hint="eastAsia" w:ascii="宋体" w:hAnsi="宋体" w:cs="仿宋_GB2312"/>
          <w:color w:val="auto"/>
          <w:sz w:val="24"/>
          <w:highlight w:val="none"/>
        </w:rPr>
        <w:t>2.工程地点：</w:t>
      </w:r>
      <w:r>
        <w:rPr>
          <w:rFonts w:hint="eastAsia" w:ascii="宋体" w:hAnsi="宋体"/>
          <w:color w:val="auto"/>
          <w:sz w:val="24"/>
          <w:highlight w:val="none"/>
          <w:lang w:eastAsia="zh-CN"/>
        </w:rPr>
        <w:t>杭州四中下沙校区</w:t>
      </w:r>
    </w:p>
    <w:p>
      <w:pPr>
        <w:spacing w:line="360" w:lineRule="auto"/>
        <w:ind w:firstLine="420" w:firstLineChars="175"/>
        <w:jc w:val="left"/>
        <w:rPr>
          <w:rFonts w:hint="eastAsia" w:ascii="宋体" w:hAnsi="宋体" w:cs="仿宋_GB2312"/>
          <w:color w:val="auto"/>
          <w:sz w:val="24"/>
          <w:highlight w:val="none"/>
        </w:rPr>
      </w:pPr>
      <w:r>
        <w:rPr>
          <w:rFonts w:hint="eastAsia" w:ascii="宋体" w:hAnsi="宋体" w:cs="仿宋_GB2312"/>
          <w:color w:val="auto"/>
          <w:sz w:val="24"/>
          <w:highlight w:val="none"/>
        </w:rPr>
        <w:t>3.付款条件（进度和方式）</w:t>
      </w:r>
    </w:p>
    <w:p>
      <w:pPr>
        <w:spacing w:line="360" w:lineRule="auto"/>
        <w:ind w:firstLine="420" w:firstLineChars="175"/>
        <w:jc w:val="left"/>
        <w:rPr>
          <w:rFonts w:hint="eastAsia" w:ascii="宋体" w:hAnsi="宋体" w:cs="仿宋_GB2312"/>
          <w:color w:val="auto"/>
          <w:sz w:val="24"/>
          <w:highlight w:val="none"/>
        </w:rPr>
      </w:pPr>
      <w:r>
        <w:rPr>
          <w:rFonts w:hint="eastAsia" w:ascii="宋体" w:hAnsi="宋体" w:cs="仿宋_GB2312"/>
          <w:color w:val="auto"/>
          <w:sz w:val="24"/>
          <w:highlight w:val="none"/>
        </w:rPr>
        <w:t>1）合同生效具备实施条件后5个工作日内支付合同总价的40%作为预付款（因客观原因造成采购人预付款逾期支付的，不追究逾期支付违约责任，具体付款日期按实际支付时间执行）；</w:t>
      </w:r>
    </w:p>
    <w:p>
      <w:pPr>
        <w:spacing w:line="360" w:lineRule="auto"/>
        <w:ind w:firstLine="420" w:firstLineChars="175"/>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）竣工验收合格后，支付至合同价的85%（如工程实施过程中有较大甩项，则支付实际完成工作量的85%）；</w:t>
      </w:r>
    </w:p>
    <w:p>
      <w:pPr>
        <w:spacing w:line="360" w:lineRule="auto"/>
        <w:ind w:firstLine="420" w:firstLineChars="175"/>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）工程完成竣工结算并提交完整归档资料后，结算剩余合同款项。</w:t>
      </w:r>
    </w:p>
    <w:p>
      <w:pPr>
        <w:spacing w:line="360" w:lineRule="auto"/>
        <w:ind w:left="210" w:leftChars="100" w:firstLine="208" w:firstLineChars="87"/>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（1）保修期：按工程质量保修书规定执行，质量保证期为本项目验收合格后2年。</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成交供应商应与采购人签订工程质量保修书，在质量保修期内，按照有关法律、法规、规章的管理规定和双方约定，承担本工程质量保修责任。</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（2）在保修期内，成交供应商对有缺陷的部位必须无偿地给予修理与更换，并承担一切由此引起的对采购人或第三者的直接损失，除人为破坏或合同规定的不可抗因素造成的损坏外。</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（3）成交供应商必须对所承包的工程的质量负全部责任，其责任不因其他材料生产商提供的保证书而减轻或更改。</w:t>
      </w:r>
    </w:p>
    <w:p>
      <w:pPr>
        <w:spacing w:line="360" w:lineRule="auto"/>
        <w:ind w:left="210" w:leftChars="100" w:firstLine="208" w:firstLineChars="87"/>
        <w:jc w:val="left"/>
        <w:rPr>
          <w:rFonts w:ascii="宋体" w:hAnsi="宋体"/>
          <w:color w:val="auto"/>
          <w:sz w:val="24"/>
          <w:highlight w:val="none"/>
        </w:rPr>
      </w:pPr>
      <w:r>
        <w:rPr>
          <w:rFonts w:hint="eastAsia" w:ascii="宋体" w:hAnsi="宋体"/>
          <w:color w:val="auto"/>
          <w:sz w:val="24"/>
          <w:highlight w:val="none"/>
        </w:rPr>
        <w:t>（4）供应商应当在缺陷责任期内局有完善的售后技术支持和服务体系，能够提供服务标准、服务流程、服务内容。</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（1）供应商应当将因校园内搬运不便而产生的二次搬运费用计算在磋商报价中，总价包干。</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（2）供应商应当将与本项目有关的农民工工伤保险相关费用计算在磋商报价中，总价包干。</w:t>
      </w:r>
    </w:p>
    <w:p>
      <w:pPr>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pPr>
        <w:widowControl/>
        <w:spacing w:line="360" w:lineRule="auto"/>
        <w:ind w:firstLine="420" w:firstLineChars="175"/>
        <w:jc w:val="left"/>
        <w:rPr>
          <w:rFonts w:ascii="宋体" w:hAnsi="宋体" w:cs="宋体"/>
          <w:snapToGrid w:val="0"/>
          <w:color w:val="auto"/>
          <w:kern w:val="0"/>
          <w:sz w:val="24"/>
          <w:highlight w:val="none"/>
        </w:rPr>
      </w:pPr>
      <w:r>
        <w:rPr>
          <w:rFonts w:hint="eastAsia" w:ascii="宋体" w:hAnsi="宋体"/>
          <w:color w:val="auto"/>
          <w:sz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w:t>
      </w:r>
    </w:p>
    <w:p>
      <w:pPr>
        <w:spacing w:line="360" w:lineRule="auto"/>
        <w:ind w:firstLine="482" w:firstLineChars="200"/>
        <w:jc w:val="left"/>
        <w:rPr>
          <w:rFonts w:ascii="宋体" w:hAnsi="宋体" w:cs="宋体"/>
          <w:b/>
          <w:bCs/>
          <w:snapToGrid w:val="0"/>
          <w:kern w:val="0"/>
          <w:sz w:val="24"/>
          <w:highlight w:val="none"/>
        </w:rPr>
      </w:pPr>
    </w:p>
    <w:p>
      <w:pPr>
        <w:snapToGrid w:val="0"/>
        <w:spacing w:line="360" w:lineRule="auto"/>
        <w:jc w:val="center"/>
        <w:rPr>
          <w:rFonts w:ascii="宋体" w:hAnsi="宋体" w:cs="宋体"/>
          <w:b/>
          <w:sz w:val="36"/>
          <w:szCs w:val="20"/>
          <w:highlight w:val="none"/>
        </w:rPr>
      </w:pPr>
      <w:r>
        <w:rPr>
          <w:rFonts w:hint="eastAsia" w:ascii="宋体" w:hAnsi="宋体" w:cs="宋体"/>
          <w:b/>
          <w:sz w:val="24"/>
          <w:highlight w:val="none"/>
        </w:rPr>
        <w:br w:type="page"/>
      </w:r>
      <w:r>
        <w:rPr>
          <w:rFonts w:hint="eastAsia" w:ascii="宋体" w:hAnsi="宋体" w:cs="宋体"/>
          <w:b/>
          <w:sz w:val="36"/>
          <w:szCs w:val="20"/>
          <w:highlight w:val="none"/>
        </w:rPr>
        <w:t>第四部分</w:t>
      </w:r>
      <w:bookmarkStart w:id="32" w:name="_Toc184313248"/>
      <w:bookmarkEnd w:id="32"/>
      <w:bookmarkStart w:id="33" w:name="_Toc184308050"/>
      <w:bookmarkEnd w:id="33"/>
      <w:bookmarkStart w:id="34" w:name="_Toc184314466"/>
      <w:bookmarkEnd w:id="34"/>
      <w:bookmarkStart w:id="35" w:name="_Toc184313253"/>
      <w:bookmarkEnd w:id="35"/>
      <w:bookmarkStart w:id="36" w:name="_Toc184310276"/>
      <w:bookmarkEnd w:id="36"/>
      <w:bookmarkStart w:id="37" w:name="_Toc184310291"/>
      <w:bookmarkEnd w:id="37"/>
      <w:bookmarkStart w:id="38" w:name="_Toc184313292"/>
      <w:bookmarkEnd w:id="38"/>
      <w:bookmarkStart w:id="39" w:name="_Toc184313239"/>
      <w:bookmarkEnd w:id="39"/>
      <w:bookmarkStart w:id="40" w:name="_Toc184310328"/>
      <w:bookmarkEnd w:id="40"/>
      <w:bookmarkStart w:id="41" w:name="_Toc184312118"/>
      <w:bookmarkEnd w:id="41"/>
      <w:bookmarkStart w:id="42" w:name="_Toc184310294"/>
      <w:bookmarkEnd w:id="42"/>
      <w:bookmarkStart w:id="43" w:name="_Toc184312101"/>
      <w:bookmarkEnd w:id="43"/>
      <w:bookmarkStart w:id="44" w:name="_Toc184310313"/>
      <w:bookmarkEnd w:id="44"/>
      <w:bookmarkStart w:id="45" w:name="_Toc184314452"/>
      <w:bookmarkEnd w:id="45"/>
      <w:bookmarkStart w:id="46" w:name="_Toc184310287"/>
      <w:bookmarkEnd w:id="46"/>
      <w:bookmarkStart w:id="47" w:name="_Toc184310275"/>
      <w:bookmarkEnd w:id="47"/>
      <w:bookmarkStart w:id="48" w:name="_Toc184314417"/>
      <w:bookmarkEnd w:id="48"/>
      <w:bookmarkStart w:id="49" w:name="_Toc184310340"/>
      <w:bookmarkEnd w:id="49"/>
      <w:bookmarkStart w:id="50" w:name="_Toc184310279"/>
      <w:bookmarkEnd w:id="50"/>
      <w:bookmarkStart w:id="51" w:name="_Toc184312085"/>
      <w:bookmarkEnd w:id="51"/>
      <w:bookmarkStart w:id="52" w:name="_Toc184308082"/>
      <w:bookmarkEnd w:id="52"/>
      <w:bookmarkStart w:id="53" w:name="_Toc184312092"/>
      <w:bookmarkEnd w:id="53"/>
      <w:bookmarkStart w:id="54" w:name="_Toc184313285"/>
      <w:bookmarkEnd w:id="54"/>
      <w:bookmarkStart w:id="55" w:name="_Toc184312114"/>
      <w:bookmarkEnd w:id="55"/>
      <w:bookmarkStart w:id="56" w:name="_Toc184308064"/>
      <w:bookmarkEnd w:id="56"/>
      <w:bookmarkStart w:id="57" w:name="_Toc184313308"/>
      <w:bookmarkEnd w:id="57"/>
      <w:bookmarkStart w:id="58" w:name="_Toc184308051"/>
      <w:bookmarkEnd w:id="58"/>
      <w:bookmarkStart w:id="59" w:name="_Toc184313297"/>
      <w:bookmarkEnd w:id="59"/>
      <w:bookmarkStart w:id="60" w:name="_Toc184308090"/>
      <w:bookmarkEnd w:id="60"/>
      <w:bookmarkStart w:id="61" w:name="_Toc184314439"/>
      <w:bookmarkEnd w:id="61"/>
      <w:bookmarkStart w:id="62" w:name="_Toc184310280"/>
      <w:bookmarkEnd w:id="62"/>
      <w:bookmarkStart w:id="63" w:name="_Toc184313255"/>
      <w:bookmarkEnd w:id="63"/>
      <w:bookmarkStart w:id="64" w:name="_Toc184314470"/>
      <w:bookmarkEnd w:id="64"/>
      <w:bookmarkStart w:id="65" w:name="_Toc184313309"/>
      <w:bookmarkEnd w:id="65"/>
      <w:bookmarkStart w:id="66" w:name="_Toc184314428"/>
      <w:bookmarkEnd w:id="66"/>
      <w:bookmarkStart w:id="67" w:name="_Toc184308107"/>
      <w:bookmarkEnd w:id="67"/>
      <w:bookmarkStart w:id="68" w:name="_Toc184314454"/>
      <w:bookmarkEnd w:id="68"/>
      <w:bookmarkStart w:id="69" w:name="_Toc184314471"/>
      <w:bookmarkEnd w:id="69"/>
      <w:bookmarkStart w:id="70" w:name="_Toc184314432"/>
      <w:bookmarkEnd w:id="70"/>
      <w:bookmarkStart w:id="71" w:name="_Toc184312082"/>
      <w:bookmarkEnd w:id="71"/>
      <w:bookmarkStart w:id="72" w:name="_Toc184310299"/>
      <w:bookmarkEnd w:id="72"/>
      <w:bookmarkStart w:id="73" w:name="_Toc184308093"/>
      <w:bookmarkEnd w:id="73"/>
      <w:bookmarkStart w:id="74" w:name="_Toc184313271"/>
      <w:bookmarkEnd w:id="74"/>
      <w:bookmarkStart w:id="75" w:name="_Toc184313298"/>
      <w:bookmarkEnd w:id="75"/>
      <w:bookmarkStart w:id="76" w:name="_Toc184308075"/>
      <w:bookmarkEnd w:id="76"/>
      <w:bookmarkStart w:id="77" w:name="_Toc184313304"/>
      <w:bookmarkEnd w:id="77"/>
      <w:bookmarkStart w:id="78" w:name="_Toc184314462"/>
      <w:bookmarkEnd w:id="78"/>
      <w:bookmarkStart w:id="79" w:name="_Toc184308078"/>
      <w:bookmarkEnd w:id="79"/>
      <w:bookmarkStart w:id="80" w:name="_Toc184308053"/>
      <w:bookmarkEnd w:id="80"/>
      <w:bookmarkStart w:id="81" w:name="_Toc184314422"/>
      <w:bookmarkEnd w:id="81"/>
      <w:bookmarkStart w:id="82" w:name="_Toc184312137"/>
      <w:bookmarkEnd w:id="82"/>
      <w:bookmarkStart w:id="83" w:name="_Toc184312089"/>
      <w:bookmarkEnd w:id="83"/>
      <w:bookmarkStart w:id="84" w:name="_Toc184312098"/>
      <w:bookmarkEnd w:id="84"/>
      <w:bookmarkStart w:id="85" w:name="_Toc184313251"/>
      <w:bookmarkEnd w:id="85"/>
      <w:bookmarkStart w:id="86" w:name="_Toc184308105"/>
      <w:bookmarkEnd w:id="86"/>
      <w:bookmarkStart w:id="87" w:name="_Toc184312105"/>
      <w:bookmarkEnd w:id="87"/>
      <w:bookmarkStart w:id="88" w:name="_Toc184313259"/>
      <w:bookmarkEnd w:id="88"/>
      <w:bookmarkStart w:id="89" w:name="_Toc184314436"/>
      <w:bookmarkEnd w:id="89"/>
      <w:bookmarkStart w:id="90" w:name="_Toc184313262"/>
      <w:bookmarkEnd w:id="90"/>
      <w:bookmarkStart w:id="91" w:name="_Toc184310320"/>
      <w:bookmarkEnd w:id="91"/>
      <w:bookmarkStart w:id="92" w:name="_Toc184310312"/>
      <w:bookmarkEnd w:id="92"/>
      <w:bookmarkStart w:id="93" w:name="_Toc184312072"/>
      <w:bookmarkEnd w:id="93"/>
      <w:bookmarkStart w:id="94" w:name="_Toc184308055"/>
      <w:bookmarkEnd w:id="94"/>
      <w:bookmarkStart w:id="95" w:name="_Toc184310309"/>
      <w:bookmarkEnd w:id="95"/>
      <w:bookmarkStart w:id="96" w:name="_Toc184308040"/>
      <w:bookmarkEnd w:id="96"/>
      <w:bookmarkStart w:id="97" w:name="_Toc184310301"/>
      <w:bookmarkEnd w:id="97"/>
      <w:bookmarkStart w:id="98" w:name="_Toc184313299"/>
      <w:bookmarkEnd w:id="98"/>
      <w:bookmarkStart w:id="99" w:name="_Toc184312070"/>
      <w:bookmarkEnd w:id="99"/>
      <w:bookmarkStart w:id="100" w:name="_Toc184313270"/>
      <w:bookmarkEnd w:id="100"/>
      <w:bookmarkStart w:id="101" w:name="_Toc184313284"/>
      <w:bookmarkEnd w:id="101"/>
      <w:bookmarkStart w:id="102" w:name="_Toc184313249"/>
      <w:bookmarkEnd w:id="102"/>
      <w:bookmarkStart w:id="103" w:name="_Toc184313280"/>
      <w:bookmarkEnd w:id="103"/>
      <w:bookmarkStart w:id="104" w:name="_Toc184310341"/>
      <w:bookmarkEnd w:id="104"/>
      <w:bookmarkStart w:id="105" w:name="_Toc184308072"/>
      <w:bookmarkEnd w:id="105"/>
      <w:bookmarkStart w:id="106" w:name="_Toc184314415"/>
      <w:bookmarkEnd w:id="106"/>
      <w:bookmarkStart w:id="107" w:name="_Toc184308047"/>
      <w:bookmarkEnd w:id="107"/>
      <w:bookmarkStart w:id="108" w:name="_Toc184310311"/>
      <w:bookmarkEnd w:id="108"/>
      <w:bookmarkStart w:id="109" w:name="_Toc184314441"/>
      <w:bookmarkEnd w:id="109"/>
      <w:bookmarkStart w:id="110" w:name="_Toc184312076"/>
      <w:bookmarkEnd w:id="110"/>
      <w:bookmarkStart w:id="111" w:name="_Toc184314453"/>
      <w:bookmarkEnd w:id="111"/>
      <w:bookmarkStart w:id="112" w:name="_Toc184313263"/>
      <w:bookmarkEnd w:id="112"/>
      <w:bookmarkStart w:id="113" w:name="_Toc184312096"/>
      <w:bookmarkEnd w:id="113"/>
      <w:bookmarkStart w:id="114" w:name="_Toc184308103"/>
      <w:bookmarkEnd w:id="114"/>
      <w:bookmarkStart w:id="115" w:name="_Toc184314449"/>
      <w:bookmarkEnd w:id="115"/>
      <w:bookmarkStart w:id="116" w:name="_Toc184308069"/>
      <w:bookmarkEnd w:id="116"/>
      <w:bookmarkStart w:id="117" w:name="_Toc184310272"/>
      <w:bookmarkEnd w:id="117"/>
      <w:bookmarkStart w:id="118" w:name="_Toc184308043"/>
      <w:bookmarkEnd w:id="118"/>
      <w:bookmarkStart w:id="119" w:name="_Toc184314429"/>
      <w:bookmarkEnd w:id="119"/>
      <w:bookmarkStart w:id="120" w:name="_Toc184310337"/>
      <w:bookmarkEnd w:id="120"/>
      <w:bookmarkStart w:id="121" w:name="_Toc184310277"/>
      <w:bookmarkEnd w:id="121"/>
      <w:bookmarkStart w:id="122" w:name="_Toc184312071"/>
      <w:bookmarkEnd w:id="122"/>
      <w:bookmarkStart w:id="123" w:name="_Toc184313281"/>
      <w:bookmarkEnd w:id="123"/>
      <w:bookmarkStart w:id="124" w:name="_Toc184310316"/>
      <w:bookmarkEnd w:id="124"/>
      <w:bookmarkStart w:id="125" w:name="_Toc184308054"/>
      <w:bookmarkEnd w:id="125"/>
      <w:bookmarkStart w:id="126" w:name="_Toc184313241"/>
      <w:bookmarkEnd w:id="126"/>
      <w:bookmarkStart w:id="127" w:name="_Toc184313246"/>
      <w:bookmarkEnd w:id="127"/>
      <w:bookmarkStart w:id="128" w:name="_Toc184308063"/>
      <w:bookmarkEnd w:id="128"/>
      <w:bookmarkStart w:id="129" w:name="_Toc184312097"/>
      <w:bookmarkEnd w:id="129"/>
      <w:bookmarkStart w:id="130" w:name="_Toc184313291"/>
      <w:bookmarkEnd w:id="130"/>
      <w:bookmarkStart w:id="131" w:name="_Toc184313303"/>
      <w:bookmarkEnd w:id="131"/>
      <w:bookmarkStart w:id="132" w:name="_Toc184308076"/>
      <w:bookmarkEnd w:id="132"/>
      <w:bookmarkStart w:id="133" w:name="_Toc184310343"/>
      <w:bookmarkEnd w:id="133"/>
      <w:bookmarkStart w:id="134" w:name="_Toc184313273"/>
      <w:bookmarkEnd w:id="134"/>
      <w:bookmarkStart w:id="135" w:name="_Toc184312109"/>
      <w:bookmarkEnd w:id="135"/>
      <w:bookmarkStart w:id="136" w:name="_Toc184314434"/>
      <w:bookmarkEnd w:id="136"/>
      <w:bookmarkStart w:id="137" w:name="_Toc184312131"/>
      <w:bookmarkEnd w:id="137"/>
      <w:bookmarkStart w:id="138" w:name="_Toc184310288"/>
      <w:bookmarkEnd w:id="138"/>
      <w:bookmarkStart w:id="139" w:name="_Toc184310323"/>
      <w:bookmarkEnd w:id="139"/>
      <w:bookmarkStart w:id="140" w:name="_Toc184310283"/>
      <w:bookmarkEnd w:id="140"/>
      <w:bookmarkStart w:id="141" w:name="_Toc184310273"/>
      <w:bookmarkEnd w:id="141"/>
      <w:bookmarkStart w:id="142" w:name="_Toc184312119"/>
      <w:bookmarkEnd w:id="142"/>
      <w:bookmarkStart w:id="143" w:name="_Toc184312099"/>
      <w:bookmarkEnd w:id="143"/>
      <w:bookmarkStart w:id="144" w:name="_Toc184308091"/>
      <w:bookmarkEnd w:id="144"/>
      <w:bookmarkStart w:id="145" w:name="_Toc184312086"/>
      <w:bookmarkEnd w:id="145"/>
      <w:bookmarkStart w:id="146" w:name="_Toc184308065"/>
      <w:bookmarkEnd w:id="146"/>
      <w:bookmarkStart w:id="147" w:name="_Toc184310335"/>
      <w:bookmarkEnd w:id="147"/>
      <w:bookmarkStart w:id="148" w:name="_Toc184312129"/>
      <w:bookmarkEnd w:id="148"/>
      <w:bookmarkStart w:id="149" w:name="_Toc184310295"/>
      <w:bookmarkEnd w:id="149"/>
      <w:bookmarkStart w:id="150" w:name="_Toc184314457"/>
      <w:bookmarkEnd w:id="150"/>
      <w:bookmarkStart w:id="151" w:name="_Toc184314473"/>
      <w:bookmarkEnd w:id="151"/>
      <w:bookmarkStart w:id="152" w:name="_Toc184312108"/>
      <w:bookmarkEnd w:id="152"/>
      <w:bookmarkStart w:id="153" w:name="_Toc184313267"/>
      <w:bookmarkEnd w:id="153"/>
      <w:bookmarkStart w:id="154" w:name="_Toc184312128"/>
      <w:bookmarkEnd w:id="154"/>
      <w:bookmarkStart w:id="155" w:name="_Toc184314480"/>
      <w:bookmarkEnd w:id="155"/>
      <w:bookmarkStart w:id="156" w:name="_Toc184314424"/>
      <w:bookmarkEnd w:id="156"/>
      <w:bookmarkStart w:id="157" w:name="_Toc184313252"/>
      <w:bookmarkEnd w:id="157"/>
      <w:bookmarkStart w:id="158" w:name="_Toc184313282"/>
      <w:bookmarkEnd w:id="158"/>
      <w:bookmarkStart w:id="159" w:name="_Toc184314475"/>
      <w:bookmarkEnd w:id="159"/>
      <w:bookmarkStart w:id="160" w:name="_Toc184310307"/>
      <w:bookmarkEnd w:id="160"/>
      <w:bookmarkStart w:id="161" w:name="_Toc184308057"/>
      <w:bookmarkEnd w:id="161"/>
      <w:bookmarkStart w:id="162" w:name="_Toc184313254"/>
      <w:bookmarkEnd w:id="162"/>
      <w:bookmarkStart w:id="163" w:name="_Toc184314476"/>
      <w:bookmarkEnd w:id="163"/>
      <w:bookmarkStart w:id="164" w:name="_Toc184313245"/>
      <w:bookmarkEnd w:id="164"/>
      <w:bookmarkStart w:id="165" w:name="_Toc184310290"/>
      <w:bookmarkEnd w:id="165"/>
      <w:bookmarkStart w:id="166" w:name="_Toc184312103"/>
      <w:bookmarkEnd w:id="166"/>
      <w:bookmarkStart w:id="167" w:name="_Toc184313244"/>
      <w:bookmarkEnd w:id="167"/>
      <w:bookmarkStart w:id="168" w:name="_Toc184308066"/>
      <w:bookmarkEnd w:id="168"/>
      <w:bookmarkStart w:id="169" w:name="_Toc184312110"/>
      <w:bookmarkEnd w:id="169"/>
      <w:bookmarkStart w:id="170" w:name="_Toc184314414"/>
      <w:bookmarkEnd w:id="170"/>
      <w:bookmarkStart w:id="171" w:name="_Toc184313306"/>
      <w:bookmarkEnd w:id="171"/>
      <w:bookmarkStart w:id="172" w:name="_Toc184312124"/>
      <w:bookmarkEnd w:id="172"/>
      <w:bookmarkStart w:id="173" w:name="_Toc184314460"/>
      <w:bookmarkEnd w:id="173"/>
      <w:bookmarkStart w:id="174" w:name="_Toc184308046"/>
      <w:bookmarkEnd w:id="174"/>
      <w:bookmarkStart w:id="175" w:name="_Toc184310318"/>
      <w:bookmarkEnd w:id="175"/>
      <w:bookmarkStart w:id="176" w:name="_Toc184308088"/>
      <w:bookmarkEnd w:id="176"/>
      <w:bookmarkStart w:id="177" w:name="_Toc184312100"/>
      <w:bookmarkEnd w:id="177"/>
      <w:bookmarkStart w:id="178" w:name="_Toc184308092"/>
      <w:bookmarkEnd w:id="178"/>
      <w:bookmarkStart w:id="179" w:name="_Toc184312067"/>
      <w:bookmarkEnd w:id="179"/>
      <w:bookmarkStart w:id="180" w:name="_Toc184314425"/>
      <w:bookmarkEnd w:id="180"/>
      <w:bookmarkStart w:id="181" w:name="_Toc184313238"/>
      <w:bookmarkEnd w:id="181"/>
      <w:bookmarkStart w:id="182" w:name="_Toc184312081"/>
      <w:bookmarkEnd w:id="182"/>
      <w:bookmarkStart w:id="183" w:name="_Toc184312093"/>
      <w:bookmarkEnd w:id="183"/>
      <w:bookmarkStart w:id="184" w:name="_Toc184314418"/>
      <w:bookmarkEnd w:id="184"/>
      <w:bookmarkStart w:id="185" w:name="_Toc184310336"/>
      <w:bookmarkEnd w:id="185"/>
      <w:bookmarkStart w:id="186" w:name="_Toc184308096"/>
      <w:bookmarkEnd w:id="186"/>
      <w:bookmarkStart w:id="187" w:name="_Toc184314479"/>
      <w:bookmarkEnd w:id="187"/>
      <w:bookmarkStart w:id="188" w:name="_Toc184314472"/>
      <w:bookmarkEnd w:id="188"/>
      <w:bookmarkStart w:id="189" w:name="_Toc184314446"/>
      <w:bookmarkEnd w:id="189"/>
      <w:bookmarkStart w:id="190" w:name="_Toc184308059"/>
      <w:bookmarkEnd w:id="190"/>
      <w:bookmarkStart w:id="191" w:name="_Toc184312073"/>
      <w:bookmarkEnd w:id="191"/>
      <w:bookmarkStart w:id="192" w:name="_Toc184310296"/>
      <w:bookmarkEnd w:id="192"/>
      <w:bookmarkStart w:id="193" w:name="_Toc184314461"/>
      <w:bookmarkEnd w:id="193"/>
      <w:bookmarkStart w:id="194" w:name="_Toc184312075"/>
      <w:bookmarkEnd w:id="194"/>
      <w:bookmarkStart w:id="195" w:name="_Toc184313286"/>
      <w:bookmarkEnd w:id="195"/>
      <w:bookmarkStart w:id="196" w:name="_Toc184308104"/>
      <w:bookmarkEnd w:id="196"/>
      <w:bookmarkStart w:id="197" w:name="_Toc184308045"/>
      <w:bookmarkEnd w:id="197"/>
      <w:bookmarkStart w:id="198" w:name="_Toc184314474"/>
      <w:bookmarkEnd w:id="198"/>
      <w:bookmarkStart w:id="199" w:name="_Toc184314477"/>
      <w:bookmarkEnd w:id="199"/>
      <w:bookmarkStart w:id="200" w:name="_Toc184313242"/>
      <w:bookmarkEnd w:id="200"/>
      <w:bookmarkStart w:id="201" w:name="_Toc184314469"/>
      <w:bookmarkEnd w:id="201"/>
      <w:bookmarkStart w:id="202" w:name="_Toc184310333"/>
      <w:bookmarkEnd w:id="202"/>
      <w:bookmarkStart w:id="203" w:name="_Toc184312094"/>
      <w:bookmarkEnd w:id="203"/>
      <w:bookmarkStart w:id="204" w:name="_Toc184310339"/>
      <w:bookmarkEnd w:id="204"/>
      <w:bookmarkStart w:id="205" w:name="_Toc184308042"/>
      <w:bookmarkEnd w:id="205"/>
      <w:bookmarkStart w:id="206" w:name="_Toc184314411"/>
      <w:bookmarkEnd w:id="206"/>
      <w:bookmarkStart w:id="207" w:name="_Toc184310332"/>
      <w:bookmarkEnd w:id="207"/>
      <w:bookmarkStart w:id="208" w:name="_Toc184314442"/>
      <w:bookmarkEnd w:id="208"/>
      <w:bookmarkStart w:id="209" w:name="_Toc184310325"/>
      <w:bookmarkEnd w:id="209"/>
      <w:bookmarkStart w:id="210" w:name="_Toc184312136"/>
      <w:bookmarkEnd w:id="210"/>
      <w:bookmarkStart w:id="211" w:name="_Toc184313300"/>
      <w:bookmarkEnd w:id="211"/>
      <w:bookmarkStart w:id="212" w:name="_Toc184314447"/>
      <w:bookmarkEnd w:id="212"/>
      <w:bookmarkStart w:id="213" w:name="_Toc184313283"/>
      <w:bookmarkEnd w:id="213"/>
      <w:bookmarkStart w:id="214" w:name="_Toc184308039"/>
      <w:bookmarkEnd w:id="214"/>
      <w:bookmarkStart w:id="215" w:name="_Toc184312104"/>
      <w:bookmarkEnd w:id="215"/>
      <w:bookmarkStart w:id="216" w:name="_Toc184312077"/>
      <w:bookmarkEnd w:id="216"/>
      <w:bookmarkStart w:id="217" w:name="_Toc184313250"/>
      <w:bookmarkEnd w:id="217"/>
      <w:bookmarkStart w:id="218" w:name="_Toc184313258"/>
      <w:bookmarkEnd w:id="218"/>
      <w:bookmarkStart w:id="219" w:name="_Toc184314455"/>
      <w:bookmarkEnd w:id="219"/>
      <w:bookmarkStart w:id="220" w:name="_Toc184310342"/>
      <w:bookmarkEnd w:id="220"/>
      <w:bookmarkStart w:id="221" w:name="_Toc184310308"/>
      <w:bookmarkEnd w:id="221"/>
      <w:bookmarkStart w:id="222" w:name="_Toc184313243"/>
      <w:bookmarkEnd w:id="222"/>
      <w:bookmarkStart w:id="223" w:name="_Toc184310289"/>
      <w:bookmarkEnd w:id="223"/>
      <w:bookmarkStart w:id="224" w:name="_Toc184314421"/>
      <w:bookmarkEnd w:id="224"/>
      <w:bookmarkStart w:id="225" w:name="_Toc184314433"/>
      <w:bookmarkEnd w:id="225"/>
      <w:bookmarkStart w:id="226" w:name="_Toc184310281"/>
      <w:bookmarkEnd w:id="226"/>
      <w:bookmarkStart w:id="227" w:name="_Toc184308079"/>
      <w:bookmarkEnd w:id="227"/>
      <w:bookmarkStart w:id="228" w:name="_Toc184313305"/>
      <w:bookmarkEnd w:id="228"/>
      <w:bookmarkStart w:id="229" w:name="_Toc184308070"/>
      <w:bookmarkEnd w:id="229"/>
      <w:bookmarkStart w:id="230" w:name="_Toc184310302"/>
      <w:bookmarkEnd w:id="230"/>
      <w:bookmarkStart w:id="231" w:name="_Toc184313287"/>
      <w:bookmarkEnd w:id="231"/>
      <w:bookmarkStart w:id="232" w:name="_Toc184314481"/>
      <w:bookmarkEnd w:id="232"/>
      <w:bookmarkStart w:id="233" w:name="_Toc184310304"/>
      <w:bookmarkEnd w:id="233"/>
      <w:bookmarkStart w:id="234" w:name="_Toc184310303"/>
      <w:bookmarkEnd w:id="234"/>
      <w:bookmarkStart w:id="235" w:name="_Toc184313295"/>
      <w:bookmarkEnd w:id="235"/>
      <w:bookmarkStart w:id="236" w:name="_Toc184314412"/>
      <w:bookmarkEnd w:id="236"/>
      <w:bookmarkStart w:id="237" w:name="_Toc184314468"/>
      <w:bookmarkEnd w:id="237"/>
      <w:bookmarkStart w:id="238" w:name="_Toc184308080"/>
      <w:bookmarkEnd w:id="238"/>
      <w:bookmarkStart w:id="239" w:name="_Toc184312084"/>
      <w:bookmarkEnd w:id="239"/>
      <w:bookmarkStart w:id="240" w:name="_Toc184314416"/>
      <w:bookmarkEnd w:id="240"/>
      <w:bookmarkStart w:id="241" w:name="_Toc184313269"/>
      <w:bookmarkEnd w:id="241"/>
      <w:bookmarkStart w:id="242" w:name="_Toc184308083"/>
      <w:bookmarkEnd w:id="242"/>
      <w:bookmarkStart w:id="243" w:name="_Toc184313289"/>
      <w:bookmarkEnd w:id="243"/>
      <w:bookmarkStart w:id="244" w:name="_Toc184308058"/>
      <w:bookmarkEnd w:id="244"/>
      <w:bookmarkStart w:id="245" w:name="_Toc184313296"/>
      <w:bookmarkEnd w:id="245"/>
      <w:bookmarkStart w:id="246" w:name="_Toc184310282"/>
      <w:bookmarkEnd w:id="246"/>
      <w:bookmarkStart w:id="247" w:name="_Toc184313256"/>
      <w:bookmarkEnd w:id="247"/>
      <w:bookmarkStart w:id="248" w:name="_Toc184308085"/>
      <w:bookmarkEnd w:id="248"/>
      <w:bookmarkStart w:id="249" w:name="_Toc184314413"/>
      <w:bookmarkEnd w:id="249"/>
      <w:bookmarkStart w:id="250" w:name="_Toc184312087"/>
      <w:bookmarkEnd w:id="250"/>
      <w:bookmarkStart w:id="251" w:name="_Toc184312120"/>
      <w:bookmarkEnd w:id="251"/>
      <w:bookmarkStart w:id="252" w:name="_Toc184308071"/>
      <w:bookmarkEnd w:id="252"/>
      <w:bookmarkStart w:id="253" w:name="_Toc184312069"/>
      <w:bookmarkEnd w:id="253"/>
      <w:bookmarkStart w:id="254" w:name="_Toc184312095"/>
      <w:bookmarkEnd w:id="254"/>
      <w:bookmarkStart w:id="255" w:name="_Toc184313293"/>
      <w:bookmarkEnd w:id="255"/>
      <w:bookmarkStart w:id="256" w:name="_Toc184312130"/>
      <w:bookmarkEnd w:id="256"/>
      <w:bookmarkStart w:id="257" w:name="_Toc184312079"/>
      <w:bookmarkEnd w:id="257"/>
      <w:bookmarkStart w:id="258" w:name="_Toc184312107"/>
      <w:bookmarkEnd w:id="258"/>
      <w:bookmarkStart w:id="259" w:name="_Toc184308074"/>
      <w:bookmarkEnd w:id="259"/>
      <w:bookmarkStart w:id="260" w:name="_Toc184313302"/>
      <w:bookmarkEnd w:id="260"/>
      <w:bookmarkStart w:id="261" w:name="_Toc184314464"/>
      <w:bookmarkEnd w:id="261"/>
      <w:bookmarkStart w:id="262" w:name="_Toc184308038"/>
      <w:bookmarkEnd w:id="262"/>
      <w:bookmarkStart w:id="263" w:name="_Toc184312138"/>
      <w:bookmarkEnd w:id="263"/>
      <w:bookmarkStart w:id="264" w:name="_Toc184308094"/>
      <w:bookmarkEnd w:id="264"/>
      <w:bookmarkStart w:id="265" w:name="_Toc184314438"/>
      <w:bookmarkEnd w:id="265"/>
      <w:bookmarkStart w:id="266" w:name="_Toc184312088"/>
      <w:bookmarkEnd w:id="266"/>
      <w:bookmarkStart w:id="267" w:name="_Toc184312126"/>
      <w:bookmarkEnd w:id="267"/>
      <w:bookmarkStart w:id="268" w:name="_Toc184308068"/>
      <w:bookmarkEnd w:id="268"/>
      <w:bookmarkStart w:id="269" w:name="_Toc184312113"/>
      <w:bookmarkEnd w:id="269"/>
      <w:bookmarkStart w:id="270" w:name="_Toc184313275"/>
      <w:bookmarkEnd w:id="270"/>
      <w:bookmarkStart w:id="271" w:name="_Toc184312111"/>
      <w:bookmarkEnd w:id="271"/>
      <w:bookmarkStart w:id="272" w:name="_Toc184312083"/>
      <w:bookmarkEnd w:id="272"/>
      <w:bookmarkStart w:id="273" w:name="_Toc184308086"/>
      <w:bookmarkEnd w:id="273"/>
      <w:bookmarkStart w:id="274" w:name="_Toc184308106"/>
      <w:bookmarkEnd w:id="274"/>
      <w:bookmarkStart w:id="275" w:name="_Toc184314440"/>
      <w:bookmarkEnd w:id="275"/>
      <w:bookmarkStart w:id="276" w:name="_Toc184313278"/>
      <w:bookmarkEnd w:id="276"/>
      <w:bookmarkStart w:id="277" w:name="_Toc184313290"/>
      <w:bookmarkEnd w:id="277"/>
      <w:bookmarkStart w:id="278" w:name="_Toc184312078"/>
      <w:bookmarkEnd w:id="278"/>
      <w:bookmarkStart w:id="279" w:name="_Toc184312074"/>
      <w:bookmarkEnd w:id="279"/>
      <w:bookmarkStart w:id="280" w:name="_Toc184314445"/>
      <w:bookmarkEnd w:id="280"/>
      <w:bookmarkStart w:id="281" w:name="_Toc184313272"/>
      <w:bookmarkEnd w:id="281"/>
      <w:bookmarkStart w:id="282" w:name="_Toc184308048"/>
      <w:bookmarkEnd w:id="282"/>
      <w:bookmarkStart w:id="283" w:name="_Toc184308097"/>
      <w:bookmarkEnd w:id="283"/>
      <w:bookmarkStart w:id="284" w:name="_Toc184310327"/>
      <w:bookmarkEnd w:id="284"/>
      <w:bookmarkStart w:id="285" w:name="_Toc184310305"/>
      <w:bookmarkEnd w:id="285"/>
      <w:bookmarkStart w:id="286" w:name="_Toc184310338"/>
      <w:bookmarkEnd w:id="286"/>
      <w:bookmarkStart w:id="287" w:name="_Toc184313265"/>
      <w:bookmarkEnd w:id="287"/>
      <w:bookmarkStart w:id="288" w:name="_Toc184310297"/>
      <w:bookmarkEnd w:id="288"/>
      <w:bookmarkStart w:id="289" w:name="_Toc184314465"/>
      <w:bookmarkEnd w:id="289"/>
      <w:bookmarkStart w:id="290" w:name="_Toc184312117"/>
      <w:bookmarkEnd w:id="290"/>
      <w:bookmarkStart w:id="291" w:name="_Toc184314448"/>
      <w:bookmarkEnd w:id="291"/>
      <w:bookmarkStart w:id="292" w:name="_Toc184313247"/>
      <w:bookmarkEnd w:id="292"/>
      <w:bookmarkStart w:id="293" w:name="_Toc184308073"/>
      <w:bookmarkEnd w:id="293"/>
      <w:bookmarkStart w:id="294" w:name="_Toc184310278"/>
      <w:bookmarkEnd w:id="294"/>
      <w:bookmarkStart w:id="295" w:name="_Toc184314443"/>
      <w:bookmarkEnd w:id="295"/>
      <w:bookmarkStart w:id="296" w:name="_Toc184308084"/>
      <w:bookmarkEnd w:id="296"/>
      <w:bookmarkStart w:id="297" w:name="_Toc184313301"/>
      <w:bookmarkEnd w:id="297"/>
      <w:bookmarkStart w:id="298" w:name="_Toc184314437"/>
      <w:bookmarkEnd w:id="298"/>
      <w:bookmarkStart w:id="299" w:name="_Toc184314430"/>
      <w:bookmarkEnd w:id="299"/>
      <w:bookmarkStart w:id="300" w:name="_Toc184313260"/>
      <w:bookmarkEnd w:id="300"/>
      <w:bookmarkStart w:id="301" w:name="_Toc184308067"/>
      <w:bookmarkEnd w:id="301"/>
      <w:bookmarkStart w:id="302" w:name="_Toc184310310"/>
      <w:bookmarkEnd w:id="302"/>
      <w:bookmarkStart w:id="303" w:name="_Toc184308062"/>
      <w:bookmarkEnd w:id="303"/>
      <w:bookmarkStart w:id="304" w:name="_Toc184314450"/>
      <w:bookmarkEnd w:id="304"/>
      <w:bookmarkStart w:id="305" w:name="_Toc184308061"/>
      <w:bookmarkEnd w:id="305"/>
      <w:bookmarkStart w:id="306" w:name="_Toc184308081"/>
      <w:bookmarkEnd w:id="306"/>
      <w:bookmarkStart w:id="307" w:name="_Toc184312080"/>
      <w:bookmarkEnd w:id="307"/>
      <w:bookmarkStart w:id="308" w:name="_Toc184312115"/>
      <w:bookmarkEnd w:id="308"/>
      <w:bookmarkStart w:id="309" w:name="_Toc184308101"/>
      <w:bookmarkEnd w:id="309"/>
      <w:bookmarkStart w:id="310" w:name="_Toc184313294"/>
      <w:bookmarkEnd w:id="310"/>
      <w:bookmarkStart w:id="311" w:name="_Toc184313261"/>
      <w:bookmarkEnd w:id="311"/>
      <w:bookmarkStart w:id="312" w:name="_Toc184313274"/>
      <w:bookmarkEnd w:id="312"/>
      <w:bookmarkStart w:id="313" w:name="_Toc184313266"/>
      <w:bookmarkEnd w:id="313"/>
      <w:bookmarkStart w:id="314" w:name="_Toc184314463"/>
      <w:bookmarkEnd w:id="314"/>
      <w:bookmarkStart w:id="315" w:name="_Toc184314420"/>
      <w:bookmarkEnd w:id="315"/>
      <w:bookmarkStart w:id="316" w:name="_Toc184314444"/>
      <w:bookmarkEnd w:id="316"/>
      <w:bookmarkStart w:id="317" w:name="_Toc184310334"/>
      <w:bookmarkEnd w:id="317"/>
      <w:bookmarkStart w:id="318" w:name="_Toc184312135"/>
      <w:bookmarkEnd w:id="318"/>
      <w:bookmarkStart w:id="319" w:name="_Toc184310322"/>
      <w:bookmarkEnd w:id="319"/>
      <w:bookmarkStart w:id="320" w:name="_Toc184308077"/>
      <w:bookmarkEnd w:id="320"/>
      <w:bookmarkStart w:id="321" w:name="_Toc184312139"/>
      <w:bookmarkEnd w:id="321"/>
      <w:bookmarkStart w:id="322" w:name="_Toc184310300"/>
      <w:bookmarkEnd w:id="322"/>
      <w:bookmarkStart w:id="323" w:name="_Toc184310306"/>
      <w:bookmarkEnd w:id="323"/>
      <w:bookmarkStart w:id="324" w:name="_Toc184313268"/>
      <w:bookmarkEnd w:id="324"/>
      <w:bookmarkStart w:id="325" w:name="_Toc184314410"/>
      <w:bookmarkEnd w:id="325"/>
      <w:bookmarkStart w:id="326" w:name="_Toc184314482"/>
      <w:bookmarkEnd w:id="326"/>
      <w:bookmarkStart w:id="327" w:name="_Toc184314458"/>
      <w:bookmarkEnd w:id="327"/>
      <w:bookmarkStart w:id="328" w:name="_Toc184308036"/>
      <w:bookmarkEnd w:id="328"/>
      <w:bookmarkStart w:id="329" w:name="_Toc184313257"/>
      <w:bookmarkEnd w:id="329"/>
      <w:bookmarkStart w:id="330" w:name="_Toc184312106"/>
      <w:bookmarkEnd w:id="330"/>
      <w:bookmarkStart w:id="331" w:name="_Toc184312068"/>
      <w:bookmarkEnd w:id="331"/>
      <w:bookmarkStart w:id="332" w:name="_Toc184313240"/>
      <w:bookmarkEnd w:id="332"/>
      <w:bookmarkStart w:id="333" w:name="_Toc184313276"/>
      <w:bookmarkEnd w:id="333"/>
      <w:bookmarkStart w:id="334" w:name="_Toc184312132"/>
      <w:bookmarkEnd w:id="334"/>
      <w:bookmarkStart w:id="335" w:name="_Toc184308099"/>
      <w:bookmarkEnd w:id="335"/>
      <w:bookmarkStart w:id="336" w:name="_Toc184314459"/>
      <w:bookmarkEnd w:id="336"/>
      <w:bookmarkStart w:id="337" w:name="_Toc184310329"/>
      <w:bookmarkEnd w:id="337"/>
      <w:bookmarkStart w:id="338" w:name="_Toc184314478"/>
      <w:bookmarkEnd w:id="338"/>
      <w:bookmarkStart w:id="339" w:name="_Toc184308041"/>
      <w:bookmarkEnd w:id="339"/>
      <w:bookmarkStart w:id="340" w:name="_Toc184308100"/>
      <w:bookmarkEnd w:id="340"/>
      <w:bookmarkStart w:id="341" w:name="_Toc184314431"/>
      <w:bookmarkEnd w:id="341"/>
      <w:bookmarkStart w:id="342" w:name="_Toc184314426"/>
      <w:bookmarkEnd w:id="342"/>
      <w:bookmarkStart w:id="343" w:name="_Toc184313277"/>
      <w:bookmarkEnd w:id="343"/>
      <w:bookmarkStart w:id="344" w:name="_Toc184313310"/>
      <w:bookmarkEnd w:id="344"/>
      <w:bookmarkStart w:id="345" w:name="_Toc184308060"/>
      <w:bookmarkEnd w:id="345"/>
      <w:bookmarkStart w:id="346" w:name="_Toc184312102"/>
      <w:bookmarkEnd w:id="346"/>
      <w:bookmarkStart w:id="347" w:name="_Toc184308087"/>
      <w:bookmarkEnd w:id="347"/>
      <w:bookmarkStart w:id="348" w:name="_Toc184314427"/>
      <w:bookmarkEnd w:id="348"/>
      <w:bookmarkStart w:id="349" w:name="_Toc184310298"/>
      <w:bookmarkEnd w:id="349"/>
      <w:bookmarkStart w:id="350" w:name="_Toc184310344"/>
      <w:bookmarkEnd w:id="350"/>
      <w:bookmarkStart w:id="351" w:name="_Toc184310315"/>
      <w:bookmarkEnd w:id="351"/>
      <w:bookmarkStart w:id="352" w:name="_Toc184312122"/>
      <w:bookmarkEnd w:id="352"/>
      <w:bookmarkStart w:id="353" w:name="_Toc184313288"/>
      <w:bookmarkEnd w:id="353"/>
      <w:bookmarkStart w:id="354" w:name="_Toc184308108"/>
      <w:bookmarkEnd w:id="354"/>
      <w:bookmarkStart w:id="355" w:name="_Toc184312134"/>
      <w:bookmarkEnd w:id="355"/>
      <w:bookmarkStart w:id="356" w:name="_Toc184314456"/>
      <w:bookmarkEnd w:id="356"/>
      <w:bookmarkStart w:id="357" w:name="_Toc184313279"/>
      <w:bookmarkEnd w:id="357"/>
      <w:bookmarkStart w:id="358" w:name="_Toc184308037"/>
      <w:bookmarkEnd w:id="358"/>
      <w:bookmarkStart w:id="359" w:name="_Toc184312125"/>
      <w:bookmarkEnd w:id="359"/>
      <w:bookmarkStart w:id="360" w:name="_Toc184310326"/>
      <w:bookmarkEnd w:id="360"/>
      <w:bookmarkStart w:id="361" w:name="_Toc184308102"/>
      <w:bookmarkEnd w:id="361"/>
      <w:bookmarkStart w:id="362" w:name="_Toc184312090"/>
      <w:bookmarkEnd w:id="362"/>
      <w:bookmarkStart w:id="363" w:name="_Toc184314435"/>
      <w:bookmarkEnd w:id="363"/>
      <w:bookmarkStart w:id="364" w:name="_Toc184308044"/>
      <w:bookmarkEnd w:id="364"/>
      <w:bookmarkStart w:id="365" w:name="_Toc184310284"/>
      <w:bookmarkEnd w:id="365"/>
      <w:bookmarkStart w:id="366" w:name="_Toc184310330"/>
      <w:bookmarkEnd w:id="366"/>
      <w:bookmarkStart w:id="367" w:name="_Toc184308052"/>
      <w:bookmarkEnd w:id="367"/>
      <w:bookmarkStart w:id="368" w:name="_Toc184312127"/>
      <w:bookmarkEnd w:id="368"/>
      <w:bookmarkStart w:id="369" w:name="_Toc184313264"/>
      <w:bookmarkEnd w:id="369"/>
      <w:bookmarkStart w:id="370" w:name="_Toc184308089"/>
      <w:bookmarkEnd w:id="370"/>
      <w:bookmarkStart w:id="371" w:name="_Toc184312112"/>
      <w:bookmarkEnd w:id="371"/>
      <w:bookmarkStart w:id="372" w:name="_Toc184314467"/>
      <w:bookmarkEnd w:id="372"/>
      <w:bookmarkStart w:id="373" w:name="_Toc184312121"/>
      <w:bookmarkEnd w:id="373"/>
      <w:bookmarkStart w:id="374" w:name="_Toc184308095"/>
      <w:bookmarkEnd w:id="374"/>
      <w:bookmarkStart w:id="375" w:name="_Toc184310317"/>
      <w:bookmarkEnd w:id="375"/>
      <w:bookmarkStart w:id="376" w:name="_Toc184308056"/>
      <w:bookmarkEnd w:id="376"/>
      <w:bookmarkStart w:id="377" w:name="_Toc184310292"/>
      <w:bookmarkEnd w:id="377"/>
      <w:bookmarkStart w:id="378" w:name="_Toc184314419"/>
      <w:bookmarkEnd w:id="378"/>
      <w:bookmarkStart w:id="379" w:name="_Toc184308049"/>
      <w:bookmarkEnd w:id="379"/>
      <w:bookmarkStart w:id="380" w:name="_Toc184312116"/>
      <w:bookmarkEnd w:id="380"/>
      <w:bookmarkStart w:id="381" w:name="_Toc184310293"/>
      <w:bookmarkEnd w:id="381"/>
      <w:bookmarkStart w:id="382" w:name="_Toc184310285"/>
      <w:bookmarkEnd w:id="382"/>
      <w:bookmarkStart w:id="383" w:name="_Toc184310324"/>
      <w:bookmarkEnd w:id="383"/>
      <w:bookmarkStart w:id="384" w:name="_Toc184312123"/>
      <w:bookmarkEnd w:id="384"/>
      <w:bookmarkStart w:id="385" w:name="_Toc184312133"/>
      <w:bookmarkEnd w:id="385"/>
      <w:bookmarkStart w:id="386" w:name="_Toc184313307"/>
      <w:bookmarkEnd w:id="386"/>
      <w:bookmarkStart w:id="387" w:name="_Toc184310274"/>
      <w:bookmarkEnd w:id="387"/>
      <w:bookmarkStart w:id="388" w:name="_Toc184310314"/>
      <w:bookmarkEnd w:id="388"/>
      <w:bookmarkStart w:id="389" w:name="_Toc184308098"/>
      <w:bookmarkEnd w:id="389"/>
      <w:bookmarkStart w:id="390" w:name="_Toc184314451"/>
      <w:bookmarkEnd w:id="390"/>
      <w:bookmarkStart w:id="391" w:name="_Toc184314423"/>
      <w:bookmarkEnd w:id="391"/>
      <w:bookmarkStart w:id="392" w:name="_Toc184312091"/>
      <w:bookmarkEnd w:id="392"/>
      <w:bookmarkStart w:id="393" w:name="_Toc184310319"/>
      <w:bookmarkEnd w:id="393"/>
      <w:bookmarkStart w:id="394" w:name="_Toc184310331"/>
      <w:bookmarkEnd w:id="394"/>
      <w:bookmarkStart w:id="395" w:name="_Toc184310286"/>
      <w:bookmarkEnd w:id="395"/>
      <w:bookmarkStart w:id="396" w:name="_Toc184310321"/>
      <w:bookmarkEnd w:id="396"/>
      <w:r>
        <w:rPr>
          <w:rFonts w:hint="eastAsia" w:ascii="宋体" w:hAnsi="宋体" w:cs="宋体"/>
          <w:b/>
          <w:sz w:val="36"/>
          <w:szCs w:val="20"/>
          <w:highlight w:val="none"/>
        </w:rPr>
        <w:t xml:space="preserve"> 评审办法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5"/>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857"/>
        <w:gridCol w:w="9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outlineLvl w:val="0"/>
              <w:rPr>
                <w:rFonts w:ascii="宋体" w:hAnsi="宋体" w:cs="宋体"/>
                <w:b/>
                <w:bCs w:val="0"/>
                <w:sz w:val="24"/>
                <w:highlight w:val="none"/>
              </w:rPr>
            </w:pPr>
            <w:r>
              <w:rPr>
                <w:rFonts w:hint="eastAsia" w:ascii="宋体" w:hAnsi="宋体" w:cs="宋体"/>
                <w:b/>
                <w:bCs w:val="0"/>
                <w:sz w:val="24"/>
                <w:highlight w:val="none"/>
              </w:rPr>
              <w:t>序号</w:t>
            </w:r>
          </w:p>
        </w:tc>
        <w:tc>
          <w:tcPr>
            <w:tcW w:w="6857" w:type="dxa"/>
            <w:vAlign w:val="center"/>
          </w:tcPr>
          <w:p>
            <w:pPr>
              <w:snapToGrid w:val="0"/>
              <w:spacing w:line="240" w:lineRule="auto"/>
              <w:jc w:val="center"/>
              <w:outlineLvl w:val="0"/>
              <w:rPr>
                <w:rFonts w:ascii="宋体" w:hAnsi="宋体" w:cs="宋体"/>
                <w:b/>
                <w:bCs w:val="0"/>
                <w:sz w:val="24"/>
                <w:highlight w:val="none"/>
              </w:rPr>
            </w:pPr>
            <w:r>
              <w:rPr>
                <w:rFonts w:hint="eastAsia" w:ascii="宋体" w:hAnsi="宋体" w:cs="宋体"/>
                <w:b/>
                <w:bCs w:val="0"/>
                <w:sz w:val="24"/>
                <w:highlight w:val="none"/>
              </w:rPr>
              <w:t>评审标准</w:t>
            </w:r>
          </w:p>
        </w:tc>
        <w:tc>
          <w:tcPr>
            <w:tcW w:w="927" w:type="dxa"/>
            <w:vAlign w:val="center"/>
          </w:tcPr>
          <w:p>
            <w:pPr>
              <w:snapToGrid w:val="0"/>
              <w:spacing w:line="240" w:lineRule="auto"/>
              <w:jc w:val="center"/>
              <w:outlineLvl w:val="0"/>
              <w:rPr>
                <w:rFonts w:ascii="宋体" w:hAnsi="宋体" w:cs="宋体"/>
                <w:b/>
                <w:bCs w:val="0"/>
                <w:sz w:val="24"/>
                <w:highlight w:val="none"/>
              </w:rPr>
            </w:pPr>
            <w:r>
              <w:rPr>
                <w:rFonts w:hint="eastAsia" w:ascii="宋体" w:hAnsi="宋体" w:cs="宋体"/>
                <w:b/>
                <w:bCs w:val="0"/>
                <w:sz w:val="24"/>
                <w:highlight w:val="none"/>
              </w:rPr>
              <w:t>权重</w:t>
            </w:r>
          </w:p>
        </w:tc>
        <w:tc>
          <w:tcPr>
            <w:tcW w:w="1682" w:type="dxa"/>
          </w:tcPr>
          <w:p>
            <w:pPr>
              <w:snapToGrid w:val="0"/>
              <w:spacing w:line="240" w:lineRule="auto"/>
              <w:outlineLvl w:val="0"/>
              <w:rPr>
                <w:rFonts w:ascii="宋体" w:hAnsi="宋体" w:cs="宋体"/>
                <w:b/>
                <w:bCs w:val="0"/>
                <w:sz w:val="24"/>
                <w:highlight w:val="none"/>
              </w:rPr>
            </w:pPr>
            <w:r>
              <w:rPr>
                <w:rFonts w:hint="eastAsia" w:ascii="宋体" w:hAnsi="宋体" w:cs="宋体"/>
                <w:b/>
                <w:bCs w:val="0"/>
                <w:sz w:val="24"/>
                <w:highlight w:val="none"/>
              </w:rPr>
              <w:t>响应文件中评审标准相应的商务技术资料目录</w:t>
            </w:r>
            <w:r>
              <w:rPr>
                <w:rFonts w:hint="eastAsia" w:ascii="宋体" w:hAnsi="宋体" w:cs="宋体"/>
                <w:b/>
                <w:bCs w:val="0"/>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napToGrid w:val="0"/>
              <w:spacing w:line="240" w:lineRule="auto"/>
              <w:jc w:val="center"/>
              <w:outlineLvl w:val="0"/>
              <w:rPr>
                <w:rFonts w:ascii="宋体" w:hAnsi="宋体" w:cs="宋体"/>
                <w:sz w:val="24"/>
                <w:highlight w:val="none"/>
              </w:rPr>
            </w:pPr>
            <w:r>
              <w:rPr>
                <w:rFonts w:hint="eastAsia" w:ascii="宋体" w:hAnsi="宋体" w:cs="宋体"/>
                <w:sz w:val="24"/>
                <w:highlight w:val="none"/>
              </w:rPr>
              <w:t>1</w:t>
            </w:r>
          </w:p>
        </w:tc>
        <w:tc>
          <w:tcPr>
            <w:tcW w:w="6857" w:type="dxa"/>
            <w:vAlign w:val="top"/>
          </w:tcPr>
          <w:p>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供应商近年（202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年1月1日以来，以合同签订时间为准）承接的</w:t>
            </w:r>
            <w:r>
              <w:rPr>
                <w:rFonts w:hint="eastAsia" w:ascii="宋体" w:hAnsi="宋体" w:eastAsia="宋体" w:cs="宋体"/>
                <w:color w:val="auto"/>
                <w:sz w:val="24"/>
                <w:szCs w:val="24"/>
                <w:highlight w:val="none"/>
                <w:lang w:val="en-US" w:eastAsia="zh-CN"/>
              </w:rPr>
              <w:t>同类合同</w:t>
            </w:r>
            <w:r>
              <w:rPr>
                <w:rFonts w:hint="eastAsia" w:ascii="宋体" w:hAnsi="宋体" w:eastAsia="宋体" w:cs="宋体"/>
                <w:color w:val="auto"/>
                <w:sz w:val="24"/>
                <w:szCs w:val="24"/>
                <w:highlight w:val="none"/>
              </w:rPr>
              <w:t>业绩，每个得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业绩证明材料为合同或验收证明材料，需提供复印件加盖供应商公章。</w:t>
            </w:r>
          </w:p>
        </w:tc>
        <w:tc>
          <w:tcPr>
            <w:tcW w:w="927" w:type="dxa"/>
            <w:vAlign w:val="center"/>
          </w:tcPr>
          <w:p>
            <w:pPr>
              <w:snapToGrid w:val="0"/>
              <w:spacing w:line="24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w:t>
            </w:r>
          </w:p>
        </w:tc>
        <w:tc>
          <w:tcPr>
            <w:tcW w:w="1682" w:type="dxa"/>
            <w:vAlign w:val="center"/>
          </w:tcPr>
          <w:p>
            <w:pPr>
              <w:snapToGrid w:val="0"/>
              <w:spacing w:line="240" w:lineRule="auto"/>
              <w:jc w:val="both"/>
              <w:outlineLvl w:val="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napToGrid w:val="0"/>
              <w:spacing w:line="240" w:lineRule="auto"/>
              <w:jc w:val="center"/>
              <w:outlineLvl w:val="0"/>
              <w:rPr>
                <w:rFonts w:ascii="宋体" w:hAnsi="宋体" w:cs="宋体"/>
                <w:sz w:val="24"/>
                <w:highlight w:val="none"/>
              </w:rPr>
            </w:pPr>
            <w:r>
              <w:rPr>
                <w:rFonts w:hint="eastAsia" w:ascii="宋体" w:hAnsi="宋体" w:cs="宋体"/>
                <w:sz w:val="24"/>
                <w:highlight w:val="none"/>
              </w:rPr>
              <w:t>2</w:t>
            </w:r>
          </w:p>
        </w:tc>
        <w:tc>
          <w:tcPr>
            <w:tcW w:w="6857" w:type="dxa"/>
            <w:vAlign w:val="top"/>
          </w:tcPr>
          <w:p>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供应商具有有效期内的质量管理体系认证、环境管理体系认证、职业健康安全管理体系认证的，每项得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分。提供相关网站（中国国家认证认可监督管理委员会(http://www.cnca.gov.cn)或中国合格评定国家认可委员会(https://www.cnas.org.cn)）查询网页的截图，未提供截图的不得分。</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3</w:t>
            </w:r>
          </w:p>
        </w:tc>
        <w:tc>
          <w:tcPr>
            <w:tcW w:w="1682" w:type="dxa"/>
          </w:tcPr>
          <w:p>
            <w:pPr>
              <w:snapToGrid w:val="0"/>
              <w:spacing w:line="240" w:lineRule="auto"/>
              <w:outlineLvl w:val="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6857" w:type="dxa"/>
            <w:vAlign w:val="center"/>
          </w:tcPr>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拟派驻现场的项目组专业配置能否满足项目要求，组织机构是否合理，要求配置：施工员，质量员，安全员，材料员，资料员。每有一类得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 注：需提供具体人员配置清单和相关证书扫描件（</w:t>
            </w:r>
            <w:r>
              <w:rPr>
                <w:rFonts w:hint="eastAsia" w:ascii="宋体" w:hAnsi="宋体" w:eastAsia="宋体" w:cs="宋体"/>
                <w:color w:val="auto"/>
                <w:sz w:val="24"/>
                <w:szCs w:val="24"/>
                <w:highlight w:val="none"/>
                <w:lang w:val="en-US" w:eastAsia="zh-CN"/>
              </w:rPr>
              <w:t>安全员不得兼任</w:t>
            </w:r>
            <w:r>
              <w:rPr>
                <w:rFonts w:hint="eastAsia" w:ascii="宋体" w:hAnsi="宋体" w:eastAsia="宋体" w:cs="宋体"/>
                <w:color w:val="auto"/>
                <w:sz w:val="24"/>
                <w:szCs w:val="24"/>
                <w:highlight w:val="none"/>
              </w:rPr>
              <w:t>。）及为上述人员缴纳社保的证明材料（开标前三月任意一月社保缴纳证明）。</w:t>
            </w:r>
          </w:p>
        </w:tc>
        <w:tc>
          <w:tcPr>
            <w:tcW w:w="927" w:type="dxa"/>
            <w:vAlign w:val="center"/>
          </w:tcPr>
          <w:p>
            <w:pPr>
              <w:snapToGrid w:val="0"/>
              <w:spacing w:line="240" w:lineRule="auto"/>
              <w:ind w:firstLine="0" w:firstLineChars="0"/>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6857" w:type="dxa"/>
            <w:vAlign w:val="center"/>
          </w:tcPr>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cs="宋体"/>
                <w:sz w:val="24"/>
                <w:highlight w:val="none"/>
              </w:rPr>
              <w:t>拟派项目经理具有中级工程师职称及以上的得</w:t>
            </w:r>
            <w:r>
              <w:rPr>
                <w:rFonts w:hint="eastAsia" w:ascii="宋体" w:hAnsi="宋体" w:cs="宋体"/>
                <w:sz w:val="24"/>
                <w:highlight w:val="none"/>
                <w:lang w:val="en-US" w:eastAsia="zh-CN"/>
              </w:rPr>
              <w:t>1</w:t>
            </w:r>
            <w:r>
              <w:rPr>
                <w:rFonts w:hint="eastAsia" w:ascii="宋体" w:hAnsi="宋体" w:cs="宋体"/>
                <w:sz w:val="24"/>
                <w:highlight w:val="none"/>
              </w:rPr>
              <w:t>分，其余不得分。(证明材料为职称证书复印件</w:t>
            </w:r>
            <w:r>
              <w:rPr>
                <w:rFonts w:hint="eastAsia" w:ascii="宋体" w:hAnsi="宋体" w:cs="宋体"/>
                <w:bCs/>
                <w:sz w:val="24"/>
                <w:highlight w:val="none"/>
              </w:rPr>
              <w:t>并提供投标单位缴纳社保的证明资料原件的扫描件并加盖投标单位公章</w:t>
            </w:r>
            <w:r>
              <w:rPr>
                <w:rFonts w:hint="eastAsia" w:ascii="宋体" w:hAnsi="宋体" w:cs="宋体"/>
                <w:sz w:val="24"/>
                <w:highlight w:val="none"/>
              </w:rPr>
              <w:t>)</w:t>
            </w:r>
          </w:p>
        </w:tc>
        <w:tc>
          <w:tcPr>
            <w:tcW w:w="927" w:type="dxa"/>
            <w:vAlign w:val="center"/>
          </w:tcPr>
          <w:p>
            <w:pPr>
              <w:snapToGrid w:val="0"/>
              <w:spacing w:line="240" w:lineRule="auto"/>
              <w:ind w:firstLine="0" w:firstLineChars="0"/>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1</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6857" w:type="dxa"/>
            <w:vAlign w:val="center"/>
          </w:tcPr>
          <w:p>
            <w:pPr>
              <w:tabs>
                <w:tab w:val="left" w:pos="1500"/>
              </w:tabs>
              <w:adjustRightInd w:val="0"/>
              <w:snapToGri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派驻现场的人员的配置情况：包括①内部管理制度如何满足本工程的施工的要求②团队实施人员配置合理性，人员经验、技术能力等（评审分值为5分或4分或3分或2分或1分或0分）。</w:t>
            </w:r>
          </w:p>
        </w:tc>
        <w:tc>
          <w:tcPr>
            <w:tcW w:w="927" w:type="dxa"/>
            <w:vAlign w:val="center"/>
          </w:tcPr>
          <w:p>
            <w:pPr>
              <w:snapToGrid w:val="0"/>
              <w:spacing w:line="240" w:lineRule="auto"/>
              <w:jc w:val="center"/>
              <w:outlineLvl w:val="0"/>
              <w:rPr>
                <w:rFonts w:hint="eastAsia" w:ascii="宋体" w:hAnsi="宋体" w:eastAsia="宋体" w:cs="宋体"/>
                <w:bCs/>
                <w:kern w:val="2"/>
                <w:sz w:val="24"/>
                <w:szCs w:val="24"/>
                <w:highlight w:val="none"/>
                <w:lang w:val="en-US" w:eastAsia="zh-CN" w:bidi="ar-SA"/>
              </w:rPr>
            </w:pPr>
            <w:r>
              <w:rPr>
                <w:rFonts w:hint="eastAsia" w:ascii="宋体" w:hAnsi="宋体" w:cs="宋体"/>
                <w:bCs/>
                <w:sz w:val="24"/>
                <w:highlight w:val="none"/>
                <w:lang w:val="en-US" w:eastAsia="zh-CN"/>
              </w:rPr>
              <w:t>5</w:t>
            </w:r>
          </w:p>
        </w:tc>
        <w:tc>
          <w:tcPr>
            <w:tcW w:w="1682" w:type="dxa"/>
            <w:vAlign w:val="top"/>
          </w:tcPr>
          <w:p>
            <w:pPr>
              <w:snapToGrid w:val="0"/>
              <w:spacing w:line="240" w:lineRule="auto"/>
              <w:rPr>
                <w:rFonts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6</w:t>
            </w:r>
          </w:p>
        </w:tc>
        <w:tc>
          <w:tcPr>
            <w:tcW w:w="6857" w:type="dxa"/>
            <w:vAlign w:val="center"/>
          </w:tcPr>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根据供应商对于项目背景、概况、目的准确理解和把握情况综合评审。</w:t>
            </w:r>
          </w:p>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①根据供应商对于项目背景、概况、目的准确理解和把握；</w:t>
            </w:r>
          </w:p>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②对所有涉及工作任务进行分解、归类；</w:t>
            </w:r>
          </w:p>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③明确所有交付成果。</w:t>
            </w:r>
          </w:p>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内容完整、理解分析准确、科学周密、匹配性强，符合采购人实际视为合理。</w:t>
            </w:r>
          </w:p>
          <w:p>
            <w:pPr>
              <w:tabs>
                <w:tab w:val="left" w:pos="1500"/>
              </w:tabs>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每项内容缺乏相应数据或理解有一定的偏离的得1分；每项内容不合理得0分。每项最高得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分，总共得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27" w:type="dxa"/>
            <w:vAlign w:val="center"/>
          </w:tcPr>
          <w:p>
            <w:pPr>
              <w:snapToGrid w:val="0"/>
              <w:spacing w:line="240" w:lineRule="auto"/>
              <w:jc w:val="center"/>
              <w:outlineLvl w:val="0"/>
              <w:rPr>
                <w:rFonts w:hint="eastAsia" w:ascii="宋体" w:hAnsi="宋体" w:cs="宋体"/>
                <w:bCs/>
                <w:sz w:val="24"/>
                <w:highlight w:val="none"/>
                <w:lang w:val="en-US" w:eastAsia="zh-CN"/>
              </w:rPr>
            </w:pPr>
            <w:r>
              <w:rPr>
                <w:rFonts w:hint="eastAsia" w:ascii="宋体" w:hAnsi="宋体" w:cs="宋体"/>
                <w:bCs/>
                <w:sz w:val="24"/>
                <w:highlight w:val="none"/>
                <w:lang w:val="en-US" w:eastAsia="zh-CN"/>
              </w:rPr>
              <w:t>3</w:t>
            </w:r>
          </w:p>
        </w:tc>
        <w:tc>
          <w:tcPr>
            <w:tcW w:w="1682" w:type="dxa"/>
            <w:vAlign w:val="top"/>
          </w:tcPr>
          <w:p>
            <w:pPr>
              <w:snapToGrid w:val="0"/>
              <w:spacing w:line="240" w:lineRule="auto"/>
              <w:rPr>
                <w:rFonts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6857" w:type="dxa"/>
            <w:vAlign w:val="center"/>
          </w:tcPr>
          <w:p>
            <w:pPr>
              <w:tabs>
                <w:tab w:val="left" w:pos="1500"/>
              </w:tabs>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施工总体安排计划、施工场地布置方案的详细性和周密性（包括①临时设施及场地安排②施工用水用电等）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对方案的科学合理性、可实施性以及对项目的满足程度进行评审（评审分值为：5分或4分或3分或2分或1分或0分）</w:t>
            </w:r>
            <w:r>
              <w:rPr>
                <w:rFonts w:hint="eastAsia" w:ascii="宋体" w:hAnsi="宋体" w:eastAsia="宋体" w:cs="宋体"/>
                <w:color w:val="auto"/>
                <w:sz w:val="24"/>
                <w:szCs w:val="24"/>
                <w:highlight w:val="none"/>
              </w:rPr>
              <w:t>。</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6857" w:type="dxa"/>
            <w:vAlign w:val="center"/>
          </w:tcPr>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①提供项目</w:t>
            </w:r>
            <w:r>
              <w:rPr>
                <w:rFonts w:hint="eastAsia" w:ascii="宋体" w:hAnsi="宋体" w:eastAsia="宋体" w:cs="宋体"/>
                <w:color w:val="auto"/>
                <w:sz w:val="24"/>
                <w:szCs w:val="24"/>
                <w:highlight w:val="none"/>
                <w:lang w:val="en-US" w:eastAsia="zh-CN"/>
              </w:rPr>
              <w:t>进度</w:t>
            </w:r>
            <w:r>
              <w:rPr>
                <w:rFonts w:hint="eastAsia" w:ascii="宋体" w:hAnsi="宋体" w:eastAsia="宋体" w:cs="宋体"/>
                <w:color w:val="auto"/>
                <w:sz w:val="24"/>
                <w:szCs w:val="24"/>
                <w:highlight w:val="none"/>
              </w:rPr>
              <w:t>表（内容完整、计划安排具体合理、整体计划对采购人有利符合采购需求得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分，部分满足采购人要求的得1分，不符合不得分）；</w:t>
            </w:r>
          </w:p>
          <w:p>
            <w:pPr>
              <w:tabs>
                <w:tab w:val="left" w:pos="1500"/>
              </w:tabs>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②提供组织机构、工作程序和步骤、管理和协调方法、关键步骤的思路和要点。内容完整、措施具体有效，满足采购人要求的得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分，部分满足采购人要求的得1分；</w:t>
            </w:r>
          </w:p>
          <w:p>
            <w:pPr>
              <w:tabs>
                <w:tab w:val="left" w:pos="1500"/>
              </w:tabs>
              <w:adjustRightInd w:val="0"/>
              <w:snapToGrid w:val="0"/>
              <w:spacing w:line="240" w:lineRule="auto"/>
              <w:jc w:val="left"/>
              <w:rPr>
                <w:rFonts w:ascii="宋体" w:hAnsi="宋体" w:cs="宋体"/>
                <w:sz w:val="24"/>
                <w:highlight w:val="none"/>
              </w:rPr>
            </w:pPr>
            <w:r>
              <w:rPr>
                <w:rFonts w:hint="eastAsia" w:ascii="宋体" w:hAnsi="宋体" w:eastAsia="宋体" w:cs="宋体"/>
                <w:color w:val="auto"/>
                <w:sz w:val="24"/>
                <w:szCs w:val="24"/>
                <w:highlight w:val="none"/>
              </w:rPr>
              <w:t>未提供相对应内容，不得分。</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6</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9</w:t>
            </w:r>
          </w:p>
        </w:tc>
        <w:tc>
          <w:tcPr>
            <w:tcW w:w="6857" w:type="dxa"/>
            <w:vAlign w:val="center"/>
          </w:tcPr>
          <w:p>
            <w:pPr>
              <w:snapToGrid w:val="0"/>
              <w:spacing w:line="24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拟投入的主要材料：包括①主要材料技术参数、数量、种类②主要材料选型方案的满足性及科学合理性（评审分值为5分或4分或3分或2分或1分或0分）。</w:t>
            </w:r>
          </w:p>
        </w:tc>
        <w:tc>
          <w:tcPr>
            <w:tcW w:w="927" w:type="dxa"/>
            <w:vAlign w:val="center"/>
          </w:tcPr>
          <w:p>
            <w:pPr>
              <w:snapToGrid w:val="0"/>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5</w:t>
            </w:r>
          </w:p>
        </w:tc>
        <w:tc>
          <w:tcPr>
            <w:tcW w:w="1682" w:type="dxa"/>
            <w:vAlign w:val="top"/>
          </w:tcPr>
          <w:p>
            <w:pPr>
              <w:snapToGrid w:val="0"/>
              <w:spacing w:line="240" w:lineRule="auto"/>
              <w:jc w:val="center"/>
              <w:rPr>
                <w:rFonts w:hint="eastAsia" w:ascii="宋体" w:hAnsi="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6857" w:type="dxa"/>
            <w:vAlign w:val="center"/>
          </w:tcPr>
          <w:p>
            <w:pPr>
              <w:widowControl/>
              <w:snapToGrid w:val="0"/>
              <w:spacing w:line="240" w:lineRule="auto"/>
              <w:jc w:val="left"/>
              <w:rPr>
                <w:rFonts w:ascii="宋体" w:hAnsi="宋体" w:cs="宋体"/>
                <w:sz w:val="24"/>
                <w:highlight w:val="none"/>
              </w:rPr>
            </w:pPr>
            <w:r>
              <w:rPr>
                <w:rFonts w:hint="eastAsia" w:ascii="宋体" w:hAnsi="宋体" w:eastAsia="宋体" w:cs="宋体"/>
                <w:color w:val="auto"/>
                <w:kern w:val="0"/>
                <w:sz w:val="24"/>
                <w:szCs w:val="24"/>
                <w:highlight w:val="none"/>
              </w:rPr>
              <w:t>拟投入的主要施工机械设备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包括</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机械设备数量</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kern w:val="0"/>
                <w:sz w:val="24"/>
                <w:szCs w:val="24"/>
                <w:highlight w:val="none"/>
              </w:rPr>
              <w:t>主要施工机械进场计划</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的满足性和合理性</w:t>
            </w:r>
            <w:r>
              <w:rPr>
                <w:rFonts w:hint="eastAsia" w:ascii="宋体" w:hAnsi="宋体" w:eastAsia="宋体" w:cs="宋体"/>
                <w:b w:val="0"/>
                <w:color w:val="auto"/>
                <w:spacing w:val="-6"/>
                <w:sz w:val="24"/>
                <w:szCs w:val="24"/>
                <w:highlight w:val="none"/>
                <w:lang w:val="en-US"/>
              </w:rPr>
              <w:t>（评审分值为</w:t>
            </w:r>
            <w:r>
              <w:rPr>
                <w:rFonts w:hint="eastAsia" w:ascii="宋体" w:hAnsi="宋体" w:cs="宋体"/>
                <w:b w:val="0"/>
                <w:color w:val="auto"/>
                <w:spacing w:val="-6"/>
                <w:sz w:val="24"/>
                <w:szCs w:val="24"/>
                <w:highlight w:val="none"/>
                <w:lang w:val="en-US" w:eastAsia="zh-CN"/>
              </w:rPr>
              <w:t>5分或</w:t>
            </w:r>
            <w:r>
              <w:rPr>
                <w:rFonts w:hint="eastAsia" w:ascii="宋体" w:hAnsi="宋体" w:eastAsia="宋体" w:cs="宋体"/>
                <w:b w:val="0"/>
                <w:color w:val="auto"/>
                <w:spacing w:val="-6"/>
                <w:sz w:val="24"/>
                <w:szCs w:val="24"/>
                <w:highlight w:val="none"/>
                <w:lang w:val="en-US" w:eastAsia="zh-CN"/>
              </w:rPr>
              <w:t>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Fonts w:hint="eastAsia" w:ascii="宋体" w:hAnsi="宋体" w:eastAsia="宋体" w:cs="宋体"/>
                <w:color w:val="auto"/>
                <w:kern w:val="0"/>
                <w:sz w:val="24"/>
                <w:szCs w:val="24"/>
                <w:highlight w:val="none"/>
              </w:rPr>
              <w:t>。</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6857" w:type="dxa"/>
            <w:vAlign w:val="center"/>
          </w:tcPr>
          <w:p>
            <w:pPr>
              <w:tabs>
                <w:tab w:val="left" w:pos="1500"/>
              </w:tabs>
              <w:adjustRightInd w:val="0"/>
              <w:snapToGrid w:val="0"/>
              <w:spacing w:line="240" w:lineRule="auto"/>
              <w:jc w:val="left"/>
              <w:rPr>
                <w:rFonts w:ascii="宋体" w:hAnsi="宋体" w:cs="宋体"/>
                <w:sz w:val="24"/>
                <w:highlight w:val="none"/>
              </w:rPr>
            </w:pPr>
            <w:r>
              <w:rPr>
                <w:rFonts w:hint="eastAsia" w:ascii="宋体" w:hAnsi="宋体" w:eastAsia="宋体" w:cs="宋体"/>
                <w:color w:val="auto"/>
                <w:sz w:val="24"/>
                <w:szCs w:val="24"/>
                <w:highlight w:val="none"/>
              </w:rPr>
              <w:t>质量管理体系和保障措施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包括①</w:t>
            </w:r>
            <w:r>
              <w:rPr>
                <w:rFonts w:hint="eastAsia" w:ascii="宋体" w:hAnsi="宋体" w:eastAsia="宋体" w:cs="宋体"/>
                <w:color w:val="auto"/>
                <w:sz w:val="24"/>
                <w:szCs w:val="24"/>
                <w:highlight w:val="none"/>
              </w:rPr>
              <w:t>主要工序质量技术保证措施及手段，自控体系完整，能有效保证技术质量，达到承诺的质量标准</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严禁使用（利旧）其他工程的材料的相关承诺及措施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对措施的科学性及合理性进行评审</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5分4分或3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Fonts w:hint="eastAsia" w:ascii="宋体" w:hAnsi="宋体" w:eastAsia="宋体" w:cs="宋体"/>
                <w:color w:val="auto"/>
                <w:sz w:val="24"/>
                <w:szCs w:val="24"/>
                <w:highlight w:val="none"/>
              </w:rPr>
              <w:t>。</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6857" w:type="dxa"/>
            <w:vAlign w:val="center"/>
          </w:tcPr>
          <w:p>
            <w:pPr>
              <w:widowControl/>
              <w:snapToGrid w:val="0"/>
              <w:spacing w:line="240" w:lineRule="auto"/>
              <w:jc w:val="left"/>
              <w:rPr>
                <w:rFonts w:ascii="宋体" w:hAnsi="宋体" w:cs="宋体"/>
                <w:sz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kern w:val="0"/>
                <w:sz w:val="24"/>
                <w:szCs w:val="24"/>
                <w:highlight w:val="none"/>
              </w:rPr>
              <w:t>现场安全管理体系</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kern w:val="0"/>
                <w:sz w:val="24"/>
                <w:szCs w:val="24"/>
                <w:highlight w:val="none"/>
              </w:rPr>
              <w:t>安全施工措施、文明施工措施</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对方案的</w:t>
            </w:r>
            <w:r>
              <w:rPr>
                <w:rFonts w:hint="eastAsia" w:ascii="宋体" w:hAnsi="宋体" w:eastAsia="宋体" w:cs="宋体"/>
                <w:color w:val="auto"/>
                <w:kern w:val="0"/>
                <w:sz w:val="24"/>
                <w:szCs w:val="24"/>
                <w:highlight w:val="none"/>
              </w:rPr>
              <w:t>完善</w:t>
            </w:r>
            <w:r>
              <w:rPr>
                <w:rFonts w:hint="eastAsia" w:ascii="宋体" w:hAnsi="宋体" w:eastAsia="宋体" w:cs="宋体"/>
                <w:color w:val="auto"/>
                <w:kern w:val="0"/>
                <w:sz w:val="24"/>
                <w:szCs w:val="24"/>
                <w:highlight w:val="none"/>
                <w:lang w:val="en-US" w:eastAsia="zh-CN"/>
              </w:rPr>
              <w:t>性及</w:t>
            </w:r>
            <w:r>
              <w:rPr>
                <w:rFonts w:hint="eastAsia" w:ascii="宋体" w:hAnsi="宋体" w:eastAsia="宋体" w:cs="宋体"/>
                <w:color w:val="auto"/>
                <w:kern w:val="0"/>
                <w:sz w:val="24"/>
                <w:szCs w:val="24"/>
                <w:highlight w:val="none"/>
              </w:rPr>
              <w:t>针对性</w:t>
            </w:r>
            <w:r>
              <w:rPr>
                <w:rFonts w:hint="eastAsia" w:ascii="宋体" w:hAnsi="宋体" w:eastAsia="宋体" w:cs="宋体"/>
                <w:color w:val="auto"/>
                <w:kern w:val="0"/>
                <w:sz w:val="24"/>
                <w:szCs w:val="24"/>
                <w:highlight w:val="none"/>
                <w:lang w:val="en-US" w:eastAsia="zh-CN"/>
              </w:rPr>
              <w:t>进行评审</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5分或4分或3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Fonts w:hint="eastAsia" w:ascii="宋体" w:hAnsi="宋体" w:eastAsia="宋体" w:cs="宋体"/>
                <w:color w:val="auto"/>
                <w:kern w:val="0"/>
                <w:sz w:val="24"/>
                <w:szCs w:val="24"/>
                <w:highlight w:val="none"/>
              </w:rPr>
              <w:t>。</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6857" w:type="dxa"/>
            <w:vAlign w:val="center"/>
          </w:tcPr>
          <w:p>
            <w:pPr>
              <w:widowControl/>
              <w:snapToGrid w:val="0"/>
              <w:spacing w:line="240" w:lineRule="auto"/>
              <w:jc w:val="left"/>
              <w:rPr>
                <w:rFonts w:ascii="宋体" w:hAnsi="宋体" w:cs="宋体"/>
                <w:sz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kern w:val="0"/>
                <w:sz w:val="24"/>
                <w:szCs w:val="24"/>
                <w:highlight w:val="none"/>
              </w:rPr>
              <w:t>环境保护措施</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kern w:val="0"/>
                <w:sz w:val="24"/>
                <w:szCs w:val="24"/>
                <w:highlight w:val="none"/>
              </w:rPr>
              <w:t>噪音控制措施科学性、合理性</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5分或4分或3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Fonts w:hint="eastAsia" w:ascii="宋体" w:hAnsi="宋体" w:eastAsia="宋体" w:cs="宋体"/>
                <w:color w:val="auto"/>
                <w:kern w:val="0"/>
                <w:sz w:val="24"/>
                <w:szCs w:val="24"/>
                <w:highlight w:val="none"/>
              </w:rPr>
              <w:t>。</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6857" w:type="dxa"/>
            <w:vAlign w:val="center"/>
          </w:tcPr>
          <w:p>
            <w:pPr>
              <w:widowControl/>
              <w:snapToGrid w:val="0"/>
              <w:spacing w:line="240" w:lineRule="auto"/>
              <w:jc w:val="left"/>
              <w:rPr>
                <w:rFonts w:ascii="宋体" w:hAnsi="宋体" w:cs="宋体"/>
                <w:sz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kern w:val="0"/>
                <w:sz w:val="24"/>
                <w:szCs w:val="24"/>
                <w:highlight w:val="none"/>
              </w:rPr>
              <w:t>项目重大风险源识别及预防措施</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kern w:val="0"/>
                <w:sz w:val="24"/>
                <w:szCs w:val="24"/>
                <w:highlight w:val="none"/>
              </w:rPr>
              <w:t>安全事故应急处理预案</w:t>
            </w:r>
            <w:r>
              <w:rPr>
                <w:rFonts w:hint="eastAsia" w:ascii="宋体" w:hAnsi="宋体" w:eastAsia="宋体" w:cs="宋体"/>
                <w:color w:val="auto"/>
                <w:kern w:val="0"/>
                <w:sz w:val="24"/>
                <w:szCs w:val="24"/>
                <w:highlight w:val="none"/>
                <w:lang w:val="en-US" w:eastAsia="zh-CN"/>
              </w:rPr>
              <w:t>,对措预防措施的合理性及应急处理预案</w:t>
            </w:r>
            <w:r>
              <w:rPr>
                <w:rFonts w:hint="eastAsia" w:ascii="宋体" w:hAnsi="宋体" w:eastAsia="宋体" w:cs="宋体"/>
                <w:color w:val="auto"/>
                <w:kern w:val="0"/>
                <w:sz w:val="24"/>
                <w:szCs w:val="24"/>
                <w:highlight w:val="none"/>
              </w:rPr>
              <w:t>的可行性</w:t>
            </w:r>
            <w:r>
              <w:rPr>
                <w:rFonts w:hint="eastAsia" w:ascii="宋体" w:hAnsi="宋体" w:eastAsia="宋体" w:cs="宋体"/>
                <w:color w:val="auto"/>
                <w:kern w:val="0"/>
                <w:sz w:val="24"/>
                <w:szCs w:val="24"/>
                <w:highlight w:val="none"/>
                <w:lang w:val="en-US" w:eastAsia="zh-CN"/>
              </w:rPr>
              <w:t>进行评审</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或5分4分或3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Fonts w:hint="eastAsia" w:ascii="宋体" w:hAnsi="宋体" w:eastAsia="宋体" w:cs="宋体"/>
                <w:color w:val="auto"/>
                <w:kern w:val="0"/>
                <w:sz w:val="24"/>
                <w:szCs w:val="24"/>
                <w:highlight w:val="none"/>
              </w:rPr>
              <w:t>。</w:t>
            </w:r>
          </w:p>
        </w:tc>
        <w:tc>
          <w:tcPr>
            <w:tcW w:w="927" w:type="dxa"/>
            <w:vAlign w:val="center"/>
          </w:tcPr>
          <w:p>
            <w:pPr>
              <w:snapToGrid w:val="0"/>
              <w:spacing w:line="240" w:lineRule="auto"/>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outlineLvl w:val="0"/>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6857" w:type="dxa"/>
            <w:vAlign w:val="center"/>
          </w:tcPr>
          <w:p>
            <w:pPr>
              <w:widowControl/>
              <w:snapToGrid w:val="0"/>
              <w:spacing w:line="240" w:lineRule="auto"/>
              <w:jc w:val="left"/>
              <w:rPr>
                <w:rStyle w:val="314"/>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Style w:val="314"/>
                <w:rFonts w:hint="eastAsia" w:ascii="宋体" w:hAnsi="宋体" w:eastAsia="宋体" w:cs="宋体"/>
                <w:color w:val="auto"/>
                <w:sz w:val="24"/>
                <w:szCs w:val="24"/>
                <w:highlight w:val="none"/>
              </w:rPr>
              <w:t>服从采购人协调</w:t>
            </w:r>
            <w:r>
              <w:rPr>
                <w:rStyle w:val="314"/>
                <w:rFonts w:hint="eastAsia" w:ascii="宋体" w:hAnsi="宋体" w:cs="宋体"/>
                <w:color w:val="auto"/>
                <w:sz w:val="24"/>
                <w:szCs w:val="24"/>
                <w:highlight w:val="none"/>
                <w:lang w:val="en-US"/>
              </w:rPr>
              <w:t>情况</w:t>
            </w:r>
            <w:r>
              <w:rPr>
                <w:rFonts w:hint="eastAsia" w:ascii="宋体" w:hAnsi="宋体" w:eastAsia="宋体" w:cs="宋体"/>
                <w:color w:val="auto"/>
                <w:sz w:val="24"/>
                <w:szCs w:val="24"/>
                <w:highlight w:val="none"/>
                <w:lang w:val="en-US" w:eastAsia="zh-CN"/>
              </w:rPr>
              <w:t>②</w:t>
            </w:r>
            <w:r>
              <w:rPr>
                <w:rStyle w:val="314"/>
                <w:rFonts w:hint="eastAsia" w:ascii="宋体" w:hAnsi="宋体" w:eastAsia="宋体" w:cs="宋体"/>
                <w:color w:val="auto"/>
                <w:sz w:val="24"/>
                <w:szCs w:val="24"/>
                <w:highlight w:val="none"/>
              </w:rPr>
              <w:t>统一管理及配合措施：根据措施的全面性、科学性、合理性及针对性、可操作性进行评审。（</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5分或4分或3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Style w:val="314"/>
                <w:rFonts w:hint="eastAsia" w:ascii="宋体" w:hAnsi="宋体" w:eastAsia="宋体" w:cs="宋体"/>
                <w:color w:val="auto"/>
                <w:sz w:val="24"/>
                <w:szCs w:val="24"/>
                <w:highlight w:val="none"/>
              </w:rPr>
              <w:t>）</w:t>
            </w:r>
          </w:p>
        </w:tc>
        <w:tc>
          <w:tcPr>
            <w:tcW w:w="927" w:type="dxa"/>
            <w:vAlign w:val="center"/>
          </w:tcPr>
          <w:p>
            <w:pPr>
              <w:snapToGrid w:val="0"/>
              <w:spacing w:line="240" w:lineRule="auto"/>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outlineLvl w:val="0"/>
              <w:rPr>
                <w:rFonts w:hint="default" w:ascii="宋体" w:hAnsi="宋体" w:cs="宋体"/>
                <w:sz w:val="24"/>
                <w:highlight w:val="none"/>
                <w:lang w:val="en-US" w:eastAsia="zh-CN"/>
              </w:rPr>
            </w:pPr>
            <w:r>
              <w:rPr>
                <w:rFonts w:hint="eastAsia" w:ascii="宋体" w:hAnsi="宋体" w:cs="宋体"/>
                <w:sz w:val="24"/>
                <w:highlight w:val="none"/>
                <w:lang w:val="en-US" w:eastAsia="zh-CN"/>
              </w:rPr>
              <w:t>16</w:t>
            </w:r>
          </w:p>
        </w:tc>
        <w:tc>
          <w:tcPr>
            <w:tcW w:w="6857" w:type="dxa"/>
            <w:vAlign w:val="center"/>
          </w:tcPr>
          <w:p>
            <w:pPr>
              <w:widowControl/>
              <w:snapToGrid w:val="0"/>
              <w:spacing w:line="240" w:lineRule="auto"/>
              <w:jc w:val="left"/>
              <w:rPr>
                <w:rStyle w:val="314"/>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Style w:val="314"/>
                <w:rFonts w:hint="eastAsia" w:ascii="宋体" w:hAnsi="宋体" w:eastAsia="宋体" w:cs="宋体"/>
                <w:color w:val="auto"/>
                <w:sz w:val="24"/>
                <w:szCs w:val="24"/>
                <w:highlight w:val="none"/>
              </w:rPr>
              <w:t>对成品保护</w:t>
            </w:r>
            <w:r>
              <w:rPr>
                <w:rFonts w:hint="eastAsia" w:ascii="宋体" w:hAnsi="宋体" w:eastAsia="宋体" w:cs="宋体"/>
                <w:color w:val="auto"/>
                <w:sz w:val="24"/>
                <w:szCs w:val="24"/>
                <w:highlight w:val="none"/>
                <w:lang w:val="en-US" w:eastAsia="zh-CN"/>
              </w:rPr>
              <w:t>②</w:t>
            </w:r>
            <w:r>
              <w:rPr>
                <w:rStyle w:val="314"/>
                <w:rFonts w:hint="eastAsia" w:ascii="宋体" w:hAnsi="宋体" w:eastAsia="宋体" w:cs="宋体"/>
                <w:color w:val="auto"/>
                <w:sz w:val="24"/>
                <w:szCs w:val="24"/>
                <w:highlight w:val="none"/>
              </w:rPr>
              <w:t>工程完工后的精细保洁方案及保证措施：根据措施的全面性、科学性、合理性及针对性、可操作性进行评审。（</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5分或4分或3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Style w:val="314"/>
                <w:rFonts w:hint="eastAsia" w:ascii="宋体" w:hAnsi="宋体" w:eastAsia="宋体" w:cs="宋体"/>
                <w:color w:val="auto"/>
                <w:sz w:val="24"/>
                <w:szCs w:val="24"/>
                <w:highlight w:val="none"/>
              </w:rPr>
              <w:t>）</w:t>
            </w:r>
          </w:p>
        </w:tc>
        <w:tc>
          <w:tcPr>
            <w:tcW w:w="927" w:type="dxa"/>
            <w:vAlign w:val="center"/>
          </w:tcPr>
          <w:p>
            <w:pPr>
              <w:snapToGrid w:val="0"/>
              <w:spacing w:line="240" w:lineRule="auto"/>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outlineLvl w:val="0"/>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6857" w:type="dxa"/>
            <w:vAlign w:val="center"/>
          </w:tcPr>
          <w:p>
            <w:pPr>
              <w:widowControl/>
              <w:snapToGrid w:val="0"/>
              <w:spacing w:line="240" w:lineRule="auto"/>
              <w:jc w:val="left"/>
              <w:rPr>
                <w:rStyle w:val="314"/>
                <w:rFonts w:hint="eastAsia" w:ascii="宋体" w:hAnsi="宋体" w:eastAsia="宋体" w:cs="宋体"/>
                <w:color w:val="auto"/>
                <w:sz w:val="24"/>
                <w:szCs w:val="24"/>
                <w:highlight w:val="none"/>
              </w:rPr>
            </w:pPr>
            <w:r>
              <w:rPr>
                <w:rStyle w:val="314"/>
                <w:rFonts w:hint="eastAsia" w:ascii="宋体" w:hAnsi="宋体" w:eastAsia="宋体" w:cs="宋体"/>
                <w:color w:val="auto"/>
                <w:sz w:val="24"/>
                <w:szCs w:val="24"/>
                <w:highlight w:val="none"/>
              </w:rPr>
              <w:t>工程保修期、维护响应时间：</w:t>
            </w:r>
            <w:r>
              <w:rPr>
                <w:rFonts w:hint="eastAsia" w:ascii="宋体" w:hAnsi="宋体" w:eastAsia="宋体" w:cs="宋体"/>
                <w:color w:val="auto"/>
                <w:sz w:val="24"/>
                <w:szCs w:val="24"/>
                <w:highlight w:val="none"/>
                <w:lang w:val="en-US" w:eastAsia="zh-CN"/>
              </w:rPr>
              <w:t>①</w:t>
            </w:r>
            <w:r>
              <w:rPr>
                <w:rStyle w:val="314"/>
                <w:rFonts w:hint="eastAsia" w:ascii="宋体" w:hAnsi="宋体" w:eastAsia="宋体" w:cs="宋体"/>
                <w:color w:val="auto"/>
                <w:sz w:val="24"/>
                <w:szCs w:val="24"/>
                <w:highlight w:val="none"/>
              </w:rPr>
              <w:t>根据工程保修期承诺情况</w:t>
            </w:r>
            <w:r>
              <w:rPr>
                <w:rFonts w:hint="eastAsia" w:ascii="宋体" w:hAnsi="宋体" w:eastAsia="宋体" w:cs="宋体"/>
                <w:color w:val="auto"/>
                <w:sz w:val="24"/>
                <w:szCs w:val="24"/>
                <w:highlight w:val="none"/>
                <w:lang w:val="en-US" w:eastAsia="zh-CN"/>
              </w:rPr>
              <w:t>②</w:t>
            </w:r>
            <w:r>
              <w:rPr>
                <w:rStyle w:val="314"/>
                <w:rFonts w:hint="eastAsia" w:ascii="宋体" w:hAnsi="宋体" w:eastAsia="宋体" w:cs="宋体"/>
                <w:color w:val="auto"/>
                <w:sz w:val="24"/>
                <w:szCs w:val="24"/>
                <w:highlight w:val="none"/>
              </w:rPr>
              <w:t>保修期内维护响应时间的及时性、合理性进行评审。（</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5分或4分或3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Style w:val="314"/>
                <w:rFonts w:hint="eastAsia" w:ascii="宋体" w:hAnsi="宋体" w:eastAsia="宋体" w:cs="宋体"/>
                <w:color w:val="auto"/>
                <w:sz w:val="24"/>
                <w:szCs w:val="24"/>
                <w:highlight w:val="none"/>
              </w:rPr>
              <w:t>）</w:t>
            </w:r>
          </w:p>
        </w:tc>
        <w:tc>
          <w:tcPr>
            <w:tcW w:w="927" w:type="dxa"/>
            <w:vAlign w:val="center"/>
          </w:tcPr>
          <w:p>
            <w:pPr>
              <w:snapToGrid w:val="0"/>
              <w:spacing w:line="240" w:lineRule="auto"/>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outlineLvl w:val="0"/>
              <w:rPr>
                <w:rFonts w:hint="default" w:ascii="宋体" w:hAnsi="宋体" w:cs="宋体"/>
                <w:sz w:val="24"/>
                <w:highlight w:val="none"/>
                <w:lang w:val="en-US" w:eastAsia="zh-CN"/>
              </w:rPr>
            </w:pPr>
            <w:r>
              <w:rPr>
                <w:rFonts w:hint="eastAsia" w:ascii="宋体" w:hAnsi="宋体" w:cs="宋体"/>
                <w:sz w:val="24"/>
                <w:highlight w:val="none"/>
                <w:lang w:val="en-US" w:eastAsia="zh-CN"/>
              </w:rPr>
              <w:t>18</w:t>
            </w:r>
          </w:p>
        </w:tc>
        <w:tc>
          <w:tcPr>
            <w:tcW w:w="6857" w:type="dxa"/>
            <w:vAlign w:val="center"/>
          </w:tcPr>
          <w:p>
            <w:pPr>
              <w:widowControl/>
              <w:snapToGrid w:val="0"/>
              <w:spacing w:line="240" w:lineRule="auto"/>
              <w:jc w:val="left"/>
              <w:rPr>
                <w:rStyle w:val="314"/>
                <w:rFonts w:hint="default" w:ascii="宋体" w:hAnsi="宋体" w:eastAsia="宋体" w:cs="宋体"/>
                <w:color w:val="auto"/>
                <w:sz w:val="24"/>
                <w:szCs w:val="24"/>
                <w:highlight w:val="none"/>
                <w:lang w:val="en-US"/>
              </w:rPr>
            </w:pPr>
            <w:r>
              <w:rPr>
                <w:rStyle w:val="314"/>
                <w:rFonts w:hint="eastAsia" w:ascii="宋体" w:hAnsi="宋体" w:cs="宋体"/>
                <w:color w:val="auto"/>
                <w:sz w:val="24"/>
                <w:szCs w:val="24"/>
                <w:highlight w:val="none"/>
                <w:lang w:val="en-US"/>
              </w:rPr>
              <w:t>根据供应商提供的包括但不限于</w:t>
            </w: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技术</w:t>
            </w:r>
            <w:r>
              <w:rPr>
                <w:rStyle w:val="314"/>
                <w:rFonts w:hint="eastAsia" w:ascii="宋体" w:hAnsi="宋体" w:cs="宋体"/>
                <w:color w:val="auto"/>
                <w:sz w:val="24"/>
                <w:szCs w:val="24"/>
                <w:highlight w:val="none"/>
                <w:lang w:val="en-US"/>
              </w:rPr>
              <w:t>优化方案</w:t>
            </w: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项目</w:t>
            </w:r>
            <w:r>
              <w:rPr>
                <w:rStyle w:val="314"/>
                <w:rFonts w:hint="default" w:ascii="宋体" w:hAnsi="宋体" w:eastAsia="宋体" w:cs="宋体"/>
                <w:color w:val="auto"/>
                <w:sz w:val="24"/>
                <w:szCs w:val="24"/>
                <w:highlight w:val="none"/>
                <w:lang w:val="en-US"/>
              </w:rPr>
              <w:t>合理化建议</w:t>
            </w:r>
            <w:r>
              <w:rPr>
                <w:rStyle w:val="314"/>
                <w:rFonts w:hint="eastAsia" w:ascii="宋体" w:hAnsi="宋体" w:cs="宋体"/>
                <w:color w:val="auto"/>
                <w:sz w:val="24"/>
                <w:szCs w:val="24"/>
                <w:highlight w:val="none"/>
                <w:lang w:val="en-US"/>
              </w:rPr>
              <w:t>的</w:t>
            </w:r>
            <w:r>
              <w:rPr>
                <w:rStyle w:val="314"/>
                <w:rFonts w:hint="eastAsia" w:ascii="宋体" w:hAnsi="宋体" w:eastAsia="宋体" w:cs="宋体"/>
                <w:color w:val="auto"/>
                <w:sz w:val="24"/>
                <w:szCs w:val="24"/>
                <w:highlight w:val="none"/>
              </w:rPr>
              <w:t>合理性及针对性、可操作性进行评审（</w:t>
            </w:r>
            <w:r>
              <w:rPr>
                <w:rFonts w:hint="eastAsia" w:ascii="宋体" w:hAnsi="宋体" w:eastAsia="宋体" w:cs="宋体"/>
                <w:b w:val="0"/>
                <w:color w:val="auto"/>
                <w:spacing w:val="-6"/>
                <w:sz w:val="24"/>
                <w:szCs w:val="24"/>
                <w:highlight w:val="none"/>
                <w:lang w:val="en-US"/>
              </w:rPr>
              <w:t>评审分值为</w:t>
            </w:r>
            <w:r>
              <w:rPr>
                <w:rFonts w:hint="eastAsia" w:ascii="宋体" w:hAnsi="宋体" w:eastAsia="宋体" w:cs="宋体"/>
                <w:b w:val="0"/>
                <w:color w:val="auto"/>
                <w:spacing w:val="-6"/>
                <w:sz w:val="24"/>
                <w:szCs w:val="24"/>
                <w:highlight w:val="none"/>
                <w:lang w:val="en-US" w:eastAsia="zh-CN"/>
              </w:rPr>
              <w:t>5分或4分或3</w:t>
            </w:r>
            <w:r>
              <w:rPr>
                <w:rFonts w:hint="eastAsia" w:ascii="宋体" w:hAnsi="宋体" w:eastAsia="宋体" w:cs="宋体"/>
                <w:b w:val="0"/>
                <w:color w:val="auto"/>
                <w:spacing w:val="-6"/>
                <w:sz w:val="24"/>
                <w:szCs w:val="24"/>
                <w:highlight w:val="none"/>
                <w:lang w:val="en-US"/>
              </w:rPr>
              <w:t>分</w:t>
            </w:r>
            <w:r>
              <w:rPr>
                <w:rFonts w:hint="eastAsia" w:ascii="宋体" w:hAnsi="宋体" w:eastAsia="宋体" w:cs="宋体"/>
                <w:b w:val="0"/>
                <w:color w:val="auto"/>
                <w:spacing w:val="-6"/>
                <w:sz w:val="24"/>
                <w:szCs w:val="24"/>
                <w:highlight w:val="none"/>
                <w:lang w:val="en-US" w:eastAsia="zh-CN"/>
              </w:rPr>
              <w:t>或</w:t>
            </w:r>
            <w:r>
              <w:rPr>
                <w:rFonts w:hint="eastAsia" w:ascii="宋体" w:hAnsi="宋体" w:eastAsia="宋体" w:cs="宋体"/>
                <w:b w:val="0"/>
                <w:color w:val="auto"/>
                <w:spacing w:val="-6"/>
                <w:sz w:val="24"/>
                <w:szCs w:val="24"/>
                <w:highlight w:val="none"/>
                <w:lang w:val="en-US"/>
              </w:rPr>
              <w:t>2分或1分或0分</w:t>
            </w:r>
            <w:r>
              <w:rPr>
                <w:rStyle w:val="314"/>
                <w:rFonts w:hint="eastAsia" w:ascii="宋体" w:hAnsi="宋体" w:eastAsia="宋体" w:cs="宋体"/>
                <w:color w:val="auto"/>
                <w:sz w:val="24"/>
                <w:szCs w:val="24"/>
                <w:highlight w:val="none"/>
              </w:rPr>
              <w:t>）</w:t>
            </w:r>
          </w:p>
        </w:tc>
        <w:tc>
          <w:tcPr>
            <w:tcW w:w="927" w:type="dxa"/>
            <w:vAlign w:val="center"/>
          </w:tcPr>
          <w:p>
            <w:pPr>
              <w:snapToGrid w:val="0"/>
              <w:spacing w:line="240" w:lineRule="auto"/>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jc w:val="center"/>
              <w:outlineLvl w:val="0"/>
              <w:rPr>
                <w:rFonts w:hint="default" w:ascii="宋体" w:hAnsi="宋体" w:cs="宋体"/>
                <w:sz w:val="24"/>
                <w:highlight w:val="none"/>
                <w:lang w:val="en-US" w:eastAsia="zh-CN"/>
              </w:rPr>
            </w:pPr>
            <w:r>
              <w:rPr>
                <w:rFonts w:hint="eastAsia" w:ascii="宋体" w:hAnsi="宋体" w:cs="宋体"/>
                <w:color w:val="auto"/>
                <w:sz w:val="24"/>
                <w:highlight w:val="none"/>
                <w:lang w:val="en-US" w:eastAsia="zh-CN"/>
              </w:rPr>
              <w:t>19</w:t>
            </w:r>
          </w:p>
        </w:tc>
        <w:tc>
          <w:tcPr>
            <w:tcW w:w="6857" w:type="dxa"/>
            <w:vAlign w:val="center"/>
          </w:tcPr>
          <w:p>
            <w:pPr>
              <w:widowControl/>
              <w:snapToGrid w:val="0"/>
              <w:jc w:val="left"/>
              <w:rPr>
                <w:rStyle w:val="314"/>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（1）所投产品取得有效的节能产品认证证书的得</w:t>
            </w:r>
            <w:r>
              <w:rPr>
                <w:rFonts w:hint="eastAsia" w:ascii="宋体" w:hAnsi="宋体" w:cs="宋体"/>
                <w:color w:val="auto"/>
                <w:kern w:val="0"/>
                <w:sz w:val="24"/>
                <w:szCs w:val="24"/>
                <w:highlight w:val="none"/>
                <w:lang w:val="en-US" w:eastAsia="zh-CN" w:bidi="ar"/>
              </w:rPr>
              <w:t>0.5</w:t>
            </w:r>
            <w:r>
              <w:rPr>
                <w:rFonts w:hint="eastAsia" w:ascii="宋体" w:hAnsi="宋体" w:eastAsia="宋体" w:cs="宋体"/>
                <w:color w:val="auto"/>
                <w:kern w:val="0"/>
                <w:sz w:val="24"/>
                <w:szCs w:val="24"/>
                <w:highlight w:val="none"/>
                <w:lang w:bidi="ar"/>
              </w:rPr>
              <w:t xml:space="preserve">分（列入强制采购节能产品清单目录的产品不计分）； </w:t>
            </w:r>
            <w:r>
              <w:rPr>
                <w:rFonts w:hint="eastAsia" w:ascii="宋体" w:hAnsi="宋体" w:eastAsia="宋体" w:cs="宋体"/>
                <w:color w:val="auto"/>
                <w:kern w:val="0"/>
                <w:sz w:val="24"/>
                <w:szCs w:val="24"/>
                <w:highlight w:val="none"/>
                <w:lang w:bidi="ar"/>
              </w:rPr>
              <w:cr/>
            </w:r>
            <w:r>
              <w:rPr>
                <w:rFonts w:hint="eastAsia" w:ascii="宋体" w:hAnsi="宋体" w:eastAsia="宋体" w:cs="宋体"/>
                <w:color w:val="auto"/>
                <w:kern w:val="0"/>
                <w:sz w:val="24"/>
                <w:szCs w:val="24"/>
                <w:highlight w:val="none"/>
                <w:lang w:bidi="ar"/>
              </w:rPr>
              <w:t>（2）所投产品取得有效的环境标志产品认证证书的得</w:t>
            </w:r>
            <w:r>
              <w:rPr>
                <w:rFonts w:hint="eastAsia" w:ascii="宋体" w:hAnsi="宋体" w:cs="宋体"/>
                <w:color w:val="auto"/>
                <w:kern w:val="0"/>
                <w:sz w:val="24"/>
                <w:szCs w:val="24"/>
                <w:highlight w:val="none"/>
                <w:lang w:val="en-US" w:eastAsia="zh-CN" w:bidi="ar"/>
              </w:rPr>
              <w:t>0.5</w:t>
            </w:r>
            <w:r>
              <w:rPr>
                <w:rFonts w:hint="eastAsia" w:ascii="宋体" w:hAnsi="宋体" w:eastAsia="宋体" w:cs="宋体"/>
                <w:color w:val="auto"/>
                <w:kern w:val="0"/>
                <w:sz w:val="24"/>
                <w:szCs w:val="24"/>
                <w:highlight w:val="none"/>
                <w:lang w:bidi="ar"/>
              </w:rPr>
              <w:t>分。</w:t>
            </w:r>
          </w:p>
          <w:p>
            <w:pPr>
              <w:widowControl/>
              <w:snapToGrid w:val="0"/>
              <w:spacing w:line="320" w:lineRule="exact"/>
              <w:jc w:val="left"/>
              <w:rPr>
                <w:rStyle w:val="314"/>
                <w:rFonts w:hint="eastAsia" w:ascii="宋体" w:hAnsi="宋体" w:cs="宋体"/>
                <w:color w:val="auto"/>
                <w:sz w:val="24"/>
                <w:szCs w:val="24"/>
                <w:highlight w:val="none"/>
                <w:lang w:val="en-US"/>
              </w:rPr>
            </w:pPr>
            <w:r>
              <w:rPr>
                <w:rStyle w:val="314"/>
                <w:rFonts w:hint="eastAsia" w:ascii="宋体" w:hAnsi="宋体" w:eastAsia="宋体" w:cs="宋体"/>
                <w:color w:val="auto"/>
                <w:sz w:val="24"/>
                <w:szCs w:val="24"/>
                <w:highlight w:val="none"/>
              </w:rPr>
              <w:t>证明材料：提供国家确定的认证机构出具的、处于有效期之内的认证证书复印件加盖公章。</w:t>
            </w:r>
          </w:p>
        </w:tc>
        <w:tc>
          <w:tcPr>
            <w:tcW w:w="927" w:type="dxa"/>
            <w:vAlign w:val="center"/>
          </w:tcPr>
          <w:p>
            <w:pPr>
              <w:snapToGrid w:val="0"/>
              <w:jc w:val="center"/>
              <w:outlineLvl w:val="0"/>
              <w:rPr>
                <w:rFonts w:hint="eastAsia" w:ascii="宋体" w:hAnsi="宋体" w:cs="宋体"/>
                <w:bCs/>
                <w:sz w:val="24"/>
                <w:highlight w:val="none"/>
                <w:lang w:val="en-US" w:eastAsia="zh-CN"/>
              </w:rPr>
            </w:pPr>
            <w:r>
              <w:rPr>
                <w:rFonts w:hint="eastAsia" w:ascii="宋体" w:hAnsi="宋体" w:cs="宋体"/>
                <w:bCs/>
                <w:color w:val="auto"/>
                <w:sz w:val="24"/>
                <w:highlight w:val="none"/>
                <w:lang w:val="en-US" w:eastAsia="zh-CN"/>
              </w:rPr>
              <w:t>1</w:t>
            </w:r>
          </w:p>
        </w:tc>
        <w:tc>
          <w:tcPr>
            <w:tcW w:w="1682" w:type="dxa"/>
          </w:tcPr>
          <w:p>
            <w:pPr>
              <w:snapToGrid w:val="0"/>
              <w:spacing w:line="24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240" w:lineRule="auto"/>
              <w:jc w:val="center"/>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6857" w:type="dxa"/>
          </w:tcPr>
          <w:p>
            <w:pPr>
              <w:widowControl/>
              <w:snapToGrid w:val="0"/>
              <w:spacing w:line="240" w:lineRule="auto"/>
              <w:jc w:val="left"/>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有效最后报价的最低价作为评审基准价，其最低报价为满分；按［最后报价得分=（评审基准价/最后报价）*</w:t>
            </w:r>
            <w:r>
              <w:rPr>
                <w:rFonts w:hint="eastAsia" w:ascii="宋体" w:hAnsi="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］的计算公式计算。</w:t>
            </w:r>
          </w:p>
          <w:p>
            <w:pPr>
              <w:widowControl/>
              <w:shd w:val="clear"/>
              <w:adjustRightInd/>
              <w:snapToGrid w:val="0"/>
              <w:spacing w:line="240" w:lineRule="auto"/>
              <w:ind w:firstLine="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评审过程中，不得去掉报价中的最高报价和最低报价。</w:t>
            </w:r>
          </w:p>
          <w:p>
            <w:pPr>
              <w:widowControl/>
              <w:shd w:val="clear"/>
              <w:adjustRightInd/>
              <w:snapToGrid w:val="0"/>
              <w:spacing w:line="240" w:lineRule="auto"/>
              <w:ind w:firstLine="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highlight w:val="none"/>
                <w:lang w:bidi="ar"/>
              </w:rPr>
              <w:t>本项目专门面向中小企业采购，评审价格不予扣除</w:t>
            </w:r>
            <w:r>
              <w:rPr>
                <w:rFonts w:hint="eastAsia" w:ascii="宋体" w:hAnsi="宋体" w:eastAsia="宋体" w:cs="宋体"/>
                <w:color w:val="auto"/>
                <w:kern w:val="0"/>
                <w:sz w:val="24"/>
                <w:szCs w:val="24"/>
                <w:highlight w:val="none"/>
                <w:lang w:bidi="ar"/>
              </w:rPr>
              <w:t>。</w:t>
            </w:r>
          </w:p>
        </w:tc>
        <w:tc>
          <w:tcPr>
            <w:tcW w:w="927" w:type="dxa"/>
            <w:vAlign w:val="center"/>
          </w:tcPr>
          <w:p>
            <w:pPr>
              <w:widowControl/>
              <w:snapToGrid w:val="0"/>
              <w:spacing w:line="240" w:lineRule="auto"/>
              <w:jc w:val="center"/>
              <w:outlineLvl w:val="9"/>
              <w:rPr>
                <w:rFonts w:hint="default" w:ascii="宋体" w:hAnsi="宋体" w:eastAsia="宋体" w:cs="宋体"/>
                <w:bCs w:val="0"/>
                <w:color w:val="auto"/>
                <w:kern w:val="0"/>
                <w:sz w:val="24"/>
                <w:szCs w:val="24"/>
                <w:highlight w:val="none"/>
                <w:lang w:val="en-US" w:bidi="ar"/>
              </w:rPr>
            </w:pPr>
            <w:r>
              <w:rPr>
                <w:rFonts w:hint="eastAsia" w:ascii="宋体" w:hAnsi="宋体" w:cs="宋体"/>
                <w:bCs w:val="0"/>
                <w:color w:val="auto"/>
                <w:kern w:val="0"/>
                <w:sz w:val="24"/>
                <w:szCs w:val="24"/>
                <w:highlight w:val="none"/>
                <w:lang w:val="en-US" w:eastAsia="zh-CN" w:bidi="ar"/>
              </w:rPr>
              <w:t>20</w:t>
            </w:r>
          </w:p>
        </w:tc>
        <w:tc>
          <w:tcPr>
            <w:tcW w:w="1682" w:type="dxa"/>
            <w:vAlign w:val="center"/>
          </w:tcPr>
          <w:p>
            <w:pPr>
              <w:widowControl/>
              <w:snapToGrid w:val="0"/>
              <w:spacing w:line="240" w:lineRule="auto"/>
              <w:jc w:val="left"/>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 </w:t>
      </w:r>
    </w:p>
    <w:p>
      <w:pPr>
        <w:ind w:firstLine="3534" w:firstLineChars="1100"/>
        <w:jc w:val="left"/>
        <w:rPr>
          <w:rFonts w:ascii="宋体" w:hAnsi="宋体" w:cs="宋体"/>
          <w:b/>
          <w:sz w:val="28"/>
          <w:szCs w:val="28"/>
          <w:highlight w:val="none"/>
        </w:rPr>
      </w:pPr>
      <w:r>
        <w:rPr>
          <w:rFonts w:hint="eastAsia" w:ascii="宋体" w:hAnsi="宋体" w:cs="宋体"/>
          <w:b/>
          <w:sz w:val="32"/>
          <w:highlight w:val="none"/>
        </w:rPr>
        <w:t>一、评审方法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highlight w:val="none"/>
        </w:rPr>
      </w:pPr>
      <w:r>
        <w:rPr>
          <w:rFonts w:hint="eastAsia" w:ascii="宋体" w:hAnsi="宋体" w:cs="宋体"/>
          <w:b/>
          <w:sz w:val="32"/>
          <w:highlight w:val="none"/>
        </w:rPr>
        <w:t>二、评审标准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2.评审标准：</w:t>
      </w:r>
      <w:r>
        <w:rPr>
          <w:rFonts w:hint="eastAsia" w:ascii="宋体" w:hAnsi="宋体" w:cs="宋体"/>
          <w:kern w:val="0"/>
          <w:sz w:val="24"/>
          <w:highlight w:val="none"/>
        </w:rPr>
        <w:t>见评审办法前附表。</w:t>
      </w:r>
    </w:p>
    <w:p>
      <w:pPr>
        <w:snapToGrid w:val="0"/>
        <w:spacing w:line="360" w:lineRule="auto"/>
        <w:jc w:val="center"/>
        <w:rPr>
          <w:rFonts w:ascii="宋体" w:hAnsi="宋体" w:cs="宋体"/>
          <w:b/>
          <w:sz w:val="32"/>
          <w:highlight w:val="none"/>
        </w:rPr>
      </w:pPr>
      <w:r>
        <w:rPr>
          <w:rFonts w:hint="eastAsia" w:ascii="宋体" w:hAnsi="宋体" w:cs="宋体"/>
          <w:b/>
          <w:sz w:val="32"/>
          <w:highlight w:val="none"/>
        </w:rPr>
        <w:t>三、评审程序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3.5汇总商务技术得分。</w:t>
      </w:r>
      <w:r>
        <w:rPr>
          <w:rFonts w:hint="eastAsia" w:ascii="宋体" w:hAnsi="宋体" w:cs="宋体"/>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highlight w:val="none"/>
        </w:rPr>
        <w:t>30%以上的，由</w:t>
      </w:r>
      <w:r>
        <w:rPr>
          <w:rFonts w:hint="eastAsia" w:ascii="宋体" w:hAnsi="宋体" w:cs="宋体"/>
          <w:kern w:val="0"/>
          <w:sz w:val="24"/>
          <w:highlight w:val="none"/>
        </w:rPr>
        <w:t>磋商小组</w:t>
      </w:r>
      <w:r>
        <w:rPr>
          <w:rFonts w:ascii="宋体" w:hAnsi="宋体" w:cs="宋体"/>
          <w:kern w:val="0"/>
          <w:sz w:val="24"/>
          <w:highlight w:val="none"/>
        </w:rPr>
        <w:t>启动评分畸高、畸低行为认定程序</w:t>
      </w:r>
      <w:r>
        <w:rPr>
          <w:rFonts w:hint="eastAsia" w:ascii="宋体" w:hAnsi="宋体" w:cs="宋体"/>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3.6报价评审。</w:t>
      </w:r>
    </w:p>
    <w:p>
      <w:pPr>
        <w:pStyle w:val="131"/>
        <w:spacing w:before="0"/>
        <w:ind w:firstLine="508" w:firstLineChars="212"/>
        <w:rPr>
          <w:rFonts w:ascii="宋体" w:hAnsi="宋体" w:cs="宋体"/>
          <w:kern w:val="0"/>
          <w:highlight w:val="none"/>
        </w:rPr>
      </w:pPr>
      <w:r>
        <w:rPr>
          <w:rFonts w:hint="eastAsia" w:ascii="宋体" w:hAnsi="宋体" w:cs="宋体"/>
          <w:kern w:val="0"/>
          <w:highlight w:val="none"/>
        </w:rPr>
        <w:t>3.6.1响应文件报价出现前后不一致的，按照下列规定修正：</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3.6.1.1响应文件中已标价工程量清单内容与响应文件中相应内容不一致的，以已标价工程量清单为准;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3.6.1.2大写金额和小写金额不一致的，以大写金额为准;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3.6.1.3单价金额小数点或者百分比有明显错位的，以已标价工程量清单的总价为准，并修改单价;</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3.6.1.4总价金额与按单价汇总金额不一致的，以单价金额计算结果为准。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3.6.3最后报价超过采购文件中规定的预算金额或者最高限价的，响应文件无效。</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3.7排序与推荐。</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3.8编写评审报告。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highlight w:val="none"/>
        </w:rPr>
      </w:pPr>
      <w:r>
        <w:rPr>
          <w:rFonts w:hint="eastAsia" w:ascii="宋体" w:hAnsi="宋体" w:cs="宋体"/>
          <w:b/>
          <w:sz w:val="32"/>
          <w:highlight w:val="none"/>
        </w:rPr>
        <w:t>四、评审中的其他事项</w:t>
      </w:r>
    </w:p>
    <w:p>
      <w:pPr>
        <w:pStyle w:val="1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8"/>
        <w:spacing w:line="360" w:lineRule="auto"/>
        <w:ind w:left="954" w:leftChars="226" w:hanging="479" w:firstLineChars="0"/>
        <w:rPr>
          <w:rFonts w:cs="宋体"/>
          <w:szCs w:val="21"/>
          <w:highlight w:val="none"/>
        </w:rPr>
      </w:pPr>
      <w:r>
        <w:rPr>
          <w:rFonts w:hint="eastAsia" w:cs="宋体"/>
          <w:b/>
          <w:kern w:val="0"/>
          <w:highlight w:val="none"/>
        </w:rPr>
        <w:t>4.2响应文件无效。</w:t>
      </w:r>
      <w:r>
        <w:rPr>
          <w:rFonts w:hint="eastAsia" w:cs="宋体"/>
          <w:szCs w:val="21"/>
          <w:highlight w:val="none"/>
        </w:rPr>
        <w:t>有下列情形之一的，响应文件无效：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4.2.7最后报价超过采购文件中规定的预算金额或者最高限价的;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4.2.10供应商提供虚假材料响应的；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响应文件不满足采购文件的其它实质性要求的；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8"/>
        <w:snapToGrid w:val="0"/>
        <w:spacing w:line="360" w:lineRule="auto"/>
        <w:ind w:firstLine="472" w:firstLineChars="196"/>
        <w:rPr>
          <w:rFonts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pPr>
        <w:pStyle w:val="28"/>
        <w:snapToGrid w:val="0"/>
        <w:spacing w:line="360" w:lineRule="auto"/>
        <w:rPr>
          <w:rFonts w:cs="宋体"/>
          <w:highlight w:val="none"/>
        </w:rPr>
      </w:pPr>
      <w:r>
        <w:rPr>
          <w:rFonts w:hint="eastAsia" w:cs="宋体"/>
          <w:highlight w:val="none"/>
        </w:rPr>
        <w:t>5.1因情况变化，不再符合规定的竞争性磋商采购方式适用情形的；</w:t>
      </w:r>
    </w:p>
    <w:p>
      <w:pPr>
        <w:pStyle w:val="28"/>
        <w:snapToGrid w:val="0"/>
        <w:spacing w:line="360" w:lineRule="auto"/>
        <w:rPr>
          <w:rFonts w:cs="宋体"/>
          <w:highlight w:val="none"/>
        </w:rPr>
      </w:pPr>
      <w:r>
        <w:rPr>
          <w:rFonts w:hint="eastAsia" w:cs="宋体"/>
          <w:highlight w:val="none"/>
        </w:rPr>
        <w:t>5.2出现影响采购公正的违法、违规行为的；</w:t>
      </w:r>
    </w:p>
    <w:p>
      <w:pPr>
        <w:pStyle w:val="28"/>
        <w:snapToGrid w:val="0"/>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pPr>
        <w:pStyle w:val="28"/>
        <w:snapToGrid w:val="0"/>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8"/>
        <w:snapToGrid w:val="0"/>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pPr>
        <w:pStyle w:val="28"/>
        <w:snapToGrid w:val="0"/>
        <w:spacing w:line="360" w:lineRule="auto"/>
        <w:rPr>
          <w:rFonts w:cs="宋体"/>
          <w:highlight w:val="none"/>
        </w:rPr>
      </w:pPr>
      <w:r>
        <w:rPr>
          <w:rFonts w:hint="eastAsia" w:cs="宋体"/>
          <w:highlight w:val="none"/>
        </w:rPr>
        <w:t>6.1未确定成交供应商的，终止本次政府采购活动，重新开展政府采购活动。</w:t>
      </w:r>
    </w:p>
    <w:p>
      <w:pPr>
        <w:pStyle w:val="28"/>
        <w:snapToGrid w:val="0"/>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pPr>
        <w:pStyle w:val="28"/>
        <w:snapToGrid w:val="0"/>
        <w:spacing w:line="360" w:lineRule="auto"/>
        <w:rPr>
          <w:rFonts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pPr>
        <w:pStyle w:val="28"/>
        <w:snapToGrid w:val="0"/>
        <w:spacing w:line="360" w:lineRule="auto"/>
        <w:rPr>
          <w:rFonts w:cs="宋体"/>
          <w:highlight w:val="none"/>
        </w:rPr>
      </w:pPr>
      <w:r>
        <w:rPr>
          <w:rFonts w:hint="eastAsia" w:cs="宋体"/>
          <w:highlight w:val="none"/>
        </w:rPr>
        <w:t>6.4政府采购合同已经履行，给采购人、供应商造成损失的，由责任人承担赔偿责任。</w:t>
      </w:r>
    </w:p>
    <w:p>
      <w:pPr>
        <w:pStyle w:val="28"/>
        <w:snapToGrid w:val="0"/>
        <w:spacing w:line="360" w:lineRule="auto"/>
        <w:rPr>
          <w:rFonts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8"/>
        <w:snapToGrid w:val="0"/>
        <w:spacing w:line="360" w:lineRule="auto"/>
        <w:ind w:firstLine="0" w:firstLineChars="0"/>
        <w:rPr>
          <w:rFonts w:cs="宋体"/>
          <w:highlight w:val="none"/>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highlight w:val="none"/>
        </w:rPr>
      </w:pPr>
      <w:bookmarkStart w:id="397" w:name="_Toc86217003"/>
      <w:bookmarkStart w:id="398" w:name="第五部分"/>
      <w:r>
        <w:rPr>
          <w:rFonts w:hint="eastAsia" w:ascii="宋体" w:hAnsi="宋体" w:cs="宋体"/>
          <w:b/>
          <w:sz w:val="36"/>
          <w:szCs w:val="36"/>
          <w:highlight w:val="none"/>
        </w:rPr>
        <w:t>第五部分 拟签订的合同文本</w:t>
      </w:r>
    </w:p>
    <w:p>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9" w:name="_Toc32130"/>
      <w:bookmarkStart w:id="400" w:name="_Toc97299497"/>
      <w:r>
        <w:rPr>
          <w:rFonts w:hint="eastAsia" w:ascii="宋体" w:hAnsi="宋体" w:cs="宋体"/>
          <w:snapToGrid w:val="0"/>
          <w:color w:val="auto"/>
          <w:kern w:val="44"/>
          <w:sz w:val="28"/>
          <w:szCs w:val="20"/>
          <w:highlight w:val="none"/>
        </w:rPr>
        <w:t>第一部分  合同协议书</w:t>
      </w:r>
      <w:bookmarkEnd w:id="399"/>
      <w:bookmarkEnd w:id="400"/>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浙江省杭州第四中学</w:t>
      </w:r>
    </w:p>
    <w:p>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1"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1"/>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2" w:name="_Toc361220410"/>
      <w:bookmarkStart w:id="403" w:name="_Toc97299498"/>
      <w:r>
        <w:rPr>
          <w:rFonts w:hint="eastAsia" w:ascii="宋体" w:hAnsi="宋体" w:cs="宋体"/>
          <w:b/>
          <w:bCs/>
          <w:snapToGrid w:val="0"/>
          <w:color w:val="auto"/>
          <w:kern w:val="0"/>
          <w:sz w:val="24"/>
          <w:highlight w:val="none"/>
        </w:rPr>
        <w:t>一、工程概况</w:t>
      </w:r>
      <w:bookmarkEnd w:id="402"/>
      <w:bookmarkEnd w:id="403"/>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lang w:eastAsia="zh-CN"/>
        </w:rPr>
        <w:t>杭州四中下沙校区</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pPr>
        <w:snapToGrid w:val="0"/>
        <w:spacing w:line="360" w:lineRule="auto"/>
        <w:ind w:firstLine="463" w:firstLineChars="193"/>
        <w:rPr>
          <w:rFonts w:ascii="宋体" w:hAnsi="宋体" w:cs="宋体"/>
          <w:bCs/>
          <w:snapToGrid w:val="0"/>
          <w:color w:val="auto"/>
          <w:kern w:val="0"/>
          <w:sz w:val="24"/>
          <w:highlight w:val="none"/>
        </w:rPr>
      </w:pPr>
      <w:bookmarkStart w:id="404" w:name="_Toc361220411"/>
      <w:r>
        <w:rPr>
          <w:rFonts w:hint="eastAsia" w:ascii="宋体" w:hAnsi="宋体" w:cs="宋体"/>
          <w:bCs/>
          <w:snapToGrid w:val="0"/>
          <w:color w:val="auto"/>
          <w:kern w:val="0"/>
          <w:sz w:val="24"/>
          <w:highlight w:val="none"/>
        </w:rPr>
        <w:t>本项目为（项目名称）项目，详见图纸、工程量清单以及采购文件要求</w:t>
      </w:r>
    </w:p>
    <w:p>
      <w:pPr>
        <w:snapToGrid w:val="0"/>
        <w:spacing w:line="360" w:lineRule="auto"/>
        <w:outlineLvl w:val="1"/>
        <w:rPr>
          <w:rFonts w:ascii="宋体" w:hAnsi="宋体" w:cs="宋体"/>
          <w:b/>
          <w:bCs/>
          <w:snapToGrid w:val="0"/>
          <w:color w:val="auto"/>
          <w:kern w:val="0"/>
          <w:sz w:val="24"/>
          <w:highlight w:val="none"/>
        </w:rPr>
      </w:pPr>
      <w:bookmarkStart w:id="405" w:name="_Toc97299499"/>
      <w:r>
        <w:rPr>
          <w:rFonts w:hint="eastAsia" w:ascii="宋体" w:hAnsi="宋体" w:cs="宋体"/>
          <w:b/>
          <w:bCs/>
          <w:snapToGrid w:val="0"/>
          <w:color w:val="auto"/>
          <w:kern w:val="0"/>
          <w:sz w:val="24"/>
          <w:highlight w:val="none"/>
        </w:rPr>
        <w:t>二、合同工期</w:t>
      </w:r>
      <w:bookmarkEnd w:id="404"/>
      <w:bookmarkEnd w:id="405"/>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pPr>
        <w:snapToGrid w:val="0"/>
        <w:spacing w:line="360" w:lineRule="auto"/>
        <w:ind w:firstLine="459"/>
        <w:rPr>
          <w:rFonts w:ascii="宋体" w:hAnsi="宋体" w:cs="宋体"/>
          <w:snapToGrid w:val="0"/>
          <w:color w:val="auto"/>
          <w:kern w:val="0"/>
          <w:sz w:val="24"/>
          <w:highlight w:val="none"/>
        </w:rPr>
      </w:pPr>
      <w:bookmarkStart w:id="406"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6"/>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highlight w:val="none"/>
        </w:rPr>
      </w:pPr>
      <w:bookmarkStart w:id="407" w:name="_Toc361220412"/>
      <w:bookmarkStart w:id="408" w:name="_Toc97299500"/>
      <w:r>
        <w:rPr>
          <w:rFonts w:hint="eastAsia" w:ascii="宋体" w:hAnsi="宋体" w:cs="宋体"/>
          <w:b/>
          <w:bCs/>
          <w:snapToGrid w:val="0"/>
          <w:color w:val="auto"/>
          <w:kern w:val="0"/>
          <w:sz w:val="24"/>
          <w:highlight w:val="none"/>
        </w:rPr>
        <w:t>三、质量标准</w:t>
      </w:r>
      <w:bookmarkEnd w:id="407"/>
      <w:bookmarkEnd w:id="408"/>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工程施工及验收相关规范</w:t>
      </w:r>
      <w:r>
        <w:rPr>
          <w:rFonts w:hint="eastAsia" w:ascii="宋体" w:hAnsi="宋体" w:cs="宋体"/>
          <w:snapToGrid w:val="0"/>
          <w:color w:val="auto"/>
          <w:kern w:val="0"/>
          <w:sz w:val="24"/>
          <w:highlight w:val="none"/>
        </w:rPr>
        <w:t>标准。</w:t>
      </w:r>
    </w:p>
    <w:p>
      <w:pPr>
        <w:snapToGrid w:val="0"/>
        <w:spacing w:line="360" w:lineRule="auto"/>
        <w:outlineLvl w:val="1"/>
        <w:rPr>
          <w:rFonts w:ascii="宋体" w:hAnsi="宋体" w:cs="宋体"/>
          <w:b/>
          <w:bCs/>
          <w:snapToGrid w:val="0"/>
          <w:color w:val="auto"/>
          <w:kern w:val="0"/>
          <w:sz w:val="24"/>
          <w:highlight w:val="none"/>
        </w:rPr>
      </w:pPr>
      <w:bookmarkStart w:id="409" w:name="_Toc361220413"/>
      <w:bookmarkStart w:id="410" w:name="_Toc97299501"/>
      <w:r>
        <w:rPr>
          <w:rFonts w:hint="eastAsia" w:ascii="宋体" w:hAnsi="宋体" w:cs="宋体"/>
          <w:b/>
          <w:bCs/>
          <w:snapToGrid w:val="0"/>
          <w:color w:val="auto"/>
          <w:kern w:val="0"/>
          <w:sz w:val="24"/>
          <w:highlight w:val="none"/>
        </w:rPr>
        <w:t>四、签约合同价与合同价格形式</w:t>
      </w:r>
      <w:bookmarkEnd w:id="409"/>
      <w:bookmarkEnd w:id="410"/>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1" w:name="SOA_hhxys_htj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2" w:name="SOA_hhxys_htj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wmsgf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wmsgf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sb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sb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gc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gc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zlje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zlje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eastAsia="宋体" w:cs="宋体"/>
          <w:b/>
          <w:bCs/>
          <w:color w:val="auto"/>
          <w:sz w:val="24"/>
          <w:szCs w:val="24"/>
          <w:highlight w:val="none"/>
          <w:u w:val="single"/>
        </w:rPr>
        <w:t>固定单价合同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1" w:name="_Toc97299502"/>
      <w:bookmarkStart w:id="422" w:name="_Toc361220414"/>
      <w:r>
        <w:rPr>
          <w:rFonts w:hint="eastAsia" w:ascii="宋体" w:hAnsi="宋体" w:cs="宋体"/>
          <w:b/>
          <w:bCs/>
          <w:snapToGrid w:val="0"/>
          <w:color w:val="auto"/>
          <w:kern w:val="0"/>
          <w:sz w:val="24"/>
          <w:highlight w:val="none"/>
        </w:rPr>
        <w:t>五、项目经理</w:t>
      </w:r>
      <w:bookmarkEnd w:id="421"/>
      <w:bookmarkEnd w:id="422"/>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3" w:name="SOA_hhxys_cbrxmjl"/>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4" w:name="_Toc97299503"/>
      <w:bookmarkStart w:id="425" w:name="_Toc361220415"/>
      <w:r>
        <w:rPr>
          <w:rFonts w:hint="eastAsia" w:ascii="宋体" w:hAnsi="宋体" w:cs="宋体"/>
          <w:b/>
          <w:bCs/>
          <w:snapToGrid w:val="0"/>
          <w:color w:val="auto"/>
          <w:kern w:val="0"/>
          <w:sz w:val="24"/>
          <w:highlight w:val="none"/>
        </w:rPr>
        <w:t>六、合同文件构成</w:t>
      </w:r>
      <w:bookmarkEnd w:id="424"/>
      <w:bookmarkEnd w:id="425"/>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highlight w:val="none"/>
        </w:rPr>
      </w:pPr>
      <w:bookmarkStart w:id="426" w:name="_Toc361220416"/>
      <w:bookmarkStart w:id="427" w:name="_Toc97299504"/>
      <w:r>
        <w:rPr>
          <w:rFonts w:hint="eastAsia" w:ascii="宋体" w:hAnsi="宋体" w:cs="宋体"/>
          <w:b/>
          <w:bCs/>
          <w:snapToGrid w:val="0"/>
          <w:color w:val="auto"/>
          <w:kern w:val="0"/>
          <w:sz w:val="24"/>
          <w:highlight w:val="none"/>
        </w:rPr>
        <w:t>七、承诺</w:t>
      </w:r>
      <w:bookmarkEnd w:id="426"/>
      <w:bookmarkEnd w:id="427"/>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sz w:val="24"/>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highlight w:val="none"/>
        </w:rPr>
      </w:pPr>
      <w:bookmarkStart w:id="428" w:name="_Toc361220417"/>
      <w:bookmarkStart w:id="429" w:name="_Toc97299505"/>
      <w:r>
        <w:rPr>
          <w:rFonts w:hint="eastAsia" w:ascii="宋体" w:hAnsi="宋体" w:cs="宋体"/>
          <w:b/>
          <w:bCs/>
          <w:snapToGrid w:val="0"/>
          <w:color w:val="auto"/>
          <w:kern w:val="0"/>
          <w:sz w:val="24"/>
          <w:highlight w:val="none"/>
        </w:rPr>
        <w:t>八、词语含义</w:t>
      </w:r>
      <w:bookmarkEnd w:id="428"/>
      <w:bookmarkEnd w:id="429"/>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highlight w:val="none"/>
        </w:rPr>
      </w:pPr>
      <w:bookmarkStart w:id="430" w:name="_Toc361220418"/>
      <w:bookmarkStart w:id="431" w:name="_Toc97299506"/>
      <w:r>
        <w:rPr>
          <w:rFonts w:hint="eastAsia" w:ascii="宋体" w:hAnsi="宋体" w:cs="宋体"/>
          <w:b/>
          <w:bCs/>
          <w:snapToGrid w:val="0"/>
          <w:color w:val="auto"/>
          <w:kern w:val="0"/>
          <w:sz w:val="24"/>
          <w:highlight w:val="none"/>
        </w:rPr>
        <w:t>九、签订时间</w:t>
      </w:r>
      <w:bookmarkEnd w:id="430"/>
      <w:bookmarkEnd w:id="431"/>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2" w:name="SOA_hhxys_htqdn"/>
      <w:r>
        <w:rPr>
          <w:rFonts w:hint="eastAsia" w:ascii="宋体" w:hAnsi="宋体" w:cs="宋体"/>
          <w:bCs/>
          <w:snapToGrid w:val="0"/>
          <w:color w:val="auto"/>
          <w:kern w:val="0"/>
          <w:sz w:val="24"/>
          <w:highlight w:val="none"/>
          <w:u w:val="single"/>
        </w:rPr>
        <w:t xml:space="preserve">      </w:t>
      </w:r>
      <w:bookmarkEnd w:id="432"/>
      <w:r>
        <w:rPr>
          <w:rFonts w:hint="eastAsia" w:ascii="宋体" w:hAnsi="宋体" w:cs="宋体"/>
          <w:bCs/>
          <w:snapToGrid w:val="0"/>
          <w:color w:val="auto"/>
          <w:kern w:val="0"/>
          <w:sz w:val="24"/>
          <w:highlight w:val="none"/>
        </w:rPr>
        <w:t>年</w:t>
      </w:r>
      <w:bookmarkStart w:id="433" w:name="SOA_hhxys_htqdy"/>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月</w:t>
      </w:r>
      <w:bookmarkStart w:id="434" w:name="SOA_hhxys_htqdr"/>
      <w:r>
        <w:rPr>
          <w:rFonts w:hint="eastAsia" w:ascii="宋体" w:hAnsi="宋体" w:cs="宋体"/>
          <w:bCs/>
          <w:snapToGrid w:val="0"/>
          <w:color w:val="auto"/>
          <w:kern w:val="0"/>
          <w:sz w:val="24"/>
          <w:highlight w:val="none"/>
          <w:u w:val="single"/>
        </w:rPr>
        <w:t xml:space="preserve">      </w:t>
      </w:r>
      <w:bookmarkEnd w:id="434"/>
      <w:r>
        <w:rPr>
          <w:rFonts w:hint="eastAsia" w:ascii="宋体" w:hAnsi="宋体" w:cs="宋体"/>
          <w:bCs/>
          <w:snapToGrid w:val="0"/>
          <w:color w:val="auto"/>
          <w:kern w:val="0"/>
          <w:sz w:val="24"/>
          <w:highlight w:val="none"/>
        </w:rPr>
        <w:t>日签订。</w:t>
      </w:r>
    </w:p>
    <w:p>
      <w:pPr>
        <w:snapToGrid w:val="0"/>
        <w:spacing w:line="360" w:lineRule="auto"/>
        <w:outlineLvl w:val="1"/>
        <w:rPr>
          <w:rFonts w:ascii="宋体" w:hAnsi="宋体" w:cs="宋体"/>
          <w:b/>
          <w:bCs/>
          <w:snapToGrid w:val="0"/>
          <w:color w:val="auto"/>
          <w:kern w:val="0"/>
          <w:sz w:val="24"/>
          <w:highlight w:val="none"/>
        </w:rPr>
      </w:pPr>
      <w:bookmarkStart w:id="435" w:name="_Toc361220419"/>
      <w:bookmarkStart w:id="436" w:name="_Toc97299507"/>
      <w:r>
        <w:rPr>
          <w:rFonts w:hint="eastAsia" w:ascii="宋体" w:hAnsi="宋体" w:cs="宋体"/>
          <w:b/>
          <w:bCs/>
          <w:snapToGrid w:val="0"/>
          <w:color w:val="auto"/>
          <w:kern w:val="0"/>
          <w:sz w:val="24"/>
          <w:highlight w:val="none"/>
        </w:rPr>
        <w:t>十、签订地点</w:t>
      </w:r>
      <w:bookmarkEnd w:id="435"/>
      <w:bookmarkEnd w:id="436"/>
    </w:p>
    <w:p>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7" w:name="SOA_zyht_htqddd"/>
      <w:r>
        <w:rPr>
          <w:rFonts w:hint="eastAsia" w:ascii="宋体" w:hAnsi="宋体" w:cs="宋体"/>
          <w:bCs/>
          <w:snapToGrid w:val="0"/>
          <w:color w:val="auto"/>
          <w:kern w:val="0"/>
          <w:sz w:val="24"/>
          <w:highlight w:val="none"/>
          <w:u w:val="single"/>
        </w:rPr>
        <w:t xml:space="preserve">  杭州   </w:t>
      </w:r>
      <w:bookmarkEnd w:id="437"/>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pPr>
        <w:snapToGrid w:val="0"/>
        <w:spacing w:line="360" w:lineRule="auto"/>
        <w:outlineLvl w:val="1"/>
        <w:rPr>
          <w:rFonts w:ascii="宋体" w:hAnsi="宋体" w:cs="宋体"/>
          <w:b/>
          <w:bCs/>
          <w:snapToGrid w:val="0"/>
          <w:color w:val="auto"/>
          <w:kern w:val="0"/>
          <w:sz w:val="24"/>
          <w:highlight w:val="none"/>
        </w:rPr>
      </w:pPr>
      <w:bookmarkStart w:id="438" w:name="_Toc361220420"/>
      <w:bookmarkStart w:id="439" w:name="_Toc97299508"/>
      <w:r>
        <w:rPr>
          <w:rFonts w:hint="eastAsia" w:ascii="宋体" w:hAnsi="宋体" w:cs="宋体"/>
          <w:b/>
          <w:bCs/>
          <w:snapToGrid w:val="0"/>
          <w:color w:val="auto"/>
          <w:kern w:val="0"/>
          <w:sz w:val="24"/>
          <w:highlight w:val="none"/>
        </w:rPr>
        <w:t>十一、补充协议</w:t>
      </w:r>
      <w:bookmarkEnd w:id="438"/>
      <w:bookmarkEnd w:id="439"/>
    </w:p>
    <w:p>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highlight w:val="none"/>
        </w:rPr>
      </w:pPr>
      <w:bookmarkStart w:id="440" w:name="_Toc97299509"/>
      <w:bookmarkStart w:id="441" w:name="_Toc361220421"/>
      <w:r>
        <w:rPr>
          <w:rFonts w:hint="eastAsia" w:ascii="宋体" w:hAnsi="宋体" w:cs="宋体"/>
          <w:b/>
          <w:bCs/>
          <w:snapToGrid w:val="0"/>
          <w:color w:val="auto"/>
          <w:kern w:val="0"/>
          <w:sz w:val="24"/>
          <w:highlight w:val="none"/>
        </w:rPr>
        <w:t>十二、合同生效</w:t>
      </w:r>
      <w:bookmarkEnd w:id="440"/>
      <w:bookmarkEnd w:id="441"/>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2"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2"/>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pPr>
        <w:snapToGrid w:val="0"/>
        <w:spacing w:line="360" w:lineRule="auto"/>
        <w:outlineLvl w:val="1"/>
        <w:rPr>
          <w:rFonts w:ascii="宋体" w:hAnsi="宋体" w:cs="宋体"/>
          <w:b/>
          <w:bCs/>
          <w:snapToGrid w:val="0"/>
          <w:color w:val="auto"/>
          <w:kern w:val="0"/>
          <w:sz w:val="24"/>
          <w:highlight w:val="none"/>
        </w:rPr>
      </w:pPr>
      <w:bookmarkStart w:id="443" w:name="_Toc361220422"/>
      <w:bookmarkStart w:id="444" w:name="_Toc97299510"/>
      <w:r>
        <w:rPr>
          <w:rFonts w:hint="eastAsia" w:ascii="宋体" w:hAnsi="宋体" w:cs="宋体"/>
          <w:b/>
          <w:bCs/>
          <w:snapToGrid w:val="0"/>
          <w:color w:val="auto"/>
          <w:kern w:val="0"/>
          <w:sz w:val="24"/>
          <w:highlight w:val="none"/>
        </w:rPr>
        <w:t>十三、合同份数</w:t>
      </w:r>
      <w:bookmarkEnd w:id="443"/>
      <w:bookmarkEnd w:id="444"/>
    </w:p>
    <w:p>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pPr>
        <w:snapToGrid w:val="0"/>
        <w:spacing w:line="360" w:lineRule="auto"/>
        <w:ind w:firstLine="480" w:firstLineChars="200"/>
        <w:rPr>
          <w:rFonts w:ascii="宋体" w:hAnsi="宋体" w:cs="宋体"/>
          <w:snapToGrid w:val="0"/>
          <w:color w:val="auto"/>
          <w:kern w:val="0"/>
          <w:sz w:val="24"/>
          <w:highlight w:val="none"/>
        </w:rPr>
      </w:pP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5" w:name="SOA_hhxys_zjjgdm1"/>
      <w:r>
        <w:rPr>
          <w:rFonts w:hint="eastAsia" w:ascii="宋体" w:hAnsi="宋体" w:cs="宋体"/>
          <w:snapToGrid w:val="0"/>
          <w:color w:val="auto"/>
          <w:kern w:val="0"/>
          <w:sz w:val="24"/>
          <w:highlight w:val="none"/>
          <w:u w:val="single"/>
        </w:rPr>
        <w:t xml:space="preserve">      </w:t>
      </w:r>
      <w:bookmarkEnd w:id="44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6" w:name="SOA_hhxys_cbryb"/>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7" w:name="SOA_hhxys_fddbr1"/>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8" w:name="SOA_hhxys_wtdlr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49" w:name="SOA_hhxys_cbrdh"/>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0" w:name="SOA_hhxys_cbrcz"/>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1" w:name="SOA_hhxys_cbrdzxx"/>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2" w:name="SOA_hhxys_cbrz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4"/>
          <w:highlight w:val="none"/>
        </w:rPr>
      </w:pPr>
      <w:r>
        <w:rPr>
          <w:rFonts w:hint="eastAsia" w:ascii="宋体" w:hAnsi="宋体" w:cs="宋体"/>
          <w:snapToGrid w:val="0"/>
          <w:color w:val="auto"/>
          <w:kern w:val="0"/>
          <w:sz w:val="24"/>
          <w:highlight w:val="none"/>
        </w:rPr>
        <w:br w:type="page"/>
      </w:r>
      <w:bookmarkStart w:id="453" w:name="_Toc31640"/>
      <w:bookmarkStart w:id="454" w:name="_Toc97299511"/>
      <w:bookmarkStart w:id="455" w:name="_Toc69485879"/>
      <w:r>
        <w:rPr>
          <w:rFonts w:hint="eastAsia" w:ascii="宋体" w:hAnsi="宋体" w:cs="宋体"/>
          <w:snapToGrid w:val="0"/>
          <w:color w:val="auto"/>
          <w:kern w:val="44"/>
          <w:sz w:val="24"/>
          <w:highlight w:val="none"/>
        </w:rPr>
        <w:t>第二部分  通用条款（略）</w:t>
      </w:r>
      <w:bookmarkEnd w:id="453"/>
      <w:bookmarkEnd w:id="454"/>
      <w:bookmarkEnd w:id="455"/>
    </w:p>
    <w:p>
      <w:pPr>
        <w:keepNext/>
        <w:keepLines/>
        <w:numPr>
          <w:ilvl w:val="1"/>
          <w:numId w:val="0"/>
        </w:numPr>
        <w:spacing w:before="100" w:line="400" w:lineRule="exact"/>
        <w:jc w:val="center"/>
        <w:outlineLvl w:val="1"/>
        <w:rPr>
          <w:rFonts w:ascii="宋体" w:hAnsi="宋体" w:cs="宋体"/>
          <w:snapToGrid w:val="0"/>
          <w:color w:val="auto"/>
          <w:kern w:val="44"/>
          <w:sz w:val="24"/>
          <w:highlight w:val="none"/>
        </w:rPr>
      </w:pPr>
      <w:bookmarkStart w:id="456" w:name="_Toc69485880"/>
      <w:bookmarkStart w:id="457" w:name="_Toc97299512"/>
      <w:bookmarkStart w:id="458" w:name="_Toc8278"/>
      <w:r>
        <w:rPr>
          <w:rFonts w:hint="eastAsia" w:ascii="宋体" w:hAnsi="宋体" w:cs="宋体"/>
          <w:snapToGrid w:val="0"/>
          <w:color w:val="auto"/>
          <w:kern w:val="44"/>
          <w:sz w:val="24"/>
          <w:highlight w:val="none"/>
        </w:rPr>
        <w:t>第三部分  专用条款</w:t>
      </w:r>
      <w:bookmarkEnd w:id="456"/>
      <w:bookmarkEnd w:id="457"/>
      <w:bookmarkEnd w:id="458"/>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459" w:name="_Toc351203633"/>
      <w:r>
        <w:rPr>
          <w:rFonts w:hint="eastAsia" w:ascii="宋体" w:hAnsi="宋体" w:eastAsia="宋体" w:cs="宋体"/>
          <w:b w:val="0"/>
          <w:color w:val="auto"/>
          <w:sz w:val="24"/>
          <w:szCs w:val="24"/>
          <w:highlight w:val="none"/>
        </w:rPr>
        <w:t>1</w:t>
      </w:r>
      <w:bookmarkStart w:id="460" w:name="_Toc292559361"/>
      <w:bookmarkStart w:id="461" w:name="_Toc296347155"/>
      <w:bookmarkStart w:id="462" w:name="_Toc296944495"/>
      <w:bookmarkStart w:id="463" w:name="_Toc296890984"/>
      <w:bookmarkStart w:id="464" w:name="_Toc296891196"/>
      <w:bookmarkStart w:id="465" w:name="_Toc297120456"/>
      <w:bookmarkStart w:id="466" w:name="_Toc296503156"/>
      <w:bookmarkStart w:id="467" w:name="_Toc292559866"/>
      <w:bookmarkStart w:id="468" w:name="_Toc296346657"/>
      <w:bookmarkStart w:id="469" w:name="_Toc297048342"/>
      <w:r>
        <w:rPr>
          <w:rFonts w:hint="eastAsia" w:ascii="宋体" w:hAnsi="宋体" w:eastAsia="宋体" w:cs="宋体"/>
          <w:b w:val="0"/>
          <w:color w:val="auto"/>
          <w:sz w:val="24"/>
          <w:szCs w:val="24"/>
          <w:highlight w:val="none"/>
        </w:rPr>
        <w:t>. 一般约定</w:t>
      </w:r>
      <w:bookmarkEnd w:id="459"/>
      <w:bookmarkEnd w:id="460"/>
      <w:bookmarkEnd w:id="461"/>
      <w:bookmarkEnd w:id="462"/>
      <w:bookmarkEnd w:id="463"/>
      <w:bookmarkEnd w:id="464"/>
      <w:bookmarkEnd w:id="465"/>
      <w:bookmarkEnd w:id="466"/>
      <w:bookmarkEnd w:id="467"/>
      <w:bookmarkEnd w:id="468"/>
      <w:bookmarkEnd w:id="469"/>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 词语定义</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1.1.1合同</w:t>
      </w:r>
    </w:p>
    <w:p>
      <w:pPr>
        <w:snapToGrid w:val="0"/>
        <w:spacing w:line="360" w:lineRule="auto"/>
        <w:ind w:left="1436" w:leftChars="284" w:hanging="840" w:hangingChars="350"/>
        <w:rPr>
          <w:rFonts w:ascii="宋体" w:hAnsi="宋体" w:cs="宋体"/>
          <w:color w:val="auto"/>
          <w:kern w:val="0"/>
          <w:sz w:val="24"/>
          <w:highlight w:val="none"/>
        </w:rPr>
      </w:pPr>
      <w:r>
        <w:rPr>
          <w:rFonts w:hint="eastAsia" w:ascii="宋体" w:hAnsi="宋体" w:cs="宋体"/>
          <w:color w:val="auto"/>
          <w:kern w:val="0"/>
          <w:sz w:val="24"/>
          <w:highlight w:val="none"/>
        </w:rPr>
        <w:t>1.1.1.10其他合同文件包括：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合同当事人及其他相关方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1.1.2.4监理人：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根据发包人与监理人签订的合同为准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 设计人：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根据发包人与设计人签订的合同为准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 作为施工现场组成部分的其他场所包括：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1.1.3.9 永久占地包括：</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1.1.3.10 临时占地包括：</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 xml:space="preserve">   根据国家、省市、地方法律、法规执行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标准和规范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 xml:space="preserve">  根据国家、省市、地方相关规范执行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 发包人提供国外标准、规范的名称：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 合同文件的优先顺序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合同文件组成及优先顺序为：</w:t>
      </w:r>
      <w:r>
        <w:rPr>
          <w:rFonts w:hint="eastAsia" w:ascii="宋体" w:hAnsi="宋体" w:cs="宋体"/>
          <w:color w:val="auto"/>
          <w:sz w:val="24"/>
          <w:highlight w:val="none"/>
          <w:u w:val="single"/>
        </w:rPr>
        <w:t>专用合同条款、招标文件、投标文件、通用合同条款、其它</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 图纸和承包人文件</w:t>
      </w:r>
      <w:r>
        <w:rPr>
          <w:rFonts w:hint="eastAsia" w:ascii="宋体" w:hAnsi="宋体" w:cs="宋体"/>
          <w:color w:val="auto"/>
          <w:sz w:val="24"/>
          <w:highlight w:val="none"/>
        </w:rPr>
        <w:tab/>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 xml:space="preserve">  2套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 xml:space="preserve">设计施工图纸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承包人文件</w:t>
      </w:r>
    </w:p>
    <w:p>
      <w:pPr>
        <w:snapToGrid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 xml:space="preserve"> 根据发包人实际情况审批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现场图纸准备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 联络</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Hans"/>
        </w:rPr>
        <w:t>开</w:t>
      </w:r>
      <w:r>
        <w:rPr>
          <w:rFonts w:hint="eastAsia" w:ascii="宋体" w:hAnsi="宋体" w:cs="宋体"/>
          <w:color w:val="auto"/>
          <w:sz w:val="24"/>
          <w:highlight w:val="none"/>
          <w:u w:val="single"/>
        </w:rPr>
        <w:t xml:space="preserve">工前3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发包人接收文件的地点：</w:t>
      </w:r>
      <w:r>
        <w:rPr>
          <w:rFonts w:hint="eastAsia" w:ascii="宋体" w:hAnsi="宋体" w:cs="宋体"/>
          <w:color w:val="auto"/>
          <w:sz w:val="24"/>
          <w:highlight w:val="none"/>
          <w:u w:val="single"/>
        </w:rPr>
        <w:t xml:space="preserve"> 浙江省杭州第四中学内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 xml:space="preserve"> 根据发包人实际安排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 xml:space="preserve"> 浙江省杭州第四中学内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 xml:space="preserve"> 工程现场负责人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 xml:space="preserve"> 浙江省杭州第四中学内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 xml:space="preserve"> 根据监理人实际安排       </w:t>
      </w:r>
      <w:r>
        <w:rPr>
          <w:rFonts w:hint="eastAsia" w:ascii="宋体" w:hAnsi="宋体" w:cs="宋体"/>
          <w:color w:val="auto"/>
          <w:kern w:val="0"/>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1.10 交通运输</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w:t>
      </w:r>
      <w:bookmarkStart w:id="470" w:name="_Toc304295521"/>
      <w:bookmarkStart w:id="471" w:name="_Toc312677986"/>
      <w:bookmarkStart w:id="472" w:name="_Toc303539100"/>
      <w:bookmarkStart w:id="473" w:name="_Toc318581155"/>
      <w:bookmarkStart w:id="474" w:name="_Toc300934943"/>
      <w:r>
        <w:rPr>
          <w:rFonts w:hint="eastAsia" w:ascii="宋体" w:hAnsi="宋体" w:cs="宋体"/>
          <w:color w:val="auto"/>
          <w:sz w:val="24"/>
          <w:highlight w:val="none"/>
        </w:rPr>
        <w:t>.10.1 出入现场的权利</w:t>
      </w:r>
    </w:p>
    <w:p>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xml:space="preserve"> 应遵守发包人内部管理规定</w:t>
      </w:r>
      <w:r>
        <w:rPr>
          <w:rFonts w:hint="eastAsia" w:ascii="宋体" w:hAnsi="宋体" w:cs="宋体"/>
          <w:color w:val="auto"/>
          <w:sz w:val="24"/>
          <w:highlight w:val="none"/>
        </w:rPr>
        <w:t>。</w:t>
      </w:r>
      <w:bookmarkEnd w:id="470"/>
      <w:bookmarkEnd w:id="471"/>
      <w:bookmarkEnd w:id="472"/>
      <w:bookmarkEnd w:id="473"/>
      <w:bookmarkEnd w:id="474"/>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w:t>
      </w:r>
      <w:bookmarkStart w:id="475" w:name="_Toc303539101"/>
      <w:bookmarkStart w:id="476" w:name="_Toc300934944"/>
      <w:bookmarkStart w:id="477" w:name="_Toc318581156"/>
      <w:bookmarkStart w:id="478" w:name="_Toc304295522"/>
      <w:bookmarkStart w:id="479" w:name="_Toc312677987"/>
      <w:r>
        <w:rPr>
          <w:rFonts w:hint="eastAsia" w:ascii="宋体" w:hAnsi="宋体" w:cs="宋体"/>
          <w:color w:val="auto"/>
          <w:sz w:val="24"/>
          <w:highlight w:val="none"/>
        </w:rPr>
        <w:t>.10.3 场内交通</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475"/>
      <w:bookmarkEnd w:id="476"/>
      <w:bookmarkEnd w:id="477"/>
      <w:bookmarkEnd w:id="478"/>
      <w:bookmarkEnd w:id="479"/>
      <w:r>
        <w:rPr>
          <w:rFonts w:hint="eastAsia" w:ascii="宋体" w:hAnsi="宋体" w:cs="宋体"/>
          <w:color w:val="auto"/>
          <w:sz w:val="24"/>
          <w:highlight w:val="none"/>
        </w:rPr>
        <w:t xml:space="preserve">  </w:t>
      </w:r>
      <w:bookmarkStart w:id="480" w:name="_Toc318581157"/>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1.10.4超大件和超重件的运输</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承担。</w:t>
      </w:r>
      <w:bookmarkEnd w:id="480"/>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1.11 知识产权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发包人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 xml:space="preserve"> 工程竣工验收合格后止</w:t>
      </w:r>
      <w:r>
        <w:rPr>
          <w:rFonts w:hint="eastAsia" w:ascii="宋体" w:hAnsi="宋体" w:cs="宋体"/>
          <w:color w:val="auto"/>
          <w:sz w:val="24"/>
          <w:highlight w:val="none"/>
        </w:rPr>
        <w:t>。</w:t>
      </w:r>
    </w:p>
    <w:p>
      <w:pPr>
        <w:snapToGrid w:val="0"/>
        <w:spacing w:line="360" w:lineRule="auto"/>
        <w:ind w:left="596" w:leftChars="284"/>
        <w:outlineLvl w:val="0"/>
        <w:rPr>
          <w:rFonts w:ascii="宋体" w:hAnsi="宋体" w:cs="宋体"/>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color w:val="auto"/>
          <w:sz w:val="24"/>
          <w:highlight w:val="none"/>
          <w:u w:val="single"/>
        </w:rPr>
        <w:t xml:space="preserve">发包人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 xml:space="preserve"> 否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481" w:name="_Toc351203634"/>
      <w:r>
        <w:rPr>
          <w:rFonts w:hint="eastAsia" w:ascii="宋体" w:hAnsi="宋体" w:eastAsia="宋体" w:cs="宋体"/>
          <w:b w:val="0"/>
          <w:color w:val="auto"/>
          <w:sz w:val="24"/>
          <w:szCs w:val="24"/>
          <w:highlight w:val="none"/>
        </w:rPr>
        <w:t>2</w:t>
      </w:r>
      <w:bookmarkStart w:id="482" w:name="_Toc292559867"/>
      <w:bookmarkStart w:id="483" w:name="_Toc296891197"/>
      <w:bookmarkStart w:id="484" w:name="_Toc292559362"/>
      <w:bookmarkStart w:id="485" w:name="_Toc296890985"/>
      <w:bookmarkStart w:id="486" w:name="_Toc297048343"/>
      <w:bookmarkStart w:id="487" w:name="_Toc297120457"/>
      <w:bookmarkStart w:id="488" w:name="_Toc296944496"/>
      <w:bookmarkStart w:id="489" w:name="_Toc296347156"/>
      <w:bookmarkStart w:id="490" w:name="_Toc296503157"/>
      <w:bookmarkStart w:id="491" w:name="_Toc296346658"/>
      <w:r>
        <w:rPr>
          <w:rFonts w:hint="eastAsia" w:ascii="宋体" w:hAnsi="宋体" w:eastAsia="宋体" w:cs="宋体"/>
          <w:b w:val="0"/>
          <w:color w:val="auto"/>
          <w:sz w:val="24"/>
          <w:szCs w:val="24"/>
          <w:highlight w:val="none"/>
        </w:rPr>
        <w:t>. 发包人</w:t>
      </w:r>
      <w:bookmarkEnd w:id="481"/>
      <w:bookmarkEnd w:id="482"/>
      <w:bookmarkEnd w:id="483"/>
      <w:bookmarkEnd w:id="484"/>
      <w:bookmarkEnd w:id="485"/>
      <w:bookmarkEnd w:id="486"/>
      <w:bookmarkEnd w:id="487"/>
      <w:bookmarkEnd w:id="488"/>
      <w:bookmarkEnd w:id="489"/>
      <w:bookmarkEnd w:id="490"/>
      <w:bookmarkEnd w:id="491"/>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 发包人代表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 xml:space="preserve"> 负责本项目管理过程中的所有相关事务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提供施工现场</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提供施工条件</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2.5 资金来源证明及支付担保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492" w:name="_Toc351203635"/>
      <w:r>
        <w:rPr>
          <w:rFonts w:hint="eastAsia" w:ascii="宋体" w:hAnsi="宋体" w:eastAsia="宋体" w:cs="宋体"/>
          <w:b w:val="0"/>
          <w:color w:val="auto"/>
          <w:sz w:val="24"/>
          <w:szCs w:val="24"/>
          <w:highlight w:val="none"/>
        </w:rPr>
        <w:t>3</w:t>
      </w:r>
      <w:bookmarkStart w:id="493" w:name="_Toc297120458"/>
      <w:bookmarkStart w:id="494" w:name="_Toc296890986"/>
      <w:bookmarkStart w:id="495" w:name="_Toc296944497"/>
      <w:bookmarkStart w:id="496" w:name="_Toc296891198"/>
      <w:bookmarkStart w:id="497" w:name="_Toc297048344"/>
      <w:bookmarkStart w:id="498" w:name="_Toc296503158"/>
      <w:bookmarkStart w:id="499" w:name="_Toc292559868"/>
      <w:bookmarkStart w:id="500" w:name="_Toc296346659"/>
      <w:bookmarkStart w:id="501" w:name="_Toc292559363"/>
      <w:bookmarkStart w:id="502" w:name="_Toc296347157"/>
      <w:r>
        <w:rPr>
          <w:rFonts w:hint="eastAsia" w:ascii="宋体" w:hAnsi="宋体" w:eastAsia="宋体" w:cs="宋体"/>
          <w:b w:val="0"/>
          <w:color w:val="auto"/>
          <w:sz w:val="24"/>
          <w:szCs w:val="24"/>
          <w:highlight w:val="none"/>
        </w:rPr>
        <w:t>. 承包人</w:t>
      </w:r>
      <w:bookmarkEnd w:id="492"/>
      <w:bookmarkEnd w:id="493"/>
      <w:bookmarkEnd w:id="494"/>
      <w:bookmarkEnd w:id="495"/>
      <w:bookmarkEnd w:id="496"/>
      <w:bookmarkEnd w:id="497"/>
      <w:bookmarkEnd w:id="498"/>
      <w:bookmarkEnd w:id="499"/>
      <w:bookmarkEnd w:id="500"/>
      <w:bookmarkEnd w:id="501"/>
      <w:bookmarkEnd w:id="502"/>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承包人的一般义务</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hint="eastAsia" w:ascii="宋体" w:hAnsi="宋体" w:cs="宋体"/>
          <w:color w:val="auto"/>
          <w:sz w:val="24"/>
          <w:highlight w:val="none"/>
          <w:u w:val="single"/>
        </w:rPr>
        <w:t xml:space="preserve"> 隐蔽验收、材料合格证明、竣工验收证书、联系单、竣工图等，具体按照发包人实际要求执行</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color w:val="auto"/>
          <w:sz w:val="24"/>
          <w:highlight w:val="none"/>
          <w:u w:val="single"/>
        </w:rPr>
        <w:t xml:space="preserve">  暂定3套（具体按照发包人要求提供）  </w:t>
      </w:r>
      <w:r>
        <w:rPr>
          <w:rFonts w:hint="eastAsia" w:ascii="宋体" w:hAnsi="宋体" w:cs="宋体"/>
          <w:color w:val="auto"/>
          <w:sz w:val="24"/>
          <w:highlight w:val="none"/>
        </w:rPr>
        <w:t>。</w:t>
      </w:r>
    </w:p>
    <w:p>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w:t>
      </w:r>
    </w:p>
    <w:p>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color w:val="auto"/>
          <w:sz w:val="24"/>
          <w:highlight w:val="none"/>
          <w:u w:val="single"/>
        </w:rPr>
        <w:t xml:space="preserve">   工程完工后15天内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 xml:space="preserve"> 纸质版和电子版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（10）承包人应履行的其他义务：</w:t>
      </w:r>
      <w:r>
        <w:rPr>
          <w:rFonts w:hint="eastAsia" w:ascii="宋体" w:hAnsi="宋体" w:cs="宋体"/>
          <w:color w:val="auto"/>
          <w:sz w:val="24"/>
          <w:highlight w:val="none"/>
          <w:u w:val="single"/>
        </w:rPr>
        <w:t xml:space="preserve"> 具体根据发包人要求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3.2.1 </w:t>
      </w:r>
      <w:r>
        <w:rPr>
          <w:rFonts w:hint="eastAsia" w:ascii="宋体" w:hAnsi="宋体" w:cs="宋体"/>
          <w:color w:val="auto"/>
          <w:sz w:val="24"/>
          <w:highlight w:val="none"/>
        </w:rPr>
        <w:t>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 xml:space="preserve"> 全面负责本工程的质量、安全、工期及成本控制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color w:val="auto"/>
          <w:sz w:val="24"/>
          <w:highlight w:val="none"/>
          <w:u w:val="single"/>
        </w:rPr>
        <w:t xml:space="preserve"> 项目经理和技术负责人每月现场到位不得少于22天</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color w:val="auto"/>
          <w:sz w:val="24"/>
          <w:highlight w:val="none"/>
          <w:u w:val="single"/>
        </w:rPr>
        <w:t xml:space="preserve"> 根据政府部门相关规定执行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color w:val="auto"/>
          <w:sz w:val="24"/>
          <w:highlight w:val="none"/>
          <w:u w:val="single"/>
        </w:rPr>
        <w:t xml:space="preserve"> 擅自离开支付违约金1000元/人·次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color w:val="auto"/>
          <w:sz w:val="24"/>
          <w:highlight w:val="none"/>
          <w:u w:val="single"/>
        </w:rPr>
        <w:t xml:space="preserve"> 发包人有权解除合同</w:t>
      </w:r>
      <w:r>
        <w:rPr>
          <w:rFonts w:hint="eastAsia" w:ascii="宋体" w:hAnsi="宋体" w:cs="宋体"/>
          <w:color w:val="auto"/>
          <w:sz w:val="24"/>
          <w:highlight w:val="none"/>
        </w:rPr>
        <w:t>。</w:t>
      </w:r>
    </w:p>
    <w:p>
      <w:pPr>
        <w:snapToGrid w:val="0"/>
        <w:spacing w:line="360" w:lineRule="auto"/>
        <w:outlineLvl w:val="0"/>
        <w:rPr>
          <w:rFonts w:ascii="宋体" w:hAnsi="宋体" w:cs="宋体"/>
          <w:color w:val="auto"/>
          <w:sz w:val="24"/>
          <w:highlight w:val="none"/>
        </w:rPr>
      </w:pPr>
      <w:r>
        <w:rPr>
          <w:rFonts w:hint="eastAsia" w:ascii="宋体" w:hAnsi="宋体" w:cs="宋体"/>
          <w:color w:val="auto"/>
          <w:sz w:val="24"/>
          <w:highlight w:val="none"/>
        </w:rPr>
        <w:t xml:space="preserve">    3.2.4 承包人无正当理由拒绝更换项目经理的违约责任：</w:t>
      </w:r>
      <w:r>
        <w:rPr>
          <w:rFonts w:hint="eastAsia" w:ascii="宋体" w:hAnsi="宋体" w:cs="宋体"/>
          <w:color w:val="auto"/>
          <w:sz w:val="24"/>
          <w:highlight w:val="none"/>
          <w:u w:val="single"/>
        </w:rPr>
        <w:t xml:space="preserve"> 发包人有权解除合同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承包人人员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 xml:space="preserve"> 开工前7天，具体按照发包人实际要求执行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 xml:space="preserve"> 发包人有权解除合同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3.3.4 承包人主要施工管理人员离开施工现场的批准要求：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 xml:space="preserve"> 项目经理和技术负责人20000元/人.次；其它管理人员5000元/人.次，费用从当期工程款中扣除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 xml:space="preserve"> 1000元/次，费用从当期工程款中扣除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03" w:name="_Toc296891199"/>
      <w:bookmarkStart w:id="504" w:name="_Toc296346660"/>
      <w:bookmarkStart w:id="505" w:name="_Toc292559869"/>
      <w:bookmarkStart w:id="506" w:name="_Toc300934945"/>
      <w:bookmarkStart w:id="507" w:name="_Toc292559364"/>
      <w:bookmarkStart w:id="508" w:name="_Toc296347158"/>
      <w:bookmarkStart w:id="509" w:name="_Toc297216151"/>
      <w:bookmarkStart w:id="510" w:name="_Toc296944498"/>
      <w:bookmarkStart w:id="511" w:name="_Toc304295523"/>
      <w:bookmarkStart w:id="512" w:name="_Toc312677988"/>
      <w:bookmarkStart w:id="513" w:name="_Toc297048345"/>
      <w:bookmarkStart w:id="514" w:name="_Toc297120459"/>
      <w:bookmarkStart w:id="515" w:name="_Toc296890987"/>
      <w:bookmarkStart w:id="516" w:name="_Toc297123492"/>
      <w:bookmarkStart w:id="517" w:name="_Toc296503159"/>
      <w:bookmarkStart w:id="518" w:name="_Toc303539102"/>
      <w:r>
        <w:rPr>
          <w:rFonts w:hint="eastAsia" w:ascii="宋体" w:hAnsi="宋体" w:cs="宋体"/>
          <w:color w:val="auto"/>
          <w:sz w:val="24"/>
          <w:highlight w:val="none"/>
        </w:rPr>
        <w:t>.5 分包</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19" w:name="_Toc304295524"/>
      <w:bookmarkStart w:id="520" w:name="_Toc292559365"/>
      <w:bookmarkStart w:id="521" w:name="_Toc292559870"/>
      <w:bookmarkStart w:id="522" w:name="_Toc297123493"/>
      <w:bookmarkStart w:id="523" w:name="_Toc297120460"/>
      <w:bookmarkStart w:id="524" w:name="_Toc296891200"/>
      <w:bookmarkStart w:id="525" w:name="_Toc312677989"/>
      <w:bookmarkStart w:id="526" w:name="_Toc296890988"/>
      <w:bookmarkStart w:id="527" w:name="_Toc318581158"/>
      <w:bookmarkStart w:id="528" w:name="_Toc296347159"/>
      <w:bookmarkStart w:id="529" w:name="_Toc297048346"/>
      <w:bookmarkStart w:id="530" w:name="_Toc300934946"/>
      <w:bookmarkStart w:id="531" w:name="_Toc297216152"/>
      <w:bookmarkStart w:id="532" w:name="_Toc296503160"/>
      <w:bookmarkStart w:id="533" w:name="_Toc296944499"/>
      <w:bookmarkStart w:id="534" w:name="_Toc303539103"/>
      <w:bookmarkStart w:id="535" w:name="_Toc296346661"/>
      <w:r>
        <w:rPr>
          <w:rFonts w:hint="eastAsia" w:ascii="宋体" w:hAnsi="宋体" w:cs="宋体"/>
          <w:color w:val="auto"/>
          <w:sz w:val="24"/>
          <w:highlight w:val="none"/>
        </w:rPr>
        <w:t>.5.1 分包的一般约定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 xml:space="preserve"> 除采购人允许的分包内容外其余一律不允许分包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Start w:id="536" w:name="_Toc297048347"/>
      <w:bookmarkEnd w:id="536"/>
      <w:bookmarkStart w:id="537" w:name="_Toc296503161"/>
      <w:bookmarkEnd w:id="537"/>
      <w:bookmarkStart w:id="538" w:name="_Toc297216153"/>
      <w:bookmarkEnd w:id="538"/>
      <w:bookmarkStart w:id="539" w:name="_Toc296891201"/>
      <w:bookmarkEnd w:id="539"/>
      <w:bookmarkStart w:id="540" w:name="_Toc296347160"/>
      <w:bookmarkEnd w:id="540"/>
      <w:bookmarkStart w:id="541" w:name="_Toc296346662"/>
      <w:bookmarkEnd w:id="541"/>
      <w:bookmarkStart w:id="542" w:name="_Toc300934947"/>
      <w:bookmarkEnd w:id="542"/>
      <w:bookmarkStart w:id="543" w:name="_Toc303539104"/>
      <w:bookmarkEnd w:id="543"/>
      <w:bookmarkStart w:id="544" w:name="_Toc296890989"/>
      <w:bookmarkEnd w:id="544"/>
      <w:bookmarkStart w:id="545" w:name="_Toc304295525"/>
      <w:bookmarkEnd w:id="545"/>
      <w:bookmarkStart w:id="546" w:name="_Toc297123494"/>
      <w:bookmarkEnd w:id="546"/>
      <w:bookmarkStart w:id="547" w:name="_Toc296944500"/>
      <w:bookmarkEnd w:id="547"/>
      <w:bookmarkStart w:id="548" w:name="_Toc297120461"/>
      <w:bookmarkEnd w:id="548"/>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bookmarkStart w:id="549" w:name="_Toc312677990"/>
      <w:bookmarkStart w:id="550" w:name="_Toc318581159"/>
      <w:r>
        <w:rPr>
          <w:rFonts w:hint="eastAsia" w:ascii="宋体" w:hAnsi="宋体" w:cs="宋体"/>
          <w:color w:val="auto"/>
          <w:sz w:val="24"/>
          <w:highlight w:val="none"/>
        </w:rPr>
        <w:t>.5.2分包的确定</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分包合同价款</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549"/>
      <w:bookmarkEnd w:id="55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工程照管与成品、半成品保护</w:t>
      </w:r>
    </w:p>
    <w:p>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color w:val="auto"/>
          <w:kern w:val="0"/>
          <w:sz w:val="24"/>
          <w:highlight w:val="none"/>
          <w:u w:val="single"/>
        </w:rPr>
        <w:t xml:space="preserve"> 从工程中标至工程通过竣工验收前，费用均由承包人负责。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履约担保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551" w:name="_Toc351203636"/>
      <w:r>
        <w:rPr>
          <w:rFonts w:hint="eastAsia" w:ascii="宋体" w:hAnsi="宋体" w:eastAsia="宋体" w:cs="宋体"/>
          <w:b w:val="0"/>
          <w:color w:val="auto"/>
          <w:sz w:val="24"/>
          <w:szCs w:val="24"/>
          <w:highlight w:val="none"/>
        </w:rPr>
        <w:t>4</w:t>
      </w:r>
      <w:bookmarkStart w:id="552" w:name="_Toc296347161"/>
      <w:bookmarkStart w:id="553" w:name="_Toc292559366"/>
      <w:bookmarkStart w:id="554" w:name="_Toc296891202"/>
      <w:bookmarkStart w:id="555" w:name="_Toc296944501"/>
      <w:bookmarkStart w:id="556" w:name="_Toc296346663"/>
      <w:bookmarkStart w:id="557" w:name="_Toc267251413"/>
      <w:bookmarkStart w:id="558" w:name="_Toc296503162"/>
      <w:bookmarkStart w:id="559" w:name="_Toc292559871"/>
      <w:bookmarkStart w:id="560" w:name="_Toc297048348"/>
      <w:bookmarkStart w:id="561" w:name="_Toc297120462"/>
      <w:bookmarkStart w:id="562" w:name="_Toc296890990"/>
      <w:r>
        <w:rPr>
          <w:rFonts w:hint="eastAsia" w:ascii="宋体" w:hAnsi="宋体" w:eastAsia="宋体" w:cs="宋体"/>
          <w:b w:val="0"/>
          <w:color w:val="auto"/>
          <w:sz w:val="24"/>
          <w:szCs w:val="24"/>
          <w:highlight w:val="none"/>
        </w:rPr>
        <w:t>. 监</w:t>
      </w:r>
      <w:bookmarkEnd w:id="552"/>
      <w:bookmarkEnd w:id="553"/>
      <w:bookmarkEnd w:id="554"/>
      <w:bookmarkEnd w:id="555"/>
      <w:bookmarkEnd w:id="556"/>
      <w:bookmarkEnd w:id="557"/>
      <w:bookmarkEnd w:id="558"/>
      <w:bookmarkEnd w:id="559"/>
      <w:bookmarkEnd w:id="560"/>
      <w:bookmarkEnd w:id="561"/>
      <w:bookmarkEnd w:id="562"/>
      <w:r>
        <w:rPr>
          <w:rFonts w:hint="eastAsia" w:ascii="宋体" w:hAnsi="宋体" w:eastAsia="宋体" w:cs="宋体"/>
          <w:b w:val="0"/>
          <w:color w:val="auto"/>
          <w:sz w:val="24"/>
          <w:szCs w:val="24"/>
          <w:highlight w:val="none"/>
        </w:rPr>
        <w:t>理人</w:t>
      </w:r>
      <w:bookmarkEnd w:id="551"/>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监理人员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根据监理合同及发包人约定委派。</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4.4 商定或确定</w:t>
      </w:r>
    </w:p>
    <w:p>
      <w:pPr>
        <w:snapToGrid w:val="0"/>
        <w:spacing w:line="360" w:lineRule="auto"/>
        <w:ind w:firstLine="480" w:firstLineChars="200"/>
        <w:rPr>
          <w:rFonts w:ascii="宋体" w:hAnsi="宋体" w:cs="宋体"/>
          <w:color w:val="auto"/>
          <w:sz w:val="24"/>
          <w:highlight w:val="none"/>
        </w:rPr>
      </w:pPr>
      <w:bookmarkStart w:id="563" w:name="_Toc267251418"/>
      <w:r>
        <w:rPr>
          <w:rFonts w:hint="eastAsia" w:ascii="宋体" w:hAnsi="宋体" w:cs="宋体"/>
          <w:color w:val="auto"/>
          <w:sz w:val="24"/>
          <w:highlight w:val="none"/>
        </w:rPr>
        <w:t>在发包人和承包人不能通过协商达成一致意见时，发包人授权监理人对以下事项进行确定：</w:t>
      </w:r>
      <w:r>
        <w:rPr>
          <w:rFonts w:hint="eastAsia" w:ascii="宋体" w:hAnsi="宋体" w:cs="宋体"/>
          <w:color w:val="auto"/>
          <w:sz w:val="24"/>
          <w:highlight w:val="none"/>
          <w:u w:val="single"/>
        </w:rPr>
        <w:t xml:space="preserve">  \ 。</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564" w:name="_Toc351203637"/>
      <w:r>
        <w:rPr>
          <w:rFonts w:hint="eastAsia" w:ascii="宋体" w:hAnsi="宋体" w:eastAsia="宋体" w:cs="宋体"/>
          <w:b w:val="0"/>
          <w:color w:val="auto"/>
          <w:sz w:val="24"/>
          <w:szCs w:val="24"/>
          <w:highlight w:val="none"/>
        </w:rPr>
        <w:t>5</w:t>
      </w:r>
      <w:bookmarkEnd w:id="563"/>
      <w:bookmarkStart w:id="565" w:name="_Toc297048349"/>
      <w:bookmarkStart w:id="566" w:name="_Toc296347162"/>
      <w:bookmarkStart w:id="567" w:name="_Toc296890991"/>
      <w:bookmarkStart w:id="568" w:name="_Toc296503163"/>
      <w:bookmarkStart w:id="569" w:name="_Toc297120463"/>
      <w:bookmarkStart w:id="570" w:name="_Toc296891203"/>
      <w:bookmarkStart w:id="571" w:name="_Toc292559872"/>
      <w:bookmarkStart w:id="572" w:name="_Toc296944502"/>
      <w:bookmarkStart w:id="573" w:name="_Toc296346664"/>
      <w:bookmarkStart w:id="574" w:name="_Toc292559367"/>
      <w:r>
        <w:rPr>
          <w:rFonts w:hint="eastAsia" w:ascii="宋体" w:hAnsi="宋体" w:eastAsia="宋体" w:cs="宋体"/>
          <w:b w:val="0"/>
          <w:color w:val="auto"/>
          <w:sz w:val="24"/>
          <w:szCs w:val="24"/>
          <w:highlight w:val="none"/>
        </w:rPr>
        <w:t>. 工程质量</w:t>
      </w:r>
      <w:bookmarkEnd w:id="564"/>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5.1 质量要求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w:t>
      </w:r>
      <w:bookmarkStart w:id="575" w:name="_Toc318581164"/>
      <w:bookmarkStart w:id="576" w:name="_Toc297216155"/>
      <w:bookmarkStart w:id="577" w:name="_Toc297123496"/>
      <w:bookmarkStart w:id="578" w:name="_Toc303539106"/>
      <w:bookmarkStart w:id="579" w:name="_Toc304295527"/>
      <w:bookmarkStart w:id="580" w:name="_Toc300934949"/>
      <w:bookmarkStart w:id="581" w:name="_Toc312677997"/>
      <w:r>
        <w:rPr>
          <w:rFonts w:hint="eastAsia" w:ascii="宋体" w:hAnsi="宋体" w:cs="宋体"/>
          <w:color w:val="auto"/>
          <w:sz w:val="24"/>
          <w:highlight w:val="none"/>
        </w:rPr>
        <w:t>.1.1 特殊质量标准和要求：</w:t>
      </w:r>
      <w:r>
        <w:rPr>
          <w:rFonts w:hint="eastAsia" w:ascii="宋体" w:hAnsi="宋体" w:cs="宋体"/>
          <w:color w:val="auto"/>
          <w:sz w:val="24"/>
          <w:highlight w:val="none"/>
          <w:u w:val="single"/>
        </w:rPr>
        <w:t xml:space="preserve"> 符合工程施工质量验收规范及标准 </w:t>
      </w:r>
      <w:r>
        <w:rPr>
          <w:rFonts w:hint="eastAsia" w:ascii="宋体" w:hAnsi="宋体" w:cs="宋体"/>
          <w:color w:val="auto"/>
          <w:sz w:val="24"/>
          <w:highlight w:val="none"/>
        </w:rPr>
        <w:t>。</w:t>
      </w:r>
    </w:p>
    <w:p>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5.3 隐蔽工程检查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5.3.2承包人提前通知监理人隐蔽工程检查的期限的约定：</w:t>
      </w:r>
      <w:r>
        <w:rPr>
          <w:rFonts w:hint="eastAsia" w:ascii="宋体" w:hAnsi="宋体" w:cs="宋体"/>
          <w:color w:val="auto"/>
          <w:sz w:val="24"/>
          <w:highlight w:val="none"/>
          <w:u w:val="single"/>
        </w:rPr>
        <w:t xml:space="preserve">共同检查前48小时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582" w:name="_Toc351203638"/>
      <w:r>
        <w:rPr>
          <w:rFonts w:hint="eastAsia" w:ascii="宋体" w:hAnsi="宋体" w:eastAsia="宋体" w:cs="宋体"/>
          <w:b w:val="0"/>
          <w:color w:val="auto"/>
          <w:sz w:val="24"/>
          <w:szCs w:val="24"/>
          <w:highlight w:val="none"/>
        </w:rPr>
        <w:t>6. 安全文明施工与环境保护</w:t>
      </w:r>
      <w:bookmarkEnd w:id="582"/>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 xml:space="preserve"> 施工现场按照《建筑施工安全检查标准》（JGJ59-2011）评定达到“合格”标准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6.1.4 关于治安保卫的特别约定：</w:t>
      </w:r>
      <w:r>
        <w:rPr>
          <w:rFonts w:hint="eastAsia" w:ascii="宋体" w:hAnsi="宋体" w:cs="宋体"/>
          <w:color w:val="auto"/>
          <w:sz w:val="24"/>
          <w:highlight w:val="none"/>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t xml:space="preserve"> 具体根据发包人实际要求执行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6.1.5 文明施工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hint="eastAsia" w:ascii="宋体" w:hAnsi="宋体" w:cs="宋体"/>
          <w:color w:val="auto"/>
          <w:sz w:val="24"/>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w:t>
      </w:r>
      <w:r>
        <w:rPr>
          <w:rFonts w:hint="eastAsia" w:ascii="宋体" w:hAnsi="宋体" w:cs="宋体"/>
          <w:color w:val="auto"/>
          <w:sz w:val="24"/>
          <w:highlight w:val="none"/>
          <w:u w:val="single"/>
        </w:rPr>
        <w:t xml:space="preserve"> 同进度款同期支付   </w:t>
      </w:r>
      <w:r>
        <w:rPr>
          <w:rFonts w:hint="eastAsia" w:ascii="宋体" w:hAnsi="宋体" w:cs="宋体"/>
          <w:color w:val="auto"/>
          <w:sz w:val="24"/>
          <w:highlight w:val="none"/>
        </w:rPr>
        <w:t>。</w:t>
      </w:r>
      <w:bookmarkEnd w:id="575"/>
      <w:bookmarkEnd w:id="576"/>
      <w:bookmarkEnd w:id="577"/>
      <w:bookmarkEnd w:id="578"/>
      <w:bookmarkEnd w:id="579"/>
      <w:bookmarkEnd w:id="580"/>
      <w:bookmarkEnd w:id="581"/>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583" w:name="_Toc351203639"/>
      <w:r>
        <w:rPr>
          <w:rFonts w:hint="eastAsia" w:ascii="宋体" w:hAnsi="宋体" w:eastAsia="宋体" w:cs="宋体"/>
          <w:b w:val="0"/>
          <w:color w:val="auto"/>
          <w:sz w:val="24"/>
          <w:szCs w:val="24"/>
          <w:highlight w:val="none"/>
        </w:rPr>
        <w:t>7. 工期和进度</w:t>
      </w:r>
      <w:bookmarkEnd w:id="58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施工组织设计</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7.1.1 合</w:t>
      </w:r>
      <w:r>
        <w:rPr>
          <w:rFonts w:hint="eastAsia" w:ascii="宋体" w:hAnsi="宋体" w:cs="宋体"/>
          <w:color w:val="auto"/>
          <w:kern w:val="0"/>
          <w:sz w:val="24"/>
          <w:highlight w:val="none"/>
        </w:rPr>
        <w:t>同当事人约定的施工组织设计应包括的其他内容：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hint="eastAsia" w:ascii="宋体" w:hAnsi="宋体" w:cs="宋体"/>
          <w:color w:val="auto"/>
          <w:sz w:val="24"/>
          <w:highlight w:val="none"/>
          <w:u w:val="single"/>
        </w:rPr>
        <w:t xml:space="preserve">  开工前7天内提供详细施工组织设计（施工方案）和进度计划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color w:val="auto"/>
          <w:sz w:val="24"/>
          <w:highlight w:val="none"/>
          <w:u w:val="single"/>
        </w:rPr>
        <w:t xml:space="preserve">  收到该计划后的3天内审查同意或提出修改意见；发包人或监理人提出修改意见的，承包人应按照发包人或监理人提出的修改意见实施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584" w:name="_Toc297123514"/>
      <w:bookmarkStart w:id="585" w:name="_Toc300934966"/>
      <w:bookmarkStart w:id="586" w:name="_Toc297216173"/>
      <w:bookmarkStart w:id="587" w:name="_Toc312677479"/>
      <w:bookmarkStart w:id="588" w:name="_Toc304295541"/>
      <w:bookmarkStart w:id="589" w:name="_Toc303539123"/>
      <w:bookmarkStart w:id="590" w:name="_Toc312678005"/>
      <w:r>
        <w:rPr>
          <w:rFonts w:hint="eastAsia" w:ascii="宋体" w:hAnsi="宋体" w:cs="宋体"/>
          <w:color w:val="auto"/>
          <w:sz w:val="24"/>
          <w:highlight w:val="none"/>
        </w:rPr>
        <w:t>.2 施工进度计划</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7.2.2 施工进度计划的修订</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color w:val="auto"/>
          <w:sz w:val="24"/>
          <w:highlight w:val="none"/>
          <w:u w:val="single"/>
        </w:rPr>
        <w:t>3天内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开工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7.3.1 开工准备</w:t>
      </w:r>
    </w:p>
    <w:p>
      <w:pPr>
        <w:snapToGrid w:val="0"/>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color w:val="auto"/>
          <w:sz w:val="24"/>
          <w:highlight w:val="none"/>
          <w:u w:val="single"/>
        </w:rPr>
        <w:t xml:space="preserve"> 开工前7天内</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color w:val="auto"/>
          <w:sz w:val="24"/>
          <w:highlight w:val="none"/>
          <w:u w:val="single"/>
        </w:rPr>
        <w:t xml:space="preserve"> 开工前</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7.3.2开工通知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 180 </w:t>
      </w:r>
      <w:r>
        <w:rPr>
          <w:rFonts w:hint="eastAsia" w:ascii="宋体" w:hAnsi="宋体" w:cs="宋体"/>
          <w:color w:val="auto"/>
          <w:sz w:val="24"/>
          <w:highlight w:val="none"/>
        </w:rPr>
        <w:t>天内发出开工通知的，承包人有权提出价格调整要求，或者解除合同。</w:t>
      </w:r>
      <w:bookmarkEnd w:id="584"/>
      <w:bookmarkEnd w:id="585"/>
      <w:bookmarkEnd w:id="586"/>
      <w:bookmarkEnd w:id="587"/>
      <w:bookmarkEnd w:id="588"/>
      <w:bookmarkEnd w:id="589"/>
      <w:bookmarkEnd w:id="59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测量放线</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591" w:name="_Toc303539125"/>
      <w:bookmarkStart w:id="592" w:name="_Toc312677484"/>
      <w:bookmarkStart w:id="593" w:name="_Toc304295546"/>
      <w:bookmarkStart w:id="594" w:name="_Toc312678010"/>
      <w:bookmarkStart w:id="595" w:name="_Toc297123516"/>
      <w:bookmarkStart w:id="596" w:name="_Toc297216175"/>
      <w:bookmarkStart w:id="597" w:name="_Toc300934968"/>
      <w:r>
        <w:rPr>
          <w:rFonts w:hint="eastAsia" w:ascii="宋体" w:hAnsi="宋体" w:cs="宋体"/>
          <w:color w:val="auto"/>
          <w:sz w:val="24"/>
          <w:highlight w:val="none"/>
        </w:rPr>
        <w:t>.5 工期延误</w:t>
      </w:r>
      <w:bookmarkEnd w:id="591"/>
      <w:bookmarkEnd w:id="592"/>
      <w:bookmarkEnd w:id="593"/>
      <w:bookmarkEnd w:id="594"/>
      <w:bookmarkEnd w:id="595"/>
      <w:bookmarkEnd w:id="596"/>
      <w:bookmarkEnd w:id="597"/>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重大设计变更引起的工期延误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598" w:name="_Toc318581169"/>
      <w:bookmarkStart w:id="599" w:name="_Toc312678012"/>
      <w:bookmarkStart w:id="600" w:name="_Toc312677486"/>
      <w:bookmarkStart w:id="601" w:name="_Toc297216177"/>
      <w:bookmarkStart w:id="602" w:name="_Toc304295548"/>
      <w:bookmarkStart w:id="603" w:name="_Toc303539127"/>
      <w:bookmarkStart w:id="604" w:name="_Toc300934970"/>
      <w:bookmarkStart w:id="605" w:name="_Toc297123518"/>
      <w:r>
        <w:rPr>
          <w:rFonts w:hint="eastAsia" w:ascii="宋体" w:hAnsi="宋体" w:cs="宋体"/>
          <w:color w:val="auto"/>
          <w:sz w:val="24"/>
          <w:highlight w:val="none"/>
        </w:rPr>
        <w:t>.5.2 因承包人原因导致工期延误</w:t>
      </w:r>
      <w:bookmarkEnd w:id="598"/>
      <w:bookmarkEnd w:id="599"/>
      <w:bookmarkEnd w:id="600"/>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因</w:t>
      </w:r>
      <w:bookmarkStart w:id="606" w:name="_Toc312677487"/>
      <w:bookmarkStart w:id="607" w:name="_Toc312678013"/>
      <w:bookmarkStart w:id="608" w:name="_Toc318581170"/>
      <w:r>
        <w:rPr>
          <w:rFonts w:hint="eastAsia" w:ascii="宋体" w:hAnsi="宋体" w:cs="宋体"/>
          <w:color w:val="auto"/>
          <w:sz w:val="24"/>
          <w:highlight w:val="none"/>
        </w:rPr>
        <w:t>承包人原因造成工期延误，逾期竣工违约金的计算方法为：</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工期每拖延一天处以违约金为合同价的0.2%,  </w:t>
      </w:r>
      <w:r>
        <w:rPr>
          <w:rFonts w:hint="eastAsia" w:ascii="宋体" w:hAnsi="宋体" w:cs="宋体"/>
          <w:color w:val="auto"/>
          <w:sz w:val="24"/>
          <w:highlight w:val="none"/>
        </w:rPr>
        <w:t>。</w:t>
      </w:r>
      <w:bookmarkEnd w:id="601"/>
      <w:bookmarkEnd w:id="602"/>
      <w:bookmarkEnd w:id="603"/>
      <w:bookmarkEnd w:id="604"/>
      <w:bookmarkEnd w:id="605"/>
      <w:bookmarkEnd w:id="606"/>
      <w:bookmarkEnd w:id="607"/>
      <w:bookmarkEnd w:id="608"/>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609" w:name="_Toc318581171"/>
      <w:bookmarkStart w:id="610" w:name="_Toc312678014"/>
      <w:r>
        <w:rPr>
          <w:rFonts w:hint="eastAsia" w:ascii="宋体" w:hAnsi="宋体" w:cs="宋体"/>
          <w:color w:val="auto"/>
          <w:sz w:val="24"/>
          <w:highlight w:val="none"/>
        </w:rPr>
        <w:t>期竣工违约金的上限：</w:t>
      </w:r>
      <w:r>
        <w:rPr>
          <w:rFonts w:hint="eastAsia" w:ascii="宋体" w:hAnsi="宋体" w:cs="宋体"/>
          <w:color w:val="auto"/>
          <w:sz w:val="24"/>
          <w:highlight w:val="none"/>
          <w:u w:val="single"/>
        </w:rPr>
        <w:t xml:space="preserve"> 合同价的50%  </w:t>
      </w:r>
      <w:r>
        <w:rPr>
          <w:rFonts w:hint="eastAsia" w:ascii="宋体" w:hAnsi="宋体" w:cs="宋体"/>
          <w:color w:val="auto"/>
          <w:sz w:val="24"/>
          <w:highlight w:val="none"/>
        </w:rPr>
        <w:t>。</w:t>
      </w:r>
      <w:bookmarkEnd w:id="609"/>
      <w:bookmarkEnd w:id="61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11" w:name="_Toc303539128"/>
      <w:bookmarkStart w:id="612" w:name="_Toc300934971"/>
      <w:bookmarkStart w:id="613" w:name="_Toc297123519"/>
      <w:bookmarkStart w:id="614" w:name="_Toc304295549"/>
      <w:bookmarkStart w:id="615" w:name="_Toc312678015"/>
      <w:bookmarkStart w:id="616" w:name="_Toc297216178"/>
      <w:r>
        <w:rPr>
          <w:rFonts w:hint="eastAsia" w:ascii="宋体" w:hAnsi="宋体" w:cs="宋体"/>
          <w:color w:val="auto"/>
          <w:sz w:val="24"/>
          <w:highlight w:val="none"/>
        </w:rPr>
        <w:t>.6 不</w:t>
      </w:r>
      <w:bookmarkEnd w:id="611"/>
      <w:bookmarkEnd w:id="612"/>
      <w:bookmarkEnd w:id="613"/>
      <w:bookmarkEnd w:id="614"/>
      <w:bookmarkEnd w:id="615"/>
      <w:bookmarkEnd w:id="616"/>
      <w:r>
        <w:rPr>
          <w:rFonts w:hint="eastAsia" w:ascii="宋体" w:hAnsi="宋体" w:cs="宋体"/>
          <w:color w:val="auto"/>
          <w:sz w:val="24"/>
          <w:highlight w:val="none"/>
        </w:rPr>
        <w:t>利物质条件</w:t>
      </w:r>
    </w:p>
    <w:p>
      <w:pPr>
        <w:snapToGrid w:val="0"/>
        <w:spacing w:line="360" w:lineRule="auto"/>
        <w:jc w:val="left"/>
        <w:rPr>
          <w:rFonts w:ascii="宋体" w:hAnsi="宋体" w:cs="宋体"/>
          <w:color w:val="auto"/>
          <w:sz w:val="24"/>
          <w:highlight w:val="none"/>
        </w:rPr>
      </w:pPr>
      <w:bookmarkStart w:id="617" w:name="_Toc304295550"/>
      <w:bookmarkStart w:id="618" w:name="_Toc318581172"/>
      <w:bookmarkStart w:id="619" w:name="_Toc297123520"/>
      <w:bookmarkStart w:id="620" w:name="_Toc303539129"/>
      <w:bookmarkStart w:id="621" w:name="_Toc297216179"/>
      <w:bookmarkStart w:id="622" w:name="_Toc312678016"/>
      <w:bookmarkStart w:id="623" w:name="_Toc300934972"/>
      <w:r>
        <w:rPr>
          <w:rFonts w:hint="eastAsia" w:ascii="宋体" w:hAnsi="宋体" w:cs="宋体"/>
          <w:color w:val="auto"/>
          <w:sz w:val="24"/>
          <w:highlight w:val="none"/>
        </w:rPr>
        <w:t>不利物质条件的其他情形和有关约定：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617"/>
      <w:bookmarkEnd w:id="618"/>
      <w:bookmarkEnd w:id="619"/>
      <w:bookmarkEnd w:id="620"/>
      <w:bookmarkEnd w:id="621"/>
      <w:bookmarkEnd w:id="622"/>
      <w:bookmarkEnd w:id="62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24" w:name="_Toc304295551"/>
      <w:bookmarkStart w:id="625" w:name="_Toc300934973"/>
      <w:bookmarkStart w:id="626" w:name="_Toc303539130"/>
      <w:bookmarkStart w:id="627" w:name="_Toc312678017"/>
      <w:bookmarkStart w:id="628" w:name="_Toc297216180"/>
      <w:bookmarkStart w:id="629" w:name="_Toc297123521"/>
      <w:r>
        <w:rPr>
          <w:rFonts w:hint="eastAsia" w:ascii="宋体" w:hAnsi="宋体" w:cs="宋体"/>
          <w:color w:val="auto"/>
          <w:sz w:val="24"/>
          <w:highlight w:val="none"/>
        </w:rPr>
        <w:t>.7异常恶劣的气候条件</w:t>
      </w:r>
      <w:bookmarkEnd w:id="624"/>
      <w:bookmarkEnd w:id="625"/>
      <w:bookmarkEnd w:id="626"/>
      <w:bookmarkEnd w:id="627"/>
      <w:bookmarkEnd w:id="628"/>
      <w:bookmarkEnd w:id="629"/>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日最高气温达到40度及以上的天气；启动台风橙色及以上预警的天气；启动防汛预案级以上相应的天气;启动防冻预案一级响应的天气；(以相应政府部门发布信息为准)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7.9 提前竣工的奖励</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7.9.2提前竣工的奖励：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630" w:name="_Toc351203640"/>
      <w:r>
        <w:rPr>
          <w:rFonts w:hint="eastAsia" w:ascii="宋体" w:hAnsi="宋体" w:eastAsia="宋体" w:cs="宋体"/>
          <w:b w:val="0"/>
          <w:color w:val="auto"/>
          <w:sz w:val="24"/>
          <w:szCs w:val="24"/>
          <w:highlight w:val="none"/>
        </w:rPr>
        <w:t>8. 材料与设备</w:t>
      </w:r>
      <w:bookmarkEnd w:id="565"/>
      <w:bookmarkEnd w:id="566"/>
      <w:bookmarkEnd w:id="567"/>
      <w:bookmarkEnd w:id="568"/>
      <w:bookmarkEnd w:id="569"/>
      <w:bookmarkEnd w:id="570"/>
      <w:bookmarkEnd w:id="571"/>
      <w:bookmarkEnd w:id="572"/>
      <w:bookmarkEnd w:id="573"/>
      <w:bookmarkEnd w:id="574"/>
      <w:bookmarkEnd w:id="63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bookmarkStart w:id="631" w:name="_Toc296503167"/>
      <w:bookmarkStart w:id="632" w:name="_Toc296890995"/>
      <w:bookmarkStart w:id="633" w:name="_Toc303539136"/>
      <w:bookmarkStart w:id="634" w:name="_Toc292559877"/>
      <w:bookmarkStart w:id="635" w:name="_Toc297120467"/>
      <w:bookmarkStart w:id="636" w:name="_Toc297048353"/>
      <w:bookmarkStart w:id="637" w:name="_Toc297216186"/>
      <w:bookmarkStart w:id="638" w:name="_Toc297123527"/>
      <w:bookmarkStart w:id="639" w:name="_Toc304295556"/>
      <w:bookmarkStart w:id="640" w:name="_Toc312677493"/>
      <w:bookmarkStart w:id="641" w:name="_Toc296347166"/>
      <w:bookmarkStart w:id="642" w:name="_Toc296346668"/>
      <w:bookmarkStart w:id="643" w:name="_Toc280868654"/>
      <w:bookmarkStart w:id="644" w:name="_Toc296891207"/>
      <w:bookmarkStart w:id="645" w:name="_Toc296944506"/>
      <w:bookmarkStart w:id="646" w:name="_Toc300934979"/>
      <w:bookmarkStart w:id="647" w:name="_Toc312678019"/>
      <w:bookmarkStart w:id="648" w:name="_Toc292559372"/>
      <w:bookmarkStart w:id="649" w:name="_Toc267251424"/>
      <w:bookmarkStart w:id="650" w:name="_Toc280868655"/>
      <w:bookmarkStart w:id="651" w:name="_Toc280868656"/>
      <w:r>
        <w:rPr>
          <w:rFonts w:hint="eastAsia" w:ascii="宋体" w:hAnsi="宋体" w:cs="宋体"/>
          <w:color w:val="auto"/>
          <w:sz w:val="24"/>
          <w:highlight w:val="none"/>
        </w:rPr>
        <w:t>.4材料与工程设备的保管与使用</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w:t>
      </w:r>
      <w:bookmarkStart w:id="652" w:name="_Toc292559878"/>
      <w:bookmarkStart w:id="653" w:name="_Toc292559373"/>
      <w:bookmarkStart w:id="654" w:name="_Toc297216187"/>
      <w:bookmarkStart w:id="655" w:name="_Toc303539137"/>
      <w:bookmarkStart w:id="656" w:name="_Toc304295557"/>
      <w:bookmarkStart w:id="657" w:name="_Toc312678020"/>
      <w:bookmarkStart w:id="658" w:name="_Toc296346669"/>
      <w:bookmarkStart w:id="659" w:name="_Toc296503168"/>
      <w:bookmarkStart w:id="660" w:name="_Toc296347167"/>
      <w:bookmarkStart w:id="661" w:name="_Toc297120468"/>
      <w:bookmarkStart w:id="662" w:name="_Toc300934980"/>
      <w:bookmarkStart w:id="663" w:name="_Toc296944507"/>
      <w:bookmarkStart w:id="664" w:name="_Toc296891208"/>
      <w:bookmarkStart w:id="665" w:name="_Toc297123528"/>
      <w:bookmarkStart w:id="666" w:name="_Toc318581173"/>
      <w:bookmarkStart w:id="667" w:name="_Toc297048354"/>
      <w:bookmarkStart w:id="668" w:name="_Toc312677494"/>
      <w:bookmarkStart w:id="669" w:name="_Toc296890996"/>
      <w:r>
        <w:rPr>
          <w:rFonts w:hint="eastAsia" w:ascii="宋体" w:hAnsi="宋体" w:cs="宋体"/>
          <w:color w:val="auto"/>
          <w:sz w:val="24"/>
          <w:highlight w:val="none"/>
        </w:rPr>
        <w:t>.4.1发包人供应的材料设备的保管费用的承担：</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bookmarkEnd w:id="652"/>
      <w:bookmarkEnd w:id="653"/>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8.6 样品</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8.8 施工设备和临时设施</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670" w:name="_Toc351203641"/>
      <w:r>
        <w:rPr>
          <w:rFonts w:hint="eastAsia" w:ascii="宋体" w:hAnsi="宋体" w:eastAsia="宋体" w:cs="宋体"/>
          <w:b w:val="0"/>
          <w:color w:val="auto"/>
          <w:sz w:val="24"/>
          <w:szCs w:val="24"/>
          <w:highlight w:val="none"/>
        </w:rPr>
        <w:t>9</w:t>
      </w:r>
      <w:bookmarkEnd w:id="649"/>
      <w:bookmarkEnd w:id="650"/>
      <w:bookmarkEnd w:id="651"/>
      <w:bookmarkStart w:id="671" w:name="_Toc300934982"/>
      <w:bookmarkStart w:id="672" w:name="_Toc304295559"/>
      <w:bookmarkStart w:id="673" w:name="_Toc303539139"/>
      <w:bookmarkStart w:id="674" w:name="_Toc297123533"/>
      <w:bookmarkStart w:id="675" w:name="_Toc297216192"/>
      <w:bookmarkStart w:id="676" w:name="_Toc312678021"/>
      <w:bookmarkStart w:id="677" w:name="_Toc312677495"/>
      <w:bookmarkStart w:id="678" w:name="_Toc296891001"/>
      <w:bookmarkStart w:id="679" w:name="_Toc296347172"/>
      <w:bookmarkStart w:id="680" w:name="_Toc296891213"/>
      <w:bookmarkStart w:id="681" w:name="_Toc267251427"/>
      <w:bookmarkStart w:id="682" w:name="_Toc296346674"/>
      <w:bookmarkStart w:id="683" w:name="_Toc296503173"/>
      <w:bookmarkStart w:id="684" w:name="_Toc297120473"/>
      <w:bookmarkStart w:id="685" w:name="_Toc292559378"/>
      <w:bookmarkStart w:id="686" w:name="_Toc297048359"/>
      <w:bookmarkStart w:id="687" w:name="_Toc267251428"/>
      <w:bookmarkStart w:id="688" w:name="_Toc292559883"/>
      <w:bookmarkStart w:id="689" w:name="_Toc296944512"/>
      <w:r>
        <w:rPr>
          <w:rFonts w:hint="eastAsia" w:ascii="宋体" w:hAnsi="宋体" w:eastAsia="宋体" w:cs="宋体"/>
          <w:b w:val="0"/>
          <w:color w:val="auto"/>
          <w:sz w:val="24"/>
          <w:szCs w:val="24"/>
          <w:highlight w:val="none"/>
        </w:rPr>
        <w:t>. 试验与检验</w:t>
      </w:r>
      <w:bookmarkEnd w:id="670"/>
      <w:bookmarkEnd w:id="671"/>
      <w:bookmarkEnd w:id="672"/>
      <w:bookmarkEnd w:id="673"/>
      <w:bookmarkEnd w:id="674"/>
      <w:bookmarkEnd w:id="675"/>
      <w:bookmarkEnd w:id="676"/>
      <w:bookmarkEnd w:id="677"/>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bookmarkStart w:id="690" w:name="_Toc303539140"/>
      <w:bookmarkStart w:id="691" w:name="_Toc297216193"/>
      <w:bookmarkStart w:id="692" w:name="_Toc304295560"/>
      <w:bookmarkStart w:id="693" w:name="_Toc297123534"/>
      <w:bookmarkStart w:id="694" w:name="_Toc312678022"/>
      <w:bookmarkStart w:id="695" w:name="_Toc312677496"/>
      <w:bookmarkStart w:id="696" w:name="_Toc300934983"/>
      <w:r>
        <w:rPr>
          <w:rFonts w:hint="eastAsia" w:ascii="宋体" w:hAnsi="宋体" w:cs="宋体"/>
          <w:color w:val="auto"/>
          <w:sz w:val="24"/>
          <w:highlight w:val="none"/>
        </w:rPr>
        <w:t>.1试验设备与试验人员</w:t>
      </w:r>
      <w:bookmarkEnd w:id="690"/>
      <w:bookmarkEnd w:id="691"/>
      <w:bookmarkEnd w:id="692"/>
      <w:bookmarkEnd w:id="693"/>
      <w:bookmarkEnd w:id="694"/>
      <w:bookmarkEnd w:id="695"/>
      <w:bookmarkEnd w:id="696"/>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w:t>
      </w:r>
      <w:bookmarkStart w:id="697" w:name="_Toc312678023"/>
      <w:bookmarkStart w:id="698" w:name="_Toc300934984"/>
      <w:bookmarkStart w:id="699" w:name="_Toc297216194"/>
      <w:bookmarkStart w:id="700" w:name="_Toc304295561"/>
      <w:bookmarkStart w:id="701" w:name="_Toc312677497"/>
      <w:bookmarkStart w:id="702" w:name="_Toc303539141"/>
      <w:bookmarkStart w:id="703" w:name="_Toc297123535"/>
      <w:bookmarkStart w:id="704" w:name="_Toc318581174"/>
      <w:r>
        <w:rPr>
          <w:rFonts w:hint="eastAsia" w:ascii="宋体" w:hAnsi="宋体" w:cs="宋体"/>
          <w:color w:val="auto"/>
          <w:sz w:val="24"/>
          <w:highlight w:val="none"/>
        </w:rPr>
        <w:t>.1.2 试验设备</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697"/>
      <w:bookmarkEnd w:id="698"/>
      <w:bookmarkEnd w:id="699"/>
      <w:bookmarkEnd w:id="700"/>
      <w:bookmarkEnd w:id="701"/>
      <w:bookmarkEnd w:id="702"/>
      <w:bookmarkEnd w:id="703"/>
      <w:bookmarkStart w:id="705" w:name="_Toc304295562"/>
      <w:bookmarkStart w:id="706" w:name="_Toc297216195"/>
      <w:bookmarkStart w:id="707" w:name="_Toc312678024"/>
      <w:bookmarkStart w:id="708" w:name="_Toc312677498"/>
      <w:bookmarkStart w:id="709" w:name="_Toc300934985"/>
      <w:bookmarkStart w:id="710" w:name="_Toc303539142"/>
      <w:bookmarkStart w:id="711" w:name="_Toc297123536"/>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所有试验费用承包人已在投标报价中包干  </w:t>
      </w:r>
      <w:r>
        <w:rPr>
          <w:rFonts w:hint="eastAsia" w:ascii="宋体" w:hAnsi="宋体" w:cs="宋体"/>
          <w:color w:val="auto"/>
          <w:sz w:val="24"/>
          <w:highlight w:val="none"/>
        </w:rPr>
        <w:t>。</w:t>
      </w:r>
      <w:bookmarkEnd w:id="704"/>
      <w:bookmarkEnd w:id="705"/>
      <w:bookmarkEnd w:id="706"/>
      <w:bookmarkEnd w:id="707"/>
      <w:bookmarkEnd w:id="708"/>
      <w:bookmarkEnd w:id="709"/>
      <w:bookmarkEnd w:id="710"/>
      <w:bookmarkEnd w:id="711"/>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712" w:name="_Toc351203642"/>
      <w:r>
        <w:rPr>
          <w:rFonts w:hint="eastAsia" w:ascii="宋体" w:hAnsi="宋体" w:eastAsia="宋体" w:cs="宋体"/>
          <w:b w:val="0"/>
          <w:color w:val="auto"/>
          <w:sz w:val="24"/>
          <w:szCs w:val="24"/>
          <w:highlight w:val="none"/>
        </w:rPr>
        <w:t>1</w:t>
      </w:r>
      <w:bookmarkEnd w:id="678"/>
      <w:bookmarkEnd w:id="679"/>
      <w:bookmarkEnd w:id="680"/>
      <w:bookmarkEnd w:id="681"/>
      <w:bookmarkEnd w:id="682"/>
      <w:bookmarkEnd w:id="683"/>
      <w:bookmarkEnd w:id="684"/>
      <w:bookmarkEnd w:id="685"/>
      <w:bookmarkEnd w:id="686"/>
      <w:bookmarkEnd w:id="687"/>
      <w:bookmarkEnd w:id="688"/>
      <w:bookmarkEnd w:id="689"/>
      <w:bookmarkStart w:id="713" w:name="_Toc296891233"/>
      <w:bookmarkStart w:id="714" w:name="_Toc296503193"/>
      <w:bookmarkStart w:id="715" w:name="_Toc296944532"/>
      <w:bookmarkStart w:id="716" w:name="_Toc297123540"/>
      <w:bookmarkStart w:id="717" w:name="_Toc292559903"/>
      <w:bookmarkStart w:id="718" w:name="_Toc312678025"/>
      <w:bookmarkStart w:id="719" w:name="_Toc296891021"/>
      <w:bookmarkStart w:id="720" w:name="_Toc296347192"/>
      <w:bookmarkStart w:id="721" w:name="_Toc292559398"/>
      <w:bookmarkStart w:id="722" w:name="_Toc297216199"/>
      <w:bookmarkStart w:id="723" w:name="_Toc300934989"/>
      <w:bookmarkStart w:id="724" w:name="_Toc297120493"/>
      <w:bookmarkStart w:id="725" w:name="_Toc296346694"/>
      <w:bookmarkStart w:id="726" w:name="_Toc297048379"/>
      <w:bookmarkStart w:id="727" w:name="_Toc303539146"/>
      <w:bookmarkStart w:id="728" w:name="_Toc312677499"/>
      <w:bookmarkStart w:id="729" w:name="_Toc304295566"/>
      <w:bookmarkStart w:id="730" w:name="_Toc267251441"/>
      <w:bookmarkStart w:id="731" w:name="_Toc267251433"/>
      <w:bookmarkStart w:id="732" w:name="_Toc267251440"/>
      <w:bookmarkStart w:id="733" w:name="_Toc267251435"/>
      <w:bookmarkStart w:id="734" w:name="_Toc267251439"/>
      <w:bookmarkStart w:id="735" w:name="_Toc267251437"/>
      <w:bookmarkStart w:id="736" w:name="_Toc267251442"/>
      <w:r>
        <w:rPr>
          <w:rFonts w:hint="eastAsia" w:ascii="宋体" w:hAnsi="宋体" w:eastAsia="宋体" w:cs="宋体"/>
          <w:b w:val="0"/>
          <w:color w:val="auto"/>
          <w:sz w:val="24"/>
          <w:szCs w:val="24"/>
          <w:highlight w:val="none"/>
        </w:rPr>
        <w:t>0. 变更</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737" w:name="_Toc296891022"/>
      <w:bookmarkStart w:id="738" w:name="_Toc296891234"/>
      <w:bookmarkStart w:id="739" w:name="_Toc296347193"/>
      <w:bookmarkStart w:id="740" w:name="_Toc297048380"/>
      <w:bookmarkStart w:id="741" w:name="_Toc296503194"/>
      <w:bookmarkStart w:id="742" w:name="_Toc296944533"/>
      <w:bookmarkStart w:id="743" w:name="_Toc300934990"/>
      <w:bookmarkStart w:id="744" w:name="_Toc292559399"/>
      <w:bookmarkStart w:id="745" w:name="_Toc303539147"/>
      <w:bookmarkStart w:id="746" w:name="_Toc296346695"/>
      <w:bookmarkStart w:id="747" w:name="_Toc292559904"/>
      <w:bookmarkStart w:id="748" w:name="_Toc312677500"/>
      <w:bookmarkStart w:id="749" w:name="_Toc312678026"/>
      <w:bookmarkStart w:id="750" w:name="_Toc297123541"/>
      <w:bookmarkStart w:id="751" w:name="_Toc304295567"/>
      <w:bookmarkStart w:id="752" w:name="_Toc297216200"/>
      <w:bookmarkStart w:id="753" w:name="_Toc297120494"/>
      <w:r>
        <w:rPr>
          <w:rFonts w:hint="eastAsia" w:ascii="宋体" w:hAnsi="宋体" w:cs="宋体"/>
          <w:color w:val="auto"/>
          <w:sz w:val="24"/>
          <w:highlight w:val="none"/>
        </w:rPr>
        <w:t>0.1变更的范围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其它发包人要求变更的内容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10.4 变更估价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 变更估价原则</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关于变更估价的约定: </w:t>
      </w:r>
      <w:r>
        <w:rPr>
          <w:rFonts w:hint="eastAsia" w:ascii="宋体" w:hAnsi="宋体" w:cs="宋体"/>
          <w:color w:val="auto"/>
          <w:sz w:val="24"/>
          <w:highlight w:val="none"/>
          <w:u w:val="single"/>
        </w:rPr>
        <w:t xml:space="preserve">单价：①投标书中有相同子目的，按投标价；②投标书中有相似子目的，按相似子目组价计算；③没有相同及相似的，按定额相应子目组价计算，费率及规费按投标口径组价计算;④部分内容进行调整的，以原投标单价为基础，仅就调整部分进行调整；仅调整主要材料的，则就调整材料之间的当期信息价（无信息价时按市场价）的差价。工程量：以施工图及有效变更为依据按照工程量清单计算规则进行计算。以上变更的单价及工程量均以工程审计单位审计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Start w:id="754" w:name="_Toc296346698"/>
      <w:bookmarkStart w:id="755" w:name="_Toc292559907"/>
      <w:bookmarkStart w:id="756" w:name="_Toc292559402"/>
      <w:bookmarkStart w:id="757" w:name="_Toc296891237"/>
      <w:bookmarkStart w:id="758" w:name="_Toc297120497"/>
      <w:bookmarkStart w:id="759" w:name="_Toc303539150"/>
      <w:bookmarkStart w:id="760" w:name="_Toc297048383"/>
      <w:bookmarkStart w:id="761" w:name="_Toc296891025"/>
      <w:bookmarkStart w:id="762" w:name="_Toc297216203"/>
      <w:bookmarkStart w:id="763" w:name="_Toc296347196"/>
      <w:bookmarkStart w:id="764" w:name="_Toc297123544"/>
      <w:bookmarkStart w:id="765" w:name="_Toc296503197"/>
      <w:bookmarkStart w:id="766" w:name="_Toc296944536"/>
      <w:bookmarkStart w:id="767" w:name="_Toc300934993"/>
      <w:bookmarkStart w:id="768" w:name="_Toc304295570"/>
      <w:bookmarkStart w:id="769" w:name="_Toc312678029"/>
      <w:bookmarkStart w:id="770" w:name="_Toc312677503"/>
      <w:r>
        <w:rPr>
          <w:rFonts w:hint="eastAsia" w:ascii="宋体" w:hAnsi="宋体" w:cs="宋体"/>
          <w:color w:val="auto"/>
          <w:sz w:val="24"/>
          <w:highlight w:val="none"/>
        </w:rPr>
        <w:t>0.5承</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Start w:id="771" w:name="_Toc300934994"/>
      <w:bookmarkStart w:id="772" w:name="_Toc296891243"/>
      <w:bookmarkStart w:id="773" w:name="_Toc296503203"/>
      <w:bookmarkStart w:id="774" w:name="_Toc297216204"/>
      <w:bookmarkStart w:id="775" w:name="_Toc297123545"/>
      <w:bookmarkStart w:id="776" w:name="_Toc296347202"/>
      <w:bookmarkStart w:id="777" w:name="_Toc296346704"/>
      <w:bookmarkStart w:id="778" w:name="_Toc303539151"/>
      <w:bookmarkStart w:id="779" w:name="_Toc292559913"/>
      <w:bookmarkStart w:id="780" w:name="_Toc297120503"/>
      <w:bookmarkStart w:id="781" w:name="_Toc296944542"/>
      <w:bookmarkStart w:id="782" w:name="_Toc296891031"/>
      <w:bookmarkStart w:id="783" w:name="_Toc292559408"/>
      <w:bookmarkStart w:id="784" w:name="_Toc297048389"/>
      <w:r>
        <w:rPr>
          <w:rFonts w:hint="eastAsia" w:ascii="宋体" w:hAnsi="宋体" w:cs="宋体"/>
          <w:color w:val="auto"/>
          <w:sz w:val="24"/>
          <w:highlight w:val="none"/>
        </w:rPr>
        <w:t>包人的合理化建议</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785" w:name="_Toc318581175"/>
      <w:bookmarkStart w:id="786" w:name="_Toc312678030"/>
      <w:bookmarkStart w:id="787" w:name="_Toc296891032"/>
      <w:bookmarkStart w:id="788" w:name="_Toc297120504"/>
      <w:bookmarkStart w:id="789" w:name="_Toc292559914"/>
      <w:bookmarkStart w:id="790" w:name="_Toc297123546"/>
      <w:bookmarkStart w:id="791" w:name="_Toc312677504"/>
      <w:bookmarkStart w:id="792" w:name="_Toc296347203"/>
      <w:bookmarkStart w:id="793" w:name="_Toc300934995"/>
      <w:bookmarkStart w:id="794" w:name="_Toc304295571"/>
      <w:bookmarkStart w:id="795" w:name="_Toc296346705"/>
      <w:bookmarkStart w:id="796" w:name="_Toc296503204"/>
      <w:bookmarkStart w:id="797" w:name="_Toc297216205"/>
      <w:bookmarkStart w:id="798" w:name="_Toc292559409"/>
      <w:bookmarkStart w:id="799" w:name="_Toc296944543"/>
      <w:bookmarkStart w:id="800" w:name="_Toc303539152"/>
      <w:bookmarkStart w:id="801" w:name="_Toc297048390"/>
      <w:bookmarkStart w:id="802" w:name="_Toc296891244"/>
      <w:r>
        <w:rPr>
          <w:rFonts w:hint="eastAsia" w:ascii="宋体" w:hAnsi="宋体" w:cs="宋体"/>
          <w:color w:val="auto"/>
          <w:sz w:val="24"/>
          <w:highlight w:val="none"/>
        </w:rPr>
        <w:t>包人提出的合理化建议降低了合同价格或者提高了工程经济效益的奖励的方法和金额为：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w:t>
      </w:r>
      <w:bookmarkStart w:id="803" w:name="_Toc292559909"/>
      <w:bookmarkStart w:id="804" w:name="_Toc312678033"/>
      <w:bookmarkStart w:id="805" w:name="_Toc297048385"/>
      <w:bookmarkStart w:id="806" w:name="_Toc297216207"/>
      <w:bookmarkStart w:id="807" w:name="_Toc292559404"/>
      <w:bookmarkStart w:id="808" w:name="_Toc296503199"/>
      <w:bookmarkStart w:id="809" w:name="_Toc296891027"/>
      <w:bookmarkStart w:id="810" w:name="_Toc297120499"/>
      <w:bookmarkStart w:id="811" w:name="_Toc296347198"/>
      <w:bookmarkStart w:id="812" w:name="_Toc296346700"/>
      <w:bookmarkStart w:id="813" w:name="_Toc296891239"/>
      <w:bookmarkStart w:id="814" w:name="_Toc312677507"/>
      <w:bookmarkStart w:id="815" w:name="_Toc296944538"/>
      <w:bookmarkStart w:id="816" w:name="_Toc303539154"/>
      <w:bookmarkStart w:id="817" w:name="_Toc304295574"/>
      <w:bookmarkStart w:id="818" w:name="_Toc297123548"/>
      <w:bookmarkStart w:id="819" w:name="_Toc300934997"/>
      <w:r>
        <w:rPr>
          <w:rFonts w:hint="eastAsia" w:ascii="宋体" w:hAnsi="宋体" w:cs="宋体"/>
          <w:color w:val="auto"/>
          <w:sz w:val="24"/>
          <w:highlight w:val="none"/>
        </w:rPr>
        <w:t>0.7 暂估价</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820" w:name="_Toc312678034"/>
      <w:bookmarkStart w:id="821" w:name="_Toc318581176"/>
      <w:bookmarkStart w:id="822" w:name="_Toc312677508"/>
      <w:r>
        <w:rPr>
          <w:rFonts w:hint="eastAsia" w:ascii="宋体" w:hAnsi="宋体" w:cs="宋体"/>
          <w:color w:val="auto"/>
          <w:kern w:val="0"/>
          <w:sz w:val="24"/>
          <w:highlight w:val="none"/>
        </w:rPr>
        <w:t>估价材料和工程设备的明细:</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bookmarkEnd w:id="820"/>
      <w:bookmarkEnd w:id="821"/>
      <w:bookmarkEnd w:id="822"/>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 暂列金额</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823" w:name="_Toc351203643"/>
      <w:r>
        <w:rPr>
          <w:rFonts w:hint="eastAsia" w:ascii="宋体" w:hAnsi="宋体" w:eastAsia="宋体" w:cs="宋体"/>
          <w:b w:val="0"/>
          <w:color w:val="auto"/>
          <w:sz w:val="24"/>
          <w:szCs w:val="24"/>
          <w:highlight w:val="none"/>
        </w:rPr>
        <w:t>11. 价格调整</w:t>
      </w:r>
      <w:bookmarkEnd w:id="823"/>
    </w:p>
    <w:p>
      <w:pPr>
        <w:snapToGrid w:val="0"/>
        <w:spacing w:line="360" w:lineRule="auto"/>
        <w:ind w:firstLine="480" w:firstLineChars="200"/>
        <w:rPr>
          <w:rFonts w:ascii="宋体" w:hAnsi="宋体" w:cs="宋体"/>
          <w:color w:val="auto"/>
          <w:sz w:val="24"/>
          <w:highlight w:val="none"/>
        </w:rPr>
      </w:pPr>
      <w:bookmarkStart w:id="824" w:name="_Toc296346702"/>
      <w:bookmarkStart w:id="825" w:name="_Toc296944540"/>
      <w:bookmarkStart w:id="826" w:name="_Toc296503201"/>
      <w:bookmarkStart w:id="827" w:name="_Toc297123550"/>
      <w:bookmarkStart w:id="828" w:name="_Toc297048387"/>
      <w:bookmarkStart w:id="829" w:name="_Toc304295577"/>
      <w:bookmarkStart w:id="830" w:name="_Toc296891029"/>
      <w:bookmarkStart w:id="831" w:name="_Toc292559406"/>
      <w:bookmarkStart w:id="832" w:name="_Toc292559911"/>
      <w:bookmarkStart w:id="833" w:name="_Toc303539157"/>
      <w:bookmarkStart w:id="834" w:name="_Toc296891241"/>
      <w:bookmarkStart w:id="835" w:name="_Toc296347200"/>
      <w:bookmarkStart w:id="836" w:name="_Toc297120501"/>
      <w:bookmarkStart w:id="837" w:name="_Toc312678039"/>
      <w:bookmarkStart w:id="838" w:name="_Toc300935000"/>
      <w:bookmarkStart w:id="839" w:name="_Toc297216209"/>
      <w:r>
        <w:rPr>
          <w:rFonts w:hint="eastAsia" w:ascii="宋体" w:hAnsi="宋体" w:cs="宋体"/>
          <w:color w:val="auto"/>
          <w:sz w:val="24"/>
          <w:highlight w:val="none"/>
        </w:rPr>
        <w:t>11.1 市场价格波动引起的调整</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bookmarkEnd w:id="730"/>
      <w:bookmarkEnd w:id="731"/>
      <w:bookmarkEnd w:id="732"/>
      <w:bookmarkEnd w:id="733"/>
      <w:bookmarkEnd w:id="734"/>
      <w:bookmarkEnd w:id="735"/>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840" w:name="_Toc292559410"/>
      <w:bookmarkStart w:id="841" w:name="_Toc296944544"/>
      <w:bookmarkStart w:id="842" w:name="_Toc297120505"/>
      <w:bookmarkStart w:id="843" w:name="_Toc296503205"/>
      <w:bookmarkStart w:id="844" w:name="_Toc296891033"/>
      <w:bookmarkStart w:id="845" w:name="_Toc296346706"/>
      <w:bookmarkStart w:id="846" w:name="_Toc296347204"/>
      <w:bookmarkStart w:id="847" w:name="_Toc297048391"/>
      <w:bookmarkStart w:id="848" w:name="_Toc296891245"/>
      <w:bookmarkStart w:id="849" w:name="_Toc292559915"/>
      <w:bookmarkStart w:id="850" w:name="_Toc300935002"/>
      <w:bookmarkStart w:id="851" w:name="_Toc304295579"/>
      <w:bookmarkStart w:id="852" w:name="_Toc312678040"/>
      <w:bookmarkStart w:id="853" w:name="_Toc297123552"/>
      <w:bookmarkStart w:id="854" w:name="_Toc303539159"/>
      <w:bookmarkStart w:id="855" w:name="_Toc297216211"/>
      <w:bookmarkStart w:id="856" w:name="_Toc351203644"/>
      <w:r>
        <w:rPr>
          <w:rFonts w:hint="eastAsia" w:ascii="宋体" w:hAnsi="宋体" w:eastAsia="宋体" w:cs="宋体"/>
          <w:b w:val="0"/>
          <w:color w:val="auto"/>
          <w:sz w:val="24"/>
          <w:szCs w:val="24"/>
          <w:highlight w:val="none"/>
        </w:rPr>
        <w:t xml:space="preserve">12. </w:t>
      </w:r>
      <w:bookmarkEnd w:id="840"/>
      <w:bookmarkEnd w:id="841"/>
      <w:bookmarkEnd w:id="842"/>
      <w:bookmarkEnd w:id="843"/>
      <w:bookmarkEnd w:id="844"/>
      <w:bookmarkEnd w:id="845"/>
      <w:bookmarkEnd w:id="846"/>
      <w:bookmarkEnd w:id="847"/>
      <w:bookmarkEnd w:id="848"/>
      <w:bookmarkEnd w:id="849"/>
      <w:r>
        <w:rPr>
          <w:rFonts w:hint="eastAsia" w:ascii="宋体" w:hAnsi="宋体" w:eastAsia="宋体" w:cs="宋体"/>
          <w:b w:val="0"/>
          <w:color w:val="auto"/>
          <w:sz w:val="24"/>
          <w:szCs w:val="24"/>
          <w:highlight w:val="none"/>
        </w:rPr>
        <w:t>合同价格、计量与支付</w:t>
      </w:r>
      <w:bookmarkEnd w:id="850"/>
      <w:bookmarkEnd w:id="851"/>
      <w:bookmarkEnd w:id="852"/>
      <w:bookmarkEnd w:id="853"/>
      <w:bookmarkEnd w:id="854"/>
      <w:bookmarkEnd w:id="855"/>
      <w:bookmarkEnd w:id="856"/>
    </w:p>
    <w:p>
      <w:pPr>
        <w:snapToGrid w:val="0"/>
        <w:spacing w:line="360" w:lineRule="auto"/>
        <w:ind w:firstLine="480" w:firstLineChars="200"/>
        <w:rPr>
          <w:rFonts w:ascii="宋体" w:hAnsi="宋体" w:cs="宋体"/>
          <w:color w:val="auto"/>
          <w:sz w:val="24"/>
          <w:highlight w:val="none"/>
        </w:rPr>
      </w:pPr>
      <w:bookmarkStart w:id="857" w:name="_Toc292559411"/>
      <w:bookmarkStart w:id="858" w:name="_Toc292559916"/>
      <w:bookmarkStart w:id="859" w:name="_Toc267251461"/>
      <w:bookmarkStart w:id="860" w:name="_Toc296891034"/>
      <w:bookmarkStart w:id="861" w:name="_Toc296891246"/>
      <w:bookmarkStart w:id="862" w:name="_Toc297048392"/>
      <w:bookmarkStart w:id="863" w:name="_Toc297120506"/>
      <w:bookmarkStart w:id="864" w:name="_Toc296944545"/>
      <w:bookmarkStart w:id="865" w:name="_Toc296346707"/>
      <w:bookmarkStart w:id="866" w:name="_Toc296503206"/>
      <w:bookmarkStart w:id="867" w:name="_Toc296347205"/>
      <w:bookmarkStart w:id="868" w:name="_Toc300935003"/>
      <w:bookmarkStart w:id="869" w:name="_Toc304295580"/>
      <w:bookmarkStart w:id="870" w:name="_Toc303539160"/>
      <w:bookmarkStart w:id="871" w:name="_Toc312678041"/>
      <w:bookmarkStart w:id="872" w:name="_Toc297123553"/>
      <w:bookmarkStart w:id="873" w:name="_Toc297216212"/>
      <w:r>
        <w:rPr>
          <w:rFonts w:hint="eastAsia" w:ascii="宋体" w:hAnsi="宋体" w:cs="宋体"/>
          <w:color w:val="auto"/>
          <w:sz w:val="24"/>
          <w:highlight w:val="none"/>
        </w:rPr>
        <w:t>12.1 合</w:t>
      </w:r>
      <w:bookmarkEnd w:id="857"/>
      <w:bookmarkEnd w:id="858"/>
      <w:bookmarkEnd w:id="859"/>
      <w:r>
        <w:rPr>
          <w:rFonts w:hint="eastAsia" w:ascii="宋体" w:hAnsi="宋体" w:cs="宋体"/>
          <w:color w:val="auto"/>
          <w:sz w:val="24"/>
          <w:highlight w:val="none"/>
        </w:rPr>
        <w:t>同价</w:t>
      </w:r>
      <w:bookmarkEnd w:id="860"/>
      <w:bookmarkEnd w:id="861"/>
      <w:bookmarkEnd w:id="862"/>
      <w:bookmarkEnd w:id="863"/>
      <w:bookmarkEnd w:id="864"/>
      <w:bookmarkEnd w:id="865"/>
      <w:bookmarkEnd w:id="866"/>
      <w:bookmarkEnd w:id="867"/>
      <w:r>
        <w:rPr>
          <w:rFonts w:hint="eastAsia" w:ascii="宋体" w:hAnsi="宋体" w:cs="宋体"/>
          <w:color w:val="auto"/>
          <w:sz w:val="24"/>
          <w:highlight w:val="none"/>
        </w:rPr>
        <w:t>格形式</w:t>
      </w:r>
      <w:bookmarkEnd w:id="868"/>
      <w:bookmarkEnd w:id="869"/>
      <w:bookmarkEnd w:id="870"/>
      <w:bookmarkEnd w:id="871"/>
      <w:bookmarkEnd w:id="872"/>
      <w:bookmarkEnd w:id="873"/>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hint="eastAsia" w:ascii="宋体" w:hAnsi="宋体" w:cs="宋体"/>
          <w:color w:val="auto"/>
          <w:sz w:val="24"/>
          <w:highlight w:val="none"/>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必须有的工作内容，均应包括在报价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已包含在合同价内，不予调整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变更的单价及工程量均以工程审计单位审计为准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bookmarkStart w:id="874" w:name="_Toc312678042"/>
      <w:bookmarkStart w:id="875" w:name="_Toc297123554"/>
      <w:bookmarkStart w:id="876" w:name="_Toc304295581"/>
      <w:bookmarkStart w:id="877" w:name="_Toc297216213"/>
      <w:bookmarkStart w:id="878" w:name="_Toc300935004"/>
      <w:bookmarkStart w:id="879" w:name="_Toc303539161"/>
      <w:bookmarkStart w:id="880" w:name="_Toc292559412"/>
      <w:bookmarkStart w:id="881" w:name="_Toc296346708"/>
      <w:bookmarkStart w:id="882" w:name="_Toc296891247"/>
      <w:bookmarkStart w:id="883" w:name="_Toc296891035"/>
      <w:bookmarkStart w:id="884" w:name="_Toc296347206"/>
      <w:bookmarkStart w:id="885" w:name="_Toc297048393"/>
      <w:bookmarkStart w:id="886" w:name="_Toc296944546"/>
      <w:bookmarkStart w:id="887" w:name="_Toc297120507"/>
      <w:bookmarkStart w:id="888" w:name="_Toc296503207"/>
      <w:bookmarkStart w:id="889" w:name="_Toc292559917"/>
      <w:r>
        <w:rPr>
          <w:rFonts w:hint="eastAsia" w:ascii="宋体" w:hAnsi="宋体" w:cs="宋体"/>
          <w:color w:val="auto"/>
          <w:sz w:val="24"/>
          <w:highlight w:val="none"/>
        </w:rPr>
        <w:t>12.2 预付款</w:t>
      </w:r>
      <w:bookmarkEnd w:id="874"/>
      <w:bookmarkEnd w:id="875"/>
      <w:bookmarkEnd w:id="876"/>
      <w:bookmarkEnd w:id="877"/>
      <w:bookmarkEnd w:id="878"/>
      <w:bookmarkEnd w:id="879"/>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12.2.1 预付款的支付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40%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合同生效具备实施条件后5个工作日内支付合同总价的40%作为预付款（因客观原因造成甲方预付款逾期支付的，不追究逾期支付违约责任，具体付款日期按实际支付时间执行）</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从工程进度款中扣回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12.2.2 预付款担保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880"/>
      <w:bookmarkEnd w:id="881"/>
      <w:bookmarkEnd w:id="882"/>
      <w:bookmarkEnd w:id="883"/>
      <w:bookmarkEnd w:id="884"/>
      <w:bookmarkEnd w:id="885"/>
      <w:bookmarkEnd w:id="886"/>
      <w:bookmarkEnd w:id="887"/>
      <w:bookmarkEnd w:id="888"/>
      <w:bookmarkEnd w:id="889"/>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12.3.1 计量原则</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hint="eastAsia" w:ascii="宋体" w:hAnsi="宋体" w:cs="宋体"/>
          <w:color w:val="auto"/>
          <w:sz w:val="24"/>
          <w:highlight w:val="none"/>
          <w:u w:val="single"/>
        </w:rPr>
        <w:t xml:space="preserve"> 按国家标准工程量计算规范及省级行业主管部门颁布的补充规定执行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12.3.2 计量周期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color w:val="auto"/>
          <w:sz w:val="24"/>
          <w:highlight w:val="none"/>
          <w:u w:val="single"/>
        </w:rPr>
        <w:t xml:space="preserve">  每月20日前提交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12.3.3 单价合同的计量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color w:val="auto"/>
          <w:sz w:val="24"/>
          <w:highlight w:val="none"/>
          <w:u w:val="single"/>
        </w:rPr>
        <w:t xml:space="preserve"> 每月20日提供上月20日至本月19日完成工作量和工作价款表，上报监理人与发包人审定（该工程量得到发包人确认后仅为支付工程进度款的依据，不作为竣工结算的依据）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工程进度款支付</w:t>
      </w:r>
    </w:p>
    <w:p>
      <w:pPr>
        <w:snapToGrid w:val="0"/>
        <w:spacing w:line="360" w:lineRule="auto"/>
        <w:ind w:firstLine="480" w:firstLineChars="200"/>
        <w:jc w:val="left"/>
        <w:rPr>
          <w:rFonts w:ascii="宋体" w:hAnsi="宋体" w:cs="宋体"/>
          <w:color w:val="auto"/>
          <w:sz w:val="24"/>
          <w:highlight w:val="none"/>
        </w:rPr>
      </w:pPr>
      <w:bookmarkStart w:id="890" w:name="_Toc297216215"/>
      <w:bookmarkStart w:id="891" w:name="_Toc292559416"/>
      <w:bookmarkStart w:id="892" w:name="_Toc303539163"/>
      <w:bookmarkStart w:id="893" w:name="_Toc297123556"/>
      <w:bookmarkStart w:id="894" w:name="_Toc297048397"/>
      <w:bookmarkStart w:id="895" w:name="_Toc296891039"/>
      <w:bookmarkStart w:id="896" w:name="_Toc300935006"/>
      <w:bookmarkStart w:id="897" w:name="_Toc296944550"/>
      <w:bookmarkStart w:id="898" w:name="_Toc296347210"/>
      <w:bookmarkStart w:id="899" w:name="_Toc296346712"/>
      <w:bookmarkStart w:id="900" w:name="_Toc297120511"/>
      <w:bookmarkStart w:id="901" w:name="_Toc292559921"/>
      <w:bookmarkStart w:id="902" w:name="_Toc296503211"/>
      <w:bookmarkStart w:id="903" w:name="_Toc296891251"/>
      <w:r>
        <w:rPr>
          <w:rFonts w:hint="eastAsia" w:ascii="宋体" w:hAnsi="宋体" w:cs="宋体"/>
          <w:color w:val="auto"/>
          <w:sz w:val="24"/>
          <w:highlight w:val="none"/>
        </w:rPr>
        <w:t>12.4.1 付款周期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关于付款周期的约定：1</w:t>
      </w:r>
      <w:r>
        <w:rPr>
          <w:rFonts w:hint="eastAsia" w:ascii="宋体" w:hAnsi="宋体" w:cs="宋体"/>
          <w:color w:val="auto"/>
          <w:sz w:val="24"/>
          <w:highlight w:val="none"/>
          <w:u w:val="single"/>
        </w:rPr>
        <w:t>）合同生效具备实施条件后5个工作日内支付合同总价的40%作为预付款（因客观原因造成甲方预付款逾期支付的，不追究逾期支付违约责任，具体付款日期按实际支付时间执行）；</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）竣工验收合格后，支付至合同价的85%（如工程实施过程中有较大甩项，则支付实际完成工作量的85%）；</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ascii="宋体" w:hAnsi="宋体" w:cs="仿宋_GB2312"/>
          <w:color w:val="auto"/>
          <w:sz w:val="24"/>
          <w:highlight w:val="none"/>
          <w:u w:val="single"/>
        </w:rPr>
        <w:t>工程完成竣工结算并提交完整归档资料后，结算剩余合同款项</w:t>
      </w:r>
      <w:r>
        <w:rPr>
          <w:rFonts w:hint="eastAsia" w:ascii="宋体" w:hAnsi="宋体" w:cs="宋体"/>
          <w:color w:val="auto"/>
          <w:sz w:val="24"/>
          <w:highlight w:val="none"/>
          <w:u w:val="singl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12.4.2 进度付款申请单的编制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关于进度付款申请单编制的约定：</w:t>
      </w:r>
      <w:r>
        <w:rPr>
          <w:rFonts w:hint="eastAsia" w:ascii="宋体" w:hAnsi="宋体" w:cs="宋体"/>
          <w:color w:val="auto"/>
          <w:sz w:val="24"/>
          <w:highlight w:val="none"/>
          <w:u w:val="single"/>
        </w:rPr>
        <w:t xml:space="preserve">  根据发包人要求执行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hint="eastAsia" w:ascii="宋体" w:hAnsi="宋体" w:cs="宋体"/>
          <w:color w:val="auto"/>
          <w:sz w:val="24"/>
          <w:highlight w:val="none"/>
        </w:rPr>
        <w:t>2.4.3 进度付款申请单的提交</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color w:val="auto"/>
          <w:sz w:val="24"/>
          <w:highlight w:val="none"/>
          <w:u w:val="single"/>
        </w:rPr>
        <w:t xml:space="preserve"> 根据发包人要求执行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12.4.4 进度款审核和支付</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color w:val="auto"/>
          <w:sz w:val="24"/>
          <w:highlight w:val="none"/>
          <w:u w:val="single"/>
        </w:rPr>
        <w:t xml:space="preserve">  7天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发包人完成审批并签发进度款支付证书的期限：</w:t>
      </w:r>
      <w:r>
        <w:rPr>
          <w:rFonts w:hint="eastAsia" w:ascii="宋体" w:hAnsi="宋体" w:cs="宋体"/>
          <w:color w:val="auto"/>
          <w:sz w:val="24"/>
          <w:highlight w:val="none"/>
          <w:u w:val="single"/>
        </w:rPr>
        <w:t xml:space="preserve"> 根据发包人实际情况审批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（2）发包人支付进度款的期限：</w:t>
      </w:r>
      <w:r>
        <w:rPr>
          <w:rFonts w:hint="eastAsia" w:ascii="宋体" w:hAnsi="宋体" w:cs="宋体"/>
          <w:color w:val="auto"/>
          <w:sz w:val="24"/>
          <w:highlight w:val="none"/>
          <w:u w:val="single"/>
        </w:rPr>
        <w:t xml:space="preserve"> 根据发包人实际情况支付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不承担违约责任</w:t>
      </w:r>
      <w:r>
        <w:rPr>
          <w:rFonts w:hint="eastAsia" w:ascii="宋体" w:hAnsi="宋体" w:cs="宋体"/>
          <w:color w:val="auto"/>
          <w:sz w:val="24"/>
          <w:highlight w:val="none"/>
        </w:rPr>
        <w:t>。</w:t>
      </w:r>
    </w:p>
    <w:p>
      <w:pPr>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12.4.5 支付分解表的编制</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（1）总价合同支付分解表的编制与审批：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（2）单价合同的总价项目支付分解表的编制与审批：</w:t>
      </w:r>
      <w:r>
        <w:rPr>
          <w:rFonts w:hint="eastAsia" w:ascii="宋体" w:hAnsi="宋体" w:cs="宋体"/>
          <w:color w:val="auto"/>
          <w:sz w:val="24"/>
          <w:highlight w:val="none"/>
          <w:u w:val="single"/>
        </w:rPr>
        <w:t xml:space="preserve"> 根据发包人具体要求执行 </w:t>
      </w:r>
      <w:r>
        <w:rPr>
          <w:rFonts w:hint="eastAsia" w:ascii="宋体" w:hAnsi="宋体" w:cs="宋体"/>
          <w:color w:val="auto"/>
          <w:sz w:val="24"/>
          <w:highlight w:val="none"/>
        </w:rPr>
        <w:t>。</w:t>
      </w:r>
      <w:bookmarkEnd w:id="736"/>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904" w:name="_Toc300935015"/>
      <w:bookmarkStart w:id="905" w:name="_Toc303539172"/>
      <w:bookmarkStart w:id="906" w:name="_Toc296891047"/>
      <w:bookmarkStart w:id="907" w:name="_Toc296503219"/>
      <w:bookmarkStart w:id="908" w:name="_Toc312678053"/>
      <w:bookmarkStart w:id="909" w:name="_Toc297123564"/>
      <w:bookmarkStart w:id="910" w:name="_Toc296347218"/>
      <w:bookmarkStart w:id="911" w:name="_Toc304295593"/>
      <w:bookmarkStart w:id="912" w:name="_Toc297216223"/>
      <w:bookmarkStart w:id="913" w:name="_Toc292559929"/>
      <w:bookmarkStart w:id="914" w:name="_Toc296891259"/>
      <w:bookmarkStart w:id="915" w:name="_Toc296346720"/>
      <w:bookmarkStart w:id="916" w:name="_Toc297120519"/>
      <w:bookmarkStart w:id="917" w:name="_Toc297048405"/>
      <w:bookmarkStart w:id="918" w:name="_Toc292559424"/>
      <w:bookmarkStart w:id="919" w:name="_Toc296944558"/>
      <w:bookmarkStart w:id="920" w:name="_Toc351203645"/>
      <w:r>
        <w:rPr>
          <w:rFonts w:hint="eastAsia" w:ascii="宋体" w:hAnsi="宋体" w:eastAsia="宋体" w:cs="宋体"/>
          <w:b w:val="0"/>
          <w:color w:val="auto"/>
          <w:sz w:val="24"/>
          <w:szCs w:val="24"/>
          <w:highlight w:val="none"/>
        </w:rPr>
        <w:t>13. 验收和工程试车</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分部分项工程验收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pPr>
        <w:snapToGrid w:val="0"/>
        <w:spacing w:line="360" w:lineRule="auto"/>
        <w:ind w:firstLine="480" w:firstLineChars="200"/>
        <w:rPr>
          <w:rFonts w:ascii="宋体" w:hAnsi="宋体" w:cs="宋体"/>
          <w:color w:val="auto"/>
          <w:sz w:val="24"/>
          <w:highlight w:val="none"/>
        </w:rPr>
      </w:pPr>
      <w:bookmarkStart w:id="921" w:name="_Toc292559428"/>
      <w:bookmarkStart w:id="922" w:name="_Toc297123565"/>
      <w:bookmarkStart w:id="923" w:name="_Toc296891051"/>
      <w:bookmarkStart w:id="924" w:name="_Toc312678056"/>
      <w:bookmarkStart w:id="925" w:name="_Toc296503223"/>
      <w:bookmarkStart w:id="926" w:name="_Toc303539173"/>
      <w:bookmarkStart w:id="927" w:name="_Toc297120523"/>
      <w:bookmarkStart w:id="928" w:name="_Toc296944562"/>
      <w:bookmarkStart w:id="929" w:name="_Toc300935016"/>
      <w:bookmarkStart w:id="930" w:name="_Toc296891263"/>
      <w:bookmarkStart w:id="931" w:name="_Toc297048409"/>
      <w:bookmarkStart w:id="932" w:name="_Toc292559933"/>
      <w:bookmarkStart w:id="933" w:name="_Toc297216224"/>
      <w:bookmarkStart w:id="934" w:name="_Toc296347222"/>
      <w:bookmarkStart w:id="935" w:name="_Toc304295596"/>
      <w:bookmarkStart w:id="936" w:name="_Toc296346724"/>
      <w:bookmarkStart w:id="937" w:name="_Toc267251471"/>
      <w:bookmarkStart w:id="938" w:name="_Toc267251472"/>
      <w:bookmarkStart w:id="939" w:name="_Toc267251475"/>
      <w:bookmarkStart w:id="940" w:name="_Toc267251474"/>
      <w:bookmarkStart w:id="941" w:name="_Toc267251476"/>
      <w:bookmarkStart w:id="942" w:name="_Toc267251470"/>
      <w:bookmarkStart w:id="943" w:name="_Toc267251473"/>
      <w:r>
        <w:rPr>
          <w:rFonts w:hint="eastAsia" w:ascii="宋体" w:hAnsi="宋体" w:cs="宋体"/>
          <w:color w:val="auto"/>
          <w:sz w:val="24"/>
          <w:highlight w:val="none"/>
        </w:rPr>
        <w:t>13.2 竣工验收</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snapToGrid w:val="0"/>
        <w:spacing w:line="360" w:lineRule="auto"/>
        <w:ind w:firstLine="480" w:firstLineChars="200"/>
        <w:jc w:val="left"/>
        <w:rPr>
          <w:rFonts w:ascii="宋体" w:hAnsi="宋体" w:cs="宋体"/>
          <w:color w:val="auto"/>
          <w:sz w:val="24"/>
          <w:highlight w:val="none"/>
        </w:rPr>
      </w:pPr>
      <w:bookmarkStart w:id="944" w:name="_Toc280868704"/>
      <w:bookmarkStart w:id="945" w:name="_Toc280868705"/>
      <w:bookmarkStart w:id="946" w:name="_Toc280868706"/>
      <w:bookmarkStart w:id="947" w:name="_Toc280868707"/>
      <w:bookmarkStart w:id="948" w:name="_Toc280868708"/>
      <w:bookmarkStart w:id="949" w:name="_Toc280868709"/>
      <w:r>
        <w:rPr>
          <w:rFonts w:hint="eastAsia" w:ascii="宋体" w:hAnsi="宋体" w:cs="宋体"/>
          <w:color w:val="auto"/>
          <w:sz w:val="24"/>
          <w:highlight w:val="none"/>
        </w:rPr>
        <w:t>13.2.2竣工验收程序</w:t>
      </w:r>
      <w:bookmarkEnd w:id="944"/>
    </w:p>
    <w:p>
      <w:pPr>
        <w:snapToGrid w:val="0"/>
        <w:spacing w:line="360" w:lineRule="auto"/>
        <w:ind w:left="4916" w:leftChars="284" w:hanging="4320" w:hangingChars="1800"/>
        <w:jc w:val="left"/>
        <w:rPr>
          <w:rFonts w:ascii="宋体" w:hAnsi="宋体" w:cs="宋体"/>
          <w:color w:val="auto"/>
          <w:sz w:val="24"/>
          <w:highlight w:val="none"/>
        </w:rPr>
      </w:pPr>
      <w:r>
        <w:rPr>
          <w:rFonts w:hint="eastAsia" w:ascii="宋体" w:hAnsi="宋体" w:cs="宋体"/>
          <w:color w:val="auto"/>
          <w:kern w:val="0"/>
          <w:sz w:val="24"/>
          <w:highlight w:val="none"/>
        </w:rPr>
        <w:t>关于竣工验收程序的约定：</w:t>
      </w:r>
      <w:r>
        <w:rPr>
          <w:rFonts w:hint="eastAsia" w:ascii="宋体" w:hAnsi="宋体" w:cs="宋体"/>
          <w:color w:val="auto"/>
          <w:sz w:val="24"/>
          <w:highlight w:val="none"/>
          <w:u w:val="single"/>
        </w:rPr>
        <w:t xml:space="preserve"> 按照工程验收有关规范规定执行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945"/>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13.2.5移交、接收全部与部分工程</w:t>
      </w:r>
      <w:bookmarkEnd w:id="946"/>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color w:val="auto"/>
          <w:kern w:val="0"/>
          <w:sz w:val="24"/>
          <w:highlight w:val="none"/>
          <w:u w:val="single"/>
        </w:rPr>
        <w:t>：竣工</w:t>
      </w:r>
      <w:r>
        <w:rPr>
          <w:rFonts w:hint="eastAsia" w:ascii="宋体" w:hAnsi="宋体" w:cs="宋体"/>
          <w:color w:val="auto"/>
          <w:sz w:val="24"/>
          <w:highlight w:val="none"/>
          <w:u w:val="single"/>
        </w:rPr>
        <w:t xml:space="preserve">验收合格后五天内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947"/>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承包人未按时移交工程的，违约金的计算方法为：</w:t>
      </w:r>
      <w:r>
        <w:rPr>
          <w:rFonts w:hint="eastAsia" w:ascii="宋体" w:hAnsi="宋体" w:cs="宋体"/>
          <w:color w:val="auto"/>
          <w:sz w:val="24"/>
          <w:highlight w:val="none"/>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工程试车</w:t>
      </w:r>
      <w:bookmarkEnd w:id="948"/>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13.3.1 试车程序</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工程试车内容：</w:t>
      </w:r>
      <w:r>
        <w:rPr>
          <w:rFonts w:hint="eastAsia" w:ascii="宋体" w:hAnsi="宋体" w:cs="宋体"/>
          <w:color w:val="auto"/>
          <w:sz w:val="24"/>
          <w:highlight w:val="none"/>
          <w:u w:val="single"/>
        </w:rPr>
        <w:t xml:space="preserve"> 试车内容应与承包人承包范围相一致，试车费用由承包人承担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承担；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承担。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13.3.3 投料试车</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13.6 竣工退场</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13.6.1 竣工退场</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color w:val="auto"/>
          <w:sz w:val="24"/>
          <w:highlight w:val="none"/>
          <w:u w:val="single"/>
        </w:rPr>
        <w:t xml:space="preserve">竣工验收通过10天内;承包人应及时清理施工现场所有的成品、半成品材料、施工机具、渣土及建筑垃圾等，符合项目正常使用要求。及时清理场地内、场地外以本工程施工名义搭设的施工临时设施、建（构）筑物，并恢复原样。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950" w:name="_Toc351203646"/>
      <w:r>
        <w:rPr>
          <w:rFonts w:hint="eastAsia" w:ascii="宋体" w:hAnsi="宋体" w:eastAsia="宋体" w:cs="宋体"/>
          <w:b w:val="0"/>
          <w:color w:val="auto"/>
          <w:sz w:val="24"/>
          <w:szCs w:val="24"/>
          <w:highlight w:val="none"/>
        </w:rPr>
        <w:t>14. 竣工结算</w:t>
      </w:r>
      <w:bookmarkEnd w:id="95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竣工结算申请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hint="eastAsia" w:ascii="宋体" w:hAnsi="宋体" w:cs="宋体"/>
          <w:color w:val="auto"/>
          <w:sz w:val="24"/>
          <w:highlight w:val="none"/>
          <w:u w:val="single"/>
        </w:rPr>
        <w:t xml:space="preserve"> 工程竣工验收合格后30天内提交审计结算资料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竣工结算申请单应包括的内容：</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14.2 竣工结算审核</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hint="eastAsia" w:ascii="宋体" w:hAnsi="宋体" w:cs="宋体"/>
          <w:color w:val="auto"/>
          <w:sz w:val="24"/>
          <w:highlight w:val="none"/>
          <w:u w:val="single"/>
        </w:rPr>
        <w:t>按照发包人实际情况审批</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hint="eastAsia" w:ascii="宋体" w:hAnsi="宋体" w:cs="宋体"/>
          <w:color w:val="auto"/>
          <w:sz w:val="24"/>
          <w:highlight w:val="none"/>
          <w:u w:val="single"/>
        </w:rPr>
        <w:t xml:space="preserve"> 按照发包人实际情况支付</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关于竣工付款证书异议部分复核的方式和程序：</w:t>
      </w:r>
      <w:r>
        <w:rPr>
          <w:rFonts w:hint="eastAsia" w:ascii="宋体" w:hAnsi="宋体" w:cs="宋体"/>
          <w:color w:val="auto"/>
          <w:sz w:val="24"/>
          <w:highlight w:val="none"/>
          <w:u w:val="single"/>
        </w:rPr>
        <w:t xml:space="preserve">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最终结清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14.4.1 最终结清申请单</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14.4.2 最终结清证书和支付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color w:val="auto"/>
          <w:sz w:val="24"/>
          <w:highlight w:val="none"/>
          <w:u w:val="single"/>
        </w:rPr>
        <w:t xml:space="preserve">  按照发包人实际情况执行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按照发包人实际情况支付  </w:t>
      </w:r>
      <w:r>
        <w:rPr>
          <w:rFonts w:hint="eastAsia" w:ascii="宋体" w:hAnsi="宋体" w:cs="宋体"/>
          <w:color w:val="auto"/>
          <w:sz w:val="24"/>
          <w:highlight w:val="none"/>
        </w:rPr>
        <w:t>。</w:t>
      </w:r>
      <w:bookmarkEnd w:id="937"/>
      <w:bookmarkEnd w:id="938"/>
      <w:bookmarkEnd w:id="939"/>
      <w:bookmarkEnd w:id="940"/>
      <w:bookmarkEnd w:id="941"/>
      <w:bookmarkEnd w:id="942"/>
      <w:bookmarkEnd w:id="943"/>
      <w:bookmarkEnd w:id="949"/>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951" w:name="_Toc351203647"/>
      <w:bookmarkStart w:id="952" w:name="_Toc267251483"/>
      <w:bookmarkStart w:id="953" w:name="_Toc267251482"/>
      <w:bookmarkStart w:id="954" w:name="_Toc267251484"/>
      <w:bookmarkStart w:id="955" w:name="_Toc267251485"/>
      <w:bookmarkStart w:id="956" w:name="_Toc267251488"/>
      <w:bookmarkStart w:id="957" w:name="_Toc267251490"/>
      <w:bookmarkStart w:id="958" w:name="_Toc267251486"/>
      <w:bookmarkStart w:id="959" w:name="_Toc267251489"/>
      <w:bookmarkStart w:id="960" w:name="_Toc267251496"/>
      <w:bookmarkStart w:id="961" w:name="_Toc267251502"/>
      <w:bookmarkStart w:id="962" w:name="_Toc267251498"/>
      <w:bookmarkStart w:id="963" w:name="_Toc267251497"/>
      <w:bookmarkStart w:id="964" w:name="_Toc267251501"/>
      <w:bookmarkStart w:id="965" w:name="_Toc267251503"/>
      <w:bookmarkStart w:id="966" w:name="_Toc267251491"/>
      <w:bookmarkStart w:id="967" w:name="_Toc267251499"/>
      <w:bookmarkStart w:id="968" w:name="_Toc267251494"/>
      <w:bookmarkStart w:id="969" w:name="_Toc267251495"/>
      <w:bookmarkStart w:id="970" w:name="_Toc267251493"/>
      <w:bookmarkStart w:id="971" w:name="_Toc267251492"/>
      <w:bookmarkStart w:id="972" w:name="_Toc267251504"/>
      <w:bookmarkStart w:id="973" w:name="_Toc267251506"/>
      <w:bookmarkStart w:id="974" w:name="_Toc267251507"/>
      <w:bookmarkStart w:id="975" w:name="_Toc267251508"/>
      <w:bookmarkStart w:id="976" w:name="_Toc267251515"/>
      <w:bookmarkStart w:id="977" w:name="_Toc267251513"/>
      <w:bookmarkStart w:id="978" w:name="_Toc267251509"/>
      <w:bookmarkStart w:id="979" w:name="_Toc267251510"/>
      <w:bookmarkStart w:id="980" w:name="_Toc267251511"/>
      <w:bookmarkStart w:id="981" w:name="_Toc267251514"/>
      <w:r>
        <w:rPr>
          <w:rFonts w:hint="eastAsia" w:ascii="宋体" w:hAnsi="宋体" w:eastAsia="宋体" w:cs="宋体"/>
          <w:b w:val="0"/>
          <w:color w:val="auto"/>
          <w:sz w:val="24"/>
          <w:szCs w:val="24"/>
          <w:highlight w:val="none"/>
        </w:rPr>
        <w:t>15. 缺陷责任期与保修</w:t>
      </w:r>
      <w:bookmarkEnd w:id="951"/>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bookmarkEnd w:id="952"/>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缺陷责任期的具体期限：</w:t>
      </w:r>
      <w:r>
        <w:rPr>
          <w:rFonts w:hint="eastAsia" w:ascii="宋体" w:hAnsi="宋体" w:cs="宋体"/>
          <w:color w:val="auto"/>
          <w:sz w:val="24"/>
          <w:highlight w:val="none"/>
          <w:u w:val="single"/>
        </w:rPr>
        <w:t xml:space="preserve">   24个月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15.3 质量保证金</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（1）质量保证金保函，保证金额为：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%的工程款；</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（3）其他扣留方式:</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关于质量保证金的补充约定：</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bookmarkEnd w:id="953"/>
      <w:bookmarkEnd w:id="954"/>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bookmarkEnd w:id="955"/>
    </w:p>
    <w:p>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15.4.1 保修责任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工程保修期为：</w:t>
      </w:r>
      <w:r>
        <w:rPr>
          <w:rFonts w:hint="eastAsia" w:ascii="宋体" w:hAnsi="宋体" w:cs="宋体"/>
          <w:color w:val="auto"/>
          <w:kern w:val="0"/>
          <w:sz w:val="24"/>
          <w:highlight w:val="none"/>
          <w:u w:val="single"/>
        </w:rPr>
        <w:t xml:space="preserve"> 详见工程质量保修书  </w:t>
      </w:r>
      <w:r>
        <w:rPr>
          <w:rFonts w:hint="eastAsia" w:ascii="宋体" w:hAnsi="宋体" w:cs="宋体"/>
          <w:color w:val="auto"/>
          <w:kern w:val="0"/>
          <w:sz w:val="24"/>
          <w:highlight w:val="none"/>
        </w:rPr>
        <w:t>。</w:t>
      </w:r>
    </w:p>
    <w:p>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15.4.3 修复通知</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color w:val="auto"/>
          <w:kern w:val="0"/>
          <w:sz w:val="24"/>
          <w:highlight w:val="none"/>
          <w:u w:val="single"/>
        </w:rPr>
        <w:t xml:space="preserve">  详见工程质量保修书  </w:t>
      </w:r>
      <w:r>
        <w:rPr>
          <w:rFonts w:hint="eastAsia" w:ascii="宋体" w:hAnsi="宋体" w:cs="宋体"/>
          <w:color w:val="auto"/>
          <w:kern w:val="0"/>
          <w:sz w:val="24"/>
          <w:highlight w:val="none"/>
        </w:rPr>
        <w:t>。</w:t>
      </w:r>
      <w:bookmarkEnd w:id="956"/>
      <w:bookmarkEnd w:id="957"/>
      <w:bookmarkEnd w:id="958"/>
      <w:bookmarkEnd w:id="959"/>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982" w:name="_Toc351203648"/>
      <w:bookmarkStart w:id="983" w:name="_Toc280868717"/>
      <w:bookmarkStart w:id="984" w:name="_Toc280868718"/>
      <w:r>
        <w:rPr>
          <w:rFonts w:hint="eastAsia" w:ascii="宋体" w:hAnsi="宋体" w:eastAsia="宋体" w:cs="宋体"/>
          <w:b w:val="0"/>
          <w:color w:val="auto"/>
          <w:sz w:val="24"/>
          <w:szCs w:val="24"/>
          <w:highlight w:val="none"/>
        </w:rPr>
        <w:t>16. 违约</w:t>
      </w:r>
      <w:bookmarkEnd w:id="982"/>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16.1 发包人违约</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16.1.1发包人违约的情形</w:t>
      </w:r>
    </w:p>
    <w:p>
      <w:pPr>
        <w:snapToGrid w:val="0"/>
        <w:spacing w:line="360" w:lineRule="auto"/>
        <w:ind w:left="1316" w:leftChars="284" w:hanging="720" w:hangingChars="3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发包人违约的其他情形：</w:t>
      </w:r>
      <w:r>
        <w:rPr>
          <w:rFonts w:hint="eastAsia" w:ascii="宋体" w:hAnsi="宋体" w:cs="宋体"/>
          <w:color w:val="auto"/>
          <w:kern w:val="0"/>
          <w:sz w:val="24"/>
          <w:highlight w:val="none"/>
          <w:u w:val="single"/>
        </w:rPr>
        <w:t xml:space="preserve">   无   </w:t>
      </w:r>
      <w:r>
        <w:rPr>
          <w:rFonts w:hint="eastAsia" w:ascii="宋体" w:hAnsi="宋体" w:cs="宋体"/>
          <w:color w:val="auto"/>
          <w:kern w:val="0"/>
          <w:sz w:val="24"/>
          <w:highlight w:val="none"/>
        </w:rPr>
        <w:t>。</w:t>
      </w:r>
    </w:p>
    <w:p>
      <w:pPr>
        <w:snapToGrid w:val="0"/>
        <w:spacing w:line="360" w:lineRule="auto"/>
        <w:ind w:left="1200" w:hanging="1200" w:hangingChars="5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（7）其他：</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 因发包人违约解除合同</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天后发包人仍不纠正其违约行为并致使合同目的不能实现的，承包人有权解除合同。</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 承包人违约</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承包人违约的其他情形：</w:t>
      </w:r>
      <w:r>
        <w:rPr>
          <w:rFonts w:hint="eastAsia" w:ascii="宋体" w:hAnsi="宋体" w:cs="宋体"/>
          <w:color w:val="auto"/>
          <w:kern w:val="0"/>
          <w:sz w:val="24"/>
          <w:highlight w:val="none"/>
          <w:u w:val="single"/>
        </w:rPr>
        <w:t xml:space="preserve"> 除本合同通用条款外详见本合同专用条款。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pPr>
        <w:snapToGrid w:val="0"/>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r>
        <w:rPr>
          <w:rFonts w:hint="eastAsia" w:ascii="宋体" w:hAnsi="宋体" w:cs="宋体"/>
          <w:color w:val="auto"/>
          <w:kern w:val="0"/>
          <w:sz w:val="24"/>
          <w:highlight w:val="none"/>
          <w:u w:val="single"/>
        </w:rPr>
        <w:t xml:space="preserve"> </w:t>
      </w:r>
      <w:r>
        <w:rPr>
          <w:rFonts w:hint="eastAsia" w:ascii="宋体" w:hAnsi="宋体" w:eastAsia="宋体" w:cs="宋体"/>
          <w:b w:val="0"/>
          <w:bCs w:val="0"/>
          <w:color w:val="auto"/>
          <w:sz w:val="24"/>
          <w:szCs w:val="24"/>
          <w:highlight w:val="none"/>
          <w:u w:val="single"/>
        </w:rPr>
        <w:t>质量不合格的违约责任:承包方应保证每个施工环节的工程质量，发包方、监理工程师随时检查工程质量，若发现不符合相关质量验收评定标准及施工规范，每次扣罚2000元，待竣工验收时，质量未达到招标文件要求或无法通过竣工验收的，承包人负责返修，直至达到要求，扣罚5000元, 并承担由此产生的各方一切损失，费用经审核后从承包人合同价款中扣除（包括发包人损失）</w:t>
      </w:r>
      <w:r>
        <w:rPr>
          <w:rFonts w:hint="eastAsia" w:ascii="宋体" w:hAnsi="宋体" w:cs="宋体"/>
          <w:color w:val="auto"/>
          <w:kern w:val="0"/>
          <w:sz w:val="24"/>
          <w:highlight w:val="none"/>
        </w:rPr>
        <w:t>。</w:t>
      </w: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16.2.3 因承包人违约解除合同</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kern w:val="0"/>
          <w:sz w:val="24"/>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highlight w:val="none"/>
          <w:u w:val="single"/>
        </w:rPr>
        <w:t xml:space="preserve"> 由承包人承担  </w:t>
      </w:r>
      <w:r>
        <w:rPr>
          <w:rFonts w:hint="eastAsia" w:ascii="宋体" w:hAnsi="宋体" w:cs="宋体"/>
          <w:color w:val="auto"/>
          <w:kern w:val="0"/>
          <w:sz w:val="24"/>
          <w:highlight w:val="none"/>
        </w:rPr>
        <w:t>。</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985" w:name="_Toc351203649"/>
      <w:r>
        <w:rPr>
          <w:rFonts w:hint="eastAsia" w:ascii="宋体" w:hAnsi="宋体" w:eastAsia="宋体" w:cs="宋体"/>
          <w:b w:val="0"/>
          <w:color w:val="auto"/>
          <w:sz w:val="24"/>
          <w:szCs w:val="24"/>
          <w:highlight w:val="none"/>
        </w:rPr>
        <w:t>17. 不可抗力</w:t>
      </w:r>
      <w:bookmarkEnd w:id="985"/>
      <w:r>
        <w:rPr>
          <w:rFonts w:hint="eastAsia" w:ascii="宋体" w:hAnsi="宋体" w:eastAsia="宋体" w:cs="宋体"/>
          <w:b w:val="0"/>
          <w:color w:val="auto"/>
          <w:sz w:val="24"/>
          <w:szCs w:val="24"/>
          <w:highlight w:val="none"/>
        </w:rPr>
        <w:t xml:space="preserve"> </w:t>
      </w:r>
      <w:bookmarkEnd w:id="98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不可抗力的确认</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 xml:space="preserve">除通用合同条款约定的不可抗力事件之外，视为不可抗力的其他情形：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17.4 因不可抗力解除合同</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 xml:space="preserve"> 根据发包人实际情况执行 </w:t>
      </w:r>
      <w:r>
        <w:rPr>
          <w:rFonts w:hint="eastAsia" w:ascii="宋体" w:hAnsi="宋体" w:cs="宋体"/>
          <w:color w:val="auto"/>
          <w:sz w:val="24"/>
          <w:highlight w:val="none"/>
        </w:rPr>
        <w:t>天内完成款项的支付。</w:t>
      </w:r>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986" w:name="_Toc351203650"/>
      <w:r>
        <w:rPr>
          <w:rFonts w:hint="eastAsia" w:ascii="宋体" w:hAnsi="宋体" w:eastAsia="宋体" w:cs="宋体"/>
          <w:b w:val="0"/>
          <w:color w:val="auto"/>
          <w:sz w:val="24"/>
          <w:szCs w:val="24"/>
          <w:highlight w:val="none"/>
        </w:rPr>
        <w:t>18. 保险</w:t>
      </w:r>
      <w:bookmarkEnd w:id="984"/>
      <w:bookmarkEnd w:id="98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工程保险</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kern w:val="0"/>
          <w:sz w:val="24"/>
          <w:highlight w:val="none"/>
          <w:u w:val="single"/>
        </w:rPr>
        <w:t xml:space="preserve"> 按通用条款执行  </w:t>
      </w:r>
      <w:r>
        <w:rPr>
          <w:rFonts w:hint="eastAsia" w:ascii="宋体" w:hAnsi="宋体" w:cs="宋体"/>
          <w:color w:val="auto"/>
          <w:kern w:val="0"/>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18.3 其他保险</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kern w:val="0"/>
          <w:sz w:val="24"/>
          <w:highlight w:val="none"/>
          <w:u w:val="single"/>
        </w:rPr>
        <w:t xml:space="preserve"> 承包人为建设工程和施工场地内的自有人员设备及第三方生命财产办理保险并支付保险费用及农民工工伤保险，费用已包含在总价内  </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按有关规定办理保险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 通知义务</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按通用条款执行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End w:id="960"/>
      <w:bookmarkEnd w:id="961"/>
      <w:bookmarkEnd w:id="962"/>
      <w:bookmarkEnd w:id="963"/>
      <w:bookmarkEnd w:id="964"/>
      <w:bookmarkEnd w:id="965"/>
      <w:bookmarkEnd w:id="966"/>
      <w:bookmarkEnd w:id="967"/>
      <w:bookmarkEnd w:id="968"/>
      <w:bookmarkEnd w:id="969"/>
      <w:bookmarkEnd w:id="970"/>
      <w:bookmarkEnd w:id="971"/>
    </w:p>
    <w:p>
      <w:pPr>
        <w:pStyle w:val="6"/>
        <w:keepLines w:val="0"/>
        <w:tabs>
          <w:tab w:val="left" w:pos="1035"/>
          <w:tab w:val="clear" w:pos="864"/>
        </w:tabs>
        <w:snapToGrid w:val="0"/>
        <w:spacing w:before="0" w:after="0" w:line="360" w:lineRule="auto"/>
        <w:rPr>
          <w:rFonts w:ascii="宋体" w:hAnsi="宋体" w:eastAsia="宋体" w:cs="宋体"/>
          <w:b w:val="0"/>
          <w:color w:val="auto"/>
          <w:sz w:val="24"/>
          <w:szCs w:val="24"/>
          <w:highlight w:val="none"/>
        </w:rPr>
      </w:pPr>
      <w:bookmarkStart w:id="987" w:name="_Toc351203651"/>
      <w:r>
        <w:rPr>
          <w:rFonts w:hint="eastAsia" w:ascii="宋体" w:hAnsi="宋体" w:eastAsia="宋体" w:cs="宋体"/>
          <w:b w:val="0"/>
          <w:color w:val="auto"/>
          <w:sz w:val="24"/>
          <w:szCs w:val="24"/>
          <w:highlight w:val="none"/>
        </w:rPr>
        <w:t>20. 争议解决</w:t>
      </w:r>
      <w:bookmarkEnd w:id="972"/>
      <w:bookmarkEnd w:id="973"/>
      <w:bookmarkEnd w:id="987"/>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20.3 争</w:t>
      </w:r>
      <w:bookmarkEnd w:id="974"/>
      <w:r>
        <w:rPr>
          <w:rFonts w:hint="eastAsia" w:ascii="宋体" w:hAnsi="宋体" w:cs="宋体"/>
          <w:color w:val="auto"/>
          <w:sz w:val="24"/>
          <w:highlight w:val="none"/>
        </w:rPr>
        <w:t>议评审</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 xml:space="preserve">。  </w:t>
      </w:r>
    </w:p>
    <w:p>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20.3.1 争议评审小组的确定</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20.4仲裁或诉讼</w:t>
      </w:r>
      <w:bookmarkEnd w:id="975"/>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种方式解决：</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仲裁委员会申请仲裁；</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发包人所在地    </w:t>
      </w:r>
      <w:r>
        <w:rPr>
          <w:rFonts w:hint="eastAsia" w:ascii="宋体" w:hAnsi="宋体" w:cs="宋体"/>
          <w:color w:val="auto"/>
          <w:sz w:val="24"/>
          <w:highlight w:val="none"/>
        </w:rPr>
        <w:t>人民法院起诉。</w:t>
      </w:r>
      <w:bookmarkEnd w:id="976"/>
      <w:bookmarkEnd w:id="977"/>
      <w:bookmarkEnd w:id="978"/>
      <w:bookmarkEnd w:id="979"/>
      <w:bookmarkEnd w:id="980"/>
      <w:bookmarkEnd w:id="981"/>
    </w:p>
    <w:p>
      <w:pPr>
        <w:snapToGrid w:val="0"/>
        <w:spacing w:line="360" w:lineRule="auto"/>
        <w:ind w:firstLine="482"/>
        <w:rPr>
          <w:rFonts w:ascii="宋体" w:hAnsi="宋体"/>
          <w:color w:val="auto"/>
          <w:sz w:val="24"/>
          <w:highlight w:val="none"/>
        </w:rPr>
      </w:pPr>
      <w:r>
        <w:rPr>
          <w:rFonts w:hint="eastAsia" w:ascii="宋体" w:hAnsi="宋体"/>
          <w:b/>
          <w:color w:val="auto"/>
          <w:sz w:val="24"/>
          <w:highlight w:val="none"/>
        </w:rPr>
        <w:t>附件：</w:t>
      </w:r>
    </w:p>
    <w:p>
      <w:pPr>
        <w:adjustRightInd/>
        <w:snapToGrid w:val="0"/>
        <w:spacing w:line="360" w:lineRule="auto"/>
        <w:ind w:firstLine="424" w:firstLineChars="177"/>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附件1：建筑工程质量保修书</w:t>
      </w:r>
    </w:p>
    <w:p>
      <w:pPr>
        <w:adjustRightInd/>
        <w:ind w:firstLine="424" w:firstLineChars="177"/>
        <w:jc w:val="left"/>
        <w:rPr>
          <w:rFonts w:ascii="宋体" w:hAnsi="宋体"/>
          <w:snapToGrid w:val="0"/>
          <w:color w:val="auto"/>
          <w:kern w:val="0"/>
          <w:sz w:val="24"/>
          <w:highlight w:val="none"/>
        </w:rPr>
      </w:pPr>
    </w:p>
    <w:p>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988" w:name="_Toc249091536"/>
      <w:bookmarkStart w:id="989" w:name="_Toc534620509"/>
      <w:r>
        <w:rPr>
          <w:rFonts w:hint="eastAsia" w:ascii="宋体" w:hAnsi="宋体"/>
          <w:b/>
          <w:bCs/>
          <w:color w:val="auto"/>
          <w:sz w:val="24"/>
          <w:highlight w:val="none"/>
        </w:rPr>
        <w:t>附件1:</w:t>
      </w:r>
    </w:p>
    <w:bookmarkEnd w:id="988"/>
    <w:bookmarkEnd w:id="989"/>
    <w:p>
      <w:pPr>
        <w:adjustRightInd/>
        <w:spacing w:before="120" w:beforeLines="50" w:after="120" w:afterLines="50" w:line="288" w:lineRule="auto"/>
        <w:jc w:val="center"/>
        <w:rPr>
          <w:rFonts w:ascii="宋体" w:hAnsi="宋体"/>
          <w:snapToGrid w:val="0"/>
          <w:color w:val="auto"/>
          <w:kern w:val="0"/>
          <w:sz w:val="24"/>
          <w:highlight w:val="none"/>
        </w:rPr>
      </w:pPr>
      <w:r>
        <w:rPr>
          <w:rFonts w:ascii="宋体" w:hAnsi="宋体"/>
          <w:snapToGrid w:val="0"/>
          <w:color w:val="auto"/>
          <w:kern w:val="0"/>
          <w:sz w:val="24"/>
          <w:highlight w:val="none"/>
        </w:rPr>
        <w:t>工程质量保修书</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bookmarkStart w:id="990" w:name="SOA_zyht_zlbxfb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0"/>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bookmarkStart w:id="991" w:name="SOA_zyht_zlbxcbr"/>
      <w:r>
        <w:rPr>
          <w:rFonts w:ascii="宋体" w:hAnsi="宋体"/>
          <w:snapToGrid w:val="0"/>
          <w:color w:val="auto"/>
          <w:kern w:val="0"/>
          <w:sz w:val="24"/>
          <w:highlight w:val="none"/>
          <w:u w:val="single"/>
        </w:rPr>
        <w:t xml:space="preserve"> </w:t>
      </w:r>
      <w:bookmarkEnd w:id="991"/>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发包人和承包人根据《中华人民共和国建筑法》和《建设工程质量管理条例》，经协商一致就</w:t>
      </w:r>
      <w:r>
        <w:rPr>
          <w:rFonts w:ascii="宋体" w:hAnsi="宋体"/>
          <w:snapToGrid w:val="0"/>
          <w:color w:val="auto"/>
          <w:kern w:val="0"/>
          <w:sz w:val="24"/>
          <w:highlight w:val="none"/>
          <w:u w:val="single"/>
        </w:rPr>
        <w:t xml:space="preserve">  </w:t>
      </w:r>
      <w:bookmarkStart w:id="992" w:name="SOA_zyht_gcqc"/>
      <w:r>
        <w:rPr>
          <w:rFonts w:ascii="宋体" w:hAnsi="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2"/>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（工程全称）签订工程质量保修书。</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一、工程质量保修范围和内容</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承包人在质量保修期内，按照有关法律规定和合同约定，承担工程质量保修责任。</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u w:val="single"/>
        </w:rPr>
        <w:t xml:space="preserve">   </w:t>
      </w:r>
      <w:bookmarkStart w:id="993" w:name="SOA_zyht_gczlbxfw"/>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双方约定对施工承包范围内的所有内容实行保修</w:t>
      </w:r>
      <w:r>
        <w:rPr>
          <w:rFonts w:ascii="宋体" w:hAnsi="宋体"/>
          <w:snapToGrid w:val="0"/>
          <w:color w:val="auto"/>
          <w:kern w:val="0"/>
          <w:sz w:val="24"/>
          <w:highlight w:val="none"/>
          <w:u w:val="single"/>
        </w:rPr>
        <w:t xml:space="preserve">   </w:t>
      </w:r>
      <w:bookmarkEnd w:id="993"/>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二、质量保修期</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根据《建设工程质量管理条例》及有关规定，工程的质量保修期如下：</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1．地基基础工程和主体结构工程为设计文件规定的工程合理使用年限；</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屋面防水工程、有防水要求的卫生间、房间和外墙面的防渗</w:t>
      </w:r>
      <w:r>
        <w:rPr>
          <w:rFonts w:hint="eastAsia" w:ascii="宋体" w:hAnsi="宋体"/>
          <w:snapToGrid w:val="0"/>
          <w:color w:val="auto"/>
          <w:kern w:val="0"/>
          <w:sz w:val="24"/>
          <w:highlight w:val="none"/>
        </w:rPr>
        <w:t>为</w:t>
      </w:r>
      <w:r>
        <w:rPr>
          <w:rFonts w:hint="eastAsia" w:ascii="宋体" w:hAnsi="宋体"/>
          <w:snapToGrid w:val="0"/>
          <w:color w:val="auto"/>
          <w:kern w:val="0"/>
          <w:sz w:val="24"/>
          <w:highlight w:val="none"/>
          <w:u w:val="single"/>
        </w:rPr>
        <w:t xml:space="preserve"> 5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装修工程为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2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电气管线、给排水管道、设备安装工程为</w:t>
      </w:r>
      <w:bookmarkStart w:id="994" w:name="SOA_zyht_azbxnx"/>
      <w:r>
        <w:rPr>
          <w:rFonts w:ascii="宋体" w:hAnsi="宋体"/>
          <w:snapToGrid w:val="0"/>
          <w:color w:val="auto"/>
          <w:kern w:val="0"/>
          <w:sz w:val="24"/>
          <w:highlight w:val="none"/>
          <w:u w:val="single"/>
        </w:rPr>
        <w:t xml:space="preserve"> </w:t>
      </w:r>
      <w:bookmarkEnd w:id="994"/>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供热与供冷系统为</w:t>
      </w:r>
      <w:r>
        <w:rPr>
          <w:rFonts w:ascii="宋体" w:hAnsi="宋体"/>
          <w:snapToGrid w:val="0"/>
          <w:color w:val="auto"/>
          <w:kern w:val="0"/>
          <w:sz w:val="24"/>
          <w:highlight w:val="none"/>
          <w:u w:val="single"/>
        </w:rPr>
        <w:t xml:space="preserve"> </w:t>
      </w:r>
      <w:bookmarkStart w:id="995" w:name="SOA_zyht_grbxnx"/>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u w:val="single"/>
        </w:rPr>
        <w:t xml:space="preserve"> </w:t>
      </w:r>
      <w:bookmarkEnd w:id="995"/>
      <w:r>
        <w:rPr>
          <w:rFonts w:ascii="宋体" w:hAnsi="宋体"/>
          <w:snapToGrid w:val="0"/>
          <w:color w:val="auto"/>
          <w:kern w:val="0"/>
          <w:sz w:val="24"/>
          <w:highlight w:val="none"/>
        </w:rPr>
        <w:t>个采暖期、供冷期；</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住宅小区内的给排水设施、道路等配套工程为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w:t>
      </w:r>
      <w:r>
        <w:rPr>
          <w:rFonts w:ascii="宋体" w:hAnsi="宋体"/>
          <w:snapToGrid w:val="0"/>
          <w:color w:val="auto"/>
          <w:kern w:val="0"/>
          <w:sz w:val="24"/>
          <w:highlight w:val="none"/>
        </w:rPr>
        <w:t>其他项目保修期限约定如下</w:t>
      </w:r>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质量保修期自工程竣工验收合格之日起计算。</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三、缺陷责任期</w:t>
      </w:r>
    </w:p>
    <w:p>
      <w:pPr>
        <w:adjustRightInd/>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工程缺陷责任期为</w:t>
      </w:r>
      <w:bookmarkStart w:id="996" w:name="SOA_zyht_gcqxq"/>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24 </w:t>
      </w:r>
      <w:r>
        <w:rPr>
          <w:rFonts w:ascii="宋体" w:hAnsi="宋体"/>
          <w:snapToGrid w:val="0"/>
          <w:color w:val="auto"/>
          <w:kern w:val="0"/>
          <w:sz w:val="24"/>
          <w:highlight w:val="none"/>
          <w:u w:val="single"/>
        </w:rPr>
        <w:t xml:space="preserve"> </w:t>
      </w:r>
      <w:bookmarkEnd w:id="996"/>
      <w:r>
        <w:rPr>
          <w:rFonts w:ascii="宋体" w:hAnsi="宋体"/>
          <w:snapToGrid w:val="0"/>
          <w:color w:val="auto"/>
          <w:kern w:val="0"/>
          <w:sz w:val="24"/>
          <w:highlight w:val="none"/>
        </w:rPr>
        <w:t>个月，缺陷责任期自</w:t>
      </w:r>
      <w:r>
        <w:rPr>
          <w:rFonts w:hint="eastAsia" w:ascii="宋体" w:hAnsi="宋体"/>
          <w:snapToGrid w:val="0"/>
          <w:color w:val="auto"/>
          <w:kern w:val="0"/>
          <w:sz w:val="24"/>
          <w:highlight w:val="none"/>
        </w:rPr>
        <w:t>工程通过竣工验收合格之日</w:t>
      </w:r>
      <w:r>
        <w:rPr>
          <w:rFonts w:ascii="宋体" w:hAnsi="宋体"/>
          <w:snapToGrid w:val="0"/>
          <w:color w:val="auto"/>
          <w:kern w:val="0"/>
          <w:sz w:val="24"/>
          <w:highlight w:val="none"/>
        </w:rPr>
        <w:t>起计算。单位工程先于全部工程进行验收，单位工程缺陷责任期自单位工程</w:t>
      </w:r>
      <w:r>
        <w:rPr>
          <w:rFonts w:hint="eastAsia" w:ascii="宋体" w:hAnsi="宋体"/>
          <w:snapToGrid w:val="0"/>
          <w:color w:val="auto"/>
          <w:kern w:val="0"/>
          <w:sz w:val="24"/>
          <w:highlight w:val="none"/>
        </w:rPr>
        <w:t>验收合格之日</w:t>
      </w:r>
      <w:r>
        <w:rPr>
          <w:rFonts w:ascii="宋体" w:hAnsi="宋体"/>
          <w:snapToGrid w:val="0"/>
          <w:color w:val="auto"/>
          <w:kern w:val="0"/>
          <w:sz w:val="24"/>
          <w:highlight w:val="none"/>
        </w:rPr>
        <w:t>起</w:t>
      </w:r>
      <w:r>
        <w:rPr>
          <w:rFonts w:hint="eastAsia" w:ascii="宋体" w:hAnsi="宋体"/>
          <w:snapToGrid w:val="0"/>
          <w:color w:val="auto"/>
          <w:kern w:val="0"/>
          <w:sz w:val="24"/>
          <w:highlight w:val="none"/>
        </w:rPr>
        <w:t>计</w:t>
      </w:r>
      <w:r>
        <w:rPr>
          <w:rFonts w:ascii="宋体" w:hAnsi="宋体"/>
          <w:snapToGrid w:val="0"/>
          <w:color w:val="auto"/>
          <w:kern w:val="0"/>
          <w:sz w:val="24"/>
          <w:highlight w:val="none"/>
        </w:rPr>
        <w:t>算。</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缺陷责任期终止后，发包人应退还剩余的质量保证金。</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四、质量保修责任</w:t>
      </w:r>
    </w:p>
    <w:p>
      <w:pPr>
        <w:adjustRightInd/>
        <w:spacing w:line="288"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发生紧急事故需抢修的，承包人在接到事故通知后，应当立即到达事故现场抢修。</w:t>
      </w:r>
    </w:p>
    <w:p>
      <w:pPr>
        <w:adjustRightInd/>
        <w:spacing w:line="300"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20" w:firstLineChars="5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质量保修完成后，由发包人组织验收。</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五、保修费用</w:t>
      </w:r>
    </w:p>
    <w:p>
      <w:pPr>
        <w:adjustRightInd/>
        <w:spacing w:line="300" w:lineRule="auto"/>
        <w:ind w:firstLine="480"/>
        <w:rPr>
          <w:rFonts w:ascii="宋体" w:hAnsi="宋体"/>
          <w:snapToGrid w:val="0"/>
          <w:color w:val="auto"/>
          <w:kern w:val="0"/>
          <w:sz w:val="24"/>
          <w:highlight w:val="none"/>
        </w:rPr>
      </w:pPr>
      <w:r>
        <w:rPr>
          <w:rFonts w:ascii="宋体" w:hAnsi="宋体"/>
          <w:snapToGrid w:val="0"/>
          <w:color w:val="auto"/>
          <w:kern w:val="0"/>
          <w:sz w:val="24"/>
          <w:highlight w:val="none"/>
        </w:rPr>
        <w:t>保修费用由造成质量缺陷的责任方承担。</w:t>
      </w:r>
    </w:p>
    <w:p>
      <w:pPr>
        <w:adjustRightInd/>
        <w:spacing w:line="360" w:lineRule="auto"/>
        <w:jc w:val="left"/>
        <w:rPr>
          <w:rFonts w:ascii="宋体" w:hAnsi="宋体"/>
          <w:snapToGrid w:val="0"/>
          <w:color w:val="auto"/>
          <w:kern w:val="0"/>
          <w:sz w:val="24"/>
          <w:highlight w:val="none"/>
          <w:u w:val="single"/>
        </w:rPr>
      </w:pPr>
      <w:r>
        <w:rPr>
          <w:rFonts w:ascii="宋体" w:hAnsi="宋体"/>
          <w:b/>
          <w:snapToGrid w:val="0"/>
          <w:color w:val="auto"/>
          <w:kern w:val="0"/>
          <w:sz w:val="24"/>
          <w:highlight w:val="none"/>
        </w:rPr>
        <w:t>六</w:t>
      </w:r>
      <w:r>
        <w:rPr>
          <w:rFonts w:ascii="宋体" w:hAnsi="宋体"/>
          <w:snapToGrid w:val="0"/>
          <w:color w:val="auto"/>
          <w:kern w:val="0"/>
          <w:sz w:val="24"/>
          <w:highlight w:val="none"/>
        </w:rPr>
        <w:t>、双方约定的其他工程质量保修事项：</w:t>
      </w:r>
      <w:r>
        <w:rPr>
          <w:rFonts w:hint="eastAsia" w:ascii="宋体" w:hAnsi="宋体"/>
          <w:snapToGrid w:val="0"/>
          <w:color w:val="auto"/>
          <w:kern w:val="0"/>
          <w:sz w:val="24"/>
          <w:highlight w:val="none"/>
          <w:u w:val="single"/>
        </w:rPr>
        <w:t>工程质量保证金在工程缺陷期满后，扣除相应的扣款（由于乙方维修不及时而甲方自行维修的费用）后，结清余款（无息）。</w:t>
      </w:r>
    </w:p>
    <w:p>
      <w:pPr>
        <w:adjustRightInd/>
        <w:spacing w:line="360" w:lineRule="auto"/>
        <w:ind w:firstLine="600"/>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 w:val="24"/>
          <w:highlight w:val="none"/>
        </w:rPr>
        <w:t>。</w:t>
      </w:r>
    </w:p>
    <w:p>
      <w:pPr>
        <w:adjustRightInd/>
        <w:spacing w:line="300" w:lineRule="auto"/>
        <w:ind w:firstLine="456" w:firstLineChars="190"/>
        <w:rPr>
          <w:rFonts w:ascii="宋体" w:hAnsi="宋体"/>
          <w:snapToGrid w:val="0"/>
          <w:color w:val="auto"/>
          <w:kern w:val="0"/>
          <w:sz w:val="24"/>
          <w:highlight w:val="none"/>
        </w:rPr>
      </w:pPr>
      <w:r>
        <w:rPr>
          <w:rFonts w:ascii="宋体" w:hAnsi="宋体"/>
          <w:snapToGrid w:val="0"/>
          <w:color w:val="auto"/>
          <w:kern w:val="0"/>
          <w:sz w:val="24"/>
          <w:highlight w:val="none"/>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发包人(公章)：</w:t>
      </w:r>
      <w:r>
        <w:rPr>
          <w:rFonts w:ascii="宋体" w:hAnsi="宋体"/>
          <w:snapToGrid w:val="0"/>
          <w:color w:val="auto"/>
          <w:kern w:val="0"/>
          <w:sz w:val="24"/>
          <w:highlight w:val="none"/>
          <w:u w:val="single"/>
        </w:rPr>
        <w:t xml:space="preserve"> </w:t>
      </w:r>
      <w:bookmarkStart w:id="997" w:name="SOA_zyht_fb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7"/>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承包人(公章)：</w:t>
      </w:r>
      <w:r>
        <w:rPr>
          <w:rFonts w:ascii="宋体" w:hAnsi="宋体"/>
          <w:snapToGrid w:val="0"/>
          <w:color w:val="auto"/>
          <w:kern w:val="0"/>
          <w:sz w:val="24"/>
          <w:highlight w:val="none"/>
          <w:u w:val="single"/>
        </w:rPr>
        <w:t></w:t>
      </w:r>
      <w:bookmarkStart w:id="998" w:name="SOA_zyht_cb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8"/>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 xml:space="preserve"> </w:t>
      </w:r>
      <w:bookmarkStart w:id="999" w:name="SOA_zyht_fbrdz"/>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9"/>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w:t>
      </w:r>
      <w:bookmarkStart w:id="1000" w:name="SOA_zyht_cbrdz"/>
      <w:r>
        <w:rPr>
          <w:rFonts w:ascii="宋体" w:hAnsi="宋体"/>
          <w:snapToGrid w:val="0"/>
          <w:color w:val="auto"/>
          <w:kern w:val="0"/>
          <w:sz w:val="24"/>
          <w:highlight w:val="none"/>
          <w:u w:val="single"/>
        </w:rPr>
        <w:t xml:space="preserve">      </w:t>
      </w:r>
      <w:bookmarkEnd w:id="1000"/>
      <w:r>
        <w:rPr>
          <w:rFonts w:ascii="宋体" w:hAnsi="宋体"/>
          <w:snapToGrid w:val="0"/>
          <w:color w:val="auto"/>
          <w:kern w:val="0"/>
          <w:sz w:val="24"/>
          <w:highlight w:val="none"/>
          <w:u w:val="single"/>
        </w:rPr>
        <w:t></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法定代表人(签字)：</w:t>
      </w:r>
      <w:bookmarkStart w:id="1001" w:name="SOA_zyht_fddbr1"/>
      <w:r>
        <w:rPr>
          <w:rFonts w:ascii="宋体" w:hAnsi="宋体"/>
          <w:snapToGrid w:val="0"/>
          <w:color w:val="auto"/>
          <w:kern w:val="0"/>
          <w:sz w:val="24"/>
          <w:highlight w:val="none"/>
          <w:u w:val="single"/>
        </w:rPr>
        <w:t xml:space="preserve">      </w:t>
      </w:r>
      <w:bookmarkEnd w:id="1001"/>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法定代表人(签字)：</w:t>
      </w:r>
      <w:bookmarkStart w:id="1002" w:name="SOA_zyht_fddbr2"/>
      <w:r>
        <w:rPr>
          <w:rFonts w:ascii="宋体" w:hAnsi="宋体"/>
          <w:snapToGrid w:val="0"/>
          <w:color w:val="auto"/>
          <w:kern w:val="0"/>
          <w:sz w:val="24"/>
          <w:highlight w:val="none"/>
          <w:u w:val="single"/>
        </w:rPr>
        <w:t xml:space="preserve">      </w:t>
      </w:r>
      <w:bookmarkEnd w:id="1002"/>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委托代理人(签字)：</w:t>
      </w:r>
      <w:bookmarkStart w:id="1003" w:name="SOA_zyht_wtdlr1"/>
      <w:r>
        <w:rPr>
          <w:rFonts w:ascii="宋体" w:hAnsi="宋体"/>
          <w:snapToGrid w:val="0"/>
          <w:color w:val="auto"/>
          <w:kern w:val="0"/>
          <w:sz w:val="24"/>
          <w:highlight w:val="none"/>
          <w:u w:val="single"/>
        </w:rPr>
        <w:t xml:space="preserve">      </w:t>
      </w:r>
      <w:bookmarkEnd w:id="1003"/>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委托代理人(签字)：</w:t>
      </w:r>
      <w:bookmarkStart w:id="1004" w:name="SOA_zyht_wtdlr2"/>
      <w:r>
        <w:rPr>
          <w:rFonts w:ascii="宋体" w:hAnsi="宋体"/>
          <w:snapToGrid w:val="0"/>
          <w:color w:val="auto"/>
          <w:kern w:val="0"/>
          <w:sz w:val="24"/>
          <w:highlight w:val="none"/>
          <w:u w:val="single"/>
        </w:rPr>
        <w:t xml:space="preserve">      </w:t>
      </w:r>
      <w:bookmarkEnd w:id="1004"/>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05" w:name="SOA_zyht_fbrdh1"/>
      <w:r>
        <w:rPr>
          <w:rFonts w:ascii="宋体" w:hAnsi="宋体"/>
          <w:snapToGrid w:val="0"/>
          <w:color w:val="auto"/>
          <w:kern w:val="0"/>
          <w:sz w:val="24"/>
          <w:highlight w:val="none"/>
          <w:u w:val="single"/>
        </w:rPr>
        <w:t xml:space="preserve">      </w:t>
      </w:r>
      <w:bookmarkEnd w:id="1005"/>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06" w:name="SOA_zyht_cbrdh"/>
      <w:r>
        <w:rPr>
          <w:rFonts w:ascii="宋体" w:hAnsi="宋体"/>
          <w:snapToGrid w:val="0"/>
          <w:color w:val="auto"/>
          <w:kern w:val="0"/>
          <w:sz w:val="24"/>
          <w:highlight w:val="none"/>
          <w:u w:val="single"/>
        </w:rPr>
        <w:t xml:space="preserve">      </w:t>
      </w:r>
      <w:bookmarkEnd w:id="1006"/>
      <w:r>
        <w:rPr>
          <w:rFonts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传  真：</w:t>
      </w:r>
      <w:r>
        <w:rPr>
          <w:rFonts w:hint="eastAsia" w:ascii="宋体" w:hAnsi="宋体"/>
          <w:snapToGrid w:val="0"/>
          <w:color w:val="auto"/>
          <w:kern w:val="0"/>
          <w:sz w:val="24"/>
          <w:highlight w:val="none"/>
          <w:u w:val="single"/>
        </w:rPr>
        <w:t xml:space="preserve">  </w:t>
      </w:r>
      <w:bookmarkStart w:id="1007" w:name="SOA_zyht_fbrcz"/>
      <w:r>
        <w:rPr>
          <w:rFonts w:ascii="宋体" w:hAnsi="宋体"/>
          <w:snapToGrid w:val="0"/>
          <w:color w:val="auto"/>
          <w:kern w:val="0"/>
          <w:sz w:val="24"/>
          <w:highlight w:val="none"/>
          <w:u w:val="single"/>
        </w:rPr>
        <w:t xml:space="preserve">      </w:t>
      </w:r>
      <w:bookmarkEnd w:id="1007"/>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传  真：</w:t>
      </w:r>
      <w:r>
        <w:rPr>
          <w:rFonts w:ascii="宋体" w:hAnsi="宋体"/>
          <w:snapToGrid w:val="0"/>
          <w:color w:val="auto"/>
          <w:kern w:val="0"/>
          <w:sz w:val="24"/>
          <w:highlight w:val="none"/>
          <w:u w:val="single"/>
        </w:rPr>
        <w:t></w:t>
      </w:r>
      <w:bookmarkStart w:id="1008" w:name="SOA_zyht_cbrcz"/>
      <w:r>
        <w:rPr>
          <w:rFonts w:ascii="宋体" w:hAnsi="宋体"/>
          <w:snapToGrid w:val="0"/>
          <w:color w:val="auto"/>
          <w:kern w:val="0"/>
          <w:sz w:val="24"/>
          <w:highlight w:val="none"/>
          <w:u w:val="single"/>
        </w:rPr>
        <w:t xml:space="preserve">      </w:t>
      </w:r>
      <w:bookmarkEnd w:id="1008"/>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开户银行：</w:t>
      </w:r>
      <w:bookmarkStart w:id="1009" w:name="SOA_zyht_fbrkhyh"/>
      <w:r>
        <w:rPr>
          <w:rFonts w:ascii="宋体" w:hAnsi="宋体"/>
          <w:snapToGrid w:val="0"/>
          <w:color w:val="auto"/>
          <w:kern w:val="0"/>
          <w:sz w:val="24"/>
          <w:highlight w:val="none"/>
          <w:u w:val="single"/>
        </w:rPr>
        <w:t xml:space="preserve">      </w:t>
      </w:r>
      <w:bookmarkEnd w:id="1009"/>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开户银行：</w:t>
      </w:r>
      <w:bookmarkStart w:id="1010" w:name="SOA_zyht_cbrkhyh"/>
      <w:r>
        <w:rPr>
          <w:rFonts w:ascii="宋体" w:hAnsi="宋体"/>
          <w:snapToGrid w:val="0"/>
          <w:color w:val="auto"/>
          <w:kern w:val="0"/>
          <w:sz w:val="24"/>
          <w:highlight w:val="none"/>
          <w:u w:val="single"/>
        </w:rPr>
        <w:t xml:space="preserve">      </w:t>
      </w:r>
      <w:bookmarkEnd w:id="1010"/>
      <w:r>
        <w:rPr>
          <w:rFonts w:hint="eastAsia"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w:t>
      </w:r>
      <w:bookmarkStart w:id="1011" w:name="SOA_zyht_fbrzh"/>
      <w:r>
        <w:rPr>
          <w:rFonts w:ascii="宋体" w:hAnsi="宋体"/>
          <w:snapToGrid w:val="0"/>
          <w:color w:val="auto"/>
          <w:kern w:val="0"/>
          <w:sz w:val="24"/>
          <w:highlight w:val="none"/>
          <w:u w:val="single"/>
        </w:rPr>
        <w:t xml:space="preserve">      </w:t>
      </w:r>
      <w:bookmarkEnd w:id="1011"/>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账</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号：</w:t>
      </w:r>
      <w:r>
        <w:rPr>
          <w:rFonts w:ascii="宋体" w:hAnsi="宋体"/>
          <w:snapToGrid w:val="0"/>
          <w:color w:val="auto"/>
          <w:kern w:val="0"/>
          <w:sz w:val="24"/>
          <w:highlight w:val="none"/>
          <w:u w:val="single"/>
        </w:rPr>
        <w:t></w:t>
      </w:r>
      <w:bookmarkStart w:id="1012" w:name="SOA_zyht_cbrzh"/>
      <w:r>
        <w:rPr>
          <w:rFonts w:ascii="宋体" w:hAnsi="宋体"/>
          <w:snapToGrid w:val="0"/>
          <w:color w:val="auto"/>
          <w:kern w:val="0"/>
          <w:sz w:val="24"/>
          <w:highlight w:val="none"/>
          <w:u w:val="single"/>
        </w:rPr>
        <w:t xml:space="preserve">      </w:t>
      </w:r>
      <w:bookmarkEnd w:id="1012"/>
      <w:r>
        <w:rPr>
          <w:rFonts w:hint="eastAsia" w:ascii="宋体" w:hAnsi="宋体"/>
          <w:snapToGrid w:val="0"/>
          <w:color w:val="auto"/>
          <w:kern w:val="0"/>
          <w:sz w:val="24"/>
          <w:highlight w:val="none"/>
          <w:u w:val="single"/>
        </w:rPr>
        <w:t xml:space="preserve">  </w:t>
      </w:r>
    </w:p>
    <w:p>
      <w:pPr>
        <w:spacing w:line="360" w:lineRule="auto"/>
        <w:ind w:left="-420" w:leftChars="-200" w:right="-420" w:rightChars="-200" w:firstLine="480" w:firstLineChars="200"/>
        <w:outlineLvl w:val="0"/>
        <w:rPr>
          <w:rFonts w:ascii="宋体" w:hAnsi="宋体" w:cs="宋体"/>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 xml:space="preserve"> </w:t>
      </w:r>
      <w:bookmarkStart w:id="1013" w:name="SOA_zyht_fbryb"/>
      <w:r>
        <w:rPr>
          <w:rFonts w:ascii="宋体" w:hAnsi="宋体"/>
          <w:snapToGrid w:val="0"/>
          <w:color w:val="auto"/>
          <w:kern w:val="0"/>
          <w:sz w:val="24"/>
          <w:highlight w:val="none"/>
          <w:u w:val="single"/>
        </w:rPr>
        <w:t xml:space="preserve">      </w:t>
      </w:r>
      <w:bookmarkEnd w:id="1013"/>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w:t>
      </w:r>
      <w:bookmarkStart w:id="1014" w:name="SOA_zyht_cbryb"/>
      <w:r>
        <w:rPr>
          <w:rFonts w:ascii="宋体" w:hAnsi="宋体"/>
          <w:snapToGrid w:val="0"/>
          <w:color w:val="auto"/>
          <w:kern w:val="0"/>
          <w:sz w:val="24"/>
          <w:highlight w:val="none"/>
          <w:u w:val="single"/>
        </w:rPr>
        <w:t xml:space="preserve">     </w:t>
      </w:r>
      <w:bookmarkEnd w:id="1014"/>
      <w:r>
        <w:rPr>
          <w:rFonts w:hint="eastAsia" w:ascii="宋体" w:hAnsi="宋体"/>
          <w:snapToGrid w:val="0"/>
          <w:color w:val="auto"/>
          <w:kern w:val="0"/>
          <w:sz w:val="24"/>
          <w:highlight w:val="none"/>
          <w:u w:val="single"/>
        </w:rPr>
        <w:t xml:space="preserve">         </w:t>
      </w:r>
    </w:p>
    <w:p>
      <w:pPr>
        <w:spacing w:line="360" w:lineRule="auto"/>
        <w:ind w:right="-420" w:rightChars="-200"/>
        <w:outlineLvl w:val="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7"/>
      <w:bookmarkEnd w:id="398"/>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jc w:val="center"/>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jc w:val="center"/>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jc w:val="center"/>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我方参与（项目名称）【项目编号：（采购编号）】政府采购活动，郑重承诺：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pPr>
        <w:pStyle w:val="36"/>
        <w:snapToGrid w:val="0"/>
        <w:spacing w:line="300" w:lineRule="auto"/>
        <w:jc w:val="left"/>
        <w:rPr>
          <w:rFonts w:hAnsi="宋体" w:cs="宋体"/>
          <w:highlight w:val="none"/>
        </w:rPr>
      </w:pPr>
    </w:p>
    <w:p>
      <w:pPr>
        <w:pStyle w:val="36"/>
        <w:snapToGrid w:val="0"/>
        <w:spacing w:line="300" w:lineRule="auto"/>
        <w:jc w:val="left"/>
        <w:rPr>
          <w:rFonts w:hAnsi="宋体" w:cs="宋体"/>
          <w:highlight w:val="none"/>
        </w:rPr>
      </w:pPr>
    </w:p>
    <w:p>
      <w:pPr>
        <w:rPr>
          <w:rFonts w:ascii="宋体" w:hAnsi="宋体" w:cs="宋体"/>
          <w:kern w:val="0"/>
          <w:sz w:val="36"/>
          <w:szCs w:val="36"/>
          <w:highlight w:val="none"/>
        </w:rPr>
      </w:pPr>
      <w:r>
        <w:rPr>
          <w:rFonts w:ascii="宋体" w:hAnsi="宋体" w:cs="宋体"/>
          <w:kern w:val="0"/>
          <w:sz w:val="36"/>
          <w:szCs w:val="36"/>
          <w:highlight w:val="none"/>
        </w:rPr>
        <w:br w:type="page"/>
      </w:r>
    </w:p>
    <w:p>
      <w:pPr>
        <w:rPr>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pPr>
        <w:snapToGrid/>
        <w:jc w:val="left"/>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br w:type="page"/>
      </w:r>
    </w:p>
    <w:p>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一、响应函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1、我方承诺响应文件有效期从提交响应文件的截止之日起天（不少于120天）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8其它。</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3、我方承诺除商务技术偏离表列出的偏离外，我方响应采购文件的全部要求。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4、如我方成交，我方承诺：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p>
    <w:p>
      <w:pPr>
        <w:snapToGrid w:val="0"/>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jc w:val="center"/>
        <w:rPr>
          <w:rFonts w:ascii="宋体" w:hAnsi="宋体" w:cs="宋体"/>
          <w:b/>
          <w:bCs/>
          <w:sz w:val="32"/>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pPr>
              <w:pStyle w:val="149"/>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pPr>
        <w:widowControl/>
        <w:spacing w:line="360" w:lineRule="auto"/>
        <w:ind w:firstLine="120" w:firstLineChars="50"/>
        <w:jc w:val="left"/>
        <w:rPr>
          <w:rFonts w:ascii="宋体" w:hAnsi="宋体" w:cs="宋体"/>
          <w:sz w:val="24"/>
          <w:highlight w:val="none"/>
        </w:rPr>
      </w:pPr>
      <w:bookmarkStart w:id="1015"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1015"/>
    <w:p>
      <w:pPr>
        <w:snapToGrid w:val="0"/>
        <w:spacing w:line="360" w:lineRule="auto"/>
        <w:rPr>
          <w:rFonts w:ascii="宋体" w:hAnsi="宋体" w:cs="宋体"/>
          <w:kern w:val="0"/>
          <w:sz w:val="24"/>
          <w:highlight w:val="none"/>
        </w:rPr>
      </w:pPr>
    </w:p>
    <w:p>
      <w:pPr>
        <w:snapToGrid w:val="0"/>
        <w:jc w:val="center"/>
        <w:rPr>
          <w:rFonts w:ascii="宋体" w:hAnsi="宋体" w:cs="宋体"/>
          <w:b/>
          <w:bCs/>
          <w:sz w:val="32"/>
          <w:szCs w:val="32"/>
          <w:highlight w:val="none"/>
        </w:r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pPr>
        <w:jc w:val="center"/>
        <w:rPr>
          <w:rFonts w:ascii="宋体" w:hAnsi="宋体" w:cs="宋体"/>
          <w:b/>
          <w:kern w:val="0"/>
          <w:sz w:val="32"/>
          <w:szCs w:val="32"/>
          <w:highlight w:val="none"/>
        </w:rPr>
      </w:pPr>
    </w:p>
    <w:tbl>
      <w:tblPr>
        <w:tblStyle w:val="65"/>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pPr>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pPr>
              <w:rPr>
                <w:rFonts w:ascii="宋体" w:hAnsi="宋体" w:cs="宋体"/>
                <w:sz w:val="24"/>
                <w:highlight w:val="none"/>
              </w:rPr>
            </w:pPr>
            <w:r>
              <w:rPr>
                <w:rFonts w:hint="eastAsia" w:ascii="宋体" w:hAnsi="宋体" w:cs="宋体"/>
                <w:sz w:val="24"/>
                <w:highlight w:val="none"/>
              </w:rPr>
              <w:t>见响应文件</w:t>
            </w:r>
          </w:p>
          <w:p>
            <w:pPr>
              <w:rPr>
                <w:rFonts w:ascii="宋体" w:hAnsi="宋体" w:cs="宋体"/>
                <w:highlight w:val="none"/>
              </w:rPr>
            </w:pPr>
            <w:r>
              <w:rPr>
                <w:rFonts w:hint="eastAsia" w:ascii="宋体" w:hAnsi="宋体" w:cs="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pPr>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sz w:val="24"/>
                <w:highlight w:val="none"/>
              </w:rPr>
            </w:pPr>
            <w:r>
              <w:rPr>
                <w:rFonts w:hint="eastAsia" w:ascii="宋体" w:hAnsi="宋体" w:cs="宋体"/>
                <w:sz w:val="24"/>
                <w:highlight w:val="none"/>
              </w:rPr>
              <w:t>见响应文件</w:t>
            </w:r>
          </w:p>
          <w:p>
            <w:pPr>
              <w:pStyle w:val="4"/>
              <w:spacing w:line="240" w:lineRule="auto"/>
              <w:jc w:val="both"/>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pPr>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pPr>
              <w:rPr>
                <w:rFonts w:ascii="宋体" w:hAnsi="宋体" w:cs="宋体"/>
                <w:highlight w:val="none"/>
              </w:rPr>
            </w:pPr>
            <w:r>
              <w:rPr>
                <w:rFonts w:hint="eastAsia" w:ascii="宋体" w:hAnsi="宋体" w:cs="宋体"/>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highlight w:val="none"/>
              </w:rPr>
            </w:pPr>
            <w:r>
              <w:rPr>
                <w:rFonts w:hint="eastAsia" w:ascii="宋体" w:hAnsi="宋体" w:cs="宋体"/>
                <w:sz w:val="24"/>
                <w:highlight w:val="none"/>
              </w:rPr>
              <w:t>4</w:t>
            </w:r>
          </w:p>
        </w:tc>
        <w:tc>
          <w:tcPr>
            <w:tcW w:w="4991" w:type="dxa"/>
            <w:vAlign w:val="center"/>
          </w:tcPr>
          <w:p>
            <w:pPr>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highlight w:val="none"/>
              </w:rPr>
            </w:pPr>
            <w:r>
              <w:rPr>
                <w:rFonts w:hint="eastAsia" w:ascii="宋体" w:hAnsi="宋体" w:cs="宋体"/>
                <w:sz w:val="24"/>
                <w:highlight w:val="none"/>
              </w:rPr>
              <w:t>见响应文件第页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ind w:right="420"/>
        <w:rPr>
          <w:rFonts w:hAnsi="宋体" w:cs="宋体"/>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sz w:val="24"/>
          <w:highlight w:val="none"/>
        </w:rPr>
        <w:t>注：按本格式和要求提供。</w:t>
      </w:r>
    </w:p>
    <w:p>
      <w:pPr>
        <w:spacing w:before="24" w:after="24"/>
        <w:jc w:val="center"/>
        <w:rPr>
          <w:highlight w:val="none"/>
        </w:rPr>
      </w:pPr>
    </w:p>
    <w:p>
      <w:pPr>
        <w:pStyle w:val="4"/>
        <w:ind w:left="0" w:firstLine="0"/>
        <w:rPr>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4"/>
        </w:numPr>
        <w:snapToGrid w:val="0"/>
        <w:spacing w:line="360" w:lineRule="auto"/>
        <w:rPr>
          <w:rFonts w:hint="eastAsia" w:ascii="宋体" w:hAnsi="宋体" w:cs="宋体"/>
          <w:sz w:val="24"/>
          <w:highlight w:val="none"/>
        </w:rPr>
      </w:pPr>
      <w:r>
        <w:rPr>
          <w:rFonts w:hint="eastAsia" w:ascii="宋体" w:hAnsi="宋体" w:cs="宋体"/>
          <w:sz w:val="24"/>
          <w:highlight w:val="none"/>
        </w:rPr>
        <w:t>报价单…………………………………………………………………………（页码）</w:t>
      </w:r>
    </w:p>
    <w:p>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）已标价工程量清单……………………………………………………………（页码）</w:t>
      </w:r>
    </w:p>
    <w:p>
      <w:pPr>
        <w:pStyle w:val="970"/>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浙江省杭州第四中学</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rPr>
        <w:t>浙江省杭州第四中学国际部教学楼、厕所、屋面等维修项目</w:t>
      </w:r>
      <w:r>
        <w:rPr>
          <w:rFonts w:hint="eastAsia" w:ascii="宋体" w:hAnsi="宋体" w:cs="宋体"/>
          <w:kern w:val="0"/>
          <w:sz w:val="24"/>
          <w:highlight w:val="none"/>
          <w:lang w:val="zh-CN"/>
        </w:rPr>
        <w:t>【项目编号：</w:t>
      </w:r>
      <w:r>
        <w:rPr>
          <w:rFonts w:hint="eastAsia" w:ascii="宋体" w:hAnsi="宋体" w:cs="宋体"/>
          <w:sz w:val="24"/>
          <w:highlight w:val="none"/>
        </w:rPr>
        <w:t>HSZB-2024-480】的实施</w:t>
      </w:r>
      <w:r>
        <w:rPr>
          <w:rFonts w:hint="eastAsia" w:ascii="宋体" w:hAnsi="宋体" w:cs="宋体"/>
          <w:kern w:val="0"/>
          <w:sz w:val="24"/>
          <w:highlight w:val="none"/>
          <w:lang w:val="zh-CN"/>
        </w:rPr>
        <w:t>。</w:t>
      </w:r>
    </w:p>
    <w:p>
      <w:pPr>
        <w:spacing w:line="360" w:lineRule="auto"/>
        <w:jc w:val="right"/>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施工范围</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施工工期</w:t>
            </w:r>
          </w:p>
        </w:tc>
        <w:tc>
          <w:tcPr>
            <w:tcW w:w="255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项目经理</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执业证书信息</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2552"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磋商报价（小写）</w:t>
            </w:r>
          </w:p>
        </w:tc>
        <w:tc>
          <w:tcPr>
            <w:tcW w:w="7655" w:type="dxa"/>
            <w:gridSpan w:val="3"/>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磋商报价（大写）</w:t>
            </w:r>
          </w:p>
        </w:tc>
        <w:tc>
          <w:tcPr>
            <w:tcW w:w="7655" w:type="dxa"/>
            <w:gridSpan w:val="3"/>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pPr>
        <w:pStyle w:val="693"/>
        <w:keepNext w:val="0"/>
        <w:pageBreakBefore/>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、已标价工程量清单</w:t>
      </w:r>
    </w:p>
    <w:p>
      <w:pPr>
        <w:widowControl/>
        <w:spacing w:line="360" w:lineRule="auto"/>
        <w:ind w:firstLine="120" w:firstLineChars="50"/>
        <w:jc w:val="left"/>
        <w:rPr>
          <w:rFonts w:ascii="宋体" w:hAnsi="宋体" w:cs="宋体"/>
          <w:b/>
          <w:sz w:val="24"/>
          <w:highlight w:val="none"/>
        </w:rPr>
      </w:pPr>
      <w:r>
        <w:rPr>
          <w:rFonts w:hint="eastAsia" w:ascii="宋体" w:hAnsi="宋体" w:cs="宋体"/>
          <w:sz w:val="24"/>
          <w:highlight w:val="none"/>
        </w:rPr>
        <w:t>注：按采购文件工程量清单编制</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1016" w:name="_Toc465665161"/>
      <w:r>
        <w:rPr>
          <w:rFonts w:hint="eastAsia" w:ascii="宋体" w:hAnsi="宋体" w:cs="宋体"/>
          <w:highlight w:val="none"/>
        </w:rPr>
        <w:t>附件</w:t>
      </w:r>
      <w:bookmarkEnd w:id="1016"/>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1017" w:name="OLE_LINK14"/>
      <w:bookmarkStart w:id="1018" w:name="OLE_LINK13"/>
      <w:r>
        <w:rPr>
          <w:rFonts w:hint="eastAsia" w:ascii="宋体" w:hAnsi="宋体" w:cs="宋体"/>
          <w:b/>
          <w:spacing w:val="6"/>
          <w:sz w:val="32"/>
          <w:szCs w:val="32"/>
          <w:highlight w:val="none"/>
        </w:rPr>
        <w:t>残疾人福利性单位声明函</w:t>
      </w:r>
    </w:p>
    <w:bookmarkEnd w:id="1017"/>
    <w:bookmarkEnd w:id="1018"/>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pPr>
        <w:snapToGrid w:val="0"/>
        <w:spacing w:line="360" w:lineRule="auto"/>
        <w:rPr>
          <w:rFonts w:ascii="宋体" w:hAnsi="宋体" w:cs="宋体"/>
          <w:sz w:val="24"/>
          <w:highlight w:val="none"/>
        </w:rPr>
      </w:pPr>
      <w:r>
        <w:rPr>
          <w:rFonts w:hint="eastAsia" w:ascii="宋体" w:hAnsi="宋体" w:cs="宋体"/>
          <w:sz w:val="24"/>
          <w:highlight w:val="none"/>
        </w:rPr>
        <w:t>地址：邮编：</w:t>
      </w:r>
    </w:p>
    <w:p>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p>
    <w:p>
      <w:pPr>
        <w:snapToGrid w:val="0"/>
        <w:spacing w:line="360" w:lineRule="auto"/>
        <w:rPr>
          <w:rFonts w:ascii="宋体" w:hAnsi="宋体" w:cs="宋体"/>
          <w:sz w:val="24"/>
          <w:highlight w:val="none"/>
        </w:rPr>
      </w:pPr>
      <w:r>
        <w:rPr>
          <w:rFonts w:hint="eastAsia" w:ascii="宋体" w:hAnsi="宋体" w:cs="宋体"/>
          <w:sz w:val="24"/>
          <w:highlight w:val="none"/>
        </w:rPr>
        <w:t>地址： 邮编：</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pPr>
        <w:snapToGrid w:val="0"/>
        <w:spacing w:line="360" w:lineRule="auto"/>
        <w:rPr>
          <w:rFonts w:ascii="宋体" w:hAnsi="宋体" w:cs="宋体"/>
          <w:sz w:val="24"/>
          <w:highlight w:val="none"/>
          <w:u w:val="dotted"/>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p>
    <w:p>
      <w:pPr>
        <w:spacing w:line="360" w:lineRule="auto"/>
        <w:rPr>
          <w:rFonts w:ascii="宋体" w:hAnsi="宋体" w:cs="宋体"/>
          <w:sz w:val="24"/>
          <w:highlight w:val="none"/>
          <w:u w:val="single"/>
        </w:rPr>
      </w:pPr>
      <w:r>
        <w:rPr>
          <w:rFonts w:hint="eastAsia" w:ascii="宋体" w:hAnsi="宋体" w:cs="宋体"/>
          <w:sz w:val="24"/>
          <w:highlight w:val="none"/>
        </w:rPr>
        <w:t>地     址：邮编：</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址：邮编：</w:t>
      </w:r>
    </w:p>
    <w:p>
      <w:pPr>
        <w:spacing w:line="360" w:lineRule="auto"/>
        <w:rPr>
          <w:rFonts w:ascii="宋体" w:hAnsi="宋体" w:cs="宋体"/>
          <w:sz w:val="24"/>
          <w:highlight w:val="none"/>
          <w:u w:val="single"/>
        </w:rPr>
      </w:pPr>
      <w:r>
        <w:rPr>
          <w:rFonts w:hint="eastAsia" w:ascii="宋体" w:hAnsi="宋体" w:cs="宋体"/>
          <w:sz w:val="24"/>
          <w:highlight w:val="none"/>
        </w:rPr>
        <w:t>被投诉人1：</w:t>
      </w:r>
    </w:p>
    <w:p>
      <w:pPr>
        <w:spacing w:line="360" w:lineRule="auto"/>
        <w:rPr>
          <w:rFonts w:ascii="宋体" w:hAnsi="宋体" w:cs="宋体"/>
          <w:sz w:val="24"/>
          <w:highlight w:val="none"/>
          <w:u w:val="single"/>
        </w:rPr>
      </w:pPr>
      <w:r>
        <w:rPr>
          <w:rFonts w:hint="eastAsia" w:ascii="宋体" w:hAnsi="宋体" w:cs="宋体"/>
          <w:sz w:val="24"/>
          <w:highlight w:val="none"/>
        </w:rPr>
        <w:t>地     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p>
    <w:p>
      <w:pPr>
        <w:spacing w:line="360" w:lineRule="auto"/>
        <w:rPr>
          <w:rFonts w:ascii="宋体" w:hAnsi="宋体" w:cs="宋体"/>
          <w:sz w:val="24"/>
          <w:highlight w:val="none"/>
          <w:u w:val="single"/>
        </w:rPr>
      </w:pPr>
      <w:r>
        <w:rPr>
          <w:rFonts w:hint="eastAsia" w:ascii="宋体" w:hAnsi="宋体" w:cs="宋体"/>
          <w:sz w:val="24"/>
          <w:highlight w:val="none"/>
        </w:rPr>
        <w:t>地     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p>
    <w:p>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pPr>
        <w:spacing w:line="360" w:lineRule="auto"/>
        <w:rPr>
          <w:rFonts w:ascii="宋体" w:hAnsi="宋体" w:cs="宋体"/>
          <w:sz w:val="24"/>
          <w:highlight w:val="none"/>
        </w:rPr>
      </w:pPr>
      <w:r>
        <w:rPr>
          <w:rFonts w:hint="eastAsia" w:ascii="宋体" w:hAnsi="宋体" w:cs="宋体"/>
          <w:sz w:val="24"/>
          <w:highlight w:val="none"/>
        </w:rPr>
        <w:t>采购人名称：</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pPr>
        <w:spacing w:line="360" w:lineRule="auto"/>
        <w:rPr>
          <w:rFonts w:ascii="宋体" w:hAnsi="宋体" w:cs="宋体"/>
          <w:sz w:val="24"/>
          <w:highlight w:val="none"/>
          <w:u w:val="dotted"/>
        </w:rPr>
      </w:pP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p>
    <w:p>
      <w:pPr>
        <w:spacing w:line="360" w:lineRule="auto"/>
        <w:rPr>
          <w:rFonts w:ascii="宋体" w:hAnsi="宋体" w:cs="宋体"/>
          <w:sz w:val="24"/>
          <w:highlight w:val="none"/>
        </w:rPr>
      </w:pPr>
      <w:r>
        <w:rPr>
          <w:rFonts w:hint="eastAsia" w:ascii="宋体" w:hAnsi="宋体" w:cs="宋体"/>
          <w:sz w:val="24"/>
          <w:highlight w:val="none"/>
        </w:rPr>
        <w:t>事实依据：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u w:val="single"/>
        </w:rPr>
      </w:pPr>
      <w:r>
        <w:rPr>
          <w:rFonts w:hint="eastAsia" w:ascii="宋体" w:hAnsi="宋体" w:cs="宋体"/>
          <w:sz w:val="24"/>
          <w:highlight w:val="none"/>
        </w:rPr>
        <w:t>法律依据：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你方组织的（项目名称）项目【项目编号：（采购编号）】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pPr>
        <w:snapToGrid w:val="0"/>
        <w:spacing w:line="360" w:lineRule="auto"/>
        <w:ind w:firstLine="576"/>
        <w:rPr>
          <w:rFonts w:ascii="宋体" w:hAnsi="宋体" w:cs="宋体"/>
          <w:kern w:val="0"/>
          <w:sz w:val="24"/>
          <w:highlight w:val="none"/>
          <w:lang w:val="zh-CN"/>
        </w:rPr>
      </w:pPr>
      <w:bookmarkStart w:id="1019"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1019"/>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36"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spacing w:line="336" w:lineRule="auto"/>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36"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36"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1020" w:name="_Hlk101133173"/>
      <w:r>
        <w:rPr>
          <w:rFonts w:hint="eastAsia" w:ascii="宋体" w:hAnsi="宋体" w:cs="宋体"/>
          <w:sz w:val="24"/>
          <w:highlight w:val="none"/>
        </w:rPr>
        <w:t>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1020"/>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36" w:lineRule="auto"/>
        <w:ind w:firstLine="576"/>
        <w:rPr>
          <w:rFonts w:ascii="宋体" w:hAnsi="宋体" w:cs="宋体"/>
          <w:highlight w:val="none"/>
          <w:u w:val="single"/>
        </w:rPr>
      </w:pPr>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36" w:lineRule="auto"/>
        <w:ind w:firstLine="576"/>
        <w:rPr>
          <w:rFonts w:ascii="宋体" w:hAnsi="宋体" w:cs="宋体"/>
          <w:kern w:val="0"/>
          <w:sz w:val="24"/>
          <w:highlight w:val="none"/>
          <w:lang w:val="zh-CN"/>
        </w:rPr>
      </w:pPr>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36" w:lineRule="auto"/>
        <w:ind w:left="573" w:leftChars="273"/>
        <w:rPr>
          <w:rFonts w:ascii="宋体" w:hAnsi="宋体" w:cs="宋体"/>
          <w:kern w:val="0"/>
          <w:sz w:val="24"/>
          <w:highlight w:val="none"/>
          <w:lang w:val="zh-CN"/>
        </w:rPr>
      </w:pPr>
    </w:p>
    <w:p>
      <w:pPr>
        <w:snapToGrid w:val="0"/>
        <w:spacing w:line="336"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36" w:lineRule="auto"/>
        <w:ind w:firstLine="576"/>
        <w:rPr>
          <w:rFonts w:ascii="宋体" w:hAnsi="宋体" w:cs="宋体"/>
          <w:kern w:val="0"/>
          <w:sz w:val="24"/>
          <w:highlight w:val="none"/>
          <w:lang w:val="zh-CN"/>
        </w:rPr>
      </w:pPr>
    </w:p>
    <w:p>
      <w:pPr>
        <w:snapToGrid w:val="0"/>
        <w:spacing w:line="33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36" w:lineRule="auto"/>
        <w:ind w:firstLine="576"/>
        <w:rPr>
          <w:rFonts w:ascii="宋体" w:hAnsi="宋体" w:cs="宋体"/>
          <w:kern w:val="0"/>
          <w:sz w:val="24"/>
          <w:highlight w:val="none"/>
          <w:lang w:val="zh-CN"/>
        </w:rPr>
      </w:pP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firstLine="480" w:firstLineChars="200"/>
        <w:rPr>
          <w:rFonts w:ascii="宋体" w:hAnsi="宋体" w:cs="宋体"/>
          <w:sz w:val="24"/>
          <w:highlight w:val="none"/>
        </w:rPr>
      </w:pP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rPr>
          <w:rFonts w:ascii="宋体" w:hAnsi="宋体" w:cs="宋体"/>
          <w:bCs/>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附件8：工程量清单（另附）</w:t>
      </w:r>
    </w:p>
    <w:p>
      <w:pPr>
        <w:spacing w:line="360" w:lineRule="auto"/>
        <w:rPr>
          <w:rFonts w:ascii="宋体" w:hAnsi="宋体" w:cs="宋体"/>
          <w:b/>
          <w:spacing w:val="6"/>
          <w:sz w:val="32"/>
          <w:szCs w:val="32"/>
          <w:highlight w:val="none"/>
        </w:rPr>
      </w:pP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附件9：图纸（另附）</w:t>
      </w:r>
    </w:p>
    <w:p>
      <w:pPr>
        <w:pStyle w:val="28"/>
        <w:ind w:firstLine="0" w:firstLineChars="0"/>
        <w:rPr>
          <w:highlight w:val="none"/>
        </w:rPr>
        <w:sectPr>
          <w:pgSz w:w="11906" w:h="16838"/>
          <w:pgMar w:top="1440" w:right="1080" w:bottom="1440" w:left="1080" w:header="851" w:footer="992" w:gutter="0"/>
          <w:cols w:space="720" w:num="1"/>
          <w:titlePg/>
          <w:docGrid w:linePitch="312" w:charSpace="0"/>
        </w:sectPr>
      </w:pPr>
    </w:p>
    <w:p>
      <w:pPr>
        <w:pStyle w:val="5"/>
        <w:numPr>
          <w:ilvl w:val="255"/>
          <w:numId w:val="0"/>
        </w:numPr>
        <w:rPr>
          <w:rFonts w:ascii="宋体" w:hAnsi="宋体" w:cs="宋体"/>
          <w:highlight w:val="none"/>
        </w:rPr>
      </w:pPr>
      <w:bookmarkStart w:id="1021" w:name="_Toc24471815"/>
      <w:bookmarkStart w:id="1022" w:name="_Toc7542913"/>
      <w:bookmarkStart w:id="1023" w:name="_Toc7664194"/>
      <w:bookmarkStart w:id="1024" w:name="_Toc7492525"/>
      <w:bookmarkStart w:id="1025" w:name="_Toc7574702"/>
      <w:bookmarkStart w:id="1026" w:name="_Toc7488756"/>
      <w:bookmarkStart w:id="1027" w:name="_Toc25765007"/>
      <w:bookmarkStart w:id="1028" w:name="_Toc7988472"/>
      <w:bookmarkStart w:id="1029" w:name="_Toc17428346"/>
      <w:bookmarkStart w:id="1030" w:name="_Toc7988418"/>
      <w:bookmarkStart w:id="1031" w:name="_Toc7663594"/>
      <w:bookmarkStart w:id="1032" w:name="_Toc20358289"/>
      <w:bookmarkStart w:id="1033" w:name="_Toc7993638"/>
      <w:bookmarkStart w:id="1034" w:name="_Toc10432455"/>
      <w:bookmarkStart w:id="1035" w:name="_Toc8007002"/>
      <w:bookmarkStart w:id="1036" w:name="_Toc7668947"/>
      <w:bookmarkStart w:id="1037" w:name="_Toc17428251"/>
      <w:bookmarkStart w:id="1038" w:name="_Toc532440701"/>
      <w:bookmarkStart w:id="1039" w:name="_Toc522417531"/>
      <w:bookmarkStart w:id="1040" w:name="_Toc522830351"/>
      <w:bookmarkStart w:id="1041" w:name="_Toc4649580"/>
      <w:bookmarkStart w:id="1042" w:name="_Toc2002574"/>
      <w:r>
        <w:rPr>
          <w:rFonts w:hint="eastAsia" w:ascii="宋体" w:hAnsi="宋体" w:cs="宋体"/>
          <w:highlight w:val="none"/>
        </w:rPr>
        <w:t>其它</w:t>
      </w:r>
    </w:p>
    <w:p>
      <w:pPr>
        <w:pStyle w:val="36"/>
        <w:rPr>
          <w:rFonts w:hAnsi="宋体" w:cs="宋体"/>
          <w:highlight w:val="none"/>
        </w:rPr>
      </w:pPr>
      <w:r>
        <w:rPr>
          <w:rFonts w:hint="eastAsia" w:hAnsi="宋体" w:cs="宋体"/>
          <w:highlight w:val="none"/>
        </w:rPr>
        <w:t>（以下文件及规定如与最新规定不一致，以最新发布的为准）</w:t>
      </w:r>
    </w:p>
    <w:p>
      <w:pPr>
        <w:pStyle w:val="5"/>
        <w:rPr>
          <w:rFonts w:ascii="宋体" w:hAnsi="宋体" w:cs="宋体"/>
          <w:highlight w:val="none"/>
        </w:rPr>
      </w:pPr>
      <w:r>
        <w:rPr>
          <w:rFonts w:hint="eastAsia" w:ascii="宋体" w:hAnsi="宋体" w:cs="宋体"/>
          <w:highlight w:val="none"/>
        </w:rPr>
        <w:t>关于调整优化节能产品、环境标志产品政府采购执行机制的通知（财库[2019]9号）</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tbl>
      <w:tblPr>
        <w:tblStyle w:val="65"/>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spacing w:line="360" w:lineRule="auto"/>
              <w:jc w:val="center"/>
              <w:rPr>
                <w:rFonts w:ascii="宋体" w:hAnsi="宋体" w:cs="宋体"/>
                <w:b/>
                <w:sz w:val="24"/>
                <w:highlight w:val="none"/>
              </w:rPr>
            </w:pPr>
            <w:r>
              <w:rPr>
                <w:rFonts w:hint="eastAsia" w:ascii="宋体" w:hAnsi="宋体" w:cs="宋体"/>
                <w:b/>
                <w:sz w:val="24"/>
                <w:highlight w:val="none"/>
              </w:rPr>
              <w:t>财政部 发展改革委 生态环境部 市场监管总局</w:t>
            </w:r>
          </w:p>
          <w:p>
            <w:pPr>
              <w:spacing w:line="360" w:lineRule="auto"/>
              <w:jc w:val="center"/>
              <w:rPr>
                <w:rFonts w:ascii="宋体" w:hAnsi="宋体" w:cs="宋体"/>
                <w:b/>
                <w:sz w:val="24"/>
                <w:highlight w:val="none"/>
              </w:rPr>
            </w:pPr>
            <w:r>
              <w:rPr>
                <w:rFonts w:hint="eastAsia" w:ascii="宋体" w:hAnsi="宋体" w:cs="宋体"/>
                <w:b/>
                <w:sz w:val="24"/>
                <w:highlight w:val="none"/>
              </w:rPr>
              <w:t>关于调整优化节能产品、环境标志产品政府采购执行机制的通知</w:t>
            </w:r>
          </w:p>
          <w:p>
            <w:pPr>
              <w:spacing w:line="360" w:lineRule="auto"/>
              <w:jc w:val="center"/>
              <w:rPr>
                <w:rFonts w:ascii="宋体" w:hAnsi="宋体" w:cs="宋体"/>
                <w:b/>
                <w:sz w:val="24"/>
                <w:highlight w:val="none"/>
              </w:rPr>
            </w:pPr>
            <w:r>
              <w:rPr>
                <w:rFonts w:hint="eastAsia" w:ascii="宋体" w:hAnsi="宋体" w:cs="宋体"/>
                <w:b/>
                <w:sz w:val="24"/>
                <w:highlight w:val="none"/>
              </w:rPr>
              <w:t>财库〔2019〕9号</w:t>
            </w:r>
          </w:p>
          <w:p>
            <w:pPr>
              <w:spacing w:line="360" w:lineRule="auto"/>
              <w:jc w:val="center"/>
              <w:rPr>
                <w:rFonts w:ascii="宋体" w:hAnsi="宋体" w:cs="宋体"/>
                <w:b/>
                <w:sz w:val="24"/>
                <w:highlight w:val="none"/>
              </w:rPr>
            </w:pPr>
          </w:p>
          <w:p>
            <w:pPr>
              <w:spacing w:line="360" w:lineRule="auto"/>
              <w:ind w:firstLine="487"/>
              <w:rPr>
                <w:rFonts w:ascii="宋体" w:hAnsi="宋体" w:cs="宋体"/>
                <w:b/>
                <w:sz w:val="24"/>
                <w:highlight w:val="none"/>
              </w:rPr>
            </w:pPr>
            <w:r>
              <w:rPr>
                <w:rFonts w:hint="eastAsia" w:ascii="宋体" w:hAnsi="宋体" w:cs="宋体"/>
                <w:b/>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spacing w:line="360" w:lineRule="auto"/>
              <w:ind w:firstLine="424" w:firstLineChars="177"/>
              <w:rPr>
                <w:rFonts w:ascii="宋体" w:hAnsi="宋体" w:cs="宋体"/>
                <w:sz w:val="24"/>
                <w:highlight w:val="none"/>
              </w:rPr>
            </w:pPr>
            <w:r>
              <w:rPr>
                <w:rFonts w:hint="eastAsia" w:ascii="宋体" w:hAnsi="宋体" w:cs="宋体"/>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一、对政府采购节能产品、环境标志产品实施品目清单管理。</w:t>
            </w:r>
            <w:r>
              <w:rPr>
                <w:rFonts w:hint="eastAsia" w:ascii="宋体" w:hAnsi="宋体" w:cs="宋体"/>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二、依据品目清单和认证证书实施政府优先采购和强制采购。</w:t>
            </w:r>
            <w:r>
              <w:rPr>
                <w:rFonts w:hint="eastAsia" w:ascii="宋体" w:hAnsi="宋体" w:cs="宋体"/>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三、逐步扩大节能产品、环境标志产品认证机构范围。</w:t>
            </w:r>
            <w:r>
              <w:rPr>
                <w:rFonts w:hint="eastAsia" w:ascii="宋体" w:hAnsi="宋体" w:cs="宋体"/>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四、发布认证机构和获证产品信息。</w:t>
            </w:r>
            <w:r>
              <w:rPr>
                <w:rFonts w:hint="eastAsia" w:ascii="宋体" w:hAnsi="宋体" w:cs="宋体"/>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五、加大政府绿色采购力度。</w:t>
            </w:r>
            <w:r>
              <w:rPr>
                <w:rFonts w:hint="eastAsia" w:ascii="宋体" w:hAnsi="宋体" w:cs="宋体"/>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6" w:firstLineChars="177"/>
              <w:rPr>
                <w:rFonts w:ascii="宋体" w:hAnsi="宋体" w:cs="宋体"/>
                <w:sz w:val="24"/>
                <w:highlight w:val="none"/>
              </w:rPr>
            </w:pPr>
            <w:r>
              <w:rPr>
                <w:rFonts w:hint="eastAsia" w:ascii="宋体" w:hAnsi="宋体" w:cs="宋体"/>
                <w:b/>
                <w:sz w:val="24"/>
                <w:highlight w:val="none"/>
              </w:rPr>
              <w:t>六、本通知自2019年4月1日起执行。</w:t>
            </w:r>
            <w:r>
              <w:rPr>
                <w:rFonts w:hint="eastAsia" w:ascii="宋体" w:hAnsi="宋体" w:cs="宋体"/>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spacing w:line="360" w:lineRule="auto"/>
              <w:jc w:val="right"/>
              <w:rPr>
                <w:rFonts w:ascii="宋体" w:hAnsi="宋体" w:cs="宋体"/>
                <w:sz w:val="24"/>
                <w:highlight w:val="none"/>
              </w:rPr>
            </w:pPr>
            <w:r>
              <w:rPr>
                <w:rFonts w:hint="eastAsia" w:ascii="宋体" w:hAnsi="宋体" w:cs="宋体"/>
                <w:sz w:val="24"/>
                <w:highlight w:val="none"/>
              </w:rPr>
              <w:t>财政部 发展改革委 生态环境部 市场监管总局</w:t>
            </w:r>
          </w:p>
          <w:p>
            <w:pPr>
              <w:spacing w:line="360" w:lineRule="auto"/>
              <w:jc w:val="right"/>
              <w:rPr>
                <w:rFonts w:ascii="宋体" w:hAnsi="宋体" w:cs="宋体"/>
                <w:kern w:val="0"/>
                <w:sz w:val="30"/>
                <w:szCs w:val="30"/>
                <w:highlight w:val="none"/>
              </w:rPr>
            </w:pPr>
            <w:r>
              <w:rPr>
                <w:rFonts w:hint="eastAsia" w:ascii="宋体" w:hAnsi="宋体" w:cs="宋体"/>
                <w:sz w:val="24"/>
                <w:highlight w:val="none"/>
              </w:rPr>
              <w:t>2019年2月1日</w:t>
            </w:r>
          </w:p>
        </w:tc>
      </w:tr>
    </w:tbl>
    <w:p>
      <w:pPr>
        <w:widowControl/>
        <w:shd w:val="clear" w:color="auto" w:fill="FFFFFF"/>
        <w:spacing w:line="360" w:lineRule="auto"/>
        <w:jc w:val="center"/>
        <w:textAlignment w:val="baseline"/>
        <w:rPr>
          <w:rFonts w:ascii="宋体" w:hAnsi="宋体" w:cs="宋体"/>
          <w:kern w:val="0"/>
          <w:sz w:val="30"/>
          <w:szCs w:val="30"/>
          <w:highlight w:val="none"/>
        </w:rPr>
      </w:pPr>
    </w:p>
    <w:p>
      <w:pPr>
        <w:widowControl/>
        <w:spacing w:line="360" w:lineRule="auto"/>
        <w:jc w:val="right"/>
        <w:rPr>
          <w:rFonts w:ascii="宋体" w:hAnsi="宋体" w:cs="宋体"/>
          <w:kern w:val="0"/>
          <w:sz w:val="24"/>
          <w:szCs w:val="28"/>
          <w:highlight w:val="none"/>
        </w:rPr>
      </w:pPr>
    </w:p>
    <w:p>
      <w:pPr>
        <w:pStyle w:val="5"/>
        <w:rPr>
          <w:rFonts w:ascii="宋体" w:hAnsi="宋体" w:cs="宋体"/>
          <w:szCs w:val="28"/>
          <w:highlight w:val="none"/>
        </w:rPr>
      </w:pPr>
      <w:r>
        <w:rPr>
          <w:rFonts w:hint="eastAsia" w:ascii="宋体" w:hAnsi="宋体" w:cs="宋体"/>
          <w:szCs w:val="28"/>
          <w:highlight w:val="none"/>
        </w:rPr>
        <w:br w:type="page"/>
      </w:r>
      <w:bookmarkStart w:id="1043" w:name="_Toc7663595"/>
      <w:bookmarkStart w:id="1044" w:name="_Toc7488757"/>
      <w:bookmarkStart w:id="1045" w:name="_Toc7988473"/>
      <w:bookmarkStart w:id="1046" w:name="_Toc24471816"/>
      <w:bookmarkStart w:id="1047" w:name="_Toc7668948"/>
      <w:bookmarkStart w:id="1048" w:name="_Toc7993639"/>
      <w:bookmarkStart w:id="1049" w:name="_Toc7988419"/>
      <w:bookmarkStart w:id="1050" w:name="_Toc17428252"/>
      <w:bookmarkStart w:id="1051" w:name="_Toc8007003"/>
      <w:bookmarkStart w:id="1052" w:name="_Toc7492526"/>
      <w:bookmarkStart w:id="1053" w:name="_Toc25765008"/>
      <w:bookmarkStart w:id="1054" w:name="_Toc7542914"/>
      <w:bookmarkStart w:id="1055" w:name="_Toc17428347"/>
      <w:bookmarkStart w:id="1056" w:name="_Toc20358290"/>
      <w:bookmarkStart w:id="1057" w:name="_Toc7664195"/>
      <w:bookmarkStart w:id="1058" w:name="_Toc10432456"/>
      <w:bookmarkStart w:id="1059" w:name="_Toc7574703"/>
      <w:r>
        <w:rPr>
          <w:rFonts w:hint="eastAsia" w:ascii="宋体" w:hAnsi="宋体" w:cs="宋体"/>
          <w:highlight w:val="none"/>
        </w:rPr>
        <w:t>关于印发节能产品政府采购品目清单的通知（财库〔2019〕19号）</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tbl>
      <w:tblPr>
        <w:tblStyle w:val="65"/>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widowControl/>
              <w:spacing w:line="360" w:lineRule="auto"/>
              <w:jc w:val="center"/>
              <w:rPr>
                <w:rFonts w:ascii="宋体" w:hAnsi="宋体" w:cs="宋体"/>
                <w:b/>
                <w:kern w:val="0"/>
                <w:sz w:val="32"/>
                <w:highlight w:val="none"/>
              </w:rPr>
            </w:pPr>
            <w:r>
              <w:rPr>
                <w:rFonts w:hint="eastAsia" w:ascii="宋体" w:hAnsi="宋体" w:cs="宋体"/>
                <w:b/>
                <w:kern w:val="0"/>
                <w:sz w:val="32"/>
                <w:highlight w:val="none"/>
              </w:rPr>
              <w:t>关于印发节能产品政府采购品目清单的通知</w:t>
            </w:r>
          </w:p>
          <w:p>
            <w:pPr>
              <w:widowControl/>
              <w:spacing w:line="360" w:lineRule="auto"/>
              <w:jc w:val="center"/>
              <w:rPr>
                <w:rFonts w:ascii="宋体" w:hAnsi="宋体" w:cs="宋体"/>
                <w:kern w:val="0"/>
                <w:sz w:val="28"/>
                <w:highlight w:val="none"/>
              </w:rPr>
            </w:pPr>
            <w:r>
              <w:rPr>
                <w:rFonts w:hint="eastAsia" w:ascii="宋体" w:hAnsi="宋体" w:cs="宋体"/>
                <w:b/>
                <w:kern w:val="0"/>
                <w:sz w:val="32"/>
                <w:highlight w:val="none"/>
              </w:rPr>
              <w:t>财库〔2019〕19号</w:t>
            </w:r>
          </w:p>
          <w:p>
            <w:pPr>
              <w:widowControl/>
              <w:spacing w:line="360" w:lineRule="auto"/>
              <w:jc w:val="center"/>
              <w:rPr>
                <w:rFonts w:ascii="宋体" w:hAnsi="宋体" w:cs="宋体"/>
                <w:kern w:val="0"/>
                <w:sz w:val="28"/>
                <w:highlight w:val="none"/>
              </w:rPr>
            </w:pPr>
          </w:p>
          <w:p>
            <w:pPr>
              <w:widowControl/>
              <w:spacing w:line="360" w:lineRule="auto"/>
              <w:jc w:val="left"/>
              <w:rPr>
                <w:rFonts w:ascii="宋体" w:hAnsi="宋体" w:cs="宋体"/>
                <w:b/>
                <w:kern w:val="0"/>
                <w:sz w:val="28"/>
                <w:highlight w:val="none"/>
              </w:rPr>
            </w:pPr>
            <w:r>
              <w:rPr>
                <w:rFonts w:hint="eastAsia" w:ascii="宋体" w:hAnsi="宋体" w:cs="宋体"/>
                <w:b/>
                <w:kern w:val="0"/>
                <w:sz w:val="28"/>
                <w:highlight w:val="none"/>
              </w:rPr>
              <w:t>有关中央预算单位，各省、自治区、直辖市、计划单列市财政厅（局）、发展改革委（经信委、工信委、工信厅、经信局），新疆生产建设兵团财政局、发展改革委：</w:t>
            </w:r>
          </w:p>
          <w:p>
            <w:pPr>
              <w:widowControl/>
              <w:spacing w:line="360" w:lineRule="auto"/>
              <w:jc w:val="left"/>
              <w:rPr>
                <w:rFonts w:ascii="宋体" w:hAnsi="宋体" w:cs="宋体"/>
                <w:kern w:val="0"/>
                <w:sz w:val="28"/>
                <w:highlight w:val="none"/>
              </w:rPr>
            </w:pPr>
          </w:p>
          <w:p>
            <w:pPr>
              <w:widowControl/>
              <w:spacing w:line="360" w:lineRule="auto"/>
              <w:ind w:firstLine="565" w:firstLineChars="202"/>
              <w:jc w:val="left"/>
              <w:rPr>
                <w:rFonts w:ascii="宋体" w:hAnsi="宋体" w:cs="宋体"/>
                <w:kern w:val="0"/>
                <w:sz w:val="28"/>
                <w:highlight w:val="none"/>
              </w:rPr>
            </w:pPr>
            <w:r>
              <w:rPr>
                <w:rFonts w:hint="eastAsia" w:ascii="宋体" w:hAnsi="宋体" w:cs="宋体"/>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r>
              <w:rPr>
                <w:rFonts w:hint="eastAsia" w:ascii="宋体" w:hAnsi="宋体" w:cs="宋体"/>
                <w:kern w:val="0"/>
                <w:sz w:val="28"/>
                <w:highlight w:val="none"/>
              </w:rPr>
              <w:t>附件：节能产品政府采购品目清单</w:t>
            </w:r>
          </w:p>
          <w:p>
            <w:pPr>
              <w:widowControl/>
              <w:spacing w:line="360" w:lineRule="auto"/>
              <w:jc w:val="left"/>
              <w:rPr>
                <w:rFonts w:ascii="宋体" w:hAnsi="宋体" w:cs="宋体"/>
                <w:kern w:val="0"/>
                <w:sz w:val="28"/>
                <w:highlight w:val="none"/>
              </w:rPr>
            </w:pPr>
          </w:p>
          <w:p>
            <w:pPr>
              <w:widowControl/>
              <w:spacing w:line="360" w:lineRule="auto"/>
              <w:jc w:val="left"/>
              <w:rPr>
                <w:rFonts w:ascii="宋体" w:hAnsi="宋体" w:cs="宋体"/>
                <w:kern w:val="0"/>
                <w:sz w:val="28"/>
                <w:highlight w:val="none"/>
              </w:rPr>
            </w:pPr>
          </w:p>
          <w:p>
            <w:pPr>
              <w:widowControl/>
              <w:spacing w:line="360" w:lineRule="auto"/>
              <w:jc w:val="right"/>
              <w:rPr>
                <w:rFonts w:ascii="宋体" w:hAnsi="宋体" w:cs="宋体"/>
                <w:kern w:val="0"/>
                <w:sz w:val="28"/>
                <w:highlight w:val="none"/>
              </w:rPr>
            </w:pPr>
            <w:r>
              <w:rPr>
                <w:rFonts w:hint="eastAsia" w:ascii="宋体" w:hAnsi="宋体" w:cs="宋体"/>
                <w:kern w:val="0"/>
                <w:sz w:val="28"/>
                <w:highlight w:val="none"/>
              </w:rPr>
              <w:t>财政部  发展改革委</w:t>
            </w:r>
          </w:p>
          <w:p>
            <w:pPr>
              <w:widowControl/>
              <w:spacing w:line="360" w:lineRule="auto"/>
              <w:jc w:val="right"/>
              <w:rPr>
                <w:rFonts w:ascii="宋体" w:hAnsi="宋体" w:cs="宋体"/>
                <w:b/>
                <w:kern w:val="0"/>
                <w:sz w:val="32"/>
                <w:highlight w:val="none"/>
              </w:rPr>
            </w:pPr>
            <w:r>
              <w:rPr>
                <w:rFonts w:hint="eastAsia" w:ascii="宋体" w:hAnsi="宋体" w:cs="宋体"/>
                <w:kern w:val="0"/>
                <w:sz w:val="28"/>
                <w:highlight w:val="none"/>
              </w:rPr>
              <w:t>2019年4月2日</w:t>
            </w:r>
          </w:p>
        </w:tc>
      </w:tr>
    </w:tbl>
    <w:p>
      <w:pPr>
        <w:widowControl/>
        <w:spacing w:line="360" w:lineRule="auto"/>
        <w:jc w:val="center"/>
        <w:rPr>
          <w:rFonts w:ascii="宋体" w:hAnsi="宋体" w:cs="宋体"/>
          <w:b/>
          <w:kern w:val="0"/>
          <w:sz w:val="32"/>
          <w:highlight w:val="none"/>
        </w:rPr>
      </w:pPr>
    </w:p>
    <w:p>
      <w:pPr>
        <w:widowControl/>
        <w:spacing w:line="360" w:lineRule="auto"/>
        <w:jc w:val="right"/>
        <w:rPr>
          <w:rFonts w:ascii="宋体" w:hAnsi="宋体" w:cs="宋体"/>
          <w:highlight w:val="none"/>
        </w:rPr>
      </w:pPr>
    </w:p>
    <w:p>
      <w:pPr>
        <w:keepNext/>
        <w:widowControl/>
        <w:adjustRightInd/>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附：节能产品政府采购品目清单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品目序号</w:t>
            </w:r>
          </w:p>
        </w:tc>
        <w:tc>
          <w:tcPr>
            <w:tcW w:w="5949" w:type="dxa"/>
            <w:gridSpan w:val="3"/>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名称</w:t>
            </w:r>
          </w:p>
        </w:tc>
        <w:tc>
          <w:tcPr>
            <w:tcW w:w="3301"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A020101计算机设备</w:t>
            </w: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A02010104台式计算机</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A02010105便携式计算</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A02010107平板式微型计算机</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A020106输入输出设备</w:t>
            </w:r>
          </w:p>
        </w:tc>
        <w:tc>
          <w:tcPr>
            <w:tcW w:w="2209"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A02010601打印设备</w:t>
            </w:r>
          </w:p>
        </w:tc>
        <w:tc>
          <w:tcPr>
            <w:tcW w:w="1807" w:type="dxa"/>
            <w:vAlign w:val="center"/>
          </w:tcPr>
          <w:p>
            <w:pPr>
              <w:jc w:val="left"/>
              <w:rPr>
                <w:rFonts w:ascii="宋体" w:hAnsi="宋体" w:cs="宋体"/>
                <w:w w:val="90"/>
                <w:szCs w:val="21"/>
                <w:highlight w:val="none"/>
              </w:rPr>
            </w:pPr>
            <w:r>
              <w:rPr>
                <w:rFonts w:hint="eastAsia" w:ascii="宋体" w:hAnsi="宋体" w:cs="宋体"/>
                <w:b/>
                <w:bCs/>
                <w:w w:val="90"/>
                <w:szCs w:val="21"/>
                <w:highlight w:val="none"/>
              </w:rPr>
              <w:t>A0201060101喷墨打印机</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A0201060102激光打印机</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A0201060104针式打印机</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A02010604显示设备</w:t>
            </w:r>
          </w:p>
        </w:tc>
        <w:tc>
          <w:tcPr>
            <w:tcW w:w="1807"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A0201060401液晶显示器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A02010609图形图像输入设备</w:t>
            </w: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A0201060901扫描仪</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3</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A020202投影仪</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4</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A020204352多功能一体机</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5</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A020519泵</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A02051901离心泵</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6</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A020523制冷空调设备</w:t>
            </w:r>
          </w:p>
        </w:tc>
        <w:tc>
          <w:tcPr>
            <w:tcW w:w="2209"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A02052301制冷压缩机</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冷水机组</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水源热泵机组</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溴化锂吸收式冷水机组</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A02052305空调机组</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多联式空调（热泵）机组(制冷量&gt;14000W)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单元式空气调节机(制冷量&gt;14000W)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A02052309专用制冷、空调设备</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机房空调</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A02052399其他制冷空调设备</w:t>
            </w: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冷却塔</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《机械通风冷却塔 第 1 部分：中小型开式冷却塔》（GB/T 7190.1）</w:t>
            </w:r>
          </w:p>
          <w:p>
            <w:pPr>
              <w:jc w:val="left"/>
              <w:rPr>
                <w:rFonts w:ascii="宋体" w:hAnsi="宋体" w:cs="宋体"/>
                <w:w w:val="90"/>
                <w:szCs w:val="21"/>
                <w:highlight w:val="none"/>
              </w:rPr>
            </w:pPr>
            <w:r>
              <w:rPr>
                <w:rFonts w:hint="eastAsia" w:ascii="宋体" w:hAnsi="宋体" w:cs="宋体"/>
                <w:w w:val="90"/>
                <w:szCs w:val="21"/>
                <w:highlight w:val="none"/>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7</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A020601电机</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8</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A020602变压器</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配电变压器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9</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A020609镇流器</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管型荧光灯镇流器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10</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A020618 生活用电器</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A0206180101电冰箱</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《家用电冰箱耗电量限定值及能效等级》（GB</w:t>
            </w:r>
            <w:r>
              <w:rPr>
                <w:rFonts w:hint="eastAsia" w:ascii="宋体" w:hAnsi="宋体" w:cs="宋体"/>
                <w:w w:val="90"/>
                <w:szCs w:val="21"/>
                <w:highlight w:val="none"/>
              </w:rPr>
              <w:tab/>
            </w:r>
            <w:r>
              <w:rPr>
                <w:rFonts w:hint="eastAsia" w:ascii="宋体" w:hAnsi="宋体" w:cs="宋体"/>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A0206180203空调机</w:t>
            </w: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房间空气调节器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多联式空调（热泵）机组（制冷量≤ 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b/>
                <w:w w:val="90"/>
                <w:szCs w:val="21"/>
                <w:highlight w:val="none"/>
              </w:rPr>
            </w:pPr>
          </w:p>
        </w:tc>
        <w:tc>
          <w:tcPr>
            <w:tcW w:w="1807"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单元式空气调节机(制冷量≤14000W)</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A0206180301洗衣机</w:t>
            </w:r>
          </w:p>
        </w:tc>
        <w:tc>
          <w:tcPr>
            <w:tcW w:w="1807" w:type="dxa"/>
            <w:vAlign w:val="center"/>
          </w:tcPr>
          <w:p>
            <w:pPr>
              <w:jc w:val="left"/>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A02061808热水器</w:t>
            </w: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电热水器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燃气热水器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热泵热水器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Merge w:val="continue"/>
            <w:vAlign w:val="center"/>
          </w:tcPr>
          <w:p>
            <w:pPr>
              <w:jc w:val="left"/>
              <w:rPr>
                <w:rFonts w:ascii="宋体" w:hAnsi="宋体" w:cs="宋体"/>
                <w:w w:val="90"/>
                <w:szCs w:val="21"/>
                <w:highlight w:val="none"/>
              </w:rPr>
            </w:pPr>
          </w:p>
        </w:tc>
        <w:tc>
          <w:tcPr>
            <w:tcW w:w="1807" w:type="dxa"/>
            <w:vAlign w:val="center"/>
          </w:tcPr>
          <w:p>
            <w:pPr>
              <w:jc w:val="left"/>
              <w:rPr>
                <w:rFonts w:ascii="宋体" w:hAnsi="宋体" w:cs="宋体"/>
                <w:w w:val="90"/>
                <w:szCs w:val="21"/>
                <w:highlight w:val="none"/>
              </w:rPr>
            </w:pPr>
            <w:r>
              <w:rPr>
                <w:rFonts w:hint="eastAsia" w:ascii="宋体" w:hAnsi="宋体" w:cs="宋体"/>
                <w:w w:val="90"/>
                <w:szCs w:val="21"/>
                <w:highlight w:val="none"/>
              </w:rPr>
              <w:t>太阳能热水系统</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11</w:t>
            </w:r>
          </w:p>
        </w:tc>
        <w:tc>
          <w:tcPr>
            <w:tcW w:w="1933" w:type="dxa"/>
            <w:vMerge w:val="restart"/>
            <w:vAlign w:val="center"/>
          </w:tcPr>
          <w:p>
            <w:pPr>
              <w:jc w:val="left"/>
              <w:rPr>
                <w:rFonts w:ascii="宋体" w:hAnsi="宋体" w:cs="宋体"/>
                <w:w w:val="90"/>
                <w:szCs w:val="21"/>
                <w:highlight w:val="none"/>
              </w:rPr>
            </w:pPr>
            <w:r>
              <w:rPr>
                <w:rFonts w:hint="eastAsia" w:ascii="宋体" w:hAnsi="宋体" w:cs="宋体"/>
                <w:w w:val="90"/>
                <w:szCs w:val="21"/>
                <w:highlight w:val="none"/>
              </w:rPr>
              <w:t>A020619 照明设备</w:t>
            </w:r>
          </w:p>
        </w:tc>
        <w:tc>
          <w:tcPr>
            <w:tcW w:w="2209"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普通照明用双端荧光灯</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LED道路/隧道照明产品</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LED筒灯</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w w:val="90"/>
                <w:szCs w:val="21"/>
                <w:highlight w:val="none"/>
              </w:rPr>
            </w:pP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普通照明用非定向自镇流LED灯</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12</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A020910电视设备</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A02091001普通电视设备（电视机）</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13</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A020911视频设备</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A02091107视频监控设备</w:t>
            </w:r>
          </w:p>
        </w:tc>
        <w:tc>
          <w:tcPr>
            <w:tcW w:w="1807" w:type="dxa"/>
            <w:vAlign w:val="center"/>
          </w:tcPr>
          <w:p>
            <w:pPr>
              <w:jc w:val="center"/>
              <w:rPr>
                <w:rFonts w:ascii="宋体" w:hAnsi="宋体" w:cs="宋体"/>
                <w:b/>
                <w:w w:val="90"/>
                <w:szCs w:val="21"/>
                <w:highlight w:val="none"/>
              </w:rPr>
            </w:pPr>
            <w:r>
              <w:rPr>
                <w:rFonts w:hint="eastAsia" w:ascii="宋体" w:hAnsi="宋体" w:cs="宋体"/>
                <w:b/>
                <w:w w:val="90"/>
                <w:szCs w:val="21"/>
                <w:highlight w:val="none"/>
              </w:rPr>
              <w:t>监视器</w:t>
            </w: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14</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A031210饮食炊事机械</w:t>
            </w:r>
          </w:p>
        </w:tc>
        <w:tc>
          <w:tcPr>
            <w:tcW w:w="2209" w:type="dxa"/>
            <w:vAlign w:val="center"/>
          </w:tcPr>
          <w:p>
            <w:pPr>
              <w:jc w:val="left"/>
              <w:rPr>
                <w:rFonts w:ascii="宋体" w:hAnsi="宋体" w:cs="宋体"/>
                <w:w w:val="90"/>
                <w:szCs w:val="21"/>
                <w:highlight w:val="none"/>
              </w:rPr>
            </w:pPr>
            <w:r>
              <w:rPr>
                <w:rFonts w:hint="eastAsia" w:ascii="宋体" w:hAnsi="宋体" w:cs="宋体"/>
                <w:w w:val="90"/>
                <w:szCs w:val="21"/>
                <w:highlight w:val="none"/>
              </w:rPr>
              <w:t>商用燃气灶具</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15</w:t>
            </w:r>
          </w:p>
        </w:tc>
        <w:tc>
          <w:tcPr>
            <w:tcW w:w="1933" w:type="dxa"/>
            <w:vMerge w:val="restart"/>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A060805便器</w:t>
            </w: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坐便器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《坐便器水效限定值及水效等级</w:t>
            </w:r>
          </w:p>
          <w:p>
            <w:pPr>
              <w:jc w:val="left"/>
              <w:rPr>
                <w:rFonts w:ascii="宋体" w:hAnsi="宋体" w:cs="宋体"/>
                <w:w w:val="90"/>
                <w:szCs w:val="21"/>
                <w:highlight w:val="none"/>
              </w:rPr>
            </w:pPr>
            <w:r>
              <w:rPr>
                <w:rFonts w:hint="eastAsia" w:ascii="宋体" w:hAnsi="宋体" w:cs="宋体"/>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b/>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蹲便器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highlight w:val="none"/>
              </w:rPr>
            </w:pPr>
          </w:p>
        </w:tc>
        <w:tc>
          <w:tcPr>
            <w:tcW w:w="1933" w:type="dxa"/>
            <w:vMerge w:val="continue"/>
            <w:vAlign w:val="center"/>
          </w:tcPr>
          <w:p>
            <w:pPr>
              <w:jc w:val="left"/>
              <w:rPr>
                <w:rFonts w:ascii="宋体" w:hAnsi="宋体" w:cs="宋体"/>
                <w:b/>
                <w:w w:val="90"/>
                <w:szCs w:val="21"/>
                <w:highlight w:val="none"/>
              </w:rPr>
            </w:pPr>
          </w:p>
        </w:tc>
        <w:tc>
          <w:tcPr>
            <w:tcW w:w="2209" w:type="dxa"/>
            <w:vAlign w:val="center"/>
          </w:tcPr>
          <w:p>
            <w:pPr>
              <w:jc w:val="left"/>
              <w:rPr>
                <w:rFonts w:ascii="宋体" w:hAnsi="宋体" w:cs="宋体"/>
                <w:b/>
                <w:w w:val="90"/>
                <w:szCs w:val="21"/>
                <w:highlight w:val="none"/>
              </w:rPr>
            </w:pPr>
            <w:r>
              <w:rPr>
                <w:rFonts w:hint="eastAsia" w:ascii="宋体" w:hAnsi="宋体" w:cs="宋体"/>
                <w:b/>
                <w:w w:val="90"/>
                <w:szCs w:val="21"/>
                <w:highlight w:val="none"/>
              </w:rPr>
              <w:t>小便器</w:t>
            </w: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16</w:t>
            </w:r>
          </w:p>
        </w:tc>
        <w:tc>
          <w:tcPr>
            <w:tcW w:w="1933" w:type="dxa"/>
            <w:vAlign w:val="center"/>
          </w:tcPr>
          <w:p>
            <w:pPr>
              <w:jc w:val="left"/>
              <w:rPr>
                <w:rFonts w:ascii="宋体" w:hAnsi="宋体" w:cs="宋体"/>
                <w:b/>
                <w:w w:val="90"/>
                <w:szCs w:val="21"/>
                <w:highlight w:val="none"/>
              </w:rPr>
            </w:pPr>
            <w:r>
              <w:rPr>
                <w:rFonts w:hint="eastAsia" w:ascii="宋体" w:hAnsi="宋体" w:cs="宋体"/>
                <w:w w:val="90"/>
                <w:szCs w:val="21"/>
                <w:highlight w:val="none"/>
              </w:rPr>
              <w:t>★</w:t>
            </w:r>
            <w:r>
              <w:rPr>
                <w:rFonts w:hint="eastAsia" w:ascii="宋体" w:hAnsi="宋体" w:cs="宋体"/>
                <w:b/>
                <w:w w:val="90"/>
                <w:szCs w:val="21"/>
                <w:highlight w:val="none"/>
              </w:rPr>
              <w:t>A060806水嘴</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17</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A060807便器冲洗阀</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highlight w:val="none"/>
              </w:rPr>
            </w:pPr>
            <w:r>
              <w:rPr>
                <w:rFonts w:hint="eastAsia" w:ascii="宋体" w:hAnsi="宋体" w:cs="宋体"/>
                <w:w w:val="90"/>
                <w:szCs w:val="21"/>
                <w:highlight w:val="none"/>
              </w:rPr>
              <w:t>18</w:t>
            </w:r>
          </w:p>
        </w:tc>
        <w:tc>
          <w:tcPr>
            <w:tcW w:w="1933" w:type="dxa"/>
            <w:vAlign w:val="center"/>
          </w:tcPr>
          <w:p>
            <w:pPr>
              <w:jc w:val="left"/>
              <w:rPr>
                <w:rFonts w:ascii="宋体" w:hAnsi="宋体" w:cs="宋体"/>
                <w:w w:val="90"/>
                <w:szCs w:val="21"/>
                <w:highlight w:val="none"/>
              </w:rPr>
            </w:pPr>
            <w:r>
              <w:rPr>
                <w:rFonts w:hint="eastAsia" w:ascii="宋体" w:hAnsi="宋体" w:cs="宋体"/>
                <w:w w:val="90"/>
                <w:szCs w:val="21"/>
                <w:highlight w:val="none"/>
              </w:rPr>
              <w:t>A060810淋浴器</w:t>
            </w:r>
          </w:p>
        </w:tc>
        <w:tc>
          <w:tcPr>
            <w:tcW w:w="2209" w:type="dxa"/>
            <w:vAlign w:val="center"/>
          </w:tcPr>
          <w:p>
            <w:pPr>
              <w:jc w:val="left"/>
              <w:rPr>
                <w:rFonts w:ascii="宋体" w:hAnsi="宋体" w:cs="宋体"/>
                <w:w w:val="90"/>
                <w:szCs w:val="21"/>
                <w:highlight w:val="none"/>
              </w:rPr>
            </w:pPr>
          </w:p>
        </w:tc>
        <w:tc>
          <w:tcPr>
            <w:tcW w:w="1807" w:type="dxa"/>
            <w:vAlign w:val="center"/>
          </w:tcPr>
          <w:p>
            <w:pPr>
              <w:jc w:val="center"/>
              <w:rPr>
                <w:rFonts w:ascii="宋体" w:hAnsi="宋体" w:cs="宋体"/>
                <w:w w:val="90"/>
                <w:szCs w:val="21"/>
                <w:highlight w:val="none"/>
              </w:rPr>
            </w:pPr>
          </w:p>
        </w:tc>
        <w:tc>
          <w:tcPr>
            <w:tcW w:w="3301" w:type="dxa"/>
            <w:vAlign w:val="center"/>
          </w:tcPr>
          <w:p>
            <w:pPr>
              <w:jc w:val="left"/>
              <w:rPr>
                <w:rFonts w:ascii="宋体" w:hAnsi="宋体" w:cs="宋体"/>
                <w:w w:val="90"/>
                <w:szCs w:val="21"/>
                <w:highlight w:val="none"/>
              </w:rPr>
            </w:pPr>
            <w:r>
              <w:rPr>
                <w:rFonts w:hint="eastAsia" w:ascii="宋体" w:hAnsi="宋体" w:cs="宋体"/>
                <w:w w:val="90"/>
                <w:szCs w:val="21"/>
                <w:highlight w:val="none"/>
              </w:rPr>
              <w:t>《淋浴器用水效率限定值及用水效率等级》（GB 28378）</w:t>
            </w:r>
          </w:p>
        </w:tc>
      </w:tr>
    </w:tbl>
    <w:p>
      <w:pPr>
        <w:spacing w:line="360" w:lineRule="auto"/>
        <w:ind w:left="-850" w:leftChars="-405" w:right="-1050" w:rightChars="-500" w:firstLine="382" w:firstLineChars="201"/>
        <w:rPr>
          <w:rFonts w:ascii="宋体" w:hAnsi="宋体" w:cs="宋体"/>
          <w:b/>
          <w:w w:val="90"/>
          <w:highlight w:val="none"/>
        </w:rPr>
      </w:pPr>
      <w:r>
        <w:rPr>
          <w:rFonts w:hint="eastAsia" w:ascii="宋体" w:hAnsi="宋体" w:cs="宋体"/>
          <w:b/>
          <w:w w:val="90"/>
          <w:highlight w:val="none"/>
        </w:rPr>
        <w:t>注：1、节能产品认证应依据相关国家标准的最新版本，依据国家标准中二级能效（水效）指标。</w:t>
      </w:r>
    </w:p>
    <w:p>
      <w:pPr>
        <w:spacing w:line="360" w:lineRule="auto"/>
        <w:ind w:left="-850" w:leftChars="-405" w:right="-1050" w:rightChars="-500" w:firstLine="382" w:firstLineChars="201"/>
        <w:rPr>
          <w:rFonts w:ascii="宋体" w:hAnsi="宋体" w:cs="宋体"/>
          <w:b/>
          <w:w w:val="90"/>
          <w:highlight w:val="none"/>
        </w:rPr>
      </w:pPr>
      <w:r>
        <w:rPr>
          <w:rFonts w:hint="eastAsia" w:ascii="宋体" w:hAnsi="宋体" w:cs="宋体"/>
          <w:b/>
          <w:w w:val="90"/>
          <w:highlight w:val="none"/>
        </w:rPr>
        <w:t>2、上述产品中认证标准发生变更的，依据原认证标准获得的、仍在有效期内的认证证书可使用至2019年6月1日。</w:t>
      </w:r>
    </w:p>
    <w:p>
      <w:pPr>
        <w:spacing w:line="360" w:lineRule="auto"/>
        <w:ind w:left="-850" w:leftChars="-405" w:right="-1050" w:rightChars="-500" w:firstLine="382" w:firstLineChars="201"/>
        <w:rPr>
          <w:rFonts w:ascii="宋体" w:hAnsi="宋体" w:cs="宋体"/>
          <w:highlight w:val="none"/>
        </w:rPr>
      </w:pPr>
      <w:r>
        <w:rPr>
          <w:rFonts w:hint="eastAsia" w:ascii="宋体" w:hAnsi="宋体" w:cs="宋体"/>
          <w:b/>
          <w:w w:val="90"/>
          <w:highlight w:val="none"/>
        </w:rPr>
        <w:t>3、以“★”标注的为政府强制采购产品。</w:t>
      </w:r>
    </w:p>
    <w:p>
      <w:pPr>
        <w:pStyle w:val="5"/>
        <w:rPr>
          <w:rFonts w:ascii="宋体" w:hAnsi="宋体" w:cs="宋体"/>
          <w:highlight w:val="none"/>
        </w:rPr>
      </w:pPr>
      <w:r>
        <w:rPr>
          <w:rFonts w:hint="eastAsia" w:ascii="宋体" w:hAnsi="宋体" w:cs="宋体"/>
          <w:sz w:val="24"/>
          <w:szCs w:val="28"/>
          <w:highlight w:val="none"/>
        </w:rPr>
        <w:br w:type="page"/>
      </w:r>
      <w:bookmarkStart w:id="1060" w:name="_Toc17428253"/>
      <w:bookmarkStart w:id="1061" w:name="_Toc24471817"/>
      <w:bookmarkStart w:id="1062" w:name="_Toc7542915"/>
      <w:bookmarkStart w:id="1063" w:name="_Toc7993640"/>
      <w:bookmarkStart w:id="1064" w:name="_Toc25765009"/>
      <w:bookmarkStart w:id="1065" w:name="_Toc7988474"/>
      <w:bookmarkStart w:id="1066" w:name="_Toc8007004"/>
      <w:bookmarkStart w:id="1067" w:name="_Toc7492527"/>
      <w:bookmarkStart w:id="1068" w:name="_Toc7988420"/>
      <w:bookmarkStart w:id="1069" w:name="_Toc7574704"/>
      <w:bookmarkStart w:id="1070" w:name="_Toc7663596"/>
      <w:bookmarkStart w:id="1071" w:name="_Toc7664196"/>
      <w:bookmarkStart w:id="1072" w:name="_Toc20358291"/>
      <w:bookmarkStart w:id="1073" w:name="_Toc10432457"/>
      <w:bookmarkStart w:id="1074" w:name="_Toc7488758"/>
      <w:bookmarkStart w:id="1075" w:name="_Toc7668949"/>
      <w:bookmarkStart w:id="1076" w:name="_Toc17428348"/>
      <w:r>
        <w:rPr>
          <w:rFonts w:hint="eastAsia" w:ascii="宋体" w:hAnsi="宋体" w:cs="宋体"/>
          <w:highlight w:val="none"/>
        </w:rPr>
        <w:t>关于印发环境标志产品政府采购品目清单的通知（财库〔2019〕18号）</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jc w:val="center"/>
        <w:rPr>
          <w:rFonts w:ascii="宋体" w:hAnsi="宋体" w:cs="宋体"/>
          <w:kern w:val="0"/>
          <w:sz w:val="24"/>
          <w:szCs w:val="28"/>
          <w:highlight w:val="none"/>
        </w:rPr>
      </w:pPr>
    </w:p>
    <w:p>
      <w:pPr>
        <w:jc w:val="center"/>
        <w:rPr>
          <w:rFonts w:ascii="宋体" w:hAnsi="宋体" w:cs="宋体"/>
          <w:b/>
          <w:kern w:val="0"/>
          <w:sz w:val="32"/>
          <w:highlight w:val="none"/>
        </w:rPr>
      </w:pPr>
      <w:r>
        <w:rPr>
          <w:rFonts w:hint="eastAsia" w:ascii="宋体" w:hAnsi="宋体" w:cs="宋体"/>
          <w:b/>
          <w:kern w:val="0"/>
          <w:sz w:val="32"/>
          <w:highlight w:val="none"/>
        </w:rPr>
        <w:t>关于印发环境标志产品政府采购品目清单的通知</w:t>
      </w:r>
    </w:p>
    <w:p>
      <w:pPr>
        <w:jc w:val="center"/>
        <w:rPr>
          <w:rFonts w:ascii="宋体" w:hAnsi="宋体" w:cs="宋体"/>
          <w:highlight w:val="none"/>
        </w:rPr>
      </w:pPr>
      <w:r>
        <w:rPr>
          <w:rFonts w:hint="eastAsia" w:ascii="宋体" w:hAnsi="宋体" w:cs="宋体"/>
          <w:b/>
          <w:kern w:val="0"/>
          <w:sz w:val="32"/>
          <w:highlight w:val="none"/>
        </w:rPr>
        <w:t>财库〔2019〕18号</w:t>
      </w:r>
    </w:p>
    <w:p>
      <w:pPr>
        <w:spacing w:line="360" w:lineRule="auto"/>
        <w:rPr>
          <w:rFonts w:ascii="宋体" w:hAnsi="宋体" w:cs="宋体"/>
          <w:kern w:val="0"/>
          <w:sz w:val="28"/>
          <w:highlight w:val="none"/>
        </w:rPr>
      </w:pPr>
    </w:p>
    <w:p>
      <w:pPr>
        <w:spacing w:line="360" w:lineRule="auto"/>
        <w:rPr>
          <w:rFonts w:ascii="宋体" w:hAnsi="宋体" w:cs="宋体"/>
          <w:b/>
          <w:kern w:val="0"/>
          <w:sz w:val="28"/>
          <w:highlight w:val="none"/>
        </w:rPr>
      </w:pPr>
      <w:r>
        <w:rPr>
          <w:rFonts w:hint="eastAsia" w:ascii="宋体" w:hAnsi="宋体" w:cs="宋体"/>
          <w:b/>
          <w:kern w:val="0"/>
          <w:sz w:val="28"/>
          <w:highlight w:val="none"/>
        </w:rPr>
        <w:t>有关中央预算单位，各省、自治区、直辖市、计划单列市财政厅（局）、生态环境厅（局），新疆生产建设兵团财政局、环境保护局：</w:t>
      </w:r>
    </w:p>
    <w:p>
      <w:pPr>
        <w:spacing w:line="360" w:lineRule="auto"/>
        <w:rPr>
          <w:rFonts w:ascii="宋体" w:hAnsi="宋体" w:cs="宋体"/>
          <w:kern w:val="0"/>
          <w:sz w:val="28"/>
          <w:highlight w:val="none"/>
        </w:rPr>
      </w:pPr>
    </w:p>
    <w:p>
      <w:pPr>
        <w:spacing w:line="360" w:lineRule="auto"/>
        <w:ind w:firstLine="565" w:firstLineChars="202"/>
        <w:rPr>
          <w:rFonts w:ascii="宋体" w:hAnsi="宋体" w:cs="宋体"/>
          <w:kern w:val="0"/>
          <w:sz w:val="28"/>
          <w:highlight w:val="none"/>
        </w:rPr>
      </w:pPr>
      <w:r>
        <w:rPr>
          <w:rFonts w:hint="eastAsia" w:ascii="宋体" w:hAnsi="宋体" w:cs="宋体"/>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spacing w:line="360" w:lineRule="auto"/>
        <w:ind w:firstLine="565" w:firstLineChars="202"/>
        <w:rPr>
          <w:rFonts w:ascii="宋体" w:hAnsi="宋体" w:cs="宋体"/>
          <w:kern w:val="0"/>
          <w:sz w:val="28"/>
          <w:highlight w:val="none"/>
        </w:rPr>
      </w:pPr>
    </w:p>
    <w:p>
      <w:pPr>
        <w:spacing w:line="360" w:lineRule="auto"/>
        <w:rPr>
          <w:rFonts w:ascii="宋体" w:hAnsi="宋体" w:cs="宋体"/>
          <w:kern w:val="0"/>
          <w:sz w:val="28"/>
          <w:highlight w:val="none"/>
        </w:rPr>
      </w:pPr>
      <w:r>
        <w:rPr>
          <w:rFonts w:hint="eastAsia" w:ascii="宋体" w:hAnsi="宋体" w:cs="宋体"/>
          <w:kern w:val="0"/>
          <w:sz w:val="28"/>
          <w:highlight w:val="none"/>
        </w:rPr>
        <w:t>附件：环境标志产品政府采购品目清单</w:t>
      </w:r>
    </w:p>
    <w:p>
      <w:pPr>
        <w:spacing w:line="360" w:lineRule="auto"/>
        <w:ind w:firstLine="3360"/>
        <w:rPr>
          <w:rFonts w:ascii="宋体" w:hAnsi="宋体" w:cs="宋体"/>
          <w:kern w:val="0"/>
          <w:sz w:val="28"/>
          <w:highlight w:val="none"/>
        </w:rPr>
      </w:pPr>
    </w:p>
    <w:p>
      <w:pPr>
        <w:spacing w:line="360" w:lineRule="auto"/>
        <w:jc w:val="right"/>
        <w:rPr>
          <w:rFonts w:ascii="宋体" w:hAnsi="宋体" w:cs="宋体"/>
          <w:kern w:val="0"/>
          <w:sz w:val="28"/>
          <w:highlight w:val="none"/>
        </w:rPr>
      </w:pPr>
      <w:r>
        <w:rPr>
          <w:rFonts w:hint="eastAsia" w:ascii="宋体" w:hAnsi="宋体" w:cs="宋体"/>
          <w:kern w:val="0"/>
          <w:sz w:val="28"/>
          <w:highlight w:val="none"/>
        </w:rPr>
        <w:t>财政部  生态环境部</w:t>
      </w:r>
    </w:p>
    <w:p>
      <w:pPr>
        <w:spacing w:line="360" w:lineRule="auto"/>
        <w:jc w:val="right"/>
        <w:rPr>
          <w:rFonts w:ascii="宋体" w:hAnsi="宋体" w:cs="宋体"/>
          <w:kern w:val="0"/>
          <w:sz w:val="28"/>
          <w:highlight w:val="none"/>
        </w:rPr>
      </w:pPr>
      <w:r>
        <w:rPr>
          <w:rFonts w:hint="eastAsia" w:ascii="宋体" w:hAnsi="宋体" w:cs="宋体"/>
          <w:kern w:val="0"/>
          <w:sz w:val="28"/>
          <w:highlight w:val="none"/>
        </w:rPr>
        <w:t>2019年3月29日</w:t>
      </w:r>
    </w:p>
    <w:p>
      <w:pPr>
        <w:keepNext/>
        <w:widowControl/>
        <w:adjustRightInd/>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附：环境标志产品政府采购品目清单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品目序号</w:t>
            </w:r>
          </w:p>
        </w:tc>
        <w:tc>
          <w:tcPr>
            <w:tcW w:w="6108" w:type="dxa"/>
            <w:gridSpan w:val="3"/>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名称</w:t>
            </w:r>
          </w:p>
        </w:tc>
        <w:tc>
          <w:tcPr>
            <w:tcW w:w="3390" w:type="dxa"/>
            <w:shd w:val="clear" w:color="auto" w:fill="DAEEF3"/>
            <w:vAlign w:val="center"/>
          </w:tcPr>
          <w:p>
            <w:pPr>
              <w:jc w:val="center"/>
              <w:rPr>
                <w:rFonts w:ascii="宋体" w:hAnsi="宋体" w:cs="宋体"/>
                <w:b/>
                <w:w w:val="90"/>
                <w:szCs w:val="21"/>
                <w:highlight w:val="none"/>
              </w:rPr>
            </w:pPr>
            <w:r>
              <w:rPr>
                <w:rFonts w:hint="eastAsia" w:ascii="宋体" w:hAnsi="宋体" w:cs="宋体"/>
                <w:b/>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A020101计算机设备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A02010103服务器</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A02010104台式计算机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A02010105便携式计算机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A02010107平板式微型计算机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A02010108网络计算机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A02010109计算机工作站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A02010199其他计算机设备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A020106输入输出设备</w:t>
            </w:r>
          </w:p>
        </w:tc>
        <w:tc>
          <w:tcPr>
            <w:tcW w:w="2268"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A02010601打印设备</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A0201060101喷墨打印机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A0201060102激光打印机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A0201060103热式打印机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A0201060104针式打印机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A02010604显示设备</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A0201060401液晶显示器</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Merge w:val="continue"/>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A0201060499其他显示器</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A02010609图形图像输入设备</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A0201060901扫描仪</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A020202投影仪</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A020201复印机</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A020204352多功能一体机</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6</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A020210文印设备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A02021001速印机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7</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A020301载货汽车（含自卸汽车）</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8</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A020305乘用车（轿车）</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A02030501轿车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A02030599其他乘用车（轿车）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A020306客车</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A02030601小型客车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10</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A020307专用车辆</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A02030799其他专用汽车</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11</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A020523制冷空调设备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A02052301制冷压缩机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A02052305空调机组</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A02052309专用制冷、空调设备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A020618生活用电器</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A02061802空气调节电器</w:t>
            </w:r>
          </w:p>
        </w:tc>
        <w:tc>
          <w:tcPr>
            <w:tcW w:w="1855" w:type="dxa"/>
            <w:vAlign w:val="center"/>
          </w:tcPr>
          <w:p>
            <w:pPr>
              <w:rPr>
                <w:rFonts w:ascii="宋体" w:hAnsi="宋体" w:cs="宋体"/>
                <w:w w:val="90"/>
                <w:szCs w:val="21"/>
                <w:highlight w:val="none"/>
              </w:rPr>
            </w:pPr>
            <w:r>
              <w:rPr>
                <w:rFonts w:hint="eastAsia" w:ascii="宋体" w:hAnsi="宋体" w:cs="宋体"/>
                <w:w w:val="90"/>
                <w:szCs w:val="21"/>
                <w:highlight w:val="none"/>
              </w:rPr>
              <w:t>A0206180203空调机</w:t>
            </w: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A02061808热水器</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13</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A020619照明设备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A02061908室内照明灯具</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A020810传真及数据数字通信设备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A02081001传真通信设备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15</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A020910电视设备</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A02091001普通电视设备（电视机）</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A02091003特殊功能应用电视设备</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16</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A0601床类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A060101钢木床类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A060104木制床类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A060199其他床类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17</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A0602台、桌类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A060201钢木台、桌类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A060205木制台、桌类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A060299其他台、桌类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18</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A0603椅凳类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A060301金属骨架为主的椅凳类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A060302木骨架为主的椅凳类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A060399其他椅凳类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19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A0604沙发类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A060499其他沙发类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20</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A0605柜类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A060501木质柜类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A060503金属质柜类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A060599其他柜类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21</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A0606架类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A060601木质架类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A060602金属质架类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22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A0607屏风类</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A060701木质屏风类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A060702金属质屏风类</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23</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A060804水池</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A060805便器</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A060806水嘴</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26</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A0609组合家具</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27</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A0610家用家具零配件</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28</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A0699其他家具用具</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29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A070101棉、化纤纺织及印染原料</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30</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A090101复印纸（包括再生复印纸）</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31</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A090201鼓粉盒（包括再生鼓粉盒）</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32</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A100203人造板</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A10020301胶合板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A10020302纤维板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A10020303刨花板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A10020304细木工板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A10020399其他人造板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33</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A100204352二次加工材，相关板材</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A10020435204人造板表面装饰板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A10020435204人造板表面装饰板（地板）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A100301水泥熟料及水泥</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A10030102水泥</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35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A100303水泥混凝土制品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A10030301商品混凝土</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36</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A100304纤维增强水泥制品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A10030402纤维增强硅酸钙板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A10030403无石棉纤维水泥制品</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37</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A100305轻质建筑材料及制品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A10030501石膏板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A10030503轻质隔墙条板</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38</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A100307建筑陶瓷制品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A10030701瓷质砖</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A10030704炻质砖</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A10030705陶质砖</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A10030799其他建筑陶瓷制品</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39</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A100309建筑防水卷材及制品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A10030901沥青和改性沥青防水卷材</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A10030903自粘防水卷材</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A10030906高分子防水卷（片）材</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40</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A100310隔热、隔音人造矿物材料及其制品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A10031001矿物绝热和吸声材料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A10031002矿物材料制品</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41</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A100601功能性建筑涂料</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42</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A100399其他非金属矿物制品</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A10039901其他非金属建筑材料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highlight w:val="none"/>
              </w:rPr>
            </w:pPr>
            <w:r>
              <w:rPr>
                <w:rFonts w:hint="eastAsia" w:ascii="宋体" w:hAnsi="宋体" w:cs="宋体"/>
                <w:w w:val="90"/>
                <w:szCs w:val="21"/>
                <w:highlight w:val="none"/>
              </w:rPr>
              <w:t>43</w:t>
            </w:r>
          </w:p>
        </w:tc>
        <w:tc>
          <w:tcPr>
            <w:tcW w:w="1985" w:type="dxa"/>
            <w:vMerge w:val="restart"/>
            <w:vAlign w:val="center"/>
          </w:tcPr>
          <w:p>
            <w:pPr>
              <w:rPr>
                <w:rFonts w:ascii="宋体" w:hAnsi="宋体" w:cs="宋体"/>
                <w:w w:val="90"/>
                <w:szCs w:val="21"/>
                <w:highlight w:val="none"/>
              </w:rPr>
            </w:pPr>
            <w:r>
              <w:rPr>
                <w:rFonts w:hint="eastAsia" w:ascii="宋体" w:hAnsi="宋体" w:cs="宋体"/>
                <w:w w:val="90"/>
                <w:szCs w:val="21"/>
                <w:highlight w:val="none"/>
              </w:rPr>
              <w:t>A100602墙面涂料</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A10060202合成树脂乳液内墙涂料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A10060203合成树脂乳液外墙涂料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highlight w:val="none"/>
              </w:rPr>
            </w:pPr>
          </w:p>
        </w:tc>
        <w:tc>
          <w:tcPr>
            <w:tcW w:w="1985" w:type="dxa"/>
            <w:vMerge w:val="continue"/>
            <w:vAlign w:val="center"/>
          </w:tcPr>
          <w:p>
            <w:pPr>
              <w:rPr>
                <w:rFonts w:ascii="宋体" w:hAnsi="宋体" w:cs="宋体"/>
                <w:w w:val="90"/>
                <w:szCs w:val="21"/>
                <w:highlight w:val="none"/>
              </w:rPr>
            </w:pP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A10060299其他墙面涂料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44</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A100604防水涂料</w:t>
            </w:r>
          </w:p>
        </w:tc>
        <w:tc>
          <w:tcPr>
            <w:tcW w:w="2268" w:type="dxa"/>
            <w:vAlign w:val="center"/>
          </w:tcPr>
          <w:p>
            <w:pPr>
              <w:rPr>
                <w:rFonts w:ascii="宋体" w:hAnsi="宋体" w:cs="宋体"/>
                <w:w w:val="90"/>
                <w:szCs w:val="21"/>
                <w:highlight w:val="none"/>
              </w:rPr>
            </w:pPr>
            <w:r>
              <w:rPr>
                <w:rFonts w:hint="eastAsia" w:ascii="宋体" w:hAnsi="宋体" w:cs="宋体"/>
                <w:w w:val="90"/>
                <w:szCs w:val="21"/>
                <w:highlight w:val="none"/>
              </w:rPr>
              <w:t>A10060499其他防水涂料</w:t>
            </w: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45</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A100699其他建筑涂料</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46</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A100701门、门槛</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HJ/T237塑料门窗/HJ459木质门和钢质门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47</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A100702窗</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48</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A170108涂料（建筑涂料除外）</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49</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A170112密封用填料及类似品</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highlight w:val="none"/>
              </w:rPr>
            </w:pPr>
            <w:r>
              <w:rPr>
                <w:rFonts w:hint="eastAsia" w:ascii="宋体" w:hAnsi="宋体" w:cs="宋体"/>
                <w:w w:val="90"/>
                <w:szCs w:val="21"/>
                <w:highlight w:val="none"/>
              </w:rPr>
              <w:t>50</w:t>
            </w:r>
          </w:p>
        </w:tc>
        <w:tc>
          <w:tcPr>
            <w:tcW w:w="1985" w:type="dxa"/>
            <w:vAlign w:val="center"/>
          </w:tcPr>
          <w:p>
            <w:pPr>
              <w:rPr>
                <w:rFonts w:ascii="宋体" w:hAnsi="宋体" w:cs="宋体"/>
                <w:w w:val="90"/>
                <w:szCs w:val="21"/>
                <w:highlight w:val="none"/>
              </w:rPr>
            </w:pPr>
            <w:r>
              <w:rPr>
                <w:rFonts w:hint="eastAsia" w:ascii="宋体" w:hAnsi="宋体" w:cs="宋体"/>
                <w:w w:val="90"/>
                <w:szCs w:val="21"/>
                <w:highlight w:val="none"/>
              </w:rPr>
              <w:t>A180201塑料制品</w:t>
            </w:r>
          </w:p>
        </w:tc>
        <w:tc>
          <w:tcPr>
            <w:tcW w:w="2268" w:type="dxa"/>
            <w:vAlign w:val="center"/>
          </w:tcPr>
          <w:p>
            <w:pPr>
              <w:rPr>
                <w:rFonts w:ascii="宋体" w:hAnsi="宋体" w:cs="宋体"/>
                <w:w w:val="90"/>
                <w:szCs w:val="21"/>
                <w:highlight w:val="none"/>
              </w:rPr>
            </w:pPr>
          </w:p>
        </w:tc>
        <w:tc>
          <w:tcPr>
            <w:tcW w:w="1855" w:type="dxa"/>
            <w:vAlign w:val="center"/>
          </w:tcPr>
          <w:p>
            <w:pPr>
              <w:rPr>
                <w:rFonts w:ascii="宋体" w:hAnsi="宋体" w:cs="宋体"/>
                <w:w w:val="90"/>
                <w:szCs w:val="21"/>
                <w:highlight w:val="none"/>
              </w:rPr>
            </w:pPr>
          </w:p>
        </w:tc>
        <w:tc>
          <w:tcPr>
            <w:tcW w:w="3390" w:type="dxa"/>
            <w:vAlign w:val="center"/>
          </w:tcPr>
          <w:p>
            <w:pPr>
              <w:rPr>
                <w:rFonts w:ascii="宋体" w:hAnsi="宋体" w:cs="宋体"/>
                <w:w w:val="90"/>
                <w:szCs w:val="21"/>
                <w:highlight w:val="none"/>
              </w:rPr>
            </w:pPr>
            <w:r>
              <w:rPr>
                <w:rFonts w:hint="eastAsia" w:ascii="宋体" w:hAnsi="宋体" w:cs="宋体"/>
                <w:w w:val="90"/>
                <w:szCs w:val="21"/>
                <w:highlight w:val="none"/>
              </w:rPr>
              <w:t>HJ/T226建筑用塑料管材/HJ/T231再生塑料制品</w:t>
            </w:r>
          </w:p>
        </w:tc>
      </w:tr>
    </w:tbl>
    <w:p>
      <w:pPr>
        <w:spacing w:line="360" w:lineRule="auto"/>
        <w:ind w:left="-850" w:leftChars="-405" w:right="-1050" w:rightChars="-500" w:firstLine="382" w:firstLineChars="201"/>
        <w:rPr>
          <w:rFonts w:ascii="宋体" w:hAnsi="宋体" w:cs="宋体"/>
          <w:kern w:val="0"/>
          <w:sz w:val="28"/>
          <w:highlight w:val="none"/>
        </w:rPr>
      </w:pPr>
      <w:r>
        <w:rPr>
          <w:rFonts w:hint="eastAsia" w:ascii="宋体" w:hAnsi="宋体" w:cs="宋体"/>
          <w:b/>
          <w:w w:val="90"/>
          <w:highlight w:val="none"/>
        </w:rPr>
        <w:t>注：环境标志产品认证应依据相关标准的最新版本。</w:t>
      </w:r>
    </w:p>
    <w:p>
      <w:pPr>
        <w:pStyle w:val="5"/>
        <w:rPr>
          <w:rFonts w:ascii="宋体" w:hAnsi="宋体" w:cs="宋体"/>
          <w:highlight w:val="none"/>
        </w:rPr>
      </w:pPr>
      <w:r>
        <w:rPr>
          <w:rFonts w:hint="eastAsia" w:ascii="宋体" w:hAnsi="宋体" w:cs="宋体"/>
          <w:highlight w:val="none"/>
        </w:rPr>
        <w:br w:type="page"/>
      </w:r>
      <w:bookmarkStart w:id="1077" w:name="_Toc17428254"/>
      <w:bookmarkStart w:id="1078" w:name="_Toc7988421"/>
      <w:bookmarkStart w:id="1079" w:name="_Toc25765010"/>
      <w:bookmarkStart w:id="1080" w:name="_Toc7492528"/>
      <w:bookmarkStart w:id="1081" w:name="_Toc7668950"/>
      <w:bookmarkStart w:id="1082" w:name="_Toc7988475"/>
      <w:bookmarkStart w:id="1083" w:name="_Toc7488759"/>
      <w:bookmarkStart w:id="1084" w:name="_Toc17428349"/>
      <w:bookmarkStart w:id="1085" w:name="_Toc7663597"/>
      <w:bookmarkStart w:id="1086" w:name="_Toc7574705"/>
      <w:bookmarkStart w:id="1087" w:name="_Toc10432458"/>
      <w:bookmarkStart w:id="1088" w:name="_Toc7542916"/>
      <w:bookmarkStart w:id="1089" w:name="_Toc7993641"/>
      <w:bookmarkStart w:id="1090" w:name="_Toc7664197"/>
      <w:bookmarkStart w:id="1091" w:name="_Toc24471818"/>
      <w:bookmarkStart w:id="1092" w:name="_Toc20358292"/>
      <w:bookmarkStart w:id="1093" w:name="_Toc8007005"/>
      <w:r>
        <w:rPr>
          <w:rFonts w:hint="eastAsia" w:ascii="宋体" w:hAnsi="宋体" w:cs="宋体"/>
          <w:highlight w:val="none"/>
        </w:rPr>
        <w:t xml:space="preserve">    市场监管总局关于发布参与实施政府采购节能产品、环境标志产品认证机构名录的公告（2019年第16号）</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widowControl/>
        <w:shd w:val="clear" w:color="auto" w:fill="FFFFFF"/>
        <w:spacing w:before="68" w:after="299" w:line="360" w:lineRule="auto"/>
        <w:jc w:val="center"/>
        <w:textAlignment w:val="baseline"/>
        <w:rPr>
          <w:rFonts w:ascii="宋体" w:hAnsi="宋体" w:cs="宋体"/>
          <w:b/>
          <w:kern w:val="0"/>
          <w:sz w:val="28"/>
          <w:highlight w:val="none"/>
        </w:rPr>
      </w:pPr>
    </w:p>
    <w:p>
      <w:pPr>
        <w:widowControl/>
        <w:shd w:val="clear" w:color="auto" w:fill="FFFFFF"/>
        <w:spacing w:before="68" w:after="299" w:line="360" w:lineRule="auto"/>
        <w:jc w:val="center"/>
        <w:textAlignment w:val="baseline"/>
        <w:rPr>
          <w:rFonts w:ascii="宋体" w:hAnsi="宋体" w:cs="宋体"/>
          <w:b/>
          <w:kern w:val="0"/>
          <w:sz w:val="36"/>
          <w:highlight w:val="none"/>
        </w:rPr>
      </w:pPr>
      <w:r>
        <w:rPr>
          <w:rFonts w:hint="eastAsia" w:ascii="宋体" w:hAnsi="宋体" w:cs="宋体"/>
          <w:b/>
          <w:kern w:val="0"/>
          <w:sz w:val="36"/>
          <w:highlight w:val="none"/>
        </w:rPr>
        <w:t>市场监管总局关于发布参与实施政府采购节能产品、环境</w:t>
      </w:r>
    </w:p>
    <w:p>
      <w:pPr>
        <w:widowControl/>
        <w:shd w:val="clear" w:color="auto" w:fill="FFFFFF"/>
        <w:spacing w:before="68" w:after="299" w:line="360" w:lineRule="auto"/>
        <w:jc w:val="center"/>
        <w:textAlignment w:val="baseline"/>
        <w:rPr>
          <w:rFonts w:ascii="宋体" w:hAnsi="宋体" w:cs="宋体"/>
          <w:b/>
          <w:kern w:val="0"/>
          <w:sz w:val="24"/>
          <w:highlight w:val="none"/>
        </w:rPr>
      </w:pPr>
      <w:r>
        <w:rPr>
          <w:rFonts w:hint="eastAsia" w:ascii="宋体" w:hAnsi="宋体" w:cs="宋体"/>
          <w:b/>
          <w:kern w:val="0"/>
          <w:sz w:val="36"/>
          <w:highlight w:val="none"/>
        </w:rPr>
        <w:t>标志产品认证机构名录的公告</w:t>
      </w:r>
    </w:p>
    <w:p>
      <w:pPr>
        <w:widowControl/>
        <w:shd w:val="clear" w:color="auto" w:fill="FFFFFF"/>
        <w:spacing w:before="68" w:after="299" w:line="360" w:lineRule="auto"/>
        <w:jc w:val="center"/>
        <w:textAlignment w:val="baseline"/>
        <w:rPr>
          <w:rFonts w:ascii="宋体" w:hAnsi="宋体" w:cs="宋体"/>
          <w:kern w:val="0"/>
          <w:sz w:val="24"/>
          <w:highlight w:val="none"/>
        </w:rPr>
      </w:pPr>
      <w:r>
        <w:rPr>
          <w:rFonts w:hint="eastAsia" w:ascii="宋体" w:hAnsi="宋体" w:cs="宋体"/>
          <w:kern w:val="0"/>
          <w:sz w:val="24"/>
          <w:highlight w:val="none"/>
        </w:rPr>
        <w:t>2019年第16号</w:t>
      </w:r>
    </w:p>
    <w:p>
      <w:pPr>
        <w:widowControl/>
        <w:shd w:val="clear" w:color="auto" w:fill="FFFFFF"/>
        <w:spacing w:before="68" w:after="299" w:line="360" w:lineRule="auto"/>
        <w:ind w:firstLine="424" w:firstLineChars="177"/>
        <w:jc w:val="left"/>
        <w:textAlignment w:val="baseline"/>
        <w:rPr>
          <w:rFonts w:ascii="宋体" w:hAnsi="宋体" w:cs="宋体"/>
          <w:kern w:val="0"/>
          <w:sz w:val="24"/>
          <w:highlight w:val="none"/>
        </w:rPr>
      </w:pPr>
      <w:r>
        <w:rPr>
          <w:rFonts w:hint="eastAsia" w:ascii="宋体" w:hAnsi="宋体" w:cs="宋体"/>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ascii="宋体" w:hAnsi="宋体" w:cs="宋体"/>
          <w:kern w:val="0"/>
          <w:sz w:val="24"/>
          <w:highlight w:val="none"/>
        </w:rPr>
      </w:pPr>
      <w:r>
        <w:rPr>
          <w:rFonts w:hint="eastAsia" w:ascii="宋体" w:hAnsi="宋体" w:cs="宋体"/>
          <w:kern w:val="0"/>
          <w:sz w:val="24"/>
          <w:highlight w:val="none"/>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ascii="宋体" w:hAnsi="宋体" w:cs="宋体"/>
          <w:kern w:val="0"/>
          <w:sz w:val="24"/>
          <w:highlight w:val="none"/>
        </w:rPr>
      </w:pPr>
      <w:r>
        <w:rPr>
          <w:rFonts w:hint="eastAsia" w:ascii="宋体" w:hAnsi="宋体" w:cs="宋体"/>
          <w:kern w:val="0"/>
          <w:sz w:val="24"/>
          <w:highlight w:val="none"/>
        </w:rPr>
        <w:t>市场监管总局</w:t>
      </w:r>
    </w:p>
    <w:p>
      <w:pPr>
        <w:widowControl/>
        <w:shd w:val="clear" w:color="auto" w:fill="FFFFFF"/>
        <w:spacing w:before="68" w:after="299" w:line="360" w:lineRule="auto"/>
        <w:jc w:val="right"/>
        <w:textAlignment w:val="baseline"/>
        <w:rPr>
          <w:rFonts w:ascii="宋体" w:hAnsi="宋体" w:cs="宋体"/>
          <w:kern w:val="0"/>
          <w:sz w:val="24"/>
          <w:highlight w:val="none"/>
        </w:rPr>
      </w:pPr>
      <w:r>
        <w:rPr>
          <w:rFonts w:hint="eastAsia" w:ascii="宋体" w:hAnsi="宋体" w:cs="宋体"/>
          <w:kern w:val="0"/>
          <w:sz w:val="24"/>
          <w:highlight w:val="none"/>
        </w:rPr>
        <w:t>2019年4月3日</w:t>
      </w:r>
    </w:p>
    <w:p>
      <w:pPr>
        <w:keepNext/>
        <w:widowControl/>
        <w:adjustRightInd/>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附1：参与实施政府采购节能产品认证机构名录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pPr>
              <w:spacing w:line="276" w:lineRule="auto"/>
              <w:jc w:val="center"/>
              <w:textAlignment w:val="baseline"/>
              <w:rPr>
                <w:rFonts w:ascii="宋体" w:hAnsi="宋体" w:cs="宋体"/>
                <w:w w:val="90"/>
                <w:kern w:val="0"/>
                <w:sz w:val="22"/>
                <w:szCs w:val="22"/>
                <w:highlight w:val="none"/>
              </w:rPr>
            </w:pPr>
          </w:p>
        </w:tc>
        <w:tc>
          <w:tcPr>
            <w:tcW w:w="1134"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产品名称</w:t>
            </w:r>
          </w:p>
        </w:tc>
        <w:tc>
          <w:tcPr>
            <w:tcW w:w="1402"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highlight w:val="none"/>
              </w:rPr>
            </w:pPr>
            <w:r>
              <w:rPr>
                <w:rFonts w:hint="eastAsia" w:ascii="宋体" w:hAnsi="宋体" w:cs="宋体"/>
                <w:b/>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北京赛西认证有限责任公司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中国网络安全审查技术与认证中心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便携式计算机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平板式微型计算机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显示设备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图形图像输入设备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A020204352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电能（北京）认证中心有限公司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合肥通用机械产品认证有限公司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空调机组</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专用制冷、空调设备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其他制冷空调设备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电能（北京）认证中心有限公司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电能（北京）认证中心有限公司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深圳市计量质量检测研究院</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空调机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洗衣机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热水器</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威凯认证检测有限公司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中家院（北京）检测认证有限公司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深圳市计量质量检测研究院</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北京泰瑞特认证有限责任公司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北京鉴衡认证中心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中国质量认证中心</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北京新华节水产品认证有限公司</w:t>
            </w:r>
          </w:p>
          <w:p>
            <w:pPr>
              <w:widowControl/>
              <w:spacing w:line="276" w:lineRule="auto"/>
              <w:jc w:val="left"/>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r>
              <w:rPr>
                <w:rFonts w:hint="eastAsia" w:ascii="宋体" w:hAnsi="宋体" w:cs="宋体"/>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highlight w:val="none"/>
              </w:rPr>
            </w:pPr>
          </w:p>
        </w:tc>
      </w:tr>
    </w:tbl>
    <w:p>
      <w:pPr>
        <w:keepNext/>
        <w:widowControl/>
        <w:adjustRightInd/>
        <w:rPr>
          <w:rFonts w:ascii="宋体" w:hAnsi="宋体" w:cs="宋体"/>
          <w:highlight w:val="none"/>
        </w:rPr>
      </w:pPr>
      <w:r>
        <w:rPr>
          <w:rFonts w:hint="eastAsia" w:ascii="宋体" w:hAnsi="宋体" w:cs="宋体"/>
          <w:highlight w:val="none"/>
        </w:rPr>
        <w:t>附2：参与实施政府采购环境标志产品认证机构名录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highlight w:val="none"/>
              </w:rPr>
            </w:pPr>
            <w:r>
              <w:rPr>
                <w:rFonts w:hint="eastAsia" w:ascii="宋体" w:hAnsi="宋体" w:cs="宋体"/>
                <w:b/>
                <w:kern w:val="0"/>
                <w:sz w:val="22"/>
                <w:szCs w:val="22"/>
                <w:highlight w:val="none"/>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highlight w:val="none"/>
              </w:rPr>
            </w:pPr>
            <w:r>
              <w:rPr>
                <w:rFonts w:hint="eastAsia" w:ascii="宋体" w:hAnsi="宋体" w:cs="宋体"/>
                <w:b/>
                <w:kern w:val="0"/>
                <w:sz w:val="22"/>
                <w:szCs w:val="22"/>
                <w:highlight w:val="none"/>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highlight w:val="none"/>
              </w:rPr>
            </w:pPr>
            <w:r>
              <w:rPr>
                <w:rFonts w:hint="eastAsia" w:ascii="宋体" w:hAnsi="宋体" w:cs="宋体"/>
                <w:b/>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kern w:val="0"/>
                <w:sz w:val="22"/>
                <w:szCs w:val="22"/>
                <w:highlight w:val="none"/>
              </w:rPr>
            </w:pPr>
            <w:r>
              <w:rPr>
                <w:rFonts w:hint="eastAsia" w:ascii="宋体" w:hAnsi="宋体" w:cs="宋体"/>
                <w:kern w:val="0"/>
                <w:sz w:val="22"/>
                <w:szCs w:val="22"/>
                <w:highlight w:val="none"/>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kern w:val="0"/>
                <w:sz w:val="22"/>
                <w:szCs w:val="22"/>
                <w:highlight w:val="none"/>
              </w:rPr>
            </w:pPr>
            <w:r>
              <w:rPr>
                <w:rFonts w:hint="eastAsia" w:ascii="宋体" w:hAnsi="宋体" w:cs="宋体"/>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中环联合（北京）认证中心有限公司</w:t>
            </w:r>
          </w:p>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中标合信（北京）认证有限公司</w:t>
            </w:r>
          </w:p>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中环协（北京）认证有限公司</w:t>
            </w:r>
          </w:p>
          <w:p>
            <w:pPr>
              <w:widowControl/>
              <w:spacing w:line="276" w:lineRule="auto"/>
              <w:jc w:val="left"/>
              <w:textAlignment w:val="baseline"/>
              <w:rPr>
                <w:rFonts w:ascii="宋体" w:hAnsi="宋体" w:cs="宋体"/>
                <w:kern w:val="0"/>
                <w:sz w:val="22"/>
                <w:szCs w:val="22"/>
                <w:highlight w:val="none"/>
              </w:rPr>
            </w:pPr>
            <w:r>
              <w:rPr>
                <w:rFonts w:hint="eastAsia" w:ascii="宋体" w:hAnsi="宋体" w:cs="宋体"/>
                <w:kern w:val="0"/>
                <w:sz w:val="22"/>
                <w:szCs w:val="22"/>
                <w:highlight w:val="none"/>
              </w:rPr>
              <w:t>天津华诚认证有限公司</w:t>
            </w:r>
          </w:p>
        </w:tc>
      </w:tr>
      <w:bookmarkEnd w:id="1038"/>
      <w:bookmarkEnd w:id="1039"/>
      <w:bookmarkEnd w:id="1040"/>
      <w:bookmarkEnd w:id="1041"/>
      <w:bookmarkEnd w:id="1042"/>
    </w:tbl>
    <w:p>
      <w:pPr>
        <w:rPr>
          <w:rFonts w:ascii="宋体" w:hAnsi="宋体" w:cs="宋体"/>
          <w:highlight w:val="none"/>
        </w:rPr>
      </w:pPr>
    </w:p>
    <w:p>
      <w:pPr>
        <w:rPr>
          <w:rFonts w:ascii="宋体" w:hAnsi="宋体" w:cs="宋体"/>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B"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bookmarkStart w:id="1094" w:name="_Toc36110187"/>
    <w:bookmarkStart w:id="1095" w:name="_Toc91899912"/>
    <w:bookmarkStart w:id="1096" w:name="_Toc164085800"/>
    <w:bookmarkStart w:id="1097" w:name="_Toc131845147"/>
    <w:r>
      <w:rPr>
        <w:rFonts w:hint="eastAsia" w:ascii="仿宋_GB2312" w:eastAsia="仿宋_GB2312"/>
        <w:kern w:val="0"/>
        <w:szCs w:val="21"/>
      </w:rPr>
      <w:t xml:space="preserve"> 页</w:t>
    </w:r>
    <w:bookmarkEnd w:id="1094"/>
    <w:bookmarkEnd w:id="1095"/>
    <w:bookmarkEnd w:id="1096"/>
    <w:bookmarkEnd w:id="10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val="0"/>
      <w:snapToGrid w:val="0"/>
      <w:spacing w:line="460" w:lineRule="exact"/>
      <w:rPr>
        <w:rFonts w:ascii="仿宋" w:hAnsi="仿宋" w:eastAsia="仿宋" w:cs="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D625C986"/>
    <w:multiLevelType w:val="singleLevel"/>
    <w:tmpl w:val="D625C986"/>
    <w:lvl w:ilvl="0" w:tentative="0">
      <w:start w:val="1"/>
      <w:numFmt w:val="decimal"/>
      <w:suff w:val="nothing"/>
      <w:lvlText w:val="（%1）"/>
      <w:lvlJc w:val="left"/>
    </w:lvl>
  </w:abstractNum>
  <w:abstractNum w:abstractNumId="2">
    <w:nsid w:val="E8AE49DD"/>
    <w:multiLevelType w:val="singleLevel"/>
    <w:tmpl w:val="E8AE49DD"/>
    <w:lvl w:ilvl="0" w:tentative="0">
      <w:start w:val="4"/>
      <w:numFmt w:val="decimal"/>
      <w:lvlText w:val="%1."/>
      <w:lvlJc w:val="left"/>
      <w:pPr>
        <w:tabs>
          <w:tab w:val="left" w:pos="312"/>
        </w:tabs>
      </w:pPr>
    </w:lvl>
  </w:abstractNum>
  <w:abstractNum w:abstractNumId="3">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67"/>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249"/>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BD5"/>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736"/>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9D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9AF"/>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A98"/>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38A5"/>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5FA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9BF"/>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473"/>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C70"/>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342"/>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C1F"/>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09A"/>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0FC8"/>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9FC"/>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5E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564"/>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EF"/>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F10"/>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89C"/>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66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0D4"/>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8E1"/>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472F"/>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025"/>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300"/>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00"/>
    <w:rsid w:val="00C379EF"/>
    <w:rsid w:val="00C405C8"/>
    <w:rsid w:val="00C40C2F"/>
    <w:rsid w:val="00C415AC"/>
    <w:rsid w:val="00C4293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E64"/>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1B0"/>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C5F"/>
    <w:rsid w:val="00D02A80"/>
    <w:rsid w:val="00D0352D"/>
    <w:rsid w:val="00D038DC"/>
    <w:rsid w:val="00D04F01"/>
    <w:rsid w:val="00D04F8B"/>
    <w:rsid w:val="00D054EF"/>
    <w:rsid w:val="00D05637"/>
    <w:rsid w:val="00D05BA9"/>
    <w:rsid w:val="00D05EB1"/>
    <w:rsid w:val="00D0650B"/>
    <w:rsid w:val="00D068AA"/>
    <w:rsid w:val="00D06E71"/>
    <w:rsid w:val="00D06E9C"/>
    <w:rsid w:val="00D070C2"/>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9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690"/>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40430E"/>
    <w:rsid w:val="025F0711"/>
    <w:rsid w:val="026B2E25"/>
    <w:rsid w:val="02824D4D"/>
    <w:rsid w:val="02DC4B10"/>
    <w:rsid w:val="02DD76CE"/>
    <w:rsid w:val="02F36323"/>
    <w:rsid w:val="02F5619C"/>
    <w:rsid w:val="0324650B"/>
    <w:rsid w:val="0326446A"/>
    <w:rsid w:val="032D5555"/>
    <w:rsid w:val="036634D2"/>
    <w:rsid w:val="038F5D16"/>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D31737"/>
    <w:rsid w:val="06FD0DC0"/>
    <w:rsid w:val="071B3656"/>
    <w:rsid w:val="07245D42"/>
    <w:rsid w:val="07264C62"/>
    <w:rsid w:val="075A6102"/>
    <w:rsid w:val="0779354C"/>
    <w:rsid w:val="07A46B95"/>
    <w:rsid w:val="08061376"/>
    <w:rsid w:val="08452D77"/>
    <w:rsid w:val="086401F8"/>
    <w:rsid w:val="08661343"/>
    <w:rsid w:val="08751CAA"/>
    <w:rsid w:val="087E4C40"/>
    <w:rsid w:val="08923AEE"/>
    <w:rsid w:val="08A871D0"/>
    <w:rsid w:val="08B776DE"/>
    <w:rsid w:val="08D66AD6"/>
    <w:rsid w:val="08DA33A3"/>
    <w:rsid w:val="08E80F13"/>
    <w:rsid w:val="09153A7C"/>
    <w:rsid w:val="09335624"/>
    <w:rsid w:val="0944690F"/>
    <w:rsid w:val="09535675"/>
    <w:rsid w:val="095F057D"/>
    <w:rsid w:val="09642282"/>
    <w:rsid w:val="09733572"/>
    <w:rsid w:val="09772C16"/>
    <w:rsid w:val="098353B5"/>
    <w:rsid w:val="09864427"/>
    <w:rsid w:val="09A92330"/>
    <w:rsid w:val="09B06B87"/>
    <w:rsid w:val="09C13146"/>
    <w:rsid w:val="09CC00E2"/>
    <w:rsid w:val="09E04166"/>
    <w:rsid w:val="0A1249BD"/>
    <w:rsid w:val="0A1C0718"/>
    <w:rsid w:val="0A303401"/>
    <w:rsid w:val="0A3E7710"/>
    <w:rsid w:val="0A5B7E63"/>
    <w:rsid w:val="0A703465"/>
    <w:rsid w:val="0AA374A5"/>
    <w:rsid w:val="0AAB7649"/>
    <w:rsid w:val="0AB018C6"/>
    <w:rsid w:val="0ABC5606"/>
    <w:rsid w:val="0AC34AE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1737"/>
    <w:rsid w:val="0D677926"/>
    <w:rsid w:val="0D827401"/>
    <w:rsid w:val="0D84094E"/>
    <w:rsid w:val="0D8A00E9"/>
    <w:rsid w:val="0D8D589E"/>
    <w:rsid w:val="0DA01C73"/>
    <w:rsid w:val="0DB22432"/>
    <w:rsid w:val="0DD63300"/>
    <w:rsid w:val="0DF50604"/>
    <w:rsid w:val="0DF702FE"/>
    <w:rsid w:val="0E060E51"/>
    <w:rsid w:val="0E214EC1"/>
    <w:rsid w:val="0E5604B2"/>
    <w:rsid w:val="0E6D5D79"/>
    <w:rsid w:val="0E9D0089"/>
    <w:rsid w:val="0EB803EE"/>
    <w:rsid w:val="0EE553EB"/>
    <w:rsid w:val="0EF94D4B"/>
    <w:rsid w:val="0F2B5890"/>
    <w:rsid w:val="0F4958DC"/>
    <w:rsid w:val="0F515DF7"/>
    <w:rsid w:val="0F596BA8"/>
    <w:rsid w:val="0F6248D2"/>
    <w:rsid w:val="0F655282"/>
    <w:rsid w:val="0F693536"/>
    <w:rsid w:val="0F7B0511"/>
    <w:rsid w:val="0F7B76D9"/>
    <w:rsid w:val="0F816ACD"/>
    <w:rsid w:val="0F9832DB"/>
    <w:rsid w:val="0FBF3FD2"/>
    <w:rsid w:val="0FBF7FF3"/>
    <w:rsid w:val="105A2BF1"/>
    <w:rsid w:val="10646583"/>
    <w:rsid w:val="107D4B15"/>
    <w:rsid w:val="10824CF5"/>
    <w:rsid w:val="108A3C80"/>
    <w:rsid w:val="10C26171"/>
    <w:rsid w:val="10F33360"/>
    <w:rsid w:val="10FC16EA"/>
    <w:rsid w:val="110A131F"/>
    <w:rsid w:val="110F1D40"/>
    <w:rsid w:val="11266F33"/>
    <w:rsid w:val="118963A1"/>
    <w:rsid w:val="11C6522A"/>
    <w:rsid w:val="11D54941"/>
    <w:rsid w:val="11E104CC"/>
    <w:rsid w:val="11E20309"/>
    <w:rsid w:val="12255233"/>
    <w:rsid w:val="12530213"/>
    <w:rsid w:val="12575356"/>
    <w:rsid w:val="127723A9"/>
    <w:rsid w:val="12862074"/>
    <w:rsid w:val="12883966"/>
    <w:rsid w:val="129E45B4"/>
    <w:rsid w:val="12D81596"/>
    <w:rsid w:val="1300779B"/>
    <w:rsid w:val="13072A44"/>
    <w:rsid w:val="135F4BE2"/>
    <w:rsid w:val="139B1A0A"/>
    <w:rsid w:val="139D25C7"/>
    <w:rsid w:val="13BD2F1D"/>
    <w:rsid w:val="13BF3CE4"/>
    <w:rsid w:val="141008D8"/>
    <w:rsid w:val="14125FE6"/>
    <w:rsid w:val="146D271E"/>
    <w:rsid w:val="14982588"/>
    <w:rsid w:val="149A5AD9"/>
    <w:rsid w:val="14A7619D"/>
    <w:rsid w:val="150536C3"/>
    <w:rsid w:val="150C1963"/>
    <w:rsid w:val="151447A0"/>
    <w:rsid w:val="152B4878"/>
    <w:rsid w:val="153C14E1"/>
    <w:rsid w:val="154A6454"/>
    <w:rsid w:val="15762120"/>
    <w:rsid w:val="169C5A3D"/>
    <w:rsid w:val="16A8729C"/>
    <w:rsid w:val="16B33777"/>
    <w:rsid w:val="16BC70A7"/>
    <w:rsid w:val="16C6339E"/>
    <w:rsid w:val="16F342CD"/>
    <w:rsid w:val="172F2D79"/>
    <w:rsid w:val="17557BEF"/>
    <w:rsid w:val="17D349C1"/>
    <w:rsid w:val="1830729E"/>
    <w:rsid w:val="1846212A"/>
    <w:rsid w:val="1870062C"/>
    <w:rsid w:val="18817102"/>
    <w:rsid w:val="18830A15"/>
    <w:rsid w:val="18852B28"/>
    <w:rsid w:val="188B5321"/>
    <w:rsid w:val="18AC6A80"/>
    <w:rsid w:val="18BD39C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D4238"/>
    <w:rsid w:val="1BB4777D"/>
    <w:rsid w:val="1BD75AB8"/>
    <w:rsid w:val="1C0459C2"/>
    <w:rsid w:val="1C1B3B4A"/>
    <w:rsid w:val="1C7725CD"/>
    <w:rsid w:val="1C88086E"/>
    <w:rsid w:val="1CA42338"/>
    <w:rsid w:val="1D266CE1"/>
    <w:rsid w:val="1D3963AF"/>
    <w:rsid w:val="1D3D0FE5"/>
    <w:rsid w:val="1D6A673C"/>
    <w:rsid w:val="1D9247AE"/>
    <w:rsid w:val="1DB567EC"/>
    <w:rsid w:val="1DF51A98"/>
    <w:rsid w:val="1E3D060F"/>
    <w:rsid w:val="1E3F7D2E"/>
    <w:rsid w:val="1E4134E4"/>
    <w:rsid w:val="1E4C3240"/>
    <w:rsid w:val="1E5062B3"/>
    <w:rsid w:val="1E523514"/>
    <w:rsid w:val="1E714A66"/>
    <w:rsid w:val="1E802593"/>
    <w:rsid w:val="1E8B6156"/>
    <w:rsid w:val="1E9B7E13"/>
    <w:rsid w:val="1EA703CC"/>
    <w:rsid w:val="1EB7330C"/>
    <w:rsid w:val="1F0A0FF3"/>
    <w:rsid w:val="1F5771FF"/>
    <w:rsid w:val="1F904124"/>
    <w:rsid w:val="1FE868A9"/>
    <w:rsid w:val="20034907"/>
    <w:rsid w:val="20173E4B"/>
    <w:rsid w:val="204E48BC"/>
    <w:rsid w:val="20567239"/>
    <w:rsid w:val="208921B3"/>
    <w:rsid w:val="20973DEB"/>
    <w:rsid w:val="20B02AAE"/>
    <w:rsid w:val="20B26522"/>
    <w:rsid w:val="20B44310"/>
    <w:rsid w:val="20BC6702"/>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22A"/>
    <w:rsid w:val="245375B0"/>
    <w:rsid w:val="24642C0A"/>
    <w:rsid w:val="24B22173"/>
    <w:rsid w:val="24B95AD9"/>
    <w:rsid w:val="24BE24DA"/>
    <w:rsid w:val="24CF5825"/>
    <w:rsid w:val="24D663E6"/>
    <w:rsid w:val="24D77F2B"/>
    <w:rsid w:val="251F41C2"/>
    <w:rsid w:val="25205A7B"/>
    <w:rsid w:val="257B43C9"/>
    <w:rsid w:val="258B00E2"/>
    <w:rsid w:val="25A917A6"/>
    <w:rsid w:val="25BE27CC"/>
    <w:rsid w:val="25F74A5C"/>
    <w:rsid w:val="25FD5FE0"/>
    <w:rsid w:val="2628662C"/>
    <w:rsid w:val="262D45DE"/>
    <w:rsid w:val="26871DC8"/>
    <w:rsid w:val="26A53EF9"/>
    <w:rsid w:val="26A94201"/>
    <w:rsid w:val="26AA7874"/>
    <w:rsid w:val="26AC274F"/>
    <w:rsid w:val="26E665E8"/>
    <w:rsid w:val="27044A29"/>
    <w:rsid w:val="271D34C8"/>
    <w:rsid w:val="27483067"/>
    <w:rsid w:val="276142BF"/>
    <w:rsid w:val="27783712"/>
    <w:rsid w:val="278F47C1"/>
    <w:rsid w:val="27907362"/>
    <w:rsid w:val="282019FE"/>
    <w:rsid w:val="28333E1D"/>
    <w:rsid w:val="28454BD6"/>
    <w:rsid w:val="28455253"/>
    <w:rsid w:val="28551971"/>
    <w:rsid w:val="285B1C53"/>
    <w:rsid w:val="289F7086"/>
    <w:rsid w:val="28C32028"/>
    <w:rsid w:val="28CC490F"/>
    <w:rsid w:val="28DA78A3"/>
    <w:rsid w:val="28DE40AA"/>
    <w:rsid w:val="29345E77"/>
    <w:rsid w:val="294C65AD"/>
    <w:rsid w:val="29806583"/>
    <w:rsid w:val="298B3C4C"/>
    <w:rsid w:val="29F26D24"/>
    <w:rsid w:val="2A15033F"/>
    <w:rsid w:val="2A1662C1"/>
    <w:rsid w:val="2A1C7367"/>
    <w:rsid w:val="2A2815FA"/>
    <w:rsid w:val="2A6D6092"/>
    <w:rsid w:val="2A7D76B4"/>
    <w:rsid w:val="2B140E6A"/>
    <w:rsid w:val="2B437463"/>
    <w:rsid w:val="2B7807EE"/>
    <w:rsid w:val="2BA50BF7"/>
    <w:rsid w:val="2BBF00EC"/>
    <w:rsid w:val="2BC37CFD"/>
    <w:rsid w:val="2BD5237F"/>
    <w:rsid w:val="2BE536CE"/>
    <w:rsid w:val="2BE758D9"/>
    <w:rsid w:val="2C09049E"/>
    <w:rsid w:val="2C0A653C"/>
    <w:rsid w:val="2C191F85"/>
    <w:rsid w:val="2C664427"/>
    <w:rsid w:val="2C89133D"/>
    <w:rsid w:val="2CE82D6F"/>
    <w:rsid w:val="2D343236"/>
    <w:rsid w:val="2DD15014"/>
    <w:rsid w:val="2DF72DE4"/>
    <w:rsid w:val="2DFB7085"/>
    <w:rsid w:val="2E0220AF"/>
    <w:rsid w:val="2E4B082A"/>
    <w:rsid w:val="2E5D4E86"/>
    <w:rsid w:val="2E5D790B"/>
    <w:rsid w:val="2E9A3C18"/>
    <w:rsid w:val="2EBB0FEE"/>
    <w:rsid w:val="2EC63002"/>
    <w:rsid w:val="2EDE23AC"/>
    <w:rsid w:val="2F0A6B38"/>
    <w:rsid w:val="2F8B033D"/>
    <w:rsid w:val="2F946CCB"/>
    <w:rsid w:val="2FD25781"/>
    <w:rsid w:val="2FDC745C"/>
    <w:rsid w:val="2FFD7934"/>
    <w:rsid w:val="30011EB2"/>
    <w:rsid w:val="30733ACD"/>
    <w:rsid w:val="308C3862"/>
    <w:rsid w:val="309379D8"/>
    <w:rsid w:val="30A270F7"/>
    <w:rsid w:val="30DF1478"/>
    <w:rsid w:val="30EC586F"/>
    <w:rsid w:val="31441B22"/>
    <w:rsid w:val="316A07AA"/>
    <w:rsid w:val="31861AA0"/>
    <w:rsid w:val="319C6071"/>
    <w:rsid w:val="31A11ECE"/>
    <w:rsid w:val="31AC537E"/>
    <w:rsid w:val="31D7225B"/>
    <w:rsid w:val="31E3679B"/>
    <w:rsid w:val="31E732FD"/>
    <w:rsid w:val="32290665"/>
    <w:rsid w:val="32517576"/>
    <w:rsid w:val="32661E67"/>
    <w:rsid w:val="32BE5C2C"/>
    <w:rsid w:val="32C13453"/>
    <w:rsid w:val="32C45A11"/>
    <w:rsid w:val="32D63C1D"/>
    <w:rsid w:val="32E7407C"/>
    <w:rsid w:val="32FB6478"/>
    <w:rsid w:val="33117EC6"/>
    <w:rsid w:val="332410BB"/>
    <w:rsid w:val="33263B3F"/>
    <w:rsid w:val="336963EB"/>
    <w:rsid w:val="33816EEB"/>
    <w:rsid w:val="33CD5020"/>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D2D2D"/>
    <w:rsid w:val="36A74ADA"/>
    <w:rsid w:val="36AD60D5"/>
    <w:rsid w:val="36B224F9"/>
    <w:rsid w:val="36EC0CC9"/>
    <w:rsid w:val="373F410B"/>
    <w:rsid w:val="37EE7094"/>
    <w:rsid w:val="380C7B2F"/>
    <w:rsid w:val="381E7B71"/>
    <w:rsid w:val="38296C89"/>
    <w:rsid w:val="383002EB"/>
    <w:rsid w:val="38586797"/>
    <w:rsid w:val="38BC0149"/>
    <w:rsid w:val="38D87D1C"/>
    <w:rsid w:val="39636459"/>
    <w:rsid w:val="396B7F6C"/>
    <w:rsid w:val="39AC6A61"/>
    <w:rsid w:val="39B417A9"/>
    <w:rsid w:val="39FC5695"/>
    <w:rsid w:val="3A006D8E"/>
    <w:rsid w:val="3A204F94"/>
    <w:rsid w:val="3A3651E5"/>
    <w:rsid w:val="3A744481"/>
    <w:rsid w:val="3A833E14"/>
    <w:rsid w:val="3A8C7BEF"/>
    <w:rsid w:val="3A906246"/>
    <w:rsid w:val="3B2349B7"/>
    <w:rsid w:val="3B616CFF"/>
    <w:rsid w:val="3B6259F6"/>
    <w:rsid w:val="3B8879B1"/>
    <w:rsid w:val="3B976654"/>
    <w:rsid w:val="3BC01EFC"/>
    <w:rsid w:val="3BCA786A"/>
    <w:rsid w:val="3BD31E2F"/>
    <w:rsid w:val="3BD647D9"/>
    <w:rsid w:val="3BF15831"/>
    <w:rsid w:val="3C100E7D"/>
    <w:rsid w:val="3C105946"/>
    <w:rsid w:val="3C471448"/>
    <w:rsid w:val="3C505B8F"/>
    <w:rsid w:val="3C5F759A"/>
    <w:rsid w:val="3C6C525A"/>
    <w:rsid w:val="3CCE23CB"/>
    <w:rsid w:val="3CD17D17"/>
    <w:rsid w:val="3D3C7F39"/>
    <w:rsid w:val="3D406863"/>
    <w:rsid w:val="3D440F09"/>
    <w:rsid w:val="3D4504A0"/>
    <w:rsid w:val="3D8734BB"/>
    <w:rsid w:val="3D9A11D4"/>
    <w:rsid w:val="3DA16D89"/>
    <w:rsid w:val="3DA364BE"/>
    <w:rsid w:val="3DE041CB"/>
    <w:rsid w:val="3E0D48F6"/>
    <w:rsid w:val="3E1868B4"/>
    <w:rsid w:val="3E377251"/>
    <w:rsid w:val="3E3B1152"/>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B6B65"/>
    <w:rsid w:val="4019356B"/>
    <w:rsid w:val="40592157"/>
    <w:rsid w:val="406E1CAE"/>
    <w:rsid w:val="40A0133A"/>
    <w:rsid w:val="40B42F2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2948C4"/>
    <w:rsid w:val="443B4AC0"/>
    <w:rsid w:val="445322D0"/>
    <w:rsid w:val="448B5695"/>
    <w:rsid w:val="449101DD"/>
    <w:rsid w:val="44BC3473"/>
    <w:rsid w:val="44C17143"/>
    <w:rsid w:val="44DE1391"/>
    <w:rsid w:val="451B225C"/>
    <w:rsid w:val="452410C9"/>
    <w:rsid w:val="45317DFB"/>
    <w:rsid w:val="456D3CE4"/>
    <w:rsid w:val="4579042C"/>
    <w:rsid w:val="457F0571"/>
    <w:rsid w:val="45851176"/>
    <w:rsid w:val="45C55BC2"/>
    <w:rsid w:val="45C63B94"/>
    <w:rsid w:val="460E7DA5"/>
    <w:rsid w:val="46422483"/>
    <w:rsid w:val="4659254A"/>
    <w:rsid w:val="465A1079"/>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721643"/>
    <w:rsid w:val="4A95189E"/>
    <w:rsid w:val="4AA409BA"/>
    <w:rsid w:val="4AB82D0F"/>
    <w:rsid w:val="4AEB7664"/>
    <w:rsid w:val="4AFD7C19"/>
    <w:rsid w:val="4B0567D1"/>
    <w:rsid w:val="4B236AAE"/>
    <w:rsid w:val="4B2F799D"/>
    <w:rsid w:val="4B707271"/>
    <w:rsid w:val="4B9739F7"/>
    <w:rsid w:val="4BEE2503"/>
    <w:rsid w:val="4BF727EA"/>
    <w:rsid w:val="4C245A30"/>
    <w:rsid w:val="4C836B9D"/>
    <w:rsid w:val="4CB6685F"/>
    <w:rsid w:val="4CC367FE"/>
    <w:rsid w:val="4D077F3C"/>
    <w:rsid w:val="4D123355"/>
    <w:rsid w:val="4D2A3B31"/>
    <w:rsid w:val="4D312C52"/>
    <w:rsid w:val="4D905305"/>
    <w:rsid w:val="4D964A72"/>
    <w:rsid w:val="4D9C1254"/>
    <w:rsid w:val="4D9E5B15"/>
    <w:rsid w:val="4DFE2E8F"/>
    <w:rsid w:val="4E736847"/>
    <w:rsid w:val="4E793892"/>
    <w:rsid w:val="4E800872"/>
    <w:rsid w:val="4EC569ED"/>
    <w:rsid w:val="4ED50EA1"/>
    <w:rsid w:val="4EEC050C"/>
    <w:rsid w:val="4F104EC3"/>
    <w:rsid w:val="4F47354A"/>
    <w:rsid w:val="4F911C54"/>
    <w:rsid w:val="4FE625E0"/>
    <w:rsid w:val="5021480F"/>
    <w:rsid w:val="505C301C"/>
    <w:rsid w:val="50874A7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D3A62"/>
    <w:rsid w:val="522E4CC3"/>
    <w:rsid w:val="5244713B"/>
    <w:rsid w:val="52615633"/>
    <w:rsid w:val="526F4DE4"/>
    <w:rsid w:val="52977FD4"/>
    <w:rsid w:val="52A25790"/>
    <w:rsid w:val="52A96B6F"/>
    <w:rsid w:val="52B45975"/>
    <w:rsid w:val="52D94AA4"/>
    <w:rsid w:val="52EA3A62"/>
    <w:rsid w:val="52F50BB8"/>
    <w:rsid w:val="53097272"/>
    <w:rsid w:val="534C1537"/>
    <w:rsid w:val="53544462"/>
    <w:rsid w:val="53546BA8"/>
    <w:rsid w:val="5397158E"/>
    <w:rsid w:val="53E325D5"/>
    <w:rsid w:val="54013861"/>
    <w:rsid w:val="54487265"/>
    <w:rsid w:val="544D6070"/>
    <w:rsid w:val="54556A8D"/>
    <w:rsid w:val="54605E1E"/>
    <w:rsid w:val="54B3506A"/>
    <w:rsid w:val="54CA0D16"/>
    <w:rsid w:val="54DD4057"/>
    <w:rsid w:val="54E5452A"/>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E7A07"/>
    <w:rsid w:val="572E78E5"/>
    <w:rsid w:val="573954F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73629"/>
    <w:rsid w:val="58917D2F"/>
    <w:rsid w:val="5894085C"/>
    <w:rsid w:val="58AE4F0C"/>
    <w:rsid w:val="58B85899"/>
    <w:rsid w:val="58E363A9"/>
    <w:rsid w:val="591E264C"/>
    <w:rsid w:val="595E1678"/>
    <w:rsid w:val="596D5BD4"/>
    <w:rsid w:val="597E3DD8"/>
    <w:rsid w:val="59F80043"/>
    <w:rsid w:val="5A09252F"/>
    <w:rsid w:val="5A0B2778"/>
    <w:rsid w:val="5A2A7C7B"/>
    <w:rsid w:val="5A3B04A5"/>
    <w:rsid w:val="5A3E2560"/>
    <w:rsid w:val="5A5D3B6E"/>
    <w:rsid w:val="5A637A76"/>
    <w:rsid w:val="5A6D33BA"/>
    <w:rsid w:val="5A792B1F"/>
    <w:rsid w:val="5A874767"/>
    <w:rsid w:val="5AA85BE2"/>
    <w:rsid w:val="5AAD6F28"/>
    <w:rsid w:val="5AB1392F"/>
    <w:rsid w:val="5ABE2749"/>
    <w:rsid w:val="5AD63A24"/>
    <w:rsid w:val="5AE51A4D"/>
    <w:rsid w:val="5B2E1A1D"/>
    <w:rsid w:val="5B843A1C"/>
    <w:rsid w:val="5B873E3F"/>
    <w:rsid w:val="5C02690E"/>
    <w:rsid w:val="5C1807BC"/>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DA2E2B"/>
    <w:rsid w:val="61F94C26"/>
    <w:rsid w:val="62000E56"/>
    <w:rsid w:val="620546D0"/>
    <w:rsid w:val="624F3E49"/>
    <w:rsid w:val="62632286"/>
    <w:rsid w:val="62885958"/>
    <w:rsid w:val="62F40B65"/>
    <w:rsid w:val="62FC2CFE"/>
    <w:rsid w:val="63024505"/>
    <w:rsid w:val="635600A5"/>
    <w:rsid w:val="635B1DB5"/>
    <w:rsid w:val="63711FED"/>
    <w:rsid w:val="63880DDC"/>
    <w:rsid w:val="638D750D"/>
    <w:rsid w:val="639D7590"/>
    <w:rsid w:val="63AC6CC0"/>
    <w:rsid w:val="63F23480"/>
    <w:rsid w:val="64055776"/>
    <w:rsid w:val="641F5B67"/>
    <w:rsid w:val="64240056"/>
    <w:rsid w:val="643E143A"/>
    <w:rsid w:val="64491666"/>
    <w:rsid w:val="648B6EEF"/>
    <w:rsid w:val="64C158BF"/>
    <w:rsid w:val="64CE2EAA"/>
    <w:rsid w:val="64FA59AF"/>
    <w:rsid w:val="65074934"/>
    <w:rsid w:val="653C3090"/>
    <w:rsid w:val="65854376"/>
    <w:rsid w:val="658767BE"/>
    <w:rsid w:val="65892531"/>
    <w:rsid w:val="66195831"/>
    <w:rsid w:val="661A1A97"/>
    <w:rsid w:val="662E75B1"/>
    <w:rsid w:val="66342C2E"/>
    <w:rsid w:val="663E784C"/>
    <w:rsid w:val="66544AA1"/>
    <w:rsid w:val="66570776"/>
    <w:rsid w:val="668B6A45"/>
    <w:rsid w:val="66A02795"/>
    <w:rsid w:val="670F587A"/>
    <w:rsid w:val="67112C4A"/>
    <w:rsid w:val="67235C5C"/>
    <w:rsid w:val="672F3F24"/>
    <w:rsid w:val="673C7A85"/>
    <w:rsid w:val="673E055F"/>
    <w:rsid w:val="67551CE3"/>
    <w:rsid w:val="67A22552"/>
    <w:rsid w:val="67B22DCC"/>
    <w:rsid w:val="67BE71AA"/>
    <w:rsid w:val="67CF7323"/>
    <w:rsid w:val="67D90273"/>
    <w:rsid w:val="67DE5875"/>
    <w:rsid w:val="67E55852"/>
    <w:rsid w:val="67EB1AB4"/>
    <w:rsid w:val="67FA1285"/>
    <w:rsid w:val="68551F4F"/>
    <w:rsid w:val="68706C6B"/>
    <w:rsid w:val="687C10C9"/>
    <w:rsid w:val="68840C16"/>
    <w:rsid w:val="68876EFB"/>
    <w:rsid w:val="68884654"/>
    <w:rsid w:val="689F444F"/>
    <w:rsid w:val="68B96DBB"/>
    <w:rsid w:val="68CA2805"/>
    <w:rsid w:val="68E343C2"/>
    <w:rsid w:val="68E937A3"/>
    <w:rsid w:val="68FB149A"/>
    <w:rsid w:val="693E15D3"/>
    <w:rsid w:val="69601213"/>
    <w:rsid w:val="69627681"/>
    <w:rsid w:val="6977531D"/>
    <w:rsid w:val="69CC2BFF"/>
    <w:rsid w:val="69FD55B8"/>
    <w:rsid w:val="6A0B1C62"/>
    <w:rsid w:val="6A2406C8"/>
    <w:rsid w:val="6A9A1ADF"/>
    <w:rsid w:val="6ADE0BD1"/>
    <w:rsid w:val="6AE81378"/>
    <w:rsid w:val="6AE96859"/>
    <w:rsid w:val="6B147746"/>
    <w:rsid w:val="6B24787C"/>
    <w:rsid w:val="6B32413E"/>
    <w:rsid w:val="6B573233"/>
    <w:rsid w:val="6B5B6274"/>
    <w:rsid w:val="6B680B28"/>
    <w:rsid w:val="6B935D53"/>
    <w:rsid w:val="6B991AB8"/>
    <w:rsid w:val="6C1316F7"/>
    <w:rsid w:val="6C196F71"/>
    <w:rsid w:val="6C226FCB"/>
    <w:rsid w:val="6C31226F"/>
    <w:rsid w:val="6C517EC7"/>
    <w:rsid w:val="6C552F0B"/>
    <w:rsid w:val="6C8C67B7"/>
    <w:rsid w:val="6C9D744C"/>
    <w:rsid w:val="6CFC2295"/>
    <w:rsid w:val="6D167928"/>
    <w:rsid w:val="6D26299B"/>
    <w:rsid w:val="6D4772EC"/>
    <w:rsid w:val="6D846D63"/>
    <w:rsid w:val="6D9078AF"/>
    <w:rsid w:val="6DAA3FEF"/>
    <w:rsid w:val="6DC0172B"/>
    <w:rsid w:val="6DCB690C"/>
    <w:rsid w:val="6DD41A5B"/>
    <w:rsid w:val="6DD47742"/>
    <w:rsid w:val="6DEA5822"/>
    <w:rsid w:val="6DF43C2E"/>
    <w:rsid w:val="6DF51CA3"/>
    <w:rsid w:val="6E765193"/>
    <w:rsid w:val="6E8335BD"/>
    <w:rsid w:val="6E8E12EF"/>
    <w:rsid w:val="6E972936"/>
    <w:rsid w:val="6ED446C5"/>
    <w:rsid w:val="6F2A7D94"/>
    <w:rsid w:val="6F8331F1"/>
    <w:rsid w:val="6FAE1A09"/>
    <w:rsid w:val="6FD75BF8"/>
    <w:rsid w:val="707723D0"/>
    <w:rsid w:val="70CA1142"/>
    <w:rsid w:val="70F5661B"/>
    <w:rsid w:val="710C5071"/>
    <w:rsid w:val="71360107"/>
    <w:rsid w:val="713B688E"/>
    <w:rsid w:val="7148279F"/>
    <w:rsid w:val="71D43752"/>
    <w:rsid w:val="71F1796A"/>
    <w:rsid w:val="71FB63D5"/>
    <w:rsid w:val="72154626"/>
    <w:rsid w:val="72262B5D"/>
    <w:rsid w:val="72283FF7"/>
    <w:rsid w:val="722E7212"/>
    <w:rsid w:val="723A0474"/>
    <w:rsid w:val="725923E4"/>
    <w:rsid w:val="72864BF7"/>
    <w:rsid w:val="729023FC"/>
    <w:rsid w:val="72C04F5B"/>
    <w:rsid w:val="72D436E1"/>
    <w:rsid w:val="73C0646E"/>
    <w:rsid w:val="73DF3CB6"/>
    <w:rsid w:val="742222F5"/>
    <w:rsid w:val="743451D3"/>
    <w:rsid w:val="74476126"/>
    <w:rsid w:val="74706664"/>
    <w:rsid w:val="747F3682"/>
    <w:rsid w:val="749C4185"/>
    <w:rsid w:val="74B7324C"/>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51A47"/>
    <w:rsid w:val="77B276F9"/>
    <w:rsid w:val="77D1700D"/>
    <w:rsid w:val="77EC04CC"/>
    <w:rsid w:val="77EF5567"/>
    <w:rsid w:val="784309DA"/>
    <w:rsid w:val="78775729"/>
    <w:rsid w:val="78A42DB0"/>
    <w:rsid w:val="78A656AB"/>
    <w:rsid w:val="78B2245C"/>
    <w:rsid w:val="78E172CC"/>
    <w:rsid w:val="78EA1D1F"/>
    <w:rsid w:val="79036DC3"/>
    <w:rsid w:val="7904172F"/>
    <w:rsid w:val="790F7E27"/>
    <w:rsid w:val="7929420D"/>
    <w:rsid w:val="792A231A"/>
    <w:rsid w:val="79316829"/>
    <w:rsid w:val="7950785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43F8A"/>
    <w:rsid w:val="7B257FFD"/>
    <w:rsid w:val="7B305252"/>
    <w:rsid w:val="7B343476"/>
    <w:rsid w:val="7B3E709B"/>
    <w:rsid w:val="7B5A2978"/>
    <w:rsid w:val="7B5A7E4C"/>
    <w:rsid w:val="7B667AF9"/>
    <w:rsid w:val="7B7468F8"/>
    <w:rsid w:val="7BEE0103"/>
    <w:rsid w:val="7C0A0FE4"/>
    <w:rsid w:val="7C10618A"/>
    <w:rsid w:val="7C254906"/>
    <w:rsid w:val="7C590818"/>
    <w:rsid w:val="7C7C10F6"/>
    <w:rsid w:val="7C853BEA"/>
    <w:rsid w:val="7C881368"/>
    <w:rsid w:val="7CD564F7"/>
    <w:rsid w:val="7CE27788"/>
    <w:rsid w:val="7D0C32F1"/>
    <w:rsid w:val="7D0F408D"/>
    <w:rsid w:val="7D491C6C"/>
    <w:rsid w:val="7D5429C0"/>
    <w:rsid w:val="7D6E6D43"/>
    <w:rsid w:val="7D9F5FF7"/>
    <w:rsid w:val="7DB57A34"/>
    <w:rsid w:val="7DC5166B"/>
    <w:rsid w:val="7DE60973"/>
    <w:rsid w:val="7DEF0916"/>
    <w:rsid w:val="7E1E5218"/>
    <w:rsid w:val="7E631DD5"/>
    <w:rsid w:val="7E6C679B"/>
    <w:rsid w:val="7E9A4E1F"/>
    <w:rsid w:val="7EA7723A"/>
    <w:rsid w:val="7EF56FBB"/>
    <w:rsid w:val="7F0768EB"/>
    <w:rsid w:val="7F143BEC"/>
    <w:rsid w:val="7F362021"/>
    <w:rsid w:val="7F715AF2"/>
    <w:rsid w:val="7F7B47F9"/>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toa heading"/>
    <w:basedOn w:val="1"/>
    <w:next w:val="1"/>
    <w:autoRedefine/>
    <w:qFormat/>
    <w:uiPriority w:val="0"/>
    <w:rPr>
      <w:rFonts w:ascii="Arial" w:hAnsi="Arial"/>
      <w:sz w:val="24"/>
    </w:r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6"/>
    <w:link w:val="125"/>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1"/>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Balloon Text"/>
    <w:basedOn w:val="1"/>
    <w:link w:val="188"/>
    <w:autoRedefine/>
    <w:qFormat/>
    <w:uiPriority w:val="0"/>
    <w:rPr>
      <w:sz w:val="18"/>
      <w:szCs w:val="18"/>
    </w:rPr>
  </w:style>
  <w:style w:type="paragraph" w:styleId="43">
    <w:name w:val="footer"/>
    <w:basedOn w:val="1"/>
    <w:link w:val="383"/>
    <w:autoRedefine/>
    <w:qFormat/>
    <w:uiPriority w:val="99"/>
    <w:pPr>
      <w:tabs>
        <w:tab w:val="center" w:pos="4153"/>
        <w:tab w:val="right" w:pos="8306"/>
      </w:tabs>
      <w:snapToGrid w:val="0"/>
      <w:jc w:val="left"/>
    </w:pPr>
    <w:rPr>
      <w:sz w:val="18"/>
      <w:szCs w:val="18"/>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index 7"/>
    <w:basedOn w:val="1"/>
    <w:next w:val="1"/>
    <w:autoRedefine/>
    <w:qFormat/>
    <w:uiPriority w:val="0"/>
    <w:pPr>
      <w:ind w:left="1200" w:leftChars="1200"/>
    </w:p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2"/>
    <w:autoRedefine/>
    <w:qFormat/>
    <w:uiPriority w:val="0"/>
    <w:pPr>
      <w:spacing w:after="120" w:line="480" w:lineRule="auto"/>
    </w:pPr>
  </w:style>
  <w:style w:type="paragraph" w:styleId="60">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6"/>
    <w:autoRedefine/>
    <w:qFormat/>
    <w:uiPriority w:val="0"/>
    <w:rPr>
      <w:b/>
      <w:bCs/>
    </w:rPr>
  </w:style>
  <w:style w:type="paragraph" w:styleId="64">
    <w:name w:val="Body Text First Indent 2"/>
    <w:basedOn w:val="28"/>
    <w:link w:val="121"/>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basedOn w:val="72"/>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3"/>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4"/>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2"/>
    <w:autoRedefine/>
    <w:qFormat/>
    <w:uiPriority w:val="0"/>
    <w:rPr>
      <w:rFonts w:ascii="Arial" w:hAnsi="Arial" w:eastAsia="黑体" w:cs="Arial"/>
      <w:snapToGrid w:val="0"/>
      <w:kern w:val="0"/>
      <w:szCs w:val="21"/>
    </w:rPr>
  </w:style>
  <w:style w:type="character" w:customStyle="1" w:styleId="125">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9"/>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2"/>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2"/>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3"/>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8"/>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2"/>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60"/>
    <w:autoRedefine/>
    <w:qFormat/>
    <w:uiPriority w:val="0"/>
    <w:rPr>
      <w:rFonts w:ascii="黑体" w:hAnsi="Courier New" w:eastAsia="黑体"/>
    </w:rPr>
  </w:style>
  <w:style w:type="character" w:customStyle="1" w:styleId="302">
    <w:name w:val="正文文本 2 字符1"/>
    <w:link w:val="59"/>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2"/>
    <w:autoRedefine/>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26"/>
    <w:autoRedefine/>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5"/>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3"/>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2"/>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2"/>
    <w:autoRedefine/>
    <w:qFormat/>
    <w:uiPriority w:val="0"/>
    <w:rPr>
      <w:rFonts w:ascii="Arial" w:hAnsi="Arial" w:eastAsia="黑体" w:cs="Arial"/>
      <w:snapToGrid w:val="0"/>
      <w:kern w:val="0"/>
      <w:szCs w:val="21"/>
    </w:rPr>
  </w:style>
  <w:style w:type="character" w:customStyle="1" w:styleId="432">
    <w:name w:val="hui"/>
    <w:basedOn w:val="72"/>
    <w:autoRedefine/>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1"/>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Waxiyi2级符号"/>
    <w:basedOn w:val="1"/>
    <w:unhideWhenUsed/>
    <w:qFormat/>
    <w:uiPriority w:val="0"/>
    <w:pPr>
      <w:numPr>
        <w:ilvl w:val="1"/>
        <w:numId w:val="1"/>
      </w:numPr>
      <w:tabs>
        <w:tab w:val="left" w:pos="464"/>
      </w:tabs>
      <w:spacing w:line="500" w:lineRule="exact"/>
      <w:outlineLvl w:val="2"/>
    </w:pPr>
    <w:rPr>
      <w:rFonts w:ascii="宋体"/>
      <w:lang w:val="zh-CN"/>
    </w:rPr>
  </w:style>
  <w:style w:type="paragraph" w:customStyle="1" w:styleId="968">
    <w:name w:val="内文正文"/>
    <w:basedOn w:val="36"/>
    <w:qFormat/>
    <w:uiPriority w:val="0"/>
    <w:pPr>
      <w:snapToGrid w:val="0"/>
      <w:spacing w:line="400" w:lineRule="atLeast"/>
      <w:ind w:firstLine="420" w:firstLineChars="200"/>
    </w:pPr>
    <w:rPr>
      <w:szCs w:val="24"/>
    </w:rPr>
  </w:style>
  <w:style w:type="paragraph" w:customStyle="1" w:styleId="969">
    <w:name w:val="样式 样式1 + 首行缩进:  2 字符"/>
    <w:basedOn w:val="724"/>
    <w:qFormat/>
    <w:uiPriority w:val="0"/>
    <w:pPr>
      <w:spacing w:line="360" w:lineRule="exact"/>
      <w:ind w:firstLine="420" w:firstLineChars="200"/>
    </w:pPr>
    <w:rPr>
      <w:rFonts w:ascii="Arial" w:hAnsi="Arial" w:cs="宋体"/>
      <w:sz w:val="21"/>
    </w:rPr>
  </w:style>
  <w:style w:type="paragraph" w:customStyle="1" w:styleId="970">
    <w:name w:val="正文空2字"/>
    <w:basedOn w:val="97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D9234-9C23-42F5-B98F-BC282A51CD5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50176</Words>
  <Characters>54966</Characters>
  <Lines>539</Lines>
  <Paragraphs>151</Paragraphs>
  <TotalTime>6</TotalTime>
  <ScaleCrop>false</ScaleCrop>
  <LinksUpToDate>false</LinksUpToDate>
  <CharactersWithSpaces>59085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2024-05-16T05:35:00Z</dcterms:created>
  <dc:creator>玥</dc:creator>
  <cp:lastModifiedBy>仁</cp:lastModifiedBy>
  <cp:lastPrinted>2021-12-27T03:06:00Z</cp:lastPrinted>
  <dcterms:modified xsi:type="dcterms:W3CDTF">2024-06-14T04:31:06Z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97E4BD161A194E9A9244AA944BCAB19C_13</vt:lpwstr>
  </property>
  <property fmtid="{D5CDD505-2E9C-101B-9397-08002B2CF9AE}" pid="5" name="commondata">
    <vt:lpwstr>eyJoZGlkIjoiNGNlMmFkMDQ1NDY0ZmRiM2Q0NjY4NTFjN2IwMTllYjMifQ==</vt:lpwstr>
  </property>
</Properties>
</file>