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p>
    <w:p>
      <w:pPr>
        <w:adjustRightInd/>
        <w:spacing w:line="360" w:lineRule="auto"/>
        <w:jc w:val="center"/>
        <w:rPr>
          <w:rFonts w:ascii="宋体" w:hAnsi="宋体" w:cs="宋体"/>
          <w:b/>
          <w:color w:val="auto"/>
          <w:sz w:val="48"/>
          <w:szCs w:val="48"/>
          <w:highlight w:val="none"/>
        </w:rPr>
      </w:pPr>
    </w:p>
    <w:p>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2024年杭州市上城区教育系统网络改造</w:t>
      </w:r>
    </w:p>
    <w:p>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项目</w:t>
      </w:r>
    </w:p>
    <w:p>
      <w:pPr>
        <w:adjustRightInd/>
        <w:spacing w:line="360" w:lineRule="auto"/>
        <w:jc w:val="center"/>
        <w:rPr>
          <w:rFonts w:hint="eastAsia" w:ascii="宋体" w:hAnsi="宋体" w:cs="宋体"/>
          <w:color w:val="auto"/>
          <w:sz w:val="48"/>
          <w:szCs w:val="48"/>
          <w:highlight w:val="none"/>
        </w:rPr>
      </w:pPr>
    </w:p>
    <w:p>
      <w:pPr>
        <w:pStyle w:val="79"/>
        <w:rPr>
          <w:rFonts w:hint="eastAsia"/>
          <w:color w:val="auto"/>
          <w:highlight w:val="none"/>
        </w:rPr>
      </w:pPr>
    </w:p>
    <w:p>
      <w:pPr>
        <w:adjustRightInd/>
        <w:spacing w:line="360" w:lineRule="auto"/>
        <w:jc w:val="center"/>
        <w:rPr>
          <w:rFonts w:hint="eastAsia" w:ascii="宋体" w:hAnsi="宋体" w:cs="宋体"/>
          <w:color w:val="auto"/>
          <w:sz w:val="48"/>
          <w:szCs w:val="48"/>
          <w:highlight w:val="none"/>
        </w:rPr>
      </w:pPr>
    </w:p>
    <w:p>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OBZB-2024-0523</w:t>
      </w: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杭州市上城区教育发展服务中心</w:t>
      </w:r>
    </w:p>
    <w:p>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欧邦工程管理集团有限公司</w:t>
      </w:r>
    </w:p>
    <w:p>
      <w:pPr>
        <w:spacing w:line="360" w:lineRule="auto"/>
        <w:jc w:val="center"/>
        <w:rPr>
          <w:rFonts w:ascii="宋体" w:hAnsi="宋体" w:cs="宋体"/>
          <w:color w:val="auto"/>
          <w:sz w:val="24"/>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六</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三日</w:t>
      </w:r>
      <w:r>
        <w:rPr>
          <w:rFonts w:hint="eastAsia" w:ascii="宋体" w:hAnsi="宋体" w:cs="宋体"/>
          <w:color w:val="auto"/>
          <w:sz w:val="24"/>
          <w:highlight w:val="none"/>
        </w:rPr>
        <w:br w:type="page"/>
      </w:r>
      <w:bookmarkStart w:id="0" w:name="_Hlt67893495"/>
      <w:bookmarkEnd w:id="0"/>
    </w:p>
    <w:p>
      <w:pPr>
        <w:spacing w:line="360" w:lineRule="auto"/>
        <w:jc w:val="center"/>
        <w:rPr>
          <w:rFonts w:ascii="宋体" w:hAnsi="宋体" w:cs="宋体"/>
          <w:color w:val="auto"/>
          <w:sz w:val="24"/>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2024年杭州市上城区教育系统网络改造项目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rPr>
        <w:t>202</w:t>
      </w:r>
      <w:r>
        <w:rPr>
          <w:rStyle w:val="76"/>
          <w:rFonts w:hint="eastAsia" w:cs="Times New Roman" w:asciiTheme="minorEastAsia" w:hAnsiTheme="minorEastAsia" w:eastAsiaTheme="minorEastAsia"/>
          <w:snapToGrid/>
          <w:color w:val="auto"/>
          <w:kern w:val="2"/>
          <w:sz w:val="24"/>
          <w:szCs w:val="24"/>
          <w:highlight w:val="none"/>
          <w:lang w:val="en-US" w:eastAsia="zh-CN"/>
        </w:rPr>
        <w:t>4</w:t>
      </w:r>
      <w:r>
        <w:rPr>
          <w:rStyle w:val="76"/>
          <w:rFonts w:cs="Times New Roman" w:asciiTheme="minorEastAsia" w:hAnsiTheme="minorEastAsia" w:eastAsiaTheme="minorEastAsia"/>
          <w:snapToGrid/>
          <w:color w:val="auto"/>
          <w:kern w:val="2"/>
          <w:sz w:val="24"/>
          <w:szCs w:val="24"/>
          <w:highlight w:val="none"/>
        </w:rPr>
        <w:t>年</w:t>
      </w:r>
      <w:r>
        <w:rPr>
          <w:rStyle w:val="76"/>
          <w:rFonts w:hint="eastAsia" w:cs="Times New Roman" w:asciiTheme="minorEastAsia" w:hAnsiTheme="minorEastAsia" w:eastAsiaTheme="minorEastAsia"/>
          <w:snapToGrid/>
          <w:color w:val="auto"/>
          <w:kern w:val="2"/>
          <w:sz w:val="24"/>
          <w:szCs w:val="24"/>
          <w:highlight w:val="none"/>
          <w:lang w:val="en-US" w:eastAsia="zh-CN"/>
        </w:rPr>
        <w:t>6</w:t>
      </w:r>
      <w:r>
        <w:rPr>
          <w:rStyle w:val="76"/>
          <w:rFonts w:hint="eastAsia" w:cs="Times New Roman" w:asciiTheme="minorEastAsia" w:hAnsiTheme="minorEastAsia" w:eastAsiaTheme="minorEastAsia"/>
          <w:snapToGrid/>
          <w:color w:val="auto"/>
          <w:kern w:val="2"/>
          <w:sz w:val="24"/>
          <w:szCs w:val="24"/>
          <w:highlight w:val="none"/>
        </w:rPr>
        <w:t>月</w:t>
      </w:r>
      <w:r>
        <w:rPr>
          <w:rStyle w:val="76"/>
          <w:rFonts w:hint="eastAsia" w:cs="Times New Roman" w:asciiTheme="minorEastAsia" w:hAnsiTheme="minorEastAsia" w:eastAsiaTheme="minorEastAsia"/>
          <w:snapToGrid/>
          <w:color w:val="auto"/>
          <w:kern w:val="2"/>
          <w:sz w:val="24"/>
          <w:szCs w:val="24"/>
          <w:highlight w:val="none"/>
          <w:lang w:val="en-US" w:eastAsia="zh-CN"/>
        </w:rPr>
        <w:t>24</w:t>
      </w:r>
      <w:r>
        <w:rPr>
          <w:rStyle w:val="76"/>
          <w:rFonts w:hint="eastAsia" w:cs="Times New Roman" w:asciiTheme="minorEastAsia" w:hAnsiTheme="minorEastAsia" w:eastAsiaTheme="minorEastAsia"/>
          <w:snapToGrid/>
          <w:color w:val="auto"/>
          <w:kern w:val="2"/>
          <w:sz w:val="24"/>
          <w:szCs w:val="24"/>
          <w:highlight w:val="none"/>
        </w:rPr>
        <w:t>日</w:t>
      </w:r>
      <w:r>
        <w:rPr>
          <w:rStyle w:val="76"/>
          <w:rFonts w:hint="eastAsia" w:cs="Times New Roman" w:asciiTheme="minorEastAsia" w:hAnsiTheme="minorEastAsia" w:eastAsiaTheme="minorEastAsia"/>
          <w:snapToGrid/>
          <w:color w:val="auto"/>
          <w:kern w:val="2"/>
          <w:sz w:val="24"/>
          <w:szCs w:val="24"/>
          <w:highlight w:val="none"/>
          <w:lang w:val="en-US" w:eastAsia="zh-CN"/>
        </w:rPr>
        <w:t>10</w:t>
      </w:r>
      <w:r>
        <w:rPr>
          <w:rStyle w:val="76"/>
          <w:rFonts w:hint="eastAsia" w:cs="Times New Roman" w:asciiTheme="minorEastAsia" w:hAnsiTheme="minorEastAsia" w:eastAsiaTheme="minorEastAsia"/>
          <w:snapToGrid/>
          <w:color w:val="auto"/>
          <w:kern w:val="2"/>
          <w:sz w:val="24"/>
          <w:szCs w:val="24"/>
          <w:highlight w:val="none"/>
        </w:rPr>
        <w:t>点</w:t>
      </w:r>
      <w:r>
        <w:rPr>
          <w:rStyle w:val="76"/>
          <w:rFonts w:hint="eastAsia" w:cs="Times New Roman" w:asciiTheme="minorEastAsia" w:hAnsiTheme="minorEastAsia" w:eastAsiaTheme="minorEastAsia"/>
          <w:snapToGrid/>
          <w:color w:val="auto"/>
          <w:kern w:val="2"/>
          <w:sz w:val="24"/>
          <w:szCs w:val="24"/>
          <w:highlight w:val="none"/>
          <w:lang w:val="en-US" w:eastAsia="zh-CN"/>
        </w:rPr>
        <w:t>00</w:t>
      </w:r>
      <w:r>
        <w:rPr>
          <w:rStyle w:val="76"/>
          <w:rFonts w:hint="eastAsia" w:cs="Times New Roman" w:asciiTheme="minorEastAsia" w:hAnsiTheme="minorEastAsia" w:eastAsiaTheme="minorEastAsia"/>
          <w:snapToGrid/>
          <w:color w:val="auto"/>
          <w:kern w:val="2"/>
          <w:sz w:val="24"/>
          <w:szCs w:val="24"/>
          <w:highlight w:val="none"/>
        </w:rPr>
        <w:t>分</w:t>
      </w:r>
      <w:r>
        <w:rPr>
          <w:rStyle w:val="76"/>
          <w:rFonts w:hint="eastAsia" w:cs="Times New Roman" w:asciiTheme="minorEastAsia" w:hAnsiTheme="minorEastAsia" w:eastAsiaTheme="minorEastAsia"/>
          <w:bCs/>
          <w:snapToGrid/>
          <w:color w:val="auto"/>
          <w:kern w:val="2"/>
          <w:sz w:val="24"/>
          <w:szCs w:val="24"/>
          <w:highlight w:val="non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OBZB-2024-0523</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2024年杭州市上城区教育系统网络改造项目</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5243730</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最高限价（元）：</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5243730</w:t>
      </w:r>
    </w:p>
    <w:p>
      <w:pPr>
        <w:pStyle w:val="17"/>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
          <w:color w:val="auto"/>
          <w:sz w:val="24"/>
          <w:highlight w:val="none"/>
          <w:lang w:eastAsia="zh-CN"/>
        </w:rPr>
        <w:t>2024年杭州市上城区教育系统网络改造项目</w:t>
      </w:r>
      <w:r>
        <w:rPr>
          <w:rFonts w:hint="eastAsia" w:hAnsi="宋体" w:cs="宋体"/>
          <w:b/>
          <w:color w:val="auto"/>
          <w:sz w:val="24"/>
          <w:highlight w:val="none"/>
        </w:rPr>
        <w:t>主要内容：涉及部分老校区网络设备与布线改造利旧改造组成的集成项目，分别为：网络设备增补及整体集成施工。具体以招标文件第三部分采购需求为准。</w:t>
      </w:r>
    </w:p>
    <w:p>
      <w:pPr>
        <w:pStyle w:val="129"/>
        <w:ind w:firstLine="482"/>
        <w:outlineLvl w:val="2"/>
        <w:rPr>
          <w:rFonts w:ascii="宋体" w:hAnsi="宋体" w:cs="宋体"/>
          <w:color w:val="auto"/>
          <w:highlight w:val="none"/>
        </w:rPr>
      </w:pPr>
      <w:r>
        <w:rPr>
          <w:rFonts w:hint="eastAsia" w:ascii="宋体" w:hAnsi="宋体" w:cs="宋体"/>
          <w:b/>
          <w:color w:val="auto"/>
          <w:highlight w:val="none"/>
        </w:rPr>
        <w:t>合同履约期限：合同签订后在2024年8月20</w:t>
      </w:r>
      <w:r>
        <w:rPr>
          <w:rFonts w:hint="eastAsia" w:ascii="宋体" w:hAnsi="宋体" w:cs="宋体"/>
          <w:b/>
          <w:color w:val="auto"/>
          <w:highlight w:val="none"/>
          <w:lang w:val="en-US" w:eastAsia="zh-CN"/>
        </w:rPr>
        <w:t>日</w:t>
      </w:r>
      <w:r>
        <w:rPr>
          <w:rFonts w:hint="eastAsia" w:ascii="宋体" w:hAnsi="宋体" w:cs="宋体"/>
          <w:b/>
          <w:color w:val="auto"/>
          <w:highlight w:val="none"/>
        </w:rPr>
        <w:t xml:space="preserve">前完整交付用户使用。 </w:t>
      </w:r>
    </w:p>
    <w:p>
      <w:pPr>
        <w:pStyle w:val="17"/>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货物全部由符合政策要求的中小企业制造，提供中小企业声明函；</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货物全部由符合政策要求的小微企业制造，提供中小企业声明函；</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.本项目的特定资格要求：无；</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p>
    <w:p>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r>
        <w:rPr>
          <w:rFonts w:hint="eastAsia" w:ascii="宋体" w:hAnsi="宋体" w:cs="宋体"/>
          <w:color w:val="auto"/>
          <w:sz w:val="24"/>
          <w:highlight w:val="none"/>
          <w:lang w:eastAsia="zh-CN"/>
        </w:rPr>
        <w:t>；杭州市上城区教育发展服务中心（杭州市上城区运河东路301</w:t>
      </w:r>
      <w:r>
        <w:rPr>
          <w:rFonts w:hint="eastAsia" w:ascii="宋体" w:hAnsi="宋体" w:cs="宋体"/>
          <w:color w:val="auto"/>
          <w:sz w:val="24"/>
          <w:highlight w:val="none"/>
          <w:lang w:val="en-US" w:eastAsia="zh-CN"/>
        </w:rPr>
        <w:t>正</w:t>
      </w:r>
      <w:r>
        <w:rPr>
          <w:rFonts w:hint="eastAsia" w:ascii="宋体" w:hAnsi="宋体" w:cs="宋体"/>
          <w:color w:val="auto"/>
          <w:sz w:val="24"/>
          <w:highlight w:val="none"/>
          <w:lang w:eastAsia="zh-CN"/>
        </w:rPr>
        <w:t>（钱江外国语实验学校东门））</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称：杭州市上城区教育发展服务中心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eastAsia="zh-CN"/>
        </w:rPr>
        <w:t>杭州市上城区运河东路301</w:t>
      </w:r>
      <w:r>
        <w:rPr>
          <w:rFonts w:hint="eastAsia" w:ascii="宋体" w:hAnsi="宋体" w:cs="宋体"/>
          <w:color w:val="auto"/>
          <w:sz w:val="24"/>
          <w:highlight w:val="none"/>
          <w:lang w:val="en-US" w:eastAsia="zh-CN"/>
        </w:rPr>
        <w:t>正</w:t>
      </w:r>
      <w:r>
        <w:rPr>
          <w:rFonts w:hint="eastAsia" w:ascii="宋体" w:hAnsi="宋体" w:cs="宋体"/>
          <w:color w:val="auto"/>
          <w:sz w:val="24"/>
          <w:highlight w:val="none"/>
          <w:lang w:eastAsia="zh-CN"/>
        </w:rPr>
        <w:t>（钱江外国语实验学校东门）</w:t>
      </w:r>
      <w:r>
        <w:rPr>
          <w:rFonts w:hint="eastAsia" w:ascii="宋体" w:hAnsi="宋体" w:cs="宋体"/>
          <w:color w:val="auto"/>
          <w:sz w:val="24"/>
          <w:highlight w:val="none"/>
        </w:rPr>
        <w:t xml:space="preserve">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张老师</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项目联系方式（询问）：0571-86692589</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质疑联系人：潘老师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质疑联系方式：0571-86690186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称：欧邦工程管理集团有限公司</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址：杭州市西湖区文一西路558号西溪诚园诚公馆一号楼9楼</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王工</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19025704250</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周工</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w:t>
      </w:r>
      <w:r>
        <w:rPr>
          <w:rFonts w:hint="eastAsia" w:ascii="宋体" w:hAnsi="宋体" w:cs="宋体"/>
          <w:color w:val="auto"/>
          <w:sz w:val="24"/>
          <w:highlight w:val="none"/>
        </w:rPr>
        <w:t>85122486</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称：杭州市上城区财政局 /浙江省政府采购行政裁决服务中心（杭州）</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址：杭州市上城区四季青街道新业路市民之家G03办公室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监督投诉电话：电话：0571-85252453</w:t>
      </w:r>
    </w:p>
    <w:p>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政策咨询：陈先生、厉先生，0571-89580460、89580456</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pStyle w:val="34"/>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pPr>
        <w:pStyle w:val="5"/>
        <w:rPr>
          <w:rFonts w:ascii="宋体"/>
          <w:snapToGrid w:val="0"/>
          <w:color w:val="auto"/>
          <w:highlight w:val="none"/>
        </w:rPr>
      </w:pPr>
      <w:r>
        <w:rPr>
          <w:color w:val="auto"/>
          <w:highlight w:val="none"/>
        </w:rPr>
        <w:br w:type="page"/>
      </w: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5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kern w:val="0"/>
                <w:sz w:val="24"/>
                <w:highlight w:val="none"/>
                <w:u w:val="single"/>
                <w:lang w:val="en-US" w:eastAsia="zh-CN"/>
              </w:rPr>
              <w:t xml:space="preserve">核心交换机、全光网核心交换机  </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pPr>
              <w:snapToGrid/>
              <w:spacing w:line="240" w:lineRule="auto"/>
              <w:jc w:val="left"/>
              <w:rPr>
                <w:rFonts w:ascii="宋体" w:hAnsi="宋体" w:cs="宋体"/>
                <w:color w:val="auto"/>
                <w:sz w:val="24"/>
                <w:highlight w:val="none"/>
              </w:rPr>
            </w:pPr>
          </w:p>
          <w:p>
            <w:pPr>
              <w:snapToGrid/>
              <w:spacing w:line="240" w:lineRule="auto"/>
              <w:jc w:val="left"/>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spacing w:line="240" w:lineRule="auto"/>
              <w:jc w:val="left"/>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513" w:type="dxa"/>
            <w:tcBorders>
              <w:top w:val="single" w:color="000000" w:sz="8" w:space="0"/>
              <w:left w:val="single" w:color="000000" w:sz="2" w:space="0"/>
              <w:bottom w:val="single" w:color="000000" w:sz="8" w:space="0"/>
              <w:right w:val="single" w:color="000000" w:sz="8" w:space="0"/>
            </w:tcBorders>
            <w:vAlign w:val="center"/>
          </w:tcPr>
          <w:p>
            <w:pPr>
              <w:snapToGrid/>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放装AP、故障维护服务、六类非屏蔽双绞线、移动运维服务、六类水晶头、全网IPV6配置及区统一出口配置服务、整体集成交付费用、PVC管材、布线人工、用户新旧网络整体维护费用、加深明/暗盒、检修孔、室内PVC线槽、无线管理对接定制集成、24口PoE交换机、面板AP、高密AP、幼儿园核心、室外AP、光纤配线架、核心交换机、PVC线槽、PVC线管、电缆、无线对接与管理定制、用户跳线、16口POE入室交换机、48口PoE交换机、4芯室内单模光缆、8口POE交换机、8芯室外单模光缆、单口信息面板及配套底盒及模块、机柜、全光网核心交换机、设备箱、信息箱光终端盒、48口接入交换机、6芯室外单模光缆、8口POE入室交换机、教室及办公室内部设备箱、墙柜、桥架、万兆单模光模块、无线控制器、无线许可、运维软件、整体集成与安装调试费、中心机房静电地板、中心机房配套改造、施工费用、各机房机柜新老线路统一整理及标签标识费用及其它本项目完整交付所需一切相关补充项</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工业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pPr>
              <w:rPr>
                <w:rFonts w:ascii="宋体" w:hAnsi="宋体" w:eastAsia="宋体" w:cs="宋体"/>
                <w:color w:val="auto"/>
                <w:highlight w:val="none"/>
                <w:lang w:val="en-US"/>
              </w:rPr>
            </w:pPr>
            <w:r>
              <w:rPr>
                <w:rFonts w:hint="eastAsia" w:ascii="宋体" w:hAnsi="宋体" w:eastAsia="宋体" w:cs="宋体"/>
                <w:color w:val="auto"/>
                <w:highlight w:val="none"/>
                <w:lang w:val="en-U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09"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3"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自行踏勘</w:t>
            </w:r>
            <w:r>
              <w:rPr>
                <w:rFonts w:hint="eastAsia" w:ascii="宋体" w:hAnsi="宋体" w:cs="宋体"/>
                <w:color w:val="auto"/>
                <w:sz w:val="24"/>
                <w:highlight w:val="none"/>
              </w:rPr>
              <w:t>。</w:t>
            </w:r>
          </w:p>
          <w:p>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default" w:ascii="宋体" w:hAnsi="宋体" w:cs="宋体"/>
                <w:color w:val="auto"/>
                <w:sz w:val="24"/>
                <w:highlight w:val="none"/>
                <w:u w:val="single"/>
                <w:lang w:val="en-US"/>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default" w:ascii="宋体" w:hAnsi="宋体" w:cs="宋体"/>
                <w:color w:val="auto"/>
                <w:sz w:val="24"/>
                <w:highlight w:val="none"/>
                <w:u w:val="single"/>
                <w:lang w:val="en-US"/>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B要求提供，</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lang w:val="en-US" w:eastAsia="zh-CN"/>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lang w:val="en-US" w:eastAsia="zh-CN"/>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513"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513"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5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5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513"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513"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sz w:val="24"/>
                <w:highlight w:val="none"/>
                <w:u w:val="single"/>
                <w:lang w:eastAsia="zh-CN"/>
              </w:rPr>
              <w:t>杭州市上城区教育发展服务中心（杭州市上城区运河东路301</w:t>
            </w:r>
            <w:r>
              <w:rPr>
                <w:rFonts w:hint="eastAsia" w:hAnsi="宋体" w:cs="宋体"/>
                <w:color w:val="auto"/>
                <w:sz w:val="24"/>
                <w:highlight w:val="none"/>
                <w:u w:val="single"/>
                <w:lang w:val="en-US" w:eastAsia="zh-CN"/>
              </w:rPr>
              <w:t>正</w:t>
            </w:r>
            <w:r>
              <w:rPr>
                <w:rFonts w:hint="eastAsia" w:hAnsi="宋体" w:cs="宋体"/>
                <w:color w:val="auto"/>
                <w:sz w:val="24"/>
                <w:highlight w:val="none"/>
                <w:u w:val="single"/>
                <w:lang w:eastAsia="zh-CN"/>
              </w:rPr>
              <w:t>（钱江外国语实验学校东门））</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0571-86692589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4" w:hRule="atLeast"/>
          <w:tblHeader/>
        </w:trPr>
        <w:tc>
          <w:tcPr>
            <w:tcW w:w="629" w:type="dxa"/>
            <w:vMerge w:val="continue"/>
            <w:tcBorders>
              <w:left w:val="single" w:color="000000" w:sz="8" w:space="0"/>
              <w:right w:val="single" w:color="000000" w:sz="2" w:space="0"/>
            </w:tcBorders>
          </w:tcPr>
          <w:p>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vAlign w:val="top"/>
          </w:tcPr>
          <w:p>
            <w:pPr>
              <w:snapToGrid w:val="0"/>
              <w:spacing w:line="360" w:lineRule="auto"/>
              <w:jc w:val="center"/>
              <w:rPr>
                <w:rFonts w:hint="eastAsia" w:ascii="宋体" w:hAnsi="宋体" w:cs="宋体"/>
                <w:color w:val="auto"/>
                <w:sz w:val="24"/>
                <w:highlight w:val="none"/>
                <w:lang w:val="en-US" w:eastAsia="zh-CN"/>
              </w:rPr>
            </w:pPr>
          </w:p>
          <w:p>
            <w:pPr>
              <w:snapToGrid w:val="0"/>
              <w:spacing w:line="360" w:lineRule="auto"/>
              <w:jc w:val="center"/>
              <w:rPr>
                <w:rFonts w:hint="eastAsia" w:ascii="宋体" w:hAnsi="宋体" w:cs="宋体"/>
                <w:color w:val="auto"/>
                <w:sz w:val="24"/>
                <w:highlight w:val="none"/>
                <w:lang w:val="en-US" w:eastAsia="zh-CN"/>
              </w:rPr>
            </w:pPr>
          </w:p>
          <w:p>
            <w:pPr>
              <w:snapToGrid w:val="0"/>
              <w:spacing w:line="360" w:lineRule="auto"/>
              <w:jc w:val="center"/>
              <w:rPr>
                <w:rFonts w:hint="eastAsia" w:ascii="宋体" w:hAnsi="宋体" w:cs="宋体"/>
                <w:color w:val="auto"/>
                <w:sz w:val="24"/>
                <w:highlight w:val="none"/>
                <w:lang w:val="en-US" w:eastAsia="zh-CN"/>
              </w:rPr>
            </w:pPr>
          </w:p>
          <w:p>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14</w:t>
            </w:r>
          </w:p>
        </w:tc>
        <w:tc>
          <w:tcPr>
            <w:tcW w:w="1843" w:type="dxa"/>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cs="宋体" w:asciiTheme="minorEastAsia" w:hAnsiTheme="minorEastAsia" w:eastAsiaTheme="minorEastAsia"/>
                <w:snapToGrid w:val="0"/>
                <w:color w:val="auto"/>
                <w:kern w:val="28"/>
                <w:sz w:val="24"/>
                <w:highlight w:val="none"/>
              </w:rPr>
              <w:t>代理服务费</w:t>
            </w:r>
          </w:p>
        </w:tc>
        <w:tc>
          <w:tcPr>
            <w:tcW w:w="6513"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本项目采购代理服务费：</w:t>
            </w:r>
            <w:r>
              <w:rPr>
                <w:rFonts w:hint="eastAsia" w:cs="宋体" w:asciiTheme="minorEastAsia" w:hAnsiTheme="minorEastAsia" w:eastAsiaTheme="minorEastAsia"/>
                <w:snapToGrid w:val="0"/>
                <w:color w:val="auto"/>
                <w:kern w:val="28"/>
                <w:sz w:val="24"/>
                <w:highlight w:val="none"/>
                <w:lang w:val="en-US" w:eastAsia="zh-CN"/>
              </w:rPr>
              <w:t>5760.00</w:t>
            </w:r>
            <w:r>
              <w:rPr>
                <w:rFonts w:hint="eastAsia" w:cs="宋体" w:asciiTheme="minorEastAsia" w:hAnsiTheme="minorEastAsia" w:eastAsiaTheme="minorEastAsia"/>
                <w:snapToGrid w:val="0"/>
                <w:color w:val="auto"/>
                <w:kern w:val="28"/>
                <w:sz w:val="24"/>
                <w:highlight w:val="none"/>
              </w:rPr>
              <w:t>元。采购代理服务费由成交人支付，在领取成交通知书前一次性向采购代理机构支付。供应商报价时须综合考虑上述费用，计入投标总价中。</w:t>
            </w:r>
          </w:p>
          <w:p>
            <w:pPr>
              <w:spacing w:line="360" w:lineRule="auto"/>
              <w:rPr>
                <w:rFonts w:hint="eastAsia" w:cs="宋体" w:asciiTheme="minorEastAsia" w:hAnsiTheme="minorEastAsia" w:eastAsiaTheme="minorEastAsia"/>
                <w:snapToGrid w:val="0"/>
                <w:color w:val="auto"/>
                <w:kern w:val="28"/>
                <w:sz w:val="24"/>
                <w:highlight w:val="none"/>
                <w:lang w:val="en-US" w:eastAsia="zh-CN"/>
              </w:rPr>
            </w:pPr>
            <w:r>
              <w:rPr>
                <w:rFonts w:hint="eastAsia" w:cs="宋体" w:asciiTheme="minorEastAsia" w:hAnsiTheme="minorEastAsia" w:eastAsiaTheme="minorEastAsia"/>
                <w:snapToGrid w:val="0"/>
                <w:color w:val="auto"/>
                <w:kern w:val="28"/>
                <w:sz w:val="24"/>
                <w:highlight w:val="none"/>
              </w:rPr>
              <w:t>采购代理服务费汇入以下账户：</w:t>
            </w:r>
          </w:p>
          <w:p>
            <w:pPr>
              <w:spacing w:line="360" w:lineRule="auto"/>
              <w:rPr>
                <w:rFonts w:hint="eastAsia"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 xml:space="preserve">账户：欧邦工程管理集团有限公司  </w:t>
            </w:r>
          </w:p>
          <w:p>
            <w:pPr>
              <w:spacing w:line="360" w:lineRule="auto"/>
              <w:rPr>
                <w:rFonts w:hint="eastAsia"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开户行：杭州联合农村商业银行股份有限公司</w:t>
            </w:r>
            <w:r>
              <w:rPr>
                <w:rFonts w:hint="eastAsia" w:cs="宋体" w:asciiTheme="minorEastAsia" w:hAnsiTheme="minorEastAsia" w:eastAsiaTheme="minorEastAsia"/>
                <w:snapToGrid w:val="0"/>
                <w:color w:val="auto"/>
                <w:kern w:val="28"/>
                <w:sz w:val="24"/>
                <w:highlight w:val="none"/>
                <w:lang w:val="en-US" w:eastAsia="zh-CN"/>
              </w:rPr>
              <w:t>城西</w:t>
            </w:r>
            <w:r>
              <w:rPr>
                <w:rFonts w:hint="eastAsia" w:cs="宋体" w:asciiTheme="minorEastAsia" w:hAnsiTheme="minorEastAsia" w:eastAsiaTheme="minorEastAsia"/>
                <w:snapToGrid w:val="0"/>
                <w:color w:val="auto"/>
                <w:kern w:val="28"/>
                <w:sz w:val="24"/>
                <w:highlight w:val="none"/>
              </w:rPr>
              <w:t>支行</w:t>
            </w:r>
          </w:p>
          <w:p>
            <w:pPr>
              <w:spacing w:line="360" w:lineRule="auto"/>
              <w:rPr>
                <w:rFonts w:hint="eastAsia" w:cs="Arial" w:asciiTheme="minorEastAsia" w:hAnsiTheme="minorEastAsia" w:eastAsiaTheme="minorEastAsia"/>
                <w:color w:val="auto"/>
                <w:kern w:val="0"/>
                <w:sz w:val="24"/>
                <w:szCs w:val="24"/>
                <w:highlight w:val="none"/>
                <w:lang w:val="en-US" w:eastAsia="zh-CN" w:bidi="ar-SA"/>
              </w:rPr>
            </w:pPr>
            <w:r>
              <w:rPr>
                <w:rFonts w:hint="eastAsia" w:cs="宋体" w:asciiTheme="minorEastAsia" w:hAnsiTheme="minorEastAsia" w:eastAsiaTheme="minorEastAsia"/>
                <w:snapToGrid w:val="0"/>
                <w:color w:val="auto"/>
                <w:kern w:val="28"/>
                <w:sz w:val="24"/>
                <w:highlight w:val="none"/>
              </w:rPr>
              <w:t>账号：201000345676674</w:t>
            </w:r>
          </w:p>
        </w:tc>
      </w:tr>
    </w:tbl>
    <w:p>
      <w:pPr>
        <w:snapToGrid w:val="0"/>
        <w:spacing w:line="360" w:lineRule="auto"/>
        <w:jc w:val="center"/>
        <w:rPr>
          <w:rFonts w:ascii="宋体" w:hAnsi="宋体" w:cs="宋体"/>
          <w:b/>
          <w:color w:val="auto"/>
          <w:sz w:val="32"/>
          <w:szCs w:val="20"/>
          <w:highlight w:val="none"/>
        </w:rPr>
      </w:pPr>
    </w:p>
    <w:bookmarkEnd w:id="10"/>
    <w:p>
      <w:pPr>
        <w:rPr>
          <w:rFonts w:hint="eastAsia" w:ascii="宋体" w:hAnsi="宋体" w:cs="宋体"/>
          <w:b/>
          <w:color w:val="auto"/>
          <w:sz w:val="32"/>
          <w:szCs w:val="20"/>
          <w:highlight w:val="none"/>
        </w:rPr>
      </w:pPr>
      <w:bookmarkStart w:id="13" w:name="_Toc164416483"/>
      <w:bookmarkStart w:id="14" w:name="第三部分"/>
      <w:r>
        <w:rPr>
          <w:rFonts w:hint="eastAsia" w:ascii="宋体" w:hAnsi="宋体" w:cs="宋体"/>
          <w:b/>
          <w:color w:val="auto"/>
          <w:sz w:val="32"/>
          <w:szCs w:val="20"/>
          <w:highlight w:val="none"/>
        </w:rPr>
        <w:br w:type="page"/>
      </w:r>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highlight w:val="none"/>
        </w:rPr>
        <w:t>联合协议或者分包意向协议约定小微企业的合同份额占到合同总金额30%以上的</w:t>
      </w:r>
      <w:bookmarkEnd w:id="16"/>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pacing w:line="360" w:lineRule="auto"/>
        <w:ind w:firstLine="480" w:firstLineChars="200"/>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w:t>
      </w:r>
    </w:p>
    <w:p>
      <w:pPr>
        <w:pStyle w:val="886"/>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pPr>
        <w:pStyle w:val="886"/>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pPr>
        <w:pStyle w:val="1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34"/>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pPr>
        <w:pStyle w:val="886"/>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pStyle w:val="88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pPr>
        <w:pStyle w:val="129"/>
        <w:snapToGrid w:val="0"/>
        <w:spacing w:before="0"/>
        <w:ind w:firstLine="360"/>
        <w:rPr>
          <w:rFonts w:ascii="宋体" w:hAnsi="宋体" w:cs="宋体"/>
          <w:color w:val="auto"/>
          <w:sz w:val="18"/>
          <w:szCs w:val="18"/>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6"/>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1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7" w:name="_Hlk101259339"/>
      <w:r>
        <w:rPr>
          <w:rFonts w:hint="eastAsia" w:ascii="宋体" w:hAnsi="宋体" w:cs="宋体"/>
          <w:snapToGrid w:val="0"/>
          <w:color w:val="auto"/>
          <w:kern w:val="28"/>
          <w:sz w:val="24"/>
          <w:szCs w:val="20"/>
          <w:highlight w:val="none"/>
        </w:rPr>
        <w:t>联合协议</w:t>
      </w:r>
      <w:bookmarkEnd w:id="17"/>
      <w:r>
        <w:rPr>
          <w:rFonts w:hint="eastAsia" w:ascii="宋体" w:hAnsi="宋体" w:cs="宋体"/>
          <w:snapToGrid w:val="0"/>
          <w:color w:val="auto"/>
          <w:kern w:val="28"/>
          <w:sz w:val="24"/>
          <w:szCs w:val="20"/>
          <w:highlight w:val="none"/>
        </w:rPr>
        <w:t>（如果有)；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11.3.2中小企业声明函。</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pPr>
        <w:pStyle w:val="129"/>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129"/>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29"/>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129"/>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9"/>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3"/>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129"/>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129"/>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pPr>
        <w:pStyle w:val="129"/>
        <w:spacing w:before="0"/>
        <w:ind w:firstLine="643"/>
        <w:rPr>
          <w:rFonts w:ascii="宋体" w:hAnsi="宋体" w:cs="宋体"/>
          <w:b/>
          <w:color w:val="auto"/>
          <w:sz w:val="32"/>
          <w:highlight w:val="none"/>
        </w:rPr>
      </w:pPr>
    </w:p>
    <w:p>
      <w:pPr>
        <w:pStyle w:val="129"/>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555"/>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pPr>
        <w:pStyle w:val="555"/>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pPr>
        <w:pStyle w:val="12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pPr>
        <w:pStyle w:val="1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1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29"/>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3"/>
        <w:spacing w:line="360" w:lineRule="auto"/>
        <w:ind w:left="479" w:hanging="479" w:hangingChars="199"/>
        <w:rPr>
          <w:rFonts w:cs="宋体"/>
          <w:b/>
          <w:color w:val="auto"/>
          <w:highlight w:val="none"/>
        </w:rPr>
      </w:pPr>
      <w:r>
        <w:rPr>
          <w:rFonts w:hint="eastAsia" w:cs="宋体"/>
          <w:b/>
          <w:color w:val="auto"/>
          <w:highlight w:val="none"/>
        </w:rPr>
        <w:t>22. 确定中标供应商</w:t>
      </w:r>
    </w:p>
    <w:p>
      <w:pPr>
        <w:pStyle w:val="129"/>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9"/>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pPr>
        <w:snapToGrid w:val="0"/>
        <w:spacing w:line="360" w:lineRule="auto"/>
        <w:ind w:left="120" w:leftChars="57" w:firstLine="482" w:firstLineChars="150"/>
        <w:jc w:val="center"/>
        <w:rPr>
          <w:rFonts w:ascii="宋体" w:hAnsi="宋体" w:cs="宋体"/>
          <w:b/>
          <w:color w:val="auto"/>
          <w:sz w:val="32"/>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3"/>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pPr>
        <w:pStyle w:val="3"/>
        <w:spacing w:line="360" w:lineRule="auto"/>
        <w:ind w:left="479" w:hanging="479" w:hangingChars="199"/>
        <w:rPr>
          <w:rFonts w:cs="宋体"/>
          <w:b/>
          <w:color w:val="auto"/>
          <w:highlight w:val="none"/>
        </w:rPr>
      </w:pPr>
      <w:r>
        <w:rPr>
          <w:rFonts w:hint="eastAsia" w:cs="宋体"/>
          <w:b/>
          <w:color w:val="auto"/>
          <w:highlight w:val="none"/>
        </w:rPr>
        <w:t>25. 合同的签订</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9"/>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29"/>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pPr>
        <w:pStyle w:val="3"/>
        <w:spacing w:line="360" w:lineRule="auto"/>
        <w:ind w:left="479" w:hanging="479" w:hangingChars="199"/>
        <w:rPr>
          <w:rFonts w:cs="宋体"/>
          <w:b/>
          <w:color w:val="auto"/>
          <w:highlight w:val="none"/>
        </w:rPr>
      </w:pPr>
      <w:r>
        <w:rPr>
          <w:rFonts w:hint="eastAsia" w:cs="宋体"/>
          <w:b/>
          <w:color w:val="auto"/>
          <w:highlight w:val="none"/>
        </w:rPr>
        <w:t>26. 履约保证金</w:t>
      </w:r>
    </w:p>
    <w:p>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rPr>
          <w:color w:val="auto"/>
          <w:highlight w:val="none"/>
        </w:rPr>
      </w:pPr>
      <w:r>
        <w:rPr>
          <w:rFonts w:ascii="宋体" w:hAnsi="宋体" w:eastAsia="宋体" w:cs="Times New Roman"/>
          <w:b/>
          <w:bCs/>
          <w:color w:val="auto"/>
          <w:kern w:val="2"/>
          <w:sz w:val="24"/>
          <w:szCs w:val="32"/>
          <w:highlight w:val="none"/>
          <w:lang w:val="en-US"/>
        </w:rPr>
        <w:t>27.预付款</w:t>
      </w:r>
    </w:p>
    <w:p>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ascii="宋体" w:hAnsi="宋体" w:cs="Times New Roman"/>
          <w:color w:val="auto"/>
          <w:kern w:val="2"/>
          <w:sz w:val="24"/>
          <w:highlight w:val="none"/>
        </w:rPr>
        <w:t>400-903-9583。</w:t>
      </w:r>
    </w:p>
    <w:p>
      <w:pPr>
        <w:rPr>
          <w:color w:val="auto"/>
          <w:highlight w:val="none"/>
        </w:rPr>
      </w:pP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29"/>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pPr>
        <w:pStyle w:val="129"/>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pPr>
        <w:pStyle w:val="129"/>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3"/>
        <w:spacing w:line="360" w:lineRule="auto"/>
        <w:ind w:firstLine="0" w:firstLineChars="0"/>
        <w:rPr>
          <w:rFonts w:cs="宋体"/>
          <w:b/>
          <w:color w:val="auto"/>
          <w:highlight w:val="none"/>
        </w:rPr>
      </w:pPr>
      <w:r>
        <w:rPr>
          <w:rFonts w:hint="eastAsia" w:cs="宋体"/>
          <w:b/>
          <w:color w:val="auto"/>
          <w:highlight w:val="none"/>
        </w:rPr>
        <w:t>30.验收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75236101"/>
      <w:bookmarkEnd w:id="19"/>
      <w:bookmarkStart w:id="20" w:name="_Hlt68057669"/>
      <w:bookmarkEnd w:id="20"/>
      <w:bookmarkStart w:id="21" w:name="_Hlt68072990"/>
      <w:bookmarkEnd w:id="21"/>
      <w:bookmarkStart w:id="22" w:name="_Hlt68403820"/>
      <w:bookmarkEnd w:id="22"/>
      <w:bookmarkStart w:id="23" w:name="_Hlt74730295"/>
      <w:bookmarkEnd w:id="23"/>
      <w:bookmarkStart w:id="24" w:name="_Hlt74729768"/>
      <w:bookmarkEnd w:id="24"/>
      <w:bookmarkStart w:id="25" w:name="_Hlt75236290"/>
      <w:bookmarkEnd w:id="25"/>
      <w:bookmarkStart w:id="26" w:name="_Hlt74714665"/>
      <w:bookmarkEnd w:id="26"/>
      <w:bookmarkStart w:id="27" w:name="_Hlt74707468"/>
      <w:bookmarkEnd w:id="27"/>
      <w:bookmarkStart w:id="28" w:name="_Hlt75236011"/>
      <w:bookmarkEnd w:id="28"/>
      <w:bookmarkStart w:id="29" w:name="_Hlt68073093"/>
      <w:bookmarkEnd w:id="29"/>
      <w:bookmarkStart w:id="30" w:name="_Hlt68072998"/>
      <w:bookmarkEnd w:id="30"/>
    </w:p>
    <w:bookmarkEnd w:id="13"/>
    <w:bookmarkEnd w:id="14"/>
    <w:p>
      <w:pPr>
        <w:spacing w:line="360" w:lineRule="auto"/>
        <w:jc w:val="center"/>
        <w:outlineLvl w:val="0"/>
        <w:rPr>
          <w:rFonts w:ascii="宋体" w:hAnsi="宋体" w:cs="宋体"/>
          <w:b/>
          <w:color w:val="auto"/>
          <w:sz w:val="36"/>
          <w:szCs w:val="36"/>
          <w:highlight w:val="none"/>
        </w:rPr>
      </w:pPr>
      <w:bookmarkStart w:id="31" w:name="第四部分"/>
      <w:r>
        <w:rPr>
          <w:rFonts w:hint="eastAsia" w:ascii="宋体" w:hAnsi="宋体" w:cs="宋体"/>
          <w:b/>
          <w:color w:val="auto"/>
          <w:sz w:val="36"/>
          <w:szCs w:val="36"/>
          <w:highlight w:val="none"/>
        </w:rPr>
        <w:t>第三部分   采购需求</w:t>
      </w:r>
    </w:p>
    <w:p>
      <w:pPr>
        <w:pStyle w:val="5"/>
        <w:numPr>
          <w:ilvl w:val="0"/>
          <w:numId w:val="1"/>
        </w:numPr>
        <w:bidi w:val="0"/>
        <w:rPr>
          <w:color w:val="auto"/>
          <w:highlight w:val="none"/>
        </w:rPr>
      </w:pPr>
      <w:r>
        <w:rPr>
          <w:rFonts w:hint="eastAsia"/>
          <w:color w:val="auto"/>
          <w:highlight w:val="none"/>
        </w:rPr>
        <w:t>项目基本情况</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lang w:eastAsia="zh-CN"/>
        </w:rPr>
        <w:t>2024年杭州市上城区教育系统网络改造项目</w:t>
      </w:r>
      <w:r>
        <w:rPr>
          <w:rFonts w:hint="eastAsia" w:ascii="方正仿宋_GB2312" w:hAnsi="方正仿宋_GB2312" w:eastAsia="方正仿宋_GB2312" w:cs="方正仿宋_GB2312"/>
          <w:snapToGrid/>
          <w:color w:val="auto"/>
          <w:kern w:val="0"/>
          <w:sz w:val="24"/>
          <w:szCs w:val="24"/>
          <w:highlight w:val="none"/>
        </w:rPr>
        <w:t>为交钥匙项目，涉及部分老校区网络设备与布线改造利旧改造组成的集成项目，分别为：网络设备增补及整体集成施工。</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要求施工过程中保证对学校原有线缆、原有系统的利用保护（部分网络线缆需作为继续利旧使用，未取得学校书面同意的情况下不得拆除），完成新旧线路整理、标识标签工作，对学校新增和原有网络设备优化完善系统配置，实现学校无线AP统一管理全区无感知漫游，按区IPv6统一规划，完成IPv6的扩容工作，实现IPv4、IPv6双栈共存，除应用系统本身原因外，确保所有系统能够在IPv6下正常运行。</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无线对接与定制集成说明：目前上城教育已有三个品牌产品完成对接（华三、锐捷、思科）均已实现通过上城区教育OA和区教育钉钉实现用户统一认证，所有用户均可实现跨校区及校内无感知漫游，并满足全区1万以上用户帐号并发的同时认证要求。定制对接要求为实现在区中心统一管理本次投标的所有AP产品及各校区内无线AP统一管理，并实现上城区教育OA和区教育钉钉实现用户统一认证，并配套全区1万以上用户帐号并发的同时认证。</w:t>
      </w:r>
    </w:p>
    <w:p>
      <w:pPr>
        <w:pStyle w:val="6"/>
        <w:numPr>
          <w:ilvl w:val="0"/>
          <w:numId w:val="2"/>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项目预算及明细预算</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本项目整体预算5243730元。</w:t>
      </w:r>
    </w:p>
    <w:p>
      <w:pPr>
        <w:pStyle w:val="17"/>
        <w:spacing w:line="360" w:lineRule="auto"/>
        <w:ind w:left="-424" w:leftChars="-202" w:firstLine="480"/>
        <w:rPr>
          <w:rFonts w:hint="eastAsia" w:ascii="方正仿宋_GB2312" w:hAnsi="方正仿宋_GB2312" w:eastAsia="方正仿宋_GB2312" w:cs="方正仿宋_GB2312"/>
          <w:b/>
          <w:bCs/>
          <w:snapToGrid/>
          <w:color w:val="auto"/>
          <w:kern w:val="0"/>
          <w:sz w:val="24"/>
          <w:szCs w:val="24"/>
          <w:highlight w:val="none"/>
          <w:lang w:val="en-US"/>
        </w:rPr>
      </w:pPr>
      <w:r>
        <w:rPr>
          <w:rFonts w:hint="eastAsia" w:ascii="方正仿宋_GB2312" w:hAnsi="方正仿宋_GB2312" w:eastAsia="方正仿宋_GB2312" w:cs="方正仿宋_GB2312"/>
          <w:b/>
          <w:bCs/>
          <w:snapToGrid/>
          <w:color w:val="auto"/>
          <w:kern w:val="0"/>
          <w:sz w:val="24"/>
          <w:szCs w:val="24"/>
          <w:highlight w:val="none"/>
          <w:lang w:val="en-US"/>
        </w:rPr>
        <w:t>特别说明</w:t>
      </w:r>
      <w:r>
        <w:rPr>
          <w:rFonts w:hint="eastAsia" w:ascii="方正仿宋_GB2312" w:hAnsi="方正仿宋_GB2312" w:eastAsia="方正仿宋_GB2312" w:cs="方正仿宋_GB2312"/>
          <w:snapToGrid/>
          <w:color w:val="auto"/>
          <w:kern w:val="0"/>
          <w:sz w:val="24"/>
          <w:szCs w:val="24"/>
          <w:highlight w:val="none"/>
          <w:lang w:val="en-US"/>
        </w:rPr>
        <w:t>：</w:t>
      </w:r>
      <w:r>
        <w:rPr>
          <w:rFonts w:hint="eastAsia" w:ascii="方正仿宋_GB2312" w:hAnsi="方正仿宋_GB2312" w:eastAsia="方正仿宋_GB2312" w:cs="方正仿宋_GB2312"/>
          <w:b/>
          <w:bCs/>
          <w:snapToGrid/>
          <w:color w:val="auto"/>
          <w:kern w:val="0"/>
          <w:sz w:val="24"/>
          <w:szCs w:val="24"/>
          <w:highlight w:val="none"/>
          <w:lang w:val="en-US"/>
        </w:rPr>
        <w:t>报价不得高于本项目总体预算，且各明细报价不得超过对应明细预算。</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各校区明细预算如下：</w:t>
      </w:r>
    </w:p>
    <w:tbl>
      <w:tblPr>
        <w:tblStyle w:val="62"/>
        <w:tblW w:w="9599" w:type="dxa"/>
        <w:jc w:val="center"/>
        <w:tblLayout w:type="fixed"/>
        <w:tblCellMar>
          <w:top w:w="0" w:type="dxa"/>
          <w:left w:w="108" w:type="dxa"/>
          <w:bottom w:w="0" w:type="dxa"/>
          <w:right w:w="108" w:type="dxa"/>
        </w:tblCellMar>
      </w:tblPr>
      <w:tblGrid>
        <w:gridCol w:w="636"/>
        <w:gridCol w:w="3564"/>
        <w:gridCol w:w="2891"/>
        <w:gridCol w:w="1254"/>
        <w:gridCol w:w="1254"/>
      </w:tblGrid>
      <w:tr>
        <w:tblPrEx>
          <w:tblCellMar>
            <w:top w:w="0" w:type="dxa"/>
            <w:left w:w="108" w:type="dxa"/>
            <w:bottom w:w="0" w:type="dxa"/>
            <w:right w:w="108" w:type="dxa"/>
          </w:tblCellMar>
        </w:tblPrEx>
        <w:trPr>
          <w:trHeight w:val="52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D9D9D9"/>
            <w:vAlign w:val="center"/>
          </w:tcPr>
          <w:p>
            <w:pPr>
              <w:widowControl/>
              <w:jc w:val="center"/>
              <w:textAlignment w:val="center"/>
              <w:rPr>
                <w:rFonts w:hint="eastAsia" w:ascii="方正仿宋_GB2312" w:hAnsi="方正仿宋_GB2312" w:eastAsia="方正仿宋_GB2312" w:cs="方正仿宋_GB2312"/>
                <w:b/>
                <w:bCs/>
                <w:color w:val="auto"/>
                <w:sz w:val="21"/>
                <w:szCs w:val="21"/>
                <w:highlight w:val="none"/>
              </w:rPr>
            </w:pPr>
            <w:r>
              <w:rPr>
                <w:rFonts w:hint="eastAsia" w:ascii="方正仿宋_GB2312" w:hAnsi="方正仿宋_GB2312" w:eastAsia="方正仿宋_GB2312" w:cs="方正仿宋_GB2312"/>
                <w:b/>
                <w:bCs/>
                <w:color w:val="auto"/>
                <w:kern w:val="0"/>
                <w:sz w:val="21"/>
                <w:szCs w:val="21"/>
                <w:highlight w:val="none"/>
                <w:lang w:bidi="ar"/>
              </w:rPr>
              <w:t>序号</w:t>
            </w:r>
          </w:p>
        </w:tc>
        <w:tc>
          <w:tcPr>
            <w:tcW w:w="3564" w:type="dxa"/>
            <w:tcBorders>
              <w:top w:val="single" w:color="000000" w:sz="4" w:space="0"/>
              <w:left w:val="single" w:color="000000" w:sz="4" w:space="0"/>
              <w:bottom w:val="single" w:color="000000" w:sz="4" w:space="0"/>
              <w:right w:val="single" w:color="000000" w:sz="4" w:space="0"/>
            </w:tcBorders>
            <w:shd w:val="clear" w:color="auto" w:fill="D9D9D9"/>
            <w:vAlign w:val="center"/>
          </w:tcPr>
          <w:p>
            <w:pPr>
              <w:widowControl/>
              <w:jc w:val="center"/>
              <w:textAlignment w:val="center"/>
              <w:rPr>
                <w:rFonts w:hint="eastAsia" w:ascii="方正仿宋_GB2312" w:hAnsi="方正仿宋_GB2312" w:eastAsia="方正仿宋_GB2312" w:cs="方正仿宋_GB2312"/>
                <w:b/>
                <w:bCs/>
                <w:color w:val="auto"/>
                <w:sz w:val="21"/>
                <w:szCs w:val="21"/>
                <w:highlight w:val="none"/>
              </w:rPr>
            </w:pPr>
            <w:r>
              <w:rPr>
                <w:rFonts w:hint="eastAsia" w:ascii="方正仿宋_GB2312" w:hAnsi="方正仿宋_GB2312" w:eastAsia="方正仿宋_GB2312" w:cs="方正仿宋_GB2312"/>
                <w:b/>
                <w:bCs/>
                <w:color w:val="auto"/>
                <w:kern w:val="0"/>
                <w:sz w:val="21"/>
                <w:szCs w:val="21"/>
                <w:highlight w:val="none"/>
                <w:lang w:bidi="ar"/>
              </w:rPr>
              <w:t>学校名称</w:t>
            </w:r>
          </w:p>
        </w:tc>
        <w:tc>
          <w:tcPr>
            <w:tcW w:w="2891" w:type="dxa"/>
            <w:tcBorders>
              <w:top w:val="single" w:color="000000" w:sz="4" w:space="0"/>
              <w:left w:val="single" w:color="000000" w:sz="4" w:space="0"/>
              <w:bottom w:val="single" w:color="000000" w:sz="4" w:space="0"/>
              <w:right w:val="single" w:color="000000" w:sz="4" w:space="0"/>
            </w:tcBorders>
            <w:shd w:val="clear" w:color="auto" w:fill="D9D9D9"/>
            <w:vAlign w:val="center"/>
          </w:tcPr>
          <w:p>
            <w:pPr>
              <w:widowControl/>
              <w:jc w:val="center"/>
              <w:textAlignment w:val="center"/>
              <w:rPr>
                <w:rFonts w:hint="eastAsia" w:ascii="方正仿宋_GB2312" w:hAnsi="方正仿宋_GB2312" w:eastAsia="方正仿宋_GB2312" w:cs="方正仿宋_GB2312"/>
                <w:b/>
                <w:bCs/>
                <w:color w:val="auto"/>
                <w:sz w:val="21"/>
                <w:szCs w:val="21"/>
                <w:highlight w:val="none"/>
              </w:rPr>
            </w:pPr>
            <w:r>
              <w:rPr>
                <w:rFonts w:hint="eastAsia" w:ascii="方正仿宋_GB2312" w:hAnsi="方正仿宋_GB2312" w:eastAsia="方正仿宋_GB2312" w:cs="方正仿宋_GB2312"/>
                <w:b/>
                <w:bCs/>
                <w:color w:val="auto"/>
                <w:kern w:val="0"/>
                <w:sz w:val="21"/>
                <w:szCs w:val="21"/>
                <w:highlight w:val="none"/>
                <w:lang w:bidi="ar"/>
              </w:rPr>
              <w:t>校址</w:t>
            </w:r>
          </w:p>
        </w:tc>
        <w:tc>
          <w:tcPr>
            <w:tcW w:w="1254" w:type="dxa"/>
            <w:tcBorders>
              <w:top w:val="single" w:color="000000" w:sz="4" w:space="0"/>
              <w:left w:val="single" w:color="000000" w:sz="4" w:space="0"/>
              <w:bottom w:val="single" w:color="000000" w:sz="4" w:space="0"/>
              <w:right w:val="single" w:color="000000" w:sz="4" w:space="0"/>
            </w:tcBorders>
            <w:shd w:val="clear" w:color="auto" w:fill="D9D9D9"/>
            <w:vAlign w:val="center"/>
          </w:tcPr>
          <w:p>
            <w:pPr>
              <w:widowControl/>
              <w:jc w:val="center"/>
              <w:textAlignment w:val="center"/>
              <w:rPr>
                <w:rFonts w:hint="eastAsia" w:ascii="方正仿宋_GB2312" w:hAnsi="方正仿宋_GB2312" w:eastAsia="方正仿宋_GB2312" w:cs="方正仿宋_GB2312"/>
                <w:b/>
                <w:bCs/>
                <w:color w:val="auto"/>
                <w:sz w:val="21"/>
                <w:szCs w:val="21"/>
                <w:highlight w:val="none"/>
              </w:rPr>
            </w:pPr>
            <w:r>
              <w:rPr>
                <w:rFonts w:hint="eastAsia" w:ascii="方正仿宋_GB2312" w:hAnsi="方正仿宋_GB2312" w:eastAsia="方正仿宋_GB2312" w:cs="方正仿宋_GB2312"/>
                <w:b/>
                <w:bCs/>
                <w:color w:val="auto"/>
                <w:sz w:val="21"/>
                <w:szCs w:val="21"/>
                <w:highlight w:val="none"/>
              </w:rPr>
              <w:t>最高限价</w:t>
            </w:r>
          </w:p>
        </w:tc>
        <w:tc>
          <w:tcPr>
            <w:tcW w:w="1254" w:type="dxa"/>
            <w:tcBorders>
              <w:top w:val="single" w:color="000000" w:sz="4" w:space="0"/>
              <w:left w:val="single" w:color="000000" w:sz="4" w:space="0"/>
              <w:bottom w:val="single" w:color="000000" w:sz="4" w:space="0"/>
              <w:right w:val="single" w:color="000000" w:sz="4" w:space="0"/>
            </w:tcBorders>
            <w:shd w:val="clear" w:color="auto" w:fill="D9D9D9"/>
            <w:vAlign w:val="center"/>
          </w:tcPr>
          <w:p>
            <w:pPr>
              <w:widowControl/>
              <w:jc w:val="center"/>
              <w:textAlignment w:val="center"/>
              <w:rPr>
                <w:rFonts w:hint="eastAsia" w:ascii="方正仿宋_GB2312" w:hAnsi="方正仿宋_GB2312" w:eastAsia="方正仿宋_GB2312" w:cs="方正仿宋_GB2312"/>
                <w:b/>
                <w:bCs/>
                <w:color w:val="auto"/>
                <w:sz w:val="21"/>
                <w:szCs w:val="21"/>
                <w:highlight w:val="none"/>
              </w:rPr>
            </w:pPr>
            <w:r>
              <w:rPr>
                <w:rFonts w:hint="eastAsia" w:ascii="方正仿宋_GB2312" w:hAnsi="方正仿宋_GB2312" w:eastAsia="方正仿宋_GB2312" w:cs="方正仿宋_GB2312"/>
                <w:b/>
                <w:bCs/>
                <w:color w:val="auto"/>
                <w:sz w:val="21"/>
                <w:szCs w:val="21"/>
                <w:highlight w:val="none"/>
              </w:rPr>
              <w:t>备注</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杭州师范大学第一附属小学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四宜路180号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89900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杭州市高银巷小学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后市街16号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126100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杭州市吴山幼儿园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湖滨园区：火药局弄3号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28900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杭州市清波幼儿园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清波园区：四宜路48号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29200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三衙前园区：三衙前8号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29700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6</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杭州市胜利实验学校</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甬江路80号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117900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7</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杭州市凤凰小学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凤凰北苑9号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129800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8</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杭州市紫阳小学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太庙巷7号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113900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9</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杭州市蒋筑英学校</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金狮苑20号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123600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10</w:t>
            </w:r>
          </w:p>
        </w:tc>
        <w:tc>
          <w:tcPr>
            <w:tcW w:w="356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杭州市江城中学</w:t>
            </w:r>
          </w:p>
        </w:tc>
        <w:tc>
          <w:tcPr>
            <w:tcW w:w="28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江城路287号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164100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11</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杭州市凤凰幼儿园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凤凰园区：钱江路凤凰北苑10号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33000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12</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亲亲园区：新工新村南瓦坊7幢</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57900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13</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杭州市娃哈哈幼儿园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赞成园区：上城区闻潮路169号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37200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14</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新城园区：上城区吟潮路170号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49600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15</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杭州市紫阳幼儿园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太庙巷62号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46500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16</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杭州市培红幼儿园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培红园区：十五奎巷55号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23800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17</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保安桥园区：保安桥河下7号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23900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18</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杭州市胜利金都幼儿园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候潮路10号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28500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19</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杭州市行知新城幼儿园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新城园区：铜鼓路80号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38500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20</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杭州市胜利小学附属幼儿园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上城区银鼓路169号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5400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21</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杭州市海潮幼儿园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上城区望江门外直街8号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56300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22</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杭州市陶子幼儿园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陶子园区：化仙桥路34号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47600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23</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水澄园区：水澄花园南苑15号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34100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24</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杭州市行知金陶幼儿园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金陶园区：洋泮路金棕榈花园14幢</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38400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25</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闸口园区：复兴南苑11幢</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37800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26</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美政园区：美政花苑北区18幢旁</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30000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27</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杭州市天长小学东坡校区</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东坡路94-乙</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22500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28</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杭州市天长小学孝女路校区</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孝女路</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117000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29</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杭州市娃哈哈小学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劳动路95号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143100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30</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杭州市惠兴中学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邮电路22号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210100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31</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杭州新世纪外国语学校</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清吟街128号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142800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32</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杭州市行知幼儿园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行知园区：上城区邮电路20号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45900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33</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杭州市饮马井巷小学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灰团巷11号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151700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34</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杭州市大学路小学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大学路新村54号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113400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35</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杭州市回族穆兴小学穆兴校区</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穆兴校区</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83100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36</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杭州市回族穆兴小学小营校区</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小营校区</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57000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37</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杭州市胜利幼儿园大学路园区</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大学路园区：建国中路叶家弄70号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39500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38</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杭州市胜利瑞丰幼儿园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小营园区：大学路71号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34400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39</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瑞丰园区：老浙大横路瑞丰格林苑6号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27800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40</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杭州市胜利东河幼儿园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大塔儿园区：清吟街113号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41300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41</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东河园区：直大方伯万安西苑8幢</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52100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4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42</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杭州市胜利小学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钱塘校区：富春路199号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115800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43</w:t>
            </w:r>
          </w:p>
        </w:tc>
        <w:tc>
          <w:tcPr>
            <w:tcW w:w="3564"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杭州市勇进实验学校</w:t>
            </w:r>
          </w:p>
        </w:tc>
        <w:tc>
          <w:tcPr>
            <w:tcW w:w="28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海潮路51号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233200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44</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杭州市开元中学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栖园弄1号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289500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45</w:t>
            </w:r>
          </w:p>
        </w:tc>
        <w:tc>
          <w:tcPr>
            <w:tcW w:w="356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杭州市近江幼儿园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近江园区珊园弄106号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48000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46</w:t>
            </w:r>
          </w:p>
        </w:tc>
        <w:tc>
          <w:tcPr>
            <w:tcW w:w="356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方正仿宋_GB2312" w:hAnsi="方正仿宋_GB2312" w:eastAsia="方正仿宋_GB2312" w:cs="方正仿宋_GB2312"/>
                <w:color w:val="auto"/>
                <w:sz w:val="21"/>
                <w:szCs w:val="21"/>
                <w:highlight w:val="none"/>
              </w:rPr>
            </w:pP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依江园区近江东路6号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38700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47</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 xml:space="preserve">杭州市上城区教育学院 </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西湖大道107号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53100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48</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杭州市丁兰第二幼儿园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环丁路555号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34500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49</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杭州市时代小学</w:t>
            </w:r>
          </w:p>
        </w:tc>
        <w:tc>
          <w:tcPr>
            <w:tcW w:w="2891" w:type="dxa"/>
            <w:tcBorders>
              <w:top w:val="nil"/>
              <w:left w:val="nil"/>
              <w:bottom w:val="nil"/>
              <w:right w:val="nil"/>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建国中路锅子弄</w:t>
            </w:r>
            <w:r>
              <w:rPr>
                <w:rStyle w:val="963"/>
                <w:rFonts w:hint="eastAsia" w:ascii="方正仿宋_GB2312" w:hAnsi="方正仿宋_GB2312" w:eastAsia="方正仿宋_GB2312" w:cs="方正仿宋_GB2312"/>
                <w:color w:val="auto"/>
                <w:sz w:val="21"/>
                <w:szCs w:val="21"/>
                <w:highlight w:val="none"/>
                <w:lang w:bidi="ar"/>
              </w:rPr>
              <w:t>37</w:t>
            </w:r>
            <w:r>
              <w:rPr>
                <w:rStyle w:val="962"/>
                <w:rFonts w:hint="eastAsia" w:ascii="方正仿宋_GB2312" w:hAnsi="方正仿宋_GB2312" w:eastAsia="方正仿宋_GB2312" w:cs="方正仿宋_GB2312"/>
                <w:color w:val="auto"/>
                <w:sz w:val="21"/>
                <w:szCs w:val="21"/>
                <w:highlight w:val="none"/>
                <w:lang w:bidi="ar"/>
              </w:rPr>
              <w:t>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36800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50</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杭州市凯旋实验幼儿园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景昙路132 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191450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8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51</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杭州市阳光幼儿园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近江西路2号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33580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6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52</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杭州市澎行幼儿园</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艮山东路76号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76300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6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53</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杭州市金都天长小学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候潮路6号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390000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6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54</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杭州第六中学</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浙江省杭州市上城区佑圣观路161号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369800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26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55</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杭州师范大学附属丁兰实验学校</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上城区环丁路925号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407500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36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56</w:t>
            </w:r>
          </w:p>
        </w:tc>
        <w:tc>
          <w:tcPr>
            <w:tcW w:w="35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杭州市上城区教育评估与检测中心</w:t>
            </w:r>
            <w:r>
              <w:rPr>
                <w:rStyle w:val="964"/>
                <w:rFonts w:hint="eastAsia" w:ascii="方正仿宋_GB2312" w:hAnsi="方正仿宋_GB2312" w:eastAsia="方正仿宋_GB2312" w:cs="方正仿宋_GB2312"/>
                <w:color w:val="auto"/>
                <w:sz w:val="21"/>
                <w:szCs w:val="21"/>
                <w:highlight w:val="none"/>
                <w:lang w:bidi="ar"/>
              </w:rPr>
              <w:t xml:space="preserve"> </w:t>
            </w:r>
          </w:p>
        </w:tc>
        <w:tc>
          <w:tcPr>
            <w:tcW w:w="2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上城区佑圣路水亭址3号</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102200</w:t>
            </w:r>
          </w:p>
        </w:tc>
        <w:tc>
          <w:tcPr>
            <w:tcW w:w="12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方正仿宋_GB2312" w:hAnsi="方正仿宋_GB2312" w:eastAsia="方正仿宋_GB2312" w:cs="方正仿宋_GB2312"/>
                <w:color w:val="auto"/>
                <w:kern w:val="0"/>
                <w:sz w:val="21"/>
                <w:szCs w:val="21"/>
                <w:highlight w:val="none"/>
                <w:lang w:bidi="ar"/>
              </w:rPr>
            </w:pPr>
            <w:r>
              <w:rPr>
                <w:rFonts w:hint="eastAsia" w:ascii="方正仿宋_GB2312" w:hAnsi="方正仿宋_GB2312" w:eastAsia="方正仿宋_GB2312" w:cs="方正仿宋_GB2312"/>
                <w:color w:val="auto"/>
                <w:kern w:val="0"/>
                <w:sz w:val="21"/>
                <w:szCs w:val="21"/>
                <w:highlight w:val="none"/>
                <w:lang w:bidi="ar"/>
              </w:rPr>
              <w:t>明细下附</w:t>
            </w:r>
          </w:p>
        </w:tc>
      </w:tr>
      <w:tr>
        <w:tblPrEx>
          <w:tblCellMar>
            <w:top w:w="0" w:type="dxa"/>
            <w:left w:w="108" w:type="dxa"/>
            <w:bottom w:w="0" w:type="dxa"/>
            <w:right w:w="108" w:type="dxa"/>
          </w:tblCellMar>
        </w:tblPrEx>
        <w:trPr>
          <w:trHeight w:val="360" w:hRule="atLeast"/>
          <w:jc w:val="center"/>
        </w:trPr>
        <w:tc>
          <w:tcPr>
            <w:tcW w:w="63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rPr>
                <w:rFonts w:hint="eastAsia" w:ascii="方正仿宋_GB2312" w:hAnsi="方正仿宋_GB2312" w:eastAsia="方正仿宋_GB2312" w:cs="方正仿宋_GB2312"/>
                <w:color w:val="auto"/>
                <w:sz w:val="21"/>
                <w:szCs w:val="21"/>
                <w:highlight w:val="none"/>
              </w:rPr>
            </w:pPr>
          </w:p>
        </w:tc>
        <w:tc>
          <w:tcPr>
            <w:tcW w:w="3564"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widowControl/>
              <w:jc w:val="center"/>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合计</w:t>
            </w:r>
          </w:p>
        </w:tc>
        <w:tc>
          <w:tcPr>
            <w:tcW w:w="2891"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rPr>
                <w:rFonts w:hint="eastAsia" w:ascii="方正仿宋_GB2312" w:hAnsi="方正仿宋_GB2312" w:eastAsia="方正仿宋_GB2312" w:cs="方正仿宋_GB2312"/>
                <w:color w:val="auto"/>
                <w:sz w:val="21"/>
                <w:szCs w:val="21"/>
                <w:highlight w:val="none"/>
              </w:rPr>
            </w:pPr>
          </w:p>
        </w:tc>
        <w:tc>
          <w:tcPr>
            <w:tcW w:w="1254"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widowControl/>
              <w:jc w:val="right"/>
              <w:textAlignment w:val="center"/>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kern w:val="0"/>
                <w:sz w:val="21"/>
                <w:szCs w:val="21"/>
                <w:highlight w:val="none"/>
                <w:lang w:bidi="ar"/>
              </w:rPr>
              <w:t>5243730</w:t>
            </w:r>
          </w:p>
        </w:tc>
        <w:tc>
          <w:tcPr>
            <w:tcW w:w="1254"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widowControl/>
              <w:jc w:val="right"/>
              <w:textAlignment w:val="center"/>
              <w:rPr>
                <w:rFonts w:hint="eastAsia" w:ascii="方正仿宋_GB2312" w:hAnsi="方正仿宋_GB2312" w:eastAsia="方正仿宋_GB2312" w:cs="方正仿宋_GB2312"/>
                <w:color w:val="auto"/>
                <w:kern w:val="0"/>
                <w:sz w:val="21"/>
                <w:szCs w:val="21"/>
                <w:highlight w:val="none"/>
                <w:lang w:bidi="ar"/>
              </w:rPr>
            </w:pPr>
          </w:p>
        </w:tc>
      </w:tr>
    </w:tbl>
    <w:p>
      <w:pPr>
        <w:rPr>
          <w:color w:val="auto"/>
          <w:highlight w:val="none"/>
        </w:rPr>
      </w:pPr>
    </w:p>
    <w:p>
      <w:pPr>
        <w:pStyle w:val="6"/>
        <w:numPr>
          <w:ilvl w:val="0"/>
          <w:numId w:val="2"/>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前期准备情况：</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本项目涉及学校已经过前期调研，根据教育教学需要，确定相关需求。</w:t>
      </w:r>
    </w:p>
    <w:p>
      <w:pPr>
        <w:pStyle w:val="6"/>
        <w:numPr>
          <w:ilvl w:val="0"/>
          <w:numId w:val="2"/>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项目的基本愿景：</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在以往建设的基础上充分利旧，并做出相应提升补足能进一步完善上城区学校信息化建设水平，从而能更好的为教育教学服务。</w:t>
      </w:r>
    </w:p>
    <w:p>
      <w:pPr>
        <w:pStyle w:val="5"/>
        <w:numPr>
          <w:ilvl w:val="0"/>
          <w:numId w:val="1"/>
        </w:numPr>
        <w:bidi w:val="0"/>
        <w:rPr>
          <w:rFonts w:hint="eastAsia"/>
          <w:color w:val="auto"/>
          <w:highlight w:val="none"/>
        </w:rPr>
      </w:pPr>
      <w:r>
        <w:rPr>
          <w:rFonts w:hint="eastAsia"/>
          <w:color w:val="auto"/>
          <w:highlight w:val="none"/>
        </w:rPr>
        <w:t>项目具体需求</w:t>
      </w:r>
    </w:p>
    <w:p>
      <w:pPr>
        <w:pStyle w:val="6"/>
        <w:numPr>
          <w:ilvl w:val="0"/>
          <w:numId w:val="3"/>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技术标准和规范</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１．所有施工和材料所涉及的设计标准规范（如产品标准/规范、项目标准/规范、验收标准/规范等）必须完全符合所有中华人民共和国的标准及规范。包括：</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《民用建筑电气设计规范》                   JGJ16－2008</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《火灾自动报警系统设计规范》               GB50116－98</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《高层民用建筑设计防火规范》               GB50045－95</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《安全防范项目程序与要求》                 GA/T75－94</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《安全防范项目技术规范》                   GB50348-2018</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《视频安防监控系统项目设计规范》           GB50395-2007</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《入侵报警监控系统项目设计规范》           GB50394-2007</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《有线电视广播技术规范》                   GY/T106－-92</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《综合布线系统项目设计规范》               GB50311－2016</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 xml:space="preserve">《电子信息系统机房设计规范》   </w:t>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 xml:space="preserve"> </w:t>
      </w:r>
      <w:r>
        <w:rPr>
          <w:rFonts w:hint="eastAsia" w:ascii="方正仿宋_GB2312" w:hAnsi="方正仿宋_GB2312" w:eastAsia="方正仿宋_GB2312" w:cs="方正仿宋_GB2312"/>
          <w:snapToGrid/>
          <w:color w:val="auto"/>
          <w:kern w:val="0"/>
          <w:sz w:val="24"/>
          <w:szCs w:val="24"/>
          <w:highlight w:val="none"/>
          <w:lang w:val="en-US" w:eastAsia="zh-CN"/>
        </w:rPr>
        <w:t xml:space="preserve">    </w:t>
      </w:r>
      <w:r>
        <w:rPr>
          <w:rFonts w:hint="eastAsia" w:ascii="方正仿宋_GB2312" w:hAnsi="方正仿宋_GB2312" w:eastAsia="方正仿宋_GB2312" w:cs="方正仿宋_GB2312"/>
          <w:snapToGrid/>
          <w:color w:val="auto"/>
          <w:kern w:val="0"/>
          <w:sz w:val="24"/>
          <w:szCs w:val="24"/>
          <w:highlight w:val="none"/>
        </w:rPr>
        <w:t>GB50174－2008</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《有线电视系统项目技术规范》               GB50200－94</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《建筑物防雷设计规范》                     GB50057－94</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《低压配电设计规范》                       GB50054－95</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《民防空项目设计防火规范》                 GBJ98－97</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《智能建筑设计标准》                       GB/T 50314－2004</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《智能建筑项目质量验收规范》               GB/T 50339－2003</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《综合布线系统项目验收规范》               GB 50312－2004</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《计算机场地技术要求》                     GB2887-89</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《低压配电装置及线路设计规范》             GBJ54-83</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《电气装置安装项目施工及验收规范》         GBJ232-82</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《安全防范项目程序与要求》                 GA/T75-94</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《计算机机房用活动地板技术条件》           GB6650-86</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《计算站场地安全要求》</w:t>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ab/>
      </w:r>
      <w:r>
        <w:rPr>
          <w:rFonts w:hint="eastAsia" w:ascii="方正仿宋_GB2312" w:hAnsi="方正仿宋_GB2312" w:eastAsia="方正仿宋_GB2312" w:cs="方正仿宋_GB2312"/>
          <w:snapToGrid/>
          <w:color w:val="auto"/>
          <w:kern w:val="0"/>
          <w:sz w:val="24"/>
          <w:szCs w:val="24"/>
          <w:highlight w:val="none"/>
        </w:rPr>
        <w:t xml:space="preserve"> GB9361-88</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以及其他相关标准</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2．投标人采用其它标准和规范时，应在投标文件中注明是采用何种标准，并应保证设备达到或优于国家规定的现行相关标准。</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3．对国家规定有强制性规范或条例或认证要求的设备或材料，投标人提供的设备或材料应符合该类要求。</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4．特别说明：本项目是多校区改造施工，中标人须承担学校原有网络系统整体维护、本次新老设备的整体集成及全光网络建设，本改造项目较为复杂，因此要求投标人的具备相应环境的施工能力、实施团队有充足的技术力量并具备完善的维护保障能力，投标人有需要可去学校现场进行实地勘察。</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5</w:t>
      </w:r>
      <w:r>
        <w:rPr>
          <w:rFonts w:hint="eastAsia" w:ascii="方正仿宋_GB2312" w:hAnsi="方正仿宋_GB2312" w:eastAsia="方正仿宋_GB2312" w:cs="方正仿宋_GB2312"/>
          <w:snapToGrid/>
          <w:color w:val="auto"/>
          <w:kern w:val="0"/>
          <w:sz w:val="24"/>
          <w:szCs w:val="24"/>
          <w:highlight w:val="none"/>
          <w:lang w:val="en-US" w:eastAsia="zh-CN"/>
        </w:rPr>
        <w:t xml:space="preserve">. </w:t>
      </w:r>
      <w:r>
        <w:rPr>
          <w:rFonts w:hint="eastAsia" w:ascii="方正仿宋_GB2312" w:hAnsi="方正仿宋_GB2312" w:eastAsia="方正仿宋_GB2312" w:cs="方正仿宋_GB2312"/>
          <w:b/>
          <w:bCs/>
          <w:snapToGrid/>
          <w:color w:val="auto"/>
          <w:kern w:val="0"/>
          <w:sz w:val="24"/>
          <w:szCs w:val="24"/>
          <w:highlight w:val="none"/>
        </w:rPr>
        <w:t>项目实施周期：本项目要求在2024年8月20</w:t>
      </w:r>
      <w:r>
        <w:rPr>
          <w:rFonts w:hint="eastAsia" w:ascii="方正仿宋_GB2312" w:hAnsi="方正仿宋_GB2312" w:eastAsia="方正仿宋_GB2312" w:cs="方正仿宋_GB2312"/>
          <w:b/>
          <w:bCs/>
          <w:snapToGrid/>
          <w:color w:val="auto"/>
          <w:kern w:val="0"/>
          <w:sz w:val="24"/>
          <w:szCs w:val="24"/>
          <w:highlight w:val="none"/>
          <w:lang w:val="en-US" w:eastAsia="zh-CN"/>
        </w:rPr>
        <w:t>日</w:t>
      </w:r>
      <w:r>
        <w:rPr>
          <w:rFonts w:hint="eastAsia" w:ascii="方正仿宋_GB2312" w:hAnsi="方正仿宋_GB2312" w:eastAsia="方正仿宋_GB2312" w:cs="方正仿宋_GB2312"/>
          <w:b/>
          <w:bCs/>
          <w:snapToGrid/>
          <w:color w:val="auto"/>
          <w:kern w:val="0"/>
          <w:sz w:val="24"/>
          <w:szCs w:val="24"/>
          <w:highlight w:val="none"/>
        </w:rPr>
        <w:t>前完整交付用户使用。</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6</w:t>
      </w:r>
      <w:r>
        <w:rPr>
          <w:rFonts w:hint="eastAsia" w:ascii="方正仿宋_GB2312" w:hAnsi="方正仿宋_GB2312" w:eastAsia="方正仿宋_GB2312" w:cs="方正仿宋_GB2312"/>
          <w:snapToGrid/>
          <w:color w:val="auto"/>
          <w:kern w:val="0"/>
          <w:sz w:val="24"/>
          <w:szCs w:val="24"/>
          <w:highlight w:val="none"/>
          <w:lang w:val="en-US" w:eastAsia="zh-CN"/>
        </w:rPr>
        <w:t xml:space="preserve">. </w:t>
      </w:r>
      <w:r>
        <w:rPr>
          <w:rFonts w:hint="eastAsia" w:ascii="方正仿宋_GB2312" w:hAnsi="方正仿宋_GB2312" w:eastAsia="方正仿宋_GB2312" w:cs="方正仿宋_GB2312"/>
          <w:snapToGrid/>
          <w:color w:val="auto"/>
          <w:kern w:val="0"/>
          <w:sz w:val="24"/>
          <w:szCs w:val="24"/>
          <w:highlight w:val="none"/>
        </w:rPr>
        <w:t>保修要求：本项目整体保修不少于三年，线路质保期不少于十五年。本次招标所需软、硬件（如线缆、软件、硬件、模块等，包括未列出而系统实施又必需的软件、硬件）所列清单为系统构成的最基本部份，投标人需根据招标要求进行增补设备以构成一套完整可用系统，其价格包含于本次投标总价中，如有任何遗漏，由中标人免费补齐。</w:t>
      </w:r>
    </w:p>
    <w:p>
      <w:pPr>
        <w:pStyle w:val="17"/>
        <w:spacing w:line="360" w:lineRule="auto"/>
        <w:ind w:left="-424" w:leftChars="-202" w:firstLine="480"/>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t>7</w:t>
      </w:r>
      <w:r>
        <w:rPr>
          <w:rFonts w:hint="eastAsia" w:ascii="方正仿宋_GB2312" w:hAnsi="方正仿宋_GB2312" w:eastAsia="方正仿宋_GB2312" w:cs="方正仿宋_GB2312"/>
          <w:snapToGrid/>
          <w:color w:val="auto"/>
          <w:kern w:val="0"/>
          <w:sz w:val="24"/>
          <w:szCs w:val="24"/>
          <w:highlight w:val="none"/>
          <w:lang w:val="en-US" w:eastAsia="zh-CN"/>
        </w:rPr>
        <w:t xml:space="preserve">. </w:t>
      </w:r>
      <w:r>
        <w:rPr>
          <w:rFonts w:hint="eastAsia" w:ascii="方正仿宋_GB2312" w:hAnsi="方正仿宋_GB2312" w:eastAsia="方正仿宋_GB2312" w:cs="方正仿宋_GB2312"/>
          <w:snapToGrid/>
          <w:color w:val="auto"/>
          <w:kern w:val="0"/>
          <w:sz w:val="24"/>
          <w:szCs w:val="24"/>
          <w:highlight w:val="none"/>
        </w:rPr>
        <w:t>所投产品需为原厂全新产品，2024年1月份后生产的符合国家技术规格和质量标准的出厂合格产品，通过国家有关部门检测合格的原产地产品，未曾开箱使用，能够与采购单位现有设备正常连接；设备安装调试完毕后，能在其功能范围内保障用户的系统安全、稳定运行。并提供备件、附件和耗材的供应，所投设备应详细列明投标设备的所有技术指标（包括所投设备的品牌、规格型号、详细配置、主要技术参数、随机软件等），明确表示该项指标所涉及的软硬件是标准配置还是选择配置。同时还须包括产品说明书或产品主要技术资料和性能的详细描述，产品制造、安装、验收标准，详细的交货时所配文件清单、主要部件明细表（包括品牌、制造厂名和主要技术参数）等，任何含糊不清的表述对评标结果的影响将是投标人的责任。</w:t>
      </w:r>
    </w:p>
    <w:p>
      <w:pPr>
        <w:rPr>
          <w:rFonts w:hint="eastAsia" w:ascii="方正仿宋_GB2312" w:hAnsi="方正仿宋_GB2312" w:eastAsia="方正仿宋_GB2312" w:cs="方正仿宋_GB2312"/>
          <w:snapToGrid/>
          <w:color w:val="auto"/>
          <w:kern w:val="0"/>
          <w:sz w:val="24"/>
          <w:szCs w:val="24"/>
          <w:highlight w:val="none"/>
        </w:rPr>
      </w:pPr>
      <w:r>
        <w:rPr>
          <w:rFonts w:hint="eastAsia" w:ascii="方正仿宋_GB2312" w:hAnsi="方正仿宋_GB2312" w:eastAsia="方正仿宋_GB2312" w:cs="方正仿宋_GB2312"/>
          <w:snapToGrid/>
          <w:color w:val="auto"/>
          <w:kern w:val="0"/>
          <w:sz w:val="24"/>
          <w:szCs w:val="24"/>
          <w:highlight w:val="none"/>
        </w:rPr>
        <w:br w:type="page"/>
      </w:r>
    </w:p>
    <w:p>
      <w:pPr>
        <w:pStyle w:val="18"/>
        <w:rPr>
          <w:rFonts w:hint="eastAsia"/>
          <w:color w:val="auto"/>
          <w:highlight w:val="none"/>
        </w:rPr>
      </w:pPr>
    </w:p>
    <w:p>
      <w:pPr>
        <w:pStyle w:val="5"/>
        <w:numPr>
          <w:ilvl w:val="0"/>
          <w:numId w:val="1"/>
        </w:numPr>
        <w:bidi w:val="0"/>
        <w:rPr>
          <w:rFonts w:hint="eastAsia"/>
          <w:color w:val="auto"/>
          <w:highlight w:val="none"/>
        </w:rPr>
      </w:pPr>
      <w:r>
        <w:rPr>
          <w:rFonts w:hint="eastAsia"/>
          <w:color w:val="auto"/>
          <w:highlight w:val="none"/>
        </w:rPr>
        <w:t>各学校明细</w:t>
      </w:r>
      <w:r>
        <w:rPr>
          <w:rFonts w:hint="eastAsia"/>
          <w:color w:val="auto"/>
          <w:highlight w:val="none"/>
          <w:lang w:val="en-US"/>
        </w:rPr>
        <w:t>清单</w:t>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杭州师范大学第一附属小学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一、综合布线部份</w:t>
            </w: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序号</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设备名称</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备注</w:t>
            </w:r>
          </w:p>
        </w:tc>
      </w:tr>
      <w:tr>
        <w:tblPrEx>
          <w:tblCellMar>
            <w:top w:w="0" w:type="dxa"/>
            <w:left w:w="108" w:type="dxa"/>
            <w:bottom w:w="0" w:type="dxa"/>
            <w:right w:w="108" w:type="dxa"/>
          </w:tblCellMar>
        </w:tblPrEx>
        <w:trPr>
          <w:trHeight w:val="52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检修孔</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6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六类非屏蔽双绞线</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加深明/暗盒</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PVC管材</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室内PVC线槽</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130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7</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各机房机柜新老线路统一整理及标签标识费用及其它本项目完整交付所需一切相关补充项</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0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布线人工、用户新旧网络整体维护费用</w:t>
            </w:r>
          </w:p>
        </w:tc>
        <w:tc>
          <w:tcPr>
            <w:tcW w:w="6655"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1078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二、网络设备部份</w:t>
            </w: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序号</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设备名称</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0"/>
                <w:szCs w:val="20"/>
                <w:highlight w:val="none"/>
              </w:rPr>
            </w:pPr>
            <w:r>
              <w:rPr>
                <w:rFonts w:hint="eastAsia" w:ascii="宋体" w:hAnsi="宋体" w:cs="宋体"/>
                <w:b/>
                <w:bCs/>
                <w:color w:val="auto"/>
                <w:kern w:val="0"/>
                <w:sz w:val="20"/>
                <w:szCs w:val="20"/>
                <w:highlight w:val="none"/>
                <w:lang w:bidi="ar"/>
              </w:rPr>
              <w:t>备注</w:t>
            </w: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24口PoE交换机</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面板AP</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17</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放装AP</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高密AP</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52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无线管理对接定制集成</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移动运维服务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0"/>
                <w:szCs w:val="20"/>
                <w:highlight w:val="none"/>
                <w:lang w:bidi="ar"/>
              </w:rPr>
            </w:pP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故障维护服务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52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全网IPV6配置及区统一出口配置服务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0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整体集成交付费用</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236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小计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0"/>
                <w:szCs w:val="20"/>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0"/>
                <w:szCs w:val="20"/>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0"/>
                <w:szCs w:val="20"/>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0"/>
                <w:szCs w:val="20"/>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杭州市高银巷小学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室外AP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color w:val="auto"/>
          <w:highlight w:val="none"/>
        </w:rPr>
        <w:t>杭州市吴山幼儿园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color w:val="auto"/>
          <w:highlight w:val="none"/>
        </w:rPr>
        <w:t>杭州市清波幼儿园（清波园区）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9</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color w:val="auto"/>
          <w:highlight w:val="none"/>
        </w:rPr>
        <w:t>杭州市清波幼儿园（三衙前园区）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9</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color w:val="auto"/>
          <w:highlight w:val="none"/>
        </w:rPr>
        <w:t>杭州市胜利实验学校</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color w:val="auto"/>
          <w:highlight w:val="none"/>
        </w:rPr>
        <w:t>杭州市凤凰小学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室外AP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杭州市紫阳小学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55"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39</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室外AP</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5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杭州市蒋筑英学校</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室外AP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杭州市江城中学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室外AP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杭州市凤凰幼儿园（凤凰园区）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杭州市凤凰幼儿园（亲亲园区）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杭州市娃哈哈幼儿园（赞成园区）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9</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杭州市娃哈哈幼儿园（新城园区）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17</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杭州市紫阳幼儿园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杭州市培红幼儿园（培红园区）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杭州市培红幼儿园（保安桥园区）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杭州市胜利金都幼儿园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杭州市行知新城幼儿园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杭州市胜利小学附属幼儿园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杭州市海潮幼儿园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杭州市陶子幼儿园（陶子园区）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运维软件</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杭州市陶子幼儿园（水澄园区）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杭州市行知金陶幼儿园（金陶园区）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杭州市行知金陶幼儿园（闸口园区）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杭州市行知金陶幼儿园（美政园区）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35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杭州市天长小学东坡校区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杭州市天长小学孝女路校区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杭州市娃哈哈小学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核心交换机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杭州市惠兴中学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95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室外AP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杭州新世纪外国语学校</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杭州市行知幼儿园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9</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杭州市饮马井巷小学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核心交换机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49</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杭州市大学路小学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48口PoE交换机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杭州市回族穆兴小学穆兴校区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37</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杭州市回族穆兴小学小营校区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杭州市胜利幼儿园大学路园区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杭州市胜利瑞丰幼儿园（小营园区）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杭州市胜利瑞丰幼儿园（瑞丰园区）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杭州市胜利东河幼儿园（大塔儿园区）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杭州市胜利东河幼儿园（东河园区）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幼儿园核心</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杭州市胜利小学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杭州市勇进实验学校</w:t>
      </w:r>
    </w:p>
    <w:tbl>
      <w:tblPr>
        <w:tblStyle w:val="62"/>
        <w:tblW w:w="10780" w:type="dxa"/>
        <w:jc w:val="center"/>
        <w:tblLayout w:type="autofit"/>
        <w:tblCellMar>
          <w:top w:w="0" w:type="dxa"/>
          <w:left w:w="108" w:type="dxa"/>
          <w:bottom w:w="0" w:type="dxa"/>
          <w:right w:w="108" w:type="dxa"/>
        </w:tblCellMar>
      </w:tblPr>
      <w:tblGrid>
        <w:gridCol w:w="619"/>
        <w:gridCol w:w="1748"/>
        <w:gridCol w:w="6654"/>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114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杭州市开元中学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核心交换机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18</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95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杭州市近江幼儿园（近江园区）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杭州市近江幼儿园（依江园区）</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杭州市上城区教育学院</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杭州市丁兰第二幼儿园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州市时代小学</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23</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杭州市凯旋实验幼儿园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48口PoE交换机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杭州市阳光幼儿园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20</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杭州市澎行幼儿园</w:t>
      </w:r>
    </w:p>
    <w:tbl>
      <w:tblPr>
        <w:tblStyle w:val="62"/>
        <w:tblW w:w="10780" w:type="dxa"/>
        <w:jc w:val="center"/>
        <w:tblLayout w:type="autofit"/>
        <w:tblCellMar>
          <w:top w:w="0" w:type="dxa"/>
          <w:left w:w="108" w:type="dxa"/>
          <w:bottom w:w="0" w:type="dxa"/>
          <w:right w:w="108" w:type="dxa"/>
        </w:tblCellMar>
      </w:tblPr>
      <w:tblGrid>
        <w:gridCol w:w="618"/>
        <w:gridCol w:w="1748"/>
        <w:gridCol w:w="6655"/>
        <w:gridCol w:w="610"/>
        <w:gridCol w:w="619"/>
        <w:gridCol w:w="530"/>
      </w:tblGrid>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52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6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 w:val="20"/>
                <w:szCs w:val="20"/>
                <w:highlight w:val="none"/>
              </w:rPr>
            </w:pPr>
          </w:p>
        </w:tc>
      </w:tr>
      <w:tr>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135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1078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rPr>
          <w:trHeight w:val="30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配置描述</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8口POE交换机</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室外AP</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套</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54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无线管理对接定制集成</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4</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移动运维服务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6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故障维护服务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0"/>
                <w:szCs w:val="20"/>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8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rPr>
          <w:trHeight w:val="208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7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auto"/>
                <w:szCs w:val="21"/>
                <w:highlight w:val="none"/>
              </w:rPr>
            </w:pPr>
          </w:p>
        </w:tc>
      </w:tr>
      <w:tr>
        <w:tblPrEx>
          <w:tblCellMar>
            <w:top w:w="0" w:type="dxa"/>
            <w:left w:w="108" w:type="dxa"/>
            <w:bottom w:w="0" w:type="dxa"/>
            <w:right w:w="108" w:type="dxa"/>
          </w:tblCellMar>
        </w:tblPrEx>
        <w:trPr>
          <w:trHeight w:val="280" w:hRule="atLeast"/>
          <w:jc w:val="center"/>
        </w:trPr>
        <w:tc>
          <w:tcPr>
            <w:tcW w:w="2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小计</w:t>
            </w:r>
          </w:p>
        </w:tc>
        <w:tc>
          <w:tcPr>
            <w:tcW w:w="66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c>
          <w:tcPr>
            <w:tcW w:w="53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cs="宋体"/>
                <w:color w:val="auto"/>
                <w:sz w:val="22"/>
                <w:szCs w:val="22"/>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杭州市金都天长小学</w:t>
      </w:r>
    </w:p>
    <w:tbl>
      <w:tblPr>
        <w:tblStyle w:val="62"/>
        <w:tblW w:w="10705" w:type="dxa"/>
        <w:jc w:val="center"/>
        <w:tblLayout w:type="fixed"/>
        <w:tblCellMar>
          <w:top w:w="0" w:type="dxa"/>
          <w:left w:w="108" w:type="dxa"/>
          <w:bottom w:w="0" w:type="dxa"/>
          <w:right w:w="108" w:type="dxa"/>
        </w:tblCellMar>
      </w:tblPr>
      <w:tblGrid>
        <w:gridCol w:w="647"/>
        <w:gridCol w:w="2053"/>
        <w:gridCol w:w="6215"/>
        <w:gridCol w:w="464"/>
        <w:gridCol w:w="830"/>
        <w:gridCol w:w="496"/>
      </w:tblGrid>
      <w:tr>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4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82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第一部分、光纤入教室</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全光网核心交换机</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套</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2</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8口POE入室交换机</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套</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48</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21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3</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教室及办公室内部设备箱</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教室及办公室内部设备箱高、深与8口POE交换机配套，至少能安放两台8口万兆交换设备后还能安放电源插座与线缆，按用户要求安装到指定位置，最终安装位置与颜色规格需取得用户书面认可。实现同楼宇信息箱统一统电，并安装专用空开（做好标识），电路改造配套方案须取得用户书面认可。含相关配套的材料及人工。要求信息箱顶部带透气孔，前部玻璃门，后部可拆，配套至少两台交换机设备电源插座。</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套</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48</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4</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6芯室外单模光缆</w:t>
            </w:r>
          </w:p>
        </w:tc>
        <w:tc>
          <w:tcPr>
            <w:tcW w:w="6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drawing>
                <wp:anchor distT="0" distB="0" distL="114300" distR="114300" simplePos="0" relativeHeight="251713536" behindDoc="0" locked="0" layoutInCell="1" allowOverlap="1">
                  <wp:simplePos x="0" y="0"/>
                  <wp:positionH relativeFrom="column">
                    <wp:posOffset>257810</wp:posOffset>
                  </wp:positionH>
                  <wp:positionV relativeFrom="paragraph">
                    <wp:posOffset>0</wp:posOffset>
                  </wp:positionV>
                  <wp:extent cx="96520" cy="210820"/>
                  <wp:effectExtent l="0" t="0" r="0" b="0"/>
                  <wp:wrapNone/>
                  <wp:docPr id="52" name="Text_Box_86692"/>
                  <wp:cNvGraphicFramePr/>
                  <a:graphic xmlns:a="http://schemas.openxmlformats.org/drawingml/2006/main">
                    <a:graphicData uri="http://schemas.openxmlformats.org/drawingml/2006/picture">
                      <pic:pic xmlns:pic="http://schemas.openxmlformats.org/drawingml/2006/picture">
                        <pic:nvPicPr>
                          <pic:cNvPr id="52" name="Text_Box_86692"/>
                          <pic:cNvPicPr/>
                        </pic:nvPicPr>
                        <pic:blipFill>
                          <a:blip r:embed="rId26"/>
                          <a:stretch>
                            <a:fillRect/>
                          </a:stretch>
                        </pic:blipFill>
                        <pic:spPr>
                          <a:xfrm>
                            <a:off x="0" y="0"/>
                            <a:ext cx="96520" cy="210820"/>
                          </a:xfrm>
                          <a:prstGeom prst="rect">
                            <a:avLst/>
                          </a:prstGeom>
                          <a:noFill/>
                          <a:ln>
                            <a:noFill/>
                          </a:ln>
                        </pic:spPr>
                      </pic:pic>
                    </a:graphicData>
                  </a:graphic>
                </wp:anchor>
              </w:drawing>
            </w:r>
            <w:r>
              <w:rPr>
                <w:rFonts w:hint="eastAsia" w:ascii="宋体" w:hAnsi="宋体" w:cs="宋体"/>
                <w:color w:val="auto"/>
                <w:kern w:val="0"/>
                <w:sz w:val="20"/>
                <w:szCs w:val="20"/>
                <w:highlight w:val="none"/>
                <w:lang w:bidi="ar"/>
              </w:rPr>
              <w:drawing>
                <wp:anchor distT="0" distB="0" distL="114300" distR="114300" simplePos="0" relativeHeight="251714560" behindDoc="0" locked="0" layoutInCell="1" allowOverlap="1">
                  <wp:simplePos x="0" y="0"/>
                  <wp:positionH relativeFrom="column">
                    <wp:posOffset>257810</wp:posOffset>
                  </wp:positionH>
                  <wp:positionV relativeFrom="paragraph">
                    <wp:posOffset>0</wp:posOffset>
                  </wp:positionV>
                  <wp:extent cx="96520" cy="210820"/>
                  <wp:effectExtent l="0" t="0" r="0" b="0"/>
                  <wp:wrapNone/>
                  <wp:docPr id="53" name="Text_Box_86693"/>
                  <wp:cNvGraphicFramePr/>
                  <a:graphic xmlns:a="http://schemas.openxmlformats.org/drawingml/2006/main">
                    <a:graphicData uri="http://schemas.openxmlformats.org/drawingml/2006/picture">
                      <pic:pic xmlns:pic="http://schemas.openxmlformats.org/drawingml/2006/picture">
                        <pic:nvPicPr>
                          <pic:cNvPr id="53" name="Text_Box_86693"/>
                          <pic:cNvPicPr/>
                        </pic:nvPicPr>
                        <pic:blipFill>
                          <a:blip r:embed="rId27"/>
                          <a:stretch>
                            <a:fillRect/>
                          </a:stretch>
                        </pic:blipFill>
                        <pic:spPr>
                          <a:xfrm>
                            <a:off x="0" y="0"/>
                            <a:ext cx="96520" cy="210820"/>
                          </a:xfrm>
                          <a:prstGeom prst="rect">
                            <a:avLst/>
                          </a:prstGeom>
                          <a:noFill/>
                          <a:ln>
                            <a:noFill/>
                          </a:ln>
                        </pic:spPr>
                      </pic:pic>
                    </a:graphicData>
                  </a:graphic>
                </wp:anchor>
              </w:drawing>
            </w:r>
            <w:r>
              <w:rPr>
                <w:rFonts w:hint="eastAsia" w:ascii="宋体" w:hAnsi="宋体" w:cs="宋体"/>
                <w:color w:val="auto"/>
                <w:kern w:val="0"/>
                <w:sz w:val="20"/>
                <w:szCs w:val="20"/>
                <w:highlight w:val="none"/>
                <w:lang w:bidi="ar"/>
              </w:rPr>
              <w:drawing>
                <wp:anchor distT="0" distB="0" distL="114300" distR="114300" simplePos="0" relativeHeight="251715584" behindDoc="0" locked="0" layoutInCell="1" allowOverlap="1">
                  <wp:simplePos x="0" y="0"/>
                  <wp:positionH relativeFrom="column">
                    <wp:posOffset>257810</wp:posOffset>
                  </wp:positionH>
                  <wp:positionV relativeFrom="paragraph">
                    <wp:posOffset>0</wp:posOffset>
                  </wp:positionV>
                  <wp:extent cx="96520" cy="210820"/>
                  <wp:effectExtent l="0" t="0" r="0" b="0"/>
                  <wp:wrapNone/>
                  <wp:docPr id="54" name="Text_Box_86693_SpCnt_1"/>
                  <wp:cNvGraphicFramePr/>
                  <a:graphic xmlns:a="http://schemas.openxmlformats.org/drawingml/2006/main">
                    <a:graphicData uri="http://schemas.openxmlformats.org/drawingml/2006/picture">
                      <pic:pic xmlns:pic="http://schemas.openxmlformats.org/drawingml/2006/picture">
                        <pic:nvPicPr>
                          <pic:cNvPr id="54" name="Text_Box_86693_SpCnt_1"/>
                          <pic:cNvPicPr/>
                        </pic:nvPicPr>
                        <pic:blipFill>
                          <a:blip r:embed="rId28"/>
                          <a:stretch>
                            <a:fillRect/>
                          </a:stretch>
                        </pic:blipFill>
                        <pic:spPr>
                          <a:xfrm>
                            <a:off x="0" y="0"/>
                            <a:ext cx="96520" cy="210820"/>
                          </a:xfrm>
                          <a:prstGeom prst="rect">
                            <a:avLst/>
                          </a:prstGeom>
                          <a:noFill/>
                          <a:ln>
                            <a:noFill/>
                          </a:ln>
                        </pic:spPr>
                      </pic:pic>
                    </a:graphicData>
                  </a:graphic>
                </wp:anchor>
              </w:drawing>
            </w:r>
            <w:r>
              <w:rPr>
                <w:rFonts w:hint="eastAsia" w:ascii="宋体" w:hAnsi="宋体" w:cs="宋体"/>
                <w:color w:val="auto"/>
                <w:kern w:val="0"/>
                <w:sz w:val="20"/>
                <w:szCs w:val="20"/>
                <w:highlight w:val="none"/>
                <w:lang w:bidi="ar"/>
              </w:rPr>
              <w:drawing>
                <wp:anchor distT="0" distB="0" distL="114300" distR="114300" simplePos="0" relativeHeight="251716608" behindDoc="0" locked="0" layoutInCell="1" allowOverlap="1">
                  <wp:simplePos x="0" y="0"/>
                  <wp:positionH relativeFrom="column">
                    <wp:posOffset>257810</wp:posOffset>
                  </wp:positionH>
                  <wp:positionV relativeFrom="paragraph">
                    <wp:posOffset>0</wp:posOffset>
                  </wp:positionV>
                  <wp:extent cx="96520" cy="210820"/>
                  <wp:effectExtent l="0" t="0" r="0" b="0"/>
                  <wp:wrapNone/>
                  <wp:docPr id="55" name="Text_Box_86692_SpCnt_1"/>
                  <wp:cNvGraphicFramePr/>
                  <a:graphic xmlns:a="http://schemas.openxmlformats.org/drawingml/2006/main">
                    <a:graphicData uri="http://schemas.openxmlformats.org/drawingml/2006/picture">
                      <pic:pic xmlns:pic="http://schemas.openxmlformats.org/drawingml/2006/picture">
                        <pic:nvPicPr>
                          <pic:cNvPr id="55" name="Text_Box_86692_SpCnt_1"/>
                          <pic:cNvPicPr/>
                        </pic:nvPicPr>
                        <pic:blipFill>
                          <a:blip r:embed="rId29"/>
                          <a:stretch>
                            <a:fillRect/>
                          </a:stretch>
                        </pic:blipFill>
                        <pic:spPr>
                          <a:xfrm>
                            <a:off x="0" y="0"/>
                            <a:ext cx="96520" cy="210820"/>
                          </a:xfrm>
                          <a:prstGeom prst="rect">
                            <a:avLst/>
                          </a:prstGeom>
                          <a:noFill/>
                          <a:ln>
                            <a:noFill/>
                          </a:ln>
                        </pic:spPr>
                      </pic:pic>
                    </a:graphicData>
                  </a:graphic>
                </wp:anchor>
              </w:drawing>
            </w:r>
            <w:r>
              <w:rPr>
                <w:rFonts w:hint="eastAsia" w:ascii="宋体" w:hAnsi="宋体" w:cs="宋体"/>
                <w:color w:val="auto"/>
                <w:kern w:val="0"/>
                <w:sz w:val="20"/>
                <w:szCs w:val="20"/>
                <w:highlight w:val="none"/>
                <w:lang w:bidi="ar"/>
              </w:rPr>
              <w:t>室外6芯单模光缆，实现从中心机房到信息箱的光缆互联</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5</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光纤配线架</w:t>
            </w:r>
          </w:p>
        </w:tc>
        <w:tc>
          <w:tcPr>
            <w:tcW w:w="6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1U机架式光纤配线架，最大支持48芯，含内部法兰、尾纤等配件</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套</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6</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6</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万兆单模光模块</w:t>
            </w:r>
          </w:p>
        </w:tc>
        <w:tc>
          <w:tcPr>
            <w:tcW w:w="6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SFP+ 万兆模块(1310nm,10km,LC)；要求为原厂正品、可通过厂商验证保修等相关信息；要求投标文件提供详细品牌型号规格；</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块</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2</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82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仿宋_GB2312" w:hAnsi="宋体" w:eastAsia="仿宋_GB2312" w:cs="仿宋_GB2312"/>
                <w:b/>
                <w:bCs/>
                <w:color w:val="auto"/>
                <w:sz w:val="24"/>
                <w:highlight w:val="none"/>
                <w:lang w:val="en-US" w:eastAsia="zh-CN"/>
              </w:rPr>
            </w:pPr>
            <w:r>
              <w:rPr>
                <w:rFonts w:ascii="仿宋_GB2312" w:hAnsi="宋体" w:eastAsia="仿宋_GB2312" w:cs="仿宋_GB2312"/>
                <w:b/>
                <w:bCs/>
                <w:color w:val="auto"/>
                <w:kern w:val="0"/>
                <w:sz w:val="24"/>
                <w:highlight w:val="none"/>
                <w:lang w:bidi="ar"/>
              </w:rPr>
              <w:t>第二部分、</w:t>
            </w:r>
            <w:r>
              <w:rPr>
                <w:rFonts w:hint="eastAsia" w:ascii="仿宋_GB2312" w:hAnsi="宋体" w:eastAsia="仿宋_GB2312" w:cs="仿宋_GB2312"/>
                <w:b/>
                <w:bCs/>
                <w:color w:val="auto"/>
                <w:kern w:val="0"/>
                <w:sz w:val="24"/>
                <w:highlight w:val="none"/>
                <w:lang w:val="en-US" w:eastAsia="zh-CN" w:bidi="ar"/>
              </w:rPr>
              <w:t>无线系统</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无线对接与管理定制</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val="en-US" w:eastAsia="zh-CN"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2</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个</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65</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Cs w:val="21"/>
                <w:highlight w:val="none"/>
                <w:lang w:bidi="ar"/>
              </w:rPr>
            </w:pPr>
            <w:r>
              <w:rPr>
                <w:rFonts w:hint="eastAsia" w:ascii="宋体" w:hAnsi="宋体" w:cs="宋体"/>
                <w:color w:val="auto"/>
                <w:kern w:val="0"/>
                <w:szCs w:val="21"/>
                <w:highlight w:val="none"/>
                <w:lang w:bidi="ar"/>
              </w:rPr>
              <w:t>3</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Cs w:val="21"/>
                <w:highlight w:val="none"/>
                <w:lang w:bidi="ar"/>
              </w:rPr>
            </w:pPr>
            <w:r>
              <w:rPr>
                <w:rFonts w:hint="eastAsia" w:ascii="宋体" w:hAnsi="宋体" w:cs="宋体"/>
                <w:color w:val="auto"/>
                <w:kern w:val="0"/>
                <w:szCs w:val="21"/>
                <w:highlight w:val="none"/>
                <w:lang w:bidi="ar"/>
              </w:rPr>
              <w:t>高密AP</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个</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7</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Cs w:val="21"/>
                <w:highlight w:val="none"/>
                <w:lang w:bidi="ar"/>
              </w:rPr>
            </w:pPr>
            <w:r>
              <w:rPr>
                <w:rFonts w:hint="eastAsia" w:ascii="宋体" w:hAnsi="宋体" w:cs="宋体"/>
                <w:color w:val="auto"/>
                <w:kern w:val="0"/>
                <w:szCs w:val="21"/>
                <w:highlight w:val="none"/>
                <w:lang w:bidi="ar"/>
              </w:rPr>
              <w:t>4</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Cs w:val="21"/>
                <w:highlight w:val="none"/>
                <w:lang w:bidi="ar"/>
              </w:rPr>
            </w:pPr>
            <w:r>
              <w:rPr>
                <w:rFonts w:hint="eastAsia" w:ascii="宋体" w:hAnsi="宋体" w:cs="宋体"/>
                <w:color w:val="auto"/>
                <w:kern w:val="0"/>
                <w:szCs w:val="21"/>
                <w:highlight w:val="none"/>
                <w:lang w:bidi="ar"/>
              </w:rPr>
              <w:t>室外AP</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个</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9</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Cs w:val="21"/>
                <w:highlight w:val="none"/>
                <w:lang w:bidi="ar"/>
              </w:rPr>
            </w:pPr>
            <w:r>
              <w:rPr>
                <w:rFonts w:hint="eastAsia" w:ascii="宋体" w:hAnsi="宋体" w:cs="宋体"/>
                <w:color w:val="auto"/>
                <w:kern w:val="0"/>
                <w:szCs w:val="21"/>
                <w:highlight w:val="none"/>
                <w:lang w:bidi="ar"/>
              </w:rPr>
              <w:t>5</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Cs w:val="21"/>
                <w:highlight w:val="none"/>
                <w:lang w:bidi="ar"/>
              </w:rPr>
            </w:pPr>
            <w:r>
              <w:rPr>
                <w:rFonts w:hint="eastAsia" w:ascii="宋体" w:hAnsi="宋体" w:cs="宋体"/>
                <w:color w:val="auto"/>
                <w:kern w:val="0"/>
                <w:szCs w:val="21"/>
                <w:highlight w:val="none"/>
                <w:lang w:bidi="ar"/>
              </w:rPr>
              <w:t>移动运维服务</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Cs w:val="21"/>
                <w:highlight w:val="none"/>
                <w:lang w:bidi="ar"/>
              </w:rPr>
            </w:pP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Cs w:val="21"/>
                <w:highlight w:val="none"/>
                <w:lang w:bidi="ar"/>
              </w:rPr>
            </w:pPr>
            <w:r>
              <w:rPr>
                <w:rFonts w:hint="eastAsia" w:ascii="宋体" w:hAnsi="宋体" w:cs="宋体"/>
                <w:color w:val="auto"/>
                <w:kern w:val="0"/>
                <w:szCs w:val="21"/>
                <w:highlight w:val="none"/>
                <w:lang w:bidi="ar"/>
              </w:rPr>
              <w:t>故障维护服务</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82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第三部分、综合布线及系统集成</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17632" behindDoc="0" locked="0" layoutInCell="1" allowOverlap="1">
                  <wp:simplePos x="0" y="0"/>
                  <wp:positionH relativeFrom="column">
                    <wp:posOffset>0</wp:posOffset>
                  </wp:positionH>
                  <wp:positionV relativeFrom="paragraph">
                    <wp:posOffset>0</wp:posOffset>
                  </wp:positionV>
                  <wp:extent cx="76200" cy="643255"/>
                  <wp:effectExtent l="0" t="0" r="0" b="0"/>
                  <wp:wrapNone/>
                  <wp:docPr id="56" name="Text_Box_1"/>
                  <wp:cNvGraphicFramePr/>
                  <a:graphic xmlns:a="http://schemas.openxmlformats.org/drawingml/2006/main">
                    <a:graphicData uri="http://schemas.openxmlformats.org/drawingml/2006/picture">
                      <pic:pic xmlns:pic="http://schemas.openxmlformats.org/drawingml/2006/picture">
                        <pic:nvPicPr>
                          <pic:cNvPr id="56" name="Text_Box_1"/>
                          <pic:cNvPicPr/>
                        </pic:nvPicPr>
                        <pic:blipFill>
                          <a:blip r:embed="rId30"/>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4624" behindDoc="0" locked="0" layoutInCell="1" allowOverlap="1">
                  <wp:simplePos x="0" y="0"/>
                  <wp:positionH relativeFrom="column">
                    <wp:posOffset>0</wp:posOffset>
                  </wp:positionH>
                  <wp:positionV relativeFrom="paragraph">
                    <wp:posOffset>0</wp:posOffset>
                  </wp:positionV>
                  <wp:extent cx="76200" cy="481330"/>
                  <wp:effectExtent l="0" t="0" r="0" b="0"/>
                  <wp:wrapNone/>
                  <wp:docPr id="14" name="Text_Box_1_SpCnt_1"/>
                  <wp:cNvGraphicFramePr/>
                  <a:graphic xmlns:a="http://schemas.openxmlformats.org/drawingml/2006/main">
                    <a:graphicData uri="http://schemas.openxmlformats.org/drawingml/2006/picture">
                      <pic:pic xmlns:pic="http://schemas.openxmlformats.org/drawingml/2006/picture">
                        <pic:nvPicPr>
                          <pic:cNvPr id="14" name="Text_Box_1_SpCnt_1"/>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1008" behindDoc="0" locked="0" layoutInCell="1" allowOverlap="1">
                  <wp:simplePos x="0" y="0"/>
                  <wp:positionH relativeFrom="column">
                    <wp:posOffset>0</wp:posOffset>
                  </wp:positionH>
                  <wp:positionV relativeFrom="paragraph">
                    <wp:posOffset>0</wp:posOffset>
                  </wp:positionV>
                  <wp:extent cx="76200" cy="643255"/>
                  <wp:effectExtent l="0" t="0" r="0" b="0"/>
                  <wp:wrapNone/>
                  <wp:docPr id="30" name="Text_Box_1_SpCnt_2"/>
                  <wp:cNvGraphicFramePr/>
                  <a:graphic xmlns:a="http://schemas.openxmlformats.org/drawingml/2006/main">
                    <a:graphicData uri="http://schemas.openxmlformats.org/drawingml/2006/picture">
                      <pic:pic xmlns:pic="http://schemas.openxmlformats.org/drawingml/2006/picture">
                        <pic:nvPicPr>
                          <pic:cNvPr id="30" name="Text_Box_1_SpCnt_2"/>
                          <pic:cNvPicPr/>
                        </pic:nvPicPr>
                        <pic:blipFill>
                          <a:blip r:embed="rId30"/>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2576" behindDoc="0" locked="0" layoutInCell="1" allowOverlap="1">
                  <wp:simplePos x="0" y="0"/>
                  <wp:positionH relativeFrom="column">
                    <wp:posOffset>0</wp:posOffset>
                  </wp:positionH>
                  <wp:positionV relativeFrom="paragraph">
                    <wp:posOffset>0</wp:posOffset>
                  </wp:positionV>
                  <wp:extent cx="114300" cy="481330"/>
                  <wp:effectExtent l="0" t="0" r="0" b="0"/>
                  <wp:wrapNone/>
                  <wp:docPr id="12" name="Text_Box_1_SpCnt_3"/>
                  <wp:cNvGraphicFramePr/>
                  <a:graphic xmlns:a="http://schemas.openxmlformats.org/drawingml/2006/main">
                    <a:graphicData uri="http://schemas.openxmlformats.org/drawingml/2006/picture">
                      <pic:pic xmlns:pic="http://schemas.openxmlformats.org/drawingml/2006/picture">
                        <pic:nvPicPr>
                          <pic:cNvPr id="12" name="Text_Box_1_SpCnt_3"/>
                          <pic:cNvPicPr/>
                        </pic:nvPicPr>
                        <pic:blipFill>
                          <a:blip r:embed="rId32"/>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3600" behindDoc="0" locked="0" layoutInCell="1" allowOverlap="1">
                  <wp:simplePos x="0" y="0"/>
                  <wp:positionH relativeFrom="column">
                    <wp:posOffset>0</wp:posOffset>
                  </wp:positionH>
                  <wp:positionV relativeFrom="paragraph">
                    <wp:posOffset>0</wp:posOffset>
                  </wp:positionV>
                  <wp:extent cx="76200" cy="643255"/>
                  <wp:effectExtent l="0" t="0" r="0" b="0"/>
                  <wp:wrapNone/>
                  <wp:docPr id="13" name="Text_Box_1_SpCnt_4"/>
                  <wp:cNvGraphicFramePr/>
                  <a:graphic xmlns:a="http://schemas.openxmlformats.org/drawingml/2006/main">
                    <a:graphicData uri="http://schemas.openxmlformats.org/drawingml/2006/picture">
                      <pic:pic xmlns:pic="http://schemas.openxmlformats.org/drawingml/2006/picture">
                        <pic:nvPicPr>
                          <pic:cNvPr id="13" name="Text_Box_1_SpCnt_4"/>
                          <pic:cNvPicPr/>
                        </pic:nvPicPr>
                        <pic:blipFill>
                          <a:blip r:embed="rId33"/>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6912" behindDoc="0" locked="0" layoutInCell="1" allowOverlap="1">
                  <wp:simplePos x="0" y="0"/>
                  <wp:positionH relativeFrom="column">
                    <wp:posOffset>0</wp:posOffset>
                  </wp:positionH>
                  <wp:positionV relativeFrom="paragraph">
                    <wp:posOffset>0</wp:posOffset>
                  </wp:positionV>
                  <wp:extent cx="114300" cy="481330"/>
                  <wp:effectExtent l="0" t="0" r="0" b="0"/>
                  <wp:wrapNone/>
                  <wp:docPr id="26" name="Text_Box_1_SpCnt_5"/>
                  <wp:cNvGraphicFramePr/>
                  <a:graphic xmlns:a="http://schemas.openxmlformats.org/drawingml/2006/main">
                    <a:graphicData uri="http://schemas.openxmlformats.org/drawingml/2006/picture">
                      <pic:pic xmlns:pic="http://schemas.openxmlformats.org/drawingml/2006/picture">
                        <pic:nvPicPr>
                          <pic:cNvPr id="26" name="Text_Box_1_SpCnt_5"/>
                          <pic:cNvPicPr/>
                        </pic:nvPicPr>
                        <pic:blipFill>
                          <a:blip r:embed="rId34"/>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7936" behindDoc="0" locked="0" layoutInCell="1" allowOverlap="1">
                  <wp:simplePos x="0" y="0"/>
                  <wp:positionH relativeFrom="column">
                    <wp:posOffset>0</wp:posOffset>
                  </wp:positionH>
                  <wp:positionV relativeFrom="paragraph">
                    <wp:posOffset>0</wp:posOffset>
                  </wp:positionV>
                  <wp:extent cx="114300" cy="481330"/>
                  <wp:effectExtent l="0" t="0" r="0" b="0"/>
                  <wp:wrapNone/>
                  <wp:docPr id="27" name="Text_Box_1_SpCnt_6"/>
                  <wp:cNvGraphicFramePr/>
                  <a:graphic xmlns:a="http://schemas.openxmlformats.org/drawingml/2006/main">
                    <a:graphicData uri="http://schemas.openxmlformats.org/drawingml/2006/picture">
                      <pic:pic xmlns:pic="http://schemas.openxmlformats.org/drawingml/2006/picture">
                        <pic:nvPicPr>
                          <pic:cNvPr id="27" name="Text_Box_1_SpCnt_6"/>
                          <pic:cNvPicPr/>
                        </pic:nvPicPr>
                        <pic:blipFill>
                          <a:blip r:embed="rId34"/>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7696" behindDoc="0" locked="0" layoutInCell="1" allowOverlap="1">
                  <wp:simplePos x="0" y="0"/>
                  <wp:positionH relativeFrom="column">
                    <wp:posOffset>0</wp:posOffset>
                  </wp:positionH>
                  <wp:positionV relativeFrom="paragraph">
                    <wp:posOffset>0</wp:posOffset>
                  </wp:positionV>
                  <wp:extent cx="114300" cy="481330"/>
                  <wp:effectExtent l="0" t="0" r="0" b="0"/>
                  <wp:wrapNone/>
                  <wp:docPr id="17" name="Text_Box_1_SpCnt_7"/>
                  <wp:cNvGraphicFramePr/>
                  <a:graphic xmlns:a="http://schemas.openxmlformats.org/drawingml/2006/main">
                    <a:graphicData uri="http://schemas.openxmlformats.org/drawingml/2006/picture">
                      <pic:pic xmlns:pic="http://schemas.openxmlformats.org/drawingml/2006/picture">
                        <pic:nvPicPr>
                          <pic:cNvPr id="17" name="Text_Box_1_SpCnt_7"/>
                          <pic:cNvPicPr/>
                        </pic:nvPicPr>
                        <pic:blipFill>
                          <a:blip r:embed="rId34"/>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4864" behindDoc="0" locked="0" layoutInCell="1" allowOverlap="1">
                  <wp:simplePos x="0" y="0"/>
                  <wp:positionH relativeFrom="column">
                    <wp:posOffset>0</wp:posOffset>
                  </wp:positionH>
                  <wp:positionV relativeFrom="paragraph">
                    <wp:posOffset>0</wp:posOffset>
                  </wp:positionV>
                  <wp:extent cx="76200" cy="481330"/>
                  <wp:effectExtent l="0" t="0" r="0" b="0"/>
                  <wp:wrapNone/>
                  <wp:docPr id="24" name="Text_Box_1_SpCnt_8"/>
                  <wp:cNvGraphicFramePr/>
                  <a:graphic xmlns:a="http://schemas.openxmlformats.org/drawingml/2006/main">
                    <a:graphicData uri="http://schemas.openxmlformats.org/drawingml/2006/picture">
                      <pic:pic xmlns:pic="http://schemas.openxmlformats.org/drawingml/2006/picture">
                        <pic:nvPicPr>
                          <pic:cNvPr id="24" name="Text_Box_1_SpCnt_8"/>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76200" cy="481330"/>
                  <wp:effectExtent l="0" t="0" r="0" b="0"/>
                  <wp:wrapNone/>
                  <wp:docPr id="21" name="Text_Box_1_SpCnt_9"/>
                  <wp:cNvGraphicFramePr/>
                  <a:graphic xmlns:a="http://schemas.openxmlformats.org/drawingml/2006/main">
                    <a:graphicData uri="http://schemas.openxmlformats.org/drawingml/2006/picture">
                      <pic:pic xmlns:pic="http://schemas.openxmlformats.org/drawingml/2006/picture">
                        <pic:nvPicPr>
                          <pic:cNvPr id="21" name="Text_Box_1_SpCnt_9"/>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6672" behindDoc="0" locked="0" layoutInCell="1" allowOverlap="1">
                  <wp:simplePos x="0" y="0"/>
                  <wp:positionH relativeFrom="column">
                    <wp:posOffset>0</wp:posOffset>
                  </wp:positionH>
                  <wp:positionV relativeFrom="paragraph">
                    <wp:posOffset>0</wp:posOffset>
                  </wp:positionV>
                  <wp:extent cx="76200" cy="481330"/>
                  <wp:effectExtent l="0" t="0" r="0" b="0"/>
                  <wp:wrapNone/>
                  <wp:docPr id="16" name="Text_Box_1_SpCnt_10"/>
                  <wp:cNvGraphicFramePr/>
                  <a:graphic xmlns:a="http://schemas.openxmlformats.org/drawingml/2006/main">
                    <a:graphicData uri="http://schemas.openxmlformats.org/drawingml/2006/picture">
                      <pic:pic xmlns:pic="http://schemas.openxmlformats.org/drawingml/2006/picture">
                        <pic:nvPicPr>
                          <pic:cNvPr id="16" name="Text_Box_1_SpCnt_10"/>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8960" behindDoc="0" locked="0" layoutInCell="1" allowOverlap="1">
                  <wp:simplePos x="0" y="0"/>
                  <wp:positionH relativeFrom="column">
                    <wp:posOffset>0</wp:posOffset>
                  </wp:positionH>
                  <wp:positionV relativeFrom="paragraph">
                    <wp:posOffset>0</wp:posOffset>
                  </wp:positionV>
                  <wp:extent cx="76200" cy="481330"/>
                  <wp:effectExtent l="0" t="0" r="0" b="0"/>
                  <wp:wrapNone/>
                  <wp:docPr id="28" name="Text_Box_1_SpCnt_11"/>
                  <wp:cNvGraphicFramePr/>
                  <a:graphic xmlns:a="http://schemas.openxmlformats.org/drawingml/2006/main">
                    <a:graphicData uri="http://schemas.openxmlformats.org/drawingml/2006/picture">
                      <pic:pic xmlns:pic="http://schemas.openxmlformats.org/drawingml/2006/picture">
                        <pic:nvPicPr>
                          <pic:cNvPr id="28" name="Text_Box_1_SpCnt_11"/>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5648" behindDoc="0" locked="0" layoutInCell="1" allowOverlap="1">
                  <wp:simplePos x="0" y="0"/>
                  <wp:positionH relativeFrom="column">
                    <wp:posOffset>0</wp:posOffset>
                  </wp:positionH>
                  <wp:positionV relativeFrom="paragraph">
                    <wp:posOffset>0</wp:posOffset>
                  </wp:positionV>
                  <wp:extent cx="76200" cy="643255"/>
                  <wp:effectExtent l="0" t="0" r="0" b="0"/>
                  <wp:wrapNone/>
                  <wp:docPr id="15" name="Text_Box_1_SpCnt_12"/>
                  <wp:cNvGraphicFramePr/>
                  <a:graphic xmlns:a="http://schemas.openxmlformats.org/drawingml/2006/main">
                    <a:graphicData uri="http://schemas.openxmlformats.org/drawingml/2006/picture">
                      <pic:pic xmlns:pic="http://schemas.openxmlformats.org/drawingml/2006/picture">
                        <pic:nvPicPr>
                          <pic:cNvPr id="15" name="Text_Box_1_SpCnt_12"/>
                          <pic:cNvPicPr/>
                        </pic:nvPicPr>
                        <pic:blipFill>
                          <a:blip r:embed="rId33"/>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9984" behindDoc="0" locked="0" layoutInCell="1" allowOverlap="1">
                  <wp:simplePos x="0" y="0"/>
                  <wp:positionH relativeFrom="column">
                    <wp:posOffset>0</wp:posOffset>
                  </wp:positionH>
                  <wp:positionV relativeFrom="paragraph">
                    <wp:posOffset>0</wp:posOffset>
                  </wp:positionV>
                  <wp:extent cx="76200" cy="481330"/>
                  <wp:effectExtent l="0" t="0" r="0" b="0"/>
                  <wp:wrapNone/>
                  <wp:docPr id="29" name="Text_Box_1_SpCnt_13"/>
                  <wp:cNvGraphicFramePr/>
                  <a:graphic xmlns:a="http://schemas.openxmlformats.org/drawingml/2006/main">
                    <a:graphicData uri="http://schemas.openxmlformats.org/drawingml/2006/picture">
                      <pic:pic xmlns:pic="http://schemas.openxmlformats.org/drawingml/2006/picture">
                        <pic:nvPicPr>
                          <pic:cNvPr id="29" name="Text_Box_1_SpCnt_13"/>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2032" behindDoc="0" locked="0" layoutInCell="1" allowOverlap="1">
                  <wp:simplePos x="0" y="0"/>
                  <wp:positionH relativeFrom="column">
                    <wp:posOffset>0</wp:posOffset>
                  </wp:positionH>
                  <wp:positionV relativeFrom="paragraph">
                    <wp:posOffset>0</wp:posOffset>
                  </wp:positionV>
                  <wp:extent cx="76200" cy="481330"/>
                  <wp:effectExtent l="0" t="0" r="0" b="0"/>
                  <wp:wrapNone/>
                  <wp:docPr id="31" name="Text_Box_1_SpCnt_14"/>
                  <wp:cNvGraphicFramePr/>
                  <a:graphic xmlns:a="http://schemas.openxmlformats.org/drawingml/2006/main">
                    <a:graphicData uri="http://schemas.openxmlformats.org/drawingml/2006/picture">
                      <pic:pic xmlns:pic="http://schemas.openxmlformats.org/drawingml/2006/picture">
                        <pic:nvPicPr>
                          <pic:cNvPr id="31" name="Text_Box_1_SpCnt_14"/>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76200" cy="481330"/>
                  <wp:effectExtent l="0" t="0" r="0" b="0"/>
                  <wp:wrapNone/>
                  <wp:docPr id="18" name="Text_Box_1_SpCnt_15"/>
                  <wp:cNvGraphicFramePr/>
                  <a:graphic xmlns:a="http://schemas.openxmlformats.org/drawingml/2006/main">
                    <a:graphicData uri="http://schemas.openxmlformats.org/drawingml/2006/picture">
                      <pic:pic xmlns:pic="http://schemas.openxmlformats.org/drawingml/2006/picture">
                        <pic:nvPicPr>
                          <pic:cNvPr id="18" name="Text_Box_1_SpCnt_15"/>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2816" behindDoc="0" locked="0" layoutInCell="1" allowOverlap="1">
                  <wp:simplePos x="0" y="0"/>
                  <wp:positionH relativeFrom="column">
                    <wp:posOffset>0</wp:posOffset>
                  </wp:positionH>
                  <wp:positionV relativeFrom="paragraph">
                    <wp:posOffset>0</wp:posOffset>
                  </wp:positionV>
                  <wp:extent cx="76200" cy="481330"/>
                  <wp:effectExtent l="0" t="0" r="0" b="0"/>
                  <wp:wrapNone/>
                  <wp:docPr id="22" name="Text_Box_1_SpCnt_16"/>
                  <wp:cNvGraphicFramePr/>
                  <a:graphic xmlns:a="http://schemas.openxmlformats.org/drawingml/2006/main">
                    <a:graphicData uri="http://schemas.openxmlformats.org/drawingml/2006/picture">
                      <pic:pic xmlns:pic="http://schemas.openxmlformats.org/drawingml/2006/picture">
                        <pic:nvPicPr>
                          <pic:cNvPr id="22" name="Text_Box_1_SpCnt_16"/>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0768" behindDoc="0" locked="0" layoutInCell="1" allowOverlap="1">
                  <wp:simplePos x="0" y="0"/>
                  <wp:positionH relativeFrom="column">
                    <wp:posOffset>0</wp:posOffset>
                  </wp:positionH>
                  <wp:positionV relativeFrom="paragraph">
                    <wp:posOffset>0</wp:posOffset>
                  </wp:positionV>
                  <wp:extent cx="114300" cy="481330"/>
                  <wp:effectExtent l="0" t="0" r="0" b="0"/>
                  <wp:wrapNone/>
                  <wp:docPr id="20" name="Text_Box_1_SpCnt_17"/>
                  <wp:cNvGraphicFramePr/>
                  <a:graphic xmlns:a="http://schemas.openxmlformats.org/drawingml/2006/main">
                    <a:graphicData uri="http://schemas.openxmlformats.org/drawingml/2006/picture">
                      <pic:pic xmlns:pic="http://schemas.openxmlformats.org/drawingml/2006/picture">
                        <pic:nvPicPr>
                          <pic:cNvPr id="20" name="Text_Box_1_SpCnt_17"/>
                          <pic:cNvPicPr/>
                        </pic:nvPicPr>
                        <pic:blipFill>
                          <a:blip r:embed="rId34"/>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3840" behindDoc="0" locked="0" layoutInCell="1" allowOverlap="1">
                  <wp:simplePos x="0" y="0"/>
                  <wp:positionH relativeFrom="column">
                    <wp:posOffset>0</wp:posOffset>
                  </wp:positionH>
                  <wp:positionV relativeFrom="paragraph">
                    <wp:posOffset>0</wp:posOffset>
                  </wp:positionV>
                  <wp:extent cx="76200" cy="481330"/>
                  <wp:effectExtent l="0" t="0" r="0" b="0"/>
                  <wp:wrapNone/>
                  <wp:docPr id="23" name="Text_Box_1_SpCnt_18"/>
                  <wp:cNvGraphicFramePr/>
                  <a:graphic xmlns:a="http://schemas.openxmlformats.org/drawingml/2006/main">
                    <a:graphicData uri="http://schemas.openxmlformats.org/drawingml/2006/picture">
                      <pic:pic xmlns:pic="http://schemas.openxmlformats.org/drawingml/2006/picture">
                        <pic:nvPicPr>
                          <pic:cNvPr id="23" name="Text_Box_1_SpCnt_18"/>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9744" behindDoc="0" locked="0" layoutInCell="1" allowOverlap="1">
                  <wp:simplePos x="0" y="0"/>
                  <wp:positionH relativeFrom="column">
                    <wp:posOffset>0</wp:posOffset>
                  </wp:positionH>
                  <wp:positionV relativeFrom="paragraph">
                    <wp:posOffset>0</wp:posOffset>
                  </wp:positionV>
                  <wp:extent cx="114300" cy="481330"/>
                  <wp:effectExtent l="0" t="0" r="0" b="0"/>
                  <wp:wrapNone/>
                  <wp:docPr id="19" name="Text_Box_1_SpCnt_19"/>
                  <wp:cNvGraphicFramePr/>
                  <a:graphic xmlns:a="http://schemas.openxmlformats.org/drawingml/2006/main">
                    <a:graphicData uri="http://schemas.openxmlformats.org/drawingml/2006/picture">
                      <pic:pic xmlns:pic="http://schemas.openxmlformats.org/drawingml/2006/picture">
                        <pic:nvPicPr>
                          <pic:cNvPr id="19" name="Text_Box_1_SpCnt_19"/>
                          <pic:cNvPicPr/>
                        </pic:nvPicPr>
                        <pic:blipFill>
                          <a:blip r:embed="rId34"/>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76200" cy="481330"/>
                  <wp:effectExtent l="0" t="0" r="0" b="0"/>
                  <wp:wrapNone/>
                  <wp:docPr id="25" name="Text_Box_1_SpCnt_20"/>
                  <wp:cNvGraphicFramePr/>
                  <a:graphic xmlns:a="http://schemas.openxmlformats.org/drawingml/2006/main">
                    <a:graphicData uri="http://schemas.openxmlformats.org/drawingml/2006/picture">
                      <pic:pic xmlns:pic="http://schemas.openxmlformats.org/drawingml/2006/picture">
                        <pic:nvPicPr>
                          <pic:cNvPr id="25" name="Text_Box_1_SpCnt_20"/>
                          <pic:cNvPicPr/>
                        </pic:nvPicPr>
                        <pic:blipFill>
                          <a:blip r:embed="rId3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2992" behindDoc="0" locked="0" layoutInCell="1" allowOverlap="1">
                  <wp:simplePos x="0" y="0"/>
                  <wp:positionH relativeFrom="column">
                    <wp:posOffset>0</wp:posOffset>
                  </wp:positionH>
                  <wp:positionV relativeFrom="paragraph">
                    <wp:posOffset>0</wp:posOffset>
                  </wp:positionV>
                  <wp:extent cx="114300" cy="481330"/>
                  <wp:effectExtent l="0" t="0" r="0" b="0"/>
                  <wp:wrapNone/>
                  <wp:docPr id="71" name="Text_Box_1_SpCnt_21"/>
                  <wp:cNvGraphicFramePr/>
                  <a:graphic xmlns:a="http://schemas.openxmlformats.org/drawingml/2006/main">
                    <a:graphicData uri="http://schemas.openxmlformats.org/drawingml/2006/picture">
                      <pic:pic xmlns:pic="http://schemas.openxmlformats.org/drawingml/2006/picture">
                        <pic:nvPicPr>
                          <pic:cNvPr id="71" name="Text_Box_1_SpCnt_21"/>
                          <pic:cNvPicPr/>
                        </pic:nvPicPr>
                        <pic:blipFill>
                          <a:blip r:embed="rId34"/>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8112" behindDoc="0" locked="0" layoutInCell="1" allowOverlap="1">
                  <wp:simplePos x="0" y="0"/>
                  <wp:positionH relativeFrom="column">
                    <wp:posOffset>0</wp:posOffset>
                  </wp:positionH>
                  <wp:positionV relativeFrom="paragraph">
                    <wp:posOffset>0</wp:posOffset>
                  </wp:positionV>
                  <wp:extent cx="114300" cy="481330"/>
                  <wp:effectExtent l="0" t="0" r="0" b="0"/>
                  <wp:wrapNone/>
                  <wp:docPr id="76" name="Text_Box_1_SpCnt_22"/>
                  <wp:cNvGraphicFramePr/>
                  <a:graphic xmlns:a="http://schemas.openxmlformats.org/drawingml/2006/main">
                    <a:graphicData uri="http://schemas.openxmlformats.org/drawingml/2006/picture">
                      <pic:pic xmlns:pic="http://schemas.openxmlformats.org/drawingml/2006/picture">
                        <pic:nvPicPr>
                          <pic:cNvPr id="76" name="Text_Box_1_SpCnt_22"/>
                          <pic:cNvPicPr/>
                        </pic:nvPicPr>
                        <pic:blipFill>
                          <a:blip r:embed="rId34"/>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18656" behindDoc="0" locked="0" layoutInCell="1" allowOverlap="1">
                  <wp:simplePos x="0" y="0"/>
                  <wp:positionH relativeFrom="column">
                    <wp:posOffset>0</wp:posOffset>
                  </wp:positionH>
                  <wp:positionV relativeFrom="paragraph">
                    <wp:posOffset>0</wp:posOffset>
                  </wp:positionV>
                  <wp:extent cx="76200" cy="481330"/>
                  <wp:effectExtent l="0" t="0" r="0" b="0"/>
                  <wp:wrapNone/>
                  <wp:docPr id="57" name="Text_Box_1_SpCnt_23"/>
                  <wp:cNvGraphicFramePr/>
                  <a:graphic xmlns:a="http://schemas.openxmlformats.org/drawingml/2006/main">
                    <a:graphicData uri="http://schemas.openxmlformats.org/drawingml/2006/picture">
                      <pic:pic xmlns:pic="http://schemas.openxmlformats.org/drawingml/2006/picture">
                        <pic:nvPicPr>
                          <pic:cNvPr id="57" name="Text_Box_1_SpCnt_23"/>
                          <pic:cNvPicPr/>
                        </pic:nvPicPr>
                        <pic:blipFill>
                          <a:blip r:embed="rId35"/>
                          <a:stretch>
                            <a:fillRect/>
                          </a:stretch>
                        </pic:blipFill>
                        <pic:spPr>
                          <a:xfrm>
                            <a:off x="0" y="0"/>
                            <a:ext cx="76200" cy="481330"/>
                          </a:xfrm>
                          <a:prstGeom prst="rect">
                            <a:avLst/>
                          </a:prstGeom>
                          <a:noFill/>
                          <a:ln>
                            <a:noFill/>
                          </a:ln>
                        </pic:spPr>
                      </pic:pic>
                    </a:graphicData>
                  </a:graphic>
                </wp:anchor>
              </w:drawing>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19680" behindDoc="0" locked="0" layoutInCell="1" allowOverlap="1">
                  <wp:simplePos x="0" y="0"/>
                  <wp:positionH relativeFrom="column">
                    <wp:posOffset>0</wp:posOffset>
                  </wp:positionH>
                  <wp:positionV relativeFrom="paragraph">
                    <wp:posOffset>0</wp:posOffset>
                  </wp:positionV>
                  <wp:extent cx="76200" cy="481330"/>
                  <wp:effectExtent l="0" t="0" r="0" b="0"/>
                  <wp:wrapNone/>
                  <wp:docPr id="58" name="Text_Box_1_SpCnt_24"/>
                  <wp:cNvGraphicFramePr/>
                  <a:graphic xmlns:a="http://schemas.openxmlformats.org/drawingml/2006/main">
                    <a:graphicData uri="http://schemas.openxmlformats.org/drawingml/2006/picture">
                      <pic:pic xmlns:pic="http://schemas.openxmlformats.org/drawingml/2006/picture">
                        <pic:nvPicPr>
                          <pic:cNvPr id="58" name="Text_Box_1_SpCnt_24"/>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3776" behindDoc="0" locked="0" layoutInCell="1" allowOverlap="1">
                  <wp:simplePos x="0" y="0"/>
                  <wp:positionH relativeFrom="column">
                    <wp:posOffset>0</wp:posOffset>
                  </wp:positionH>
                  <wp:positionV relativeFrom="paragraph">
                    <wp:posOffset>0</wp:posOffset>
                  </wp:positionV>
                  <wp:extent cx="114300" cy="481330"/>
                  <wp:effectExtent l="0" t="0" r="0" b="0"/>
                  <wp:wrapNone/>
                  <wp:docPr id="62" name="Text_Box_1_SpCnt_25"/>
                  <wp:cNvGraphicFramePr/>
                  <a:graphic xmlns:a="http://schemas.openxmlformats.org/drawingml/2006/main">
                    <a:graphicData uri="http://schemas.openxmlformats.org/drawingml/2006/picture">
                      <pic:pic xmlns:pic="http://schemas.openxmlformats.org/drawingml/2006/picture">
                        <pic:nvPicPr>
                          <pic:cNvPr id="62" name="Text_Box_1_SpCnt_25"/>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7872" behindDoc="0" locked="0" layoutInCell="1" allowOverlap="1">
                  <wp:simplePos x="0" y="0"/>
                  <wp:positionH relativeFrom="column">
                    <wp:posOffset>0</wp:posOffset>
                  </wp:positionH>
                  <wp:positionV relativeFrom="paragraph">
                    <wp:posOffset>0</wp:posOffset>
                  </wp:positionV>
                  <wp:extent cx="76200" cy="481330"/>
                  <wp:effectExtent l="0" t="0" r="0" b="0"/>
                  <wp:wrapNone/>
                  <wp:docPr id="66" name="Text_Box_1_SpCnt_26"/>
                  <wp:cNvGraphicFramePr/>
                  <a:graphic xmlns:a="http://schemas.openxmlformats.org/drawingml/2006/main">
                    <a:graphicData uri="http://schemas.openxmlformats.org/drawingml/2006/picture">
                      <pic:pic xmlns:pic="http://schemas.openxmlformats.org/drawingml/2006/picture">
                        <pic:nvPicPr>
                          <pic:cNvPr id="66" name="Text_Box_1_SpCnt_26"/>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0944" behindDoc="0" locked="0" layoutInCell="1" allowOverlap="1">
                  <wp:simplePos x="0" y="0"/>
                  <wp:positionH relativeFrom="column">
                    <wp:posOffset>0</wp:posOffset>
                  </wp:positionH>
                  <wp:positionV relativeFrom="paragraph">
                    <wp:posOffset>0</wp:posOffset>
                  </wp:positionV>
                  <wp:extent cx="114300" cy="481330"/>
                  <wp:effectExtent l="0" t="0" r="0" b="0"/>
                  <wp:wrapNone/>
                  <wp:docPr id="69" name="Text_Box_1_SpCnt_27"/>
                  <wp:cNvGraphicFramePr/>
                  <a:graphic xmlns:a="http://schemas.openxmlformats.org/drawingml/2006/main">
                    <a:graphicData uri="http://schemas.openxmlformats.org/drawingml/2006/picture">
                      <pic:pic xmlns:pic="http://schemas.openxmlformats.org/drawingml/2006/picture">
                        <pic:nvPicPr>
                          <pic:cNvPr id="69" name="Text_Box_1_SpCnt_27"/>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4016" behindDoc="0" locked="0" layoutInCell="1" allowOverlap="1">
                  <wp:simplePos x="0" y="0"/>
                  <wp:positionH relativeFrom="column">
                    <wp:posOffset>0</wp:posOffset>
                  </wp:positionH>
                  <wp:positionV relativeFrom="paragraph">
                    <wp:posOffset>0</wp:posOffset>
                  </wp:positionV>
                  <wp:extent cx="114300" cy="481330"/>
                  <wp:effectExtent l="0" t="0" r="0" b="0"/>
                  <wp:wrapNone/>
                  <wp:docPr id="72" name="Text_Box_1_SpCnt_28"/>
                  <wp:cNvGraphicFramePr/>
                  <a:graphic xmlns:a="http://schemas.openxmlformats.org/drawingml/2006/main">
                    <a:graphicData uri="http://schemas.openxmlformats.org/drawingml/2006/picture">
                      <pic:pic xmlns:pic="http://schemas.openxmlformats.org/drawingml/2006/picture">
                        <pic:nvPicPr>
                          <pic:cNvPr id="72" name="Text_Box_1_SpCnt_28"/>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4800" behindDoc="0" locked="0" layoutInCell="1" allowOverlap="1">
                  <wp:simplePos x="0" y="0"/>
                  <wp:positionH relativeFrom="column">
                    <wp:posOffset>0</wp:posOffset>
                  </wp:positionH>
                  <wp:positionV relativeFrom="paragraph">
                    <wp:posOffset>0</wp:posOffset>
                  </wp:positionV>
                  <wp:extent cx="76200" cy="481330"/>
                  <wp:effectExtent l="0" t="0" r="0" b="0"/>
                  <wp:wrapNone/>
                  <wp:docPr id="63" name="Text_Box_1_SpCnt_29"/>
                  <wp:cNvGraphicFramePr/>
                  <a:graphic xmlns:a="http://schemas.openxmlformats.org/drawingml/2006/main">
                    <a:graphicData uri="http://schemas.openxmlformats.org/drawingml/2006/picture">
                      <pic:pic xmlns:pic="http://schemas.openxmlformats.org/drawingml/2006/picture">
                        <pic:nvPicPr>
                          <pic:cNvPr id="63" name="Text_Box_1_SpCnt_29"/>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6064" behindDoc="0" locked="0" layoutInCell="1" allowOverlap="1">
                  <wp:simplePos x="0" y="0"/>
                  <wp:positionH relativeFrom="column">
                    <wp:posOffset>0</wp:posOffset>
                  </wp:positionH>
                  <wp:positionV relativeFrom="paragraph">
                    <wp:posOffset>0</wp:posOffset>
                  </wp:positionV>
                  <wp:extent cx="76200" cy="481330"/>
                  <wp:effectExtent l="0" t="0" r="0" b="0"/>
                  <wp:wrapNone/>
                  <wp:docPr id="74" name="Text_Box_1_SpCnt_30"/>
                  <wp:cNvGraphicFramePr/>
                  <a:graphic xmlns:a="http://schemas.openxmlformats.org/drawingml/2006/main">
                    <a:graphicData uri="http://schemas.openxmlformats.org/drawingml/2006/picture">
                      <pic:pic xmlns:pic="http://schemas.openxmlformats.org/drawingml/2006/picture">
                        <pic:nvPicPr>
                          <pic:cNvPr id="74" name="Text_Box_1_SpCnt_30"/>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1968" behindDoc="0" locked="0" layoutInCell="1" allowOverlap="1">
                  <wp:simplePos x="0" y="0"/>
                  <wp:positionH relativeFrom="column">
                    <wp:posOffset>0</wp:posOffset>
                  </wp:positionH>
                  <wp:positionV relativeFrom="paragraph">
                    <wp:posOffset>0</wp:posOffset>
                  </wp:positionV>
                  <wp:extent cx="76200" cy="643255"/>
                  <wp:effectExtent l="0" t="0" r="0" b="0"/>
                  <wp:wrapNone/>
                  <wp:docPr id="70" name="Text_Box_1_SpCnt_31"/>
                  <wp:cNvGraphicFramePr/>
                  <a:graphic xmlns:a="http://schemas.openxmlformats.org/drawingml/2006/main">
                    <a:graphicData uri="http://schemas.openxmlformats.org/drawingml/2006/picture">
                      <pic:pic xmlns:pic="http://schemas.openxmlformats.org/drawingml/2006/picture">
                        <pic:nvPicPr>
                          <pic:cNvPr id="70" name="Text_Box_1_SpCnt_31"/>
                          <pic:cNvPicPr/>
                        </pic:nvPicPr>
                        <pic:blipFill>
                          <a:blip r:embed="rId30"/>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8896" behindDoc="0" locked="0" layoutInCell="1" allowOverlap="1">
                  <wp:simplePos x="0" y="0"/>
                  <wp:positionH relativeFrom="column">
                    <wp:posOffset>0</wp:posOffset>
                  </wp:positionH>
                  <wp:positionV relativeFrom="paragraph">
                    <wp:posOffset>0</wp:posOffset>
                  </wp:positionV>
                  <wp:extent cx="76200" cy="481330"/>
                  <wp:effectExtent l="0" t="0" r="0" b="0"/>
                  <wp:wrapNone/>
                  <wp:docPr id="67" name="Text_Box_1_SpCnt_32"/>
                  <wp:cNvGraphicFramePr/>
                  <a:graphic xmlns:a="http://schemas.openxmlformats.org/drawingml/2006/main">
                    <a:graphicData uri="http://schemas.openxmlformats.org/drawingml/2006/picture">
                      <pic:pic xmlns:pic="http://schemas.openxmlformats.org/drawingml/2006/picture">
                        <pic:nvPicPr>
                          <pic:cNvPr id="67" name="Text_Box_1_SpCnt_32"/>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2752" behindDoc="0" locked="0" layoutInCell="1" allowOverlap="1">
                  <wp:simplePos x="0" y="0"/>
                  <wp:positionH relativeFrom="column">
                    <wp:posOffset>0</wp:posOffset>
                  </wp:positionH>
                  <wp:positionV relativeFrom="paragraph">
                    <wp:posOffset>0</wp:posOffset>
                  </wp:positionV>
                  <wp:extent cx="114300" cy="481330"/>
                  <wp:effectExtent l="0" t="0" r="0" b="0"/>
                  <wp:wrapNone/>
                  <wp:docPr id="61" name="Text_Box_1_SpCnt_33"/>
                  <wp:cNvGraphicFramePr/>
                  <a:graphic xmlns:a="http://schemas.openxmlformats.org/drawingml/2006/main">
                    <a:graphicData uri="http://schemas.openxmlformats.org/drawingml/2006/picture">
                      <pic:pic xmlns:pic="http://schemas.openxmlformats.org/drawingml/2006/picture">
                        <pic:nvPicPr>
                          <pic:cNvPr id="61" name="Text_Box_1_SpCnt_33"/>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9920" behindDoc="0" locked="0" layoutInCell="1" allowOverlap="1">
                  <wp:simplePos x="0" y="0"/>
                  <wp:positionH relativeFrom="column">
                    <wp:posOffset>0</wp:posOffset>
                  </wp:positionH>
                  <wp:positionV relativeFrom="paragraph">
                    <wp:posOffset>0</wp:posOffset>
                  </wp:positionV>
                  <wp:extent cx="76200" cy="643255"/>
                  <wp:effectExtent l="0" t="0" r="0" b="0"/>
                  <wp:wrapNone/>
                  <wp:docPr id="68" name="Text_Box_1_SpCnt_34"/>
                  <wp:cNvGraphicFramePr/>
                  <a:graphic xmlns:a="http://schemas.openxmlformats.org/drawingml/2006/main">
                    <a:graphicData uri="http://schemas.openxmlformats.org/drawingml/2006/picture">
                      <pic:pic xmlns:pic="http://schemas.openxmlformats.org/drawingml/2006/picture">
                        <pic:nvPicPr>
                          <pic:cNvPr id="68" name="Text_Box_1_SpCnt_34"/>
                          <pic:cNvPicPr/>
                        </pic:nvPicPr>
                        <pic:blipFill>
                          <a:blip r:embed="rId30"/>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7088" behindDoc="0" locked="0" layoutInCell="1" allowOverlap="1">
                  <wp:simplePos x="0" y="0"/>
                  <wp:positionH relativeFrom="column">
                    <wp:posOffset>0</wp:posOffset>
                  </wp:positionH>
                  <wp:positionV relativeFrom="paragraph">
                    <wp:posOffset>0</wp:posOffset>
                  </wp:positionV>
                  <wp:extent cx="76200" cy="643255"/>
                  <wp:effectExtent l="0" t="0" r="0" b="0"/>
                  <wp:wrapNone/>
                  <wp:docPr id="75" name="Text_Box_1_SpCnt_35"/>
                  <wp:cNvGraphicFramePr/>
                  <a:graphic xmlns:a="http://schemas.openxmlformats.org/drawingml/2006/main">
                    <a:graphicData uri="http://schemas.openxmlformats.org/drawingml/2006/picture">
                      <pic:pic xmlns:pic="http://schemas.openxmlformats.org/drawingml/2006/picture">
                        <pic:nvPicPr>
                          <pic:cNvPr id="75" name="Text_Box_1_SpCnt_35"/>
                          <pic:cNvPicPr/>
                        </pic:nvPicPr>
                        <pic:blipFill>
                          <a:blip r:embed="rId30"/>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5824" behindDoc="0" locked="0" layoutInCell="1" allowOverlap="1">
                  <wp:simplePos x="0" y="0"/>
                  <wp:positionH relativeFrom="column">
                    <wp:posOffset>0</wp:posOffset>
                  </wp:positionH>
                  <wp:positionV relativeFrom="paragraph">
                    <wp:posOffset>0</wp:posOffset>
                  </wp:positionV>
                  <wp:extent cx="76200" cy="481330"/>
                  <wp:effectExtent l="0" t="0" r="0" b="0"/>
                  <wp:wrapNone/>
                  <wp:docPr id="64" name="Text_Box_1_SpCnt_36"/>
                  <wp:cNvGraphicFramePr/>
                  <a:graphic xmlns:a="http://schemas.openxmlformats.org/drawingml/2006/main">
                    <a:graphicData uri="http://schemas.openxmlformats.org/drawingml/2006/picture">
                      <pic:pic xmlns:pic="http://schemas.openxmlformats.org/drawingml/2006/picture">
                        <pic:nvPicPr>
                          <pic:cNvPr id="64" name="Text_Box_1_SpCnt_36"/>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1728" behindDoc="0" locked="0" layoutInCell="1" allowOverlap="1">
                  <wp:simplePos x="0" y="0"/>
                  <wp:positionH relativeFrom="column">
                    <wp:posOffset>0</wp:posOffset>
                  </wp:positionH>
                  <wp:positionV relativeFrom="paragraph">
                    <wp:posOffset>0</wp:posOffset>
                  </wp:positionV>
                  <wp:extent cx="76200" cy="481330"/>
                  <wp:effectExtent l="0" t="0" r="0" b="0"/>
                  <wp:wrapNone/>
                  <wp:docPr id="60" name="Text_Box_1_SpCnt_37"/>
                  <wp:cNvGraphicFramePr/>
                  <a:graphic xmlns:a="http://schemas.openxmlformats.org/drawingml/2006/main">
                    <a:graphicData uri="http://schemas.openxmlformats.org/drawingml/2006/picture">
                      <pic:pic xmlns:pic="http://schemas.openxmlformats.org/drawingml/2006/picture">
                        <pic:nvPicPr>
                          <pic:cNvPr id="60" name="Text_Box_1_SpCnt_37"/>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6848" behindDoc="0" locked="0" layoutInCell="1" allowOverlap="1">
                  <wp:simplePos x="0" y="0"/>
                  <wp:positionH relativeFrom="column">
                    <wp:posOffset>0</wp:posOffset>
                  </wp:positionH>
                  <wp:positionV relativeFrom="paragraph">
                    <wp:posOffset>0</wp:posOffset>
                  </wp:positionV>
                  <wp:extent cx="76200" cy="643255"/>
                  <wp:effectExtent l="0" t="0" r="0" b="0"/>
                  <wp:wrapNone/>
                  <wp:docPr id="65" name="Text_Box_1_SpCnt_38"/>
                  <wp:cNvGraphicFramePr/>
                  <a:graphic xmlns:a="http://schemas.openxmlformats.org/drawingml/2006/main">
                    <a:graphicData uri="http://schemas.openxmlformats.org/drawingml/2006/picture">
                      <pic:pic xmlns:pic="http://schemas.openxmlformats.org/drawingml/2006/picture">
                        <pic:nvPicPr>
                          <pic:cNvPr id="65" name="Text_Box_1_SpCnt_38"/>
                          <pic:cNvPicPr/>
                        </pic:nvPicPr>
                        <pic:blipFill>
                          <a:blip r:embed="rId30"/>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35040" behindDoc="0" locked="0" layoutInCell="1" allowOverlap="1">
                  <wp:simplePos x="0" y="0"/>
                  <wp:positionH relativeFrom="column">
                    <wp:posOffset>0</wp:posOffset>
                  </wp:positionH>
                  <wp:positionV relativeFrom="paragraph">
                    <wp:posOffset>0</wp:posOffset>
                  </wp:positionV>
                  <wp:extent cx="114300" cy="481330"/>
                  <wp:effectExtent l="0" t="0" r="0" b="0"/>
                  <wp:wrapNone/>
                  <wp:docPr id="73" name="Text_Box_1_SpCnt_39"/>
                  <wp:cNvGraphicFramePr/>
                  <a:graphic xmlns:a="http://schemas.openxmlformats.org/drawingml/2006/main">
                    <a:graphicData uri="http://schemas.openxmlformats.org/drawingml/2006/picture">
                      <pic:pic xmlns:pic="http://schemas.openxmlformats.org/drawingml/2006/picture">
                        <pic:nvPicPr>
                          <pic:cNvPr id="73" name="Text_Box_1_SpCnt_39"/>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20704" behindDoc="0" locked="0" layoutInCell="1" allowOverlap="1">
                  <wp:simplePos x="0" y="0"/>
                  <wp:positionH relativeFrom="column">
                    <wp:posOffset>0</wp:posOffset>
                  </wp:positionH>
                  <wp:positionV relativeFrom="paragraph">
                    <wp:posOffset>0</wp:posOffset>
                  </wp:positionV>
                  <wp:extent cx="114300" cy="481330"/>
                  <wp:effectExtent l="0" t="0" r="0" b="0"/>
                  <wp:wrapNone/>
                  <wp:docPr id="59" name="Text_Box_1_SpCnt_40"/>
                  <wp:cNvGraphicFramePr/>
                  <a:graphic xmlns:a="http://schemas.openxmlformats.org/drawingml/2006/main">
                    <a:graphicData uri="http://schemas.openxmlformats.org/drawingml/2006/picture">
                      <pic:pic xmlns:pic="http://schemas.openxmlformats.org/drawingml/2006/picture">
                        <pic:nvPicPr>
                          <pic:cNvPr id="59" name="Text_Box_1_SpCnt_40"/>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7152" behindDoc="0" locked="0" layoutInCell="1" allowOverlap="1">
                  <wp:simplePos x="0" y="0"/>
                  <wp:positionH relativeFrom="column">
                    <wp:posOffset>0</wp:posOffset>
                  </wp:positionH>
                  <wp:positionV relativeFrom="paragraph">
                    <wp:posOffset>0</wp:posOffset>
                  </wp:positionV>
                  <wp:extent cx="114300" cy="481330"/>
                  <wp:effectExtent l="0" t="0" r="0" b="0"/>
                  <wp:wrapNone/>
                  <wp:docPr id="36" name="Text_Box_1_SpCnt_41"/>
                  <wp:cNvGraphicFramePr/>
                  <a:graphic xmlns:a="http://schemas.openxmlformats.org/drawingml/2006/main">
                    <a:graphicData uri="http://schemas.openxmlformats.org/drawingml/2006/picture">
                      <pic:pic xmlns:pic="http://schemas.openxmlformats.org/drawingml/2006/picture">
                        <pic:nvPicPr>
                          <pic:cNvPr id="36" name="Text_Box_1_SpCnt_41"/>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9200" behindDoc="0" locked="0" layoutInCell="1" allowOverlap="1">
                  <wp:simplePos x="0" y="0"/>
                  <wp:positionH relativeFrom="column">
                    <wp:posOffset>0</wp:posOffset>
                  </wp:positionH>
                  <wp:positionV relativeFrom="paragraph">
                    <wp:posOffset>0</wp:posOffset>
                  </wp:positionV>
                  <wp:extent cx="114300" cy="481330"/>
                  <wp:effectExtent l="0" t="0" r="0" b="0"/>
                  <wp:wrapNone/>
                  <wp:docPr id="38" name="Text_Box_1_SpCnt_42"/>
                  <wp:cNvGraphicFramePr/>
                  <a:graphic xmlns:a="http://schemas.openxmlformats.org/drawingml/2006/main">
                    <a:graphicData uri="http://schemas.openxmlformats.org/drawingml/2006/picture">
                      <pic:pic xmlns:pic="http://schemas.openxmlformats.org/drawingml/2006/picture">
                        <pic:nvPicPr>
                          <pic:cNvPr id="38" name="Text_Box_1_SpCnt_42"/>
                          <pic:cNvPicPr/>
                        </pic:nvPicPr>
                        <pic:blipFill>
                          <a:blip r:embed="rId3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8176" behindDoc="0" locked="0" layoutInCell="1" allowOverlap="1">
                  <wp:simplePos x="0" y="0"/>
                  <wp:positionH relativeFrom="column">
                    <wp:posOffset>0</wp:posOffset>
                  </wp:positionH>
                  <wp:positionV relativeFrom="paragraph">
                    <wp:posOffset>0</wp:posOffset>
                  </wp:positionV>
                  <wp:extent cx="76200" cy="481330"/>
                  <wp:effectExtent l="0" t="0" r="0" b="0"/>
                  <wp:wrapNone/>
                  <wp:docPr id="37" name="Text_Box_1_SpCnt_43"/>
                  <wp:cNvGraphicFramePr/>
                  <a:graphic xmlns:a="http://schemas.openxmlformats.org/drawingml/2006/main">
                    <a:graphicData uri="http://schemas.openxmlformats.org/drawingml/2006/picture">
                      <pic:pic xmlns:pic="http://schemas.openxmlformats.org/drawingml/2006/picture">
                        <pic:nvPicPr>
                          <pic:cNvPr id="37" name="Text_Box_1_SpCnt_43"/>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0224" behindDoc="0" locked="0" layoutInCell="1" allowOverlap="1">
                  <wp:simplePos x="0" y="0"/>
                  <wp:positionH relativeFrom="column">
                    <wp:posOffset>0</wp:posOffset>
                  </wp:positionH>
                  <wp:positionV relativeFrom="paragraph">
                    <wp:posOffset>0</wp:posOffset>
                  </wp:positionV>
                  <wp:extent cx="76200" cy="481330"/>
                  <wp:effectExtent l="0" t="0" r="0" b="0"/>
                  <wp:wrapNone/>
                  <wp:docPr id="39" name="Text_Box_1_SpCnt_44"/>
                  <wp:cNvGraphicFramePr/>
                  <a:graphic xmlns:a="http://schemas.openxmlformats.org/drawingml/2006/main">
                    <a:graphicData uri="http://schemas.openxmlformats.org/drawingml/2006/picture">
                      <pic:pic xmlns:pic="http://schemas.openxmlformats.org/drawingml/2006/picture">
                        <pic:nvPicPr>
                          <pic:cNvPr id="39" name="Text_Box_1_SpCnt_44"/>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10464" behindDoc="0" locked="0" layoutInCell="1" allowOverlap="1">
                  <wp:simplePos x="0" y="0"/>
                  <wp:positionH relativeFrom="column">
                    <wp:posOffset>0</wp:posOffset>
                  </wp:positionH>
                  <wp:positionV relativeFrom="paragraph">
                    <wp:posOffset>0</wp:posOffset>
                  </wp:positionV>
                  <wp:extent cx="76200" cy="481330"/>
                  <wp:effectExtent l="0" t="0" r="0" b="0"/>
                  <wp:wrapNone/>
                  <wp:docPr id="49" name="Text_Box_1_SpCnt_45"/>
                  <wp:cNvGraphicFramePr/>
                  <a:graphic xmlns:a="http://schemas.openxmlformats.org/drawingml/2006/main">
                    <a:graphicData uri="http://schemas.openxmlformats.org/drawingml/2006/picture">
                      <pic:pic xmlns:pic="http://schemas.openxmlformats.org/drawingml/2006/picture">
                        <pic:nvPicPr>
                          <pic:cNvPr id="49" name="Text_Box_1_SpCnt_45"/>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2272" behindDoc="0" locked="0" layoutInCell="1" allowOverlap="1">
                  <wp:simplePos x="0" y="0"/>
                  <wp:positionH relativeFrom="column">
                    <wp:posOffset>0</wp:posOffset>
                  </wp:positionH>
                  <wp:positionV relativeFrom="paragraph">
                    <wp:posOffset>0</wp:posOffset>
                  </wp:positionV>
                  <wp:extent cx="76200" cy="481330"/>
                  <wp:effectExtent l="0" t="0" r="0" b="0"/>
                  <wp:wrapNone/>
                  <wp:docPr id="41" name="Text_Box_1_SpCnt_46"/>
                  <wp:cNvGraphicFramePr/>
                  <a:graphic xmlns:a="http://schemas.openxmlformats.org/drawingml/2006/main">
                    <a:graphicData uri="http://schemas.openxmlformats.org/drawingml/2006/picture">
                      <pic:pic xmlns:pic="http://schemas.openxmlformats.org/drawingml/2006/picture">
                        <pic:nvPicPr>
                          <pic:cNvPr id="41" name="Text_Box_1_SpCnt_46"/>
                          <pic:cNvPicPr/>
                        </pic:nvPicPr>
                        <pic:blipFill>
                          <a:blip r:embed="rId31"/>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3056" behindDoc="0" locked="0" layoutInCell="1" allowOverlap="1">
                  <wp:simplePos x="0" y="0"/>
                  <wp:positionH relativeFrom="column">
                    <wp:posOffset>0</wp:posOffset>
                  </wp:positionH>
                  <wp:positionV relativeFrom="paragraph">
                    <wp:posOffset>0</wp:posOffset>
                  </wp:positionV>
                  <wp:extent cx="76200" cy="481330"/>
                  <wp:effectExtent l="0" t="0" r="0" b="0"/>
                  <wp:wrapNone/>
                  <wp:docPr id="32" name="Text_Box_1_SpCnt_47"/>
                  <wp:cNvGraphicFramePr/>
                  <a:graphic xmlns:a="http://schemas.openxmlformats.org/drawingml/2006/main">
                    <a:graphicData uri="http://schemas.openxmlformats.org/drawingml/2006/picture">
                      <pic:pic xmlns:pic="http://schemas.openxmlformats.org/drawingml/2006/picture">
                        <pic:nvPicPr>
                          <pic:cNvPr id="32" name="Text_Box_1_SpCnt_47"/>
                          <pic:cNvPicPr/>
                        </pic:nvPicPr>
                        <pic:blipFill>
                          <a:blip r:embed="rId31"/>
                          <a:stretch>
                            <a:fillRect/>
                          </a:stretch>
                        </pic:blipFill>
                        <pic:spPr>
                          <a:xfrm>
                            <a:off x="0" y="0"/>
                            <a:ext cx="76200" cy="481330"/>
                          </a:xfrm>
                          <a:prstGeom prst="rect">
                            <a:avLst/>
                          </a:prstGeom>
                          <a:noFill/>
                          <a:ln>
                            <a:noFill/>
                          </a:ln>
                        </pic:spPr>
                      </pic:pic>
                    </a:graphicData>
                  </a:graphic>
                </wp:anchor>
              </w:drawing>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1248" behindDoc="0" locked="0" layoutInCell="1" allowOverlap="1">
                  <wp:simplePos x="0" y="0"/>
                  <wp:positionH relativeFrom="column">
                    <wp:posOffset>0</wp:posOffset>
                  </wp:positionH>
                  <wp:positionV relativeFrom="paragraph">
                    <wp:posOffset>0</wp:posOffset>
                  </wp:positionV>
                  <wp:extent cx="76200" cy="643255"/>
                  <wp:effectExtent l="0" t="0" r="0" b="0"/>
                  <wp:wrapNone/>
                  <wp:docPr id="40" name="Text_Box_1_SpCnt_48"/>
                  <wp:cNvGraphicFramePr/>
                  <a:graphic xmlns:a="http://schemas.openxmlformats.org/drawingml/2006/main">
                    <a:graphicData uri="http://schemas.openxmlformats.org/drawingml/2006/picture">
                      <pic:pic xmlns:pic="http://schemas.openxmlformats.org/drawingml/2006/picture">
                        <pic:nvPicPr>
                          <pic:cNvPr id="40" name="Text_Box_1_SpCnt_48"/>
                          <pic:cNvPicPr/>
                        </pic:nvPicPr>
                        <pic:blipFill>
                          <a:blip r:embed="rId37"/>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11488" behindDoc="0" locked="0" layoutInCell="1" allowOverlap="1">
                  <wp:simplePos x="0" y="0"/>
                  <wp:positionH relativeFrom="column">
                    <wp:posOffset>0</wp:posOffset>
                  </wp:positionH>
                  <wp:positionV relativeFrom="paragraph">
                    <wp:posOffset>0</wp:posOffset>
                  </wp:positionV>
                  <wp:extent cx="114300" cy="481330"/>
                  <wp:effectExtent l="0" t="0" r="0" b="0"/>
                  <wp:wrapNone/>
                  <wp:docPr id="50" name="Text_Box_1_SpCnt_49"/>
                  <wp:cNvGraphicFramePr/>
                  <a:graphic xmlns:a="http://schemas.openxmlformats.org/drawingml/2006/main">
                    <a:graphicData uri="http://schemas.openxmlformats.org/drawingml/2006/picture">
                      <pic:pic xmlns:pic="http://schemas.openxmlformats.org/drawingml/2006/picture">
                        <pic:nvPicPr>
                          <pic:cNvPr id="50" name="Text_Box_1_SpCnt_49"/>
                          <pic:cNvPicPr/>
                        </pic:nvPicPr>
                        <pic:blipFill>
                          <a:blip r:embed="rId38"/>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12512" behindDoc="0" locked="0" layoutInCell="1" allowOverlap="1">
                  <wp:simplePos x="0" y="0"/>
                  <wp:positionH relativeFrom="column">
                    <wp:posOffset>0</wp:posOffset>
                  </wp:positionH>
                  <wp:positionV relativeFrom="paragraph">
                    <wp:posOffset>0</wp:posOffset>
                  </wp:positionV>
                  <wp:extent cx="114300" cy="481330"/>
                  <wp:effectExtent l="0" t="0" r="0" b="0"/>
                  <wp:wrapNone/>
                  <wp:docPr id="51" name="Text_Box_1_SpCnt_50"/>
                  <wp:cNvGraphicFramePr/>
                  <a:graphic xmlns:a="http://schemas.openxmlformats.org/drawingml/2006/main">
                    <a:graphicData uri="http://schemas.openxmlformats.org/drawingml/2006/picture">
                      <pic:pic xmlns:pic="http://schemas.openxmlformats.org/drawingml/2006/picture">
                        <pic:nvPicPr>
                          <pic:cNvPr id="51" name="Text_Box_1_SpCnt_50"/>
                          <pic:cNvPicPr/>
                        </pic:nvPicPr>
                        <pic:blipFill>
                          <a:blip r:embed="rId39"/>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3296" behindDoc="0" locked="0" layoutInCell="1" allowOverlap="1">
                  <wp:simplePos x="0" y="0"/>
                  <wp:positionH relativeFrom="column">
                    <wp:posOffset>0</wp:posOffset>
                  </wp:positionH>
                  <wp:positionV relativeFrom="paragraph">
                    <wp:posOffset>0</wp:posOffset>
                  </wp:positionV>
                  <wp:extent cx="76200" cy="481330"/>
                  <wp:effectExtent l="0" t="0" r="0" b="0"/>
                  <wp:wrapNone/>
                  <wp:docPr id="42" name="Text_Box_1_SpCnt_51"/>
                  <wp:cNvGraphicFramePr/>
                  <a:graphic xmlns:a="http://schemas.openxmlformats.org/drawingml/2006/main">
                    <a:graphicData uri="http://schemas.openxmlformats.org/drawingml/2006/picture">
                      <pic:pic xmlns:pic="http://schemas.openxmlformats.org/drawingml/2006/picture">
                        <pic:nvPicPr>
                          <pic:cNvPr id="42" name="Text_Box_1_SpCnt_51"/>
                          <pic:cNvPicPr/>
                        </pic:nvPicPr>
                        <pic:blipFill>
                          <a:blip r:embed="rId40"/>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7392" behindDoc="0" locked="0" layoutInCell="1" allowOverlap="1">
                  <wp:simplePos x="0" y="0"/>
                  <wp:positionH relativeFrom="column">
                    <wp:posOffset>0</wp:posOffset>
                  </wp:positionH>
                  <wp:positionV relativeFrom="paragraph">
                    <wp:posOffset>0</wp:posOffset>
                  </wp:positionV>
                  <wp:extent cx="76200" cy="643255"/>
                  <wp:effectExtent l="0" t="0" r="0" b="0"/>
                  <wp:wrapNone/>
                  <wp:docPr id="46" name="Text_Box_1_SpCnt_52"/>
                  <wp:cNvGraphicFramePr/>
                  <a:graphic xmlns:a="http://schemas.openxmlformats.org/drawingml/2006/main">
                    <a:graphicData uri="http://schemas.openxmlformats.org/drawingml/2006/picture">
                      <pic:pic xmlns:pic="http://schemas.openxmlformats.org/drawingml/2006/picture">
                        <pic:nvPicPr>
                          <pic:cNvPr id="46" name="Text_Box_1_SpCnt_52"/>
                          <pic:cNvPicPr/>
                        </pic:nvPicPr>
                        <pic:blipFill>
                          <a:blip r:embed="rId41"/>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5104" behindDoc="0" locked="0" layoutInCell="1" allowOverlap="1">
                  <wp:simplePos x="0" y="0"/>
                  <wp:positionH relativeFrom="column">
                    <wp:posOffset>0</wp:posOffset>
                  </wp:positionH>
                  <wp:positionV relativeFrom="paragraph">
                    <wp:posOffset>0</wp:posOffset>
                  </wp:positionV>
                  <wp:extent cx="114300" cy="481330"/>
                  <wp:effectExtent l="0" t="0" r="0" b="0"/>
                  <wp:wrapNone/>
                  <wp:docPr id="34" name="Text_Box_1_SpCnt_53"/>
                  <wp:cNvGraphicFramePr/>
                  <a:graphic xmlns:a="http://schemas.openxmlformats.org/drawingml/2006/main">
                    <a:graphicData uri="http://schemas.openxmlformats.org/drawingml/2006/picture">
                      <pic:pic xmlns:pic="http://schemas.openxmlformats.org/drawingml/2006/picture">
                        <pic:nvPicPr>
                          <pic:cNvPr id="34" name="Text_Box_1_SpCnt_53"/>
                          <pic:cNvPicPr/>
                        </pic:nvPicPr>
                        <pic:blipFill>
                          <a:blip r:embed="rId39"/>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8416" behindDoc="0" locked="0" layoutInCell="1" allowOverlap="1">
                  <wp:simplePos x="0" y="0"/>
                  <wp:positionH relativeFrom="column">
                    <wp:posOffset>0</wp:posOffset>
                  </wp:positionH>
                  <wp:positionV relativeFrom="paragraph">
                    <wp:posOffset>0</wp:posOffset>
                  </wp:positionV>
                  <wp:extent cx="76200" cy="481330"/>
                  <wp:effectExtent l="0" t="0" r="0" b="0"/>
                  <wp:wrapNone/>
                  <wp:docPr id="47" name="Text_Box_1_SpCnt_54"/>
                  <wp:cNvGraphicFramePr/>
                  <a:graphic xmlns:a="http://schemas.openxmlformats.org/drawingml/2006/main">
                    <a:graphicData uri="http://schemas.openxmlformats.org/drawingml/2006/picture">
                      <pic:pic xmlns:pic="http://schemas.openxmlformats.org/drawingml/2006/picture">
                        <pic:nvPicPr>
                          <pic:cNvPr id="47" name="Text_Box_1_SpCnt_54"/>
                          <pic:cNvPicPr/>
                        </pic:nvPicPr>
                        <pic:blipFill>
                          <a:blip r:embed="rId42"/>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4320" behindDoc="0" locked="0" layoutInCell="1" allowOverlap="1">
                  <wp:simplePos x="0" y="0"/>
                  <wp:positionH relativeFrom="column">
                    <wp:posOffset>0</wp:posOffset>
                  </wp:positionH>
                  <wp:positionV relativeFrom="paragraph">
                    <wp:posOffset>0</wp:posOffset>
                  </wp:positionV>
                  <wp:extent cx="76200" cy="481330"/>
                  <wp:effectExtent l="0" t="0" r="0" b="0"/>
                  <wp:wrapNone/>
                  <wp:docPr id="43" name="Text_Box_1_SpCnt_55"/>
                  <wp:cNvGraphicFramePr/>
                  <a:graphic xmlns:a="http://schemas.openxmlformats.org/drawingml/2006/main">
                    <a:graphicData uri="http://schemas.openxmlformats.org/drawingml/2006/picture">
                      <pic:pic xmlns:pic="http://schemas.openxmlformats.org/drawingml/2006/picture">
                        <pic:nvPicPr>
                          <pic:cNvPr id="43" name="Text_Box_1_SpCnt_55"/>
                          <pic:cNvPicPr/>
                        </pic:nvPicPr>
                        <pic:blipFill>
                          <a:blip r:embed="rId40"/>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9440" behindDoc="0" locked="0" layoutInCell="1" allowOverlap="1">
                  <wp:simplePos x="0" y="0"/>
                  <wp:positionH relativeFrom="column">
                    <wp:posOffset>0</wp:posOffset>
                  </wp:positionH>
                  <wp:positionV relativeFrom="paragraph">
                    <wp:posOffset>0</wp:posOffset>
                  </wp:positionV>
                  <wp:extent cx="114300" cy="481330"/>
                  <wp:effectExtent l="0" t="0" r="0" b="0"/>
                  <wp:wrapNone/>
                  <wp:docPr id="48" name="Text_Box_1_SpCnt_56"/>
                  <wp:cNvGraphicFramePr/>
                  <a:graphic xmlns:a="http://schemas.openxmlformats.org/drawingml/2006/main">
                    <a:graphicData uri="http://schemas.openxmlformats.org/drawingml/2006/picture">
                      <pic:pic xmlns:pic="http://schemas.openxmlformats.org/drawingml/2006/picture">
                        <pic:nvPicPr>
                          <pic:cNvPr id="48" name="Text_Box_1_SpCnt_56"/>
                          <pic:cNvPicPr/>
                        </pic:nvPicPr>
                        <pic:blipFill>
                          <a:blip r:embed="rId43"/>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5344" behindDoc="0" locked="0" layoutInCell="1" allowOverlap="1">
                  <wp:simplePos x="0" y="0"/>
                  <wp:positionH relativeFrom="column">
                    <wp:posOffset>0</wp:posOffset>
                  </wp:positionH>
                  <wp:positionV relativeFrom="paragraph">
                    <wp:posOffset>0</wp:posOffset>
                  </wp:positionV>
                  <wp:extent cx="76200" cy="481330"/>
                  <wp:effectExtent l="0" t="0" r="0" b="0"/>
                  <wp:wrapNone/>
                  <wp:docPr id="44" name="Text_Box_1_SpCnt_57"/>
                  <wp:cNvGraphicFramePr/>
                  <a:graphic xmlns:a="http://schemas.openxmlformats.org/drawingml/2006/main">
                    <a:graphicData uri="http://schemas.openxmlformats.org/drawingml/2006/picture">
                      <pic:pic xmlns:pic="http://schemas.openxmlformats.org/drawingml/2006/picture">
                        <pic:nvPicPr>
                          <pic:cNvPr id="44" name="Text_Box_1_SpCnt_57"/>
                          <pic:cNvPicPr/>
                        </pic:nvPicPr>
                        <pic:blipFill>
                          <a:blip r:embed="rId44"/>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4080" behindDoc="0" locked="0" layoutInCell="1" allowOverlap="1">
                  <wp:simplePos x="0" y="0"/>
                  <wp:positionH relativeFrom="column">
                    <wp:posOffset>0</wp:posOffset>
                  </wp:positionH>
                  <wp:positionV relativeFrom="paragraph">
                    <wp:posOffset>0</wp:posOffset>
                  </wp:positionV>
                  <wp:extent cx="76200" cy="481330"/>
                  <wp:effectExtent l="0" t="0" r="0" b="0"/>
                  <wp:wrapNone/>
                  <wp:docPr id="33" name="Text_Box_1_SpCnt_58"/>
                  <wp:cNvGraphicFramePr/>
                  <a:graphic xmlns:a="http://schemas.openxmlformats.org/drawingml/2006/main">
                    <a:graphicData uri="http://schemas.openxmlformats.org/drawingml/2006/picture">
                      <pic:pic xmlns:pic="http://schemas.openxmlformats.org/drawingml/2006/picture">
                        <pic:nvPicPr>
                          <pic:cNvPr id="33" name="Text_Box_1_SpCnt_58"/>
                          <pic:cNvPicPr/>
                        </pic:nvPicPr>
                        <pic:blipFill>
                          <a:blip r:embed="rId45"/>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96128" behindDoc="0" locked="0" layoutInCell="1" allowOverlap="1">
                  <wp:simplePos x="0" y="0"/>
                  <wp:positionH relativeFrom="column">
                    <wp:posOffset>0</wp:posOffset>
                  </wp:positionH>
                  <wp:positionV relativeFrom="paragraph">
                    <wp:posOffset>0</wp:posOffset>
                  </wp:positionV>
                  <wp:extent cx="114300" cy="481330"/>
                  <wp:effectExtent l="0" t="0" r="0" b="0"/>
                  <wp:wrapNone/>
                  <wp:docPr id="35" name="Text_Box_1_SpCnt_59"/>
                  <wp:cNvGraphicFramePr/>
                  <a:graphic xmlns:a="http://schemas.openxmlformats.org/drawingml/2006/main">
                    <a:graphicData uri="http://schemas.openxmlformats.org/drawingml/2006/picture">
                      <pic:pic xmlns:pic="http://schemas.openxmlformats.org/drawingml/2006/picture">
                        <pic:nvPicPr>
                          <pic:cNvPr id="35" name="Text_Box_1_SpCnt_59"/>
                          <pic:cNvPicPr/>
                        </pic:nvPicPr>
                        <pic:blipFill>
                          <a:blip r:embed="rId39"/>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706368" behindDoc="0" locked="0" layoutInCell="1" allowOverlap="1">
                  <wp:simplePos x="0" y="0"/>
                  <wp:positionH relativeFrom="column">
                    <wp:posOffset>0</wp:posOffset>
                  </wp:positionH>
                  <wp:positionV relativeFrom="paragraph">
                    <wp:posOffset>0</wp:posOffset>
                  </wp:positionV>
                  <wp:extent cx="76200" cy="481330"/>
                  <wp:effectExtent l="0" t="0" r="0" b="0"/>
                  <wp:wrapNone/>
                  <wp:docPr id="45" name="Text_Box_1_SpCnt_60"/>
                  <wp:cNvGraphicFramePr/>
                  <a:graphic xmlns:a="http://schemas.openxmlformats.org/drawingml/2006/main">
                    <a:graphicData uri="http://schemas.openxmlformats.org/drawingml/2006/picture">
                      <pic:pic xmlns:pic="http://schemas.openxmlformats.org/drawingml/2006/picture">
                        <pic:nvPicPr>
                          <pic:cNvPr id="45" name="Text_Box_1_SpCnt_60"/>
                          <pic:cNvPicPr/>
                        </pic:nvPicPr>
                        <pic:blipFill>
                          <a:blip r:embed="rId44"/>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76200" cy="481330"/>
                  <wp:effectExtent l="0" t="0" r="0" b="0"/>
                  <wp:wrapNone/>
                  <wp:docPr id="11" name="Text_Box_1_SpCnt_61"/>
                  <wp:cNvGraphicFramePr/>
                  <a:graphic xmlns:a="http://schemas.openxmlformats.org/drawingml/2006/main">
                    <a:graphicData uri="http://schemas.openxmlformats.org/drawingml/2006/picture">
                      <pic:pic xmlns:pic="http://schemas.openxmlformats.org/drawingml/2006/picture">
                        <pic:nvPicPr>
                          <pic:cNvPr id="11" name="Text_Box_1_SpCnt_61"/>
                          <pic:cNvPicPr/>
                        </pic:nvPicPr>
                        <pic:blipFill>
                          <a:blip r:embed="rId40"/>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114300" cy="481330"/>
                  <wp:effectExtent l="0" t="0" r="0" b="0"/>
                  <wp:wrapNone/>
                  <wp:docPr id="1" name="Text_Box_1_SpCnt_62"/>
                  <wp:cNvGraphicFramePr/>
                  <a:graphic xmlns:a="http://schemas.openxmlformats.org/drawingml/2006/main">
                    <a:graphicData uri="http://schemas.openxmlformats.org/drawingml/2006/picture">
                      <pic:pic xmlns:pic="http://schemas.openxmlformats.org/drawingml/2006/picture">
                        <pic:nvPicPr>
                          <pic:cNvPr id="1" name="Text_Box_1_SpCnt_62"/>
                          <pic:cNvPicPr/>
                        </pic:nvPicPr>
                        <pic:blipFill>
                          <a:blip r:embed="rId4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76200" cy="643255"/>
                  <wp:effectExtent l="0" t="0" r="0" b="0"/>
                  <wp:wrapNone/>
                  <wp:docPr id="2" name="Text_Box_1_SpCnt_63"/>
                  <wp:cNvGraphicFramePr/>
                  <a:graphic xmlns:a="http://schemas.openxmlformats.org/drawingml/2006/main">
                    <a:graphicData uri="http://schemas.openxmlformats.org/drawingml/2006/picture">
                      <pic:pic xmlns:pic="http://schemas.openxmlformats.org/drawingml/2006/picture">
                        <pic:nvPicPr>
                          <pic:cNvPr id="2" name="Text_Box_1_SpCnt_63"/>
                          <pic:cNvPicPr/>
                        </pic:nvPicPr>
                        <pic:blipFill>
                          <a:blip r:embed="rId47"/>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114300" cy="481330"/>
                  <wp:effectExtent l="0" t="0" r="0" b="0"/>
                  <wp:wrapNone/>
                  <wp:docPr id="6" name="Text_Box_1_SpCnt_64"/>
                  <wp:cNvGraphicFramePr/>
                  <a:graphic xmlns:a="http://schemas.openxmlformats.org/drawingml/2006/main">
                    <a:graphicData uri="http://schemas.openxmlformats.org/drawingml/2006/picture">
                      <pic:pic xmlns:pic="http://schemas.openxmlformats.org/drawingml/2006/picture">
                        <pic:nvPicPr>
                          <pic:cNvPr id="6" name="Text_Box_1_SpCnt_64"/>
                          <pic:cNvPicPr/>
                        </pic:nvPicPr>
                        <pic:blipFill>
                          <a:blip r:embed="rId43"/>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76200" cy="481330"/>
                  <wp:effectExtent l="0" t="0" r="0" b="0"/>
                  <wp:wrapNone/>
                  <wp:docPr id="5" name="Text_Box_1_SpCnt_65"/>
                  <wp:cNvGraphicFramePr/>
                  <a:graphic xmlns:a="http://schemas.openxmlformats.org/drawingml/2006/main">
                    <a:graphicData uri="http://schemas.openxmlformats.org/drawingml/2006/picture">
                      <pic:pic xmlns:pic="http://schemas.openxmlformats.org/drawingml/2006/picture">
                        <pic:nvPicPr>
                          <pic:cNvPr id="5" name="Text_Box_1_SpCnt_65"/>
                          <pic:cNvPicPr/>
                        </pic:nvPicPr>
                        <pic:blipFill>
                          <a:blip r:embed="rId48"/>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76200" cy="643255"/>
                  <wp:effectExtent l="0" t="0" r="0" b="0"/>
                  <wp:wrapNone/>
                  <wp:docPr id="7" name="Text_Box_1_SpCnt_66"/>
                  <wp:cNvGraphicFramePr/>
                  <a:graphic xmlns:a="http://schemas.openxmlformats.org/drawingml/2006/main">
                    <a:graphicData uri="http://schemas.openxmlformats.org/drawingml/2006/picture">
                      <pic:pic xmlns:pic="http://schemas.openxmlformats.org/drawingml/2006/picture">
                        <pic:nvPicPr>
                          <pic:cNvPr id="7" name="Text_Box_1_SpCnt_66"/>
                          <pic:cNvPicPr/>
                        </pic:nvPicPr>
                        <pic:blipFill>
                          <a:blip r:embed="rId49"/>
                          <a:stretch>
                            <a:fillRect/>
                          </a:stretch>
                        </pic:blipFill>
                        <pic:spPr>
                          <a:xfrm>
                            <a:off x="0" y="0"/>
                            <a:ext cx="76200" cy="643255"/>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7456" behindDoc="0" locked="0" layoutInCell="1" allowOverlap="1">
                  <wp:simplePos x="0" y="0"/>
                  <wp:positionH relativeFrom="column">
                    <wp:posOffset>0</wp:posOffset>
                  </wp:positionH>
                  <wp:positionV relativeFrom="paragraph">
                    <wp:posOffset>0</wp:posOffset>
                  </wp:positionV>
                  <wp:extent cx="76200" cy="481330"/>
                  <wp:effectExtent l="0" t="0" r="0" b="0"/>
                  <wp:wrapNone/>
                  <wp:docPr id="8" name="Text_Box_1_SpCnt_67"/>
                  <wp:cNvGraphicFramePr/>
                  <a:graphic xmlns:a="http://schemas.openxmlformats.org/drawingml/2006/main">
                    <a:graphicData uri="http://schemas.openxmlformats.org/drawingml/2006/picture">
                      <pic:pic xmlns:pic="http://schemas.openxmlformats.org/drawingml/2006/picture">
                        <pic:nvPicPr>
                          <pic:cNvPr id="8" name="Text_Box_1_SpCnt_67"/>
                          <pic:cNvPicPr/>
                        </pic:nvPicPr>
                        <pic:blipFill>
                          <a:blip r:embed="rId44"/>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114300" cy="481330"/>
                  <wp:effectExtent l="0" t="0" r="0" b="0"/>
                  <wp:wrapNone/>
                  <wp:docPr id="9" name="Text_Box_1_SpCnt_68"/>
                  <wp:cNvGraphicFramePr/>
                  <a:graphic xmlns:a="http://schemas.openxmlformats.org/drawingml/2006/main">
                    <a:graphicData uri="http://schemas.openxmlformats.org/drawingml/2006/picture">
                      <pic:pic xmlns:pic="http://schemas.openxmlformats.org/drawingml/2006/picture">
                        <pic:nvPicPr>
                          <pic:cNvPr id="9" name="Text_Box_1_SpCnt_68"/>
                          <pic:cNvPicPr/>
                        </pic:nvPicPr>
                        <pic:blipFill>
                          <a:blip r:embed="rId46"/>
                          <a:stretch>
                            <a:fillRect/>
                          </a:stretch>
                        </pic:blipFill>
                        <pic:spPr>
                          <a:xfrm>
                            <a:off x="0" y="0"/>
                            <a:ext cx="1143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76200" cy="481330"/>
                  <wp:effectExtent l="0" t="0" r="0" b="0"/>
                  <wp:wrapNone/>
                  <wp:docPr id="10" name="Text_Box_1_SpCnt_69"/>
                  <wp:cNvGraphicFramePr/>
                  <a:graphic xmlns:a="http://schemas.openxmlformats.org/drawingml/2006/main">
                    <a:graphicData uri="http://schemas.openxmlformats.org/drawingml/2006/picture">
                      <pic:pic xmlns:pic="http://schemas.openxmlformats.org/drawingml/2006/picture">
                        <pic:nvPicPr>
                          <pic:cNvPr id="10" name="Text_Box_1_SpCnt_69"/>
                          <pic:cNvPicPr/>
                        </pic:nvPicPr>
                        <pic:blipFill>
                          <a:blip r:embed="rId50"/>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76200" cy="481330"/>
                  <wp:effectExtent l="0" t="0" r="0" b="0"/>
                  <wp:wrapNone/>
                  <wp:docPr id="77" name="Text_Box_1_SpCnt_70"/>
                  <wp:cNvGraphicFramePr/>
                  <a:graphic xmlns:a="http://schemas.openxmlformats.org/drawingml/2006/main">
                    <a:graphicData uri="http://schemas.openxmlformats.org/drawingml/2006/picture">
                      <pic:pic xmlns:pic="http://schemas.openxmlformats.org/drawingml/2006/picture">
                        <pic:nvPicPr>
                          <pic:cNvPr id="77" name="Text_Box_1_SpCnt_70"/>
                          <pic:cNvPicPr/>
                        </pic:nvPicPr>
                        <pic:blipFill>
                          <a:blip r:embed="rId44"/>
                          <a:stretch>
                            <a:fillRect/>
                          </a:stretch>
                        </pic:blipFill>
                        <pic:spPr>
                          <a:xfrm>
                            <a:off x="0" y="0"/>
                            <a:ext cx="76200" cy="481330"/>
                          </a:xfrm>
                          <a:prstGeom prst="rect">
                            <a:avLst/>
                          </a:prstGeom>
                          <a:noFill/>
                          <a:ln>
                            <a:noFill/>
                          </a:ln>
                        </pic:spPr>
                      </pic:pic>
                    </a:graphicData>
                  </a:graphic>
                </wp:anchor>
              </w:drawing>
            </w:r>
            <w:r>
              <w:rPr>
                <w:rFonts w:ascii="仿宋_GB2312" w:hAnsi="宋体" w:eastAsia="仿宋_GB2312" w:cs="仿宋_GB2312"/>
                <w:b/>
                <w:bCs/>
                <w:color w:val="auto"/>
                <w:kern w:val="0"/>
                <w:sz w:val="24"/>
                <w:highlight w:val="none"/>
                <w:bdr w:val="single" w:color="000000" w:sz="4" w:space="0"/>
                <w:lang w:bidi="ar"/>
              </w:rPr>
              <w:drawing>
                <wp:anchor distT="0" distB="0" distL="114300" distR="114300" simplePos="0" relativeHeight="251668480" behindDoc="0" locked="0" layoutInCell="1" allowOverlap="1">
                  <wp:simplePos x="0" y="0"/>
                  <wp:positionH relativeFrom="column">
                    <wp:posOffset>0</wp:posOffset>
                  </wp:positionH>
                  <wp:positionV relativeFrom="paragraph">
                    <wp:posOffset>0</wp:posOffset>
                  </wp:positionV>
                  <wp:extent cx="76200" cy="481330"/>
                  <wp:effectExtent l="0" t="0" r="0" b="0"/>
                  <wp:wrapNone/>
                  <wp:docPr id="78" name="Text_Box_1_SpCnt_71"/>
                  <wp:cNvGraphicFramePr/>
                  <a:graphic xmlns:a="http://schemas.openxmlformats.org/drawingml/2006/main">
                    <a:graphicData uri="http://schemas.openxmlformats.org/drawingml/2006/picture">
                      <pic:pic xmlns:pic="http://schemas.openxmlformats.org/drawingml/2006/picture">
                        <pic:nvPicPr>
                          <pic:cNvPr id="78" name="Text_Box_1_SpCnt_71"/>
                          <pic:cNvPicPr/>
                        </pic:nvPicPr>
                        <pic:blipFill>
                          <a:blip r:embed="rId51"/>
                          <a:stretch>
                            <a:fillRect/>
                          </a:stretch>
                        </pic:blipFill>
                        <pic:spPr>
                          <a:xfrm>
                            <a:off x="0" y="0"/>
                            <a:ext cx="76200" cy="4813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52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电缆</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YJV3*2.5电缆，实48个信息箱每个楼宇统一供电，在各楼宇可分层控制各信息箱电源，预留UPS电源输入接口，取电方案需取得学校书面认可</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PVC线槽</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PVC线槽，规格根据现场数量定</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3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PVC线管</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PVC线管，规格根据现场数量定</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156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六类非屏蔽双绞线</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1、可提供350MHZ带宽，线规23AWG；</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2、护套采用优良的低烟无卤材料；护套长度为逆序标注以方便识别线缆长度；</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3、导体材料：无氧圆铜（纯度99.99%）；最大导体直流电阻@20 Deg.C :7.32Ω/100m；线对直流电阻不平衡：≤2%；线对对地电容不平衡：＜330pF/100m；延迟偏差：≤45ns/100m；额定传输速率(NVP)：65%；绝缘电阻: ≥5000MΩ/km +20℃ DC (100-500)；</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批</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260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用户跳线</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长度定制，RJ45跳线采用软线制作，标准：ISO/IEC 11801，ANSI/TIA - 568-C.2</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导体规格：多股绞合，软圆铜线，4×2×24AWG</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屏蔽方式: U/UTP</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护套材料：PVC</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插头规格：RJ45，8P8C，簧片表面镀金，透明聚碳酸酯塑胶壳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线序：T568B-T568B</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插拔次数：≥1000次</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最高传输频率：250MHz</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工作温度：-10℃～+60℃</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100</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286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6</w:t>
            </w:r>
          </w:p>
        </w:tc>
        <w:tc>
          <w:tcPr>
            <w:tcW w:w="20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施工费用</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本项目的工程辅材，包括但不限于：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(1)本次项目综合布线工程，包括：</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 xml:space="preserve">  48个点位光纤入室光缆布线（包含光纤布点以及对应桥架建设）；</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 xml:space="preserve">  48个点位室内部网络布线（每间房间至少2个信息点，办公室按实际要求布点，含教室内无线AP布线）；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 xml:space="preserve">  网线全部采用六类4对8芯非屏蔽双绞线、配置六类配线架、理线架、成品跳线、机制标签；</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(2)本次项目无线AP配套综合布线；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(3)本次项目完成所必须的各种配件及辅材；</w:t>
            </w:r>
          </w:p>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(4)本次项目施工过程中对现有建筑及装修造成破坏，修复工程所涉及的各种材料；</w:t>
            </w:r>
          </w:p>
        </w:tc>
        <w:tc>
          <w:tcPr>
            <w:tcW w:w="4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54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2080" w:hRule="atLeast"/>
          <w:jc w:val="center"/>
        </w:trPr>
        <w:tc>
          <w:tcPr>
            <w:tcW w:w="6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20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46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4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杭州第六中学</w:t>
      </w:r>
    </w:p>
    <w:tbl>
      <w:tblPr>
        <w:tblStyle w:val="62"/>
        <w:tblW w:w="10641" w:type="dxa"/>
        <w:jc w:val="center"/>
        <w:tblLayout w:type="fixed"/>
        <w:tblCellMar>
          <w:top w:w="0" w:type="dxa"/>
          <w:left w:w="108" w:type="dxa"/>
          <w:bottom w:w="0" w:type="dxa"/>
          <w:right w:w="108" w:type="dxa"/>
        </w:tblCellMar>
      </w:tblPr>
      <w:tblGrid>
        <w:gridCol w:w="610"/>
        <w:gridCol w:w="2100"/>
        <w:gridCol w:w="6560"/>
        <w:gridCol w:w="427"/>
        <w:gridCol w:w="516"/>
        <w:gridCol w:w="428"/>
      </w:tblGrid>
      <w:tr>
        <w:tblPrEx>
          <w:tblCellMar>
            <w:top w:w="0" w:type="dxa"/>
            <w:left w:w="108" w:type="dxa"/>
            <w:bottom w:w="0" w:type="dxa"/>
            <w:right w:w="108" w:type="dxa"/>
          </w:tblCellMar>
        </w:tblPrEx>
        <w:trPr>
          <w:trHeight w:val="30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序号</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4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42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30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86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第一部分、光纤入楼道（东西两侧各一个信息箱）</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核心交换机</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台</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54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2</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16口POE入室交换机</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台</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12</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54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3</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24口POE交换机</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182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4</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设备箱</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楼层两侧设备箱，高、深与16口万兆交换机配套，至少能安放两台16口万兆交换设备后还能安放电源插座与线缆，按用户要求安装到指定位置，最终安装位置与颜色规格需取得用户书面认可。实现同楼宇信息箱统一统电，并安装专用空开（做好标识），电路改造配套方案须取得用户书面认可。含相关配套的材料及人工。要求信息箱顶部带透气孔，前部玻璃门，后部可拆，配套至少两台交换机设备电源插座。</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12</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hint="eastAsia" w:ascii="宋体" w:hAnsi="宋体" w:cs="宋体"/>
                <w:color w:val="auto"/>
                <w:kern w:val="0"/>
                <w:sz w:val="20"/>
                <w:szCs w:val="20"/>
                <w:highlight w:val="none"/>
                <w:lang w:bidi="ar"/>
              </w:rPr>
            </w:pPr>
          </w:p>
        </w:tc>
      </w:tr>
      <w:tr>
        <w:tblPrEx>
          <w:tblCellMar>
            <w:top w:w="0" w:type="dxa"/>
            <w:left w:w="108" w:type="dxa"/>
            <w:bottom w:w="0" w:type="dxa"/>
            <w:right w:w="108" w:type="dxa"/>
          </w:tblCellMar>
        </w:tblPrEx>
        <w:trPr>
          <w:trHeight w:val="7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4芯室内单模光缆</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41184"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79" name="Text_Box_86692"/>
                  <wp:cNvGraphicFramePr/>
                  <a:graphic xmlns:a="http://schemas.openxmlformats.org/drawingml/2006/main">
                    <a:graphicData uri="http://schemas.openxmlformats.org/drawingml/2006/picture">
                      <pic:pic xmlns:pic="http://schemas.openxmlformats.org/drawingml/2006/picture">
                        <pic:nvPicPr>
                          <pic:cNvPr id="79" name="Text_Box_86692"/>
                          <pic:cNvPicPr/>
                        </pic:nvPicPr>
                        <pic:blipFill>
                          <a:blip r:embed="rId52"/>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42208"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80" name="Text_Box_86692_SpCnt_1"/>
                  <wp:cNvGraphicFramePr/>
                  <a:graphic xmlns:a="http://schemas.openxmlformats.org/drawingml/2006/main">
                    <a:graphicData uri="http://schemas.openxmlformats.org/drawingml/2006/picture">
                      <pic:pic xmlns:pic="http://schemas.openxmlformats.org/drawingml/2006/picture">
                        <pic:nvPicPr>
                          <pic:cNvPr id="80" name="Text_Box_86692_SpCnt_1"/>
                          <pic:cNvPicPr/>
                        </pic:nvPicPr>
                        <pic:blipFill>
                          <a:blip r:embed="rId53"/>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40160"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81" name="Text_Box_86693"/>
                  <wp:cNvGraphicFramePr/>
                  <a:graphic xmlns:a="http://schemas.openxmlformats.org/drawingml/2006/main">
                    <a:graphicData uri="http://schemas.openxmlformats.org/drawingml/2006/picture">
                      <pic:pic xmlns:pic="http://schemas.openxmlformats.org/drawingml/2006/picture">
                        <pic:nvPicPr>
                          <pic:cNvPr id="81" name="Text_Box_86693"/>
                          <pic:cNvPicPr/>
                        </pic:nvPicPr>
                        <pic:blipFill>
                          <a:blip r:embed="rId54"/>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39136"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82" name="Text_Box_86693_SpCnt_1"/>
                  <wp:cNvGraphicFramePr/>
                  <a:graphic xmlns:a="http://schemas.openxmlformats.org/drawingml/2006/main">
                    <a:graphicData uri="http://schemas.openxmlformats.org/drawingml/2006/picture">
                      <pic:pic xmlns:pic="http://schemas.openxmlformats.org/drawingml/2006/picture">
                        <pic:nvPicPr>
                          <pic:cNvPr id="82" name="Text_Box_86693_SpCnt_1"/>
                          <pic:cNvPicPr/>
                        </pic:nvPicPr>
                        <pic:blipFill>
                          <a:blip r:embed="rId53"/>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lang w:bidi="ar"/>
              </w:rPr>
              <w:t>室内4芯单模光缆，实现从中心机房到所有信息箱的万兆互联，并做好所有光芯熔接其中三套为与原有班牌交换机信息箱互联</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15</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52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8芯室外单模光缆</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室外8芯单模光缆，实现从中心机房综合楼的万兆互联，并做好所有光芯熔接</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7</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光纤配线架</w:t>
            </w:r>
          </w:p>
        </w:tc>
        <w:tc>
          <w:tcPr>
            <w:tcW w:w="6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1U机架式光纤配线架，最大支持48芯，含内部法兰、尾纤等配件</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光纤配线架</w:t>
            </w:r>
          </w:p>
        </w:tc>
        <w:tc>
          <w:tcPr>
            <w:tcW w:w="6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1U机架式光纤配线架，最大支持12芯，含内部法兰、尾纤等配件</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0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9</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信息箱光终端盒</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要求：安置于各个楼宇信息箱，实现与井道间光配架互联光缆的万兆互联，统一标识，并做好所有光芯的熔接并配套相应光跳线）；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规格：可选4芯或以上；</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材质：ABS塑料</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自复位旋转锁，带密封盖</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接口：提供LC双工，SC单工接口</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标准：ISO/IEC 11801；ANSI/TIA 568.2-D；</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12</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30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86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第二部分、无线系统</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52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无线对接与管理定制</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个</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33</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个</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个</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移动运维服务</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0"/>
                <w:szCs w:val="20"/>
                <w:highlight w:val="none"/>
                <w:lang w:bidi="ar"/>
              </w:rPr>
            </w:pPr>
          </w:p>
        </w:tc>
        <w:tc>
          <w:tcPr>
            <w:tcW w:w="21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故障维护服务</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30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866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第三部分、综合布线及系统集成</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52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电缆</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YJV3*2.5电缆，实现12个信息箱从中心机房处统一供电，在中心机房可分层控制各信息箱电源，预留UPS电源输入接口</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PVC线槽</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PVC线槽，规格根据现场数量定</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PVC线管</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PVC线管，规格根据现场数量定</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0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六类非屏蔽双绞线</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1、可提供350MHZ带宽，线规23AWG；</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2、护套采用优良的低烟无卤材料；护套长度为逆序标注以方便识别线缆长度；</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3、导体材料：无氧圆铜（纯度99.99%）；最大导体直流电阻@20 Deg.C :7.32Ω/100m；线对直流电阻不平衡：≤2%；线对对地电容不平衡：＜330pF/100m；延迟偏差：≤45ns/100m；额定传输速率(NVP)：65%；绝缘电阻: ≥5000MΩ/km +20℃ DC (100-500)；</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箱</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15</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6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用户跳线</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长度定制，RJ45跳线采用软线制作，标准：ISO/IEC 11801，ANSI/TIA - 568-C.2</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导体规格：多股绞合，软圆铜线，4×2×24AWG</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屏蔽方式: U/UTP</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护套材料：PVC</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插头规格：RJ45，8P8C，簧片表面镀金，透明聚碳酸酯塑胶壳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线序：T568B-T568B</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插拔次数：≥1000次</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最高传输频率：250MHz</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工作温度：-10℃～+60℃</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100</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机柜</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42U标准网络机柜，配套两套8位及以上专用PDU</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7</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六类水晶头与六类非屏蔽双绞线同品牌，每盒100头。</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盒</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130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单口信息面板及配套底盒及模块</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规格：86 型平面面板，配套对应底盒及六类RJ45模块，可安装任何符合FCC标准的RJ45模块；</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标准：符合ANSI/TIA-568.2-D;ISO/IEC 11801;</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特征：带防尘盖、电话电脑标记，带有透明标识系统，面板要求与标准RJ45模块插座配套</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42</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130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9</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桥架</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用户教学楼六层水平、垂直互联弱电桥架，约600米桥架，钢制镀锌金属槽式电缆桥架，规格：200*100*1.2mm  配套相应三通、直通、支架、支架接件、铜带等，配套安装辅材。楼宇东西长度约为95米，桥架约为600米最终数量根据现场自行核算。</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52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10</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中心机房静电地板</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600＊600＊35mm，上围钢板壁厚:0.6MM  下围钢板壁厚:0.7MM  支架抬高按需，无边陶瓷面。</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104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11</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中心机房配套改造</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将原广播室分隔为内外两套，采用12mm防火铯钾玻璃隔断 含隔断基础及辅件配套防火门、门禁，配电箱改造等（供电方案需经学校书面确认），含顶地面涂刷防尘防潮防静电涂料，机房供配电、接地、静电释放系统</w:t>
            </w:r>
          </w:p>
        </w:tc>
        <w:tc>
          <w:tcPr>
            <w:tcW w:w="42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81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12</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4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340"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13</w:t>
            </w:r>
          </w:p>
        </w:tc>
        <w:tc>
          <w:tcPr>
            <w:tcW w:w="21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5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42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51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4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bl>
    <w:p>
      <w:pPr>
        <w:rPr>
          <w:color w:val="auto"/>
          <w:highlight w:val="none"/>
        </w:rPr>
      </w:pP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杭州师范大学附属丁兰实验学校</w:t>
      </w:r>
    </w:p>
    <w:tbl>
      <w:tblPr>
        <w:tblStyle w:val="62"/>
        <w:tblW w:w="10457" w:type="dxa"/>
        <w:jc w:val="center"/>
        <w:tblLayout w:type="fixed"/>
        <w:tblCellMar>
          <w:top w:w="0" w:type="dxa"/>
          <w:left w:w="108" w:type="dxa"/>
          <w:bottom w:w="0" w:type="dxa"/>
          <w:right w:w="108" w:type="dxa"/>
        </w:tblCellMar>
      </w:tblPr>
      <w:tblGrid>
        <w:gridCol w:w="380"/>
        <w:gridCol w:w="1795"/>
        <w:gridCol w:w="6696"/>
        <w:gridCol w:w="600"/>
        <w:gridCol w:w="506"/>
        <w:gridCol w:w="480"/>
      </w:tblGrid>
      <w:tr>
        <w:tblPrEx>
          <w:tblCellMar>
            <w:top w:w="0" w:type="dxa"/>
            <w:left w:w="108" w:type="dxa"/>
            <w:bottom w:w="0" w:type="dxa"/>
            <w:right w:w="108" w:type="dxa"/>
          </w:tblCellMar>
        </w:tblPrEx>
        <w:trPr>
          <w:trHeight w:val="30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序号</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设备名称</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5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30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849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第一部分、光纤入楼道（东西两侧各一个信息箱）</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仿宋_GB2312" w:hAnsi="宋体" w:eastAsia="仿宋_GB2312" w:cs="仿宋_GB2312"/>
                <w:b/>
                <w:bCs/>
                <w:color w:val="auto"/>
                <w:sz w:val="24"/>
                <w:highlight w:val="none"/>
              </w:rPr>
            </w:pPr>
          </w:p>
        </w:tc>
      </w:tr>
      <w:tr>
        <w:tblPrEx>
          <w:tblCellMar>
            <w:top w:w="0" w:type="dxa"/>
            <w:left w:w="108" w:type="dxa"/>
            <w:bottom w:w="0" w:type="dxa"/>
            <w:right w:w="108" w:type="dxa"/>
          </w:tblCellMar>
        </w:tblPrEx>
        <w:trPr>
          <w:trHeight w:val="52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全光网核心交换机</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台</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30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16口POE入室交换机</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36</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台</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130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设备箱</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楼层设备箱，高、深与16口万兆交换机配套，至少能安放两台16口万兆交换设备后还能安放电源插座与线缆，按用户要求安装到指定位置，最终安装位置与颜色规格需取得用户书面认可。实现同楼宇信息箱统一统电，并安装专用空开（做好标识），电路改造配套方案须取得用户书面认可。含相关配套的材料及人工。要求信息箱顶部带透气孔，前部玻璃门，后部可拆，配套至少两台交换机设备电源插座。</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35</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52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4芯室内单模光缆</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45280"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83" name="Text_Box_86692"/>
                  <wp:cNvGraphicFramePr/>
                  <a:graphic xmlns:a="http://schemas.openxmlformats.org/drawingml/2006/main">
                    <a:graphicData uri="http://schemas.openxmlformats.org/drawingml/2006/picture">
                      <pic:pic xmlns:pic="http://schemas.openxmlformats.org/drawingml/2006/picture">
                        <pic:nvPicPr>
                          <pic:cNvPr id="83" name="Text_Box_86692"/>
                          <pic:cNvPicPr/>
                        </pic:nvPicPr>
                        <pic:blipFill>
                          <a:blip r:embed="rId55"/>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46304"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84" name="Text_Box_86692_SpCnt_1"/>
                  <wp:cNvGraphicFramePr/>
                  <a:graphic xmlns:a="http://schemas.openxmlformats.org/drawingml/2006/main">
                    <a:graphicData uri="http://schemas.openxmlformats.org/drawingml/2006/picture">
                      <pic:pic xmlns:pic="http://schemas.openxmlformats.org/drawingml/2006/picture">
                        <pic:nvPicPr>
                          <pic:cNvPr id="84" name="Text_Box_86692_SpCnt_1"/>
                          <pic:cNvPicPr/>
                        </pic:nvPicPr>
                        <pic:blipFill>
                          <a:blip r:embed="rId56"/>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43232"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85" name="Text_Box_86693"/>
                  <wp:cNvGraphicFramePr/>
                  <a:graphic xmlns:a="http://schemas.openxmlformats.org/drawingml/2006/main">
                    <a:graphicData uri="http://schemas.openxmlformats.org/drawingml/2006/picture">
                      <pic:pic xmlns:pic="http://schemas.openxmlformats.org/drawingml/2006/picture">
                        <pic:nvPicPr>
                          <pic:cNvPr id="85" name="Text_Box_86693"/>
                          <pic:cNvPicPr/>
                        </pic:nvPicPr>
                        <pic:blipFill>
                          <a:blip r:embed="rId57"/>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bdr w:val="single" w:color="000000" w:sz="4" w:space="0"/>
                <w:lang w:bidi="ar"/>
              </w:rPr>
              <w:drawing>
                <wp:anchor distT="0" distB="0" distL="114300" distR="114300" simplePos="0" relativeHeight="251744256" behindDoc="0" locked="0" layoutInCell="1" allowOverlap="1">
                  <wp:simplePos x="0" y="0"/>
                  <wp:positionH relativeFrom="column">
                    <wp:posOffset>257810</wp:posOffset>
                  </wp:positionH>
                  <wp:positionV relativeFrom="paragraph">
                    <wp:posOffset>0</wp:posOffset>
                  </wp:positionV>
                  <wp:extent cx="96520" cy="218440"/>
                  <wp:effectExtent l="0" t="0" r="0" b="0"/>
                  <wp:wrapNone/>
                  <wp:docPr id="86" name="Text_Box_86693_SpCnt_1"/>
                  <wp:cNvGraphicFramePr/>
                  <a:graphic xmlns:a="http://schemas.openxmlformats.org/drawingml/2006/main">
                    <a:graphicData uri="http://schemas.openxmlformats.org/drawingml/2006/picture">
                      <pic:pic xmlns:pic="http://schemas.openxmlformats.org/drawingml/2006/picture">
                        <pic:nvPicPr>
                          <pic:cNvPr id="86" name="Text_Box_86693_SpCnt_1"/>
                          <pic:cNvPicPr/>
                        </pic:nvPicPr>
                        <pic:blipFill>
                          <a:blip r:embed="rId58"/>
                          <a:stretch>
                            <a:fillRect/>
                          </a:stretch>
                        </pic:blipFill>
                        <pic:spPr>
                          <a:xfrm>
                            <a:off x="0" y="0"/>
                            <a:ext cx="96520" cy="218440"/>
                          </a:xfrm>
                          <a:prstGeom prst="rect">
                            <a:avLst/>
                          </a:prstGeom>
                          <a:noFill/>
                          <a:ln>
                            <a:noFill/>
                          </a:ln>
                        </pic:spPr>
                      </pic:pic>
                    </a:graphicData>
                  </a:graphic>
                </wp:anchor>
              </w:drawing>
            </w:r>
            <w:r>
              <w:rPr>
                <w:rFonts w:hint="eastAsia" w:ascii="宋体" w:hAnsi="宋体" w:cs="宋体"/>
                <w:color w:val="auto"/>
                <w:kern w:val="0"/>
                <w:sz w:val="20"/>
                <w:szCs w:val="20"/>
                <w:highlight w:val="none"/>
                <w:lang w:bidi="ar"/>
              </w:rPr>
              <w:t>室内4芯单模光缆，实现从中心机房到所有信息箱的万兆互联，并做好所有光芯熔接</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35</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52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8芯室外单模光缆</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室外8芯单模光缆，实现从中心机房综合楼的万兆互联，并做好所有光芯熔接</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光纤配线架</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1U机架式光纤配线架，最大支持48芯，含内部法兰、尾纤等配件</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7</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光纤配线架</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1U机架式光纤配线架，最大支持12芯，含内部法兰、尾纤等配件</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182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信息箱光终端盒</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要求：安置于各个楼宇信息箱，实现与井道间光配架互联光缆的万兆互联，统一标识，并做好所有光芯的熔接并配套相应光跳线）；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规格：可选4芯或以上；</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材质：ABS塑料</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自复位旋转锁，带密封盖</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接口：提供LC双工，SC单工接口</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标准：ISO/IEC 11801；ANSI/TIA 568.2-D；</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35</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30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849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第二部分、无线系统</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52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无线对接与管理定制</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面板AP</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16</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个</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55</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个</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高密AP</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个</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移动运维服务</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5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0"/>
                <w:szCs w:val="20"/>
                <w:highlight w:val="none"/>
                <w:lang w:bidi="ar"/>
              </w:rPr>
            </w:pP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故障维护服务</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项</w:t>
            </w:r>
          </w:p>
        </w:tc>
        <w:tc>
          <w:tcPr>
            <w:tcW w:w="5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1</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30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849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仿宋_GB2312" w:hAnsi="宋体" w:eastAsia="仿宋_GB2312" w:cs="仿宋_GB2312"/>
                <w:b/>
                <w:bCs/>
                <w:color w:val="auto"/>
                <w:sz w:val="24"/>
                <w:highlight w:val="none"/>
              </w:rPr>
            </w:pPr>
            <w:r>
              <w:rPr>
                <w:rFonts w:ascii="仿宋_GB2312" w:hAnsi="宋体" w:eastAsia="仿宋_GB2312" w:cs="仿宋_GB2312"/>
                <w:b/>
                <w:bCs/>
                <w:color w:val="auto"/>
                <w:kern w:val="0"/>
                <w:sz w:val="24"/>
                <w:highlight w:val="none"/>
                <w:lang w:bidi="ar"/>
              </w:rPr>
              <w:t>第三部分、综合布线及系统集成</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0"/>
                <w:szCs w:val="20"/>
                <w:highlight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52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电缆</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YJV3*2.5电缆，实现35个信息箱每个楼宇统一供电，在各楼宇可分层控制各信息箱电源，预留UPS电源输入接口，取电方案需取得学校书面认可</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PVC线槽</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PVC线槽，规格根据现场数量定</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PVC线管</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PVC线管，规格根据现场数量定</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156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六类非屏蔽双绞线</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1、可提供350MHZ带宽，线规23AWG；</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2、护套采用优良的低烟无卤材料；护套长度为逆序标注以方便识别线缆长度；</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3、导体材料：无氧圆铜（纯度99.99%）；最大导体直流电阻@20 Deg.C :7.32Ω/100m；线对直流电阻不平衡：≤2%；线对对地电容不平衡：＜330pF/100m；延迟偏差：≤45ns/100m；额定传输速率(NVP)：65%；绝缘电阻: ≥5000MΩ/km +20℃ DC (100-500)；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18</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箱</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34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5</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用户跳线</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长度定制，RJ45跳线采用软线制作，标准：ISO/IEC 11801，ANSI/TIA - 568-C.2</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导体规格：多股绞合，软圆铜线，4×2×24AWG</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屏蔽方式: U/UTP</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护套材料：PVC</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插头规格：RJ45，8P8C，簧片表面镀金，透明聚碳酸酯塑胶壳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线序：T568B-T568B</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插拔次数：≥1000次</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最高传输频率：250MHz</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工作温度：-10℃～+60℃</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155</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墙柜</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8U或以上墙柜网络机柜，配壹套4位及以上专用PDU</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2</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7</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机柜</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42U标准网络机柜，配套两套8位及以上专用PDU</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28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六类水晶头与单口面板同品牌，每盒100头。</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4</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盒</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130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9</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单口信息面板及配套底盒及模块</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规格：86 型平面面板，配套对应底盒及六类RJ45模块，可安装任何符合FCC标准的RJ45模块；</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标准：符合ANSI/TIA-568.2-D;ISO/IEC 11801;</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特征：带防尘盖、电话电脑标记，带有透明标识系统，面板要求与标准RJ45模块插座配套</w:t>
            </w:r>
          </w:p>
        </w:tc>
        <w:tc>
          <w:tcPr>
            <w:tcW w:w="6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65</w:t>
            </w:r>
          </w:p>
        </w:tc>
        <w:tc>
          <w:tcPr>
            <w:tcW w:w="5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套</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r>
        <w:tblPrEx>
          <w:tblCellMar>
            <w:top w:w="0" w:type="dxa"/>
            <w:left w:w="108" w:type="dxa"/>
            <w:bottom w:w="0" w:type="dxa"/>
            <w:right w:w="108" w:type="dxa"/>
          </w:tblCellMar>
        </w:tblPrEx>
        <w:trPr>
          <w:trHeight w:val="520" w:hRule="atLeast"/>
          <w:jc w:val="center"/>
        </w:trPr>
        <w:tc>
          <w:tcPr>
            <w:tcW w:w="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10</w:t>
            </w:r>
          </w:p>
        </w:tc>
        <w:tc>
          <w:tcPr>
            <w:tcW w:w="17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整体集成与安装调试费</w:t>
            </w:r>
          </w:p>
        </w:tc>
        <w:tc>
          <w:tcPr>
            <w:tcW w:w="669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整体集成与安装调试费</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1</w:t>
            </w:r>
          </w:p>
        </w:tc>
        <w:tc>
          <w:tcPr>
            <w:tcW w:w="5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项</w:t>
            </w:r>
          </w:p>
        </w:tc>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0"/>
                <w:szCs w:val="20"/>
                <w:highlight w:val="none"/>
              </w:rPr>
            </w:pPr>
          </w:p>
        </w:tc>
      </w:tr>
    </w:tbl>
    <w:p>
      <w:pPr>
        <w:rPr>
          <w:color w:val="auto"/>
          <w:highlight w:val="none"/>
        </w:rPr>
      </w:pPr>
      <w:r>
        <w:rPr>
          <w:color w:val="auto"/>
          <w:highlight w:val="none"/>
        </w:rPr>
        <w:br w:type="page"/>
      </w:r>
    </w:p>
    <w:p>
      <w:pPr>
        <w:pStyle w:val="6"/>
        <w:numPr>
          <w:ilvl w:val="0"/>
          <w:numId w:val="4"/>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杭州市上城区教育评估与检测中心</w:t>
      </w:r>
    </w:p>
    <w:tbl>
      <w:tblPr>
        <w:tblStyle w:val="62"/>
        <w:tblW w:w="10880" w:type="dxa"/>
        <w:jc w:val="center"/>
        <w:tblLayout w:type="autofit"/>
        <w:tblCellMar>
          <w:top w:w="0" w:type="dxa"/>
          <w:left w:w="108" w:type="dxa"/>
          <w:bottom w:w="0" w:type="dxa"/>
          <w:right w:w="108" w:type="dxa"/>
        </w:tblCellMar>
      </w:tblPr>
      <w:tblGrid>
        <w:gridCol w:w="670"/>
        <w:gridCol w:w="1900"/>
        <w:gridCol w:w="6410"/>
        <w:gridCol w:w="620"/>
        <w:gridCol w:w="630"/>
        <w:gridCol w:w="650"/>
      </w:tblGrid>
      <w:tr>
        <w:tblPrEx>
          <w:tblCellMar>
            <w:top w:w="0" w:type="dxa"/>
            <w:left w:w="108" w:type="dxa"/>
            <w:bottom w:w="0" w:type="dxa"/>
            <w:right w:w="108" w:type="dxa"/>
          </w:tblCellMar>
        </w:tblPrEx>
        <w:trPr>
          <w:trHeight w:val="30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序号</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规格参数</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单位</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数量</w:t>
            </w:r>
          </w:p>
        </w:tc>
        <w:tc>
          <w:tcPr>
            <w:tcW w:w="6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备注</w:t>
            </w:r>
          </w:p>
        </w:tc>
      </w:tr>
      <w:tr>
        <w:tblPrEx>
          <w:tblCellMar>
            <w:top w:w="0" w:type="dxa"/>
            <w:left w:w="108" w:type="dxa"/>
            <w:bottom w:w="0" w:type="dxa"/>
            <w:right w:w="108" w:type="dxa"/>
          </w:tblCellMar>
        </w:tblPrEx>
        <w:trPr>
          <w:trHeight w:val="280" w:hRule="atLeast"/>
          <w:jc w:val="center"/>
        </w:trPr>
        <w:tc>
          <w:tcPr>
            <w:tcW w:w="1088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一、综合布线部份</w:t>
            </w:r>
          </w:p>
        </w:tc>
      </w:tr>
      <w:tr>
        <w:tblPrEx>
          <w:tblCellMar>
            <w:top w:w="0" w:type="dxa"/>
            <w:left w:w="108" w:type="dxa"/>
            <w:bottom w:w="0" w:type="dxa"/>
            <w:right w:w="108" w:type="dxa"/>
          </w:tblCellMar>
        </w:tblPrEx>
        <w:trPr>
          <w:trHeight w:val="52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检修孔</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根据点位及学校走线方案自行计算，需开检修孔需配原墙面同色盖板，并做好修复工作。</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286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六类非屏蔽双绞线</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每箱/305米；</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Cat.6非屏蔽双绞线</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规格：UTP非屏蔽结构，频宽≥250MHz，采用十字骨架分隔线对；23AWG实芯裸铜导体0.57mm；</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芯线对数：4对，每芯带有色条区别；</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护套特征：护套印有电缆编码、带有撕裂绳；PVC、CM、LSZH等可供选择；执行标准：ANSI/TIA 568.2-D，并提供信息产业部六连接点认证；带有唯一防伪二维码，可供在线查询真伪。符合UL认证的CM、CMR防火标准，并提供UL认证报告；</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LSZH护套符合IEC60332-1,IEC60754,IEC61034标准，并提供第三方检测报告。与面板同品牌。</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3</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六类水晶头</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六类水晶头与六类双绞线同品牌。</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4</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加深明/暗盒</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86M*40H加深塑料明盒</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5</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PVC管材</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6</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室内PVC线槽</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管径规格按需，走线方线需经用户书面确认,具体数量自行实勘。</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135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7</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各机房机柜新老线路统一整理及标签标识费用及其它本项目完整交付所需一切相关补充项</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施工方需保证原有线路及相关系统的正常运行，并对新老线路进行统一重新整理标识并做好相应标签，若有损坏由施工方无偿修复（包括且不限于机房及分设备间中新旧网线、电源线、光纤、相关跳线尾纤，均需两端做好标识并统一整理），若有缺漏请在实地查看后在此项自行补足并报价。</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208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8</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布线人工、用户新旧网络整体维护费用</w:t>
            </w:r>
          </w:p>
        </w:tc>
        <w:tc>
          <w:tcPr>
            <w:tcW w:w="6410" w:type="dxa"/>
            <w:tcBorders>
              <w:top w:val="single" w:color="000000" w:sz="4" w:space="0"/>
              <w:left w:val="single" w:color="000000" w:sz="4" w:space="0"/>
              <w:bottom w:val="single" w:color="000000" w:sz="4" w:space="0"/>
              <w:right w:val="single" w:color="000000" w:sz="4" w:space="0"/>
            </w:tcBorders>
            <w:shd w:val="clear" w:color="auto" w:fill="auto"/>
          </w:tcPr>
          <w:p>
            <w:pPr>
              <w:widowControl/>
              <w:textAlignment w:val="top"/>
              <w:rPr>
                <w:rFonts w:ascii="宋体" w:hAnsi="宋体" w:cs="宋体"/>
                <w:color w:val="auto"/>
                <w:sz w:val="20"/>
                <w:szCs w:val="20"/>
                <w:highlight w:val="none"/>
              </w:rPr>
            </w:pPr>
            <w:r>
              <w:rPr>
                <w:rFonts w:hint="eastAsia" w:ascii="宋体" w:hAnsi="宋体" w:cs="宋体"/>
                <w:color w:val="auto"/>
                <w:kern w:val="0"/>
                <w:sz w:val="20"/>
                <w:szCs w:val="20"/>
                <w:highlight w:val="none"/>
                <w:lang w:bidi="ar"/>
              </w:rPr>
              <w:t>由于本项目均为在依托学校原有可利用网络设备基础上再加以升级补充，因此要求投标公司将本次投标产品与学校原有网络设备（含有线、无线设备）进行融合对接，并按区IPV6统一规划要求进行配置优化并统一调试，确保学校所有现有应用均可在升级后正常使用。因此要求投标公司承担本项目学校网络的整体维护工作，除承担在本次招标项目中所有供货设备的保修集成、调试、维护服务外，还须承担对学校整体网络的维护、调优、查障等工作，其中学校利旧（设备、线路）相应硬件的直接维修费用由学校自行承担，其余费用均计入此次报价。</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1088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auto"/>
                <w:szCs w:val="21"/>
                <w:highlight w:val="none"/>
              </w:rPr>
            </w:pPr>
            <w:r>
              <w:rPr>
                <w:rFonts w:hint="eastAsia" w:ascii="宋体" w:hAnsi="宋体" w:cs="宋体"/>
                <w:b/>
                <w:bCs/>
                <w:color w:val="auto"/>
                <w:kern w:val="0"/>
                <w:szCs w:val="21"/>
                <w:highlight w:val="none"/>
                <w:lang w:bidi="ar"/>
              </w:rPr>
              <w:t>二、网络设备部份</w:t>
            </w:r>
          </w:p>
        </w:tc>
      </w:tr>
      <w:tr>
        <w:tblPrEx>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核心交换机</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无线控制器</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无线许可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配套可管理本次招标AP的相关许可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48口接入交换机</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5</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24口PoE交换机</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6</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放装AP</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面板AP</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sz w:val="22"/>
                <w:szCs w:val="22"/>
                <w:highlight w:val="none"/>
              </w:rPr>
            </w:pPr>
            <w:r>
              <w:rPr>
                <w:rFonts w:hint="eastAsia" w:ascii="宋体" w:hAnsi="宋体" w:cs="宋体"/>
                <w:color w:val="auto"/>
                <w:kern w:val="0"/>
                <w:sz w:val="22"/>
                <w:szCs w:val="22"/>
                <w:highlight w:val="none"/>
                <w:lang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7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2"/>
                <w:szCs w:val="22"/>
                <w:highlight w:val="none"/>
                <w:lang w:bidi="ar"/>
              </w:rPr>
            </w:pPr>
            <w:r>
              <w:rPr>
                <w:rFonts w:hint="eastAsia" w:ascii="宋体" w:hAnsi="宋体" w:cs="宋体"/>
                <w:color w:val="auto"/>
                <w:kern w:val="0"/>
                <w:sz w:val="20"/>
                <w:szCs w:val="20"/>
                <w:highlight w:val="none"/>
                <w:lang w:bidi="ar"/>
              </w:rPr>
              <w:t>8</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kern w:val="0"/>
                <w:sz w:val="22"/>
                <w:szCs w:val="22"/>
                <w:highlight w:val="none"/>
                <w:lang w:bidi="ar"/>
              </w:rPr>
            </w:pPr>
            <w:r>
              <w:rPr>
                <w:rFonts w:hint="eastAsia" w:ascii="宋体" w:hAnsi="宋体" w:cs="宋体"/>
                <w:color w:val="auto"/>
                <w:kern w:val="0"/>
                <w:sz w:val="20"/>
                <w:szCs w:val="20"/>
                <w:highlight w:val="none"/>
                <w:lang w:bidi="ar"/>
              </w:rPr>
              <w:t>移动运维服务</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2"/>
                <w:szCs w:val="22"/>
                <w:highlight w:val="none"/>
                <w:lang w:bidi="ar"/>
              </w:rPr>
            </w:pPr>
            <w:r>
              <w:rPr>
                <w:rFonts w:hint="eastAsia" w:ascii="宋体" w:hAnsi="宋体" w:cs="宋体"/>
                <w:color w:val="auto"/>
                <w:kern w:val="0"/>
                <w:sz w:val="20"/>
                <w:szCs w:val="20"/>
                <w:highlight w:val="none"/>
                <w:lang w:bidi="ar"/>
              </w:rPr>
              <w:t>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2"/>
                <w:szCs w:val="22"/>
                <w:highlight w:val="none"/>
                <w:lang w:bidi="ar"/>
              </w:rPr>
            </w:pPr>
            <w:r>
              <w:rPr>
                <w:rFonts w:hint="eastAsia" w:ascii="宋体" w:hAnsi="宋体" w:cs="宋体"/>
                <w:color w:val="auto"/>
                <w:kern w:val="0"/>
                <w:sz w:val="20"/>
                <w:szCs w:val="20"/>
                <w:highlight w:val="none"/>
                <w:lang w:bidi="ar"/>
              </w:rPr>
              <w:t>1</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80" w:hRule="atLeast"/>
          <w:jc w:val="center"/>
        </w:trPr>
        <w:tc>
          <w:tcPr>
            <w:tcW w:w="67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2"/>
                <w:szCs w:val="22"/>
                <w:highlight w:val="none"/>
                <w:lang w:bidi="ar"/>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kern w:val="0"/>
                <w:sz w:val="22"/>
                <w:szCs w:val="22"/>
                <w:highlight w:val="none"/>
                <w:lang w:bidi="ar"/>
              </w:rPr>
            </w:pPr>
            <w:r>
              <w:rPr>
                <w:rFonts w:hint="eastAsia" w:ascii="宋体" w:hAnsi="宋体" w:cs="宋体"/>
                <w:color w:val="auto"/>
                <w:kern w:val="0"/>
                <w:sz w:val="20"/>
                <w:szCs w:val="20"/>
                <w:highlight w:val="none"/>
                <w:lang w:bidi="ar"/>
              </w:rPr>
              <w:t>故障维护服务</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r>
              <w:rPr>
                <w:rFonts w:hint="eastAsia" w:ascii="宋体" w:hAnsi="宋体" w:cs="宋体"/>
                <w:color w:val="auto"/>
                <w:kern w:val="0"/>
                <w:sz w:val="20"/>
                <w:szCs w:val="20"/>
                <w:highlight w:val="none"/>
                <w:lang w:bidi="ar"/>
              </w:rPr>
              <w:t>参数详见主要产品技术指标对应产品要求</w:t>
            </w:r>
          </w:p>
        </w:tc>
        <w:tc>
          <w:tcPr>
            <w:tcW w:w="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2"/>
                <w:szCs w:val="22"/>
                <w:highlight w:val="none"/>
                <w:lang w:bidi="ar"/>
              </w:rPr>
            </w:pPr>
            <w:r>
              <w:rPr>
                <w:rFonts w:hint="eastAsia" w:ascii="宋体" w:hAnsi="宋体" w:cs="宋体"/>
                <w:color w:val="auto"/>
                <w:kern w:val="0"/>
                <w:sz w:val="20"/>
                <w:szCs w:val="20"/>
                <w:highlight w:val="none"/>
                <w:lang w:bidi="ar"/>
              </w:rPr>
              <w:t>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auto"/>
                <w:kern w:val="0"/>
                <w:sz w:val="22"/>
                <w:szCs w:val="22"/>
                <w:highlight w:val="none"/>
                <w:lang w:bidi="ar"/>
              </w:rPr>
            </w:pPr>
            <w:r>
              <w:rPr>
                <w:rFonts w:hint="eastAsia" w:ascii="宋体" w:hAnsi="宋体" w:cs="宋体"/>
                <w:color w:val="auto"/>
                <w:kern w:val="0"/>
                <w:sz w:val="20"/>
                <w:szCs w:val="20"/>
                <w:highlight w:val="none"/>
                <w:lang w:bidi="ar"/>
              </w:rPr>
              <w:t>1</w:t>
            </w: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54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9</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全网IPV6配置及区统一出口配置服务</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参数详见主要产品技术指标对应产品要求</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color w:val="auto"/>
                <w:sz w:val="22"/>
                <w:szCs w:val="22"/>
                <w:highlight w:val="none"/>
              </w:rPr>
            </w:pPr>
          </w:p>
        </w:tc>
      </w:tr>
      <w:tr>
        <w:tblPrEx>
          <w:tblCellMar>
            <w:top w:w="0" w:type="dxa"/>
            <w:left w:w="108" w:type="dxa"/>
            <w:bottom w:w="0" w:type="dxa"/>
            <w:right w:w="108" w:type="dxa"/>
          </w:tblCellMar>
        </w:tblPrEx>
        <w:trPr>
          <w:trHeight w:val="2080" w:hRule="atLeast"/>
          <w:jc w:val="center"/>
        </w:trPr>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10</w:t>
            </w:r>
          </w:p>
        </w:tc>
        <w:tc>
          <w:tcPr>
            <w:tcW w:w="1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整体集成交付费用</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整体集成交付费用，包括且不限于：</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1、按项目总体要求规范操作实施配合用户要求进行管路施工，含系统集成所需的各种附属材料和配套费用。</w:t>
            </w:r>
          </w:p>
          <w:p>
            <w:pPr>
              <w:widowControl/>
              <w:jc w:val="left"/>
              <w:textAlignment w:val="center"/>
              <w:rPr>
                <w:rFonts w:hint="eastAsia" w:ascii="宋体" w:hAnsi="宋体" w:eastAsia="宋体" w:cs="宋体"/>
                <w:color w:val="auto"/>
                <w:kern w:val="0"/>
                <w:sz w:val="20"/>
                <w:szCs w:val="20"/>
                <w:highlight w:val="none"/>
                <w:lang w:eastAsia="zh-CN" w:bidi="ar"/>
              </w:rPr>
            </w:pPr>
            <w:r>
              <w:rPr>
                <w:rFonts w:hint="eastAsia" w:ascii="宋体" w:hAnsi="宋体" w:cs="宋体"/>
                <w:color w:val="auto"/>
                <w:kern w:val="0"/>
                <w:sz w:val="20"/>
                <w:szCs w:val="20"/>
                <w:highlight w:val="none"/>
                <w:lang w:bidi="ar"/>
              </w:rPr>
              <w:t>2、拆除用户要求的现有弱电旧设备、线缆、管路，整理相关线缆、设备，网络，相关点位的最终位置须经用户确认。</w:t>
            </w:r>
          </w:p>
          <w:p>
            <w:pPr>
              <w:widowControl/>
              <w:jc w:val="left"/>
              <w:textAlignment w:val="center"/>
              <w:rPr>
                <w:rFonts w:ascii="宋体" w:hAnsi="宋体" w:cs="宋体"/>
                <w:color w:val="auto"/>
                <w:sz w:val="20"/>
                <w:szCs w:val="20"/>
                <w:highlight w:val="none"/>
              </w:rPr>
            </w:pPr>
            <w:r>
              <w:rPr>
                <w:rFonts w:hint="eastAsia" w:ascii="宋体" w:hAnsi="宋体" w:cs="宋体"/>
                <w:color w:val="auto"/>
                <w:kern w:val="0"/>
                <w:sz w:val="20"/>
                <w:szCs w:val="20"/>
                <w:highlight w:val="none"/>
                <w:lang w:bidi="ar"/>
              </w:rPr>
              <w:t>3、本项目属于交钥匙工程，所有软、硬件(如线缆、软件、硬件等，包括未列出而系统实施又必需的设备和辅材)配齐以构成一套完整实用系统，如有任何遗漏，由中标人免费补齐。</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szCs w:val="21"/>
                <w:highlight w:val="none"/>
              </w:rPr>
            </w:pPr>
            <w:r>
              <w:rPr>
                <w:rFonts w:hint="eastAsia" w:ascii="宋体" w:hAnsi="宋体" w:cs="宋体"/>
                <w:color w:val="auto"/>
                <w:kern w:val="0"/>
                <w:szCs w:val="21"/>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b/>
                <w:bCs/>
                <w:color w:val="auto"/>
                <w:sz w:val="22"/>
                <w:szCs w:val="22"/>
                <w:highlight w:val="none"/>
              </w:rPr>
            </w:pPr>
          </w:p>
        </w:tc>
      </w:tr>
      <w:tr>
        <w:tblPrEx>
          <w:tblCellMar>
            <w:top w:w="0" w:type="dxa"/>
            <w:left w:w="108" w:type="dxa"/>
            <w:bottom w:w="0" w:type="dxa"/>
            <w:right w:w="108" w:type="dxa"/>
          </w:tblCellMar>
        </w:tblPrEx>
        <w:trPr>
          <w:trHeight w:val="380" w:hRule="atLeast"/>
          <w:jc w:val="center"/>
        </w:trPr>
        <w:tc>
          <w:tcPr>
            <w:tcW w:w="25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r>
              <w:rPr>
                <w:rFonts w:hint="eastAsia" w:ascii="宋体" w:hAnsi="宋体" w:cs="宋体"/>
                <w:color w:val="auto"/>
                <w:kern w:val="0"/>
                <w:sz w:val="22"/>
                <w:szCs w:val="22"/>
                <w:highlight w:val="none"/>
                <w:lang w:bidi="ar"/>
              </w:rPr>
              <w:t>小计</w:t>
            </w:r>
          </w:p>
        </w:tc>
        <w:tc>
          <w:tcPr>
            <w:tcW w:w="641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auto"/>
                <w:kern w:val="0"/>
                <w:sz w:val="20"/>
                <w:szCs w:val="20"/>
                <w:highlight w:val="none"/>
                <w:lang w:bidi="ar"/>
              </w:rPr>
            </w:pP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Cs w:val="21"/>
                <w:highlight w:val="none"/>
                <w:lang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cs="宋体"/>
                <w:b/>
                <w:bCs/>
                <w:color w:val="auto"/>
                <w:sz w:val="22"/>
                <w:szCs w:val="22"/>
                <w:highlight w:val="none"/>
              </w:rPr>
            </w:pPr>
          </w:p>
        </w:tc>
      </w:tr>
    </w:tbl>
    <w:p>
      <w:pPr>
        <w:rPr>
          <w:color w:val="auto"/>
          <w:highlight w:val="none"/>
        </w:rPr>
      </w:pPr>
    </w:p>
    <w:p>
      <w:pPr>
        <w:rPr>
          <w:color w:val="auto"/>
          <w:highlight w:val="none"/>
        </w:rPr>
      </w:pPr>
      <w:r>
        <w:rPr>
          <w:color w:val="auto"/>
          <w:highlight w:val="none"/>
        </w:rPr>
        <w:br w:type="page"/>
      </w:r>
    </w:p>
    <w:p>
      <w:pPr>
        <w:pStyle w:val="2"/>
        <w:rPr>
          <w:color w:val="auto"/>
          <w:highlight w:val="none"/>
        </w:rPr>
      </w:pPr>
    </w:p>
    <w:p>
      <w:pPr>
        <w:pStyle w:val="5"/>
        <w:numPr>
          <w:ilvl w:val="0"/>
          <w:numId w:val="1"/>
        </w:numPr>
        <w:bidi w:val="0"/>
        <w:rPr>
          <w:rFonts w:hint="eastAsia"/>
          <w:color w:val="auto"/>
          <w:highlight w:val="none"/>
        </w:rPr>
      </w:pPr>
      <w:r>
        <w:rPr>
          <w:rFonts w:hint="eastAsia"/>
          <w:color w:val="auto"/>
          <w:highlight w:val="none"/>
          <w:lang w:val="en-US" w:eastAsia="zh-CN"/>
        </w:rPr>
        <w:t>各学校明细点位表</w:t>
      </w:r>
    </w:p>
    <w:p>
      <w:pPr>
        <w:pStyle w:val="6"/>
        <w:numPr>
          <w:ilvl w:val="0"/>
          <w:numId w:val="5"/>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lang w:val="en-US" w:eastAsia="zh-CN"/>
        </w:rPr>
        <w:t>无线点位明细表</w:t>
      </w:r>
    </w:p>
    <w:p>
      <w:pPr>
        <w:rPr>
          <w:color w:val="auto"/>
          <w:highlight w:val="none"/>
        </w:rPr>
      </w:pPr>
    </w:p>
    <w:p>
      <w:pPr>
        <w:rPr>
          <w:rFonts w:hint="eastAsia" w:ascii="宋体" w:hAnsi="宋体" w:cs="宋体"/>
          <w:color w:val="auto"/>
          <w:highlight w:val="none"/>
          <w:lang w:val="en-US" w:eastAsia="zh-CN"/>
        </w:rPr>
      </w:pPr>
      <w:r>
        <w:rPr>
          <w:rFonts w:hint="eastAsia" w:ascii="宋体" w:hAnsi="宋体" w:cs="宋体"/>
          <w:b/>
          <w:bCs/>
          <w:color w:val="auto"/>
          <w:highlight w:val="none"/>
          <w:lang w:val="en-US" w:eastAsia="zh-CN"/>
        </w:rPr>
        <w:t>特别说明：最终数量以学校明细清单为准，最终安装位置以学校现场书面确认为准</w:t>
      </w:r>
      <w:r>
        <w:rPr>
          <w:rFonts w:hint="eastAsia" w:ascii="宋体" w:hAnsi="宋体" w:cs="宋体"/>
          <w:color w:val="auto"/>
          <w:highlight w:val="none"/>
          <w:lang w:val="en-US" w:eastAsia="zh-CN"/>
        </w:rPr>
        <w:t>。</w:t>
      </w:r>
    </w:p>
    <w:tbl>
      <w:tblPr>
        <w:tblStyle w:val="62"/>
        <w:tblW w:w="107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52"/>
        <w:gridCol w:w="3076"/>
        <w:gridCol w:w="1756"/>
        <w:gridCol w:w="1096"/>
        <w:gridCol w:w="669"/>
        <w:gridCol w:w="743"/>
        <w:gridCol w:w="694"/>
        <w:gridCol w:w="718"/>
        <w:gridCol w:w="157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序号</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学校</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楼宇名称</w:t>
            </w:r>
          </w:p>
        </w:tc>
        <w:tc>
          <w:tcPr>
            <w:tcW w:w="109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楼层</w:t>
            </w:r>
          </w:p>
        </w:tc>
        <w:tc>
          <w:tcPr>
            <w:tcW w:w="2824"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AP类型与数量</w:t>
            </w:r>
          </w:p>
        </w:tc>
        <w:tc>
          <w:tcPr>
            <w:tcW w:w="157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面板AP</w:t>
            </w: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放装AP</w:t>
            </w:r>
          </w:p>
        </w:tc>
        <w:tc>
          <w:tcPr>
            <w:tcW w:w="69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高密AP</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室外AP</w:t>
            </w:r>
          </w:p>
        </w:tc>
        <w:tc>
          <w:tcPr>
            <w:tcW w:w="157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杭州师范大学第一附属小学</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17</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28</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杭州市高银巷小学</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体育馆</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备用楼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48</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杭州市吴山幼儿园</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杭州市清波幼儿园（清波园区）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杭州市清波幼儿园（三衙前园区）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附属楼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杭州市胜利实验学校</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B1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艺术楼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56</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杭州市凤凰小学</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B1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22</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44</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杭州市紫阳小学</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行政楼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射击馆</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实验楼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实验楼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Style w:val="329"/>
                <w:color w:val="auto"/>
                <w:highlight w:val="none"/>
                <w:lang w:val="en-US" w:eastAsia="zh-CN" w:bidi="ar"/>
              </w:rPr>
              <w:t>茶艺室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上操场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报告厅</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39</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杭州市蒋筑英学校</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北教学楼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体育馆+操场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南教学楼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56</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10</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杭州市江城中学</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行政楼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实验楼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办公楼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体育楼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风雨操场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11</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杭州市凤凰幼儿园（凤凰园区）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保安室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杭州市凤凰幼儿园（亲亲园区）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13</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杭州市娃哈哈幼儿园（赞成园区）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14</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杭州市娃哈哈幼儿园（新城园区）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17</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杭州市紫阳幼儿园</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教辅楼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16</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杭州市培红幼儿园（培红园区）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17</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杭州市培红幼儿园（保安桥园区）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18</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杭州市胜利金都幼儿园</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19</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杭州市行知新城幼儿园</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B1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w:t>
            </w:r>
          </w:p>
        </w:tc>
        <w:tc>
          <w:tcPr>
            <w:tcW w:w="30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杭州市胜利小学附属幼儿园</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B1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21</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杭州市海潮幼儿园</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华文仿宋" w:hAnsi="华文仿宋" w:eastAsia="华文仿宋" w:cs="华文仿宋"/>
                <w:i w:val="0"/>
                <w:iCs w:val="0"/>
                <w:color w:val="auto"/>
                <w:sz w:val="21"/>
                <w:szCs w:val="21"/>
                <w:highlight w:val="none"/>
                <w:u w:val="none"/>
              </w:rPr>
            </w:pPr>
            <w:r>
              <w:rPr>
                <w:rStyle w:val="960"/>
                <w:color w:val="auto"/>
                <w:highlight w:val="none"/>
                <w:lang w:val="en-US" w:eastAsia="zh-CN" w:bidi="ar"/>
              </w:rPr>
              <w:t>多功能厅</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华文仿宋" w:hAnsi="华文仿宋" w:eastAsia="华文仿宋" w:cs="华文仿宋"/>
                <w:i w:val="0"/>
                <w:iCs w:val="0"/>
                <w:color w:val="auto"/>
                <w:sz w:val="21"/>
                <w:szCs w:val="21"/>
                <w:highlight w:val="none"/>
                <w:u w:val="none"/>
              </w:rPr>
            </w:pPr>
            <w:r>
              <w:rPr>
                <w:rStyle w:val="960"/>
                <w:color w:val="auto"/>
                <w:highlight w:val="none"/>
                <w:lang w:val="en-US" w:eastAsia="zh-CN" w:bidi="ar"/>
              </w:rPr>
              <w:t>室外场地</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华文仿宋" w:hAnsi="华文仿宋" w:eastAsia="华文仿宋" w:cs="华文仿宋"/>
                <w:i w:val="0"/>
                <w:iCs w:val="0"/>
                <w:color w:val="auto"/>
                <w:sz w:val="21"/>
                <w:szCs w:val="21"/>
                <w:highlight w:val="none"/>
                <w:u w:val="none"/>
              </w:rPr>
            </w:pPr>
            <w:r>
              <w:rPr>
                <w:rStyle w:val="960"/>
                <w:color w:val="auto"/>
                <w:highlight w:val="none"/>
                <w:lang w:val="en-US" w:eastAsia="zh-CN" w:bidi="ar"/>
              </w:rPr>
              <w:t>保安室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华文仿宋" w:hAnsi="华文仿宋" w:eastAsia="华文仿宋" w:cs="华文仿宋"/>
                <w:i w:val="0"/>
                <w:iCs w:val="0"/>
                <w:color w:val="auto"/>
                <w:sz w:val="21"/>
                <w:szCs w:val="21"/>
                <w:highlight w:val="none"/>
                <w:u w:val="none"/>
              </w:rPr>
            </w:pPr>
            <w:r>
              <w:rPr>
                <w:rStyle w:val="960"/>
                <w:color w:val="auto"/>
                <w:highlight w:val="none"/>
                <w:lang w:val="en-US" w:eastAsia="zh-CN" w:bidi="ar"/>
              </w:rPr>
              <w:t>美术室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华文仿宋" w:hAnsi="华文仿宋" w:eastAsia="华文仿宋" w:cs="华文仿宋"/>
                <w:i w:val="0"/>
                <w:iCs w:val="0"/>
                <w:color w:val="auto"/>
                <w:sz w:val="21"/>
                <w:szCs w:val="21"/>
                <w:highlight w:val="none"/>
                <w:u w:val="none"/>
              </w:rPr>
            </w:pPr>
            <w:r>
              <w:rPr>
                <w:rStyle w:val="960"/>
                <w:color w:val="auto"/>
                <w:highlight w:val="none"/>
                <w:lang w:val="en-US" w:eastAsia="zh-CN" w:bidi="ar"/>
              </w:rPr>
              <w:t>图书室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华文仿宋" w:hAnsi="华文仿宋" w:eastAsia="华文仿宋" w:cs="华文仿宋"/>
                <w:i w:val="0"/>
                <w:iCs w:val="0"/>
                <w:color w:val="auto"/>
                <w:sz w:val="21"/>
                <w:szCs w:val="21"/>
                <w:highlight w:val="none"/>
                <w:u w:val="none"/>
              </w:rPr>
            </w:pPr>
            <w:r>
              <w:rPr>
                <w:rStyle w:val="960"/>
                <w:color w:val="auto"/>
                <w:highlight w:val="none"/>
                <w:lang w:val="en-US" w:eastAsia="zh-CN" w:bidi="ar"/>
              </w:rPr>
              <w:t>阅读室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华文仿宋" w:hAnsi="华文仿宋" w:eastAsia="华文仿宋" w:cs="华文仿宋"/>
                <w:i w:val="0"/>
                <w:iCs w:val="0"/>
                <w:color w:val="auto"/>
                <w:sz w:val="21"/>
                <w:szCs w:val="21"/>
                <w:highlight w:val="none"/>
                <w:u w:val="none"/>
              </w:rPr>
            </w:pPr>
            <w:r>
              <w:rPr>
                <w:rStyle w:val="960"/>
                <w:color w:val="auto"/>
                <w:highlight w:val="none"/>
                <w:lang w:val="en-US" w:eastAsia="zh-CN" w:bidi="ar"/>
              </w:rPr>
              <w:t>美工室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华文仿宋" w:hAnsi="华文仿宋" w:eastAsia="华文仿宋" w:cs="华文仿宋"/>
                <w:i w:val="0"/>
                <w:iCs w:val="0"/>
                <w:color w:val="auto"/>
                <w:sz w:val="21"/>
                <w:szCs w:val="21"/>
                <w:highlight w:val="none"/>
                <w:u w:val="none"/>
              </w:rPr>
            </w:pPr>
            <w:r>
              <w:rPr>
                <w:rFonts w:hint="eastAsia" w:ascii="华文仿宋" w:hAnsi="华文仿宋" w:eastAsia="华文仿宋" w:cs="华文仿宋"/>
                <w:i w:val="0"/>
                <w:iCs w:val="0"/>
                <w:color w:val="auto"/>
                <w:kern w:val="0"/>
                <w:sz w:val="21"/>
                <w:szCs w:val="21"/>
                <w:highlight w:val="none"/>
                <w:u w:val="none"/>
                <w:lang w:val="en-US" w:eastAsia="zh-CN" w:bidi="ar"/>
              </w:rPr>
              <w:t>会议室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Style w:val="329"/>
                <w:color w:val="auto"/>
                <w:highlight w:val="none"/>
                <w:lang w:val="en-US" w:eastAsia="zh-CN" w:bidi="ar"/>
              </w:rPr>
              <w:t>办公室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Style w:val="329"/>
                <w:color w:val="auto"/>
                <w:highlight w:val="none"/>
                <w:lang w:val="en-US" w:eastAsia="zh-CN" w:bidi="ar"/>
              </w:rPr>
              <w:t>教室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26</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22</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杭州市陶子幼儿园（陶子园区）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22</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23</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杭州市陶子幼儿园（水澄园区）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12</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24</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杭州市行知金陶幼儿园（金陶园区）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25</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杭州市行知金陶幼儿园（闸口园区）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保安室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16</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26</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杭州市行知金陶幼儿园（美政园区）</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0</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27</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杭州市天长小学东坡校区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行政楼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28</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杭州市天长小学孝女路校区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一号教学楼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连廊</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二号教学楼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综合楼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29</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杭州市娃哈哈小学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行政楼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负一层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42</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30</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杭州市惠兴中学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地面</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六层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负一层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14</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31</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杭州新世纪外国语学校</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负一层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六层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66</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32</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杭州市行知幼儿园</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南楼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北楼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33</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杭州市饮马井巷小学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49</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34</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杭州市大学路小学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行政楼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保安室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学生活动室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食堂大厅</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35</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杭州市回族穆兴小学穆兴校区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一号教学楼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二号教学楼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三号教学楼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37</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36</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杭州市回族穆兴小学小营校区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和鸣堂、和思楼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和静楼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一层食堂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37</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杭州市胜利幼儿园大学路园区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音乐厅1楼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二层多功能厅</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保安室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38</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杭州市胜利瑞丰幼儿园</w:t>
            </w:r>
          </w:p>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（小营园区）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39</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杭州市胜利瑞丰幼儿园</w:t>
            </w:r>
          </w:p>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（瑞丰园区）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11</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40</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杭州市胜利东河幼儿园</w:t>
            </w:r>
          </w:p>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（大塔儿园区）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16</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41</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杭州市胜利东河幼儿园</w:t>
            </w:r>
          </w:p>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（东河园区）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负一层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22</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42</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杭州市胜利小学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报告厅</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保安室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食堂</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51</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43</w:t>
            </w:r>
          </w:p>
        </w:tc>
        <w:tc>
          <w:tcPr>
            <w:tcW w:w="3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杭州市勇进实验学校</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114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按原点位替换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114</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44</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杭州市开元中学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A号楼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B号楼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C号楼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D号楼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四层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五层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保安室</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体育馆</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图书馆</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食堂</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18</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45</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杭州市近江幼儿园</w:t>
            </w:r>
          </w:p>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（近江园区）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8</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46</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杭州市近江幼儿园</w:t>
            </w:r>
          </w:p>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（依江园区）</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14</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47</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 xml:space="preserve">杭州市上城区教育学院 </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办公楼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七层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八层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九层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十层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7</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十一层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十二层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22</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48</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杭州市丁兰第二幼儿园</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园区一</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园区二</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园区三</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49</w:t>
            </w:r>
          </w:p>
        </w:tc>
        <w:tc>
          <w:tcPr>
            <w:tcW w:w="3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杭州市时代小学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学校指定点位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23</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50</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杭州市凯旋实验幼儿园</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办公室</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13</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教室</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12</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室外</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4</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10</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12</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35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51</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杭州市阳光幼儿园</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园区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一层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9</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二层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6</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三层</w:t>
            </w: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20</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52</w:t>
            </w:r>
          </w:p>
        </w:tc>
        <w:tc>
          <w:tcPr>
            <w:tcW w:w="3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杭州市澎行幼儿园</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办公教学区</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24</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教室、办公室、会议室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24</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w:t>
            </w: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53</w:t>
            </w:r>
          </w:p>
        </w:tc>
        <w:tc>
          <w:tcPr>
            <w:tcW w:w="3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杭州市金都天长小学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default" w:ascii="宋体" w:hAnsi="宋体" w:eastAsia="宋体" w:cs="宋体"/>
                <w:i w:val="0"/>
                <w:iCs w:val="0"/>
                <w:color w:val="auto"/>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见全光网点位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 w:hRule="atLeast"/>
          <w:jc w:val="center"/>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54</w:t>
            </w:r>
          </w:p>
        </w:tc>
        <w:tc>
          <w:tcPr>
            <w:tcW w:w="3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杭州第六中学</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见全光网点位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 w:hRule="atLeast"/>
          <w:jc w:val="center"/>
        </w:trPr>
        <w:tc>
          <w:tcPr>
            <w:tcW w:w="4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55</w:t>
            </w:r>
          </w:p>
        </w:tc>
        <w:tc>
          <w:tcPr>
            <w:tcW w:w="3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杭州师范大学附属丁兰实验学校</w:t>
            </w:r>
          </w:p>
        </w:tc>
        <w:tc>
          <w:tcPr>
            <w:tcW w:w="1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2"/>
                <w:szCs w:val="22"/>
                <w:highlight w:val="none"/>
                <w:u w:val="none"/>
                <w:lang w:val="en-US" w:eastAsia="zh-CN" w:bidi="ar"/>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lang w:val="en-US" w:eastAsia="zh-CN"/>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lang w:val="en-US" w:eastAsia="zh-CN"/>
              </w:rPr>
            </w:pPr>
            <w:r>
              <w:rPr>
                <w:rFonts w:hint="eastAsia" w:ascii="宋体" w:hAnsi="宋体" w:eastAsia="宋体" w:cs="宋体"/>
                <w:i w:val="0"/>
                <w:iCs w:val="0"/>
                <w:color w:val="auto"/>
                <w:sz w:val="22"/>
                <w:szCs w:val="22"/>
                <w:highlight w:val="none"/>
                <w:u w:val="none"/>
                <w:lang w:val="en-US" w:eastAsia="zh-CN"/>
              </w:rPr>
              <w:t>见全光网点位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56</w:t>
            </w:r>
          </w:p>
        </w:tc>
        <w:tc>
          <w:tcPr>
            <w:tcW w:w="30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b/>
                <w:bCs/>
                <w:color w:val="auto"/>
                <w:highlight w:val="none"/>
                <w:lang w:val="en-US" w:eastAsia="zh-CN"/>
              </w:rPr>
              <w:t>杭州市上城区教育评估与检测中心</w:t>
            </w:r>
          </w:p>
        </w:tc>
        <w:tc>
          <w:tcPr>
            <w:tcW w:w="175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cs="宋体"/>
                <w:i w:val="0"/>
                <w:iCs w:val="0"/>
                <w:color w:val="auto"/>
                <w:kern w:val="0"/>
                <w:sz w:val="22"/>
                <w:szCs w:val="22"/>
                <w:highlight w:val="none"/>
                <w:u w:val="none"/>
                <w:lang w:val="en-US" w:eastAsia="zh-CN" w:bidi="ar"/>
              </w:rPr>
              <w:t>办公楼</w:t>
            </w: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rPr>
              <w:t>两个会议室，保安室，心理室 ，大厅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2"/>
                <w:szCs w:val="22"/>
                <w:highlight w:val="none"/>
                <w:u w:val="none"/>
              </w:rPr>
            </w:pPr>
          </w:p>
        </w:tc>
        <w:tc>
          <w:tcPr>
            <w:tcW w:w="175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auto"/>
                <w:sz w:val="22"/>
                <w:szCs w:val="22"/>
                <w:highlight w:val="none"/>
                <w:u w:val="none"/>
                <w:lang w:val="en-US"/>
              </w:rPr>
            </w:pPr>
            <w:r>
              <w:rPr>
                <w:rFonts w:hint="eastAsia" w:ascii="宋体" w:hAnsi="宋体" w:eastAsia="宋体" w:cs="宋体"/>
                <w:i w:val="0"/>
                <w:iCs w:val="0"/>
                <w:color w:val="auto"/>
                <w:sz w:val="22"/>
                <w:szCs w:val="22"/>
                <w:highlight w:val="none"/>
                <w:u w:val="none"/>
                <w:lang w:val="en-US" w:eastAsia="zh-CN"/>
              </w:rPr>
              <w:t>18</w:t>
            </w:r>
          </w:p>
        </w:tc>
        <w:tc>
          <w:tcPr>
            <w:tcW w:w="7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default" w:ascii="宋体" w:hAnsi="宋体" w:eastAsia="宋体" w:cs="宋体"/>
                <w:i w:val="0"/>
                <w:iCs w:val="0"/>
                <w:color w:val="auto"/>
                <w:sz w:val="22"/>
                <w:szCs w:val="22"/>
                <w:highlight w:val="none"/>
                <w:u w:val="none"/>
                <w:lang w:val="en-US" w:eastAsia="zh-CN"/>
              </w:rPr>
            </w:pPr>
            <w:r>
              <w:rPr>
                <w:rFonts w:hint="eastAsia" w:ascii="宋体" w:hAnsi="宋体" w:cs="宋体"/>
                <w:i w:val="0"/>
                <w:iCs w:val="0"/>
                <w:color w:val="auto"/>
                <w:sz w:val="22"/>
                <w:szCs w:val="22"/>
                <w:highlight w:val="none"/>
                <w:u w:val="none"/>
                <w:lang w:val="en-US" w:eastAsia="zh-CN"/>
              </w:rPr>
              <w:t>每办公室一个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45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307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175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c>
          <w:tcPr>
            <w:tcW w:w="1096"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669"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18</w:t>
            </w:r>
          </w:p>
        </w:tc>
        <w:tc>
          <w:tcPr>
            <w:tcW w:w="743"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sz w:val="22"/>
                <w:szCs w:val="22"/>
                <w:highlight w:val="none"/>
                <w:u w:val="none"/>
                <w:lang w:val="en-US" w:eastAsia="zh-CN"/>
              </w:rPr>
              <w:t>5</w:t>
            </w:r>
          </w:p>
        </w:tc>
        <w:tc>
          <w:tcPr>
            <w:tcW w:w="694"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718"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p>
        </w:tc>
        <w:tc>
          <w:tcPr>
            <w:tcW w:w="157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rPr>
                <w:rFonts w:hint="eastAsia" w:ascii="宋体" w:hAnsi="宋体" w:eastAsia="宋体" w:cs="宋体"/>
                <w:i w:val="0"/>
                <w:iCs w:val="0"/>
                <w:color w:val="auto"/>
                <w:sz w:val="22"/>
                <w:szCs w:val="22"/>
                <w:highlight w:val="none"/>
                <w:u w:val="none"/>
              </w:rPr>
            </w:pPr>
          </w:p>
        </w:tc>
      </w:tr>
    </w:tbl>
    <w:p>
      <w:pPr>
        <w:pStyle w:val="6"/>
        <w:numPr>
          <w:ilvl w:val="0"/>
          <w:numId w:val="5"/>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lang w:val="en-US" w:eastAsia="zh-CN"/>
        </w:rPr>
        <w:t>全光网点位明细表-金都天长小学</w:t>
      </w:r>
    </w:p>
    <w:tbl>
      <w:tblPr>
        <w:tblStyle w:val="62"/>
        <w:tblW w:w="9029" w:type="dxa"/>
        <w:tblInd w:w="-29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1"/>
        <w:gridCol w:w="2445"/>
        <w:gridCol w:w="1821"/>
        <w:gridCol w:w="955"/>
        <w:gridCol w:w="955"/>
        <w:gridCol w:w="955"/>
        <w:gridCol w:w="12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tcBorders>
              <w:top w:val="single" w:color="000000" w:sz="4" w:space="0"/>
              <w:left w:val="single" w:color="000000" w:sz="4" w:space="0"/>
              <w:bottom w:val="single" w:color="000000" w:sz="4" w:space="0"/>
              <w:right w:val="single" w:color="000000" w:sz="4" w:space="0"/>
            </w:tcBorders>
            <w:shd w:val="clear" w:color="auto" w:fill="00B05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楼层</w:t>
            </w:r>
          </w:p>
        </w:tc>
        <w:tc>
          <w:tcPr>
            <w:tcW w:w="2445" w:type="dxa"/>
            <w:tcBorders>
              <w:top w:val="single" w:color="000000" w:sz="4" w:space="0"/>
              <w:left w:val="single" w:color="000000" w:sz="4" w:space="0"/>
              <w:bottom w:val="single" w:color="000000" w:sz="4" w:space="0"/>
              <w:right w:val="single" w:color="000000" w:sz="4" w:space="0"/>
            </w:tcBorders>
            <w:shd w:val="clear" w:color="auto" w:fill="00B05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房间</w:t>
            </w:r>
          </w:p>
        </w:tc>
        <w:tc>
          <w:tcPr>
            <w:tcW w:w="1821" w:type="dxa"/>
            <w:tcBorders>
              <w:top w:val="single" w:color="000000" w:sz="4" w:space="0"/>
              <w:left w:val="single" w:color="000000" w:sz="4" w:space="0"/>
              <w:bottom w:val="single" w:color="000000" w:sz="4" w:space="0"/>
              <w:right w:val="single" w:color="000000" w:sz="4" w:space="0"/>
            </w:tcBorders>
            <w:shd w:val="clear" w:color="auto" w:fill="00B05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8口POE交换机</w:t>
            </w:r>
          </w:p>
        </w:tc>
        <w:tc>
          <w:tcPr>
            <w:tcW w:w="955" w:type="dxa"/>
            <w:tcBorders>
              <w:top w:val="single" w:color="000000" w:sz="4" w:space="0"/>
              <w:left w:val="single" w:color="000000" w:sz="4" w:space="0"/>
              <w:bottom w:val="single" w:color="000000" w:sz="4" w:space="0"/>
              <w:right w:val="single" w:color="000000" w:sz="4" w:space="0"/>
            </w:tcBorders>
            <w:shd w:val="clear" w:color="auto" w:fill="00B05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放装AP</w:t>
            </w:r>
          </w:p>
        </w:tc>
        <w:tc>
          <w:tcPr>
            <w:tcW w:w="955" w:type="dxa"/>
            <w:tcBorders>
              <w:top w:val="single" w:color="000000" w:sz="4" w:space="0"/>
              <w:left w:val="single" w:color="000000" w:sz="4" w:space="0"/>
              <w:bottom w:val="single" w:color="000000" w:sz="4" w:space="0"/>
              <w:right w:val="single" w:color="000000" w:sz="4" w:space="0"/>
            </w:tcBorders>
            <w:shd w:val="clear" w:color="auto" w:fill="00B05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高密AP</w:t>
            </w:r>
          </w:p>
        </w:tc>
        <w:tc>
          <w:tcPr>
            <w:tcW w:w="955" w:type="dxa"/>
            <w:tcBorders>
              <w:top w:val="single" w:color="000000" w:sz="4" w:space="0"/>
              <w:left w:val="single" w:color="000000" w:sz="4" w:space="0"/>
              <w:bottom w:val="single" w:color="000000" w:sz="4" w:space="0"/>
              <w:right w:val="single" w:color="000000" w:sz="4" w:space="0"/>
            </w:tcBorders>
            <w:shd w:val="clear" w:color="auto" w:fill="00B05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室外AP</w:t>
            </w:r>
          </w:p>
        </w:tc>
        <w:tc>
          <w:tcPr>
            <w:tcW w:w="1207" w:type="dxa"/>
            <w:tcBorders>
              <w:top w:val="single" w:color="000000" w:sz="4" w:space="0"/>
              <w:left w:val="single" w:color="000000" w:sz="4" w:space="0"/>
              <w:bottom w:val="single" w:color="000000" w:sz="4" w:space="0"/>
              <w:right w:val="single" w:color="000000" w:sz="4" w:space="0"/>
            </w:tcBorders>
            <w:shd w:val="clear" w:color="auto" w:fill="00B05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光纤点位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1F</w:t>
            </w: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二(1)班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二(2)班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二(3)班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悦心湾</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二年级办公室</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门厅</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和美家</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阅览室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体育办公室</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广播室</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配餐间</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电房</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风雨操场</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传达室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2F</w:t>
            </w: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三(1)班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三(2)班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三(3)班</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三年级办公室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四年级办公室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总务处</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保健室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教导处</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会议室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校长室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副校长室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文印室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网络间</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3F</w:t>
            </w: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四(1)班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四(2)班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四(3)班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四(4)班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阶梯教室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一年级办公室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心理辅导室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一(4)班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档案室（2）</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档案室（1）</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一(3)班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英科办公室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一(2)班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一(1)班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演播室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4F</w:t>
            </w: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五(1)班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五(2)班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五(3)班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五(4)班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劳动教室</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心理辅导室（2）</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五年级办公室</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电脑教室</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艺术办公室</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美术教室（1）</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美术教室（2）</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美术教室（3）</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5F</w:t>
            </w: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六(1)班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六(2)班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六(3)班</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六(4)班</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学习中心</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队室</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六年级办公室</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休息室</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音乐教室（2）</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音乐教室（1）</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科学教室（1）</w:t>
            </w:r>
          </w:p>
        </w:tc>
        <w:tc>
          <w:tcPr>
            <w:tcW w:w="182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科学教室（2）</w:t>
            </w:r>
          </w:p>
        </w:tc>
        <w:tc>
          <w:tcPr>
            <w:tcW w:w="182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室外</w:t>
            </w: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东操场跑道</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国旗操场</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操场北面停车区</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风雨操场B1</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691" w:type="dxa"/>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跆拳道馆</w:t>
            </w: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合计</w:t>
            </w:r>
          </w:p>
        </w:tc>
        <w:tc>
          <w:tcPr>
            <w:tcW w:w="24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8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47</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63</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w:t>
            </w:r>
          </w:p>
        </w:tc>
        <w:tc>
          <w:tcPr>
            <w:tcW w:w="9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47</w:t>
            </w:r>
          </w:p>
        </w:tc>
      </w:tr>
    </w:tbl>
    <w:p>
      <w:pPr>
        <w:rPr>
          <w:color w:val="auto"/>
          <w:highlight w:val="none"/>
        </w:rPr>
      </w:pPr>
    </w:p>
    <w:p>
      <w:pPr>
        <w:pStyle w:val="2"/>
        <w:rPr>
          <w:color w:val="auto"/>
          <w:highlight w:val="none"/>
        </w:rPr>
      </w:pPr>
    </w:p>
    <w:p>
      <w:pPr>
        <w:rPr>
          <w:color w:val="auto"/>
          <w:highlight w:val="none"/>
        </w:rPr>
      </w:pPr>
    </w:p>
    <w:p>
      <w:pPr>
        <w:pStyle w:val="6"/>
        <w:numPr>
          <w:ilvl w:val="0"/>
          <w:numId w:val="5"/>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lang w:val="en-US" w:eastAsia="zh-CN"/>
        </w:rPr>
        <w:t>全光网点位明细表-杭州第六中学</w:t>
      </w:r>
    </w:p>
    <w:tbl>
      <w:tblPr>
        <w:tblStyle w:val="62"/>
        <w:tblW w:w="1052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5"/>
        <w:gridCol w:w="1900"/>
        <w:gridCol w:w="716"/>
        <w:gridCol w:w="953"/>
        <w:gridCol w:w="978"/>
        <w:gridCol w:w="538"/>
        <w:gridCol w:w="623"/>
        <w:gridCol w:w="697"/>
        <w:gridCol w:w="660"/>
        <w:gridCol w:w="782"/>
        <w:gridCol w:w="648"/>
        <w:gridCol w:w="12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1900" w:type="dxa"/>
            <w:tcBorders>
              <w:top w:val="nil"/>
              <w:left w:val="nil"/>
              <w:bottom w:val="nil"/>
              <w:right w:val="nil"/>
            </w:tcBorders>
            <w:shd w:val="clear" w:color="auto" w:fill="00B0F0"/>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教学行政楼</w:t>
            </w:r>
          </w:p>
        </w:tc>
        <w:tc>
          <w:tcPr>
            <w:tcW w:w="716"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953"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978"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538"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23"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97"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60"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782"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48"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1282"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楼层</w:t>
            </w:r>
          </w:p>
        </w:tc>
        <w:tc>
          <w:tcPr>
            <w:tcW w:w="1900"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房间</w:t>
            </w:r>
          </w:p>
        </w:tc>
        <w:tc>
          <w:tcPr>
            <w:tcW w:w="716"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24口全光汇聚</w:t>
            </w:r>
          </w:p>
        </w:tc>
        <w:tc>
          <w:tcPr>
            <w:tcW w:w="953"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24口PoE交换机</w:t>
            </w:r>
          </w:p>
        </w:tc>
        <w:tc>
          <w:tcPr>
            <w:tcW w:w="978"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16口PoE交换机</w:t>
            </w:r>
          </w:p>
        </w:tc>
        <w:tc>
          <w:tcPr>
            <w:tcW w:w="538"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信息箱</w:t>
            </w:r>
          </w:p>
        </w:tc>
        <w:tc>
          <w:tcPr>
            <w:tcW w:w="623"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有线点</w:t>
            </w:r>
          </w:p>
        </w:tc>
        <w:tc>
          <w:tcPr>
            <w:tcW w:w="697"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面板AP</w:t>
            </w:r>
          </w:p>
        </w:tc>
        <w:tc>
          <w:tcPr>
            <w:tcW w:w="66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放装AP</w:t>
            </w:r>
          </w:p>
        </w:tc>
        <w:tc>
          <w:tcPr>
            <w:tcW w:w="782"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高密AP</w:t>
            </w:r>
          </w:p>
        </w:tc>
        <w:tc>
          <w:tcPr>
            <w:tcW w:w="648"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无线点</w:t>
            </w:r>
          </w:p>
        </w:tc>
        <w:tc>
          <w:tcPr>
            <w:tcW w:w="1282"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一楼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101医务室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102-104文印室、教导处</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105学生处</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107值教室室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103教科室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106总处务</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门厅</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108教室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109教室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校史办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大厅</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夜校办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112教室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113教室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二楼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201财务室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202副校长室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204接待室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205校长室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206办公室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203大会议室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207小会议室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208教室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209教室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210资源教室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211中预办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212中预办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213教室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214劳技室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215广播室中心机房</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7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301采编室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302图书馆</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303初一办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304实习办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305教室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306教室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307教室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308初一办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309教室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310教室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311教室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401资料室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402阅览室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404初二办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403初一办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405教室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406教室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407教室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408初二办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409教室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410教室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411教室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501机房（变办公室迁移）</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502、503合并大房间</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504初二办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505信息中心</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506教室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507教室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508教室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509初三办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510教室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511教室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512教室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六楼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601心理辅导室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602阶梯教室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603初三办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604档案室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605教室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606教室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607教室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608初三办</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609教室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610教室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611教室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w:t>
            </w: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42</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30</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46</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78</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1900" w:type="dxa"/>
            <w:tcBorders>
              <w:top w:val="nil"/>
              <w:left w:val="nil"/>
              <w:bottom w:val="nil"/>
              <w:right w:val="nil"/>
            </w:tcBorders>
            <w:shd w:val="clear" w:color="auto" w:fill="00B0F0"/>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综合楼</w:t>
            </w:r>
          </w:p>
        </w:tc>
        <w:tc>
          <w:tcPr>
            <w:tcW w:w="716"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953"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978"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538"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23"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97"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60"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782"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648"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1282" w:type="dxa"/>
            <w:tcBorders>
              <w:top w:val="nil"/>
              <w:left w:val="nil"/>
              <w:bottom w:val="nil"/>
              <w:right w:val="nil"/>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体育馆</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原有点位无AP，无须布线，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办公室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二楼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0</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1个H3C AP移位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三楼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128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5个思科更换，新增一台POE做为两楼互联汇聚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四楼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阅览室小会议室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原有两个H3C利旧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戏曲教室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原思科更换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五楼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6间教室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6个思科更换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六楼</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教室5间</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2个H3C拆下利旧移入教室内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办公室</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auto"/>
                <w:sz w:val="22"/>
                <w:szCs w:val="22"/>
                <w:highlight w:val="none"/>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小计</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w:t>
            </w:r>
          </w:p>
        </w:tc>
        <w:tc>
          <w:tcPr>
            <w:tcW w:w="9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w:t>
            </w:r>
          </w:p>
        </w:tc>
        <w:tc>
          <w:tcPr>
            <w:tcW w:w="5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w:t>
            </w:r>
          </w:p>
        </w:tc>
        <w:tc>
          <w:tcPr>
            <w:tcW w:w="6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0</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w:t>
            </w:r>
          </w:p>
        </w:tc>
        <w:tc>
          <w:tcPr>
            <w:tcW w:w="7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745"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c>
          <w:tcPr>
            <w:tcW w:w="1900"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合计</w:t>
            </w:r>
          </w:p>
        </w:tc>
        <w:tc>
          <w:tcPr>
            <w:tcW w:w="716"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53"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978"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538"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12</w:t>
            </w:r>
          </w:p>
        </w:tc>
        <w:tc>
          <w:tcPr>
            <w:tcW w:w="623"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42</w:t>
            </w:r>
          </w:p>
        </w:tc>
        <w:tc>
          <w:tcPr>
            <w:tcW w:w="697"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33</w:t>
            </w:r>
          </w:p>
        </w:tc>
        <w:tc>
          <w:tcPr>
            <w:tcW w:w="660"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61</w:t>
            </w:r>
          </w:p>
        </w:tc>
        <w:tc>
          <w:tcPr>
            <w:tcW w:w="782"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648"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98</w:t>
            </w:r>
          </w:p>
        </w:tc>
        <w:tc>
          <w:tcPr>
            <w:tcW w:w="1282" w:type="dxa"/>
            <w:tcBorders>
              <w:top w:val="single" w:color="000000" w:sz="4" w:space="0"/>
              <w:left w:val="single" w:color="000000" w:sz="4" w:space="0"/>
              <w:bottom w:val="single" w:color="000000" w:sz="4" w:space="0"/>
              <w:right w:val="single" w:color="000000" w:sz="4" w:space="0"/>
            </w:tcBorders>
            <w:shd w:val="clear" w:color="auto" w:fill="00B0F0"/>
            <w:noWrap/>
            <w:vAlign w:val="center"/>
          </w:tcPr>
          <w:p>
            <w:pPr>
              <w:rPr>
                <w:rFonts w:hint="eastAsia" w:ascii="宋体" w:hAnsi="宋体" w:eastAsia="宋体" w:cs="宋体"/>
                <w:i w:val="0"/>
                <w:iCs w:val="0"/>
                <w:color w:val="auto"/>
                <w:sz w:val="22"/>
                <w:szCs w:val="22"/>
                <w:highlight w:val="none"/>
                <w:u w:val="none"/>
              </w:rPr>
            </w:pPr>
          </w:p>
        </w:tc>
      </w:tr>
    </w:tbl>
    <w:p>
      <w:pPr>
        <w:rPr>
          <w:color w:val="auto"/>
          <w:highlight w:val="none"/>
        </w:rPr>
      </w:pPr>
    </w:p>
    <w:p>
      <w:pPr>
        <w:pStyle w:val="6"/>
        <w:numPr>
          <w:ilvl w:val="0"/>
          <w:numId w:val="5"/>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lang w:val="en-US" w:eastAsia="zh-CN"/>
        </w:rPr>
        <w:t>全光网点位明细表-杭州师范大学附属丁兰实验学校</w:t>
      </w:r>
    </w:p>
    <w:tbl>
      <w:tblPr>
        <w:tblStyle w:val="62"/>
        <w:tblW w:w="1097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1994"/>
        <w:gridCol w:w="997"/>
        <w:gridCol w:w="981"/>
        <w:gridCol w:w="830"/>
        <w:gridCol w:w="787"/>
        <w:gridCol w:w="981"/>
        <w:gridCol w:w="819"/>
        <w:gridCol w:w="981"/>
        <w:gridCol w:w="15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楼层</w:t>
            </w:r>
          </w:p>
        </w:tc>
        <w:tc>
          <w:tcPr>
            <w:tcW w:w="1430"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房间</w:t>
            </w:r>
          </w:p>
        </w:tc>
        <w:tc>
          <w:tcPr>
            <w:tcW w:w="108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16口PoE交换机</w:t>
            </w:r>
          </w:p>
        </w:tc>
        <w:tc>
          <w:tcPr>
            <w:tcW w:w="108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信息箱</w:t>
            </w:r>
          </w:p>
        </w:tc>
        <w:tc>
          <w:tcPr>
            <w:tcW w:w="88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有线点</w:t>
            </w:r>
          </w:p>
        </w:tc>
        <w:tc>
          <w:tcPr>
            <w:tcW w:w="85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面板AP</w:t>
            </w:r>
          </w:p>
        </w:tc>
        <w:tc>
          <w:tcPr>
            <w:tcW w:w="108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放装AP</w:t>
            </w:r>
          </w:p>
        </w:tc>
        <w:tc>
          <w:tcPr>
            <w:tcW w:w="89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高密AP</w:t>
            </w:r>
          </w:p>
        </w:tc>
        <w:tc>
          <w:tcPr>
            <w:tcW w:w="1080" w:type="dxa"/>
            <w:tcBorders>
              <w:top w:val="single" w:color="000000" w:sz="4" w:space="0"/>
              <w:left w:val="single" w:color="000000" w:sz="4" w:space="0"/>
              <w:bottom w:val="single" w:color="000000" w:sz="4" w:space="0"/>
              <w:right w:val="single" w:color="000000" w:sz="4" w:space="0"/>
            </w:tcBorders>
            <w:shd w:val="clear" w:color="auto" w:fill="D9D9D9"/>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无线点</w:t>
            </w:r>
          </w:p>
        </w:tc>
        <w:tc>
          <w:tcPr>
            <w:tcW w:w="1520"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一楼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会议室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二楼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副校长室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教导处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校长室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四楼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广播室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心理咨询室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五楼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准备教室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自然教室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自然教室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gridSpan w:val="10"/>
            <w:tcBorders>
              <w:top w:val="single" w:color="000000" w:sz="4" w:space="0"/>
              <w:left w:val="single" w:color="000000" w:sz="4" w:space="0"/>
              <w:bottom w:val="single" w:color="000000" w:sz="4" w:space="0"/>
              <w:right w:val="single" w:color="000000" w:sz="4" w:space="0"/>
            </w:tcBorders>
            <w:shd w:val="clear" w:color="auto" w:fill="00B0F0"/>
            <w:noWrap/>
            <w:vAlign w:val="bottom"/>
          </w:tcPr>
          <w:p>
            <w:pPr>
              <w:keepNext w:val="0"/>
              <w:keepLines w:val="0"/>
              <w:widowControl/>
              <w:suppressLineNumbers w:val="0"/>
              <w:jc w:val="center"/>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兰园听兰楼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一楼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教室105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保健室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二楼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教室205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名师办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教室305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文科仪器室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四楼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教室405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理科仪器室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0" w:type="auto"/>
            <w:gridSpan w:val="10"/>
            <w:tcBorders>
              <w:top w:val="single" w:color="000000" w:sz="4" w:space="0"/>
              <w:left w:val="single" w:color="000000" w:sz="4" w:space="0"/>
              <w:bottom w:val="single" w:color="000000" w:sz="4" w:space="0"/>
              <w:right w:val="single" w:color="000000" w:sz="4" w:space="0"/>
            </w:tcBorders>
            <w:shd w:val="clear" w:color="auto" w:fill="00B0F0"/>
            <w:noWrap/>
            <w:vAlign w:val="bottom"/>
          </w:tcPr>
          <w:p>
            <w:pPr>
              <w:keepNext w:val="0"/>
              <w:keepLines w:val="0"/>
              <w:widowControl/>
              <w:suppressLineNumbers w:val="0"/>
              <w:jc w:val="center"/>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综合楼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一楼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合办教室200平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10人教师办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中心机房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劳模教室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二楼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语言教室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语言教室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语言备用室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计算机教室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计算机教室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辅助用房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四楼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科技活动室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美术教室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辅助用房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五楼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图书阅览室300平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gridSpan w:val="10"/>
            <w:tcBorders>
              <w:top w:val="single" w:color="000000" w:sz="4" w:space="0"/>
              <w:left w:val="single" w:color="000000" w:sz="4" w:space="0"/>
              <w:bottom w:val="single" w:color="000000" w:sz="4" w:space="0"/>
              <w:right w:val="single" w:color="000000" w:sz="4" w:space="0"/>
            </w:tcBorders>
            <w:shd w:val="clear" w:color="auto" w:fill="00B0F0"/>
            <w:noWrap/>
            <w:vAlign w:val="bottom"/>
          </w:tcPr>
          <w:p>
            <w:pPr>
              <w:keepNext w:val="0"/>
              <w:keepLines w:val="0"/>
              <w:widowControl/>
              <w:suppressLineNumbers w:val="0"/>
              <w:jc w:val="center"/>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体艺楼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一楼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食堂大厅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食堂后厨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二楼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舞蹈教室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声乐教室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准备室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器乐教室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排练室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琴房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琴房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管理用房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琴房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三楼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室内篮球场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活动室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器材室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宿舍1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宿舍2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宿舍3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宿舍4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宿舍5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宿舍6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一楼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保安室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right"/>
              <w:textAlignment w:val="bottom"/>
              <w:rPr>
                <w:rFonts w:hint="eastAsia" w:ascii="等线" w:hAnsi="等线" w:eastAsia="等线" w:cs="等线"/>
                <w:i w:val="0"/>
                <w:iCs w:val="0"/>
                <w:color w:val="auto"/>
                <w:sz w:val="22"/>
                <w:szCs w:val="22"/>
                <w:highlight w:val="none"/>
                <w:u w:val="none"/>
              </w:rPr>
            </w:pPr>
            <w:r>
              <w:rPr>
                <w:rFonts w:hint="eastAsia" w:ascii="等线" w:hAnsi="等线" w:eastAsia="等线" w:cs="等线"/>
                <w:i w:val="0"/>
                <w:iCs w:val="0"/>
                <w:color w:val="auto"/>
                <w:kern w:val="0"/>
                <w:sz w:val="22"/>
                <w:szCs w:val="22"/>
                <w:highlight w:val="none"/>
                <w:u w:val="none"/>
                <w:lang w:val="en-US" w:eastAsia="zh-CN" w:bidi="ar"/>
              </w:rPr>
              <w:t>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等线" w:hAnsi="等线" w:eastAsia="等线" w:cs="等线"/>
                <w:i w:val="0"/>
                <w:iCs w:val="0"/>
                <w:color w:val="auto"/>
                <w:sz w:val="22"/>
                <w:szCs w:val="22"/>
                <w:highlight w:val="none"/>
                <w:u w:val="none"/>
              </w:rPr>
            </w:pPr>
          </w:p>
        </w:tc>
      </w:tr>
    </w:tbl>
    <w:p>
      <w:pPr>
        <w:rPr>
          <w:rFonts w:hint="default"/>
          <w:color w:val="auto"/>
          <w:highlight w:val="none"/>
          <w:lang w:val="en-US" w:eastAsia="zh-CN"/>
        </w:rPr>
      </w:pPr>
      <w:r>
        <w:rPr>
          <w:rFonts w:hint="default"/>
          <w:color w:val="auto"/>
          <w:highlight w:val="none"/>
          <w:lang w:val="en-US" w:eastAsia="zh-CN"/>
        </w:rPr>
        <w:br w:type="page"/>
      </w:r>
    </w:p>
    <w:p>
      <w:pPr>
        <w:pStyle w:val="5"/>
        <w:numPr>
          <w:ilvl w:val="0"/>
          <w:numId w:val="1"/>
        </w:numPr>
        <w:bidi w:val="0"/>
        <w:rPr>
          <w:rFonts w:hint="eastAsia"/>
          <w:color w:val="auto"/>
          <w:highlight w:val="none"/>
        </w:rPr>
      </w:pPr>
      <w:r>
        <w:rPr>
          <w:rFonts w:hint="eastAsia"/>
          <w:color w:val="auto"/>
          <w:highlight w:val="none"/>
        </w:rPr>
        <w:t>主要产品技术指标</w:t>
      </w: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核心交换机</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kern w:val="0"/>
                <w:sz w:val="24"/>
                <w:highlight w:val="none"/>
                <w:lang w:bidi="ar"/>
              </w:rPr>
            </w:pPr>
            <w:r>
              <w:rPr>
                <w:rFonts w:hint="eastAsia" w:ascii="宋体" w:hAnsi="宋体" w:cs="宋体"/>
                <w:color w:val="auto"/>
                <w:sz w:val="24"/>
                <w:highlight w:val="none"/>
              </w:rPr>
              <w:t>核心交换机</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1、产品架构：支持双主控，≥3个业务插槽，交换容量≥38Tbps，包转发率≥35000Mpps，要求以官网较小值为准</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2、冗余特性：主控交换卡、电源、接口模块、风扇等关键部件可热插拔</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3、协议双栈：IPV6：支持RIPng、OSPFv3、BGP4+、IS-ISv6协议支持IPv6策略路由</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4、智能网管：为提升网络运维，要求支持智能图形化管理功能，能够实现通过图形化界面对全网设备进行配置下发和智能版本升级</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5、无线保障：为保障无线可靠性提升，要求支持AC功能，在交换机上实现对AP的接入控制和管理</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★6、网络保障：要求支持多虚一虚拟化技术；要求支持硬件BFD，支持BFD 3ms最小探测间隔（以上要求提供国家认可的第三方权威检测机构出具的检测报告功能结果页复印件）</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★7、安全扩展：为保障安全扩展，要求支持扩展防火墙安全插卡（要求提供国家认可的第三方权威检测机构出具的检测报告功能结果页复印件或官网截图）</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★8、接口扩展：为保障接口扩展，要求支持扩展千兆电口、千兆光口、万兆光口、40G光口、100G光口（要求提供官网链接和截图证明）</w:t>
            </w:r>
          </w:p>
          <w:p>
            <w:pPr>
              <w:widowControl/>
              <w:jc w:val="lef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9、统一运维管理：要求投标设备可由本次招标的移动运维服务中所提供的移动运维平台统一管理，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p>
            <w:pPr>
              <w:widowControl/>
              <w:jc w:val="left"/>
              <w:textAlignment w:val="center"/>
              <w:rPr>
                <w:rFonts w:ascii="宋体" w:hAnsi="宋体" w:cs="宋体"/>
                <w:b/>
                <w:bCs/>
                <w:color w:val="auto"/>
                <w:kern w:val="0"/>
                <w:sz w:val="24"/>
                <w:highlight w:val="none"/>
                <w:lang w:bidi="ar"/>
              </w:rPr>
            </w:pPr>
            <w:r>
              <w:rPr>
                <w:rFonts w:hint="eastAsia" w:ascii="宋体" w:hAnsi="宋体" w:cs="宋体"/>
                <w:color w:val="auto"/>
                <w:kern w:val="0"/>
                <w:sz w:val="24"/>
                <w:highlight w:val="none"/>
                <w:lang w:bidi="ar"/>
              </w:rPr>
              <w:t>10、配置要求：实配双主控、双电源，千兆电口≥16个，千兆光口≥16个，万兆光口≥24</w:t>
            </w:r>
            <w:r>
              <w:rPr>
                <w:rFonts w:hint="eastAsia" w:ascii="宋体" w:hAnsi="宋体" w:cs="宋体"/>
                <w:b/>
                <w:bCs/>
                <w:color w:val="auto"/>
                <w:kern w:val="0"/>
                <w:sz w:val="24"/>
                <w:highlight w:val="none"/>
                <w:lang w:bidi="ar"/>
              </w:rPr>
              <w:t>个</w:t>
            </w:r>
          </w:p>
        </w:tc>
      </w:tr>
    </w:tbl>
    <w:p>
      <w:pPr>
        <w:rPr>
          <w:color w:val="auto"/>
          <w:highlight w:val="none"/>
        </w:rPr>
      </w:pPr>
    </w:p>
    <w:p>
      <w:pPr>
        <w:rPr>
          <w:color w:val="auto"/>
          <w:highlight w:val="none"/>
        </w:rPr>
      </w:pP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全光网核心交换机</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kern w:val="0"/>
                <w:sz w:val="24"/>
                <w:highlight w:val="none"/>
                <w:lang w:bidi="ar"/>
              </w:rPr>
            </w:pPr>
            <w:r>
              <w:rPr>
                <w:rFonts w:hint="eastAsia" w:ascii="宋体" w:hAnsi="宋体" w:cs="宋体"/>
                <w:color w:val="auto"/>
                <w:kern w:val="0"/>
                <w:sz w:val="24"/>
                <w:highlight w:val="none"/>
                <w:lang w:bidi="ar"/>
              </w:rPr>
              <w:t>全光网核心交换机</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1、产品架构：支持双主控，≥3个业务插槽，交换容量≥38Tbps，包转发率≥35000Mpps，要求以官网较小值为准</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2、冗余特性：主控交换卡、电源、接口模块、风扇等关键部件可热插拔</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3、协议双栈：IPV6：支持RIPng、OSPFv3、BGP4+、IS-ISv6协议支持IPv6策略路由</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4、智能网管：为提升网络运维，要求支持智能图形化管理功能，能够实现通过图形化界面对全网设备进行配置下发和智能版本升级</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5、无线保障：为保障无线可靠性提升，要求支持AC功能，在交换机上实现对AP的接入控制和管理</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★6、网络保障：要求支持多虚一虚拟化技术；要求支持硬件BFD，支持BFD 3ms最小探测间隔（以上要求提供国家认可的第三方权威检测机构出具的检测报告功能结果页复印件）</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★7、安全扩展：为保障安全扩展，要求支持扩展防火墙安全插卡（要求提供国家认可的第三方权威检测机构出具的检测报告功能结果页复印件或官网截图）</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★8、接口扩展：为保障接口扩展，要求支持扩展千兆电口、千兆光口、万兆光口、40G光口、100G光口（要求提供官网链接和截图证明）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p>
            <w:pPr>
              <w:widowControl/>
              <w:jc w:val="left"/>
              <w:textAlignment w:val="center"/>
              <w:rPr>
                <w:rFonts w:ascii="宋体" w:hAnsi="宋体" w:cs="宋体"/>
                <w:b/>
                <w:bCs/>
                <w:color w:val="auto"/>
                <w:sz w:val="24"/>
                <w:highlight w:val="none"/>
              </w:rPr>
            </w:pPr>
            <w:r>
              <w:rPr>
                <w:rFonts w:hint="eastAsia" w:ascii="宋体" w:hAnsi="宋体" w:cs="宋体"/>
                <w:color w:val="auto"/>
                <w:sz w:val="24"/>
                <w:highlight w:val="none"/>
              </w:rPr>
              <w:t>10、配置要求：实配双主控、双电源，千兆电口≥16个，千兆光口≥16个，万兆光口≥48个</w:t>
            </w:r>
          </w:p>
        </w:tc>
      </w:tr>
    </w:tbl>
    <w:p>
      <w:pPr>
        <w:rPr>
          <w:color w:val="auto"/>
          <w:highlight w:val="none"/>
        </w:rPr>
      </w:pP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幼儿园核心</w:t>
      </w:r>
    </w:p>
    <w:tbl>
      <w:tblPr>
        <w:tblStyle w:val="62"/>
        <w:tblW w:w="10844" w:type="dxa"/>
        <w:jc w:val="center"/>
        <w:tblLayout w:type="fixed"/>
        <w:tblCellMar>
          <w:top w:w="0" w:type="dxa"/>
          <w:left w:w="108" w:type="dxa"/>
          <w:bottom w:w="0" w:type="dxa"/>
          <w:right w:w="108" w:type="dxa"/>
        </w:tblCellMar>
      </w:tblPr>
      <w:tblGrid>
        <w:gridCol w:w="844"/>
        <w:gridCol w:w="10000"/>
      </w:tblGrid>
      <w:tr>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kern w:val="0"/>
                <w:sz w:val="24"/>
                <w:highlight w:val="none"/>
                <w:lang w:bidi="ar"/>
              </w:rPr>
            </w:pPr>
            <w:r>
              <w:rPr>
                <w:rFonts w:hint="eastAsia" w:ascii="宋体" w:hAnsi="宋体" w:cs="宋体"/>
                <w:color w:val="auto"/>
                <w:kern w:val="0"/>
                <w:sz w:val="24"/>
                <w:highlight w:val="none"/>
                <w:lang w:bidi="ar"/>
              </w:rPr>
              <w:t>幼儿园核心</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1、交换容量：≥330Gbps，包转发率≥120Mpps（若官网存在双标，以较小值为准）；接口：≥24个10/100/1000Base-T自适应以太网端口，4个万兆SFP+口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2、网络防环：支持STP、RSTP、MSTP生成树协议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3、可靠性：支持虚拟化功能，实现设备堆叠、负载分担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4、VLAN：支持基于端口、协议、MAC的VLAN</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5、链路聚合：支持链路聚合</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6、节能低碳：支持端口节能或支持IEEE 802.3az标准的EEE节能技术（要求提供权威第三方检测报告结果页复印件证明）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7、安全防雷：支持10KV业务端口防雷能力，以降低设备的损坏率（要求提供官网链接和截图证明）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8、成熟度：要求提供设备入网证</w:t>
            </w:r>
          </w:p>
          <w:p>
            <w:pPr>
              <w:widowControl/>
              <w:jc w:val="left"/>
              <w:textAlignment w:val="center"/>
              <w:rPr>
                <w:rFonts w:ascii="宋体" w:hAnsi="宋体" w:cs="宋体"/>
                <w:b/>
                <w:bCs/>
                <w:color w:val="auto"/>
                <w:sz w:val="24"/>
                <w:highlight w:val="none"/>
              </w:rPr>
            </w:pPr>
            <w:r>
              <w:rPr>
                <w:rFonts w:hint="eastAsia" w:ascii="宋体" w:hAnsi="宋体" w:cs="宋体"/>
                <w:color w:val="auto"/>
                <w:sz w:val="24"/>
                <w:highlight w:val="none"/>
              </w:rPr>
              <w:t>9、</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rPr>
          <w:color w:val="auto"/>
          <w:highlight w:val="none"/>
        </w:rPr>
      </w:pP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48口POE交换机</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48口POE接入交换机</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1、交换容量：≥430Gbps，包转发率≥160Mpps（若官网存在双标，以较小值为准）；接口：≥48个10/100/1000Base-T自适应以太网端口（支持802.3at/POE+供电标准，功率≥370W），4个万兆SFP+口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2、网络防环：支持STP、RSTP、MSTP生成树协议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3、可靠性：支持虚拟化功能，实现设备堆叠、负载分担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4、VLAN：支持基于端口、协议、MAC的VLAN</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5、链路聚合：支持链路聚合</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6、节能低碳：支持端口节能或支持IEEE 802.3az标准的EEE节能技术（要求提供权威第三方检测报告结果页复印件证明）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7、安全防雷：支持10KV业务端口防雷能力，以降低设备的损坏率（要求提供官网链接和截图证明）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8、成熟度：要求提供设备入网证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rPr>
          <w:color w:val="auto"/>
          <w:highlight w:val="none"/>
        </w:rPr>
      </w:pP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24口POE交换机</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24口POE接入交换机</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1、交换容量：≥330Gbps，包转发率≥120Mpps（若官网存在双标，以较小值为准）；接口：≥24个10/100/1000Base-T自适应以太网端口（支持802.3at/POE+供电标准，功率≥370W），4个万兆SFP+口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2、网络防环：支持STP、RSTP、MSTP生成树协议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3、可靠性：支持虚拟化功能，实现设备堆叠、负载分担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4、VLAN：支持基于端口、协议、MAC的VLAN</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5、链路聚合：支持链路聚合</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6、节能低碳：支持端口节能或支持IEEE 802.3az标准的EEE节能技术（要求提供权威第三方检测报告结果页复印件证明）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7、安全防雷：支持10KV业务端口防雷能力，以降低设备的损坏率（要求提供官网链接和截图证明）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8、成熟度：要求提供设备入网证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16口POE入室交换机</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16口POE入室交换机</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1、交换容量：≥330Gbps，包转发率≥90Mpps（若官网存在双标，以较小值为准）；接口：≥16个10/100/1000Base-T自适应以太网端口（支持802.3at/POE+供电标准，功率≥125W），2个万兆SFP+口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2、网络防环：支持STP、RSTP、MSTP生成树协议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3、可靠性：支持虚拟化功能，实现设备堆叠、负载分担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4、VLAN：支持基于端口、协议、MAC的VLAN</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5、链路聚合：支持链路聚合</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6、节能低碳：支持端口节能或支持IEEE 802.3az标准的EEE节能技术（要求提供权威第三方检测报告结果页复印件证明）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7、安全防雷：支持8KV业务端口防雷能力，以降低设备的损坏率（要求提供官网链接和截图证明）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8、成熟度：要求提供设备入网证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8口POE入室交换机</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8口POE入室交换机</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1、交换容量：≥330Gbps，包转发率≥80Mpps（若官网存在双标，以较小值为准）；接口：≥8个10/100/1000Base-T自适应以太网端口（支持802.3at/POE+供电标准，功率≥125W），2个万兆SFP+口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2、网络防环：支持STP、RSTP、MSTP生成树协议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3、可靠性：支持虚拟化功能，实现设备堆叠、负载分担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4、VLAN：支持基于端口、协议、MAC的VLAN</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5、链路聚合：支持链路聚合</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6、节能低碳：支持端口节能或支持IEEE 802.3az标准的EEE节能技术（要求提供权威第三方检测报告结果页复印件证明）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7、安全防雷：支持8KV业务端口防雷能力，以降低设备的损坏率（要求提供官网链接和截图证明）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8、成熟度：要求提供设备入网证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面板AP</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室内面板型WiFi6无线AP</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1、采用整机双频4流设计，可同时工作在802.11a/b/g/n/ac/ac wave2/ax模式</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2、整机协商速率≥2.9Gbps，标准86×86形态Wi-Fi 6产品，提供官网链接和截图证明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 xml:space="preserve">接口： </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正面：≥4个下行口（≥3个10/100/1000Mbps 自协商以太网口）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背面:≥1个上行口（≥1个10/100/1000Mbps自协商以太网口）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3、无线应用调度：要求支持边缘感知功能，可精细化识别各个应用，同时能对应用流量进行分析，并对识别出的应用优先调度，从而提高用户使用体验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无线拥塞优化：要求支持双WiFi功能，在网络拥塞情况下，通过对终端发送的报文进行识别，在多业务并行处理时，可以对关键业务（如视频会议、时延敏感类游戏等）优先处理从而实现应用加速，同时对链路可靠性的提升，保证了用户使用体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高密AP</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室内高密型WiFi6无线AP</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11、采用整机三频6流设计，可同时工作在802.11a/b/g/n/ac/ac wave2/ax模式</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2、整机协商速率≥5Gbps，支持≥1个10/100/1000M电口+1个千兆光口，需支持壁挂、吸顶安装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3、无线应用调度：要求支持边缘感知功能，可精细化识别各个应用，同时能对应用流量进行分析，并对识别出的应用优先调度，从而提高用户使用体验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无线拥塞优化：要求支持双WiFi功能，在网络拥塞情况下，通过对终端发送的报文进行识别，在多业务并行处理时，可以对关键业务（如视频会议、时延敏感类游戏等）优先处理从而实现应用加速，同时对链路可靠性的提升，保证了用户使用体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rPr>
          <w:color w:val="auto"/>
          <w:highlight w:val="none"/>
        </w:rPr>
      </w:pP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室外AP</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室外型WiFi6无线AP</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1、采用整机双频4流设计，可同时工作在802.11a/b/g/n/ac/ac wave2/ax模式</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整机协商速率≥2.4Gbps，支持≥1个千兆电口+1个千兆光口设备内置高增益定向天线，也支持外置可扩展天线，实现全向天线信号覆盖或更高增益定向天线，有效解决室外等恶劣环境场景不同WLAN覆盖需求，具备IP68防水防尘等级，实配独立POE供电模块</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3、无线应用调度：要求支持边缘感知功能，可精细化识别各个应用，同时能对应用流量进行分析，并对识别出的应用优先调度，从而提高用户使用体验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无线拥塞优化：要求支持双WiFi功能，在网络拥塞情况下，通过对终端发送的报文进行识别，在多业务并行处理时，可以对关键业务（如视频会议、时延敏感类游戏等）优先处理从而实现应用加速，同时对链路可靠性的提升，保证了用户使用体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rPr>
          <w:color w:val="auto"/>
          <w:highlight w:val="none"/>
        </w:rPr>
      </w:pP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无线控制器（区教育评估与检测中心）</w:t>
      </w:r>
    </w:p>
    <w:tbl>
      <w:tblPr>
        <w:tblStyle w:val="62"/>
        <w:tblW w:w="10844" w:type="dxa"/>
        <w:jc w:val="center"/>
        <w:tblLayout w:type="fixed"/>
        <w:tblCellMar>
          <w:top w:w="0" w:type="dxa"/>
          <w:left w:w="108" w:type="dxa"/>
          <w:bottom w:w="0" w:type="dxa"/>
          <w:right w:w="108" w:type="dxa"/>
        </w:tblCellMar>
      </w:tblPr>
      <w:tblGrid>
        <w:gridCol w:w="844"/>
        <w:gridCol w:w="10000"/>
      </w:tblGrid>
      <w:tr>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无线控制器（区教育评估与检测中心）</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1、管理AP数：最大可支持≥140个AP；硬件接口：≥8个千兆电口+2个万兆光口；实配≥16个AP管理授权</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2、支持基于802.11k/802.11v/802.11r协议的智能漫游</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3、支持雷达检测SSID逃生功能：AC、AP支持SSID自主逃生，当AP射频检测到雷达信号时，会将本射频的SSID迁移到其他射频，保障关键业务正常通信</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4、支持基于空口利用率的SSID自动隐藏功能，当空口繁忙程度达到或超过配置的阈值时，SSID自动隐藏，为用户提供稳定可靠的无线服务</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5、链路检测：要求支持WLAN上行链路检测功能，实时监测上行链路的可行性，当上行链路不可达时，将射频关闭，避免终端连接到不可用的网络</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6、功率优化：在自动功率调整基础上，支持检测信号覆盖黑洞功能，并对AP功率做出修正，保证处于特殊位置的终端接收到增强的AP信号，保证体验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rPr>
          <w:color w:val="auto"/>
          <w:highlight w:val="none"/>
        </w:rPr>
      </w:pPr>
    </w:p>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48口接入交换机</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48口接入交换机</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1、交换容量：≥430Gbps，包转发率≥160Mpps（若官网存在双标，以较小值为准）；接口：≥48个10/100/1000Base-T自适应以太网端口，4个万兆SFP+口</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2、网络防环：支持STP、RSTP、MSTP生成树协议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3、可靠性：支持虚拟化功能，实现设备堆叠、负载分担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4、VLAN：支持基于端口、协议、MAC的VLAN</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5、链路聚合：支持链路聚合</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6、支持端口节能或支持IEEE 802.3az标准的EEE节能技术（要求提供权威第三方检测报告结果页复印件证明）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7、安全防雷：支持10KV业务端口防雷能力，以降低设备的损坏率（要求提供官网链接和截图证明）</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8、成熟度：要求提供设备入网证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kern w:val="0"/>
                <w:sz w:val="24"/>
                <w:highlight w:val="none"/>
                <w:lang w:bidi="ar"/>
              </w:rPr>
              <w:t>统一运维管理：要求投标设备可由本次招标的移动运维服务中所提供的移动运维平台统一管理</w:t>
            </w:r>
            <w:r>
              <w:rPr>
                <w:rFonts w:hint="eastAsia" w:ascii="宋体" w:hAnsi="宋体" w:cs="宋体"/>
                <w:color w:val="auto"/>
                <w:sz w:val="24"/>
                <w:highlight w:val="none"/>
              </w:rPr>
              <w:t>，也可由区现有网络运维平台统一管理，能够进行图形化可视管理，如显示设备的面板，在面板上能够开启和关闭网络端口，修改设备配置，显示流量等，能够被网管平台自动发现（可兼容的提供证明材料）；如无法满足兼容性，可对所有涉及到的设备及平台进行替换或改造（如网络运维平台及其所管理的设备及业务系统），替换或改造后设备所有参数均不得低于现有设备（报价清单中须列明替换清单和数量）</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移动运维服务</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移动运维服务</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kern w:val="0"/>
                <w:sz w:val="24"/>
                <w:highlight w:val="none"/>
                <w:lang w:bidi="ar"/>
              </w:rPr>
            </w:pPr>
            <w:r>
              <w:rPr>
                <w:rFonts w:hint="eastAsia" w:ascii="宋体" w:hAnsi="宋体" w:cs="宋体"/>
                <w:color w:val="auto"/>
                <w:sz w:val="24"/>
                <w:highlight w:val="none"/>
              </w:rPr>
              <w:t>移动</w:t>
            </w:r>
            <w:r>
              <w:rPr>
                <w:rFonts w:hint="eastAsia" w:ascii="宋体" w:hAnsi="宋体" w:cs="宋体"/>
                <w:color w:val="auto"/>
                <w:kern w:val="0"/>
                <w:sz w:val="24"/>
                <w:highlight w:val="none"/>
                <w:lang w:bidi="ar"/>
              </w:rPr>
              <w:t>运维服务需</w:t>
            </w:r>
            <w:r>
              <w:rPr>
                <w:rFonts w:hint="eastAsia" w:ascii="宋体" w:hAnsi="宋体" w:cs="宋体"/>
                <w:color w:val="auto"/>
                <w:sz w:val="24"/>
                <w:highlight w:val="none"/>
              </w:rPr>
              <w:t>提供无版权纠份</w:t>
            </w:r>
            <w:r>
              <w:rPr>
                <w:rFonts w:hint="eastAsia" w:ascii="宋体" w:hAnsi="宋体" w:cs="宋体"/>
                <w:color w:val="auto"/>
                <w:kern w:val="0"/>
                <w:sz w:val="24"/>
                <w:highlight w:val="none"/>
                <w:lang w:bidi="ar"/>
              </w:rPr>
              <w:t>的成熟移动运维平台（安装地点由甲方指定），实现如下功能：</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设备管理：可以通过管理平台自行开户，实现设备自动上线；支持分级分权多租户精细化运维管理；可实现对核心交换机、服务器接入交换机、全光汇聚交换机、万兆上行接入交换机、万兆上行PoE接入交换机、无线控制器、无线AP的统一管理，实现网络配置、网络规划、增加设备的操作（提供证明材料）</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2、认证类型：认证方式支持固定账号认证、portal认证、短信认证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3、信息统计：支持终端用户认证类型人数统计，支持终端操作系统识别，支持显示在网终端系统类型统计，支持终端驻留时间统计</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第三方应用支持：支持第三方应用扩展（数据调用不受被调用端数目限制，也不受被调用端下联设备数目限制），并免费开放对接接口，对第三方平台数据调用响应至少应包含：AC身份信息及工作状态、带宽状况、系统综合健康度、AP在线率、AP关联终端数、区域内无线用户分布情况、AP告警指标信息等</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5、质量监测：支持空口资源、负载测量，提供无线优化参考数据；支持指定部分无线终端为关键终端，并针对关键终端的运行质量进行监控</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6、通知告警：支持 AP下线，软件升级失败等告警，并支持短信通知或微信通知；对关键链路的实时状态具备智能检测功能，若状态发生变化，能够智能快速的定位故障点，并支持以多种告警形式通知管理员，以便使网络尽快恢复正常；支持定期收集用户设备的IP、MAC映射表，当映射表发现异常时作为事件及时通知管理员</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7、地图导入：支持JPG、PNG、GIF格式平面图导入，支持基于平面图设置AP位置并能显示AP坐标</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8、移动运维：为减轻运维压力，需实配移动运维平台，实现远程监控平台</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9、一键式运维：提供一键式网络状态监测，直观地显示当前网络状态的健康度；支持一键式自动化运维，当网络出现故障时，可直接导出运维问题结论，并作出基本参数的调整对无线网络进行优化</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10、设备版本管理配置：支持设备版本在线推送，客户自行选择升级或按预约时间进行升级；支持平台对设备进行命令行配置，平台、设备新增特性即时通知</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11、运维日志：支持运维日志记录，并要求日志可回溯时间在3个月之内</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12、认证页面定制：支持认证页面可制定：可实现portal页面灵活定制和页面推送策略制定</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13、非法AP检测：为提高无线安全性，支持检测私接代理和非法AP</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14、无线信道显示：为保证无线体验度、无线空口资源利用最大化，支持无线信道扫描直接显示</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15、用户行为分析：为保证无线用户数据的回溯，要求实现用户数据精准分析DPI功能；实现设备管控和用户统一身份认证系统；访问量统计，可以计算独立访客数，页面访问量等</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★16、配置要求：本次要求配置同时并发在线用户许可≥1000人；管理交换机和AP数量不低于此次招标数量，以上功能全部要求实际配置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17、部署模式：本系统实现既可以是云端（基于公网）模式，也可以由本地硬件搭建实现。无论以何种模式实现，以上功能实现的所有费用已经包含在本项报价中，即：如果以云端模式实现，则需要定制分支独立平台页面，无需增加任何硬件，且必须承诺云端服务终身免费；如果以由本地模式搭建实现，则确保每个分支的软硬件设备正常使用，费用不额外增加</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★18、统一运维要求：移动运维平台可统一管理本次网络交换设备和无线网络设备，能够进行图形化可视管理，如显示设备的面板，在面板上能够开启和关闭网络端口，修改设备配置，显示流量等</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故障维护服务</w:t>
      </w:r>
    </w:p>
    <w:tbl>
      <w:tblPr>
        <w:tblStyle w:val="62"/>
        <w:tblW w:w="10844" w:type="dxa"/>
        <w:jc w:val="center"/>
        <w:tblLayout w:type="fixed"/>
        <w:tblCellMar>
          <w:top w:w="0" w:type="dxa"/>
          <w:left w:w="108" w:type="dxa"/>
          <w:bottom w:w="0" w:type="dxa"/>
          <w:right w:w="108" w:type="dxa"/>
        </w:tblCellMar>
      </w:tblPr>
      <w:tblGrid>
        <w:gridCol w:w="844"/>
        <w:gridCol w:w="10000"/>
      </w:tblGrid>
      <w:tr>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故障维护服务</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8"/>
                <w:szCs w:val="28"/>
                <w:highlight w:val="none"/>
              </w:rPr>
              <w:t>故障维护服务要求提供无版权纠份的成熟故障维护服务软件，实现如下功能：</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1、设备管理界面操作：至少包括日常管理的设备、局点、客户信息等栏目，仅需点击鼠标操作，即可实现创建、排列、管理等功能（提供相关功能界面截图）</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2、技术公告扫描：只需选择要排查的相关设备（要求支持批量选择），仅需点击鼠标操作，将当前的设备型号、版本与网络设备厂商公告库中的公告逐一对比检索，自动呈现出符合条件的相关技术公告预警</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3、安全配置审查：仅需点击鼠标操作，安全配置检查即可批量检查设备配置是否符合相关安全规范要求，给出预警及配置优化建议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诊断信息分析：仅需点击鼠标操作，即可自动收集网络设备诊断信息并进行全面的分析，以总结报告形式呈现分析结果；诊断信息分析功能要求支持中低端交换机、高端交换机、中低端路由器、安全、无线控制器等主流设备</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实时日志接收：仅需点击鼠标操作，一键启动，即可自动实现日志相关功能，如实时日志接收、日志文件下载、配置备份、配置上传、配置对比、版本上传、设备重启等；例如，在实时日志接收功能模块，启动实时日志接收功能后，将指定设备的loghost源IP为软件管理地址，并在设备上自动添加loghost主机、本地IP地址端口、Port端口号等；停止实时日志接收功能时，将自动删除此主机</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6、日志文件下载：日志文件下载功能要求实现一键下载设备上的相关日志文件，同时在下载前可对需要下载的日志文件进行选择和配置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7、版本升级：支持自动上传设备相关版本文件，支持对版本升级做相关的配置操作，如设置启动版本文件、删除当前运用软件版本等</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8、控制台：控制台提供多种设备连接方式（SSH、Telnet、COM）；</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无线管理对接定制集成</w:t>
      </w:r>
    </w:p>
    <w:tbl>
      <w:tblPr>
        <w:tblStyle w:val="62"/>
        <w:tblW w:w="10844" w:type="dxa"/>
        <w:jc w:val="center"/>
        <w:tblLayout w:type="fixed"/>
        <w:tblCellMar>
          <w:top w:w="0" w:type="dxa"/>
          <w:left w:w="108" w:type="dxa"/>
          <w:bottom w:w="0" w:type="dxa"/>
          <w:right w:w="108" w:type="dxa"/>
        </w:tblCellMar>
      </w:tblPr>
      <w:tblGrid>
        <w:gridCol w:w="844"/>
        <w:gridCol w:w="10000"/>
      </w:tblGrid>
      <w:tr>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无线管理对接定制集成</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说明：上城区教育发展服务中心目前已有三个品牌实现冗余定制对接集成（思科、H3C、锐捷），均已实现通过上城区教育OA和区教育钉钉实现用户统一认证（后期将全部转成区教育钉钉认证），上城区目前正在使用的区教育钉钉认证策略是一个涉及用户身份验证、权限分配和安全性管理的综合体系。</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要求定制实现所有用户均可实现跨校区及校内无感知漫游，并满足全区1万以上用户帐号并发的同时认证要求。定制对接要求为实现在区中心统一管理本次投标的所有AP产品及各校区内无线AP统一管理，并实现上城区教育OA和区教育钉钉实现用户统一认证，并配套全区1万以上用户帐号并发的同时认证。我们需确保本次投标产品能够无缝对接现有系统，同时提升认证效率和安全性。</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要求所投产品为独立的或定制开发的软、硬件，且无版权纠纷，定制产品必须实现冗余备份交付，实现在区中心统一管理本次投标的所有AP产品，实现对本次所涉及校区内所有无线AP统一管理，实现涉及校区内整体不少于1万终端帐号并发同时认证使用；</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2.可实现通过图形化界面直观展示无线用户的用户体验值，并统计平均的时延、丢包率、上行速率、下行速率；</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3.需实现通过图表的方式直观展示2.4/5G用户数情况，用户上下行流量关系情况，在线终端的射频分布情况，无线信号终端占比；</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4.需实现同一校区全部AP统一管理、运维、策略配置与下发功能；</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要求实现多个无线ID上网，多种认证，外来人员，与区内教师采用相同的认证体系上网（区教育钉钉及上城教育OA)，实现与上城区教育无线城域网统一身份认证，实现上城区教育系统内老师在各校区无感知认证登录使用无线网络。要求提供对接方案，明确对接时间，对接技术方法，与对接保障方式。</w:t>
            </w:r>
          </w:p>
        </w:tc>
      </w:tr>
    </w:tbl>
    <w:p>
      <w:pPr>
        <w:pStyle w:val="6"/>
        <w:numPr>
          <w:ilvl w:val="0"/>
          <w:numId w:val="6"/>
        </w:numPr>
        <w:spacing w:line="240" w:lineRule="auto"/>
        <w:rPr>
          <w:rFonts w:ascii="宋体" w:hAnsi="宋体" w:cs="宋体"/>
          <w:color w:val="auto"/>
          <w:sz w:val="28"/>
          <w:szCs w:val="28"/>
          <w:highlight w:val="none"/>
        </w:rPr>
      </w:pPr>
      <w:r>
        <w:rPr>
          <w:rFonts w:hint="eastAsia" w:ascii="宋体" w:hAnsi="宋体" w:cs="宋体"/>
          <w:color w:val="auto"/>
          <w:sz w:val="28"/>
          <w:szCs w:val="28"/>
          <w:highlight w:val="none"/>
        </w:rPr>
        <w:t>全网IPV6配置及区统一出口配置服务</w:t>
      </w:r>
    </w:p>
    <w:tbl>
      <w:tblPr>
        <w:tblStyle w:val="62"/>
        <w:tblW w:w="10844" w:type="dxa"/>
        <w:jc w:val="center"/>
        <w:tblLayout w:type="fixed"/>
        <w:tblCellMar>
          <w:top w:w="0" w:type="dxa"/>
          <w:left w:w="108" w:type="dxa"/>
          <w:bottom w:w="0" w:type="dxa"/>
          <w:right w:w="108" w:type="dxa"/>
        </w:tblCellMar>
      </w:tblPr>
      <w:tblGrid>
        <w:gridCol w:w="844"/>
        <w:gridCol w:w="10000"/>
      </w:tblGrid>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kern w:val="0"/>
                <w:sz w:val="24"/>
                <w:highlight w:val="none"/>
                <w:lang w:bidi="ar"/>
              </w:rPr>
              <w:t>设备名称</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b/>
                <w:bCs/>
                <w:color w:val="auto"/>
                <w:sz w:val="24"/>
                <w:highlight w:val="none"/>
              </w:rPr>
            </w:pPr>
            <w:r>
              <w:rPr>
                <w:rFonts w:hint="eastAsia" w:ascii="宋体" w:hAnsi="宋体" w:cs="宋体"/>
                <w:b/>
                <w:bCs/>
                <w:color w:val="auto"/>
                <w:sz w:val="24"/>
                <w:highlight w:val="none"/>
              </w:rPr>
              <w:t>配置与技术要求</w:t>
            </w:r>
          </w:p>
        </w:tc>
      </w:tr>
      <w:tr>
        <w:tblPrEx>
          <w:tblCellMar>
            <w:top w:w="0" w:type="dxa"/>
            <w:left w:w="108" w:type="dxa"/>
            <w:bottom w:w="0" w:type="dxa"/>
            <w:right w:w="108" w:type="dxa"/>
          </w:tblCellMar>
        </w:tblPrEx>
        <w:trPr>
          <w:trHeight w:val="499" w:hRule="atLeast"/>
          <w:jc w:val="center"/>
        </w:trPr>
        <w:tc>
          <w:tcPr>
            <w:tcW w:w="84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全网IPV6配置及区统一出口配置服务</w:t>
            </w:r>
          </w:p>
        </w:tc>
        <w:tc>
          <w:tcPr>
            <w:tcW w:w="10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1.规划与设计：</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制定详细的IPv6网络改造计划，包括时间表、目标、预期效果等；</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分析现有网络架构和业务需求，确定IPv6的部署方式和范围；</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设计IPv6地址规划方案，确保地址的合理分配和管理；</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2.地址配置：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根据地址规划方案，为网络设备和终端分配IPv6地址；</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确保地址的自动配置或手动配置正确无误；</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3.路由配置：</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配置IPv6路由，确保IPv6数据包能够正确转发和传输；</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配置双栈（IPv4/IPv6）或纯IPv6路由，以满足不同的业务需求；</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4.网络管理系统改造：</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改造网络管理系统，增加对IPv6的支持和监控功能；</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确保管理员能够实时了解IPv6网络的运行状态和性能；</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5.安全防护：</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升级或配置网络安全设备（如防火墙、入侵检测系统等），以支持IPv6网络的安全防护；</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制定IPv6网络的安全策略和管理规范；</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6.测试与验证：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在改造完成后，进行IPv6网络的测试和验证工作；</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测试网络连通性、性能、安全性等方面，确保IPv6网络的稳定运行；</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7.培训与支持：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对网络管理员和用户提供IPv6相关的培训和支持；</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确保他们了解IPv6网络的特点、配置和管理方法；</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8.持续监控与优化：</w:t>
            </w:r>
          </w:p>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在IPv6网络投入运行后，进行持续的监控和优化工作；</w:t>
            </w:r>
          </w:p>
          <w:p>
            <w:pPr>
              <w:widowControl/>
              <w:jc w:val="left"/>
              <w:textAlignment w:val="center"/>
              <w:rPr>
                <w:rFonts w:hint="eastAsia" w:ascii="宋体" w:hAnsi="宋体" w:cs="宋体"/>
                <w:color w:val="auto"/>
                <w:sz w:val="24"/>
                <w:highlight w:val="none"/>
              </w:rPr>
            </w:pPr>
            <w:r>
              <w:rPr>
                <w:rFonts w:hint="eastAsia" w:ascii="宋体" w:hAnsi="宋体" w:cs="宋体"/>
                <w:color w:val="auto"/>
                <w:sz w:val="24"/>
                <w:highlight w:val="none"/>
              </w:rPr>
              <w:t>根据实际运行情况和业务需求，对IPv6网络进行调整和优化</w:t>
            </w:r>
            <w:r>
              <w:rPr>
                <w:rFonts w:hint="eastAsia" w:ascii="宋体" w:hAnsi="宋体" w:cs="宋体"/>
                <w:color w:val="auto"/>
                <w:sz w:val="24"/>
                <w:highlight w:val="none"/>
                <w:lang w:eastAsia="zh-CN"/>
              </w:rPr>
              <w:t>。</w:t>
            </w:r>
          </w:p>
          <w:p>
            <w:pPr>
              <w:pStyle w:val="5"/>
              <w:rPr>
                <w:rFonts w:hint="eastAsia" w:ascii="黑体" w:hAnsi="黑体" w:eastAsia="黑体" w:cs="黑体"/>
                <w:b w:val="0"/>
                <w:bCs w:val="0"/>
                <w:color w:val="auto"/>
                <w:highlight w:val="none"/>
                <w:lang w:val="en-US" w:eastAsia="zh-CN"/>
              </w:rPr>
            </w:pPr>
            <w:r>
              <w:rPr>
                <w:rFonts w:hint="eastAsia" w:ascii="黑体" w:hAnsi="黑体" w:eastAsia="黑体" w:cs="黑体"/>
                <w:b w:val="0"/>
                <w:bCs w:val="0"/>
                <w:color w:val="auto"/>
                <w:highlight w:val="none"/>
                <w:lang w:val="en-US" w:eastAsia="zh-CN"/>
              </w:rPr>
              <w:t>特别说明：</w:t>
            </w:r>
          </w:p>
          <w:p>
            <w:pPr>
              <w:pStyle w:val="5"/>
              <w:numPr>
                <w:ilvl w:val="0"/>
                <w:numId w:val="7"/>
              </w:numPr>
              <w:rPr>
                <w:rFonts w:hint="eastAsia" w:ascii="黑体" w:hAnsi="黑体" w:eastAsia="黑体" w:cs="黑体"/>
                <w:b w:val="0"/>
                <w:bCs w:val="0"/>
                <w:color w:val="auto"/>
                <w:kern w:val="2"/>
                <w:sz w:val="21"/>
                <w:szCs w:val="24"/>
                <w:highlight w:val="none"/>
                <w:lang w:val="en-US" w:eastAsia="zh-CN" w:bidi="ar-SA"/>
              </w:rPr>
            </w:pPr>
            <w:r>
              <w:rPr>
                <w:rFonts w:hint="eastAsia" w:ascii="黑体" w:hAnsi="黑体" w:eastAsia="黑体" w:cs="黑体"/>
                <w:b w:val="0"/>
                <w:bCs w:val="0"/>
                <w:color w:val="auto"/>
                <w:kern w:val="2"/>
                <w:sz w:val="21"/>
                <w:szCs w:val="24"/>
                <w:highlight w:val="none"/>
                <w:lang w:val="en-US" w:eastAsia="zh-CN" w:bidi="ar-SA"/>
              </w:rPr>
              <w:t>IPV6配置必须在2024年9月20前完工，并符合省、市、区教育系统的IPV6规范要求；</w:t>
            </w:r>
          </w:p>
          <w:p>
            <w:pPr>
              <w:pStyle w:val="2"/>
              <w:rPr>
                <w:color w:val="auto"/>
                <w:highlight w:val="none"/>
              </w:rPr>
            </w:pPr>
            <w:r>
              <w:rPr>
                <w:rFonts w:hint="eastAsia" w:ascii="黑体" w:hAnsi="黑体" w:eastAsia="黑体" w:cs="黑体"/>
                <w:b w:val="0"/>
                <w:bCs w:val="0"/>
                <w:color w:val="auto"/>
                <w:highlight w:val="none"/>
                <w:lang w:val="en-US" w:eastAsia="zh-CN"/>
              </w:rPr>
              <w:t>配置范围除本次招标涉及学校、机构外还包括上城区教育局下属所有学校及机构。</w:t>
            </w:r>
          </w:p>
        </w:tc>
      </w:tr>
    </w:tbl>
    <w:p>
      <w:pPr>
        <w:rPr>
          <w:color w:val="auto"/>
          <w:highlight w:val="none"/>
        </w:rPr>
      </w:pPr>
      <w:r>
        <w:rPr>
          <w:rFonts w:hint="eastAsia"/>
          <w:color w:val="auto"/>
          <w:highlight w:val="none"/>
        </w:rPr>
        <w:br w:type="page"/>
      </w:r>
    </w:p>
    <w:p>
      <w:pPr>
        <w:pStyle w:val="5"/>
        <w:numPr>
          <w:ilvl w:val="0"/>
          <w:numId w:val="1"/>
        </w:numPr>
        <w:bidi w:val="0"/>
        <w:rPr>
          <w:rFonts w:hint="eastAsia"/>
          <w:color w:val="auto"/>
          <w:highlight w:val="none"/>
        </w:rPr>
      </w:pPr>
      <w:r>
        <w:rPr>
          <w:rFonts w:hint="eastAsia"/>
          <w:color w:val="auto"/>
          <w:highlight w:val="none"/>
        </w:rPr>
        <w:t>其他要求</w:t>
      </w:r>
      <w:r>
        <w:rPr>
          <w:rFonts w:hint="eastAsia"/>
          <w:color w:val="auto"/>
          <w:highlight w:val="none"/>
          <w:lang w:val="en-US"/>
        </w:rPr>
        <w:t>与说明</w:t>
      </w:r>
    </w:p>
    <w:p>
      <w:pPr>
        <w:pStyle w:val="6"/>
        <w:numPr>
          <w:ilvl w:val="0"/>
          <w:numId w:val="8"/>
        </w:numPr>
        <w:spacing w:line="24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合同签订：</w:t>
      </w:r>
    </w:p>
    <w:p>
      <w:pPr>
        <w:spacing w:line="400" w:lineRule="atLeast"/>
        <w:ind w:right="62" w:firstLine="480" w:firstLineChars="200"/>
        <w:rPr>
          <w:rFonts w:ascii="仿宋" w:hAnsi="仿宋" w:eastAsia="仿宋" w:cs="仿宋"/>
          <w:color w:val="auto"/>
          <w:sz w:val="24"/>
          <w:highlight w:val="none"/>
        </w:rPr>
      </w:pPr>
      <w:r>
        <w:rPr>
          <w:rFonts w:hint="eastAsia" w:ascii="方正仿宋_GB2312" w:hAnsi="方正仿宋_GB2312" w:eastAsia="方正仿宋_GB2312" w:cs="方正仿宋_GB2312"/>
          <w:snapToGrid/>
          <w:color w:val="auto"/>
          <w:kern w:val="0"/>
          <w:sz w:val="24"/>
          <w:szCs w:val="24"/>
          <w:highlight w:val="none"/>
          <w:lang w:val="en-US" w:eastAsia="zh-CN" w:bidi="ar-SA"/>
        </w:rPr>
        <w:t>中标单位须在中标公示结束无异议后凭中标通知书本项目需要和杭州市上城区教育发展服务中心签订总合同，然后与所有涉及学校分别签订明细合同（明细合同在用户方和中标人盖章完成后到教发中心盖见证章再分别由教发中心、学校各自备案），供货范围为本标项采购范围。</w:t>
      </w:r>
    </w:p>
    <w:p>
      <w:pPr>
        <w:pStyle w:val="6"/>
        <w:numPr>
          <w:ilvl w:val="0"/>
          <w:numId w:val="8"/>
        </w:numPr>
        <w:spacing w:line="24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工期要求：</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2024年8月20日前完成整体交付并调试完成，进入试运行期，试运行期不少于一个月。</w:t>
      </w:r>
    </w:p>
    <w:p>
      <w:pPr>
        <w:pStyle w:val="5"/>
        <w:rPr>
          <w:rFonts w:hint="eastAsia"/>
          <w:color w:val="auto"/>
          <w:highlight w:val="none"/>
          <w:lang w:val="en-US" w:eastAsia="zh-CN"/>
        </w:rPr>
      </w:pPr>
      <w:r>
        <w:rPr>
          <w:rFonts w:hint="eastAsia" w:ascii="黑体" w:hAnsi="黑体" w:eastAsia="黑体" w:cs="黑体"/>
          <w:b w:val="0"/>
          <w:bCs w:val="0"/>
          <w:color w:val="auto"/>
          <w:kern w:val="2"/>
          <w:sz w:val="24"/>
          <w:szCs w:val="24"/>
          <w:highlight w:val="none"/>
          <w:lang w:val="en-US" w:eastAsia="zh-CN" w:bidi="ar-SA"/>
        </w:rPr>
        <w:t>特别说明：全网IPV6配置必须在2024年9月20前完工，并符合省、市、区教育系统的IPV6规范要求。</w:t>
      </w:r>
    </w:p>
    <w:p>
      <w:pPr>
        <w:pStyle w:val="6"/>
        <w:numPr>
          <w:ilvl w:val="0"/>
          <w:numId w:val="8"/>
        </w:numPr>
        <w:spacing w:line="24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供货、安装、调试</w:t>
      </w:r>
      <w:r>
        <w:rPr>
          <w:rFonts w:hint="eastAsia" w:ascii="宋体" w:hAnsi="宋体" w:cs="宋体"/>
          <w:color w:val="auto"/>
          <w:sz w:val="28"/>
          <w:szCs w:val="28"/>
          <w:highlight w:val="none"/>
          <w:lang w:eastAsia="zh-CN"/>
        </w:rPr>
        <w:t>、</w:t>
      </w:r>
      <w:r>
        <w:rPr>
          <w:rFonts w:hint="eastAsia" w:ascii="宋体" w:hAnsi="宋体" w:cs="宋体"/>
          <w:color w:val="auto"/>
          <w:sz w:val="28"/>
          <w:szCs w:val="28"/>
          <w:highlight w:val="none"/>
          <w:lang w:val="en-US" w:eastAsia="zh-CN"/>
        </w:rPr>
        <w:t>培训</w:t>
      </w:r>
      <w:r>
        <w:rPr>
          <w:rFonts w:hint="eastAsia" w:ascii="宋体" w:hAnsi="宋体" w:cs="宋体"/>
          <w:color w:val="auto"/>
          <w:sz w:val="28"/>
          <w:szCs w:val="28"/>
          <w:highlight w:val="none"/>
        </w:rPr>
        <w:t>要求：</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1.交货地点：指定地点</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2.中标单位先派有经验的技术人员对安装现场进行实地勘察，对各种设备采购、制造、运输（到现场安装）、安装、工期、安全、文明施工进行总承包，一切费用均由中标单位负责。</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3.安装、调试：</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①中标单位人员应在合同规定的安装期内完成该项工作，所有因安装延期而产生的费用及使用方所受的损失均由投标方承担。</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②中标单位人员在采购人进行安装期间，费用由中标单位负责。</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③设备在安装时不得损坏墙体、门窗等，如有损坏要予以赔偿。</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4.中标单位不得以任何形式将本工程转包或分包给其他单位，否则采购人有权终止合同，所发生的一切损失均由中标单位承担。</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5.中标单位必须保证所有货物是未经使用、全新的。</w:t>
      </w:r>
    </w:p>
    <w:p>
      <w:pPr>
        <w:spacing w:line="400" w:lineRule="atLeast"/>
        <w:ind w:right="62" w:firstLine="480"/>
        <w:rPr>
          <w:rFonts w:hint="eastAsia" w:ascii="方正仿宋_GB2312" w:hAnsi="方正仿宋_GB2312" w:eastAsia="方正仿宋_GB2312" w:cs="方正仿宋_GB2312"/>
          <w:color w:val="auto"/>
          <w:kern w:val="0"/>
          <w:sz w:val="24"/>
          <w:highlight w:val="none"/>
          <w:lang w:val="en-US" w:eastAsia="zh-CN"/>
        </w:rPr>
      </w:pPr>
      <w:r>
        <w:rPr>
          <w:rFonts w:hint="eastAsia" w:ascii="方正仿宋_GB2312" w:hAnsi="方正仿宋_GB2312" w:eastAsia="方正仿宋_GB2312" w:cs="方正仿宋_GB2312"/>
          <w:color w:val="auto"/>
          <w:kern w:val="0"/>
          <w:sz w:val="24"/>
          <w:highlight w:val="none"/>
          <w:lang w:val="en-US" w:eastAsia="zh-CN"/>
        </w:rPr>
        <w:t>6.中标单位提供不少于2次的集中培训,每用户提供不少于一次的现场培训。</w:t>
      </w:r>
    </w:p>
    <w:p>
      <w:pPr>
        <w:pStyle w:val="6"/>
        <w:numPr>
          <w:ilvl w:val="0"/>
          <w:numId w:val="8"/>
        </w:numPr>
        <w:spacing w:line="24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售后服务要求：</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1.质保期要求：产品验收合格使用之日起，整体保修不少于三年，线路质保期不少于十五年。质保期内的维修费用（包括材料）全部由中标单位负责，因人为因素出现的故障不在免费保修范围内。超过质保期的，修时只收部件成本费。</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2.中标单位必须对所供设备实行终身维修，中标单位在接到电话后2小时内响应，8小时内到达现场解决问题，最迟在2个工作日内修复，如不能修复应采取补救措施，以保证使用方的正常工作，中标单位有其它服务承诺的，一并履行。在质保期内中标单位不得以任何理由影响正常使用。</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▲3.中标单位按采购单位实际需求，提供利旧集成与整体交付服务，费用包含在本次报价中。</w:t>
      </w:r>
    </w:p>
    <w:p>
      <w:pPr>
        <w:pStyle w:val="6"/>
        <w:numPr>
          <w:ilvl w:val="0"/>
          <w:numId w:val="8"/>
        </w:numPr>
        <w:spacing w:line="24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验收：</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1.根据《杭州市政府采购履约验收暂行办法》（杭财采监〔2019〕10号）有关规定，本项目采取先学校验收再区级验收的验收方式。学校验收时，乙方和学校必须同时在场，双方共同确认货物与本合同规定的生产厂家产地、品牌、规格型号、数量、质量、技术参数和性能等是否一致。乙方所交付的货物不符合合同规定的，学校有权拒收。乙方应及时按本合同规定和学校要求免费对拒收货物采取更换或其他必要的补救措施，直至验收合格，验收合格后，由双方共同签署《验收报告》。学校验收合格后，再由甲方组织区验收专家组进行项目整体验收，在验收之前，乙方需提前提交相应的调试计划（包括调试程序、环境、内容和检验标准、调试时间安排等）供甲方确认，乙方还应对所有检验验收调试的结果、步骤、原始数据等作妥善记录。如甲方要求，乙方应将记录提供给甲方。</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2.检验验收依据。</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 xml:space="preserve"> 验收标准将以招标文件要求及中标人应标文件承诺做为依据，投标人有责任检查安装现场是否符合产品安装、施工条件，事先提出对安装的环境的要求，同时若学校同期有装修、改造等与本项目相关工程须由投标人做好配合工作，若须其它工程施工方配合须由投标人承担相关配合费用。</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本项目涉及的设备由投标人负责测试、安装、调试和有关配置工作，投标人应提供详细的具有时效性的测试、安装、调试方案，经用户确认后，作为设备验收的标准，投标人应按上述方案完成测试、安装、调试和有关配置工作。</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投标人需保证设备均为制造商原产原装产品，保证所提供货物是全新的、未使用过的，并完全符合合同规定的质量、规格和性能的要求。货物到达用户指定的现场后，由投标人与用户共核对装箱单，共同开箱（若有争议，请质检机构检验确定），依照合同的货物清单清点，并进行签字确认。</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投标人承诺本次提供的所有设备满足标书要求，对标书中的变更修改内容以本合同的设备配置附件为准。投标人承诺所有的设备满足技术完整性要求。如有线缆、附件等遗漏，影响设备安装和运行，由投标人承担并负责解决。</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3.供货完成后，学校先行试用。初验完成后，组织终验，最终验收不合格，中标单位整改，由此所产生的所有损失由中标单位承担。若无法整改或整改验收仍不合格，中标单位在不影响学校教学的前提下收回所有货物，并清退所有货款。</w:t>
      </w:r>
    </w:p>
    <w:p>
      <w:pPr>
        <w:pStyle w:val="6"/>
        <w:numPr>
          <w:ilvl w:val="0"/>
          <w:numId w:val="8"/>
        </w:numPr>
        <w:spacing w:line="24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 xml:space="preserve"> 保证金及货款支付：</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1.中标单位在与采购人签订《2024年杭州市上城区教育系统网络改造项目》生效后及时支付合同金额1%的履约保证金（保函），验收合格后予以无息退还。</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snapToGrid/>
          <w:color w:val="auto"/>
          <w:kern w:val="0"/>
          <w:sz w:val="24"/>
          <w:szCs w:val="24"/>
          <w:highlight w:val="none"/>
          <w:lang w:val="en-US" w:eastAsia="zh-CN" w:bidi="ar-SA"/>
        </w:rPr>
        <w:t>2.《2024年杭州市上城区教育系统网络改造项目》签订生效并收到履约保证金后，采购人及时向中标单位支付合同金额40％的预付款；项目整体验收合格后，采购人支付剩余货款。在签订合同时，供应商明确表示无需预付款或者主动要求降低预付款比例的，采购单位可不适用前述规定。</w:t>
      </w:r>
    </w:p>
    <w:p>
      <w:pPr>
        <w:pStyle w:val="6"/>
        <w:numPr>
          <w:ilvl w:val="0"/>
          <w:numId w:val="8"/>
        </w:numPr>
        <w:spacing w:line="24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采购人认为必须说明的其他内容：</w:t>
      </w:r>
    </w:p>
    <w:p>
      <w:pPr>
        <w:spacing w:line="400" w:lineRule="atLeast"/>
        <w:ind w:right="62" w:firstLine="482"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r>
        <w:rPr>
          <w:rFonts w:hint="eastAsia" w:ascii="方正仿宋_GB2312" w:hAnsi="方正仿宋_GB2312" w:eastAsia="方正仿宋_GB2312" w:cs="方正仿宋_GB2312"/>
          <w:b/>
          <w:bCs/>
          <w:snapToGrid/>
          <w:color w:val="auto"/>
          <w:kern w:val="0"/>
          <w:sz w:val="24"/>
          <w:szCs w:val="24"/>
          <w:highlight w:val="none"/>
          <w:lang w:val="en-US" w:eastAsia="zh-CN" w:bidi="ar-SA"/>
        </w:rPr>
        <w:t>带“▲”条款为实质性条款，投标人须将相应内容填写至《符合性审查资料》，如有任意一条未响应或不满足，将被视为投标无效。</w:t>
      </w:r>
    </w:p>
    <w:p>
      <w:pPr>
        <w:spacing w:line="400" w:lineRule="atLeast"/>
        <w:ind w:right="62" w:firstLine="480" w:firstLineChars="200"/>
        <w:rPr>
          <w:rFonts w:hint="eastAsia" w:ascii="方正仿宋_GB2312" w:hAnsi="方正仿宋_GB2312" w:eastAsia="方正仿宋_GB2312" w:cs="方正仿宋_GB2312"/>
          <w:snapToGrid/>
          <w:color w:val="auto"/>
          <w:kern w:val="0"/>
          <w:sz w:val="24"/>
          <w:szCs w:val="24"/>
          <w:highlight w:val="none"/>
          <w:lang w:val="en-US" w:eastAsia="zh-CN" w:bidi="ar-SA"/>
        </w:rPr>
      </w:pPr>
    </w:p>
    <w:p>
      <w:pPr>
        <w:rPr>
          <w:color w:val="auto"/>
          <w:highlight w:val="none"/>
        </w:rPr>
      </w:pPr>
    </w:p>
    <w:p>
      <w:pPr>
        <w:rPr>
          <w:color w:val="auto"/>
          <w:highlight w:val="none"/>
        </w:rPr>
      </w:pPr>
    </w:p>
    <w:p>
      <w:pPr>
        <w:spacing w:beforeLines="0" w:afterLines="0" w:line="360" w:lineRule="auto"/>
        <w:ind w:firstLine="181" w:firstLineChars="50"/>
        <w:rPr>
          <w:rFonts w:hint="default" w:ascii="宋体" w:hAnsi="宋体" w:cs="宋体"/>
          <w:b/>
          <w:color w:val="auto"/>
          <w:sz w:val="36"/>
          <w:szCs w:val="36"/>
          <w:highlight w:val="none"/>
        </w:rPr>
      </w:pPr>
    </w:p>
    <w:p>
      <w:pPr>
        <w:pStyle w:val="2"/>
        <w:ind w:firstLine="420"/>
        <w:rPr>
          <w:color w:val="auto"/>
          <w:highlight w:val="none"/>
        </w:rPr>
      </w:pPr>
    </w:p>
    <w:p>
      <w:pPr>
        <w:pStyle w:val="79"/>
        <w:numPr>
          <w:ilvl w:val="0"/>
          <w:numId w:val="0"/>
        </w:numPr>
        <w:rPr>
          <w:color w:val="auto"/>
          <w:highlight w:val="none"/>
        </w:rPr>
      </w:pPr>
    </w:p>
    <w:p>
      <w:pPr>
        <w:rPr>
          <w:color w:val="auto"/>
          <w:highlight w:val="none"/>
        </w:rPr>
        <w:sectPr>
          <w:pgSz w:w="11906" w:h="16838"/>
          <w:pgMar w:top="1474" w:right="1985" w:bottom="1588" w:left="2098" w:header="851" w:footer="992" w:gutter="0"/>
          <w:cols w:space="720" w:num="1"/>
          <w:docGrid w:linePitch="312" w:charSpace="0"/>
        </w:sectPr>
      </w:pPr>
    </w:p>
    <w:p>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第四部分   评标办法</w:t>
      </w:r>
    </w:p>
    <w:p>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9825" w:type="dxa"/>
        <w:tblInd w:w="-5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4710"/>
        <w:gridCol w:w="825"/>
        <w:gridCol w:w="1620"/>
        <w:gridCol w:w="1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序号</w:t>
            </w:r>
          </w:p>
        </w:tc>
        <w:tc>
          <w:tcPr>
            <w:tcW w:w="471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评标标准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权重</w:t>
            </w:r>
          </w:p>
        </w:tc>
        <w:tc>
          <w:tcPr>
            <w:tcW w:w="1620" w:type="dxa"/>
            <w:vAlign w:val="center"/>
          </w:tcPr>
          <w:p>
            <w:pPr>
              <w:snapToGrid w:val="0"/>
              <w:spacing w:line="360" w:lineRule="auto"/>
              <w:jc w:val="center"/>
              <w:rPr>
                <w:rFonts w:hint="eastAsia" w:ascii="方正仿宋_GB2312" w:hAnsi="方正仿宋_GB2312" w:eastAsia="方正仿宋_GB2312" w:cs="方正仿宋_GB2312"/>
                <w:bCs/>
                <w:color w:val="auto"/>
                <w:sz w:val="24"/>
                <w:highlight w:val="none"/>
              </w:rPr>
            </w:pPr>
            <w:r>
              <w:rPr>
                <w:rFonts w:hint="eastAsia" w:ascii="方正仿宋_GB2312" w:hAnsi="方正仿宋_GB2312" w:eastAsia="方正仿宋_GB2312" w:cs="方正仿宋_GB2312"/>
                <w:bCs/>
                <w:color w:val="auto"/>
                <w:sz w:val="24"/>
                <w:highlight w:val="none"/>
              </w:rPr>
              <w:t>主观分/客观分属性</w:t>
            </w:r>
          </w:p>
        </w:tc>
        <w:tc>
          <w:tcPr>
            <w:tcW w:w="1995" w:type="dxa"/>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val="en-US" w:eastAsia="zh-CN"/>
              </w:rPr>
            </w:pPr>
            <w:r>
              <w:rPr>
                <w:rFonts w:hint="eastAsia" w:ascii="方正仿宋_GB2312" w:hAnsi="方正仿宋_GB2312" w:eastAsia="方正仿宋_GB2312" w:cs="方正仿宋_GB2312"/>
                <w:color w:val="auto"/>
                <w:sz w:val="24"/>
                <w:highlight w:val="none"/>
                <w:lang w:val="en-US" w:eastAsia="zh-CN"/>
              </w:rPr>
              <w:t>1</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szCs w:val="21"/>
                <w:highlight w:val="none"/>
              </w:rPr>
              <w:t>投标公司具备ISO14001环境管理体系认证证书,证书在有效期内且有效，提供证书复印件得1分，本项最高得1分。</w:t>
            </w:r>
          </w:p>
        </w:tc>
        <w:tc>
          <w:tcPr>
            <w:tcW w:w="825" w:type="dxa"/>
            <w:vMerge w:val="restart"/>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val="en-US" w:eastAsia="zh-CN"/>
              </w:rPr>
            </w:pPr>
            <w:r>
              <w:rPr>
                <w:rFonts w:hint="eastAsia" w:ascii="方正仿宋_GB2312" w:hAnsi="方正仿宋_GB2312" w:eastAsia="方正仿宋_GB2312" w:cs="方正仿宋_GB2312"/>
                <w:color w:val="auto"/>
                <w:sz w:val="24"/>
                <w:highlight w:val="none"/>
                <w:lang w:val="en-US" w:eastAsia="zh-CN"/>
              </w:rPr>
              <w:t>2分</w:t>
            </w:r>
          </w:p>
        </w:tc>
        <w:tc>
          <w:tcPr>
            <w:tcW w:w="1620" w:type="dxa"/>
            <w:vMerge w:val="restart"/>
            <w:vAlign w:val="center"/>
          </w:tcPr>
          <w:p>
            <w:pPr>
              <w:snapToGrid w:val="0"/>
              <w:spacing w:line="360" w:lineRule="auto"/>
              <w:jc w:val="center"/>
              <w:rPr>
                <w:rFonts w:hint="eastAsia" w:ascii="方正仿宋_GB2312" w:hAnsi="方正仿宋_GB2312" w:eastAsia="方正仿宋_GB2312" w:cs="方正仿宋_GB2312"/>
                <w:bCs/>
                <w:color w:val="auto"/>
                <w:sz w:val="24"/>
                <w:highlight w:val="none"/>
                <w:lang w:val="en-US" w:eastAsia="zh-CN"/>
              </w:rPr>
            </w:pPr>
            <w:r>
              <w:rPr>
                <w:rFonts w:hint="eastAsia" w:ascii="方正仿宋_GB2312" w:hAnsi="方正仿宋_GB2312" w:eastAsia="方正仿宋_GB2312" w:cs="方正仿宋_GB2312"/>
                <w:bCs/>
                <w:color w:val="auto"/>
                <w:sz w:val="24"/>
                <w:highlight w:val="none"/>
                <w:lang w:val="en-US" w:eastAsia="zh-CN"/>
              </w:rPr>
              <w:t>客观分</w:t>
            </w:r>
          </w:p>
        </w:tc>
        <w:tc>
          <w:tcPr>
            <w:tcW w:w="1995" w:type="dxa"/>
            <w:vMerge w:val="restart"/>
            <w:vAlign w:val="center"/>
          </w:tcPr>
          <w:p>
            <w:pPr>
              <w:snapToGrid w:val="0"/>
              <w:spacing w:line="360" w:lineRule="auto"/>
              <w:jc w:val="center"/>
              <w:rPr>
                <w:rFonts w:hint="eastAsia" w:ascii="方正仿宋_GB2312" w:hAnsi="方正仿宋_GB2312" w:eastAsia="方正仿宋_GB2312" w:cs="方正仿宋_GB2312"/>
                <w:bCs/>
                <w:color w:val="auto"/>
                <w:sz w:val="24"/>
                <w:highlight w:val="none"/>
              </w:rPr>
            </w:pPr>
            <w:r>
              <w:rPr>
                <w:rFonts w:hint="eastAsia" w:ascii="方正仿宋_GB2312" w:hAnsi="方正仿宋_GB2312" w:eastAsia="方正仿宋_GB2312" w:cs="方正仿宋_GB2312"/>
                <w:color w:val="auto"/>
                <w:szCs w:val="21"/>
                <w:highlight w:val="none"/>
                <w:lang w:val="en-US" w:eastAsia="zh-CN"/>
              </w:rPr>
              <w:t>公司资质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trPr>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val="en-US" w:eastAsia="zh-CN"/>
              </w:rPr>
            </w:pPr>
            <w:r>
              <w:rPr>
                <w:rFonts w:hint="eastAsia" w:ascii="方正仿宋_GB2312" w:hAnsi="方正仿宋_GB2312" w:eastAsia="方正仿宋_GB2312" w:cs="方正仿宋_GB2312"/>
                <w:color w:val="auto"/>
                <w:sz w:val="24"/>
                <w:highlight w:val="none"/>
                <w:lang w:val="en-US" w:eastAsia="zh-CN"/>
              </w:rPr>
              <w:t>2</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szCs w:val="21"/>
                <w:highlight w:val="none"/>
              </w:rPr>
              <w:t>投标公司具备IS</w:t>
            </w:r>
            <w:r>
              <w:rPr>
                <w:rFonts w:hint="eastAsia" w:ascii="方正仿宋_GB2312" w:hAnsi="方正仿宋_GB2312" w:eastAsia="方正仿宋_GB2312" w:cs="方正仿宋_GB2312"/>
                <w:color w:val="auto"/>
                <w:szCs w:val="21"/>
                <w:highlight w:val="none"/>
                <w:lang w:val="en-US" w:eastAsia="zh-CN"/>
              </w:rPr>
              <w:t>O</w:t>
            </w:r>
            <w:r>
              <w:rPr>
                <w:rFonts w:hint="eastAsia" w:ascii="方正仿宋_GB2312" w:hAnsi="方正仿宋_GB2312" w:eastAsia="方正仿宋_GB2312" w:cs="方正仿宋_GB2312"/>
                <w:color w:val="auto"/>
                <w:szCs w:val="21"/>
                <w:highlight w:val="none"/>
              </w:rPr>
              <w:t>45001职业健康安全管理体系认证证书,证书在有效期内且有效，提供证书复印件得1分，本项最高得1分。</w:t>
            </w:r>
          </w:p>
        </w:tc>
        <w:tc>
          <w:tcPr>
            <w:tcW w:w="825" w:type="dxa"/>
            <w:vMerge w:val="continue"/>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p>
        </w:tc>
        <w:tc>
          <w:tcPr>
            <w:tcW w:w="1620" w:type="dxa"/>
            <w:vMerge w:val="continue"/>
            <w:vAlign w:val="center"/>
          </w:tcPr>
          <w:p>
            <w:pPr>
              <w:snapToGrid w:val="0"/>
              <w:spacing w:line="360" w:lineRule="auto"/>
              <w:jc w:val="center"/>
              <w:rPr>
                <w:rFonts w:hint="eastAsia" w:ascii="方正仿宋_GB2312" w:hAnsi="方正仿宋_GB2312" w:eastAsia="方正仿宋_GB2312" w:cs="方正仿宋_GB2312"/>
                <w:bCs/>
                <w:color w:val="auto"/>
                <w:sz w:val="24"/>
                <w:highlight w:val="none"/>
              </w:rPr>
            </w:pPr>
          </w:p>
        </w:tc>
        <w:tc>
          <w:tcPr>
            <w:tcW w:w="1995" w:type="dxa"/>
            <w:vMerge w:val="continue"/>
          </w:tcPr>
          <w:p>
            <w:pPr>
              <w:snapToGrid w:val="0"/>
              <w:spacing w:line="360" w:lineRule="auto"/>
              <w:jc w:val="center"/>
              <w:rPr>
                <w:rFonts w:hint="eastAsia" w:ascii="方正仿宋_GB2312" w:hAnsi="方正仿宋_GB2312" w:eastAsia="方正仿宋_GB2312" w:cs="方正仿宋_GB2312"/>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3</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Cs w:val="21"/>
                <w:highlight w:val="none"/>
              </w:rPr>
              <w:t>投标人类似项目建设的案例：投标人自2021年1月1日以来（以</w:t>
            </w:r>
            <w:r>
              <w:rPr>
                <w:rFonts w:hint="eastAsia" w:ascii="方正仿宋_GB2312" w:hAnsi="方正仿宋_GB2312" w:eastAsia="方正仿宋_GB2312" w:cs="方正仿宋_GB2312"/>
                <w:color w:val="auto"/>
                <w:szCs w:val="21"/>
                <w:highlight w:val="none"/>
                <w:lang w:val="en-US" w:eastAsia="zh-CN"/>
              </w:rPr>
              <w:t>合同</w:t>
            </w:r>
            <w:r>
              <w:rPr>
                <w:rFonts w:hint="eastAsia" w:ascii="方正仿宋_GB2312" w:hAnsi="方正仿宋_GB2312" w:eastAsia="方正仿宋_GB2312" w:cs="方正仿宋_GB2312"/>
                <w:color w:val="auto"/>
                <w:szCs w:val="21"/>
                <w:highlight w:val="none"/>
              </w:rPr>
              <w:t>时间为准）投标人具有类似</w:t>
            </w:r>
            <w:r>
              <w:rPr>
                <w:rFonts w:hint="eastAsia" w:ascii="方正仿宋_GB2312" w:hAnsi="方正仿宋_GB2312" w:eastAsia="方正仿宋_GB2312" w:cs="方正仿宋_GB2312"/>
                <w:color w:val="auto"/>
                <w:szCs w:val="21"/>
                <w:highlight w:val="none"/>
                <w:lang w:val="en-US" w:eastAsia="zh-CN"/>
              </w:rPr>
              <w:t>项</w:t>
            </w:r>
            <w:r>
              <w:rPr>
                <w:rFonts w:hint="eastAsia" w:ascii="方正仿宋_GB2312" w:hAnsi="方正仿宋_GB2312" w:eastAsia="方正仿宋_GB2312" w:cs="方正仿宋_GB2312"/>
                <w:color w:val="auto"/>
                <w:szCs w:val="21"/>
                <w:highlight w:val="none"/>
              </w:rPr>
              <w:t>目业绩情况。投标人具有承担相关成功经验，每提供一份有效的</w:t>
            </w:r>
            <w:r>
              <w:rPr>
                <w:rFonts w:hint="eastAsia" w:ascii="方正仿宋_GB2312" w:hAnsi="方正仿宋_GB2312" w:eastAsia="方正仿宋_GB2312" w:cs="方正仿宋_GB2312"/>
                <w:color w:val="auto"/>
                <w:szCs w:val="21"/>
                <w:highlight w:val="none"/>
                <w:lang w:val="en-US" w:eastAsia="zh-CN"/>
              </w:rPr>
              <w:t>业绩</w:t>
            </w:r>
            <w:r>
              <w:rPr>
                <w:rFonts w:hint="eastAsia" w:ascii="方正仿宋_GB2312" w:hAnsi="方正仿宋_GB2312" w:eastAsia="方正仿宋_GB2312" w:cs="方正仿宋_GB2312"/>
                <w:color w:val="auto"/>
                <w:szCs w:val="21"/>
                <w:highlight w:val="none"/>
              </w:rPr>
              <w:t>证明（</w:t>
            </w:r>
            <w:r>
              <w:rPr>
                <w:rFonts w:hint="eastAsia" w:ascii="方正仿宋_GB2312" w:hAnsi="方正仿宋_GB2312" w:eastAsia="方正仿宋_GB2312" w:cs="方正仿宋_GB2312"/>
                <w:color w:val="auto"/>
                <w:szCs w:val="21"/>
                <w:highlight w:val="none"/>
                <w:lang w:val="en-US" w:eastAsia="zh-CN"/>
              </w:rPr>
              <w:t>提供</w:t>
            </w:r>
            <w:r>
              <w:rPr>
                <w:rFonts w:hint="eastAsia" w:ascii="方正仿宋_GB2312" w:hAnsi="方正仿宋_GB2312" w:eastAsia="方正仿宋_GB2312" w:cs="方正仿宋_GB2312"/>
                <w:color w:val="auto"/>
                <w:szCs w:val="21"/>
                <w:highlight w:val="none"/>
              </w:rPr>
              <w:t>合同，验收报告</w:t>
            </w:r>
            <w:r>
              <w:rPr>
                <w:rFonts w:hint="eastAsia" w:ascii="方正仿宋_GB2312" w:hAnsi="方正仿宋_GB2312" w:eastAsia="方正仿宋_GB2312" w:cs="方正仿宋_GB2312"/>
                <w:color w:val="auto"/>
                <w:szCs w:val="21"/>
                <w:highlight w:val="none"/>
                <w:lang w:val="en-US" w:eastAsia="zh-CN"/>
              </w:rPr>
              <w:t>复印件</w:t>
            </w:r>
            <w:r>
              <w:rPr>
                <w:rFonts w:hint="eastAsia" w:ascii="方正仿宋_GB2312" w:hAnsi="方正仿宋_GB2312" w:eastAsia="方正仿宋_GB2312" w:cs="方正仿宋_GB2312"/>
                <w:color w:val="auto"/>
                <w:szCs w:val="21"/>
                <w:highlight w:val="none"/>
              </w:rPr>
              <w:t>，</w:t>
            </w:r>
            <w:r>
              <w:rPr>
                <w:rFonts w:hint="eastAsia" w:ascii="方正仿宋_GB2312" w:hAnsi="方正仿宋_GB2312" w:eastAsia="方正仿宋_GB2312" w:cs="方正仿宋_GB2312"/>
                <w:color w:val="auto"/>
                <w:szCs w:val="21"/>
                <w:highlight w:val="none"/>
                <w:lang w:val="en-US" w:eastAsia="zh-CN"/>
              </w:rPr>
              <w:t>两</w:t>
            </w:r>
            <w:r>
              <w:rPr>
                <w:rFonts w:hint="eastAsia" w:ascii="方正仿宋_GB2312" w:hAnsi="方正仿宋_GB2312" w:eastAsia="方正仿宋_GB2312" w:cs="方正仿宋_GB2312"/>
                <w:color w:val="auto"/>
                <w:szCs w:val="21"/>
                <w:highlight w:val="none"/>
              </w:rPr>
              <w:t>者齐全且</w:t>
            </w:r>
            <w:r>
              <w:rPr>
                <w:rFonts w:hint="eastAsia" w:ascii="方正仿宋_GB2312" w:hAnsi="方正仿宋_GB2312" w:eastAsia="方正仿宋_GB2312" w:cs="方正仿宋_GB2312"/>
                <w:color w:val="auto"/>
                <w:szCs w:val="21"/>
                <w:highlight w:val="none"/>
                <w:lang w:val="en-US" w:eastAsia="zh-CN"/>
              </w:rPr>
              <w:t>符合</w:t>
            </w:r>
            <w:r>
              <w:rPr>
                <w:rFonts w:hint="eastAsia" w:ascii="方正仿宋_GB2312" w:hAnsi="方正仿宋_GB2312" w:eastAsia="方正仿宋_GB2312" w:cs="方正仿宋_GB2312"/>
                <w:color w:val="auto"/>
                <w:szCs w:val="21"/>
                <w:highlight w:val="none"/>
              </w:rPr>
              <w:t>类似项目要求</w:t>
            </w:r>
            <w:r>
              <w:rPr>
                <w:rFonts w:hint="eastAsia" w:ascii="方正仿宋_GB2312" w:hAnsi="方正仿宋_GB2312" w:eastAsia="方正仿宋_GB2312" w:cs="方正仿宋_GB2312"/>
                <w:color w:val="auto"/>
                <w:szCs w:val="21"/>
                <w:highlight w:val="none"/>
                <w:lang w:eastAsia="zh-CN"/>
              </w:rPr>
              <w:t>）</w:t>
            </w:r>
            <w:r>
              <w:rPr>
                <w:rFonts w:hint="eastAsia" w:ascii="方正仿宋_GB2312" w:hAnsi="方正仿宋_GB2312" w:eastAsia="方正仿宋_GB2312" w:cs="方正仿宋_GB2312"/>
                <w:color w:val="auto"/>
                <w:szCs w:val="21"/>
                <w:highlight w:val="none"/>
              </w:rPr>
              <w:t>得1分，本项最高3分。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3分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合同、案例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4</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Cs w:val="21"/>
                <w:highlight w:val="none"/>
              </w:rPr>
              <w:t>根据投标文件对招标文件主要产品技术性能要求及参数指标等的响应程度进行评议：全符合技术指标得2</w:t>
            </w:r>
            <w:r>
              <w:rPr>
                <w:rFonts w:hint="eastAsia" w:ascii="方正仿宋_GB2312" w:hAnsi="方正仿宋_GB2312" w:eastAsia="方正仿宋_GB2312" w:cs="方正仿宋_GB2312"/>
                <w:color w:val="auto"/>
                <w:szCs w:val="21"/>
                <w:highlight w:val="none"/>
                <w:lang w:val="en-US" w:eastAsia="zh-CN"/>
              </w:rPr>
              <w:t>4</w:t>
            </w:r>
            <w:r>
              <w:rPr>
                <w:rFonts w:hint="eastAsia" w:ascii="方正仿宋_GB2312" w:hAnsi="方正仿宋_GB2312" w:eastAsia="方正仿宋_GB2312" w:cs="方正仿宋_GB2312"/>
                <w:color w:val="auto"/>
                <w:szCs w:val="21"/>
                <w:highlight w:val="none"/>
              </w:rPr>
              <w:t>分；带“★”为重要指标项，任何一项负偏离或缺漏项或无法提供证明材料的，每项扣3分；其余每发生一个参数指标负偏离的，扣1分，扣完为止。</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2</w:t>
            </w:r>
            <w:r>
              <w:rPr>
                <w:rFonts w:hint="eastAsia" w:ascii="方正仿宋_GB2312" w:hAnsi="方正仿宋_GB2312" w:eastAsia="方正仿宋_GB2312" w:cs="方正仿宋_GB2312"/>
                <w:color w:val="auto"/>
                <w:sz w:val="24"/>
                <w:highlight w:val="none"/>
                <w:lang w:val="en-US" w:eastAsia="zh-CN"/>
              </w:rPr>
              <w:t>4</w:t>
            </w:r>
            <w:r>
              <w:rPr>
                <w:rFonts w:hint="eastAsia" w:ascii="方正仿宋_GB2312" w:hAnsi="方正仿宋_GB2312" w:eastAsia="方正仿宋_GB2312" w:cs="方正仿宋_GB2312"/>
                <w:color w:val="auto"/>
                <w:sz w:val="24"/>
                <w:highlight w:val="none"/>
              </w:rPr>
              <w:t>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5</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Cs w:val="21"/>
                <w:highlight w:val="none"/>
              </w:rPr>
              <w:t>核心交换机要求支持安全扩展：为保障安全扩展，要求支持扩展防火墙安全插卡（提供官网截图证明），满足得1分。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1分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关键设备技术参数-核心交换机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6</w:t>
            </w:r>
          </w:p>
        </w:tc>
        <w:tc>
          <w:tcPr>
            <w:tcW w:w="4710" w:type="dxa"/>
            <w:vAlign w:val="center"/>
          </w:tcPr>
          <w:p>
            <w:pPr>
              <w:spacing w:line="360" w:lineRule="auto"/>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strike w:val="0"/>
                <w:color w:val="auto"/>
                <w:szCs w:val="21"/>
                <w:highlight w:val="none"/>
                <w:lang w:val="en-US" w:eastAsia="zh-CN"/>
              </w:rPr>
              <w:t>所有POE接入交换机（8口POE入室交换机，16口POE入室交换机，24口POE交换机，48口POE交换机)均要求具</w:t>
            </w:r>
            <w:r>
              <w:rPr>
                <w:rFonts w:hint="eastAsia" w:ascii="方正仿宋_GB2312" w:hAnsi="方正仿宋_GB2312" w:eastAsia="方正仿宋_GB2312" w:cs="方正仿宋_GB2312"/>
                <w:strike w:val="0"/>
                <w:color w:val="auto"/>
                <w:szCs w:val="21"/>
                <w:highlight w:val="none"/>
              </w:rPr>
              <w:t>备</w:t>
            </w:r>
            <w:r>
              <w:rPr>
                <w:rFonts w:hint="eastAsia" w:ascii="方正仿宋_GB2312" w:hAnsi="方正仿宋_GB2312" w:eastAsia="方正仿宋_GB2312" w:cs="方正仿宋_GB2312"/>
                <w:strike w:val="0"/>
                <w:color w:val="auto"/>
                <w:szCs w:val="21"/>
                <w:highlight w:val="none"/>
                <w:lang w:val="en-US" w:eastAsia="zh-CN"/>
              </w:rPr>
              <w:t>1、</w:t>
            </w:r>
            <w:r>
              <w:rPr>
                <w:rFonts w:hint="eastAsia" w:ascii="方正仿宋_GB2312" w:hAnsi="方正仿宋_GB2312" w:eastAsia="方正仿宋_GB2312" w:cs="方正仿宋_GB2312"/>
                <w:strike w:val="0"/>
                <w:color w:val="auto"/>
                <w:szCs w:val="21"/>
                <w:highlight w:val="none"/>
              </w:rPr>
              <w:t>节能低碳：支持端口节能或支持IEEE 802.3az标准的EEE节能技术（要求提供权威第三方检测报告结果页复印件证明）</w:t>
            </w:r>
            <w:r>
              <w:rPr>
                <w:rFonts w:hint="eastAsia" w:ascii="方正仿宋_GB2312" w:hAnsi="方正仿宋_GB2312" w:eastAsia="方正仿宋_GB2312" w:cs="方正仿宋_GB2312"/>
                <w:strike w:val="0"/>
                <w:color w:val="auto"/>
                <w:szCs w:val="21"/>
                <w:highlight w:val="none"/>
                <w:lang w:val="en-US" w:eastAsia="zh-CN"/>
              </w:rPr>
              <w:t>;2、</w:t>
            </w:r>
            <w:r>
              <w:rPr>
                <w:rFonts w:hint="eastAsia" w:ascii="方正仿宋_GB2312" w:hAnsi="方正仿宋_GB2312" w:eastAsia="方正仿宋_GB2312" w:cs="方正仿宋_GB2312"/>
                <w:strike w:val="0"/>
                <w:color w:val="auto"/>
                <w:szCs w:val="21"/>
                <w:highlight w:val="none"/>
              </w:rPr>
              <w:t>支持安全防雷：支持8KV及以上业务端口防雷能力，以降低设备的损坏率（要求提供官网链接和截图证明）。每一</w:t>
            </w:r>
            <w:r>
              <w:rPr>
                <w:rFonts w:hint="eastAsia" w:ascii="方正仿宋_GB2312" w:hAnsi="方正仿宋_GB2312" w:eastAsia="方正仿宋_GB2312" w:cs="方正仿宋_GB2312"/>
                <w:strike w:val="0"/>
                <w:color w:val="auto"/>
                <w:szCs w:val="21"/>
                <w:highlight w:val="none"/>
                <w:lang w:val="en-US" w:eastAsia="zh-CN"/>
              </w:rPr>
              <w:t>型号全部</w:t>
            </w:r>
            <w:r>
              <w:rPr>
                <w:rFonts w:hint="eastAsia" w:ascii="方正仿宋_GB2312" w:hAnsi="方正仿宋_GB2312" w:eastAsia="方正仿宋_GB2312" w:cs="方正仿宋_GB2312"/>
                <w:strike w:val="0"/>
                <w:color w:val="auto"/>
                <w:szCs w:val="21"/>
                <w:highlight w:val="none"/>
              </w:rPr>
              <w:t>满足得1分</w:t>
            </w:r>
            <w:r>
              <w:rPr>
                <w:rFonts w:hint="eastAsia" w:ascii="方正仿宋_GB2312" w:hAnsi="方正仿宋_GB2312" w:eastAsia="方正仿宋_GB2312" w:cs="方正仿宋_GB2312"/>
                <w:strike w:val="0"/>
                <w:color w:val="auto"/>
                <w:szCs w:val="21"/>
                <w:highlight w:val="none"/>
                <w:lang w:eastAsia="zh-CN"/>
              </w:rPr>
              <w:t>，</w:t>
            </w:r>
            <w:r>
              <w:rPr>
                <w:rFonts w:hint="eastAsia" w:ascii="方正仿宋_GB2312" w:hAnsi="方正仿宋_GB2312" w:eastAsia="方正仿宋_GB2312" w:cs="方正仿宋_GB2312"/>
                <w:strike w:val="0"/>
                <w:color w:val="auto"/>
                <w:szCs w:val="21"/>
                <w:highlight w:val="none"/>
                <w:lang w:val="en-US" w:eastAsia="zh-CN"/>
              </w:rPr>
              <w:t>不满足不得分</w:t>
            </w:r>
            <w:r>
              <w:rPr>
                <w:rFonts w:hint="eastAsia" w:ascii="方正仿宋_GB2312" w:hAnsi="方正仿宋_GB2312" w:eastAsia="方正仿宋_GB2312" w:cs="方正仿宋_GB2312"/>
                <w:strike w:val="0"/>
                <w:color w:val="auto"/>
                <w:szCs w:val="21"/>
                <w:highlight w:val="none"/>
              </w:rPr>
              <w:t>。最高得4分。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4分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关键设备技术参数-接入交换机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7</w:t>
            </w:r>
          </w:p>
        </w:tc>
        <w:tc>
          <w:tcPr>
            <w:tcW w:w="4710" w:type="dxa"/>
            <w:vAlign w:val="center"/>
          </w:tcPr>
          <w:p>
            <w:pPr>
              <w:snapToGrid/>
              <w:spacing w:line="360" w:lineRule="auto"/>
              <w:jc w:val="left"/>
              <w:rPr>
                <w:rFonts w:hint="eastAsia" w:ascii="方正仿宋_GB2312" w:hAnsi="方正仿宋_GB2312" w:eastAsia="方正仿宋_GB2312" w:cs="方正仿宋_GB2312"/>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移动运维平台是否具备如下功能：</w:t>
            </w:r>
          </w:p>
          <w:p>
            <w:pPr>
              <w:snapToGrid/>
              <w:spacing w:line="360" w:lineRule="auto"/>
              <w:jc w:val="left"/>
              <w:rPr>
                <w:rFonts w:hint="eastAsia" w:ascii="方正仿宋_GB2312" w:hAnsi="方正仿宋_GB2312" w:eastAsia="方正仿宋_GB2312" w:cs="方正仿宋_GB2312"/>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1、设备管理：可以通过管理平台自行开户，实现设备自动上线；支持分级分权多租户精细化运维管理；可实现对核心交换机、服务器接入交换机、全光汇聚交换机、万兆上行接入交换机、万兆上行PoE接入交换机、无线控制器、无线AP的统一管理，实现网络配置、网络规划、增加设备的操作（提供证明材料）</w:t>
            </w:r>
          </w:p>
          <w:p>
            <w:pPr>
              <w:snapToGrid/>
              <w:spacing w:line="360" w:lineRule="auto"/>
              <w:jc w:val="left"/>
              <w:rPr>
                <w:rFonts w:hint="eastAsia" w:ascii="方正仿宋_GB2312" w:hAnsi="方正仿宋_GB2312" w:eastAsia="方正仿宋_GB2312" w:cs="方正仿宋_GB2312"/>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2、一键式运维：提供一键式网络状态监测，直观地显示当前网络状态的健康度；支持一键式自动化运维，当网络出现故障时，可直接导出运维问题结论，并作出基本参数的调整对无线网络进行优化（提供功能截图）</w:t>
            </w:r>
          </w:p>
          <w:p>
            <w:pPr>
              <w:snapToGrid/>
              <w:spacing w:line="360" w:lineRule="auto"/>
              <w:jc w:val="left"/>
              <w:rPr>
                <w:rFonts w:hint="eastAsia" w:ascii="方正仿宋_GB2312" w:hAnsi="方正仿宋_GB2312" w:eastAsia="方正仿宋_GB2312" w:cs="方正仿宋_GB2312"/>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3、认证页面定制：支持认证页面可制定：可实现portal页面灵活定制和页面推送策略制定（提供功能截图）</w:t>
            </w:r>
          </w:p>
          <w:p>
            <w:pPr>
              <w:snapToGrid/>
              <w:spacing w:line="360" w:lineRule="auto"/>
              <w:jc w:val="left"/>
              <w:rPr>
                <w:rFonts w:hint="eastAsia" w:ascii="方正仿宋_GB2312" w:hAnsi="方正仿宋_GB2312" w:eastAsia="方正仿宋_GB2312" w:cs="方正仿宋_GB2312"/>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故障维护软件是否具备如下功能：</w:t>
            </w:r>
          </w:p>
          <w:p>
            <w:pPr>
              <w:snapToGrid/>
              <w:spacing w:line="360" w:lineRule="auto"/>
              <w:jc w:val="left"/>
              <w:rPr>
                <w:rFonts w:hint="eastAsia" w:ascii="方正仿宋_GB2312" w:hAnsi="方正仿宋_GB2312" w:eastAsia="方正仿宋_GB2312" w:cs="方正仿宋_GB2312"/>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4、至少包括日常管理的设备、局点、客户信息等栏目，仅需点击鼠标操作，即可实现创建、排列、管理等功能（提供相关功能界面截图）</w:t>
            </w:r>
          </w:p>
          <w:p>
            <w:pPr>
              <w:snapToGrid/>
              <w:spacing w:line="360" w:lineRule="auto"/>
              <w:jc w:val="left"/>
              <w:rPr>
                <w:rFonts w:hint="eastAsia" w:ascii="方正仿宋_GB2312" w:hAnsi="方正仿宋_GB2312" w:eastAsia="方正仿宋_GB2312" w:cs="方正仿宋_GB2312"/>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5、版本升级：支持自动上传设备相关版本文件，支持对版本升级做相关的配置操作（提供证明材料）</w:t>
            </w:r>
          </w:p>
          <w:p>
            <w:pPr>
              <w:snapToGrid/>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1"/>
                <w:szCs w:val="21"/>
                <w:highlight w:val="none"/>
                <w:lang w:val="en-US" w:eastAsia="zh-CN"/>
              </w:rPr>
              <w:t>每一项满足得1分，最高得5分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5分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关键设备技术参数-运维软件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8</w:t>
            </w:r>
          </w:p>
        </w:tc>
        <w:tc>
          <w:tcPr>
            <w:tcW w:w="4710" w:type="dxa"/>
            <w:vAlign w:val="center"/>
          </w:tcPr>
          <w:p>
            <w:pPr>
              <w:snapToGrid/>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技术服务方案具有可靠性、稳定性、全面性，需整体考虑用户实际情况</w:t>
            </w:r>
          </w:p>
          <w:p>
            <w:pPr>
              <w:snapToGrid/>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①提供对本次学校网络改造的现状描述与分析，并结合本次投标设备在对用户原有设备的充分利旧情况下提供附合用户实际情况的采用IPV4、IPV6</w:t>
            </w:r>
            <w:r>
              <w:rPr>
                <w:rFonts w:hint="eastAsia" w:ascii="方正仿宋_GB2312" w:hAnsi="方正仿宋_GB2312" w:eastAsia="方正仿宋_GB2312" w:cs="方正仿宋_GB2312"/>
                <w:color w:val="auto"/>
                <w:kern w:val="2"/>
                <w:szCs w:val="21"/>
                <w:highlight w:val="none"/>
                <w:lang w:bidi="ar"/>
              </w:rPr>
              <w:t>双栈配置下</w:t>
            </w:r>
            <w:r>
              <w:rPr>
                <w:rFonts w:hint="eastAsia" w:ascii="方正仿宋_GB2312" w:hAnsi="方正仿宋_GB2312" w:eastAsia="方正仿宋_GB2312" w:cs="方正仿宋_GB2312"/>
                <w:color w:val="auto"/>
                <w:szCs w:val="21"/>
                <w:highlight w:val="none"/>
              </w:rPr>
              <w:t>的全网规划、改造、优化、统一管理方案；方案能完整详细描述各用户现状及网络现有配置、网络拓朴图、并提供全面可行的统一运维方案的得</w:t>
            </w:r>
            <w:r>
              <w:rPr>
                <w:rFonts w:hint="eastAsia" w:ascii="方正仿宋_GB2312" w:hAnsi="方正仿宋_GB2312" w:eastAsia="方正仿宋_GB2312" w:cs="方正仿宋_GB2312"/>
                <w:color w:val="auto"/>
                <w:szCs w:val="21"/>
                <w:highlight w:val="none"/>
                <w:lang w:val="en-US" w:eastAsia="zh-CN"/>
              </w:rPr>
              <w:t>4</w:t>
            </w:r>
            <w:r>
              <w:rPr>
                <w:rFonts w:hint="eastAsia" w:ascii="方正仿宋_GB2312" w:hAnsi="方正仿宋_GB2312" w:eastAsia="方正仿宋_GB2312" w:cs="方正仿宋_GB2312"/>
                <w:color w:val="auto"/>
                <w:szCs w:val="21"/>
                <w:highlight w:val="none"/>
              </w:rPr>
              <w:t>分，方案能描述各用户网络现有配置、网络拓朴图、并提供可行的统一运维方案的得</w:t>
            </w:r>
            <w:r>
              <w:rPr>
                <w:rFonts w:hint="eastAsia" w:ascii="方正仿宋_GB2312" w:hAnsi="方正仿宋_GB2312" w:eastAsia="方正仿宋_GB2312" w:cs="方正仿宋_GB2312"/>
                <w:color w:val="auto"/>
                <w:szCs w:val="21"/>
                <w:highlight w:val="none"/>
                <w:lang w:val="en-US" w:eastAsia="zh-CN"/>
              </w:rPr>
              <w:t>3</w:t>
            </w:r>
            <w:r>
              <w:rPr>
                <w:rFonts w:hint="eastAsia" w:ascii="方正仿宋_GB2312" w:hAnsi="方正仿宋_GB2312" w:eastAsia="方正仿宋_GB2312" w:cs="方正仿宋_GB2312"/>
                <w:color w:val="auto"/>
                <w:szCs w:val="21"/>
                <w:highlight w:val="none"/>
              </w:rPr>
              <w:t>分，方案能描述各用户网络拓朴图、并提供可行的统一运维方案的得</w:t>
            </w:r>
            <w:r>
              <w:rPr>
                <w:rFonts w:hint="eastAsia" w:ascii="方正仿宋_GB2312" w:hAnsi="方正仿宋_GB2312" w:eastAsia="方正仿宋_GB2312" w:cs="方正仿宋_GB2312"/>
                <w:color w:val="auto"/>
                <w:szCs w:val="21"/>
                <w:highlight w:val="none"/>
                <w:lang w:val="en-US" w:eastAsia="zh-CN"/>
              </w:rPr>
              <w:t>2</w:t>
            </w:r>
            <w:r>
              <w:rPr>
                <w:rFonts w:hint="eastAsia" w:ascii="方正仿宋_GB2312" w:hAnsi="方正仿宋_GB2312" w:eastAsia="方正仿宋_GB2312" w:cs="方正仿宋_GB2312"/>
                <w:color w:val="auto"/>
                <w:szCs w:val="21"/>
                <w:highlight w:val="none"/>
              </w:rPr>
              <w:t>分，方案能提供可行的统一运维方案的得</w:t>
            </w:r>
            <w:r>
              <w:rPr>
                <w:rFonts w:hint="eastAsia" w:ascii="方正仿宋_GB2312" w:hAnsi="方正仿宋_GB2312" w:eastAsia="方正仿宋_GB2312" w:cs="方正仿宋_GB2312"/>
                <w:color w:val="auto"/>
                <w:szCs w:val="21"/>
                <w:highlight w:val="none"/>
                <w:lang w:val="en-US" w:eastAsia="zh-CN"/>
              </w:rPr>
              <w:t>1</w:t>
            </w:r>
            <w:r>
              <w:rPr>
                <w:rFonts w:hint="eastAsia" w:ascii="方正仿宋_GB2312" w:hAnsi="方正仿宋_GB2312" w:eastAsia="方正仿宋_GB2312" w:cs="方正仿宋_GB2312"/>
                <w:color w:val="auto"/>
                <w:szCs w:val="21"/>
                <w:highlight w:val="none"/>
              </w:rPr>
              <w:t>分，不能提供的得0分；</w:t>
            </w:r>
          </w:p>
          <w:p>
            <w:pPr>
              <w:pStyle w:val="5"/>
              <w:spacing w:line="360" w:lineRule="auto"/>
              <w:rPr>
                <w:rFonts w:hint="eastAsia" w:ascii="方正仿宋_GB2312" w:hAnsi="方正仿宋_GB2312" w:eastAsia="方正仿宋_GB2312" w:cs="方正仿宋_GB2312"/>
                <w:b w:val="0"/>
                <w:bCs w:val="0"/>
                <w:color w:val="auto"/>
                <w:kern w:val="2"/>
                <w:sz w:val="21"/>
                <w:szCs w:val="21"/>
                <w:highlight w:val="none"/>
                <w:lang w:val="en-US" w:eastAsia="zh-CN" w:bidi="ar-SA"/>
              </w:rPr>
            </w:pPr>
            <w:r>
              <w:rPr>
                <w:rFonts w:hint="eastAsia" w:ascii="方正仿宋_GB2312" w:hAnsi="方正仿宋_GB2312" w:eastAsia="方正仿宋_GB2312" w:cs="方正仿宋_GB2312"/>
                <w:b w:val="0"/>
                <w:bCs w:val="0"/>
                <w:color w:val="auto"/>
                <w:kern w:val="2"/>
                <w:sz w:val="21"/>
                <w:szCs w:val="21"/>
                <w:highlight w:val="none"/>
                <w:lang w:val="en-US" w:eastAsia="zh-CN" w:bidi="ar-SA"/>
              </w:rPr>
              <w:t>（</w:t>
            </w:r>
            <w:r>
              <w:rPr>
                <w:rFonts w:hint="eastAsia" w:ascii="方正仿宋_GB2312" w:hAnsi="方正仿宋_GB2312" w:eastAsia="方正仿宋_GB2312" w:cs="方正仿宋_GB2312"/>
                <w:b/>
                <w:bCs/>
                <w:color w:val="auto"/>
                <w:kern w:val="2"/>
                <w:sz w:val="21"/>
                <w:szCs w:val="21"/>
                <w:highlight w:val="none"/>
                <w:lang w:val="en-US" w:eastAsia="zh-CN" w:bidi="ar-SA"/>
              </w:rPr>
              <w:t>特别说明</w:t>
            </w:r>
            <w:r>
              <w:rPr>
                <w:rFonts w:hint="eastAsia" w:ascii="方正仿宋_GB2312" w:hAnsi="方正仿宋_GB2312" w:eastAsia="方正仿宋_GB2312" w:cs="方正仿宋_GB2312"/>
                <w:b w:val="0"/>
                <w:bCs w:val="0"/>
                <w:color w:val="auto"/>
                <w:kern w:val="2"/>
                <w:sz w:val="21"/>
                <w:szCs w:val="21"/>
                <w:highlight w:val="none"/>
                <w:lang w:val="en-US" w:eastAsia="zh-CN" w:bidi="ar-SA"/>
              </w:rPr>
              <w:t>：实施、运维方案中必须有明确的进</w:t>
            </w:r>
          </w:p>
          <w:p>
            <w:pPr>
              <w:pStyle w:val="5"/>
              <w:spacing w:line="360" w:lineRule="auto"/>
              <w:rPr>
                <w:rFonts w:hint="eastAsia" w:ascii="方正仿宋_GB2312" w:hAnsi="方正仿宋_GB2312" w:eastAsia="方正仿宋_GB2312" w:cs="方正仿宋_GB2312"/>
                <w:b w:val="0"/>
                <w:bCs w:val="0"/>
                <w:color w:val="auto"/>
                <w:kern w:val="2"/>
                <w:sz w:val="21"/>
                <w:szCs w:val="21"/>
                <w:highlight w:val="none"/>
                <w:lang w:val="en-US" w:eastAsia="zh-CN" w:bidi="ar-SA"/>
              </w:rPr>
            </w:pPr>
            <w:r>
              <w:rPr>
                <w:rFonts w:hint="eastAsia" w:ascii="方正仿宋_GB2312" w:hAnsi="方正仿宋_GB2312" w:eastAsia="方正仿宋_GB2312" w:cs="方正仿宋_GB2312"/>
                <w:b w:val="0"/>
                <w:bCs w:val="0"/>
                <w:color w:val="auto"/>
                <w:kern w:val="2"/>
                <w:sz w:val="21"/>
                <w:szCs w:val="21"/>
                <w:highlight w:val="none"/>
                <w:lang w:val="en-US" w:eastAsia="zh-CN" w:bidi="ar-SA"/>
              </w:rPr>
              <w:t>度表，且完成时间最迟为2024年9月20日）</w:t>
            </w:r>
          </w:p>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②方案中提供用户实际情况无线点位规划（需提供中小学</w:t>
            </w:r>
            <w:r>
              <w:rPr>
                <w:rFonts w:hint="eastAsia" w:ascii="方正仿宋_GB2312" w:hAnsi="方正仿宋_GB2312" w:eastAsia="方正仿宋_GB2312" w:cs="方正仿宋_GB2312"/>
                <w:color w:val="auto"/>
                <w:szCs w:val="21"/>
                <w:highlight w:val="none"/>
                <w:lang w:val="en-US" w:eastAsia="zh-CN"/>
              </w:rPr>
              <w:t>安装</w:t>
            </w:r>
            <w:r>
              <w:rPr>
                <w:rFonts w:hint="eastAsia" w:ascii="方正仿宋_GB2312" w:hAnsi="方正仿宋_GB2312" w:eastAsia="方正仿宋_GB2312" w:cs="方正仿宋_GB2312"/>
                <w:color w:val="auto"/>
                <w:szCs w:val="21"/>
                <w:highlight w:val="none"/>
              </w:rPr>
              <w:t>点位图</w:t>
            </w:r>
            <w:r>
              <w:rPr>
                <w:rFonts w:hint="eastAsia" w:ascii="方正仿宋_GB2312" w:hAnsi="方正仿宋_GB2312" w:eastAsia="方正仿宋_GB2312" w:cs="方正仿宋_GB2312"/>
                <w:color w:val="auto"/>
                <w:szCs w:val="21"/>
                <w:highlight w:val="none"/>
                <w:lang w:eastAsia="zh-CN"/>
              </w:rPr>
              <w:t>，</w:t>
            </w:r>
            <w:r>
              <w:rPr>
                <w:rFonts w:hint="eastAsia" w:ascii="方正仿宋_GB2312" w:hAnsi="方正仿宋_GB2312" w:eastAsia="方正仿宋_GB2312" w:cs="方正仿宋_GB2312"/>
                <w:color w:val="auto"/>
                <w:szCs w:val="21"/>
                <w:highlight w:val="none"/>
              </w:rPr>
              <w:t>幼儿园</w:t>
            </w:r>
            <w:r>
              <w:rPr>
                <w:rFonts w:hint="eastAsia" w:ascii="方正仿宋_GB2312" w:hAnsi="方正仿宋_GB2312" w:eastAsia="方正仿宋_GB2312" w:cs="方正仿宋_GB2312"/>
                <w:color w:val="auto"/>
                <w:szCs w:val="21"/>
                <w:highlight w:val="none"/>
                <w:lang w:val="en-US" w:eastAsia="zh-CN"/>
              </w:rPr>
              <w:t>可提供</w:t>
            </w:r>
            <w:r>
              <w:rPr>
                <w:rFonts w:hint="eastAsia" w:ascii="方正仿宋_GB2312" w:hAnsi="方正仿宋_GB2312" w:eastAsia="方正仿宋_GB2312" w:cs="方正仿宋_GB2312"/>
                <w:color w:val="auto"/>
                <w:szCs w:val="21"/>
                <w:highlight w:val="none"/>
              </w:rPr>
              <w:t>各个AP安装</w:t>
            </w:r>
            <w:r>
              <w:rPr>
                <w:rFonts w:hint="eastAsia" w:ascii="方正仿宋_GB2312" w:hAnsi="方正仿宋_GB2312" w:eastAsia="方正仿宋_GB2312" w:cs="方正仿宋_GB2312"/>
                <w:color w:val="auto"/>
                <w:szCs w:val="21"/>
                <w:highlight w:val="none"/>
                <w:lang w:val="en-US" w:eastAsia="zh-CN"/>
              </w:rPr>
              <w:t>位置说明</w:t>
            </w:r>
            <w:r>
              <w:rPr>
                <w:rFonts w:hint="eastAsia" w:ascii="方正仿宋_GB2312" w:hAnsi="方正仿宋_GB2312" w:eastAsia="方正仿宋_GB2312" w:cs="方正仿宋_GB2312"/>
                <w:color w:val="auto"/>
                <w:szCs w:val="21"/>
                <w:highlight w:val="none"/>
              </w:rPr>
              <w:t>），规划明确措施适合配置合理的得</w:t>
            </w:r>
            <w:r>
              <w:rPr>
                <w:rFonts w:hint="eastAsia" w:ascii="方正仿宋_GB2312" w:hAnsi="方正仿宋_GB2312" w:eastAsia="方正仿宋_GB2312" w:cs="方正仿宋_GB2312"/>
                <w:color w:val="auto"/>
                <w:szCs w:val="21"/>
                <w:highlight w:val="none"/>
                <w:lang w:val="en-US" w:eastAsia="zh-CN"/>
              </w:rPr>
              <w:t>3</w:t>
            </w:r>
            <w:r>
              <w:rPr>
                <w:rFonts w:hint="eastAsia" w:ascii="方正仿宋_GB2312" w:hAnsi="方正仿宋_GB2312" w:eastAsia="方正仿宋_GB2312" w:cs="方正仿宋_GB2312"/>
                <w:color w:val="auto"/>
                <w:szCs w:val="21"/>
                <w:highlight w:val="none"/>
              </w:rPr>
              <w:t>分，规划明确配置合理的得</w:t>
            </w:r>
            <w:r>
              <w:rPr>
                <w:rFonts w:hint="eastAsia" w:ascii="方正仿宋_GB2312" w:hAnsi="方正仿宋_GB2312" w:eastAsia="方正仿宋_GB2312" w:cs="方正仿宋_GB2312"/>
                <w:color w:val="auto"/>
                <w:szCs w:val="21"/>
                <w:highlight w:val="none"/>
                <w:lang w:val="en-US" w:eastAsia="zh-CN"/>
              </w:rPr>
              <w:t>2</w:t>
            </w:r>
            <w:r>
              <w:rPr>
                <w:rFonts w:hint="eastAsia" w:ascii="方正仿宋_GB2312" w:hAnsi="方正仿宋_GB2312" w:eastAsia="方正仿宋_GB2312" w:cs="方正仿宋_GB2312"/>
                <w:color w:val="auto"/>
                <w:szCs w:val="21"/>
                <w:highlight w:val="none"/>
              </w:rPr>
              <w:t>分，规划不明确配置可行的得</w:t>
            </w:r>
            <w:r>
              <w:rPr>
                <w:rFonts w:hint="eastAsia" w:ascii="方正仿宋_GB2312" w:hAnsi="方正仿宋_GB2312" w:eastAsia="方正仿宋_GB2312" w:cs="方正仿宋_GB2312"/>
                <w:color w:val="auto"/>
                <w:szCs w:val="21"/>
                <w:highlight w:val="none"/>
                <w:lang w:val="en-US" w:eastAsia="zh-CN"/>
              </w:rPr>
              <w:t>1</w:t>
            </w:r>
            <w:r>
              <w:rPr>
                <w:rFonts w:hint="eastAsia" w:ascii="方正仿宋_GB2312" w:hAnsi="方正仿宋_GB2312" w:eastAsia="方正仿宋_GB2312" w:cs="方正仿宋_GB2312"/>
                <w:color w:val="auto"/>
                <w:szCs w:val="21"/>
                <w:highlight w:val="none"/>
              </w:rPr>
              <w:t>分，不能提供的得0分；</w:t>
            </w:r>
          </w:p>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③方案能提供符合用户现状并可行的优化措施，符合上城区教育网络整体要求实际情况的优化措施，具有用户和全区优化措施并符合实际可行性强的得</w:t>
            </w:r>
            <w:r>
              <w:rPr>
                <w:rFonts w:hint="eastAsia" w:ascii="方正仿宋_GB2312" w:hAnsi="方正仿宋_GB2312" w:eastAsia="方正仿宋_GB2312" w:cs="方正仿宋_GB2312"/>
                <w:color w:val="auto"/>
                <w:szCs w:val="21"/>
                <w:highlight w:val="none"/>
                <w:lang w:val="en-US" w:eastAsia="zh-CN"/>
              </w:rPr>
              <w:t>2</w:t>
            </w:r>
            <w:r>
              <w:rPr>
                <w:rFonts w:hint="eastAsia" w:ascii="方正仿宋_GB2312" w:hAnsi="方正仿宋_GB2312" w:eastAsia="方正仿宋_GB2312" w:cs="方正仿宋_GB2312"/>
                <w:color w:val="auto"/>
                <w:szCs w:val="21"/>
                <w:highlight w:val="none"/>
              </w:rPr>
              <w:t>分，具有用户或全区优化措施但实际可行性弱的得</w:t>
            </w:r>
            <w:r>
              <w:rPr>
                <w:rFonts w:hint="eastAsia" w:ascii="方正仿宋_GB2312" w:hAnsi="方正仿宋_GB2312" w:eastAsia="方正仿宋_GB2312" w:cs="方正仿宋_GB2312"/>
                <w:color w:val="auto"/>
                <w:szCs w:val="21"/>
                <w:highlight w:val="none"/>
                <w:lang w:val="en-US" w:eastAsia="zh-CN"/>
              </w:rPr>
              <w:t>1</w:t>
            </w:r>
            <w:r>
              <w:rPr>
                <w:rFonts w:hint="eastAsia" w:ascii="方正仿宋_GB2312" w:hAnsi="方正仿宋_GB2312" w:eastAsia="方正仿宋_GB2312" w:cs="方正仿宋_GB2312"/>
                <w:color w:val="auto"/>
                <w:szCs w:val="21"/>
                <w:highlight w:val="none"/>
              </w:rPr>
              <w:t>分，不能提供的得0分。</w:t>
            </w:r>
          </w:p>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Cs w:val="21"/>
                <w:highlight w:val="none"/>
              </w:rPr>
              <w:t>以上需有相关证明材料证明方案切实可行且需提供各学校网络的具体规划与拓扑。</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lang w:val="en-US" w:eastAsia="zh-CN"/>
              </w:rPr>
              <w:t>9</w:t>
            </w:r>
            <w:r>
              <w:rPr>
                <w:rFonts w:hint="eastAsia" w:ascii="方正仿宋_GB2312" w:hAnsi="方正仿宋_GB2312" w:eastAsia="方正仿宋_GB2312" w:cs="方正仿宋_GB2312"/>
                <w:color w:val="auto"/>
                <w:sz w:val="24"/>
                <w:highlight w:val="none"/>
              </w:rPr>
              <w:t>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主观分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技术服务方案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9</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投标人须提供</w:t>
            </w:r>
            <w:r>
              <w:rPr>
                <w:rFonts w:hint="eastAsia" w:ascii="方正仿宋_GB2312" w:hAnsi="方正仿宋_GB2312" w:eastAsia="方正仿宋_GB2312" w:cs="方正仿宋_GB2312"/>
                <w:color w:val="auto"/>
                <w:highlight w:val="none"/>
                <w:lang w:val="en-US" w:eastAsia="zh-CN"/>
              </w:rPr>
              <w:t>无线平台</w:t>
            </w:r>
            <w:r>
              <w:rPr>
                <w:rFonts w:hint="eastAsia" w:ascii="方正仿宋_GB2312" w:hAnsi="方正仿宋_GB2312" w:eastAsia="方正仿宋_GB2312" w:cs="方正仿宋_GB2312"/>
                <w:color w:val="auto"/>
                <w:highlight w:val="none"/>
              </w:rPr>
              <w:t>与教育</w:t>
            </w:r>
            <w:r>
              <w:rPr>
                <w:rFonts w:hint="eastAsia" w:ascii="方正仿宋_GB2312" w:hAnsi="方正仿宋_GB2312" w:eastAsia="方正仿宋_GB2312" w:cs="方正仿宋_GB2312"/>
                <w:color w:val="auto"/>
                <w:highlight w:val="none"/>
                <w:lang w:val="en-US" w:eastAsia="zh-CN"/>
              </w:rPr>
              <w:t>钉钉</w:t>
            </w:r>
            <w:r>
              <w:rPr>
                <w:rFonts w:hint="eastAsia" w:ascii="方正仿宋_GB2312" w:hAnsi="方正仿宋_GB2312" w:eastAsia="方正仿宋_GB2312" w:cs="方正仿宋_GB2312"/>
                <w:color w:val="auto"/>
                <w:highlight w:val="none"/>
              </w:rPr>
              <w:t>实现无缝对接的方案。</w:t>
            </w:r>
          </w:p>
          <w:p>
            <w:pPr>
              <w:snapToGrid w:val="0"/>
              <w:spacing w:line="360" w:lineRule="auto"/>
              <w:jc w:val="left"/>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包括但不限于：</w:t>
            </w:r>
          </w:p>
          <w:p>
            <w:pPr>
              <w:snapToGrid w:val="0"/>
              <w:spacing w:line="360" w:lineRule="auto"/>
              <w:jc w:val="left"/>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1、</w:t>
            </w:r>
            <w:r>
              <w:rPr>
                <w:rFonts w:hint="eastAsia" w:ascii="方正仿宋_GB2312" w:hAnsi="方正仿宋_GB2312" w:eastAsia="方正仿宋_GB2312" w:cs="方正仿宋_GB2312"/>
                <w:color w:val="auto"/>
                <w:highlight w:val="none"/>
                <w:lang w:val="en-US" w:eastAsia="zh-CN"/>
              </w:rPr>
              <w:t>提供和教育钉钉实现用户统一认证</w:t>
            </w:r>
            <w:r>
              <w:rPr>
                <w:rFonts w:hint="eastAsia" w:ascii="方正仿宋_GB2312" w:hAnsi="方正仿宋_GB2312" w:eastAsia="方正仿宋_GB2312" w:cs="方正仿宋_GB2312"/>
                <w:color w:val="auto"/>
                <w:highlight w:val="none"/>
              </w:rPr>
              <w:t>对接</w:t>
            </w:r>
            <w:r>
              <w:rPr>
                <w:rFonts w:hint="eastAsia" w:ascii="方正仿宋_GB2312" w:hAnsi="方正仿宋_GB2312" w:eastAsia="方正仿宋_GB2312" w:cs="方正仿宋_GB2312"/>
                <w:color w:val="auto"/>
                <w:highlight w:val="none"/>
                <w:lang w:val="en-US" w:eastAsia="zh-CN"/>
              </w:rPr>
              <w:t>测试</w:t>
            </w:r>
            <w:r>
              <w:rPr>
                <w:rFonts w:hint="eastAsia" w:ascii="方正仿宋_GB2312" w:hAnsi="方正仿宋_GB2312" w:eastAsia="方正仿宋_GB2312" w:cs="方正仿宋_GB2312"/>
                <w:color w:val="auto"/>
                <w:highlight w:val="none"/>
              </w:rPr>
              <w:t>报告，测试报告应明确对接成功，并由对接测试学校盖章；测试方式全面并明确、方案合理可行、结果成功的得</w:t>
            </w:r>
            <w:r>
              <w:rPr>
                <w:rFonts w:hint="eastAsia" w:ascii="方正仿宋_GB2312" w:hAnsi="方正仿宋_GB2312" w:eastAsia="方正仿宋_GB2312" w:cs="方正仿宋_GB2312"/>
                <w:color w:val="auto"/>
                <w:highlight w:val="none"/>
                <w:lang w:val="en-US" w:eastAsia="zh-CN"/>
              </w:rPr>
              <w:t>1</w:t>
            </w:r>
            <w:r>
              <w:rPr>
                <w:rFonts w:hint="eastAsia" w:ascii="方正仿宋_GB2312" w:hAnsi="方正仿宋_GB2312" w:eastAsia="方正仿宋_GB2312" w:cs="方正仿宋_GB2312"/>
                <w:color w:val="auto"/>
                <w:highlight w:val="none"/>
              </w:rPr>
              <w:t>分，结果成功的得</w:t>
            </w:r>
            <w:r>
              <w:rPr>
                <w:rFonts w:hint="eastAsia" w:ascii="方正仿宋_GB2312" w:hAnsi="方正仿宋_GB2312" w:eastAsia="方正仿宋_GB2312" w:cs="方正仿宋_GB2312"/>
                <w:color w:val="auto"/>
                <w:highlight w:val="none"/>
                <w:lang w:val="en-US" w:eastAsia="zh-CN"/>
              </w:rPr>
              <w:t>0.5</w:t>
            </w:r>
            <w:r>
              <w:rPr>
                <w:rFonts w:hint="eastAsia" w:ascii="方正仿宋_GB2312" w:hAnsi="方正仿宋_GB2312" w:eastAsia="方正仿宋_GB2312" w:cs="方正仿宋_GB2312"/>
                <w:color w:val="auto"/>
                <w:highlight w:val="none"/>
              </w:rPr>
              <w:t>分，不能提供的得0分；</w:t>
            </w:r>
          </w:p>
          <w:p>
            <w:pPr>
              <w:snapToGrid w:val="0"/>
              <w:spacing w:line="360" w:lineRule="auto"/>
              <w:jc w:val="left"/>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2、提供</w:t>
            </w:r>
            <w:r>
              <w:rPr>
                <w:rFonts w:hint="eastAsia" w:ascii="方正仿宋_GB2312" w:hAnsi="方正仿宋_GB2312" w:eastAsia="方正仿宋_GB2312" w:cs="方正仿宋_GB2312"/>
                <w:color w:val="auto"/>
                <w:highlight w:val="none"/>
                <w:lang w:val="en-US" w:eastAsia="zh-CN"/>
              </w:rPr>
              <w:t>无线定制对接方案，明确说明与区教育钉钉对接</w:t>
            </w:r>
            <w:r>
              <w:rPr>
                <w:rFonts w:hint="eastAsia" w:ascii="方正仿宋_GB2312" w:hAnsi="方正仿宋_GB2312" w:eastAsia="方正仿宋_GB2312" w:cs="方正仿宋_GB2312"/>
                <w:color w:val="auto"/>
                <w:highlight w:val="none"/>
              </w:rPr>
              <w:t>的</w:t>
            </w:r>
            <w:r>
              <w:rPr>
                <w:rFonts w:hint="eastAsia" w:ascii="方正仿宋_GB2312" w:hAnsi="方正仿宋_GB2312" w:eastAsia="方正仿宋_GB2312" w:cs="方正仿宋_GB2312"/>
                <w:color w:val="auto"/>
                <w:highlight w:val="none"/>
                <w:lang w:val="en-US" w:eastAsia="zh-CN"/>
              </w:rPr>
              <w:t>冗余</w:t>
            </w:r>
            <w:r>
              <w:rPr>
                <w:rFonts w:hint="eastAsia" w:ascii="方正仿宋_GB2312" w:hAnsi="方正仿宋_GB2312" w:eastAsia="方正仿宋_GB2312" w:cs="方正仿宋_GB2312"/>
                <w:color w:val="auto"/>
                <w:highlight w:val="none"/>
              </w:rPr>
              <w:t>实现方</w:t>
            </w:r>
            <w:r>
              <w:rPr>
                <w:rFonts w:hint="eastAsia" w:ascii="方正仿宋_GB2312" w:hAnsi="方正仿宋_GB2312" w:eastAsia="方正仿宋_GB2312" w:cs="方正仿宋_GB2312"/>
                <w:color w:val="auto"/>
                <w:highlight w:val="none"/>
                <w:lang w:val="en-US" w:eastAsia="zh-CN"/>
              </w:rPr>
              <w:t>式及可实现功能</w:t>
            </w:r>
            <w:r>
              <w:rPr>
                <w:rFonts w:hint="eastAsia" w:ascii="方正仿宋_GB2312" w:hAnsi="方正仿宋_GB2312" w:eastAsia="方正仿宋_GB2312" w:cs="方正仿宋_GB2312"/>
                <w:color w:val="auto"/>
                <w:highlight w:val="none"/>
              </w:rPr>
              <w:t>；</w:t>
            </w:r>
            <w:r>
              <w:rPr>
                <w:rFonts w:hint="eastAsia" w:ascii="方正仿宋_GB2312" w:hAnsi="方正仿宋_GB2312" w:eastAsia="方正仿宋_GB2312" w:cs="方正仿宋_GB2312"/>
                <w:color w:val="auto"/>
                <w:highlight w:val="none"/>
                <w:lang w:val="en-US" w:eastAsia="zh-CN"/>
              </w:rPr>
              <w:t>功能实现</w:t>
            </w:r>
            <w:r>
              <w:rPr>
                <w:rFonts w:hint="eastAsia" w:ascii="方正仿宋_GB2312" w:hAnsi="方正仿宋_GB2312" w:eastAsia="方正仿宋_GB2312" w:cs="方正仿宋_GB2312"/>
                <w:color w:val="auto"/>
                <w:highlight w:val="none"/>
              </w:rPr>
              <w:t>方式全面并明确、方案可行、配置合理的得</w:t>
            </w:r>
            <w:r>
              <w:rPr>
                <w:rFonts w:hint="eastAsia" w:ascii="方正仿宋_GB2312" w:hAnsi="方正仿宋_GB2312" w:eastAsia="方正仿宋_GB2312" w:cs="方正仿宋_GB2312"/>
                <w:color w:val="auto"/>
                <w:highlight w:val="none"/>
                <w:lang w:val="en-US" w:eastAsia="zh-CN"/>
              </w:rPr>
              <w:t>2</w:t>
            </w:r>
            <w:r>
              <w:rPr>
                <w:rFonts w:hint="eastAsia" w:ascii="方正仿宋_GB2312" w:hAnsi="方正仿宋_GB2312" w:eastAsia="方正仿宋_GB2312" w:cs="方正仿宋_GB2312"/>
                <w:color w:val="auto"/>
                <w:highlight w:val="none"/>
              </w:rPr>
              <w:t>分，规划明确并配置合理的得</w:t>
            </w:r>
            <w:r>
              <w:rPr>
                <w:rFonts w:hint="eastAsia" w:ascii="方正仿宋_GB2312" w:hAnsi="方正仿宋_GB2312" w:eastAsia="方正仿宋_GB2312" w:cs="方正仿宋_GB2312"/>
                <w:color w:val="auto"/>
                <w:highlight w:val="none"/>
                <w:lang w:val="en-US" w:eastAsia="zh-CN"/>
              </w:rPr>
              <w:t>1</w:t>
            </w:r>
            <w:r>
              <w:rPr>
                <w:rFonts w:hint="eastAsia" w:ascii="方正仿宋_GB2312" w:hAnsi="方正仿宋_GB2312" w:eastAsia="方正仿宋_GB2312" w:cs="方正仿宋_GB2312"/>
                <w:color w:val="auto"/>
                <w:highlight w:val="none"/>
              </w:rPr>
              <w:t>分，规划虽不明确但配置可行的得</w:t>
            </w:r>
            <w:r>
              <w:rPr>
                <w:rFonts w:hint="eastAsia" w:ascii="方正仿宋_GB2312" w:hAnsi="方正仿宋_GB2312" w:eastAsia="方正仿宋_GB2312" w:cs="方正仿宋_GB2312"/>
                <w:color w:val="auto"/>
                <w:highlight w:val="none"/>
                <w:lang w:val="en-US" w:eastAsia="zh-CN"/>
              </w:rPr>
              <w:t>0.5</w:t>
            </w:r>
            <w:r>
              <w:rPr>
                <w:rFonts w:hint="eastAsia" w:ascii="方正仿宋_GB2312" w:hAnsi="方正仿宋_GB2312" w:eastAsia="方正仿宋_GB2312" w:cs="方正仿宋_GB2312"/>
                <w:color w:val="auto"/>
                <w:highlight w:val="none"/>
              </w:rPr>
              <w:t>分，不能提供的得0分；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lang w:val="en-US" w:eastAsia="zh-CN"/>
              </w:rPr>
              <w:t>3</w:t>
            </w:r>
            <w:r>
              <w:rPr>
                <w:rFonts w:hint="eastAsia" w:ascii="方正仿宋_GB2312" w:hAnsi="方正仿宋_GB2312" w:eastAsia="方正仿宋_GB2312" w:cs="方正仿宋_GB2312"/>
                <w:color w:val="auto"/>
                <w:sz w:val="24"/>
                <w:highlight w:val="none"/>
              </w:rPr>
              <w:t>分</w:t>
            </w:r>
          </w:p>
        </w:tc>
        <w:tc>
          <w:tcPr>
            <w:tcW w:w="1620" w:type="dxa"/>
            <w:vMerge w:val="restart"/>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主观分</w:t>
            </w:r>
          </w:p>
        </w:tc>
        <w:tc>
          <w:tcPr>
            <w:tcW w:w="1995" w:type="dxa"/>
            <w:vMerge w:val="restart"/>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安装调试集成方案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3、项目建设优化方案评价。本项目要求投标人在投标时根据采购需求，结合自身行业经验，在满足采购需求的前提下，对本项目的建设方案提出本次可实现的完整、具体、明确、合理及有效的优化方案，包括原方案可能存在的问题、具体优化内容以及优化后可实现的目标等。功能实现方式全面并明确、方案可行、配置合理的得</w:t>
            </w:r>
            <w:r>
              <w:rPr>
                <w:rFonts w:hint="eastAsia" w:ascii="方正仿宋_GB2312" w:hAnsi="方正仿宋_GB2312" w:eastAsia="方正仿宋_GB2312" w:cs="方正仿宋_GB2312"/>
                <w:color w:val="auto"/>
                <w:highlight w:val="none"/>
                <w:lang w:val="en-US" w:eastAsia="zh-CN"/>
              </w:rPr>
              <w:t>2</w:t>
            </w:r>
            <w:r>
              <w:rPr>
                <w:rFonts w:hint="eastAsia" w:ascii="方正仿宋_GB2312" w:hAnsi="方正仿宋_GB2312" w:eastAsia="方正仿宋_GB2312" w:cs="方正仿宋_GB2312"/>
                <w:color w:val="auto"/>
                <w:highlight w:val="none"/>
              </w:rPr>
              <w:t>分，规划明确并配置合理的得</w:t>
            </w:r>
            <w:r>
              <w:rPr>
                <w:rFonts w:hint="eastAsia" w:ascii="方正仿宋_GB2312" w:hAnsi="方正仿宋_GB2312" w:eastAsia="方正仿宋_GB2312" w:cs="方正仿宋_GB2312"/>
                <w:color w:val="auto"/>
                <w:highlight w:val="none"/>
                <w:lang w:val="en-US" w:eastAsia="zh-CN"/>
              </w:rPr>
              <w:t>1</w:t>
            </w:r>
            <w:r>
              <w:rPr>
                <w:rFonts w:hint="eastAsia" w:ascii="方正仿宋_GB2312" w:hAnsi="方正仿宋_GB2312" w:eastAsia="方正仿宋_GB2312" w:cs="方正仿宋_GB2312"/>
                <w:color w:val="auto"/>
                <w:highlight w:val="none"/>
              </w:rPr>
              <w:t>分，规划虽不明确但配置可行的得</w:t>
            </w:r>
            <w:r>
              <w:rPr>
                <w:rFonts w:hint="eastAsia" w:ascii="方正仿宋_GB2312" w:hAnsi="方正仿宋_GB2312" w:eastAsia="方正仿宋_GB2312" w:cs="方正仿宋_GB2312"/>
                <w:color w:val="auto"/>
                <w:highlight w:val="none"/>
                <w:lang w:val="en-US" w:eastAsia="zh-CN"/>
              </w:rPr>
              <w:t>0.5</w:t>
            </w:r>
            <w:r>
              <w:rPr>
                <w:rFonts w:hint="eastAsia" w:ascii="方正仿宋_GB2312" w:hAnsi="方正仿宋_GB2312" w:eastAsia="方正仿宋_GB2312" w:cs="方正仿宋_GB2312"/>
                <w:color w:val="auto"/>
                <w:highlight w:val="none"/>
              </w:rPr>
              <w:t>分，不能提供的得0分；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lang w:val="en-US" w:eastAsia="zh-CN"/>
              </w:rPr>
              <w:t>2</w:t>
            </w:r>
            <w:r>
              <w:rPr>
                <w:rFonts w:hint="eastAsia" w:ascii="方正仿宋_GB2312" w:hAnsi="方正仿宋_GB2312" w:eastAsia="方正仿宋_GB2312" w:cs="方正仿宋_GB2312"/>
                <w:color w:val="auto"/>
                <w:sz w:val="24"/>
                <w:highlight w:val="none"/>
              </w:rPr>
              <w:t>分</w:t>
            </w:r>
          </w:p>
        </w:tc>
        <w:tc>
          <w:tcPr>
            <w:tcW w:w="1620" w:type="dxa"/>
            <w:vMerge w:val="continue"/>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p>
        </w:tc>
        <w:tc>
          <w:tcPr>
            <w:tcW w:w="1995" w:type="dxa"/>
            <w:vMerge w:val="continue"/>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val="en-US" w:eastAsia="zh-CN"/>
              </w:rPr>
            </w:pPr>
            <w:r>
              <w:rPr>
                <w:rFonts w:hint="eastAsia" w:ascii="方正仿宋_GB2312" w:hAnsi="方正仿宋_GB2312" w:eastAsia="方正仿宋_GB2312" w:cs="方正仿宋_GB2312"/>
                <w:color w:val="auto"/>
                <w:sz w:val="24"/>
                <w:highlight w:val="none"/>
                <w:lang w:val="en-US" w:eastAsia="zh-CN"/>
              </w:rPr>
              <w:t>10</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1、投标人拟派项目经理具有信息技术(系统集成) 专业高级工程师（及以上职称）任职资格证书得</w:t>
            </w:r>
            <w:r>
              <w:rPr>
                <w:rFonts w:hint="eastAsia" w:ascii="方正仿宋_GB2312" w:hAnsi="方正仿宋_GB2312" w:eastAsia="方正仿宋_GB2312" w:cs="方正仿宋_GB2312"/>
                <w:color w:val="auto"/>
                <w:szCs w:val="21"/>
                <w:highlight w:val="none"/>
                <w:lang w:val="en-US" w:eastAsia="zh-CN"/>
              </w:rPr>
              <w:t>1</w:t>
            </w:r>
            <w:r>
              <w:rPr>
                <w:rFonts w:hint="eastAsia" w:ascii="方正仿宋_GB2312" w:hAnsi="方正仿宋_GB2312" w:eastAsia="方正仿宋_GB2312" w:cs="方正仿宋_GB2312"/>
                <w:color w:val="auto"/>
                <w:szCs w:val="21"/>
                <w:highlight w:val="none"/>
              </w:rPr>
              <w:t>分、信息系统项目管理师证书得</w:t>
            </w:r>
            <w:r>
              <w:rPr>
                <w:rFonts w:hint="eastAsia" w:ascii="方正仿宋_GB2312" w:hAnsi="方正仿宋_GB2312" w:eastAsia="方正仿宋_GB2312" w:cs="方正仿宋_GB2312"/>
                <w:color w:val="auto"/>
                <w:szCs w:val="21"/>
                <w:highlight w:val="none"/>
                <w:lang w:val="en-US" w:eastAsia="zh-CN"/>
              </w:rPr>
              <w:t>1</w:t>
            </w:r>
            <w:r>
              <w:rPr>
                <w:rFonts w:hint="eastAsia" w:ascii="方正仿宋_GB2312" w:hAnsi="方正仿宋_GB2312" w:eastAsia="方正仿宋_GB2312" w:cs="方正仿宋_GB2312"/>
                <w:color w:val="auto"/>
                <w:szCs w:val="21"/>
                <w:highlight w:val="none"/>
              </w:rPr>
              <w:t>分、信息安全保障人员认证证书 (CISAW)的得</w:t>
            </w:r>
            <w:r>
              <w:rPr>
                <w:rFonts w:hint="eastAsia" w:ascii="方正仿宋_GB2312" w:hAnsi="方正仿宋_GB2312" w:eastAsia="方正仿宋_GB2312" w:cs="方正仿宋_GB2312"/>
                <w:color w:val="auto"/>
                <w:szCs w:val="21"/>
                <w:highlight w:val="none"/>
                <w:lang w:val="en-US" w:eastAsia="zh-CN"/>
              </w:rPr>
              <w:t>1</w:t>
            </w:r>
            <w:r>
              <w:rPr>
                <w:rFonts w:hint="eastAsia" w:ascii="方正仿宋_GB2312" w:hAnsi="方正仿宋_GB2312" w:eastAsia="方正仿宋_GB2312" w:cs="方正仿宋_GB2312"/>
                <w:color w:val="auto"/>
                <w:szCs w:val="21"/>
                <w:highlight w:val="none"/>
              </w:rPr>
              <w:t>分，</w:t>
            </w:r>
            <w:r>
              <w:rPr>
                <w:rFonts w:hint="eastAsia" w:ascii="方正仿宋_GB2312" w:hAnsi="方正仿宋_GB2312" w:eastAsia="方正仿宋_GB2312" w:cs="方正仿宋_GB2312"/>
                <w:color w:val="auto"/>
                <w:szCs w:val="21"/>
                <w:highlight w:val="none"/>
                <w:lang w:val="en-US" w:eastAsia="zh-CN"/>
              </w:rPr>
              <w:t>三项证书全部具备</w:t>
            </w:r>
            <w:r>
              <w:rPr>
                <w:rFonts w:hint="eastAsia" w:ascii="方正仿宋_GB2312" w:hAnsi="方正仿宋_GB2312" w:eastAsia="方正仿宋_GB2312" w:cs="方正仿宋_GB2312"/>
                <w:color w:val="auto"/>
                <w:szCs w:val="21"/>
                <w:highlight w:val="none"/>
              </w:rPr>
              <w:t>得</w:t>
            </w:r>
            <w:r>
              <w:rPr>
                <w:rFonts w:hint="eastAsia" w:ascii="方正仿宋_GB2312" w:hAnsi="方正仿宋_GB2312" w:eastAsia="方正仿宋_GB2312" w:cs="方正仿宋_GB2312"/>
                <w:color w:val="auto"/>
                <w:szCs w:val="21"/>
                <w:highlight w:val="none"/>
                <w:lang w:val="en-US" w:eastAsia="zh-CN"/>
              </w:rPr>
              <w:t>3</w:t>
            </w:r>
            <w:r>
              <w:rPr>
                <w:rFonts w:hint="eastAsia" w:ascii="方正仿宋_GB2312" w:hAnsi="方正仿宋_GB2312" w:eastAsia="方正仿宋_GB2312" w:cs="方正仿宋_GB2312"/>
                <w:color w:val="auto"/>
                <w:szCs w:val="21"/>
                <w:highlight w:val="none"/>
              </w:rPr>
              <w:t>分。</w:t>
            </w:r>
          </w:p>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项目经理必须是投标人自有，需按要求提供证明材料，否则不得分。</w:t>
            </w:r>
          </w:p>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Cs w:val="21"/>
                <w:highlight w:val="none"/>
              </w:rPr>
              <w:t>证明材料：相关证书复印件、近三个月社保证明或劳动合同。</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lang w:val="en-US" w:eastAsia="zh-CN"/>
              </w:rPr>
              <w:t>3</w:t>
            </w:r>
            <w:r>
              <w:rPr>
                <w:rFonts w:hint="eastAsia" w:ascii="方正仿宋_GB2312" w:hAnsi="方正仿宋_GB2312" w:eastAsia="方正仿宋_GB2312" w:cs="方正仿宋_GB2312"/>
                <w:color w:val="auto"/>
                <w:sz w:val="24"/>
                <w:highlight w:val="none"/>
              </w:rPr>
              <w:t>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管理班子人员</w:t>
            </w:r>
          </w:p>
          <w:p>
            <w:pPr>
              <w:pStyle w:val="5"/>
              <w:jc w:val="center"/>
              <w:rPr>
                <w:rFonts w:hint="eastAsia" w:ascii="方正仿宋_GB2312" w:hAnsi="方正仿宋_GB2312" w:eastAsia="方正仿宋_GB2312" w:cs="方正仿宋_GB2312"/>
                <w:color w:val="auto"/>
                <w:highlight w:val="none"/>
                <w:lang w:val="en-US" w:eastAsia="zh-CN"/>
              </w:rPr>
            </w:pPr>
            <w:r>
              <w:rPr>
                <w:rFonts w:hint="eastAsia" w:ascii="方正仿宋_GB2312" w:hAnsi="方正仿宋_GB2312" w:eastAsia="方正仿宋_GB2312" w:cs="方正仿宋_GB2312"/>
                <w:b w:val="0"/>
                <w:bCs w:val="0"/>
                <w:color w:val="auto"/>
                <w:sz w:val="21"/>
                <w:szCs w:val="24"/>
                <w:highlight w:val="none"/>
                <w:lang w:val="en-US" w:eastAsia="zh-CN"/>
              </w:rPr>
              <w:t>项目经理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1" w:hRule="atLeast"/>
        </w:trPr>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val="en-US" w:eastAsia="zh-CN"/>
              </w:rPr>
            </w:pPr>
            <w:r>
              <w:rPr>
                <w:rFonts w:hint="eastAsia" w:ascii="方正仿宋_GB2312" w:hAnsi="方正仿宋_GB2312" w:eastAsia="方正仿宋_GB2312" w:cs="方正仿宋_GB2312"/>
                <w:color w:val="auto"/>
                <w:sz w:val="24"/>
                <w:highlight w:val="none"/>
                <w:lang w:val="en-US" w:eastAsia="zh-CN"/>
              </w:rPr>
              <w:t>11</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投标人拟派项目技术负责人具备系统架构设计师（高级</w:t>
            </w:r>
            <w:r>
              <w:rPr>
                <w:rFonts w:hint="eastAsia" w:ascii="方正仿宋_GB2312" w:hAnsi="方正仿宋_GB2312" w:eastAsia="方正仿宋_GB2312" w:cs="方正仿宋_GB2312"/>
                <w:color w:val="auto"/>
                <w:highlight w:val="none"/>
                <w:lang w:val="en-US" w:eastAsia="zh-CN"/>
              </w:rPr>
              <w:t>及以上</w:t>
            </w:r>
            <w:bookmarkStart w:id="46" w:name="_GoBack"/>
            <w:bookmarkEnd w:id="46"/>
            <w:r>
              <w:rPr>
                <w:rFonts w:hint="eastAsia" w:ascii="方正仿宋_GB2312" w:hAnsi="方正仿宋_GB2312" w:eastAsia="方正仿宋_GB2312" w:cs="方正仿宋_GB2312"/>
                <w:color w:val="auto"/>
                <w:highlight w:val="none"/>
              </w:rPr>
              <w:t>）证书得0.5分、信息系统项目管理师得0.5分，系统集成项目管理工程师得0.5分、系统分析师得0.5分，信息安全工程师 0.5分，</w:t>
            </w:r>
            <w:r>
              <w:rPr>
                <w:rFonts w:hint="eastAsia" w:ascii="方正仿宋_GB2312" w:hAnsi="方正仿宋_GB2312" w:eastAsia="方正仿宋_GB2312" w:cs="方正仿宋_GB2312"/>
                <w:color w:val="auto"/>
                <w:highlight w:val="none"/>
                <w:lang w:val="en-US" w:eastAsia="zh-CN"/>
              </w:rPr>
              <w:t>五张</w:t>
            </w:r>
            <w:r>
              <w:rPr>
                <w:rFonts w:hint="eastAsia" w:ascii="方正仿宋_GB2312" w:hAnsi="方正仿宋_GB2312" w:eastAsia="方正仿宋_GB2312" w:cs="方正仿宋_GB2312"/>
                <w:color w:val="auto"/>
                <w:highlight w:val="none"/>
              </w:rPr>
              <w:t>证书全部具备得3分。</w:t>
            </w:r>
          </w:p>
          <w:p>
            <w:pPr>
              <w:snapToGrid w:val="0"/>
              <w:spacing w:line="360" w:lineRule="auto"/>
              <w:jc w:val="left"/>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highlight w:val="none"/>
              </w:rPr>
              <w:t>项目</w:t>
            </w:r>
            <w:r>
              <w:rPr>
                <w:rFonts w:hint="eastAsia" w:ascii="方正仿宋_GB2312" w:hAnsi="方正仿宋_GB2312" w:eastAsia="方正仿宋_GB2312" w:cs="方正仿宋_GB2312"/>
                <w:color w:val="auto"/>
                <w:highlight w:val="none"/>
                <w:lang w:val="en-US" w:eastAsia="zh-CN"/>
              </w:rPr>
              <w:t>技术</w:t>
            </w:r>
            <w:r>
              <w:rPr>
                <w:rFonts w:hint="eastAsia" w:ascii="方正仿宋_GB2312" w:hAnsi="方正仿宋_GB2312" w:eastAsia="方正仿宋_GB2312" w:cs="方正仿宋_GB2312"/>
                <w:color w:val="auto"/>
                <w:highlight w:val="none"/>
              </w:rPr>
              <w:t>负责人必须是投标人自有，需按要求提供证明材料，否则不得分。</w:t>
            </w:r>
          </w:p>
          <w:p>
            <w:pPr>
              <w:pStyle w:val="5"/>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b w:val="0"/>
                <w:bCs w:val="0"/>
                <w:color w:val="auto"/>
                <w:sz w:val="21"/>
                <w:szCs w:val="24"/>
                <w:highlight w:val="none"/>
                <w:lang w:val="en-US"/>
              </w:rPr>
              <w:t>证明材料：相关证书复印件、近三个月社保证明或劳动合同。</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val="en-US" w:eastAsia="zh-CN"/>
              </w:rPr>
            </w:pPr>
          </w:p>
          <w:p>
            <w:pPr>
              <w:snapToGrid w:val="0"/>
              <w:spacing w:line="360" w:lineRule="auto"/>
              <w:jc w:val="center"/>
              <w:rPr>
                <w:rFonts w:hint="eastAsia" w:ascii="方正仿宋_GB2312" w:hAnsi="方正仿宋_GB2312" w:eastAsia="方正仿宋_GB2312" w:cs="方正仿宋_GB2312"/>
                <w:color w:val="auto"/>
                <w:sz w:val="24"/>
                <w:highlight w:val="none"/>
                <w:lang w:val="en-US" w:eastAsia="zh-CN"/>
              </w:rPr>
            </w:pPr>
            <w:r>
              <w:rPr>
                <w:rFonts w:hint="eastAsia" w:ascii="方正仿宋_GB2312" w:hAnsi="方正仿宋_GB2312" w:eastAsia="方正仿宋_GB2312" w:cs="方正仿宋_GB2312"/>
                <w:color w:val="auto"/>
                <w:sz w:val="24"/>
                <w:highlight w:val="none"/>
                <w:lang w:val="en-US" w:eastAsia="zh-CN"/>
              </w:rPr>
              <w:t>3分</w:t>
            </w:r>
          </w:p>
        </w:tc>
        <w:tc>
          <w:tcPr>
            <w:tcW w:w="1620" w:type="dxa"/>
            <w:vAlign w:val="center"/>
          </w:tcPr>
          <w:p>
            <w:pPr>
              <w:snapToGrid w:val="0"/>
              <w:spacing w:line="360" w:lineRule="auto"/>
              <w:jc w:val="center"/>
              <w:rPr>
                <w:rFonts w:hint="eastAsia" w:ascii="方正仿宋_GB2312" w:hAnsi="方正仿宋_GB2312" w:eastAsia="方正仿宋_GB2312" w:cs="方正仿宋_GB2312"/>
                <w:bCs/>
                <w:color w:val="auto"/>
                <w:sz w:val="24"/>
                <w:highlight w:val="none"/>
              </w:rPr>
            </w:pPr>
          </w:p>
          <w:p>
            <w:pPr>
              <w:snapToGrid w:val="0"/>
              <w:spacing w:line="360" w:lineRule="auto"/>
              <w:jc w:val="center"/>
              <w:rPr>
                <w:rFonts w:hint="eastAsia" w:ascii="方正仿宋_GB2312" w:hAnsi="方正仿宋_GB2312" w:eastAsia="方正仿宋_GB2312" w:cs="方正仿宋_GB2312"/>
                <w:bCs/>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p>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管理班子人员</w:t>
            </w:r>
          </w:p>
          <w:p>
            <w:pPr>
              <w:spacing w:line="360" w:lineRule="auto"/>
              <w:jc w:val="center"/>
              <w:outlineLvl w:val="0"/>
              <w:rPr>
                <w:rFonts w:hint="eastAsia" w:ascii="方正仿宋_GB2312" w:hAnsi="方正仿宋_GB2312" w:eastAsia="方正仿宋_GB2312" w:cs="方正仿宋_GB2312"/>
                <w:color w:val="auto"/>
                <w:szCs w:val="21"/>
                <w:highlight w:val="none"/>
                <w:lang w:val="en-US" w:eastAsia="zh-CN"/>
              </w:rPr>
            </w:pPr>
            <w:r>
              <w:rPr>
                <w:rFonts w:hint="eastAsia" w:ascii="方正仿宋_GB2312" w:hAnsi="方正仿宋_GB2312" w:eastAsia="方正仿宋_GB2312" w:cs="方正仿宋_GB2312"/>
                <w:color w:val="auto"/>
                <w:szCs w:val="21"/>
                <w:highlight w:val="none"/>
                <w:lang w:val="en-US" w:eastAsia="zh-CN"/>
              </w:rPr>
              <w:t>技术负责人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lang w:val="en-US" w:eastAsia="zh-CN"/>
              </w:rPr>
              <w:t>12</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投标人项目组成员（除项目经理及项目技术负责人外）具有高级工程师（及以上职称）任职资格证书，每提供一个得</w:t>
            </w:r>
            <w:r>
              <w:rPr>
                <w:rFonts w:hint="eastAsia" w:ascii="方正仿宋_GB2312" w:hAnsi="方正仿宋_GB2312" w:eastAsia="方正仿宋_GB2312" w:cs="方正仿宋_GB2312"/>
                <w:color w:val="auto"/>
                <w:szCs w:val="21"/>
                <w:highlight w:val="none"/>
                <w:lang w:val="en-US" w:eastAsia="zh-CN"/>
              </w:rPr>
              <w:t>0.5</w:t>
            </w:r>
            <w:r>
              <w:rPr>
                <w:rFonts w:hint="eastAsia" w:ascii="方正仿宋_GB2312" w:hAnsi="方正仿宋_GB2312" w:eastAsia="方正仿宋_GB2312" w:cs="方正仿宋_GB2312"/>
                <w:color w:val="auto"/>
                <w:szCs w:val="21"/>
                <w:highlight w:val="none"/>
              </w:rPr>
              <w:t>分，最多得</w:t>
            </w:r>
            <w:r>
              <w:rPr>
                <w:rFonts w:hint="eastAsia" w:ascii="方正仿宋_GB2312" w:hAnsi="方正仿宋_GB2312" w:eastAsia="方正仿宋_GB2312" w:cs="方正仿宋_GB2312"/>
                <w:color w:val="auto"/>
                <w:szCs w:val="21"/>
                <w:highlight w:val="none"/>
                <w:lang w:val="en-US" w:eastAsia="zh-CN"/>
              </w:rPr>
              <w:t>2</w:t>
            </w:r>
            <w:r>
              <w:rPr>
                <w:rFonts w:hint="eastAsia" w:ascii="方正仿宋_GB2312" w:hAnsi="方正仿宋_GB2312" w:eastAsia="方正仿宋_GB2312" w:cs="方正仿宋_GB2312"/>
                <w:color w:val="auto"/>
                <w:szCs w:val="21"/>
                <w:highlight w:val="none"/>
              </w:rPr>
              <w:t>分。</w:t>
            </w:r>
          </w:p>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项目实施人员必须是投标人自有，需按要求提供证明材料，否则不得分。</w:t>
            </w:r>
          </w:p>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Cs w:val="21"/>
                <w:highlight w:val="none"/>
              </w:rPr>
              <w:t>证明材料：相关证书复印件、近三个月社保证明或劳动合同。</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2分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项目实施人员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rPr>
              <w:t>1</w:t>
            </w:r>
            <w:r>
              <w:rPr>
                <w:rFonts w:hint="eastAsia" w:ascii="方正仿宋_GB2312" w:hAnsi="方正仿宋_GB2312" w:eastAsia="方正仿宋_GB2312" w:cs="方正仿宋_GB2312"/>
                <w:color w:val="auto"/>
                <w:sz w:val="24"/>
                <w:highlight w:val="none"/>
                <w:lang w:val="en-US" w:eastAsia="zh-CN"/>
              </w:rPr>
              <w:t>3</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投标人提供的培训频次高于采购需求且安排合理，得0.5分；</w:t>
            </w:r>
          </w:p>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Cs w:val="21"/>
                <w:highlight w:val="none"/>
              </w:rPr>
              <w:t>培训内容针对性强，方案具备实施前后对比和优化安全策略的网络知识和操作实践内容，具有较强效果的，得0.5分，本项最高得1分。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1分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客观分/主观分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1" w:hRule="atLeast"/>
        </w:trPr>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rPr>
              <w:t>1</w:t>
            </w:r>
            <w:r>
              <w:rPr>
                <w:rFonts w:hint="eastAsia" w:ascii="方正仿宋_GB2312" w:hAnsi="方正仿宋_GB2312" w:eastAsia="方正仿宋_GB2312" w:cs="方正仿宋_GB2312"/>
                <w:color w:val="auto"/>
                <w:sz w:val="24"/>
                <w:highlight w:val="none"/>
                <w:lang w:val="en-US" w:eastAsia="zh-CN"/>
              </w:rPr>
              <w:t>4</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highlight w:val="none"/>
              </w:rPr>
              <w:t>投标人维护保修期/质保期期限大于采购需求的，每增加一年保修得一分，最高得2分，本项最高得2分。</w:t>
            </w:r>
            <w:r>
              <w:rPr>
                <w:rFonts w:hint="eastAsia" w:ascii="方正仿宋_GB2312" w:hAnsi="方正仿宋_GB2312" w:eastAsia="方正仿宋_GB2312" w:cs="方正仿宋_GB2312"/>
                <w:color w:val="auto"/>
                <w:highlight w:val="none"/>
                <w:lang w:val="en-US" w:eastAsia="zh-CN"/>
              </w:rPr>
              <w:t>投标时</w:t>
            </w:r>
            <w:r>
              <w:rPr>
                <w:rFonts w:hint="eastAsia" w:ascii="方正仿宋_GB2312" w:hAnsi="方正仿宋_GB2312" w:eastAsia="方正仿宋_GB2312" w:cs="方正仿宋_GB2312"/>
                <w:color w:val="auto"/>
                <w:highlight w:val="none"/>
              </w:rPr>
              <w:t>需提供保修承诺函</w:t>
            </w:r>
            <w:r>
              <w:rPr>
                <w:rFonts w:hint="eastAsia" w:ascii="方正仿宋_GB2312" w:hAnsi="方正仿宋_GB2312" w:eastAsia="方正仿宋_GB2312" w:cs="方正仿宋_GB2312"/>
                <w:color w:val="auto"/>
                <w:highlight w:val="none"/>
                <w:lang w:eastAsia="zh-CN"/>
              </w:rPr>
              <w:t>。</w:t>
            </w:r>
            <w:r>
              <w:rPr>
                <w:rFonts w:hint="eastAsia" w:ascii="方正仿宋_GB2312" w:hAnsi="方正仿宋_GB2312" w:eastAsia="方正仿宋_GB2312" w:cs="方正仿宋_GB2312"/>
                <w:color w:val="auto"/>
                <w:highlight w:val="none"/>
                <w:lang w:val="en-US" w:eastAsia="zh-CN"/>
              </w:rPr>
              <w:t>中标后签订合同前提供</w:t>
            </w:r>
            <w:r>
              <w:rPr>
                <w:rFonts w:hint="eastAsia" w:ascii="方正仿宋_GB2312" w:hAnsi="方正仿宋_GB2312" w:eastAsia="方正仿宋_GB2312" w:cs="方正仿宋_GB2312"/>
                <w:color w:val="auto"/>
                <w:highlight w:val="none"/>
              </w:rPr>
              <w:t>主要产品①核心交换机②无线AP的原厂质保承诺</w:t>
            </w:r>
            <w:r>
              <w:rPr>
                <w:rFonts w:hint="eastAsia" w:ascii="方正仿宋_GB2312" w:hAnsi="方正仿宋_GB2312" w:eastAsia="方正仿宋_GB2312" w:cs="方正仿宋_GB2312"/>
                <w:color w:val="auto"/>
                <w:highlight w:val="none"/>
                <w:lang w:val="en-US" w:eastAsia="zh-CN"/>
              </w:rPr>
              <w:t>函。</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2分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保修期/质保期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8" w:hRule="atLeast"/>
        </w:trPr>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rPr>
              <w:t>1</w:t>
            </w:r>
            <w:r>
              <w:rPr>
                <w:rFonts w:hint="eastAsia" w:ascii="方正仿宋_GB2312" w:hAnsi="方正仿宋_GB2312" w:eastAsia="方正仿宋_GB2312" w:cs="方正仿宋_GB2312"/>
                <w:color w:val="auto"/>
                <w:sz w:val="24"/>
                <w:highlight w:val="none"/>
                <w:lang w:val="en-US" w:eastAsia="zh-CN"/>
              </w:rPr>
              <w:t>5</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highlight w:val="none"/>
                <w:lang w:val="en-US" w:eastAsia="zh-CN"/>
              </w:rPr>
            </w:pPr>
            <w:r>
              <w:rPr>
                <w:rFonts w:hint="eastAsia" w:ascii="方正仿宋_GB2312" w:hAnsi="方正仿宋_GB2312" w:eastAsia="方正仿宋_GB2312" w:cs="方正仿宋_GB2312"/>
                <w:color w:val="auto"/>
                <w:highlight w:val="none"/>
              </w:rPr>
              <w:t>人员驻场与技术要求:本项目要求提供专人驻场服务，驻场地点由用户指定，按国家标准工作日要求全白天在岗，必要时须承担节假日及晚上值班保障任务，要求驻场人员具备全日制本科以上学历，具备投标产品网络厂商中级技术证书（如思科专家级认证CCNP、锐捷认证RCNP、华为认证HCNP、华三认证H3CNP)</w:t>
            </w:r>
            <w:r>
              <w:rPr>
                <w:rFonts w:hint="eastAsia" w:ascii="方正仿宋_GB2312" w:hAnsi="方正仿宋_GB2312" w:eastAsia="方正仿宋_GB2312" w:cs="方正仿宋_GB2312"/>
                <w:color w:val="auto"/>
                <w:highlight w:val="none"/>
                <w:lang w:val="en-US" w:eastAsia="zh-CN"/>
              </w:rPr>
              <w:t>或</w:t>
            </w:r>
            <w:r>
              <w:rPr>
                <w:rFonts w:hint="eastAsia" w:ascii="方正仿宋_GB2312" w:hAnsi="方正仿宋_GB2312" w:eastAsia="方正仿宋_GB2312" w:cs="方正仿宋_GB2312"/>
                <w:color w:val="auto"/>
                <w:szCs w:val="21"/>
                <w:highlight w:val="none"/>
                <w:lang w:val="en-US" w:eastAsia="zh-CN"/>
              </w:rPr>
              <w:t>中</w:t>
            </w:r>
            <w:r>
              <w:rPr>
                <w:rFonts w:hint="eastAsia" w:ascii="方正仿宋_GB2312" w:hAnsi="方正仿宋_GB2312" w:eastAsia="方正仿宋_GB2312" w:cs="方正仿宋_GB2312"/>
                <w:color w:val="auto"/>
                <w:szCs w:val="21"/>
                <w:highlight w:val="none"/>
              </w:rPr>
              <w:t>级工程师及以上职称</w:t>
            </w:r>
            <w:r>
              <w:rPr>
                <w:rFonts w:hint="eastAsia" w:ascii="方正仿宋_GB2312" w:hAnsi="方正仿宋_GB2312" w:eastAsia="方正仿宋_GB2312" w:cs="方正仿宋_GB2312"/>
                <w:color w:val="auto"/>
                <w:szCs w:val="21"/>
                <w:highlight w:val="none"/>
                <w:lang w:eastAsia="zh-CN"/>
              </w:rPr>
              <w:t>。</w:t>
            </w:r>
          </w:p>
          <w:p>
            <w:pPr>
              <w:pStyle w:val="5"/>
              <w:rPr>
                <w:rFonts w:hint="eastAsia" w:ascii="方正仿宋_GB2312" w:hAnsi="方正仿宋_GB2312" w:eastAsia="方正仿宋_GB2312" w:cs="方正仿宋_GB2312"/>
                <w:b w:val="0"/>
                <w:bCs w:val="0"/>
                <w:color w:val="auto"/>
                <w:sz w:val="21"/>
                <w:szCs w:val="21"/>
                <w:highlight w:val="none"/>
                <w:lang w:val="en-US" w:eastAsia="zh-CN"/>
              </w:rPr>
            </w:pPr>
            <w:r>
              <w:rPr>
                <w:rFonts w:hint="eastAsia" w:ascii="方正仿宋_GB2312" w:hAnsi="方正仿宋_GB2312" w:eastAsia="方正仿宋_GB2312" w:cs="方正仿宋_GB2312"/>
                <w:color w:val="auto"/>
                <w:sz w:val="21"/>
                <w:szCs w:val="21"/>
                <w:highlight w:val="none"/>
                <w:lang w:val="en-US" w:eastAsia="zh-CN"/>
              </w:rPr>
              <w:t>符</w:t>
            </w:r>
            <w:r>
              <w:rPr>
                <w:rFonts w:hint="eastAsia" w:ascii="方正仿宋_GB2312" w:hAnsi="方正仿宋_GB2312" w:eastAsia="方正仿宋_GB2312" w:cs="方正仿宋_GB2312"/>
                <w:color w:val="auto"/>
                <w:sz w:val="21"/>
                <w:szCs w:val="21"/>
                <w:highlight w:val="none"/>
                <w:lang w:val="en-US"/>
              </w:rPr>
              <w:t>合以上</w:t>
            </w:r>
            <w:r>
              <w:rPr>
                <w:rFonts w:hint="eastAsia" w:ascii="方正仿宋_GB2312" w:hAnsi="方正仿宋_GB2312" w:eastAsia="方正仿宋_GB2312" w:cs="方正仿宋_GB2312"/>
                <w:color w:val="auto"/>
                <w:sz w:val="21"/>
                <w:szCs w:val="21"/>
                <w:highlight w:val="none"/>
                <w:lang w:val="en-US" w:eastAsia="zh-CN"/>
              </w:rPr>
              <w:t>条件</w:t>
            </w:r>
            <w:r>
              <w:rPr>
                <w:rFonts w:hint="eastAsia" w:ascii="方正仿宋_GB2312" w:hAnsi="方正仿宋_GB2312" w:eastAsia="方正仿宋_GB2312" w:cs="方正仿宋_GB2312"/>
                <w:color w:val="auto"/>
                <w:sz w:val="21"/>
                <w:szCs w:val="21"/>
                <w:highlight w:val="none"/>
                <w:lang w:val="en-US"/>
              </w:rPr>
              <w:t>人员每驻场一年得1分，最高得3分</w:t>
            </w:r>
            <w:r>
              <w:rPr>
                <w:rFonts w:hint="eastAsia" w:ascii="方正仿宋_GB2312" w:hAnsi="方正仿宋_GB2312" w:eastAsia="方正仿宋_GB2312" w:cs="方正仿宋_GB2312"/>
                <w:b w:val="0"/>
                <w:bCs w:val="0"/>
                <w:color w:val="auto"/>
                <w:sz w:val="21"/>
                <w:szCs w:val="21"/>
                <w:highlight w:val="none"/>
                <w:lang w:val="en-US"/>
              </w:rPr>
              <w:t>；</w:t>
            </w:r>
            <w:r>
              <w:rPr>
                <w:rFonts w:hint="eastAsia" w:ascii="方正仿宋_GB2312" w:hAnsi="方正仿宋_GB2312" w:eastAsia="方正仿宋_GB2312" w:cs="方正仿宋_GB2312"/>
                <w:b w:val="0"/>
                <w:bCs w:val="0"/>
                <w:color w:val="auto"/>
                <w:sz w:val="21"/>
                <w:szCs w:val="21"/>
                <w:highlight w:val="none"/>
                <w:lang w:val="en-US" w:eastAsia="zh-CN"/>
              </w:rPr>
              <w:t>（提供相关承诺函）</w:t>
            </w:r>
          </w:p>
          <w:p>
            <w:pPr>
              <w:snapToGrid w:val="0"/>
              <w:spacing w:line="360" w:lineRule="auto"/>
              <w:jc w:val="left"/>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项目</w:t>
            </w:r>
            <w:r>
              <w:rPr>
                <w:rFonts w:hint="eastAsia" w:ascii="方正仿宋_GB2312" w:hAnsi="方正仿宋_GB2312" w:eastAsia="方正仿宋_GB2312" w:cs="方正仿宋_GB2312"/>
                <w:color w:val="auto"/>
                <w:highlight w:val="none"/>
              </w:rPr>
              <w:t>驻场</w:t>
            </w:r>
            <w:r>
              <w:rPr>
                <w:rFonts w:hint="eastAsia" w:ascii="方正仿宋_GB2312" w:hAnsi="方正仿宋_GB2312" w:eastAsia="方正仿宋_GB2312" w:cs="方正仿宋_GB2312"/>
                <w:color w:val="auto"/>
                <w:szCs w:val="21"/>
                <w:highlight w:val="none"/>
              </w:rPr>
              <w:t>人员</w:t>
            </w:r>
            <w:r>
              <w:rPr>
                <w:rFonts w:hint="eastAsia" w:ascii="方正仿宋_GB2312" w:hAnsi="方正仿宋_GB2312" w:eastAsia="方正仿宋_GB2312" w:cs="方正仿宋_GB2312"/>
                <w:color w:val="auto"/>
                <w:szCs w:val="21"/>
                <w:highlight w:val="none"/>
                <w:lang w:val="en-US" w:eastAsia="zh-CN"/>
              </w:rPr>
              <w:t>可以</w:t>
            </w:r>
            <w:r>
              <w:rPr>
                <w:rFonts w:hint="eastAsia" w:ascii="方正仿宋_GB2312" w:hAnsi="方正仿宋_GB2312" w:eastAsia="方正仿宋_GB2312" w:cs="方正仿宋_GB2312"/>
                <w:color w:val="auto"/>
                <w:szCs w:val="21"/>
                <w:highlight w:val="none"/>
              </w:rPr>
              <w:t>投标人自有</w:t>
            </w:r>
            <w:r>
              <w:rPr>
                <w:rFonts w:hint="eastAsia" w:ascii="方正仿宋_GB2312" w:hAnsi="方正仿宋_GB2312" w:eastAsia="方正仿宋_GB2312" w:cs="方正仿宋_GB2312"/>
                <w:color w:val="auto"/>
                <w:szCs w:val="21"/>
                <w:highlight w:val="none"/>
                <w:lang w:val="en-US" w:eastAsia="zh-CN"/>
              </w:rPr>
              <w:t>或服务外包</w:t>
            </w:r>
            <w:r>
              <w:rPr>
                <w:rFonts w:hint="eastAsia" w:ascii="方正仿宋_GB2312" w:hAnsi="方正仿宋_GB2312" w:eastAsia="方正仿宋_GB2312" w:cs="方正仿宋_GB2312"/>
                <w:color w:val="auto"/>
                <w:szCs w:val="21"/>
                <w:highlight w:val="none"/>
              </w:rPr>
              <w:t>，需按要求提供证明材料，否则不得分。</w:t>
            </w:r>
          </w:p>
          <w:p>
            <w:pPr>
              <w:rPr>
                <w:rFonts w:hint="eastAsia" w:ascii="方正仿宋_GB2312" w:hAnsi="方正仿宋_GB2312" w:eastAsia="方正仿宋_GB2312" w:cs="方正仿宋_GB2312"/>
                <w:color w:val="auto"/>
                <w:highlight w:val="none"/>
              </w:rPr>
            </w:pPr>
            <w:r>
              <w:rPr>
                <w:rFonts w:hint="eastAsia" w:ascii="方正仿宋_GB2312" w:hAnsi="方正仿宋_GB2312" w:eastAsia="方正仿宋_GB2312" w:cs="方正仿宋_GB2312"/>
                <w:color w:val="auto"/>
                <w:szCs w:val="21"/>
                <w:highlight w:val="none"/>
              </w:rPr>
              <w:t>证明材料：相关证书复印件、近三个月社保证明或劳动合同。</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3分</w:t>
            </w:r>
          </w:p>
        </w:tc>
        <w:tc>
          <w:tcPr>
            <w:tcW w:w="1620" w:type="dxa"/>
            <w:vAlign w:val="center"/>
          </w:tcPr>
          <w:p>
            <w:pPr>
              <w:snapToGrid w:val="0"/>
              <w:spacing w:line="360" w:lineRule="auto"/>
              <w:jc w:val="center"/>
              <w:rPr>
                <w:rFonts w:hint="eastAsia" w:ascii="方正仿宋_GB2312" w:hAnsi="方正仿宋_GB2312" w:eastAsia="方正仿宋_GB2312" w:cs="方正仿宋_GB2312"/>
                <w:bCs/>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rPr>
              <w:t>1</w:t>
            </w:r>
            <w:r>
              <w:rPr>
                <w:rFonts w:hint="eastAsia" w:ascii="方正仿宋_GB2312" w:hAnsi="方正仿宋_GB2312" w:eastAsia="方正仿宋_GB2312" w:cs="方正仿宋_GB2312"/>
                <w:color w:val="auto"/>
                <w:sz w:val="24"/>
                <w:highlight w:val="none"/>
                <w:lang w:val="en-US" w:eastAsia="zh-CN"/>
              </w:rPr>
              <w:t>6</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szCs w:val="21"/>
                <w:highlight w:val="none"/>
              </w:rPr>
              <w:t>甲方有技术维护需求时要求7*24小时，2小时内响应，4小时内到达现场，到达现场后2小时内解决问题。投保人承诺得1分，不承诺不得分，本项最高得1分。</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1分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响应时间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lang w:eastAsia="zh-CN"/>
              </w:rPr>
            </w:pPr>
            <w:r>
              <w:rPr>
                <w:rFonts w:hint="eastAsia" w:ascii="方正仿宋_GB2312" w:hAnsi="方正仿宋_GB2312" w:eastAsia="方正仿宋_GB2312" w:cs="方正仿宋_GB2312"/>
                <w:color w:val="auto"/>
                <w:sz w:val="24"/>
                <w:highlight w:val="none"/>
              </w:rPr>
              <w:t>1</w:t>
            </w:r>
            <w:r>
              <w:rPr>
                <w:rFonts w:hint="eastAsia" w:ascii="方正仿宋_GB2312" w:hAnsi="方正仿宋_GB2312" w:eastAsia="方正仿宋_GB2312" w:cs="方正仿宋_GB2312"/>
                <w:color w:val="auto"/>
                <w:sz w:val="24"/>
                <w:highlight w:val="none"/>
                <w:lang w:val="en-US" w:eastAsia="zh-CN"/>
              </w:rPr>
              <w:t>7</w:t>
            </w:r>
          </w:p>
        </w:tc>
        <w:tc>
          <w:tcPr>
            <w:tcW w:w="4710" w:type="dxa"/>
            <w:vAlign w:val="center"/>
          </w:tcPr>
          <w:p>
            <w:pPr>
              <w:snapToGrid w:val="0"/>
              <w:spacing w:line="360" w:lineRule="auto"/>
              <w:jc w:val="left"/>
              <w:rPr>
                <w:rFonts w:hint="eastAsia" w:ascii="方正仿宋_GB2312" w:hAnsi="方正仿宋_GB2312" w:eastAsia="方正仿宋_GB2312" w:cs="方正仿宋_GB2312"/>
                <w:color w:val="auto"/>
                <w:sz w:val="21"/>
                <w:szCs w:val="21"/>
                <w:highlight w:val="none"/>
                <w:lang w:eastAsia="zh-CN"/>
              </w:rPr>
            </w:pPr>
            <w:r>
              <w:rPr>
                <w:rFonts w:hint="eastAsia" w:ascii="方正仿宋_GB2312" w:hAnsi="方正仿宋_GB2312" w:eastAsia="方正仿宋_GB2312" w:cs="方正仿宋_GB2312"/>
                <w:color w:val="auto"/>
                <w:szCs w:val="21"/>
                <w:highlight w:val="none"/>
              </w:rPr>
              <w:t>投标人在满足采购需求的基础上，额外每多提供一件符合采购需求的备货的，得1分，否则不得分，本项最高得2分。（附合要求的备货指为不低于本次招标同档产品的核心交换机或</w:t>
            </w:r>
            <w:r>
              <w:rPr>
                <w:rFonts w:hint="eastAsia" w:ascii="方正仿宋_GB2312" w:hAnsi="方正仿宋_GB2312" w:eastAsia="方正仿宋_GB2312" w:cs="方正仿宋_GB2312"/>
                <w:color w:val="auto"/>
                <w:szCs w:val="21"/>
                <w:highlight w:val="none"/>
                <w:lang w:val="en-US" w:eastAsia="zh-CN"/>
              </w:rPr>
              <w:t>全光网</w:t>
            </w:r>
            <w:r>
              <w:rPr>
                <w:rFonts w:hint="eastAsia" w:ascii="方正仿宋_GB2312" w:hAnsi="方正仿宋_GB2312" w:eastAsia="方正仿宋_GB2312" w:cs="方正仿宋_GB2312"/>
                <w:color w:val="auto"/>
                <w:szCs w:val="21"/>
                <w:highlight w:val="none"/>
              </w:rPr>
              <w:t>核心交换机</w:t>
            </w:r>
            <w:r>
              <w:rPr>
                <w:rFonts w:hint="eastAsia" w:ascii="方正仿宋_GB2312" w:hAnsi="方正仿宋_GB2312" w:eastAsia="方正仿宋_GB2312" w:cs="方正仿宋_GB2312"/>
                <w:color w:val="auto"/>
                <w:szCs w:val="21"/>
                <w:highlight w:val="none"/>
                <w:lang w:eastAsia="zh-CN"/>
              </w:rPr>
              <w:t>）</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2分</w:t>
            </w:r>
          </w:p>
        </w:tc>
        <w:tc>
          <w:tcPr>
            <w:tcW w:w="1620"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bCs/>
                <w:color w:val="auto"/>
                <w:sz w:val="24"/>
                <w:highlight w:val="none"/>
              </w:rPr>
              <w:t>客观分</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Cs w:val="21"/>
                <w:highlight w:val="none"/>
              </w:rPr>
            </w:pPr>
            <w:r>
              <w:rPr>
                <w:rFonts w:hint="eastAsia" w:ascii="方正仿宋_GB2312" w:hAnsi="方正仿宋_GB2312" w:eastAsia="方正仿宋_GB2312" w:cs="方正仿宋_GB2312"/>
                <w:color w:val="auto"/>
                <w:szCs w:val="21"/>
                <w:highlight w:val="none"/>
              </w:rPr>
              <w:t>备品备件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0" w:hRule="atLeast"/>
        </w:trPr>
        <w:tc>
          <w:tcPr>
            <w:tcW w:w="675" w:type="dxa"/>
            <w:vAlign w:val="center"/>
          </w:tcPr>
          <w:p>
            <w:pPr>
              <w:snapToGrid w:val="0"/>
              <w:spacing w:line="360" w:lineRule="auto"/>
              <w:jc w:val="center"/>
              <w:rPr>
                <w:rFonts w:hint="default" w:ascii="方正仿宋_GB2312" w:hAnsi="方正仿宋_GB2312" w:eastAsia="方正仿宋_GB2312" w:cs="方正仿宋_GB2312"/>
                <w:color w:val="auto"/>
                <w:sz w:val="24"/>
                <w:highlight w:val="none"/>
                <w:lang w:val="en-US" w:eastAsia="zh-CN"/>
              </w:rPr>
            </w:pPr>
            <w:r>
              <w:rPr>
                <w:rFonts w:hint="eastAsia" w:ascii="方正仿宋_GB2312" w:hAnsi="方正仿宋_GB2312" w:eastAsia="方正仿宋_GB2312" w:cs="方正仿宋_GB2312"/>
                <w:color w:val="auto"/>
                <w:sz w:val="24"/>
                <w:highlight w:val="none"/>
                <w:lang w:val="en-US" w:eastAsia="zh-CN"/>
              </w:rPr>
              <w:t>18</w:t>
            </w:r>
          </w:p>
        </w:tc>
        <w:tc>
          <w:tcPr>
            <w:tcW w:w="4710" w:type="dxa"/>
          </w:tcPr>
          <w:p>
            <w:pPr>
              <w:spacing w:line="360" w:lineRule="auto"/>
              <w:outlineLvl w:val="0"/>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sz w:val="21"/>
                <w:szCs w:val="21"/>
                <w:highlight w:val="none"/>
              </w:rPr>
              <w:t>有效投标报价的最低价作为评标基准价，其最低报价为满分；按［投标报价得分=（评标基准价/投标报价）*30］的计算公式计算。</w:t>
            </w:r>
          </w:p>
          <w:p>
            <w:pPr>
              <w:widowControl/>
              <w:shd w:val="clear" w:color="auto" w:fill="FFFFFF"/>
              <w:adjustRightInd/>
              <w:spacing w:after="225" w:line="360" w:lineRule="auto"/>
              <w:ind w:firstLine="420"/>
              <w:jc w:val="left"/>
              <w:rPr>
                <w:rFonts w:hint="eastAsia" w:ascii="方正仿宋_GB2312" w:hAnsi="方正仿宋_GB2312" w:eastAsia="方正仿宋_GB2312" w:cs="方正仿宋_GB2312"/>
                <w:color w:val="auto"/>
                <w:sz w:val="21"/>
                <w:szCs w:val="21"/>
                <w:highlight w:val="none"/>
              </w:rPr>
            </w:pPr>
            <w:r>
              <w:rPr>
                <w:rFonts w:hint="eastAsia" w:ascii="方正仿宋_GB2312" w:hAnsi="方正仿宋_GB2312" w:eastAsia="方正仿宋_GB2312" w:cs="方正仿宋_GB2312"/>
                <w:color w:val="auto"/>
                <w:sz w:val="21"/>
                <w:szCs w:val="21"/>
                <w:highlight w:val="none"/>
              </w:rPr>
              <w:t>评标过程中，不得去掉报价中的最高报价和最低报价。</w:t>
            </w:r>
          </w:p>
          <w:p>
            <w:pPr>
              <w:widowControl/>
              <w:shd w:val="clear" w:color="auto" w:fill="FFFFFF"/>
              <w:adjustRightInd/>
              <w:spacing w:after="225" w:line="360" w:lineRule="auto"/>
              <w:ind w:firstLine="420"/>
              <w:jc w:val="left"/>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1"/>
                <w:szCs w:val="21"/>
                <w:highlight w:val="none"/>
              </w:rPr>
              <w:t>对于未预留份额专门面向中小企业的政府采购货物项目，以及预留份额政府采购货物项目中的非预留部分标项，对小型和微型企业的投标报价给予</w:t>
            </w:r>
            <w:r>
              <w:rPr>
                <w:rFonts w:hint="eastAsia" w:ascii="方正仿宋_GB2312" w:hAnsi="方正仿宋_GB2312" w:eastAsia="方正仿宋_GB2312" w:cs="方正仿宋_GB2312"/>
                <w:color w:val="auto"/>
                <w:sz w:val="21"/>
                <w:szCs w:val="21"/>
                <w:highlight w:val="none"/>
                <w:u w:val="single"/>
              </w:rPr>
              <w:t>10%</w:t>
            </w:r>
            <w:r>
              <w:rPr>
                <w:rFonts w:hint="eastAsia" w:ascii="方正仿宋_GB2312" w:hAnsi="方正仿宋_GB2312" w:eastAsia="方正仿宋_GB2312" w:cs="方正仿宋_GB2312"/>
                <w:color w:val="auto"/>
                <w:sz w:val="21"/>
                <w:szCs w:val="21"/>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方正仿宋_GB2312" w:hAnsi="方正仿宋_GB2312" w:eastAsia="方正仿宋_GB2312" w:cs="方正仿宋_GB2312"/>
                <w:color w:val="auto"/>
                <w:sz w:val="21"/>
                <w:szCs w:val="21"/>
                <w:highlight w:val="none"/>
                <w:u w:val="single"/>
              </w:rPr>
              <w:t>6%</w:t>
            </w:r>
            <w:r>
              <w:rPr>
                <w:rFonts w:hint="eastAsia" w:ascii="方正仿宋_GB2312" w:hAnsi="方正仿宋_GB2312" w:eastAsia="方正仿宋_GB2312" w:cs="方正仿宋_GB2312"/>
                <w:color w:val="auto"/>
                <w:sz w:val="21"/>
                <w:szCs w:val="21"/>
                <w:highlight w:val="none"/>
              </w:rPr>
              <w:t>的扣除，用扣除后的价格参加评审。</w:t>
            </w:r>
          </w:p>
        </w:tc>
        <w:tc>
          <w:tcPr>
            <w:tcW w:w="825" w:type="dxa"/>
            <w:vAlign w:val="center"/>
          </w:tcPr>
          <w:p>
            <w:pPr>
              <w:snapToGrid w:val="0"/>
              <w:spacing w:line="360" w:lineRule="auto"/>
              <w:jc w:val="center"/>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30分</w:t>
            </w:r>
          </w:p>
        </w:tc>
        <w:tc>
          <w:tcPr>
            <w:tcW w:w="1620" w:type="dxa"/>
            <w:vAlign w:val="center"/>
          </w:tcPr>
          <w:p>
            <w:pPr>
              <w:spacing w:line="360" w:lineRule="auto"/>
              <w:jc w:val="center"/>
              <w:outlineLvl w:val="0"/>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w:t>
            </w:r>
          </w:p>
        </w:tc>
        <w:tc>
          <w:tcPr>
            <w:tcW w:w="1995" w:type="dxa"/>
            <w:vAlign w:val="center"/>
          </w:tcPr>
          <w:p>
            <w:pPr>
              <w:spacing w:line="360" w:lineRule="auto"/>
              <w:jc w:val="center"/>
              <w:outlineLvl w:val="0"/>
              <w:rPr>
                <w:rFonts w:hint="eastAsia" w:ascii="方正仿宋_GB2312" w:hAnsi="方正仿宋_GB2312" w:eastAsia="方正仿宋_GB2312" w:cs="方正仿宋_GB2312"/>
                <w:color w:val="auto"/>
                <w:sz w:val="24"/>
                <w:highlight w:val="none"/>
              </w:rPr>
            </w:pPr>
            <w:r>
              <w:rPr>
                <w:rFonts w:hint="eastAsia" w:ascii="方正仿宋_GB2312" w:hAnsi="方正仿宋_GB2312" w:eastAsia="方正仿宋_GB2312" w:cs="方正仿宋_GB2312"/>
                <w:color w:val="auto"/>
                <w:sz w:val="24"/>
                <w:highlight w:val="none"/>
              </w:rPr>
              <w:t>/</w:t>
            </w:r>
          </w:p>
        </w:tc>
      </w:tr>
    </w:tbl>
    <w:p>
      <w:pPr>
        <w:rPr>
          <w:rFonts w:ascii="宋体" w:hAnsi="宋体" w:cs="宋体"/>
          <w:color w:val="auto"/>
          <w:highlight w:val="none"/>
        </w:rPr>
      </w:pPr>
    </w:p>
    <w:p>
      <w:pPr>
        <w:snapToGrid w:val="0"/>
        <w:spacing w:line="360" w:lineRule="auto"/>
        <w:rPr>
          <w:rFonts w:hint="eastAsia" w:ascii="宋体" w:hAnsi="宋体" w:cs="宋体"/>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w:t>
      </w:r>
    </w:p>
    <w:p>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29"/>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129"/>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pPr>
        <w:pStyle w:val="3"/>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pPr>
        <w:pStyle w:val="3"/>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pPr>
        <w:pStyle w:val="3"/>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3"/>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pPr>
        <w:pStyle w:val="3"/>
        <w:snapToGrid w:val="0"/>
        <w:spacing w:line="360" w:lineRule="auto"/>
        <w:rPr>
          <w:rFonts w:cs="宋体"/>
          <w:color w:val="auto"/>
          <w:highlight w:val="none"/>
        </w:rPr>
      </w:pPr>
      <w:r>
        <w:rPr>
          <w:rFonts w:hint="eastAsia" w:cs="宋体"/>
          <w:color w:val="auto"/>
          <w:highlight w:val="none"/>
        </w:rPr>
        <w:t>5.4因重大变故，采购任务取消的。</w:t>
      </w:r>
    </w:p>
    <w:p>
      <w:pPr>
        <w:pStyle w:val="3"/>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pPr>
        <w:pStyle w:val="3"/>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pPr>
        <w:pStyle w:val="3"/>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pPr>
        <w:pStyle w:val="3"/>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pPr>
        <w:pStyle w:val="3"/>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3"/>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pPr>
        <w:pStyle w:val="3"/>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pPr>
        <w:pStyle w:val="3"/>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3"/>
        <w:snapToGrid w:val="0"/>
        <w:spacing w:line="360" w:lineRule="auto"/>
        <w:ind w:firstLine="0" w:firstLineChars="0"/>
        <w:rPr>
          <w:rFonts w:cs="宋体"/>
          <w:color w:val="auto"/>
          <w:highlight w:val="none"/>
        </w:rPr>
      </w:pPr>
    </w:p>
    <w:bookmarkEnd w:id="31"/>
    <w:p>
      <w:pPr>
        <w:spacing w:line="240" w:lineRule="auto"/>
        <w:ind w:left="0" w:leftChars="0" w:firstLine="0" w:firstLineChars="0"/>
        <w:outlineLvl w:val="9"/>
        <w:rPr>
          <w:rFonts w:ascii="宋体" w:hAnsi="宋体" w:cs="宋体"/>
          <w:b/>
          <w:color w:val="auto"/>
          <w:sz w:val="36"/>
          <w:szCs w:val="36"/>
          <w:highlight w:val="none"/>
        </w:rPr>
      </w:pPr>
      <w:bookmarkStart w:id="32" w:name="第五部分"/>
      <w:bookmarkStart w:id="33" w:name="_Toc86217003"/>
      <w:r>
        <w:rPr>
          <w:rFonts w:ascii="宋体" w:hAnsi="宋体" w:cs="宋体"/>
          <w:b/>
          <w:color w:val="auto"/>
          <w:sz w:val="36"/>
          <w:szCs w:val="36"/>
          <w:highlight w:val="none"/>
        </w:rPr>
        <w:br w:type="page"/>
      </w:r>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pPr>
        <w:spacing w:line="480" w:lineRule="auto"/>
        <w:jc w:val="center"/>
        <w:rPr>
          <w:rFonts w:ascii="宋体" w:hAnsi="宋体" w:cs="宋体"/>
          <w:b/>
          <w:color w:val="auto"/>
          <w:sz w:val="28"/>
          <w:szCs w:val="28"/>
          <w:highlight w:val="none"/>
        </w:rPr>
      </w:pPr>
    </w:p>
    <w:p>
      <w:pPr>
        <w:spacing w:line="480" w:lineRule="auto"/>
        <w:jc w:val="center"/>
        <w:rPr>
          <w:rFonts w:ascii="宋体" w:hAnsi="宋体" w:cs="宋体"/>
          <w:b/>
          <w:color w:val="auto"/>
          <w:sz w:val="24"/>
          <w:highlight w:val="none"/>
        </w:rPr>
      </w:pPr>
    </w:p>
    <w:p>
      <w:pPr>
        <w:spacing w:line="480" w:lineRule="auto"/>
        <w:jc w:val="center"/>
        <w:rPr>
          <w:rFonts w:ascii="宋体" w:hAnsi="宋体" w:cs="宋体"/>
          <w:b/>
          <w:color w:val="auto"/>
          <w:sz w:val="24"/>
          <w:highlight w:val="none"/>
        </w:rPr>
      </w:pPr>
    </w:p>
    <w:p>
      <w:pPr>
        <w:jc w:val="center"/>
        <w:rPr>
          <w:rFonts w:ascii="宋体" w:hAnsi="宋体" w:cs="宋体"/>
          <w:bCs/>
          <w:color w:val="auto"/>
          <w:sz w:val="44"/>
          <w:szCs w:val="44"/>
          <w:highlight w:val="none"/>
        </w:rPr>
      </w:pPr>
      <w:r>
        <w:rPr>
          <w:rFonts w:hint="eastAsia" w:ascii="宋体" w:hAnsi="宋体" w:cs="宋体"/>
          <w:bCs/>
          <w:color w:val="auto"/>
          <w:sz w:val="44"/>
          <w:szCs w:val="44"/>
          <w:highlight w:val="none"/>
        </w:rPr>
        <w:t>杭州市上城区教育系统政府采购合同</w:t>
      </w:r>
    </w:p>
    <w:p>
      <w:pPr>
        <w:jc w:val="center"/>
        <w:rPr>
          <w:rFonts w:ascii="宋体" w:hAnsi="宋体"/>
          <w:color w:val="auto"/>
          <w:sz w:val="36"/>
          <w:szCs w:val="36"/>
          <w:highlight w:val="none"/>
        </w:rPr>
      </w:pPr>
      <w:r>
        <w:rPr>
          <w:rFonts w:hint="eastAsia" w:ascii="宋体" w:hAnsi="宋体" w:cs="宋体"/>
          <w:bCs/>
          <w:color w:val="auto"/>
          <w:sz w:val="44"/>
          <w:szCs w:val="44"/>
          <w:highlight w:val="none"/>
        </w:rPr>
        <w:t>（货物类）</w:t>
      </w:r>
    </w:p>
    <w:p>
      <w:pPr>
        <w:jc w:val="center"/>
        <w:rPr>
          <w:rFonts w:ascii="宋体" w:hAnsi="宋体"/>
          <w:b/>
          <w:color w:val="auto"/>
          <w:sz w:val="72"/>
          <w:szCs w:val="72"/>
          <w:highlight w:val="none"/>
        </w:rPr>
      </w:pPr>
      <w:r>
        <w:rPr>
          <w:rFonts w:hint="eastAsia" w:ascii="仿宋_GB2312" w:hAnsi="仿宋" w:eastAsia="仿宋_GB2312" w:cs="仿宋_GB2312"/>
          <w:b/>
          <w:color w:val="auto"/>
          <w:sz w:val="36"/>
          <w:szCs w:val="36"/>
          <w:highlight w:val="none"/>
        </w:rPr>
        <w:t>范本</w:t>
      </w:r>
    </w:p>
    <w:p>
      <w:pPr>
        <w:jc w:val="center"/>
        <w:rPr>
          <w:rFonts w:ascii="宋体" w:hAnsi="宋体"/>
          <w:b/>
          <w:color w:val="auto"/>
          <w:sz w:val="72"/>
          <w:szCs w:val="72"/>
          <w:highlight w:val="none"/>
        </w:rPr>
      </w:pPr>
    </w:p>
    <w:p>
      <w:pPr>
        <w:pStyle w:val="5"/>
        <w:rPr>
          <w:color w:val="auto"/>
          <w:highlight w:val="none"/>
        </w:rPr>
      </w:pPr>
    </w:p>
    <w:p>
      <w:pPr>
        <w:snapToGrid w:val="0"/>
        <w:spacing w:line="480" w:lineRule="auto"/>
        <w:ind w:left="1600" w:right="-370" w:rightChars="-176" w:hanging="1600" w:hangingChars="500"/>
        <w:jc w:val="left"/>
        <w:rPr>
          <w:rFonts w:ascii="仿宋_GB2312" w:hAnsi="宋体" w:eastAsia="仿宋_GB2312"/>
          <w:color w:val="auto"/>
          <w:sz w:val="32"/>
          <w:szCs w:val="32"/>
          <w:highlight w:val="none"/>
          <w:u w:val="single"/>
        </w:rPr>
      </w:pPr>
      <w:r>
        <w:rPr>
          <w:rFonts w:hint="eastAsia" w:ascii="仿宋_GB2312" w:hAnsi="宋体" w:eastAsia="仿宋_GB2312"/>
          <w:color w:val="auto"/>
          <w:sz w:val="32"/>
          <w:szCs w:val="32"/>
          <w:highlight w:val="none"/>
        </w:rPr>
        <w:t>项目名称：</w:t>
      </w:r>
      <w:r>
        <w:rPr>
          <w:rFonts w:hint="eastAsia" w:ascii="仿宋_GB2312" w:hAnsi="宋体" w:eastAsia="仿宋_GB2312"/>
          <w:color w:val="auto"/>
          <w:sz w:val="32"/>
          <w:szCs w:val="32"/>
          <w:highlight w:val="none"/>
          <w:u w:val="single"/>
          <w:lang w:eastAsia="zh-CN"/>
        </w:rPr>
        <w:t>2024年杭州市上城区教育系统网络改造项目</w:t>
      </w:r>
    </w:p>
    <w:p>
      <w:pPr>
        <w:spacing w:line="480" w:lineRule="auto"/>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招标文件编号：</w:t>
      </w:r>
      <w:r>
        <w:rPr>
          <w:rFonts w:hint="eastAsia" w:ascii="仿宋_GB2312" w:hAnsi="宋体" w:eastAsia="仿宋_GB2312"/>
          <w:color w:val="auto"/>
          <w:sz w:val="32"/>
          <w:szCs w:val="32"/>
          <w:highlight w:val="none"/>
          <w:u w:val="none"/>
        </w:rPr>
        <w:t xml:space="preserve"> </w:t>
      </w:r>
      <w:r>
        <w:rPr>
          <w:rFonts w:hint="eastAsia" w:ascii="仿宋_GB2312" w:hAnsi="宋体" w:eastAsia="仿宋_GB2312" w:cs="Times New Roman"/>
          <w:color w:val="auto"/>
          <w:sz w:val="32"/>
          <w:szCs w:val="32"/>
          <w:highlight w:val="none"/>
          <w:lang w:eastAsia="zh-CN"/>
        </w:rPr>
        <w:t>OBZB-2024-0523</w:t>
      </w:r>
      <w:r>
        <w:rPr>
          <w:rFonts w:hint="eastAsia" w:ascii="仿宋_GB2312" w:hAnsi="宋体" w:eastAsia="仿宋_GB2312"/>
          <w:color w:val="auto"/>
          <w:sz w:val="32"/>
          <w:szCs w:val="32"/>
          <w:highlight w:val="none"/>
          <w:u w:val="none"/>
        </w:rPr>
        <w:t xml:space="preserve"> </w:t>
      </w:r>
    </w:p>
    <w:p>
      <w:pPr>
        <w:spacing w:line="480" w:lineRule="auto"/>
        <w:rPr>
          <w:rFonts w:ascii="仿宋_GB2312" w:hAnsi="宋体" w:eastAsia="仿宋_GB2312"/>
          <w:color w:val="auto"/>
          <w:sz w:val="32"/>
          <w:szCs w:val="32"/>
          <w:highlight w:val="none"/>
          <w:u w:val="single"/>
        </w:rPr>
      </w:pPr>
      <w:r>
        <w:rPr>
          <w:rFonts w:hint="eastAsia" w:ascii="仿宋_GB2312" w:hAnsi="宋体" w:eastAsia="仿宋_GB2312"/>
          <w:color w:val="auto"/>
          <w:sz w:val="32"/>
          <w:szCs w:val="32"/>
          <w:highlight w:val="none"/>
        </w:rPr>
        <w:t>甲方合同编号：</w:t>
      </w:r>
      <w:r>
        <w:rPr>
          <w:rFonts w:hint="eastAsia" w:ascii="仿宋_GB2312" w:hAnsi="宋体" w:eastAsia="仿宋_GB2312"/>
          <w:color w:val="auto"/>
          <w:sz w:val="32"/>
          <w:szCs w:val="32"/>
          <w:highlight w:val="none"/>
          <w:u w:val="none"/>
        </w:rPr>
        <w:t xml:space="preserve"> </w:t>
      </w:r>
      <w:r>
        <w:rPr>
          <w:rFonts w:hint="eastAsia" w:ascii="仿宋_GB2312" w:hAnsi="宋体" w:eastAsia="仿宋_GB2312" w:cs="Times New Roman"/>
          <w:color w:val="auto"/>
          <w:sz w:val="32"/>
          <w:szCs w:val="32"/>
          <w:highlight w:val="none"/>
          <w:u w:val="none"/>
          <w:lang w:eastAsia="zh-CN"/>
        </w:rPr>
        <w:t>OBZB-2024-0523</w:t>
      </w:r>
      <w:r>
        <w:rPr>
          <w:rFonts w:hint="eastAsia" w:ascii="仿宋_GB2312" w:hAnsi="宋体" w:eastAsia="仿宋_GB2312"/>
          <w:color w:val="auto"/>
          <w:sz w:val="32"/>
          <w:szCs w:val="32"/>
          <w:highlight w:val="none"/>
          <w:u w:val="none"/>
          <w:lang w:val="en-US" w:eastAsia="zh-CN"/>
        </w:rPr>
        <w:t xml:space="preserve">  </w:t>
      </w:r>
    </w:p>
    <w:p>
      <w:pPr>
        <w:spacing w:line="480" w:lineRule="auto"/>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采购单位：杭州市上城区教育发展服务中心</w:t>
      </w:r>
    </w:p>
    <w:p>
      <w:pPr>
        <w:spacing w:line="480" w:lineRule="auto"/>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 xml:space="preserve">供应商： </w:t>
      </w:r>
    </w:p>
    <w:p>
      <w:pPr>
        <w:rPr>
          <w:rFonts w:ascii="仿宋_GB2312" w:hAnsi="宋体" w:eastAsia="仿宋_GB2312"/>
          <w:color w:val="auto"/>
          <w:sz w:val="32"/>
          <w:szCs w:val="32"/>
          <w:highlight w:val="none"/>
        </w:rPr>
      </w:pPr>
    </w:p>
    <w:p>
      <w:pPr>
        <w:jc w:val="center"/>
        <w:rPr>
          <w:rFonts w:hint="eastAsia"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 xml:space="preserve">签订时间：   </w:t>
      </w:r>
      <w:r>
        <w:rPr>
          <w:rFonts w:ascii="仿宋_GB2312" w:hAnsi="宋体" w:eastAsia="仿宋_GB2312"/>
          <w:color w:val="auto"/>
          <w:sz w:val="32"/>
          <w:szCs w:val="32"/>
          <w:highlight w:val="none"/>
        </w:rPr>
        <w:t>202</w:t>
      </w:r>
      <w:r>
        <w:rPr>
          <w:rFonts w:hint="eastAsia" w:ascii="仿宋_GB2312" w:hAnsi="宋体" w:eastAsia="仿宋_GB2312"/>
          <w:color w:val="auto"/>
          <w:sz w:val="32"/>
          <w:szCs w:val="32"/>
          <w:highlight w:val="none"/>
          <w:lang w:val="en-US" w:eastAsia="zh-CN"/>
        </w:rPr>
        <w:t>4</w:t>
      </w:r>
      <w:r>
        <w:rPr>
          <w:rFonts w:hint="eastAsia" w:ascii="仿宋_GB2312" w:hAnsi="宋体" w:eastAsia="仿宋_GB2312"/>
          <w:color w:val="auto"/>
          <w:sz w:val="32"/>
          <w:szCs w:val="32"/>
          <w:highlight w:val="none"/>
        </w:rPr>
        <w:t>年    月    日</w:t>
      </w:r>
    </w:p>
    <w:p>
      <w:pPr>
        <w:pStyle w:val="2"/>
        <w:rPr>
          <w:rFonts w:hint="eastAsia" w:ascii="仿宋_GB2312" w:hAnsi="宋体" w:eastAsia="仿宋_GB2312"/>
          <w:color w:val="auto"/>
          <w:sz w:val="32"/>
          <w:szCs w:val="32"/>
          <w:highlight w:val="none"/>
        </w:rPr>
      </w:pPr>
    </w:p>
    <w:p>
      <w:pPr>
        <w:rPr>
          <w:rFonts w:hint="eastAsia" w:ascii="仿宋_GB2312" w:hAnsi="宋体" w:eastAsia="仿宋_GB2312"/>
          <w:color w:val="auto"/>
          <w:sz w:val="32"/>
          <w:szCs w:val="32"/>
          <w:highlight w:val="none"/>
        </w:rPr>
      </w:pPr>
    </w:p>
    <w:p>
      <w:pPr>
        <w:pStyle w:val="2"/>
        <w:rPr>
          <w:rFonts w:hint="eastAsia" w:ascii="仿宋_GB2312" w:hAnsi="宋体" w:eastAsia="仿宋_GB2312"/>
          <w:color w:val="auto"/>
          <w:sz w:val="32"/>
          <w:szCs w:val="32"/>
          <w:highlight w:val="none"/>
        </w:rPr>
      </w:pPr>
    </w:p>
    <w:p>
      <w:pPr>
        <w:rPr>
          <w:rFonts w:hint="eastAsia" w:ascii="仿宋_GB2312" w:hAnsi="宋体" w:eastAsia="仿宋_GB2312"/>
          <w:color w:val="auto"/>
          <w:sz w:val="32"/>
          <w:szCs w:val="32"/>
          <w:highlight w:val="none"/>
        </w:rPr>
      </w:pPr>
    </w:p>
    <w:p>
      <w:pPr>
        <w:pStyle w:val="2"/>
        <w:rPr>
          <w:rFonts w:hint="eastAsia"/>
          <w:color w:val="auto"/>
          <w:highlight w:val="none"/>
        </w:rPr>
      </w:pPr>
    </w:p>
    <w:p>
      <w:pPr>
        <w:pStyle w:val="2"/>
        <w:rPr>
          <w:rFonts w:hint="eastAsia" w:ascii="仿宋_GB2312" w:hAnsi="宋体" w:eastAsia="仿宋_GB2312"/>
          <w:color w:val="auto"/>
          <w:sz w:val="32"/>
          <w:szCs w:val="32"/>
          <w:highlight w:val="none"/>
        </w:rPr>
      </w:pPr>
    </w:p>
    <w:p>
      <w:pPr>
        <w:rPr>
          <w:color w:val="auto"/>
          <w:highlight w:val="none"/>
        </w:rPr>
      </w:pPr>
    </w:p>
    <w:p>
      <w:pPr>
        <w:snapToGrid w:val="0"/>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根据《中华人民共和国政府采购法》和实施条例以及《中华人民共和国</w:t>
      </w:r>
      <w:r>
        <w:rPr>
          <w:rFonts w:hint="eastAsia" w:ascii="仿宋_GB2312" w:hAnsi="宋体" w:eastAsia="仿宋_GB2312"/>
          <w:color w:val="auto"/>
          <w:sz w:val="24"/>
          <w:highlight w:val="none"/>
          <w:lang w:val="en-US" w:eastAsia="zh-CN"/>
        </w:rPr>
        <w:t>民法典</w:t>
      </w:r>
      <w:r>
        <w:rPr>
          <w:rFonts w:hint="eastAsia" w:ascii="仿宋_GB2312" w:hAnsi="宋体" w:eastAsia="仿宋_GB2312"/>
          <w:color w:val="auto"/>
          <w:sz w:val="24"/>
          <w:highlight w:val="none"/>
        </w:rPr>
        <w:t>》等相关法律法规和</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u w:val="single"/>
          <w:lang w:eastAsia="zh-CN"/>
        </w:rPr>
        <w:t>2024年杭州市上城区教育系统网络改造项目</w:t>
      </w:r>
      <w:r>
        <w:rPr>
          <w:rFonts w:hint="eastAsia" w:ascii="仿宋_GB2312" w:hAnsi="宋体" w:eastAsia="仿宋_GB2312"/>
          <w:color w:val="auto"/>
          <w:sz w:val="24"/>
          <w:highlight w:val="none"/>
        </w:rPr>
        <w:t>（采购编号：</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u w:val="single"/>
          <w:lang w:eastAsia="zh-CN"/>
        </w:rPr>
        <w:t>OBZB-2024-0523</w:t>
      </w:r>
      <w:r>
        <w:rPr>
          <w:rFonts w:hint="eastAsia" w:ascii="仿宋_GB2312" w:hAnsi="宋体" w:eastAsia="仿宋_GB2312"/>
          <w:color w:val="auto"/>
          <w:sz w:val="24"/>
          <w:highlight w:val="none"/>
        </w:rPr>
        <w:t>）的中标情况，由采购单位</w:t>
      </w:r>
      <w:r>
        <w:rPr>
          <w:rFonts w:hint="eastAsia" w:ascii="仿宋_GB2312" w:hAnsi="宋体" w:eastAsia="仿宋_GB2312"/>
          <w:color w:val="auto"/>
          <w:sz w:val="24"/>
          <w:highlight w:val="none"/>
          <w:u w:val="single"/>
        </w:rPr>
        <w:t>杭州市上城区教育发展服务中心</w:t>
      </w:r>
      <w:r>
        <w:rPr>
          <w:rFonts w:hint="eastAsia" w:ascii="仿宋_GB2312" w:hAnsi="宋体" w:eastAsia="仿宋_GB2312"/>
          <w:color w:val="auto"/>
          <w:sz w:val="24"/>
          <w:highlight w:val="none"/>
        </w:rPr>
        <w:t>（以下简称甲方）与经评审最终确定的中标供应商（以下简称乙方）结合本项目具体情况，遵循平等、自愿、公平、诚实信用的原则，经协商一致，达成以下合同条款:</w:t>
      </w:r>
    </w:p>
    <w:p>
      <w:pPr>
        <w:numPr>
          <w:ilvl w:val="0"/>
          <w:numId w:val="9"/>
        </w:numPr>
        <w:adjustRightInd/>
        <w:spacing w:line="360" w:lineRule="auto"/>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  合同文件</w:t>
      </w:r>
    </w:p>
    <w:p>
      <w:pPr>
        <w:spacing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下列与本次采购活动</w:t>
      </w:r>
      <w:r>
        <w:rPr>
          <w:rFonts w:hint="eastAsia" w:ascii="仿宋_GB2312" w:hAnsi="宋体" w:eastAsia="仿宋_GB2312"/>
          <w:color w:val="auto"/>
          <w:sz w:val="24"/>
          <w:highlight w:val="none"/>
        </w:rPr>
        <w:t>有关</w:t>
      </w:r>
      <w:r>
        <w:rPr>
          <w:rFonts w:ascii="仿宋_GB2312" w:hAnsi="宋体" w:eastAsia="仿宋_GB2312"/>
          <w:color w:val="auto"/>
          <w:sz w:val="24"/>
          <w:highlight w:val="none"/>
        </w:rPr>
        <w:t>的文件及附件是本合同不可分割的组成部分，与本合同具有同等法律效力，这些文件包括但不限于：</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1.（采购编号：</w:t>
      </w:r>
      <w:r>
        <w:rPr>
          <w:rFonts w:hint="eastAsia" w:ascii="仿宋_GB2312" w:hAnsi="宋体" w:eastAsia="仿宋_GB2312"/>
          <w:color w:val="auto"/>
          <w:sz w:val="24"/>
          <w:highlight w:val="none"/>
          <w:lang w:eastAsia="zh-CN"/>
        </w:rPr>
        <w:t>OBZB-2024-0523</w:t>
      </w:r>
      <w:r>
        <w:rPr>
          <w:rFonts w:hint="eastAsia" w:ascii="仿宋_GB2312" w:hAnsi="宋体" w:eastAsia="仿宋_GB2312"/>
          <w:color w:val="auto"/>
          <w:sz w:val="24"/>
          <w:highlight w:val="none"/>
        </w:rPr>
        <w:t xml:space="preserve"> ）招标采购文件</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2.投标文件</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3.乙方在投标时的书面承诺</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4.（采购编号：</w:t>
      </w:r>
      <w:r>
        <w:rPr>
          <w:rFonts w:hint="eastAsia" w:ascii="仿宋_GB2312" w:hAnsi="宋体" w:eastAsia="仿宋_GB2312"/>
          <w:color w:val="auto"/>
          <w:sz w:val="24"/>
          <w:highlight w:val="none"/>
          <w:lang w:eastAsia="zh-CN"/>
        </w:rPr>
        <w:t>OBZB-2024-0523</w:t>
      </w:r>
      <w:r>
        <w:rPr>
          <w:rFonts w:hint="eastAsia" w:ascii="仿宋_GB2312" w:hAnsi="宋体" w:eastAsia="仿宋_GB2312"/>
          <w:color w:val="auto"/>
          <w:sz w:val="24"/>
          <w:highlight w:val="none"/>
        </w:rPr>
        <w:t xml:space="preserve"> ）中标通知书</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5.合同补充条款或说明</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6.保密协议或条款</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7.相关附件、图纸</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第二条  合同标的</w:t>
      </w:r>
    </w:p>
    <w:p>
      <w:pPr>
        <w:spacing w:line="360" w:lineRule="auto"/>
        <w:ind w:firstLine="482" w:firstLineChars="200"/>
        <w:rPr>
          <w:rFonts w:ascii="仿宋_GB2312" w:hAnsi="宋体" w:eastAsia="仿宋_GB2312"/>
          <w:color w:val="auto"/>
          <w:sz w:val="24"/>
          <w:highlight w:val="none"/>
        </w:rPr>
      </w:pPr>
      <w:r>
        <w:rPr>
          <w:rFonts w:hint="eastAsia" w:ascii="仿宋_GB2312" w:eastAsia="仿宋_GB2312"/>
          <w:b/>
          <w:color w:val="auto"/>
          <w:sz w:val="24"/>
          <w:highlight w:val="none"/>
        </w:rPr>
        <w:t>2.1</w:t>
      </w:r>
      <w:r>
        <w:rPr>
          <w:rFonts w:ascii="仿宋_GB2312" w:hAnsi="宋体" w:eastAsia="仿宋_GB2312"/>
          <w:color w:val="auto"/>
          <w:sz w:val="24"/>
          <w:highlight w:val="none"/>
        </w:rPr>
        <w:t>乙方根据甲方需求提供下列货物，货物名称、规格及数量</w:t>
      </w:r>
      <w:r>
        <w:rPr>
          <w:rFonts w:hint="eastAsia" w:ascii="仿宋_GB2312" w:hAnsi="宋体" w:eastAsia="仿宋_GB2312"/>
          <w:color w:val="auto"/>
          <w:sz w:val="24"/>
          <w:highlight w:val="none"/>
        </w:rPr>
        <w:t>，备件、易损件和专用工具等（</w:t>
      </w:r>
      <w:r>
        <w:rPr>
          <w:rFonts w:ascii="仿宋_GB2312" w:hAnsi="宋体" w:eastAsia="仿宋_GB2312"/>
          <w:color w:val="auto"/>
          <w:sz w:val="24"/>
          <w:highlight w:val="none"/>
        </w:rPr>
        <w:t>详见</w:t>
      </w:r>
      <w:r>
        <w:rPr>
          <w:rFonts w:hint="eastAsia" w:ascii="仿宋_GB2312" w:hAnsi="宋体" w:eastAsia="仿宋_GB2312"/>
          <w:color w:val="auto"/>
          <w:sz w:val="24"/>
          <w:highlight w:val="none"/>
        </w:rPr>
        <w:t>《</w:t>
      </w:r>
      <w:r>
        <w:rPr>
          <w:rFonts w:ascii="仿宋_GB2312" w:hAnsi="宋体" w:eastAsia="仿宋_GB2312"/>
          <w:color w:val="auto"/>
          <w:sz w:val="24"/>
          <w:highlight w:val="none"/>
        </w:rPr>
        <w:t>供货一览表</w:t>
      </w:r>
      <w:r>
        <w:rPr>
          <w:rFonts w:hint="eastAsia" w:ascii="仿宋_GB2312" w:hAnsi="宋体" w:eastAsia="仿宋_GB2312"/>
          <w:color w:val="auto"/>
          <w:sz w:val="24"/>
          <w:highlight w:val="none"/>
        </w:rPr>
        <w:t>》）。</w:t>
      </w:r>
    </w:p>
    <w:p>
      <w:pPr>
        <w:spacing w:line="460" w:lineRule="exact"/>
        <w:ind w:firstLine="482" w:firstLineChars="200"/>
        <w:rPr>
          <w:rFonts w:ascii="仿宋_GB2312" w:eastAsia="仿宋_GB2312"/>
          <w:b/>
          <w:color w:val="auto"/>
          <w:sz w:val="24"/>
          <w:highlight w:val="none"/>
        </w:rPr>
      </w:pPr>
      <w:r>
        <w:rPr>
          <w:rFonts w:hint="eastAsia" w:ascii="仿宋_GB2312" w:eastAsia="仿宋_GB2312"/>
          <w:b/>
          <w:color w:val="auto"/>
          <w:sz w:val="24"/>
          <w:highlight w:val="none"/>
        </w:rPr>
        <w:t>2.2基本</w:t>
      </w:r>
      <w:r>
        <w:rPr>
          <w:rFonts w:ascii="仿宋_GB2312" w:eastAsia="仿宋_GB2312"/>
          <w:b/>
          <w:color w:val="auto"/>
          <w:sz w:val="24"/>
          <w:highlight w:val="none"/>
        </w:rPr>
        <w:t>情况</w:t>
      </w:r>
    </w:p>
    <w:p>
      <w:pPr>
        <w:tabs>
          <w:tab w:val="left" w:pos="8025"/>
        </w:tabs>
        <w:spacing w:line="460" w:lineRule="exact"/>
        <w:ind w:left="105" w:leftChars="50" w:firstLine="360" w:firstLineChars="150"/>
        <w:rPr>
          <w:rFonts w:ascii="仿宋_GB2312" w:hAnsi="宋体" w:eastAsia="仿宋_GB2312" w:cs="宋体-18030"/>
          <w:color w:val="auto"/>
          <w:sz w:val="24"/>
          <w:highlight w:val="none"/>
          <w:u w:val="single"/>
        </w:rPr>
      </w:pPr>
      <w:r>
        <w:rPr>
          <w:rFonts w:hint="eastAsia" w:ascii="仿宋_GB2312" w:hAnsi="宋体" w:eastAsia="仿宋_GB2312" w:cs="宋体-18030"/>
          <w:color w:val="auto"/>
          <w:sz w:val="24"/>
          <w:highlight w:val="none"/>
        </w:rPr>
        <w:t>2.2.1名称：</w:t>
      </w:r>
      <w:r>
        <w:rPr>
          <w:rFonts w:hint="eastAsia" w:ascii="仿宋_GB2312" w:hAnsi="宋体" w:eastAsia="仿宋_GB2312" w:cs="宋体-18030"/>
          <w:color w:val="auto"/>
          <w:sz w:val="24"/>
          <w:highlight w:val="none"/>
          <w:u w:val="single"/>
          <w:lang w:eastAsia="zh-CN"/>
        </w:rPr>
        <w:t>2024年杭州市上城区教育系统网络改造项目</w:t>
      </w:r>
    </w:p>
    <w:p>
      <w:pPr>
        <w:tabs>
          <w:tab w:val="left" w:pos="8025"/>
        </w:tabs>
        <w:spacing w:line="460" w:lineRule="exact"/>
        <w:ind w:left="105" w:leftChars="50" w:firstLine="360" w:firstLineChars="150"/>
        <w:rPr>
          <w:rFonts w:ascii="仿宋_GB2312" w:hAnsi="宋体" w:eastAsia="仿宋_GB2312" w:cs="宋体-18030"/>
          <w:color w:val="auto"/>
          <w:sz w:val="24"/>
          <w:highlight w:val="none"/>
        </w:rPr>
      </w:pPr>
      <w:r>
        <w:rPr>
          <w:rFonts w:hint="eastAsia" w:ascii="仿宋_GB2312" w:hAnsi="宋体" w:eastAsia="仿宋_GB2312" w:cs="宋体-18030"/>
          <w:color w:val="auto"/>
          <w:sz w:val="24"/>
          <w:highlight w:val="none"/>
        </w:rPr>
        <w:t>2.2合同编号：</w:t>
      </w:r>
      <w:r>
        <w:rPr>
          <w:rFonts w:hint="eastAsia" w:ascii="仿宋_GB2312" w:hAnsi="宋体" w:eastAsia="仿宋_GB2312" w:cs="宋体-18030"/>
          <w:color w:val="auto"/>
          <w:sz w:val="24"/>
          <w:highlight w:val="none"/>
          <w:u w:val="single"/>
          <w:lang w:eastAsia="zh-CN"/>
        </w:rPr>
        <w:t>OBZB-2024-0523</w:t>
      </w:r>
      <w:r>
        <w:rPr>
          <w:rFonts w:hint="eastAsia" w:ascii="仿宋_GB2312" w:hAnsi="宋体" w:eastAsia="仿宋_GB2312" w:cs="宋体-18030"/>
          <w:color w:val="auto"/>
          <w:sz w:val="24"/>
          <w:highlight w:val="none"/>
          <w:u w:val="single"/>
        </w:rPr>
        <w:t xml:space="preserve"> </w:t>
      </w:r>
      <w:r>
        <w:rPr>
          <w:rFonts w:hint="eastAsia" w:ascii="仿宋_GB2312" w:hAnsi="宋体" w:eastAsia="仿宋_GB2312" w:cs="宋体"/>
          <w:color w:val="auto"/>
          <w:kern w:val="0"/>
          <w:sz w:val="24"/>
          <w:highlight w:val="none"/>
        </w:rPr>
        <w:t>。</w:t>
      </w:r>
    </w:p>
    <w:p>
      <w:pPr>
        <w:spacing w:line="460" w:lineRule="exact"/>
        <w:ind w:left="105" w:leftChars="50" w:firstLine="360" w:firstLineChars="150"/>
        <w:rPr>
          <w:rFonts w:ascii="仿宋_GB2312" w:hAnsi="宋体" w:eastAsia="仿宋_GB2312" w:cs="宋体-18030"/>
          <w:color w:val="auto"/>
          <w:sz w:val="24"/>
          <w:highlight w:val="none"/>
          <w:u w:val="single"/>
        </w:rPr>
      </w:pPr>
      <w:r>
        <w:rPr>
          <w:rFonts w:hint="eastAsia" w:ascii="仿宋_GB2312" w:hAnsi="宋体" w:eastAsia="仿宋_GB2312" w:cs="宋体-18030"/>
          <w:color w:val="auto"/>
          <w:sz w:val="24"/>
          <w:highlight w:val="none"/>
        </w:rPr>
        <w:t>2.3类型：本</w:t>
      </w:r>
      <w:r>
        <w:rPr>
          <w:rFonts w:ascii="仿宋_GB2312" w:hAnsi="宋体" w:eastAsia="仿宋_GB2312" w:cs="宋体-18030"/>
          <w:color w:val="auto"/>
          <w:sz w:val="24"/>
          <w:highlight w:val="none"/>
        </w:rPr>
        <w:t>合同为</w:t>
      </w:r>
      <w:r>
        <w:rPr>
          <w:rFonts w:hint="eastAsia" w:ascii="仿宋_GB2312" w:hAnsi="宋体" w:eastAsia="仿宋_GB2312" w:cs="宋体-18030"/>
          <w:color w:val="auto"/>
          <w:sz w:val="24"/>
          <w:highlight w:val="none"/>
          <w:u w:val="single"/>
          <w:lang w:eastAsia="zh-CN"/>
        </w:rPr>
        <w:t>2024年杭州市上城区教育系统网络改造项目</w:t>
      </w:r>
      <w:r>
        <w:rPr>
          <w:rFonts w:hint="eastAsia" w:ascii="仿宋_GB2312" w:hAnsi="宋体" w:eastAsia="仿宋_GB2312" w:cs="宋体"/>
          <w:color w:val="auto"/>
          <w:kern w:val="0"/>
          <w:sz w:val="24"/>
          <w:highlight w:val="none"/>
        </w:rPr>
        <w:t>主</w:t>
      </w:r>
      <w:r>
        <w:rPr>
          <w:rFonts w:ascii="仿宋_GB2312" w:hAnsi="宋体" w:eastAsia="仿宋_GB2312" w:cs="宋体"/>
          <w:color w:val="auto"/>
          <w:kern w:val="0"/>
          <w:sz w:val="24"/>
          <w:highlight w:val="none"/>
        </w:rPr>
        <w:t>合同。</w:t>
      </w:r>
    </w:p>
    <w:p>
      <w:pPr>
        <w:spacing w:line="460" w:lineRule="exact"/>
        <w:ind w:left="105" w:leftChars="50" w:firstLine="360" w:firstLineChars="150"/>
        <w:rPr>
          <w:rFonts w:ascii="仿宋_GB2312" w:hAnsi="宋体" w:eastAsia="仿宋_GB2312" w:cs="宋体-18030"/>
          <w:color w:val="auto"/>
          <w:sz w:val="24"/>
          <w:highlight w:val="none"/>
        </w:rPr>
      </w:pPr>
      <w:r>
        <w:rPr>
          <w:rFonts w:hint="eastAsia" w:ascii="仿宋_GB2312" w:hAnsi="宋体" w:eastAsia="仿宋_GB2312" w:cs="宋体-18030"/>
          <w:color w:val="auto"/>
          <w:sz w:val="24"/>
          <w:highlight w:val="none"/>
        </w:rPr>
        <w:t>2.4内容:</w:t>
      </w:r>
    </w:p>
    <w:tbl>
      <w:tblPr>
        <w:tblStyle w:val="63"/>
        <w:tblW w:w="96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778"/>
        <w:gridCol w:w="1821"/>
        <w:gridCol w:w="3216"/>
        <w:gridCol w:w="9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6" w:type="dxa"/>
            <w:vAlign w:val="center"/>
          </w:tcPr>
          <w:p>
            <w:pPr>
              <w:spacing w:before="240" w:after="60"/>
              <w:ind w:right="-512" w:firstLine="81"/>
              <w:jc w:val="left"/>
              <w:outlineLvl w:val="0"/>
              <w:rPr>
                <w:rFonts w:ascii="仿宋_GB2312" w:hAnsi="宋体" w:eastAsia="仿宋_GB2312" w:cs="宋体-18030"/>
                <w:b/>
                <w:color w:val="auto"/>
                <w:sz w:val="24"/>
                <w:highlight w:val="none"/>
              </w:rPr>
            </w:pPr>
            <w:r>
              <w:rPr>
                <w:rFonts w:hint="eastAsia" w:ascii="仿宋_GB2312" w:hAnsi="宋体" w:eastAsia="仿宋_GB2312" w:cs="宋体-18030"/>
                <w:b/>
                <w:color w:val="auto"/>
                <w:sz w:val="24"/>
                <w:highlight w:val="none"/>
              </w:rPr>
              <w:t>序号</w:t>
            </w:r>
          </w:p>
        </w:tc>
        <w:tc>
          <w:tcPr>
            <w:tcW w:w="2778" w:type="dxa"/>
            <w:vAlign w:val="center"/>
          </w:tcPr>
          <w:p>
            <w:pPr>
              <w:spacing w:before="240" w:after="60"/>
              <w:ind w:right="-512" w:hanging="1078"/>
              <w:jc w:val="center"/>
              <w:outlineLvl w:val="0"/>
              <w:rPr>
                <w:rFonts w:ascii="仿宋_GB2312" w:hAnsi="宋体" w:eastAsia="仿宋_GB2312" w:cs="宋体-18030"/>
                <w:b/>
                <w:color w:val="auto"/>
                <w:sz w:val="24"/>
                <w:highlight w:val="none"/>
              </w:rPr>
            </w:pPr>
            <w:r>
              <w:rPr>
                <w:rFonts w:hint="eastAsia" w:ascii="仿宋_GB2312" w:hAnsi="宋体" w:eastAsia="仿宋_GB2312" w:cs="宋体-18030"/>
                <w:b/>
                <w:color w:val="auto"/>
                <w:sz w:val="24"/>
                <w:highlight w:val="none"/>
              </w:rPr>
              <w:t>学校</w:t>
            </w:r>
          </w:p>
        </w:tc>
        <w:tc>
          <w:tcPr>
            <w:tcW w:w="1821" w:type="dxa"/>
            <w:vAlign w:val="center"/>
          </w:tcPr>
          <w:p>
            <w:pPr>
              <w:spacing w:before="240" w:after="60"/>
              <w:ind w:right="-512" w:hanging="311"/>
              <w:jc w:val="center"/>
              <w:outlineLvl w:val="0"/>
              <w:rPr>
                <w:rFonts w:ascii="仿宋_GB2312" w:hAnsi="宋体" w:eastAsia="仿宋_GB2312" w:cs="宋体-18030"/>
                <w:b/>
                <w:color w:val="auto"/>
                <w:sz w:val="24"/>
                <w:highlight w:val="none"/>
              </w:rPr>
            </w:pPr>
            <w:r>
              <w:rPr>
                <w:rFonts w:hint="eastAsia" w:ascii="仿宋_GB2312" w:hAnsi="宋体" w:eastAsia="仿宋_GB2312" w:cs="宋体-18030"/>
                <w:b/>
                <w:color w:val="auto"/>
                <w:sz w:val="24"/>
                <w:highlight w:val="none"/>
              </w:rPr>
              <w:t>合同金额</w:t>
            </w:r>
            <w:r>
              <w:rPr>
                <w:rFonts w:ascii="仿宋_GB2312" w:hAnsi="宋体" w:eastAsia="仿宋_GB2312" w:cs="宋体-18030"/>
                <w:b/>
                <w:color w:val="auto"/>
                <w:sz w:val="24"/>
                <w:highlight w:val="none"/>
              </w:rPr>
              <w:t>（</w:t>
            </w:r>
            <w:r>
              <w:rPr>
                <w:rFonts w:hint="eastAsia" w:ascii="仿宋_GB2312" w:hAnsi="宋体" w:eastAsia="仿宋_GB2312" w:cs="宋体-18030"/>
                <w:b/>
                <w:color w:val="auto"/>
                <w:sz w:val="24"/>
                <w:highlight w:val="none"/>
              </w:rPr>
              <w:t>元</w:t>
            </w:r>
            <w:r>
              <w:rPr>
                <w:rFonts w:ascii="仿宋_GB2312" w:hAnsi="宋体" w:eastAsia="仿宋_GB2312" w:cs="宋体-18030"/>
                <w:b/>
                <w:color w:val="auto"/>
                <w:sz w:val="24"/>
                <w:highlight w:val="none"/>
              </w:rPr>
              <w:t>）</w:t>
            </w:r>
          </w:p>
        </w:tc>
        <w:tc>
          <w:tcPr>
            <w:tcW w:w="3216" w:type="dxa"/>
            <w:vAlign w:val="center"/>
          </w:tcPr>
          <w:p>
            <w:pPr>
              <w:spacing w:before="240" w:after="60"/>
              <w:ind w:right="-512" w:hanging="288"/>
              <w:jc w:val="center"/>
              <w:outlineLvl w:val="0"/>
              <w:rPr>
                <w:rFonts w:ascii="仿宋_GB2312" w:hAnsi="宋体" w:eastAsia="仿宋_GB2312" w:cs="宋体-18030"/>
                <w:b/>
                <w:color w:val="auto"/>
                <w:sz w:val="24"/>
                <w:highlight w:val="none"/>
              </w:rPr>
            </w:pPr>
            <w:r>
              <w:rPr>
                <w:rFonts w:hint="eastAsia" w:ascii="仿宋_GB2312" w:hAnsi="宋体" w:eastAsia="仿宋_GB2312" w:cs="宋体-18030"/>
                <w:b/>
                <w:color w:val="auto"/>
                <w:sz w:val="24"/>
                <w:highlight w:val="none"/>
              </w:rPr>
              <w:t>附属</w:t>
            </w:r>
            <w:r>
              <w:rPr>
                <w:rFonts w:ascii="仿宋_GB2312" w:hAnsi="宋体" w:eastAsia="仿宋_GB2312" w:cs="宋体-18030"/>
                <w:b/>
                <w:color w:val="auto"/>
                <w:sz w:val="24"/>
                <w:highlight w:val="none"/>
              </w:rPr>
              <w:t>合同编号</w:t>
            </w:r>
          </w:p>
        </w:tc>
        <w:tc>
          <w:tcPr>
            <w:tcW w:w="997" w:type="dxa"/>
            <w:vAlign w:val="center"/>
          </w:tcPr>
          <w:p>
            <w:pPr>
              <w:spacing w:before="240" w:after="60"/>
              <w:ind w:right="-512" w:hanging="383"/>
              <w:jc w:val="center"/>
              <w:outlineLvl w:val="0"/>
              <w:rPr>
                <w:rFonts w:ascii="仿宋_GB2312" w:hAnsi="宋体" w:eastAsia="仿宋_GB2312" w:cs="宋体-18030"/>
                <w:b/>
                <w:color w:val="auto"/>
                <w:sz w:val="24"/>
                <w:highlight w:val="none"/>
              </w:rPr>
            </w:pPr>
            <w:r>
              <w:rPr>
                <w:rFonts w:hint="eastAsia" w:ascii="仿宋_GB2312" w:hAnsi="宋体" w:eastAsia="仿宋_GB2312" w:cs="宋体-18030"/>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ind w:right="-512" w:firstLine="574"/>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w:t>
            </w:r>
          </w:p>
        </w:tc>
        <w:tc>
          <w:tcPr>
            <w:tcW w:w="2778" w:type="dxa"/>
            <w:vAlign w:val="center"/>
          </w:tcPr>
          <w:p>
            <w:pPr>
              <w:ind w:right="-512" w:hanging="653"/>
              <w:jc w:val="center"/>
              <w:rPr>
                <w:rFonts w:ascii="仿宋_GB2312" w:hAnsi="宋体" w:eastAsia="仿宋_GB2312"/>
                <w:color w:val="auto"/>
                <w:sz w:val="24"/>
                <w:highlight w:val="none"/>
              </w:rPr>
            </w:pPr>
          </w:p>
        </w:tc>
        <w:tc>
          <w:tcPr>
            <w:tcW w:w="1821" w:type="dxa"/>
            <w:vAlign w:val="center"/>
          </w:tcPr>
          <w:p>
            <w:pPr>
              <w:widowControl/>
              <w:ind w:right="-512" w:firstLine="574"/>
              <w:jc w:val="center"/>
              <w:rPr>
                <w:rFonts w:ascii="仿宋_GB2312" w:hAnsi="宋体" w:eastAsia="仿宋_GB2312"/>
                <w:color w:val="auto"/>
                <w:sz w:val="24"/>
                <w:highlight w:val="none"/>
              </w:rPr>
            </w:pPr>
          </w:p>
        </w:tc>
        <w:tc>
          <w:tcPr>
            <w:tcW w:w="3216" w:type="dxa"/>
            <w:vAlign w:val="center"/>
          </w:tcPr>
          <w:p>
            <w:pPr>
              <w:widowControl/>
              <w:ind w:right="-512" w:hanging="571"/>
              <w:jc w:val="center"/>
              <w:rPr>
                <w:rFonts w:ascii="仿宋_GB2312" w:hAnsi="宋体" w:eastAsia="仿宋_GB2312"/>
                <w:color w:val="auto"/>
                <w:sz w:val="24"/>
                <w:highlight w:val="none"/>
              </w:rPr>
            </w:pPr>
            <w:r>
              <w:rPr>
                <w:rFonts w:hint="eastAsia" w:ascii="仿宋_GB2312" w:hAnsi="宋体" w:eastAsia="仿宋_GB2312"/>
                <w:color w:val="auto"/>
                <w:sz w:val="24"/>
                <w:highlight w:val="none"/>
                <w:u w:val="single"/>
                <w:lang w:eastAsia="zh-CN"/>
              </w:rPr>
              <w:t>OBZB-2024-0523</w:t>
            </w:r>
            <w:r>
              <w:rPr>
                <w:rFonts w:hint="eastAsia" w:ascii="仿宋_GB2312" w:hAnsi="宋体" w:eastAsia="仿宋_GB2312"/>
                <w:color w:val="auto"/>
                <w:sz w:val="24"/>
                <w:highlight w:val="none"/>
              </w:rPr>
              <w:t>-01</w:t>
            </w:r>
          </w:p>
        </w:tc>
        <w:tc>
          <w:tcPr>
            <w:tcW w:w="997" w:type="dxa"/>
            <w:vAlign w:val="center"/>
          </w:tcPr>
          <w:p>
            <w:pPr>
              <w:spacing w:before="240" w:after="60"/>
              <w:ind w:right="-512" w:firstLine="574"/>
              <w:jc w:val="center"/>
              <w:outlineLvl w:val="0"/>
              <w:rPr>
                <w:rFonts w:ascii="仿宋_GB2312" w:hAnsi="宋体"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ind w:right="-512" w:firstLine="574"/>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2</w:t>
            </w:r>
          </w:p>
        </w:tc>
        <w:tc>
          <w:tcPr>
            <w:tcW w:w="277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right="-512" w:firstLine="574"/>
              <w:jc w:val="center"/>
              <w:rPr>
                <w:rFonts w:ascii="仿宋_GB2312" w:hAnsi="宋体" w:eastAsia="仿宋_GB2312"/>
                <w:color w:val="auto"/>
                <w:sz w:val="24"/>
                <w:highlight w:val="none"/>
              </w:rPr>
            </w:pPr>
          </w:p>
        </w:tc>
        <w:tc>
          <w:tcPr>
            <w:tcW w:w="1821" w:type="dxa"/>
            <w:tcBorders>
              <w:top w:val="single" w:color="auto" w:sz="4" w:space="0"/>
              <w:left w:val="nil"/>
              <w:bottom w:val="single" w:color="auto" w:sz="4" w:space="0"/>
              <w:right w:val="single" w:color="auto" w:sz="4" w:space="0"/>
            </w:tcBorders>
            <w:shd w:val="clear" w:color="auto" w:fill="auto"/>
            <w:vAlign w:val="center"/>
          </w:tcPr>
          <w:p>
            <w:pPr>
              <w:ind w:right="-512" w:firstLine="574"/>
              <w:jc w:val="center"/>
              <w:rPr>
                <w:rFonts w:ascii="仿宋_GB2312" w:hAnsi="宋体" w:eastAsia="仿宋_GB2312"/>
                <w:color w:val="auto"/>
                <w:sz w:val="24"/>
                <w:highlight w:val="none"/>
              </w:rPr>
            </w:pPr>
          </w:p>
        </w:tc>
        <w:tc>
          <w:tcPr>
            <w:tcW w:w="3216" w:type="dxa"/>
            <w:tcBorders>
              <w:top w:val="single" w:color="auto" w:sz="4" w:space="0"/>
              <w:left w:val="nil"/>
              <w:bottom w:val="single" w:color="auto" w:sz="4" w:space="0"/>
              <w:right w:val="single" w:color="auto" w:sz="4" w:space="0"/>
            </w:tcBorders>
            <w:shd w:val="clear" w:color="auto" w:fill="auto"/>
            <w:vAlign w:val="center"/>
          </w:tcPr>
          <w:p>
            <w:pPr>
              <w:ind w:left="-354" w:leftChars="-262" w:right="-512" w:hanging="196"/>
              <w:jc w:val="center"/>
              <w:rPr>
                <w:rFonts w:ascii="仿宋_GB2312" w:hAnsi="宋体" w:eastAsia="仿宋_GB2312"/>
                <w:color w:val="auto"/>
                <w:sz w:val="24"/>
                <w:highlight w:val="none"/>
              </w:rPr>
            </w:pPr>
            <w:r>
              <w:rPr>
                <w:rFonts w:hint="eastAsia" w:ascii="仿宋_GB2312" w:hAnsi="宋体" w:eastAsia="仿宋_GB2312"/>
                <w:color w:val="auto"/>
                <w:sz w:val="24"/>
                <w:highlight w:val="none"/>
                <w:u w:val="single"/>
                <w:lang w:eastAsia="zh-CN"/>
              </w:rPr>
              <w:t>OBZB-2024-0523</w:t>
            </w:r>
            <w:r>
              <w:rPr>
                <w:rFonts w:hint="eastAsia" w:ascii="仿宋_GB2312" w:hAnsi="宋体" w:eastAsia="仿宋_GB2312"/>
                <w:color w:val="auto"/>
                <w:sz w:val="24"/>
                <w:highlight w:val="none"/>
              </w:rPr>
              <w:t>-0</w:t>
            </w:r>
            <w:r>
              <w:rPr>
                <w:rFonts w:ascii="仿宋_GB2312" w:hAnsi="宋体" w:eastAsia="仿宋_GB2312"/>
                <w:color w:val="auto"/>
                <w:sz w:val="24"/>
                <w:highlight w:val="none"/>
              </w:rPr>
              <w:t>2</w:t>
            </w:r>
          </w:p>
        </w:tc>
        <w:tc>
          <w:tcPr>
            <w:tcW w:w="997" w:type="dxa"/>
            <w:vAlign w:val="center"/>
          </w:tcPr>
          <w:p>
            <w:pPr>
              <w:spacing w:before="240" w:after="60"/>
              <w:ind w:right="-512" w:firstLine="574"/>
              <w:jc w:val="center"/>
              <w:outlineLvl w:val="0"/>
              <w:rPr>
                <w:rFonts w:ascii="仿宋_GB2312" w:hAnsi="宋体" w:eastAsia="仿宋_GB2312" w:cstheme="majorBidi"/>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pPr>
              <w:ind w:right="-512" w:firstLine="574"/>
              <w:jc w:val="center"/>
              <w:rPr>
                <w:rFonts w:ascii="仿宋_GB2312" w:hAnsi="宋体" w:eastAsia="仿宋_GB2312"/>
                <w:color w:val="auto"/>
                <w:sz w:val="24"/>
                <w:highlight w:val="none"/>
              </w:rPr>
            </w:pPr>
          </w:p>
        </w:tc>
        <w:tc>
          <w:tcPr>
            <w:tcW w:w="277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ind w:right="-512" w:firstLine="574"/>
              <w:jc w:val="center"/>
              <w:rPr>
                <w:rFonts w:ascii="仿宋_GB2312" w:hAnsi="宋体" w:eastAsia="仿宋_GB2312"/>
                <w:color w:val="auto"/>
                <w:sz w:val="24"/>
                <w:highlight w:val="none"/>
              </w:rPr>
            </w:pPr>
          </w:p>
        </w:tc>
        <w:tc>
          <w:tcPr>
            <w:tcW w:w="1821" w:type="dxa"/>
            <w:tcBorders>
              <w:top w:val="single" w:color="auto" w:sz="4" w:space="0"/>
              <w:left w:val="nil"/>
              <w:bottom w:val="single" w:color="auto" w:sz="4" w:space="0"/>
              <w:right w:val="single" w:color="auto" w:sz="4" w:space="0"/>
            </w:tcBorders>
            <w:shd w:val="clear" w:color="auto" w:fill="auto"/>
            <w:vAlign w:val="center"/>
          </w:tcPr>
          <w:p>
            <w:pPr>
              <w:ind w:right="-512" w:firstLine="574"/>
              <w:jc w:val="center"/>
              <w:rPr>
                <w:rFonts w:ascii="仿宋_GB2312" w:hAnsi="宋体" w:eastAsia="仿宋_GB2312"/>
                <w:color w:val="auto"/>
                <w:sz w:val="24"/>
                <w:highlight w:val="none"/>
              </w:rPr>
            </w:pPr>
          </w:p>
        </w:tc>
        <w:tc>
          <w:tcPr>
            <w:tcW w:w="3216" w:type="dxa"/>
            <w:tcBorders>
              <w:top w:val="single" w:color="auto" w:sz="4" w:space="0"/>
              <w:left w:val="nil"/>
              <w:bottom w:val="single" w:color="auto" w:sz="4" w:space="0"/>
              <w:right w:val="single" w:color="auto" w:sz="4" w:space="0"/>
            </w:tcBorders>
            <w:shd w:val="clear" w:color="auto" w:fill="auto"/>
            <w:vAlign w:val="center"/>
          </w:tcPr>
          <w:p>
            <w:pPr>
              <w:ind w:left="-354" w:leftChars="-262" w:right="-512" w:hanging="196" w:firstLineChars="0"/>
              <w:jc w:val="center"/>
              <w:rPr>
                <w:rFonts w:hint="eastAsia" w:ascii="仿宋_GB2312" w:hAnsi="宋体" w:eastAsia="仿宋_GB2312"/>
                <w:color w:val="auto"/>
                <w:sz w:val="24"/>
                <w:highlight w:val="none"/>
                <w:u w:val="single"/>
                <w:lang w:val="en-US" w:eastAsia="zh-CN"/>
              </w:rPr>
            </w:pPr>
            <w:r>
              <w:rPr>
                <w:rFonts w:hint="eastAsia" w:ascii="仿宋_GB2312" w:hAnsi="宋体" w:eastAsia="仿宋_GB2312"/>
                <w:color w:val="auto"/>
                <w:sz w:val="24"/>
                <w:highlight w:val="none"/>
                <w:u w:val="single"/>
                <w:lang w:eastAsia="zh-CN"/>
              </w:rPr>
              <w:t>OBZB-2024-0523</w:t>
            </w:r>
            <w:r>
              <w:rPr>
                <w:rFonts w:hint="eastAsia" w:ascii="仿宋_GB2312" w:hAnsi="宋体" w:eastAsia="仿宋_GB2312"/>
                <w:color w:val="auto"/>
                <w:sz w:val="24"/>
                <w:highlight w:val="none"/>
                <w:u w:val="single"/>
              </w:rPr>
              <w:t>-0</w:t>
            </w:r>
            <w:r>
              <w:rPr>
                <w:rFonts w:hint="eastAsia" w:ascii="仿宋_GB2312" w:hAnsi="宋体" w:eastAsia="仿宋_GB2312"/>
                <w:color w:val="auto"/>
                <w:sz w:val="24"/>
                <w:highlight w:val="none"/>
                <w:u w:val="single"/>
                <w:lang w:val="en-US" w:eastAsia="zh-CN"/>
              </w:rPr>
              <w:t>3</w:t>
            </w:r>
          </w:p>
        </w:tc>
        <w:tc>
          <w:tcPr>
            <w:tcW w:w="997" w:type="dxa"/>
            <w:vAlign w:val="center"/>
          </w:tcPr>
          <w:p>
            <w:pPr>
              <w:spacing w:before="240" w:after="60"/>
              <w:ind w:right="-512" w:firstLine="574"/>
              <w:jc w:val="center"/>
              <w:outlineLvl w:val="0"/>
              <w:rPr>
                <w:rFonts w:ascii="仿宋_GB2312" w:hAnsi="宋体" w:eastAsia="仿宋_GB2312" w:cstheme="majorBidi"/>
                <w:color w:val="auto"/>
                <w:sz w:val="24"/>
                <w:highlight w:val="none"/>
              </w:rPr>
            </w:pPr>
          </w:p>
        </w:tc>
      </w:tr>
    </w:tbl>
    <w:p>
      <w:pPr>
        <w:spacing w:line="460" w:lineRule="exact"/>
        <w:rPr>
          <w:rFonts w:ascii="仿宋_GB2312" w:hAnsi="宋体" w:eastAsia="仿宋_GB2312" w:cs="宋体-18030"/>
          <w:color w:val="auto"/>
          <w:sz w:val="24"/>
          <w:highlight w:val="none"/>
        </w:rPr>
      </w:pPr>
      <w:r>
        <w:rPr>
          <w:rFonts w:hint="eastAsia" w:ascii="仿宋_GB2312" w:hAnsi="宋体" w:eastAsia="仿宋_GB2312" w:cs="宋体-18030"/>
          <w:color w:val="auto"/>
          <w:sz w:val="24"/>
          <w:highlight w:val="none"/>
        </w:rPr>
        <w:t>注</w:t>
      </w:r>
      <w:r>
        <w:rPr>
          <w:rFonts w:ascii="仿宋_GB2312" w:hAnsi="宋体" w:eastAsia="仿宋_GB2312" w:cs="宋体-18030"/>
          <w:color w:val="auto"/>
          <w:sz w:val="24"/>
          <w:highlight w:val="none"/>
        </w:rPr>
        <w:t>：</w:t>
      </w:r>
      <w:r>
        <w:rPr>
          <w:rFonts w:hint="eastAsia" w:ascii="仿宋_GB2312" w:hAnsi="宋体" w:eastAsia="仿宋_GB2312" w:cs="宋体-18030"/>
          <w:color w:val="auto"/>
          <w:sz w:val="24"/>
          <w:highlight w:val="none"/>
        </w:rPr>
        <w:t>附属</w:t>
      </w:r>
      <w:r>
        <w:rPr>
          <w:rFonts w:ascii="仿宋_GB2312" w:hAnsi="宋体" w:eastAsia="仿宋_GB2312" w:cs="宋体-18030"/>
          <w:color w:val="auto"/>
          <w:sz w:val="24"/>
          <w:highlight w:val="none"/>
        </w:rPr>
        <w:t>合同编号为主合同号加-</w:t>
      </w:r>
      <w:r>
        <w:rPr>
          <w:rFonts w:hint="eastAsia" w:ascii="仿宋_GB2312" w:hAnsi="宋体" w:eastAsia="仿宋_GB2312" w:cs="宋体-18030"/>
          <w:color w:val="auto"/>
          <w:sz w:val="24"/>
          <w:highlight w:val="none"/>
        </w:rPr>
        <w:t>号加</w:t>
      </w:r>
      <w:r>
        <w:rPr>
          <w:rFonts w:ascii="仿宋_GB2312" w:hAnsi="宋体" w:eastAsia="仿宋_GB2312" w:cs="宋体-18030"/>
          <w:color w:val="auto"/>
          <w:sz w:val="24"/>
          <w:highlight w:val="none"/>
        </w:rPr>
        <w:t>序号</w:t>
      </w:r>
      <w:r>
        <w:rPr>
          <w:rFonts w:hint="eastAsia" w:ascii="仿宋_GB2312" w:hAnsi="宋体" w:eastAsia="仿宋_GB2312" w:cs="宋体-18030"/>
          <w:color w:val="auto"/>
          <w:sz w:val="24"/>
          <w:highlight w:val="none"/>
        </w:rPr>
        <w:t>，</w:t>
      </w:r>
      <w:r>
        <w:rPr>
          <w:rFonts w:ascii="仿宋_GB2312" w:hAnsi="宋体" w:eastAsia="仿宋_GB2312" w:cs="宋体-18030"/>
          <w:color w:val="auto"/>
          <w:sz w:val="24"/>
          <w:highlight w:val="none"/>
        </w:rPr>
        <w:t>如</w:t>
      </w:r>
      <w:r>
        <w:rPr>
          <w:rFonts w:hint="eastAsia" w:ascii="仿宋_GB2312" w:hAnsi="宋体" w:eastAsia="仿宋_GB2312"/>
          <w:color w:val="auto"/>
          <w:sz w:val="24"/>
          <w:highlight w:val="none"/>
          <w:u w:val="single"/>
          <w:lang w:eastAsia="zh-CN"/>
        </w:rPr>
        <w:t>OBZB-2024-0523</w:t>
      </w:r>
      <w:r>
        <w:rPr>
          <w:rFonts w:hint="eastAsia" w:ascii="仿宋_GB2312" w:hAnsi="宋体" w:eastAsia="仿宋_GB2312" w:cs="宋体-18030"/>
          <w:color w:val="auto"/>
          <w:sz w:val="24"/>
          <w:highlight w:val="none"/>
        </w:rPr>
        <w:t>-</w:t>
      </w:r>
      <w:r>
        <w:rPr>
          <w:rFonts w:ascii="仿宋_GB2312" w:hAnsi="宋体" w:eastAsia="仿宋_GB2312" w:cs="宋体-18030"/>
          <w:color w:val="auto"/>
          <w:sz w:val="24"/>
          <w:highlight w:val="none"/>
        </w:rPr>
        <w:t>01</w:t>
      </w:r>
    </w:p>
    <w:p>
      <w:pPr>
        <w:spacing w:line="460" w:lineRule="exact"/>
        <w:ind w:firstLine="480" w:firstLineChars="200"/>
        <w:rPr>
          <w:rFonts w:ascii="仿宋_GB2312" w:hAnsi="宋体" w:eastAsia="仿宋_GB2312" w:cs="宋体-18030"/>
          <w:color w:val="auto"/>
          <w:sz w:val="24"/>
          <w:highlight w:val="none"/>
        </w:rPr>
      </w:pPr>
      <w:r>
        <w:rPr>
          <w:rFonts w:hint="eastAsia" w:ascii="仿宋_GB2312" w:hAnsi="宋体" w:eastAsia="仿宋_GB2312" w:cs="宋体-18030"/>
          <w:color w:val="auto"/>
          <w:sz w:val="24"/>
          <w:highlight w:val="none"/>
        </w:rPr>
        <w:t>2.5清单：将</w:t>
      </w:r>
      <w:r>
        <w:rPr>
          <w:rFonts w:ascii="仿宋_GB2312" w:hAnsi="宋体" w:eastAsia="仿宋_GB2312" w:cs="宋体-18030"/>
          <w:color w:val="auto"/>
          <w:sz w:val="24"/>
          <w:highlight w:val="none"/>
        </w:rPr>
        <w:t>完整的</w:t>
      </w:r>
      <w:r>
        <w:rPr>
          <w:rFonts w:hint="eastAsia" w:ascii="仿宋_GB2312" w:hAnsi="宋体" w:eastAsia="仿宋_GB2312" w:cs="宋体-18030"/>
          <w:color w:val="auto"/>
          <w:sz w:val="24"/>
          <w:highlight w:val="none"/>
        </w:rPr>
        <w:t>项</w:t>
      </w:r>
      <w:r>
        <w:rPr>
          <w:rFonts w:ascii="仿宋_GB2312" w:hAnsi="宋体" w:eastAsia="仿宋_GB2312" w:cs="宋体-18030"/>
          <w:color w:val="auto"/>
          <w:sz w:val="24"/>
          <w:highlight w:val="none"/>
        </w:rPr>
        <w:t>目清单</w:t>
      </w:r>
      <w:r>
        <w:rPr>
          <w:rFonts w:hint="eastAsia" w:ascii="仿宋_GB2312" w:hAnsi="宋体" w:eastAsia="仿宋_GB2312" w:cs="宋体-18030"/>
          <w:color w:val="auto"/>
          <w:sz w:val="24"/>
          <w:highlight w:val="none"/>
        </w:rPr>
        <w:t>附</w:t>
      </w:r>
      <w:r>
        <w:rPr>
          <w:rFonts w:ascii="仿宋_GB2312" w:hAnsi="宋体" w:eastAsia="仿宋_GB2312" w:cs="宋体-18030"/>
          <w:color w:val="auto"/>
          <w:sz w:val="24"/>
          <w:highlight w:val="none"/>
        </w:rPr>
        <w:t>在本合同后</w:t>
      </w:r>
      <w:r>
        <w:rPr>
          <w:rFonts w:hint="eastAsia" w:ascii="仿宋_GB2312" w:hAnsi="宋体" w:eastAsia="仿宋_GB2312" w:cs="宋体-18030"/>
          <w:color w:val="auto"/>
          <w:sz w:val="24"/>
          <w:highlight w:val="none"/>
        </w:rPr>
        <w:t>，</w:t>
      </w:r>
      <w:r>
        <w:rPr>
          <w:rFonts w:ascii="仿宋_GB2312" w:hAnsi="宋体" w:eastAsia="仿宋_GB2312" w:cs="宋体-18030"/>
          <w:color w:val="auto"/>
          <w:sz w:val="24"/>
          <w:highlight w:val="none"/>
        </w:rPr>
        <w:t>作为</w:t>
      </w:r>
      <w:r>
        <w:rPr>
          <w:rFonts w:hint="eastAsia" w:ascii="仿宋_GB2312" w:hAnsi="宋体" w:eastAsia="仿宋_GB2312" w:cs="宋体-18030"/>
          <w:color w:val="auto"/>
          <w:sz w:val="24"/>
          <w:highlight w:val="none"/>
        </w:rPr>
        <w:t>合</w:t>
      </w:r>
      <w:r>
        <w:rPr>
          <w:rFonts w:ascii="仿宋_GB2312" w:hAnsi="宋体" w:eastAsia="仿宋_GB2312" w:cs="宋体-18030"/>
          <w:color w:val="auto"/>
          <w:sz w:val="24"/>
          <w:highlight w:val="none"/>
        </w:rPr>
        <w:t>同的组成部分。</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第三条  合同总金额</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3.1.1合同总价大写：元整。</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3.1.2本合同项下货物总金额：￥元。</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3.2分项价款在《供货一览表》中有明确规定。</w:t>
      </w:r>
    </w:p>
    <w:p>
      <w:pPr>
        <w:spacing w:line="360" w:lineRule="auto"/>
        <w:ind w:firstLine="480" w:firstLineChars="200"/>
        <w:rPr>
          <w:rFonts w:ascii="仿宋_GB2312" w:eastAsia="仿宋_GB2312"/>
          <w:color w:val="auto"/>
          <w:sz w:val="24"/>
          <w:highlight w:val="none"/>
        </w:rPr>
      </w:pPr>
      <w:r>
        <w:rPr>
          <w:rFonts w:hint="eastAsia" w:ascii="仿宋_GB2312" w:eastAsia="仿宋_GB2312"/>
          <w:color w:val="auto"/>
          <w:sz w:val="24"/>
          <w:highlight w:val="none"/>
        </w:rPr>
        <w:t>3.3合同总价为本工程包干价，</w:t>
      </w:r>
      <w:r>
        <w:rPr>
          <w:rFonts w:hint="eastAsia" w:ascii="仿宋_GB2312" w:hAnsi="宋体" w:eastAsia="仿宋_GB2312"/>
          <w:color w:val="auto"/>
          <w:sz w:val="24"/>
          <w:highlight w:val="none"/>
        </w:rPr>
        <w:t>本合同总价款包括货物、软件、标准附件、备品备件、专用工具、图纸资料、技术服务，包装、运输、装卸、保险、税金，货到就位以及安装、调试、培训、保修等验收合格之前和质保期内的售后服务一切税金和费用，</w:t>
      </w:r>
      <w:r>
        <w:rPr>
          <w:rFonts w:hint="eastAsia" w:ascii="仿宋_GB2312" w:eastAsia="仿宋_GB2312"/>
          <w:color w:val="auto"/>
          <w:sz w:val="24"/>
          <w:highlight w:val="none"/>
        </w:rPr>
        <w:t>验收合格前的所有费用、操作维修培训费用及质保期内设备的维修保养费用，成品仓储费及二次搬运费等</w:t>
      </w:r>
      <w:r>
        <w:rPr>
          <w:rFonts w:hint="eastAsia" w:ascii="仿宋_GB2312" w:hAnsi="宋体" w:eastAsia="仿宋_GB2312"/>
          <w:color w:val="auto"/>
          <w:sz w:val="24"/>
          <w:highlight w:val="none"/>
        </w:rPr>
        <w:t>。</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3.4本合同执行期间合同总价款不变。</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第四条  权利和质量保证</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4.1</w:t>
      </w:r>
      <w:r>
        <w:rPr>
          <w:rFonts w:ascii="仿宋_GB2312" w:hAnsi="宋体" w:eastAsia="仿宋_GB2312"/>
          <w:color w:val="auto"/>
          <w:sz w:val="24"/>
          <w:highlight w:val="none"/>
        </w:rPr>
        <w:t>乙方应保证</w:t>
      </w:r>
      <w:r>
        <w:rPr>
          <w:rFonts w:hint="eastAsia" w:ascii="仿宋_GB2312" w:hAnsi="宋体" w:eastAsia="仿宋_GB2312"/>
          <w:color w:val="auto"/>
          <w:sz w:val="24"/>
          <w:highlight w:val="none"/>
        </w:rPr>
        <w:t>甲</w:t>
      </w:r>
      <w:r>
        <w:rPr>
          <w:rFonts w:ascii="仿宋_GB2312" w:hAnsi="宋体" w:eastAsia="仿宋_GB2312"/>
          <w:color w:val="auto"/>
          <w:sz w:val="24"/>
          <w:highlight w:val="none"/>
        </w:rPr>
        <w:t>方在使用该货物或其任何一部分时不受第三方提出侵犯其专利权、版权、商标权或其他权利的起诉。一旦出现侵权，</w:t>
      </w:r>
      <w:r>
        <w:rPr>
          <w:rFonts w:hint="eastAsia" w:ascii="仿宋_GB2312" w:hAnsi="宋体" w:eastAsia="仿宋_GB2312"/>
          <w:color w:val="auto"/>
          <w:sz w:val="24"/>
          <w:highlight w:val="none"/>
        </w:rPr>
        <w:t>索赔或诉讼</w:t>
      </w:r>
      <w:r>
        <w:rPr>
          <w:rFonts w:ascii="仿宋_GB2312" w:hAnsi="宋体" w:eastAsia="仿宋_GB2312"/>
          <w:color w:val="auto"/>
          <w:sz w:val="24"/>
          <w:highlight w:val="none"/>
        </w:rPr>
        <w:t>，乙方应承担全部责任。</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4.2乙方保证提供的货物完全符合国家规范及甲乙双方确认的投标文件、本合同关于货物数量、质量的要求是202</w:t>
      </w:r>
      <w:r>
        <w:rPr>
          <w:rFonts w:hint="eastAsia" w:ascii="仿宋_GB2312" w:hAnsi="宋体" w:eastAsia="仿宋_GB2312"/>
          <w:color w:val="auto"/>
          <w:sz w:val="24"/>
          <w:highlight w:val="none"/>
          <w:lang w:val="en-US" w:eastAsia="zh-CN"/>
        </w:rPr>
        <w:t>4</w:t>
      </w:r>
      <w:r>
        <w:rPr>
          <w:rFonts w:hint="eastAsia" w:ascii="仿宋_GB2312" w:hAnsi="宋体" w:eastAsia="仿宋_GB2312"/>
          <w:color w:val="auto"/>
          <w:sz w:val="24"/>
          <w:highlight w:val="none"/>
        </w:rPr>
        <w:t xml:space="preserve">年1月份后生产的符合国家技术规格和质量标准的出厂合格产品，通过国家有关部门检测合格的原产地产品，货物是全新的、未曾开箱使用过的。  </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4.3乙方确认货物符合实行国家“三包”规定的，应执行“三包”规定。在本合同之外，乙方有对第三方高于本合同约定的优惠承诺或法定保护要求的，接收使用设备的学校同时享受不低于第三方待遇。</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4</w:t>
      </w:r>
      <w:r>
        <w:rPr>
          <w:rFonts w:hint="eastAsia" w:ascii="仿宋_GB2312" w:hAnsi="宋体" w:eastAsia="仿宋_GB2312"/>
          <w:color w:val="auto"/>
          <w:sz w:val="24"/>
          <w:highlight w:val="none"/>
        </w:rPr>
        <w:t>乙方提交的货物应当符合投标文件中所记载的详细配置、技术参数、参数及性能，并应附有此类货物完整、详细的技术资料和说明文件，提供招标文件中规定签订合同后须提供的有关材料，包括并不限于原厂授权书、原厂售后服务承诺函、说明书、技术资料等。</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5</w:t>
      </w:r>
      <w:r>
        <w:rPr>
          <w:rFonts w:hint="eastAsia" w:ascii="仿宋_GB2312" w:hAnsi="宋体" w:eastAsia="仿宋_GB2312"/>
          <w:color w:val="auto"/>
          <w:sz w:val="24"/>
          <w:highlight w:val="none"/>
        </w:rPr>
        <w:t>乙方提交的货物必须按照招标采购文件的要求和中标人投标文件的承诺，以约定标准进行制造、安装；经政府采购管理部门批准采购的进口产品应执行原产地国家有关部门最新颁布的相应正式标准并提供国家商检、海关报关等手续。</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6</w:t>
      </w:r>
      <w:r>
        <w:rPr>
          <w:rFonts w:hint="eastAsia" w:ascii="仿宋_GB2312" w:hAnsi="宋体" w:eastAsia="仿宋_GB2312"/>
          <w:color w:val="auto"/>
          <w:sz w:val="24"/>
          <w:highlight w:val="none"/>
        </w:rPr>
        <w:t>乙方应保证提供的货物须符合中华人民共和国国家及行业有效的最新版本的安全质量标准、环保标准，货物按照国家或专业标准包装、确保货物安全无损运抵合同规定的交货地点，并进行安装、试运行。</w:t>
      </w:r>
    </w:p>
    <w:p>
      <w:pPr>
        <w:spacing w:line="48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7</w:t>
      </w:r>
      <w:r>
        <w:rPr>
          <w:rFonts w:hint="eastAsia" w:ascii="仿宋_GB2312" w:hAnsi="宋体" w:eastAsia="仿宋_GB2312"/>
          <w:color w:val="auto"/>
          <w:sz w:val="24"/>
          <w:highlight w:val="none"/>
        </w:rPr>
        <w:t>乙方保证货物不存在危及人身及财产安全的产品缺陷，否则应承担全部法律责任。</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第五条  付款方式</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5.1本合同项下所有款项均以人民币支付。</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5.2乙方向甲方提交下列文件材料，经甲方审核无误后，待</w:t>
      </w:r>
      <w:r>
        <w:rPr>
          <w:rFonts w:ascii="仿宋_GB2312" w:hAnsi="宋体" w:eastAsia="仿宋_GB2312"/>
          <w:color w:val="auto"/>
          <w:sz w:val="24"/>
          <w:highlight w:val="none"/>
        </w:rPr>
        <w:t>财政资金到位后，10</w:t>
      </w:r>
      <w:r>
        <w:rPr>
          <w:rFonts w:hint="eastAsia" w:ascii="仿宋_GB2312" w:hAnsi="宋体" w:eastAsia="仿宋_GB2312"/>
          <w:color w:val="auto"/>
          <w:sz w:val="24"/>
          <w:highlight w:val="none"/>
        </w:rPr>
        <w:t>个</w:t>
      </w:r>
      <w:r>
        <w:rPr>
          <w:rFonts w:ascii="仿宋_GB2312" w:hAnsi="宋体" w:eastAsia="仿宋_GB2312"/>
          <w:color w:val="auto"/>
          <w:sz w:val="24"/>
          <w:highlight w:val="none"/>
        </w:rPr>
        <w:t>工作日内</w:t>
      </w:r>
      <w:r>
        <w:rPr>
          <w:rFonts w:hint="eastAsia" w:ascii="仿宋_GB2312" w:hAnsi="宋体" w:eastAsia="仿宋_GB2312"/>
          <w:color w:val="auto"/>
          <w:sz w:val="24"/>
          <w:highlight w:val="none"/>
        </w:rPr>
        <w:t>支付采购资金：</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（1）经甲方确认的发票；</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（2）校级验收报告、区级验收报告；</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w:t>
      </w:r>
      <w:r>
        <w:rPr>
          <w:rFonts w:ascii="仿宋_GB2312" w:hAnsi="宋体" w:eastAsia="仿宋_GB2312"/>
          <w:color w:val="auto"/>
          <w:sz w:val="24"/>
          <w:highlight w:val="none"/>
        </w:rPr>
        <w:t>3</w:t>
      </w:r>
      <w:r>
        <w:rPr>
          <w:rFonts w:hint="eastAsia" w:ascii="仿宋_GB2312" w:hAnsi="宋体" w:eastAsia="仿宋_GB2312"/>
          <w:color w:val="auto"/>
          <w:sz w:val="24"/>
          <w:highlight w:val="none"/>
        </w:rPr>
        <w:t>）其他材料。</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5.3款项的支付进度以招标采购文件的有关规定为准。如招标采购文件未作特别规定，则付款进度应符合如下约定第</w:t>
      </w:r>
      <w:r>
        <w:rPr>
          <w:rFonts w:hint="eastAsia" w:ascii="仿宋_GB2312" w:hAnsi="宋体" w:eastAsia="仿宋_GB2312"/>
          <w:color w:val="auto"/>
          <w:sz w:val="24"/>
          <w:highlight w:val="none"/>
          <w:u w:val="single"/>
        </w:rPr>
        <w:t xml:space="preserve"> （</w:t>
      </w:r>
      <w:r>
        <w:rPr>
          <w:rFonts w:ascii="仿宋_GB2312" w:hAnsi="宋体" w:eastAsia="仿宋_GB2312"/>
          <w:color w:val="auto"/>
          <w:sz w:val="24"/>
          <w:highlight w:val="none"/>
          <w:u w:val="single"/>
        </w:rPr>
        <w:t>2</w:t>
      </w:r>
      <w:r>
        <w:rPr>
          <w:rFonts w:hint="eastAsia" w:ascii="仿宋_GB2312" w:hAnsi="宋体" w:eastAsia="仿宋_GB2312"/>
          <w:color w:val="auto"/>
          <w:sz w:val="24"/>
          <w:highlight w:val="none"/>
          <w:u w:val="single"/>
        </w:rPr>
        <w:t>）或（</w:t>
      </w:r>
      <w:r>
        <w:rPr>
          <w:rFonts w:ascii="仿宋_GB2312" w:hAnsi="宋体" w:eastAsia="仿宋_GB2312"/>
          <w:color w:val="auto"/>
          <w:sz w:val="24"/>
          <w:highlight w:val="none"/>
          <w:u w:val="single"/>
        </w:rPr>
        <w:t>4</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种方式确定：</w:t>
      </w:r>
    </w:p>
    <w:p>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（1）本</w:t>
      </w:r>
      <w:r>
        <w:rPr>
          <w:rFonts w:ascii="仿宋_GB2312" w:hAnsi="仿宋_GB2312" w:eastAsia="仿宋_GB2312" w:cs="仿宋_GB2312"/>
          <w:color w:val="auto"/>
          <w:sz w:val="24"/>
          <w:highlight w:val="none"/>
        </w:rPr>
        <w:t>项目为</w:t>
      </w:r>
      <w:r>
        <w:rPr>
          <w:rFonts w:hint="eastAsia" w:ascii="仿宋_GB2312" w:hAnsi="仿宋_GB2312" w:eastAsia="仿宋_GB2312" w:cs="仿宋_GB2312"/>
          <w:color w:val="auto"/>
          <w:sz w:val="24"/>
          <w:highlight w:val="none"/>
        </w:rPr>
        <w:t>学校</w:t>
      </w:r>
      <w:r>
        <w:rPr>
          <w:rFonts w:ascii="仿宋_GB2312" w:hAnsi="仿宋_GB2312" w:eastAsia="仿宋_GB2312" w:cs="仿宋_GB2312"/>
          <w:color w:val="auto"/>
          <w:sz w:val="24"/>
          <w:highlight w:val="none"/>
        </w:rPr>
        <w:t>自验</w:t>
      </w:r>
      <w:r>
        <w:rPr>
          <w:rFonts w:hint="eastAsia" w:ascii="仿宋_GB2312" w:hAnsi="仿宋_GB2312" w:eastAsia="仿宋_GB2312" w:cs="仿宋_GB2312"/>
          <w:color w:val="auto"/>
          <w:sz w:val="24"/>
          <w:highlight w:val="none"/>
        </w:rPr>
        <w:t>分</w:t>
      </w:r>
      <w:r>
        <w:rPr>
          <w:rFonts w:ascii="仿宋_GB2312" w:hAnsi="仿宋_GB2312" w:eastAsia="仿宋_GB2312" w:cs="仿宋_GB2312"/>
          <w:color w:val="auto"/>
          <w:sz w:val="24"/>
          <w:highlight w:val="none"/>
        </w:rPr>
        <w:t>期付款项目。</w:t>
      </w:r>
      <w:r>
        <w:rPr>
          <w:rFonts w:hint="eastAsia" w:ascii="仿宋_GB2312" w:hAnsi="仿宋_GB2312" w:eastAsia="仿宋_GB2312" w:cs="仿宋_GB2312"/>
          <w:color w:val="auto"/>
          <w:sz w:val="24"/>
          <w:highlight w:val="none"/>
        </w:rPr>
        <w:t>合</w:t>
      </w:r>
      <w:r>
        <w:rPr>
          <w:rFonts w:ascii="仿宋_GB2312" w:hAnsi="仿宋_GB2312" w:eastAsia="仿宋_GB2312" w:cs="仿宋_GB2312"/>
          <w:color w:val="auto"/>
          <w:sz w:val="24"/>
          <w:highlight w:val="none"/>
        </w:rPr>
        <w:t>同生效后由学校向乙方</w:t>
      </w:r>
      <w:r>
        <w:rPr>
          <w:rFonts w:hint="eastAsia" w:ascii="仿宋_GB2312" w:hAnsi="宋体" w:eastAsia="仿宋_GB2312"/>
          <w:color w:val="auto"/>
          <w:sz w:val="24"/>
          <w:highlight w:val="none"/>
        </w:rPr>
        <w:t>支付合同总价的</w:t>
      </w:r>
      <w:r>
        <w:rPr>
          <w:rFonts w:hint="eastAsia" w:ascii="仿宋_GB2312" w:hAnsi="宋体" w:eastAsia="仿宋_GB2312"/>
          <w:color w:val="auto"/>
          <w:sz w:val="24"/>
          <w:highlight w:val="none"/>
          <w:u w:val="single"/>
        </w:rPr>
        <w:t xml:space="preserve">  /   </w:t>
      </w:r>
      <w:r>
        <w:rPr>
          <w:rFonts w:hint="eastAsia" w:ascii="仿宋_GB2312" w:hAnsi="宋体" w:eastAsia="仿宋_GB2312"/>
          <w:color w:val="auto"/>
          <w:sz w:val="24"/>
          <w:highlight w:val="none"/>
        </w:rPr>
        <w:t>％</w:t>
      </w:r>
      <w:r>
        <w:rPr>
          <w:rFonts w:hint="eastAsia" w:ascii="仿宋_GB2312" w:hAnsi="仿宋_GB2312" w:eastAsia="仿宋_GB2312" w:cs="仿宋_GB2312"/>
          <w:color w:val="auto"/>
          <w:sz w:val="24"/>
          <w:highlight w:val="none"/>
        </w:rPr>
        <w:t>预付</w:t>
      </w:r>
      <w:r>
        <w:rPr>
          <w:rFonts w:ascii="仿宋_GB2312" w:hAnsi="仿宋_GB2312" w:eastAsia="仿宋_GB2312" w:cs="仿宋_GB2312"/>
          <w:color w:val="auto"/>
          <w:sz w:val="24"/>
          <w:highlight w:val="none"/>
        </w:rPr>
        <w:t>款</w:t>
      </w:r>
      <w:r>
        <w:rPr>
          <w:rFonts w:hint="eastAsia" w:ascii="仿宋_GB2312" w:hAnsi="仿宋_GB2312" w:eastAsia="仿宋_GB2312" w:cs="仿宋_GB2312"/>
          <w:color w:val="auto"/>
          <w:sz w:val="24"/>
          <w:highlight w:val="none"/>
        </w:rPr>
        <w:t>，</w:t>
      </w:r>
      <w:r>
        <w:rPr>
          <w:rFonts w:hint="eastAsia" w:ascii="仿宋_GB2312" w:hAnsi="宋体" w:eastAsia="仿宋_GB2312" w:cs="宋体"/>
          <w:bCs/>
          <w:color w:val="auto"/>
          <w:sz w:val="24"/>
          <w:highlight w:val="none"/>
        </w:rPr>
        <w:t>学校验收合格</w:t>
      </w:r>
      <w:r>
        <w:rPr>
          <w:rFonts w:hint="eastAsia" w:ascii="仿宋_GB2312" w:hAnsi="宋体" w:eastAsia="仿宋_GB2312"/>
          <w:color w:val="auto"/>
          <w:sz w:val="24"/>
          <w:highlight w:val="none"/>
        </w:rPr>
        <w:t>，</w:t>
      </w:r>
      <w:r>
        <w:rPr>
          <w:rFonts w:hint="eastAsia" w:ascii="仿宋_GB2312" w:hAnsi="宋体" w:eastAsia="仿宋_GB2312" w:cs="宋体"/>
          <w:bCs/>
          <w:color w:val="auto"/>
          <w:sz w:val="24"/>
          <w:highlight w:val="none"/>
        </w:rPr>
        <w:t>学校填写好</w:t>
      </w:r>
      <w:r>
        <w:rPr>
          <w:rFonts w:hint="eastAsia" w:ascii="仿宋_GB2312" w:hAnsi="仿宋_GB2312" w:eastAsia="仿宋_GB2312" w:cs="仿宋_GB2312"/>
          <w:color w:val="auto"/>
          <w:sz w:val="24"/>
          <w:highlight w:val="none"/>
        </w:rPr>
        <w:t>验收合格单据，报甲方确认后</w:t>
      </w:r>
      <w:r>
        <w:rPr>
          <w:rFonts w:hint="eastAsia" w:ascii="仿宋_GB2312" w:hAnsi="宋体" w:eastAsia="仿宋_GB2312"/>
          <w:color w:val="auto"/>
          <w:sz w:val="24"/>
          <w:highlight w:val="none"/>
        </w:rPr>
        <w:t>支付余款。</w:t>
      </w:r>
    </w:p>
    <w:p>
      <w:pPr>
        <w:spacing w:line="460" w:lineRule="exact"/>
        <w:ind w:firstLine="480" w:firstLineChars="200"/>
        <w:rPr>
          <w:rFonts w:ascii="仿宋_GB2312" w:hAnsi="Courier New" w:eastAsia="仿宋_GB2312" w:cs="宋体"/>
          <w:color w:val="auto"/>
          <w:sz w:val="24"/>
          <w:highlight w:val="none"/>
        </w:rPr>
      </w:pPr>
      <w:r>
        <w:rPr>
          <w:rFonts w:hint="eastAsia" w:ascii="仿宋_GB2312" w:hAnsi="仿宋_GB2312" w:eastAsia="仿宋_GB2312" w:cs="仿宋_GB2312"/>
          <w:color w:val="auto"/>
          <w:sz w:val="24"/>
          <w:highlight w:val="none"/>
        </w:rPr>
        <w:t>（2）</w:t>
      </w:r>
      <w:r>
        <w:rPr>
          <w:rFonts w:hint="eastAsia" w:ascii="仿宋_GB2312" w:hAnsi="Courier New" w:eastAsia="仿宋_GB2312" w:cs="宋体"/>
          <w:color w:val="auto"/>
          <w:sz w:val="24"/>
          <w:highlight w:val="none"/>
        </w:rPr>
        <w:t>本</w:t>
      </w:r>
      <w:r>
        <w:rPr>
          <w:rFonts w:ascii="仿宋_GB2312" w:hAnsi="Courier New" w:eastAsia="仿宋_GB2312" w:cs="宋体"/>
          <w:color w:val="auto"/>
          <w:sz w:val="24"/>
          <w:highlight w:val="none"/>
        </w:rPr>
        <w:t>项目为</w:t>
      </w:r>
      <w:r>
        <w:rPr>
          <w:rFonts w:hint="eastAsia" w:ascii="仿宋_GB2312" w:hAnsi="Courier New" w:eastAsia="仿宋_GB2312" w:cs="宋体"/>
          <w:color w:val="auto"/>
          <w:sz w:val="24"/>
          <w:highlight w:val="none"/>
        </w:rPr>
        <w:t>区</w:t>
      </w:r>
      <w:r>
        <w:rPr>
          <w:rFonts w:ascii="仿宋_GB2312" w:hAnsi="Courier New" w:eastAsia="仿宋_GB2312" w:cs="宋体"/>
          <w:color w:val="auto"/>
          <w:sz w:val="24"/>
          <w:highlight w:val="none"/>
        </w:rPr>
        <w:t>级</w:t>
      </w:r>
      <w:r>
        <w:rPr>
          <w:rFonts w:hint="eastAsia" w:ascii="仿宋_GB2312" w:hAnsi="Courier New" w:eastAsia="仿宋_GB2312" w:cs="宋体"/>
          <w:color w:val="auto"/>
          <w:sz w:val="24"/>
          <w:highlight w:val="none"/>
        </w:rPr>
        <w:t>验收分</w:t>
      </w:r>
      <w:r>
        <w:rPr>
          <w:rFonts w:ascii="仿宋_GB2312" w:hAnsi="Courier New" w:eastAsia="仿宋_GB2312" w:cs="宋体"/>
          <w:color w:val="auto"/>
          <w:sz w:val="24"/>
          <w:highlight w:val="none"/>
        </w:rPr>
        <w:t>期付款项目。</w:t>
      </w:r>
      <w:r>
        <w:rPr>
          <w:rFonts w:hint="eastAsia" w:ascii="仿宋_GB2312" w:hAnsi="仿宋_GB2312" w:eastAsia="仿宋_GB2312" w:cs="仿宋_GB2312"/>
          <w:color w:val="auto"/>
          <w:sz w:val="24"/>
          <w:highlight w:val="none"/>
        </w:rPr>
        <w:t>合</w:t>
      </w:r>
      <w:r>
        <w:rPr>
          <w:rFonts w:ascii="仿宋_GB2312" w:hAnsi="仿宋_GB2312" w:eastAsia="仿宋_GB2312" w:cs="仿宋_GB2312"/>
          <w:color w:val="auto"/>
          <w:sz w:val="24"/>
          <w:highlight w:val="none"/>
        </w:rPr>
        <w:t>同生效后由</w:t>
      </w:r>
      <w:r>
        <w:rPr>
          <w:rFonts w:hint="eastAsia" w:ascii="仿宋_GB2312" w:hAnsi="仿宋_GB2312" w:eastAsia="仿宋_GB2312" w:cs="仿宋_GB2312"/>
          <w:color w:val="auto"/>
          <w:sz w:val="24"/>
          <w:highlight w:val="none"/>
          <w:lang w:val="en-US" w:eastAsia="zh-CN"/>
        </w:rPr>
        <w:t>教发中心或</w:t>
      </w:r>
      <w:r>
        <w:rPr>
          <w:rFonts w:ascii="仿宋_GB2312" w:hAnsi="仿宋_GB2312" w:eastAsia="仿宋_GB2312" w:cs="仿宋_GB2312"/>
          <w:color w:val="auto"/>
          <w:sz w:val="24"/>
          <w:highlight w:val="none"/>
        </w:rPr>
        <w:t>学校向乙方</w:t>
      </w:r>
      <w:r>
        <w:rPr>
          <w:rFonts w:hint="eastAsia" w:ascii="仿宋_GB2312" w:hAnsi="宋体" w:eastAsia="仿宋_GB2312"/>
          <w:color w:val="auto"/>
          <w:sz w:val="24"/>
          <w:highlight w:val="none"/>
        </w:rPr>
        <w:t>支付至合同总价的</w:t>
      </w:r>
      <w:r>
        <w:rPr>
          <w:rFonts w:ascii="仿宋_GB2312" w:hAnsi="宋体" w:eastAsia="仿宋_GB2312"/>
          <w:color w:val="auto"/>
          <w:sz w:val="24"/>
          <w:highlight w:val="none"/>
          <w:u w:val="single"/>
        </w:rPr>
        <w:t xml:space="preserve"> 40</w:t>
      </w:r>
      <w:r>
        <w:rPr>
          <w:rFonts w:hint="eastAsia" w:ascii="仿宋_GB2312" w:hAnsi="宋体" w:eastAsia="仿宋_GB2312"/>
          <w:color w:val="auto"/>
          <w:sz w:val="24"/>
          <w:highlight w:val="none"/>
        </w:rPr>
        <w:t>％</w:t>
      </w:r>
      <w:r>
        <w:rPr>
          <w:rFonts w:hint="eastAsia" w:ascii="仿宋_GB2312" w:hAnsi="仿宋_GB2312" w:eastAsia="仿宋_GB2312" w:cs="仿宋_GB2312"/>
          <w:color w:val="auto"/>
          <w:sz w:val="24"/>
          <w:highlight w:val="none"/>
        </w:rPr>
        <w:t>预付</w:t>
      </w:r>
      <w:r>
        <w:rPr>
          <w:rFonts w:ascii="仿宋_GB2312" w:hAnsi="仿宋_GB2312" w:eastAsia="仿宋_GB2312" w:cs="仿宋_GB2312"/>
          <w:color w:val="auto"/>
          <w:sz w:val="24"/>
          <w:highlight w:val="none"/>
        </w:rPr>
        <w:t>款</w:t>
      </w:r>
      <w:r>
        <w:rPr>
          <w:rFonts w:hint="eastAsia" w:ascii="仿宋_GB2312" w:hAnsi="仿宋_GB2312" w:eastAsia="仿宋_GB2312" w:cs="仿宋_GB2312"/>
          <w:color w:val="auto"/>
          <w:sz w:val="24"/>
          <w:highlight w:val="none"/>
        </w:rPr>
        <w:t>，</w:t>
      </w:r>
      <w:r>
        <w:rPr>
          <w:rFonts w:hint="eastAsia" w:ascii="仿宋_GB2312" w:hAnsi="宋体" w:eastAsia="仿宋_GB2312"/>
          <w:color w:val="auto"/>
          <w:sz w:val="24"/>
          <w:highlight w:val="none"/>
        </w:rPr>
        <w:t>货到初验合格，安装调试合格后，运行正常后，</w:t>
      </w:r>
      <w:r>
        <w:rPr>
          <w:rFonts w:hint="eastAsia" w:ascii="仿宋_GB2312" w:hAnsi="宋体" w:eastAsia="仿宋_GB2312" w:cs="宋体"/>
          <w:bCs/>
          <w:color w:val="auto"/>
          <w:sz w:val="24"/>
          <w:highlight w:val="none"/>
        </w:rPr>
        <w:t>学校填写好初</w:t>
      </w:r>
      <w:r>
        <w:rPr>
          <w:rFonts w:hint="eastAsia" w:ascii="仿宋_GB2312" w:hAnsi="仿宋_GB2312" w:eastAsia="仿宋_GB2312" w:cs="仿宋_GB2312"/>
          <w:color w:val="auto"/>
          <w:sz w:val="24"/>
          <w:highlight w:val="none"/>
        </w:rPr>
        <w:t>验合格单据报甲方，</w:t>
      </w:r>
      <w:r>
        <w:rPr>
          <w:rFonts w:ascii="仿宋_GB2312" w:hAnsi="仿宋_GB2312" w:eastAsia="仿宋_GB2312" w:cs="仿宋_GB2312"/>
          <w:color w:val="auto"/>
          <w:sz w:val="24"/>
          <w:highlight w:val="none"/>
        </w:rPr>
        <w:t>甲方</w:t>
      </w:r>
      <w:r>
        <w:rPr>
          <w:rFonts w:hint="eastAsia" w:ascii="仿宋_GB2312" w:hAnsi="仿宋_GB2312" w:eastAsia="仿宋_GB2312" w:cs="仿宋_GB2312"/>
          <w:color w:val="auto"/>
          <w:sz w:val="24"/>
          <w:highlight w:val="none"/>
        </w:rPr>
        <w:t>确认后</w:t>
      </w:r>
      <w:r>
        <w:rPr>
          <w:rFonts w:ascii="仿宋_GB2312" w:hAnsi="仿宋_GB2312" w:eastAsia="仿宋_GB2312" w:cs="仿宋_GB2312"/>
          <w:color w:val="auto"/>
          <w:sz w:val="24"/>
          <w:highlight w:val="none"/>
        </w:rPr>
        <w:t>组</w:t>
      </w:r>
      <w:r>
        <w:rPr>
          <w:rFonts w:hint="eastAsia" w:ascii="仿宋_GB2312" w:hAnsi="仿宋_GB2312" w:eastAsia="仿宋_GB2312" w:cs="仿宋_GB2312"/>
          <w:color w:val="auto"/>
          <w:sz w:val="24"/>
          <w:highlight w:val="none"/>
        </w:rPr>
        <w:t>织区</w:t>
      </w:r>
      <w:r>
        <w:rPr>
          <w:rFonts w:ascii="仿宋_GB2312" w:hAnsi="仿宋_GB2312" w:eastAsia="仿宋_GB2312" w:cs="仿宋_GB2312"/>
          <w:color w:val="auto"/>
          <w:sz w:val="24"/>
          <w:highlight w:val="none"/>
        </w:rPr>
        <w:t>验收专家组进行</w:t>
      </w:r>
      <w:r>
        <w:rPr>
          <w:rFonts w:hint="eastAsia" w:ascii="仿宋_GB2312" w:hAnsi="仿宋_GB2312" w:eastAsia="仿宋_GB2312" w:cs="仿宋_GB2312"/>
          <w:color w:val="auto"/>
          <w:sz w:val="24"/>
          <w:highlight w:val="none"/>
        </w:rPr>
        <w:t>项</w:t>
      </w:r>
      <w:r>
        <w:rPr>
          <w:rFonts w:ascii="仿宋_GB2312" w:hAnsi="仿宋_GB2312" w:eastAsia="仿宋_GB2312" w:cs="仿宋_GB2312"/>
          <w:color w:val="auto"/>
          <w:sz w:val="24"/>
          <w:highlight w:val="none"/>
        </w:rPr>
        <w:t>目整体验收</w:t>
      </w:r>
      <w:r>
        <w:rPr>
          <w:rFonts w:hint="eastAsia" w:ascii="仿宋_GB2312" w:hAnsi="仿宋_GB2312" w:eastAsia="仿宋_GB2312" w:cs="仿宋_GB2312"/>
          <w:color w:val="auto"/>
          <w:sz w:val="24"/>
          <w:highlight w:val="none"/>
        </w:rPr>
        <w:t>，乙方</w:t>
      </w:r>
      <w:r>
        <w:rPr>
          <w:rFonts w:ascii="仿宋_GB2312" w:hAnsi="仿宋_GB2312" w:eastAsia="仿宋_GB2312" w:cs="仿宋_GB2312"/>
          <w:color w:val="auto"/>
          <w:sz w:val="24"/>
          <w:highlight w:val="none"/>
        </w:rPr>
        <w:t>凭</w:t>
      </w:r>
      <w:r>
        <w:rPr>
          <w:rFonts w:hint="eastAsia" w:ascii="仿宋_GB2312" w:hAnsi="仿宋_GB2312" w:eastAsia="仿宋_GB2312" w:cs="仿宋_GB2312"/>
          <w:color w:val="auto"/>
          <w:sz w:val="24"/>
          <w:highlight w:val="none"/>
        </w:rPr>
        <w:t>甲方</w:t>
      </w:r>
      <w:r>
        <w:rPr>
          <w:rFonts w:ascii="仿宋_GB2312" w:hAnsi="仿宋_GB2312" w:eastAsia="仿宋_GB2312" w:cs="仿宋_GB2312"/>
          <w:color w:val="auto"/>
          <w:sz w:val="24"/>
          <w:highlight w:val="none"/>
        </w:rPr>
        <w:t>盖章确认的专家</w:t>
      </w:r>
      <w:r>
        <w:rPr>
          <w:rFonts w:hint="eastAsia" w:ascii="仿宋_GB2312" w:hAnsi="仿宋_GB2312" w:eastAsia="仿宋_GB2312" w:cs="仿宋_GB2312"/>
          <w:color w:val="auto"/>
          <w:sz w:val="24"/>
          <w:highlight w:val="none"/>
        </w:rPr>
        <w:t>《</w:t>
      </w:r>
      <w:r>
        <w:rPr>
          <w:rFonts w:ascii="仿宋_GB2312" w:hAnsi="仿宋_GB2312" w:eastAsia="仿宋_GB2312" w:cs="仿宋_GB2312"/>
          <w:color w:val="auto"/>
          <w:sz w:val="24"/>
          <w:highlight w:val="none"/>
        </w:rPr>
        <w:t>验收</w:t>
      </w:r>
      <w:r>
        <w:rPr>
          <w:rFonts w:hint="eastAsia" w:ascii="仿宋_GB2312" w:hAnsi="仿宋_GB2312" w:eastAsia="仿宋_GB2312" w:cs="仿宋_GB2312"/>
          <w:color w:val="auto"/>
          <w:sz w:val="24"/>
          <w:highlight w:val="none"/>
        </w:rPr>
        <w:t>合</w:t>
      </w:r>
      <w:r>
        <w:rPr>
          <w:rFonts w:ascii="仿宋_GB2312" w:hAnsi="仿宋_GB2312" w:eastAsia="仿宋_GB2312" w:cs="仿宋_GB2312"/>
          <w:color w:val="auto"/>
          <w:sz w:val="24"/>
          <w:highlight w:val="none"/>
        </w:rPr>
        <w:t>格报告</w:t>
      </w:r>
      <w:r>
        <w:rPr>
          <w:rFonts w:hint="eastAsia" w:ascii="仿宋_GB2312" w:hAnsi="仿宋_GB2312" w:eastAsia="仿宋_GB2312" w:cs="仿宋_GB2312"/>
          <w:color w:val="auto"/>
          <w:sz w:val="24"/>
          <w:highlight w:val="none"/>
        </w:rPr>
        <w:t>》向</w:t>
      </w:r>
      <w:r>
        <w:rPr>
          <w:rFonts w:hint="eastAsia" w:ascii="仿宋_GB2312" w:hAnsi="仿宋_GB2312" w:eastAsia="仿宋_GB2312" w:cs="仿宋_GB2312"/>
          <w:color w:val="auto"/>
          <w:sz w:val="24"/>
          <w:highlight w:val="none"/>
          <w:lang w:val="en-US" w:eastAsia="zh-CN"/>
        </w:rPr>
        <w:t>教发中心或</w:t>
      </w:r>
      <w:r>
        <w:rPr>
          <w:rFonts w:ascii="仿宋_GB2312" w:hAnsi="仿宋_GB2312" w:eastAsia="仿宋_GB2312" w:cs="仿宋_GB2312"/>
          <w:color w:val="auto"/>
          <w:sz w:val="24"/>
          <w:highlight w:val="none"/>
        </w:rPr>
        <w:t>学校申请</w:t>
      </w:r>
      <w:r>
        <w:rPr>
          <w:rFonts w:hint="eastAsia" w:ascii="仿宋_GB2312" w:hAnsi="仿宋_GB2312" w:eastAsia="仿宋_GB2312" w:cs="仿宋_GB2312"/>
          <w:color w:val="auto"/>
          <w:sz w:val="24"/>
          <w:highlight w:val="none"/>
        </w:rPr>
        <w:t>支付余款。</w:t>
      </w:r>
    </w:p>
    <w:p>
      <w:pPr>
        <w:spacing w:line="460" w:lineRule="exact"/>
        <w:ind w:firstLine="480" w:firstLineChars="200"/>
        <w:rPr>
          <w:rFonts w:ascii="仿宋_GB2312" w:hAnsi="仿宋_GB2312" w:eastAsia="仿宋_GB2312" w:cs="仿宋_GB2312"/>
          <w:color w:val="auto"/>
          <w:sz w:val="24"/>
          <w:highlight w:val="none"/>
        </w:rPr>
      </w:pPr>
      <w:r>
        <w:rPr>
          <w:rFonts w:hint="eastAsia" w:ascii="仿宋_GB2312" w:hAnsi="Courier New" w:eastAsia="仿宋_GB2312" w:cs="宋体"/>
          <w:color w:val="auto"/>
          <w:sz w:val="24"/>
          <w:highlight w:val="none"/>
        </w:rPr>
        <w:t>（3）本</w:t>
      </w:r>
      <w:r>
        <w:rPr>
          <w:rFonts w:ascii="仿宋_GB2312" w:hAnsi="Courier New" w:eastAsia="仿宋_GB2312" w:cs="宋体"/>
          <w:color w:val="auto"/>
          <w:sz w:val="24"/>
          <w:highlight w:val="none"/>
        </w:rPr>
        <w:t>项目为</w:t>
      </w:r>
      <w:r>
        <w:rPr>
          <w:rFonts w:hint="eastAsia" w:ascii="仿宋_GB2312" w:hAnsi="Courier New" w:eastAsia="仿宋_GB2312" w:cs="宋体"/>
          <w:color w:val="auto"/>
          <w:sz w:val="24"/>
          <w:highlight w:val="none"/>
        </w:rPr>
        <w:t>学校</w:t>
      </w:r>
      <w:r>
        <w:rPr>
          <w:rFonts w:ascii="仿宋_GB2312" w:hAnsi="Courier New" w:eastAsia="仿宋_GB2312" w:cs="宋体"/>
          <w:color w:val="auto"/>
          <w:sz w:val="24"/>
          <w:highlight w:val="none"/>
        </w:rPr>
        <w:t>自验</w:t>
      </w:r>
      <w:r>
        <w:rPr>
          <w:rFonts w:hint="eastAsia" w:ascii="仿宋_GB2312" w:hAnsi="Courier New" w:eastAsia="仿宋_GB2312" w:cs="宋体"/>
          <w:color w:val="auto"/>
          <w:sz w:val="24"/>
          <w:highlight w:val="none"/>
        </w:rPr>
        <w:t>合格</w:t>
      </w:r>
      <w:r>
        <w:rPr>
          <w:rFonts w:ascii="仿宋_GB2312" w:hAnsi="Courier New" w:eastAsia="仿宋_GB2312" w:cs="宋体"/>
          <w:color w:val="auto"/>
          <w:sz w:val="24"/>
          <w:highlight w:val="none"/>
        </w:rPr>
        <w:t>支付项目。</w:t>
      </w:r>
      <w:r>
        <w:rPr>
          <w:rFonts w:hint="eastAsia" w:ascii="仿宋_GB2312" w:hAnsi="宋体" w:eastAsia="仿宋_GB2312" w:cs="宋体"/>
          <w:bCs/>
          <w:color w:val="auto"/>
          <w:sz w:val="24"/>
          <w:highlight w:val="none"/>
        </w:rPr>
        <w:t>学校验收合格，学校填写好</w:t>
      </w:r>
      <w:r>
        <w:rPr>
          <w:rFonts w:hint="eastAsia" w:ascii="仿宋_GB2312" w:hAnsi="仿宋_GB2312" w:eastAsia="仿宋_GB2312" w:cs="仿宋_GB2312"/>
          <w:color w:val="auto"/>
          <w:sz w:val="24"/>
          <w:highlight w:val="none"/>
        </w:rPr>
        <w:t>验收合格单据，报甲方确认后</w:t>
      </w:r>
      <w:r>
        <w:rPr>
          <w:rFonts w:hint="eastAsia" w:ascii="仿宋_GB2312" w:hAnsi="宋体" w:eastAsia="仿宋_GB2312"/>
          <w:color w:val="auto"/>
          <w:sz w:val="24"/>
          <w:highlight w:val="none"/>
        </w:rPr>
        <w:t>支付货款。</w:t>
      </w:r>
    </w:p>
    <w:p>
      <w:pPr>
        <w:spacing w:line="460" w:lineRule="exact"/>
        <w:ind w:firstLine="480" w:firstLineChars="200"/>
        <w:rPr>
          <w:rFonts w:ascii="仿宋_GB2312" w:hAnsi="宋体" w:eastAsia="仿宋_GB2312"/>
          <w:color w:val="auto"/>
          <w:sz w:val="24"/>
          <w:highlight w:val="none"/>
        </w:rPr>
      </w:pPr>
      <w:r>
        <w:rPr>
          <w:rFonts w:hint="eastAsia" w:ascii="仿宋_GB2312" w:hAnsi="Courier New" w:eastAsia="仿宋_GB2312" w:cs="宋体"/>
          <w:color w:val="auto"/>
          <w:sz w:val="24"/>
          <w:highlight w:val="none"/>
        </w:rPr>
        <w:t>（4）本</w:t>
      </w:r>
      <w:r>
        <w:rPr>
          <w:rFonts w:ascii="仿宋_GB2312" w:hAnsi="Courier New" w:eastAsia="仿宋_GB2312" w:cs="宋体"/>
          <w:color w:val="auto"/>
          <w:sz w:val="24"/>
          <w:highlight w:val="none"/>
        </w:rPr>
        <w:t>项目为</w:t>
      </w:r>
      <w:r>
        <w:rPr>
          <w:rFonts w:hint="eastAsia" w:ascii="仿宋_GB2312" w:hAnsi="Courier New" w:eastAsia="仿宋_GB2312" w:cs="宋体"/>
          <w:color w:val="auto"/>
          <w:sz w:val="24"/>
          <w:highlight w:val="none"/>
        </w:rPr>
        <w:t>区</w:t>
      </w:r>
      <w:r>
        <w:rPr>
          <w:rFonts w:ascii="仿宋_GB2312" w:hAnsi="Courier New" w:eastAsia="仿宋_GB2312" w:cs="宋体"/>
          <w:color w:val="auto"/>
          <w:sz w:val="24"/>
          <w:highlight w:val="none"/>
        </w:rPr>
        <w:t>级</w:t>
      </w:r>
      <w:r>
        <w:rPr>
          <w:rFonts w:hint="eastAsia" w:ascii="仿宋_GB2312" w:hAnsi="Courier New" w:eastAsia="仿宋_GB2312" w:cs="宋体"/>
          <w:color w:val="auto"/>
          <w:sz w:val="24"/>
          <w:highlight w:val="none"/>
        </w:rPr>
        <w:t>验收合</w:t>
      </w:r>
      <w:r>
        <w:rPr>
          <w:rFonts w:ascii="仿宋_GB2312" w:hAnsi="Courier New" w:eastAsia="仿宋_GB2312" w:cs="宋体"/>
          <w:color w:val="auto"/>
          <w:sz w:val="24"/>
          <w:highlight w:val="none"/>
        </w:rPr>
        <w:t>格支付项目。</w:t>
      </w:r>
      <w:r>
        <w:rPr>
          <w:rFonts w:hint="eastAsia" w:ascii="仿宋_GB2312" w:hAnsi="Courier New" w:eastAsia="仿宋_GB2312" w:cs="宋体"/>
          <w:color w:val="auto"/>
          <w:sz w:val="24"/>
          <w:highlight w:val="none"/>
        </w:rPr>
        <w:t>经乙方同意后，全部货款在区级验收合格后一次性支付。具体流程为：</w:t>
      </w:r>
      <w:r>
        <w:rPr>
          <w:rFonts w:hint="eastAsia" w:ascii="仿宋_GB2312" w:hAnsi="宋体" w:eastAsia="仿宋_GB2312"/>
          <w:color w:val="auto"/>
          <w:sz w:val="24"/>
          <w:highlight w:val="none"/>
        </w:rPr>
        <w:t>货到初验合格，安装调试合格，运行正常后，</w:t>
      </w:r>
      <w:r>
        <w:rPr>
          <w:rFonts w:hint="eastAsia" w:ascii="仿宋_GB2312" w:hAnsi="宋体" w:eastAsia="仿宋_GB2312" w:cs="宋体"/>
          <w:bCs/>
          <w:color w:val="auto"/>
          <w:sz w:val="24"/>
          <w:highlight w:val="none"/>
        </w:rPr>
        <w:t>学校填写好初</w:t>
      </w:r>
      <w:r>
        <w:rPr>
          <w:rFonts w:hint="eastAsia" w:ascii="仿宋_GB2312" w:hAnsi="仿宋_GB2312" w:eastAsia="仿宋_GB2312" w:cs="仿宋_GB2312"/>
          <w:color w:val="auto"/>
          <w:sz w:val="24"/>
          <w:highlight w:val="none"/>
        </w:rPr>
        <w:t>验合格单据报甲方，</w:t>
      </w:r>
      <w:r>
        <w:rPr>
          <w:rFonts w:ascii="仿宋_GB2312" w:hAnsi="仿宋_GB2312" w:eastAsia="仿宋_GB2312" w:cs="仿宋_GB2312"/>
          <w:color w:val="auto"/>
          <w:sz w:val="24"/>
          <w:highlight w:val="none"/>
        </w:rPr>
        <w:t>甲方</w:t>
      </w:r>
      <w:r>
        <w:rPr>
          <w:rFonts w:hint="eastAsia" w:ascii="仿宋_GB2312" w:hAnsi="仿宋_GB2312" w:eastAsia="仿宋_GB2312" w:cs="仿宋_GB2312"/>
          <w:color w:val="auto"/>
          <w:sz w:val="24"/>
          <w:highlight w:val="none"/>
        </w:rPr>
        <w:t>确认后</w:t>
      </w:r>
      <w:r>
        <w:rPr>
          <w:rFonts w:ascii="仿宋_GB2312" w:hAnsi="仿宋_GB2312" w:eastAsia="仿宋_GB2312" w:cs="仿宋_GB2312"/>
          <w:color w:val="auto"/>
          <w:sz w:val="24"/>
          <w:highlight w:val="none"/>
        </w:rPr>
        <w:t>组</w:t>
      </w:r>
      <w:r>
        <w:rPr>
          <w:rFonts w:hint="eastAsia" w:ascii="仿宋_GB2312" w:hAnsi="仿宋_GB2312" w:eastAsia="仿宋_GB2312" w:cs="仿宋_GB2312"/>
          <w:color w:val="auto"/>
          <w:sz w:val="24"/>
          <w:highlight w:val="none"/>
        </w:rPr>
        <w:t>织区</w:t>
      </w:r>
      <w:r>
        <w:rPr>
          <w:rFonts w:ascii="仿宋_GB2312" w:hAnsi="仿宋_GB2312" w:eastAsia="仿宋_GB2312" w:cs="仿宋_GB2312"/>
          <w:color w:val="auto"/>
          <w:sz w:val="24"/>
          <w:highlight w:val="none"/>
        </w:rPr>
        <w:t>验收专家组进行</w:t>
      </w:r>
      <w:r>
        <w:rPr>
          <w:rFonts w:hint="eastAsia" w:ascii="仿宋_GB2312" w:hAnsi="仿宋_GB2312" w:eastAsia="仿宋_GB2312" w:cs="仿宋_GB2312"/>
          <w:color w:val="auto"/>
          <w:sz w:val="24"/>
          <w:highlight w:val="none"/>
        </w:rPr>
        <w:t>项</w:t>
      </w:r>
      <w:r>
        <w:rPr>
          <w:rFonts w:ascii="仿宋_GB2312" w:hAnsi="仿宋_GB2312" w:eastAsia="仿宋_GB2312" w:cs="仿宋_GB2312"/>
          <w:color w:val="auto"/>
          <w:sz w:val="24"/>
          <w:highlight w:val="none"/>
        </w:rPr>
        <w:t>目整体验收</w:t>
      </w:r>
      <w:r>
        <w:rPr>
          <w:rFonts w:hint="eastAsia" w:ascii="仿宋_GB2312" w:hAnsi="仿宋_GB2312" w:eastAsia="仿宋_GB2312" w:cs="仿宋_GB2312"/>
          <w:color w:val="auto"/>
          <w:sz w:val="24"/>
          <w:highlight w:val="none"/>
        </w:rPr>
        <w:t>，乙方</w:t>
      </w:r>
      <w:r>
        <w:rPr>
          <w:rFonts w:ascii="仿宋_GB2312" w:hAnsi="仿宋_GB2312" w:eastAsia="仿宋_GB2312" w:cs="仿宋_GB2312"/>
          <w:color w:val="auto"/>
          <w:sz w:val="24"/>
          <w:highlight w:val="none"/>
        </w:rPr>
        <w:t>凭</w:t>
      </w:r>
      <w:r>
        <w:rPr>
          <w:rFonts w:hint="eastAsia" w:ascii="仿宋_GB2312" w:hAnsi="仿宋_GB2312" w:eastAsia="仿宋_GB2312" w:cs="仿宋_GB2312"/>
          <w:color w:val="auto"/>
          <w:sz w:val="24"/>
          <w:highlight w:val="none"/>
        </w:rPr>
        <w:t>甲方</w:t>
      </w:r>
      <w:r>
        <w:rPr>
          <w:rFonts w:ascii="仿宋_GB2312" w:hAnsi="仿宋_GB2312" w:eastAsia="仿宋_GB2312" w:cs="仿宋_GB2312"/>
          <w:color w:val="auto"/>
          <w:sz w:val="24"/>
          <w:highlight w:val="none"/>
        </w:rPr>
        <w:t>盖章确认的专家</w:t>
      </w:r>
      <w:r>
        <w:rPr>
          <w:rFonts w:hint="eastAsia" w:ascii="仿宋_GB2312" w:hAnsi="仿宋_GB2312" w:eastAsia="仿宋_GB2312" w:cs="仿宋_GB2312"/>
          <w:color w:val="auto"/>
          <w:sz w:val="24"/>
          <w:highlight w:val="none"/>
        </w:rPr>
        <w:t>《</w:t>
      </w:r>
      <w:r>
        <w:rPr>
          <w:rFonts w:ascii="仿宋_GB2312" w:hAnsi="仿宋_GB2312" w:eastAsia="仿宋_GB2312" w:cs="仿宋_GB2312"/>
          <w:color w:val="auto"/>
          <w:sz w:val="24"/>
          <w:highlight w:val="none"/>
        </w:rPr>
        <w:t>验收</w:t>
      </w:r>
      <w:r>
        <w:rPr>
          <w:rFonts w:hint="eastAsia" w:ascii="仿宋_GB2312" w:hAnsi="仿宋_GB2312" w:eastAsia="仿宋_GB2312" w:cs="仿宋_GB2312"/>
          <w:color w:val="auto"/>
          <w:sz w:val="24"/>
          <w:highlight w:val="none"/>
        </w:rPr>
        <w:t>合</w:t>
      </w:r>
      <w:r>
        <w:rPr>
          <w:rFonts w:ascii="仿宋_GB2312" w:hAnsi="仿宋_GB2312" w:eastAsia="仿宋_GB2312" w:cs="仿宋_GB2312"/>
          <w:color w:val="auto"/>
          <w:sz w:val="24"/>
          <w:highlight w:val="none"/>
        </w:rPr>
        <w:t>格报告</w:t>
      </w:r>
      <w:r>
        <w:rPr>
          <w:rFonts w:hint="eastAsia" w:ascii="仿宋_GB2312" w:hAnsi="仿宋_GB2312" w:eastAsia="仿宋_GB2312" w:cs="仿宋_GB2312"/>
          <w:color w:val="auto"/>
          <w:sz w:val="24"/>
          <w:highlight w:val="none"/>
        </w:rPr>
        <w:t>》、发票、资产入库凭证等材料向</w:t>
      </w:r>
      <w:r>
        <w:rPr>
          <w:rFonts w:ascii="仿宋_GB2312" w:hAnsi="仿宋_GB2312" w:eastAsia="仿宋_GB2312" w:cs="仿宋_GB2312"/>
          <w:color w:val="auto"/>
          <w:sz w:val="24"/>
          <w:highlight w:val="none"/>
        </w:rPr>
        <w:t>学校申请</w:t>
      </w:r>
      <w:r>
        <w:rPr>
          <w:rFonts w:hint="eastAsia" w:ascii="仿宋_GB2312" w:hAnsi="仿宋_GB2312" w:eastAsia="仿宋_GB2312" w:cs="仿宋_GB2312"/>
          <w:color w:val="auto"/>
          <w:sz w:val="24"/>
          <w:highlight w:val="none"/>
        </w:rPr>
        <w:t>支付货款。</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第六条 保证金 </w:t>
      </w:r>
    </w:p>
    <w:p>
      <w:pPr>
        <w:spacing w:line="360" w:lineRule="auto"/>
        <w:ind w:firstLine="480" w:firstLineChars="200"/>
        <w:rPr>
          <w:rFonts w:ascii="仿宋_GB2312" w:eastAsia="仿宋_GB2312"/>
          <w:color w:val="auto"/>
          <w:sz w:val="24"/>
          <w:highlight w:val="none"/>
        </w:rPr>
      </w:pPr>
      <w:r>
        <w:rPr>
          <w:rFonts w:hint="eastAsia" w:ascii="仿宋_GB2312" w:hAnsi="宋体" w:eastAsia="仿宋_GB2312"/>
          <w:color w:val="auto"/>
          <w:sz w:val="24"/>
          <w:highlight w:val="none"/>
        </w:rPr>
        <w:t>6.1</w:t>
      </w:r>
      <w:r>
        <w:rPr>
          <w:rFonts w:hint="eastAsia" w:ascii="仿宋_GB2312" w:eastAsia="仿宋_GB2312"/>
          <w:color w:val="auto"/>
          <w:sz w:val="24"/>
          <w:highlight w:val="none"/>
        </w:rPr>
        <w:t xml:space="preserve"> 乙方须在本合同生效前</w:t>
      </w:r>
      <w:r>
        <w:rPr>
          <w:rFonts w:hint="eastAsia" w:ascii="仿宋_GB2312" w:eastAsia="仿宋_GB2312" w:cs="仿宋_GB2312"/>
          <w:color w:val="auto"/>
          <w:sz w:val="24"/>
          <w:highlight w:val="none"/>
        </w:rPr>
        <w:t>向</w:t>
      </w:r>
      <w:r>
        <w:rPr>
          <w:rFonts w:hint="eastAsia" w:ascii="仿宋_GB2312" w:hAnsi="宋体" w:eastAsia="仿宋_GB2312" w:cs="宋体"/>
          <w:color w:val="auto"/>
          <w:kern w:val="0"/>
          <w:sz w:val="24"/>
          <w:highlight w:val="none"/>
        </w:rPr>
        <w:t>甲方</w:t>
      </w:r>
      <w:r>
        <w:rPr>
          <w:rFonts w:hint="eastAsia" w:ascii="仿宋_GB2312" w:eastAsia="仿宋_GB2312"/>
          <w:color w:val="auto"/>
          <w:sz w:val="24"/>
          <w:highlight w:val="none"/>
        </w:rPr>
        <w:t>缴纳合同总价</w:t>
      </w:r>
      <w:r>
        <w:rPr>
          <w:rFonts w:ascii="仿宋_GB2312" w:eastAsia="仿宋_GB2312"/>
          <w:color w:val="auto"/>
          <w:sz w:val="24"/>
          <w:highlight w:val="none"/>
        </w:rPr>
        <w:t>1</w:t>
      </w:r>
      <w:r>
        <w:rPr>
          <w:rFonts w:hint="eastAsia" w:ascii="仿宋_GB2312" w:eastAsia="仿宋_GB2312"/>
          <w:color w:val="auto"/>
          <w:sz w:val="24"/>
          <w:highlight w:val="none"/>
        </w:rPr>
        <w:t>%的履约保证金</w:t>
      </w:r>
      <w:r>
        <w:rPr>
          <w:rFonts w:ascii="仿宋_GB2312" w:hAnsi="宋体" w:eastAsia="仿宋_GB2312"/>
          <w:color w:val="auto"/>
          <w:sz w:val="24"/>
          <w:highlight w:val="none"/>
          <w:u w:val="single"/>
        </w:rPr>
        <w:t>_</w:t>
      </w:r>
      <w:r>
        <w:rPr>
          <w:rFonts w:hint="eastAsia" w:ascii="仿宋_GB2312" w:hAnsi="宋体" w:eastAsia="仿宋_GB2312"/>
          <w:color w:val="auto"/>
          <w:sz w:val="24"/>
          <w:highlight w:val="none"/>
        </w:rPr>
        <w:t>元</w:t>
      </w:r>
      <w:r>
        <w:rPr>
          <w:rFonts w:hint="eastAsia" w:ascii="仿宋_GB2312" w:eastAsia="仿宋_GB2312"/>
          <w:color w:val="auto"/>
          <w:sz w:val="24"/>
          <w:highlight w:val="none"/>
        </w:rPr>
        <w:t>（取整数到百位），作为合同生效的必要条件。</w:t>
      </w:r>
    </w:p>
    <w:p>
      <w:pPr>
        <w:spacing w:line="360" w:lineRule="auto"/>
        <w:ind w:firstLine="480" w:firstLineChars="200"/>
        <w:rPr>
          <w:rFonts w:ascii="仿宋_GB2312" w:eastAsia="仿宋_GB2312"/>
          <w:b/>
          <w:bCs/>
          <w:color w:val="auto"/>
          <w:sz w:val="24"/>
          <w:highlight w:val="none"/>
        </w:rPr>
      </w:pPr>
      <w:r>
        <w:rPr>
          <w:rFonts w:hint="eastAsia" w:ascii="仿宋_GB2312" w:hAnsi="宋体" w:eastAsia="仿宋_GB2312"/>
          <w:color w:val="auto"/>
          <w:sz w:val="24"/>
          <w:highlight w:val="none"/>
        </w:rPr>
        <w:t>6.2</w:t>
      </w:r>
      <w:r>
        <w:rPr>
          <w:rFonts w:hint="eastAsia" w:ascii="仿宋_GB2312" w:eastAsia="仿宋_GB2312"/>
          <w:color w:val="auto"/>
          <w:sz w:val="24"/>
          <w:highlight w:val="none"/>
        </w:rPr>
        <w:t>验收合格后无发现有质量问题和维护问题，凭中标投标人开具的正规收据全额无息退还。鼓励和支持投标人以银行、保险公司出具的保函形式提供履约保证金。</w:t>
      </w:r>
      <w:r>
        <w:rPr>
          <w:rFonts w:hint="eastAsia" w:ascii="仿宋_GB2312" w:eastAsia="仿宋_GB2312"/>
          <w:b/>
          <w:bCs/>
          <w:color w:val="auto"/>
          <w:sz w:val="24"/>
          <w:highlight w:val="none"/>
        </w:rPr>
        <w:t>采购人不得拒收履约保函。</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6.</w:t>
      </w:r>
      <w:r>
        <w:rPr>
          <w:rFonts w:hint="eastAsia" w:ascii="仿宋_GB2312" w:hAnsi="宋体" w:eastAsia="仿宋_GB2312"/>
          <w:color w:val="auto"/>
          <w:sz w:val="24"/>
          <w:highlight w:val="none"/>
          <w:lang w:val="en-US" w:eastAsia="zh-CN"/>
        </w:rPr>
        <w:t>3</w:t>
      </w:r>
      <w:r>
        <w:rPr>
          <w:rFonts w:ascii="仿宋_GB2312" w:hAnsi="宋体" w:eastAsia="仿宋_GB2312"/>
          <w:color w:val="auto"/>
          <w:sz w:val="24"/>
          <w:highlight w:val="none"/>
        </w:rPr>
        <w:t xml:space="preserve"> 保证金</w:t>
      </w:r>
      <w:r>
        <w:rPr>
          <w:rFonts w:hint="eastAsia" w:ascii="仿宋_GB2312" w:hAnsi="宋体" w:eastAsia="仿宋_GB2312"/>
          <w:color w:val="auto"/>
          <w:sz w:val="24"/>
          <w:highlight w:val="none"/>
        </w:rPr>
        <w:t>不计利息。</w:t>
      </w:r>
    </w:p>
    <w:p>
      <w:pPr>
        <w:spacing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第七条  交货和验收：</w:t>
      </w:r>
    </w:p>
    <w:p>
      <w:pPr>
        <w:spacing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7.1交货时间：原则上202</w:t>
      </w:r>
      <w:r>
        <w:rPr>
          <w:rFonts w:hint="eastAsia" w:ascii="仿宋_GB2312" w:hAnsi="宋体" w:eastAsia="仿宋_GB2312"/>
          <w:color w:val="auto"/>
          <w:sz w:val="24"/>
          <w:highlight w:val="none"/>
          <w:lang w:val="en-US" w:eastAsia="zh-CN"/>
        </w:rPr>
        <w:t>4</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lang w:val="en-US" w:eastAsia="zh-CN"/>
        </w:rPr>
        <w:t>8</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lang w:val="en-US" w:eastAsia="zh-CN"/>
        </w:rPr>
        <w:t>2</w:t>
      </w:r>
      <w:r>
        <w:rPr>
          <w:rFonts w:hint="eastAsia" w:ascii="仿宋_GB2312" w:hAnsi="宋体" w:eastAsia="仿宋_GB2312"/>
          <w:color w:val="auto"/>
          <w:sz w:val="24"/>
          <w:highlight w:val="none"/>
        </w:rPr>
        <w:t>0日前完成生产供货</w:t>
      </w:r>
      <w:r>
        <w:rPr>
          <w:rFonts w:hint="eastAsia" w:ascii="仿宋_GB2312" w:hAnsi="宋体" w:eastAsia="仿宋_GB2312"/>
          <w:color w:val="auto"/>
          <w:sz w:val="24"/>
          <w:highlight w:val="none"/>
          <w:lang w:eastAsia="zh-CN"/>
        </w:rPr>
        <w:t>，</w:t>
      </w:r>
      <w:r>
        <w:rPr>
          <w:rFonts w:hint="eastAsia" w:ascii="仿宋_GB2312" w:hAnsi="宋体" w:eastAsia="仿宋_GB2312"/>
          <w:color w:val="auto"/>
          <w:sz w:val="24"/>
          <w:highlight w:val="none"/>
        </w:rPr>
        <w:t>搬运至指定学校并</w:t>
      </w:r>
      <w:r>
        <w:rPr>
          <w:rFonts w:hint="eastAsia" w:ascii="仿宋_GB2312" w:hAnsi="宋体" w:eastAsia="仿宋_GB2312"/>
          <w:color w:val="auto"/>
          <w:sz w:val="24"/>
          <w:highlight w:val="none"/>
          <w:lang w:val="en-US" w:eastAsia="zh-CN"/>
        </w:rPr>
        <w:t>安装</w:t>
      </w:r>
      <w:r>
        <w:rPr>
          <w:rFonts w:hint="eastAsia" w:ascii="仿宋_GB2312" w:hAnsi="宋体" w:eastAsia="仿宋_GB2312"/>
          <w:color w:val="auto"/>
          <w:sz w:val="24"/>
          <w:highlight w:val="none"/>
        </w:rPr>
        <w:t>调试完成。</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7.2交货地点：上城区各相关学校，在附属合同中标明具体地点。</w:t>
      </w:r>
    </w:p>
    <w:p>
      <w:pPr>
        <w:tabs>
          <w:tab w:val="left" w:pos="0"/>
        </w:tabs>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3</w:t>
      </w:r>
      <w:r>
        <w:rPr>
          <w:rFonts w:hint="eastAsia" w:ascii="仿宋_GB2312" w:hAnsi="宋体" w:eastAsia="仿宋_GB2312"/>
          <w:color w:val="auto"/>
          <w:sz w:val="24"/>
          <w:highlight w:val="none"/>
        </w:rPr>
        <w:t>乙方应对提供的货物作出全面自查和整理，并列出清单，作为甲方验收和使用的技术条件依据，清单应随提供的验收资料交给甲方。</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4</w:t>
      </w:r>
      <w:r>
        <w:rPr>
          <w:rFonts w:hint="eastAsia" w:ascii="仿宋_GB2312" w:hAnsi="宋体" w:eastAsia="仿宋_GB2312"/>
          <w:color w:val="auto"/>
          <w:sz w:val="24"/>
          <w:highlight w:val="none"/>
        </w:rPr>
        <w:t>乙方提供的货物应包括本合同“第一条 合同文件”规定的全部货物及其附（辅）件、资料。</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5</w:t>
      </w:r>
      <w:r>
        <w:rPr>
          <w:rFonts w:hint="eastAsia" w:ascii="仿宋_GB2312" w:hAnsi="宋体" w:eastAsia="仿宋_GB2312"/>
          <w:color w:val="auto"/>
          <w:sz w:val="24"/>
          <w:highlight w:val="none"/>
        </w:rPr>
        <w:t>.1验收方应组成不少于3人的验收小组，对合同规定的货物数量、品牌型号、技术指标、质量要求等仔细进行查验，并对运输、安装、调试、试运行、培训等环节的施工与服务质量进行等全面验收，并出具书面验收报告；验收合格后在运行使用后发现质量及其他问题的，学校应及时通知验收小组复验，并将发现的问题及时通知乙方，并书面报告甲方。</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5</w:t>
      </w:r>
      <w:r>
        <w:rPr>
          <w:rFonts w:hint="eastAsia" w:ascii="仿宋_GB2312" w:hAnsi="宋体" w:eastAsia="仿宋_GB2312"/>
          <w:color w:val="auto"/>
          <w:sz w:val="24"/>
          <w:highlight w:val="none"/>
        </w:rPr>
        <w:t>.2学校验收项目：学校应当在到货后的</w:t>
      </w:r>
      <w:r>
        <w:rPr>
          <w:rFonts w:ascii="仿宋_GB2312" w:hAnsi="宋体" w:eastAsia="仿宋_GB2312"/>
          <w:color w:val="auto"/>
          <w:sz w:val="24"/>
          <w:highlight w:val="none"/>
          <w:u w:val="single"/>
        </w:rPr>
        <w:t>5</w:t>
      </w:r>
      <w:r>
        <w:rPr>
          <w:rFonts w:hint="eastAsia" w:ascii="仿宋_GB2312" w:hAnsi="宋体" w:eastAsia="仿宋_GB2312"/>
          <w:color w:val="auto"/>
          <w:sz w:val="24"/>
          <w:highlight w:val="none"/>
        </w:rPr>
        <w:t>个工作日内对货物进行验收。货物验收时，乙方和学校必须同时在场，双方共同确认货物与本合同规定的生产厂家产地、品牌、规格型号、数量、质量、技术参数和性能等是否一致。</w:t>
      </w:r>
      <w:r>
        <w:rPr>
          <w:rFonts w:ascii="仿宋_GB2312" w:hAnsi="宋体" w:eastAsia="仿宋_GB2312"/>
          <w:color w:val="auto"/>
          <w:sz w:val="24"/>
          <w:highlight w:val="none"/>
        </w:rPr>
        <w:t>乙方所交</w:t>
      </w:r>
      <w:r>
        <w:rPr>
          <w:rFonts w:hint="eastAsia" w:ascii="仿宋_GB2312" w:hAnsi="宋体" w:eastAsia="仿宋_GB2312"/>
          <w:color w:val="auto"/>
          <w:sz w:val="24"/>
          <w:highlight w:val="none"/>
        </w:rPr>
        <w:t>付</w:t>
      </w:r>
      <w:r>
        <w:rPr>
          <w:rFonts w:ascii="仿宋_GB2312" w:hAnsi="宋体" w:eastAsia="仿宋_GB2312"/>
          <w:color w:val="auto"/>
          <w:sz w:val="24"/>
          <w:highlight w:val="none"/>
        </w:rPr>
        <w:t>的货物不符合合同规定的，学校有权拒收</w:t>
      </w:r>
      <w:r>
        <w:rPr>
          <w:rFonts w:hint="eastAsia" w:ascii="仿宋_GB2312" w:hAnsi="宋体" w:eastAsia="仿宋_GB2312"/>
          <w:color w:val="auto"/>
          <w:sz w:val="24"/>
          <w:highlight w:val="none"/>
        </w:rPr>
        <w:t>。乙方应及时按本合同规定和学校要求免费对拒收货物采取更换或其他必要的补救措施，直至验收合格，方视为乙方按本合同规定完成交货</w:t>
      </w:r>
      <w:r>
        <w:rPr>
          <w:rFonts w:ascii="仿宋_GB2312" w:hAnsi="宋体" w:eastAsia="仿宋_GB2312"/>
          <w:color w:val="auto"/>
          <w:sz w:val="24"/>
          <w:highlight w:val="none"/>
        </w:rPr>
        <w:t>。</w:t>
      </w:r>
      <w:r>
        <w:rPr>
          <w:rFonts w:hint="eastAsia" w:ascii="仿宋_GB2312" w:hAnsi="宋体" w:eastAsia="仿宋_GB2312"/>
          <w:color w:val="auto"/>
          <w:sz w:val="24"/>
          <w:highlight w:val="none"/>
        </w:rPr>
        <w:t>验收合格的，学校填写好初验合格单据。</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5</w:t>
      </w:r>
      <w:r>
        <w:rPr>
          <w:rFonts w:hint="eastAsia" w:ascii="仿宋_GB2312" w:hAnsi="宋体" w:eastAsia="仿宋_GB2312"/>
          <w:color w:val="auto"/>
          <w:sz w:val="24"/>
          <w:highlight w:val="none"/>
        </w:rPr>
        <w:t>.3区级验收项目：货到初验合格，安装调试合格，运行正常后，学校填写好初验合格单据报甲方，甲方确认后组织区验收专家组进行项目整体验收。</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6</w:t>
      </w:r>
      <w:r>
        <w:rPr>
          <w:rFonts w:hint="eastAsia" w:ascii="仿宋_GB2312" w:hAnsi="宋体" w:eastAsia="仿宋_GB2312"/>
          <w:color w:val="auto"/>
          <w:sz w:val="24"/>
          <w:highlight w:val="none"/>
        </w:rPr>
        <w:t>需要乙方对货物（包括软件）或系统进行安装调试的，甲乙双方应在货物安装调试完毕后的</w:t>
      </w:r>
      <w:r>
        <w:rPr>
          <w:rFonts w:ascii="仿宋_GB2312" w:hAnsi="宋体" w:eastAsia="仿宋_GB2312"/>
          <w:color w:val="auto"/>
          <w:sz w:val="24"/>
          <w:highlight w:val="none"/>
          <w:u w:val="single"/>
        </w:rPr>
        <w:t>5</w:t>
      </w:r>
      <w:r>
        <w:rPr>
          <w:rFonts w:hint="eastAsia" w:ascii="仿宋_GB2312" w:hAnsi="宋体" w:eastAsia="仿宋_GB2312"/>
          <w:color w:val="auto"/>
          <w:sz w:val="24"/>
          <w:highlight w:val="none"/>
        </w:rPr>
        <w:t>个工作日内进行运行效果验收。在验收之前，乙方需提前提交相应的调试计划（包括调试程序、环境、内容和检验标准、调试时间安排等）供甲方确认，乙方还应对所有检验验收调试的结果、步骤、原始数据等作妥善记录。如甲方要求，乙方应将记录提供给甲方。调试检验出现全部或部分未达到本合同所约定的技术指标，甲方有权选择下列任一处理方式：</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a.重新调试直至合格为止；</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b.要求乙方对货物进行免费更换，然后重新调试直至合格为止。</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甲方因乙方及</w:t>
      </w:r>
      <w:r>
        <w:rPr>
          <w:rFonts w:ascii="仿宋_GB2312" w:hAnsi="宋体" w:eastAsia="仿宋_GB2312"/>
          <w:color w:val="auto"/>
          <w:sz w:val="24"/>
          <w:highlight w:val="none"/>
        </w:rPr>
        <w:t>货物</w:t>
      </w:r>
      <w:r>
        <w:rPr>
          <w:rFonts w:hint="eastAsia" w:ascii="仿宋_GB2312" w:hAnsi="宋体" w:eastAsia="仿宋_GB2312"/>
          <w:color w:val="auto"/>
          <w:sz w:val="24"/>
          <w:highlight w:val="none"/>
        </w:rPr>
        <w:t>原因所产生的所有费用均由乙方负担。</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7</w:t>
      </w:r>
      <w:r>
        <w:rPr>
          <w:rFonts w:hint="eastAsia" w:ascii="仿宋_GB2312" w:hAnsi="宋体" w:eastAsia="仿宋_GB2312"/>
          <w:color w:val="auto"/>
          <w:sz w:val="24"/>
          <w:highlight w:val="none"/>
        </w:rPr>
        <w:t>验收合格的，由验收小组签署《区级验收报告》。</w:t>
      </w:r>
    </w:p>
    <w:p>
      <w:pPr>
        <w:snapToGrid w:val="0"/>
        <w:spacing w:line="360" w:lineRule="auto"/>
        <w:ind w:firstLine="482"/>
        <w:textAlignment w:val="baseline"/>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8</w:t>
      </w:r>
      <w:r>
        <w:rPr>
          <w:rFonts w:hint="eastAsia" w:ascii="仿宋_GB2312" w:hAnsi="宋体" w:eastAsia="仿宋_GB2312"/>
          <w:color w:val="auto"/>
          <w:sz w:val="24"/>
          <w:highlight w:val="none"/>
        </w:rPr>
        <w:t>甲方可以视项目规模或复杂情况聘请专业人员参与验收，</w:t>
      </w:r>
      <w:r>
        <w:rPr>
          <w:rFonts w:ascii="仿宋_GB2312" w:hAnsi="宋体" w:eastAsia="仿宋_GB2312"/>
          <w:color w:val="auto"/>
          <w:sz w:val="24"/>
          <w:highlight w:val="none"/>
        </w:rPr>
        <w:t>大型或复杂项目</w:t>
      </w:r>
      <w:r>
        <w:rPr>
          <w:rFonts w:hint="eastAsia" w:ascii="仿宋_GB2312" w:hAnsi="宋体" w:eastAsia="仿宋_GB2312"/>
          <w:color w:val="auto"/>
          <w:sz w:val="24"/>
          <w:highlight w:val="none"/>
        </w:rPr>
        <w:t>，以及特种货物应当</w:t>
      </w:r>
      <w:r>
        <w:rPr>
          <w:rFonts w:ascii="仿宋_GB2312" w:hAnsi="宋体" w:eastAsia="仿宋_GB2312"/>
          <w:color w:val="auto"/>
          <w:sz w:val="24"/>
          <w:highlight w:val="none"/>
        </w:rPr>
        <w:t>邀请国家认可的第三方质量检测机构参与验收。</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9</w:t>
      </w:r>
      <w:r>
        <w:rPr>
          <w:rFonts w:hint="eastAsia" w:ascii="仿宋_GB2312" w:hAnsi="宋体" w:eastAsia="仿宋_GB2312"/>
          <w:color w:val="auto"/>
          <w:sz w:val="24"/>
          <w:highlight w:val="none"/>
        </w:rPr>
        <w:t>货物</w:t>
      </w:r>
      <w:r>
        <w:rPr>
          <w:rFonts w:ascii="仿宋_GB2312" w:hAnsi="宋体" w:eastAsia="仿宋_GB2312"/>
          <w:color w:val="auto"/>
          <w:sz w:val="24"/>
          <w:highlight w:val="none"/>
        </w:rPr>
        <w:t>验收包括：货物包装</w:t>
      </w:r>
      <w:r>
        <w:rPr>
          <w:rFonts w:hint="eastAsia" w:ascii="仿宋_GB2312" w:hAnsi="宋体" w:eastAsia="仿宋_GB2312"/>
          <w:color w:val="auto"/>
          <w:sz w:val="24"/>
          <w:highlight w:val="none"/>
        </w:rPr>
        <w:t>是否完好，产地生产厂家名称、品牌、</w:t>
      </w:r>
      <w:r>
        <w:rPr>
          <w:rFonts w:ascii="仿宋_GB2312" w:hAnsi="宋体" w:eastAsia="仿宋_GB2312"/>
          <w:color w:val="auto"/>
          <w:sz w:val="24"/>
          <w:highlight w:val="none"/>
        </w:rPr>
        <w:t>型号、规格、数量、外观质量、</w:t>
      </w:r>
      <w:r>
        <w:rPr>
          <w:rFonts w:hint="eastAsia" w:ascii="仿宋_GB2312" w:hAnsi="宋体" w:eastAsia="仿宋_GB2312"/>
          <w:color w:val="auto"/>
          <w:sz w:val="24"/>
          <w:highlight w:val="none"/>
        </w:rPr>
        <w:t>配置、内在质量，以及调试运行是否达到“第一条合同文件”规定的效果。乙方应将所提供货物的装箱清单、产品合格证、甲方手册、原厂保修卡、随机资料及备品备件、易损件、专用工具等交付给甲方；乙方不能完整交付货物、附（辅）件和资料的，视为未按合同约定交货，乙方负责补齐，因此导致逾期交付的，由乙方承担相关的违约责任。</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10</w:t>
      </w:r>
      <w:r>
        <w:rPr>
          <w:rFonts w:hint="eastAsia" w:ascii="仿宋_GB2312" w:hAnsi="宋体" w:eastAsia="仿宋_GB2312"/>
          <w:color w:val="auto"/>
          <w:sz w:val="24"/>
          <w:highlight w:val="none"/>
        </w:rPr>
        <w:t>货物达不到本合同“第一条合同文件”规定的数量、质量要求和运行效果，甲方有权拒收，并可以解除合同；由此引起甲方损失（包括但不限于诉讼(仲裁)费、律师费、公证费、调查费、差旅费、保全费、保全保费、鉴定费等因争议解决所发生的一切费用）及赔偿责任由乙方承担。</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7.</w:t>
      </w:r>
      <w:r>
        <w:rPr>
          <w:rFonts w:ascii="仿宋_GB2312" w:hAnsi="宋体" w:eastAsia="仿宋_GB2312"/>
          <w:color w:val="auto"/>
          <w:sz w:val="24"/>
          <w:highlight w:val="none"/>
        </w:rPr>
        <w:t>11</w:t>
      </w:r>
      <w:r>
        <w:rPr>
          <w:rFonts w:hint="eastAsia" w:ascii="仿宋_GB2312" w:hAnsi="宋体" w:eastAsia="仿宋_GB2312"/>
          <w:color w:val="auto"/>
          <w:sz w:val="24"/>
          <w:highlight w:val="none"/>
        </w:rPr>
        <w:t>如果合同双方对《验收报告》有分歧，双方须于出现分歧后</w:t>
      </w:r>
      <w:r>
        <w:rPr>
          <w:rFonts w:ascii="仿宋_GB2312" w:hAnsi="宋体" w:eastAsia="仿宋_GB2312"/>
          <w:color w:val="auto"/>
          <w:sz w:val="24"/>
          <w:highlight w:val="none"/>
          <w:u w:val="single"/>
        </w:rPr>
        <w:t>7</w:t>
      </w:r>
      <w:r>
        <w:rPr>
          <w:rFonts w:hint="eastAsia" w:ascii="仿宋_GB2312" w:hAnsi="宋体" w:eastAsia="仿宋_GB2312"/>
          <w:color w:val="auto"/>
          <w:sz w:val="24"/>
          <w:highlight w:val="none"/>
        </w:rPr>
        <w:t>天内给对方书面声明，以陈述己方的理由及要求，并附有关证据。分歧应通过协商解决。</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第八条  项目管理服务</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乙方应指定不少于一人全权全程负责本项目的商务服务，以及货物安装、调试、咨询、培训和售后等技术服务工作。</w:t>
      </w:r>
    </w:p>
    <w:p>
      <w:pPr>
        <w:snapToGrid w:val="0"/>
        <w:spacing w:line="360" w:lineRule="auto"/>
        <w:ind w:firstLine="481"/>
        <w:textAlignment w:val="baseline"/>
        <w:rPr>
          <w:color w:val="auto"/>
          <w:highlight w:val="none"/>
        </w:rPr>
      </w:pPr>
      <w:r>
        <w:rPr>
          <w:rFonts w:ascii="仿宋_GB2312" w:eastAsia="仿宋_GB2312"/>
          <w:color w:val="auto"/>
          <w:sz w:val="24"/>
          <w:highlight w:val="none"/>
        </w:rPr>
        <w:t>项目负责人</w:t>
      </w:r>
      <w:r>
        <w:rPr>
          <w:rFonts w:hint="eastAsia" w:ascii="仿宋_GB2312" w:eastAsia="仿宋_GB2312"/>
          <w:color w:val="auto"/>
          <w:sz w:val="24"/>
          <w:highlight w:val="none"/>
        </w:rPr>
        <w:t>姓名</w:t>
      </w:r>
      <w:r>
        <w:rPr>
          <w:rFonts w:ascii="仿宋_GB2312" w:eastAsia="仿宋_GB2312"/>
          <w:color w:val="auto"/>
          <w:sz w:val="24"/>
          <w:highlight w:val="none"/>
        </w:rPr>
        <w:t>： ； 联系电话：。</w:t>
      </w:r>
    </w:p>
    <w:p>
      <w:pPr>
        <w:spacing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第九条  售后服务</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9.1本合同所有货物及系统质保期为最终验收合格之日起</w:t>
      </w:r>
      <w:r>
        <w:rPr>
          <w:rFonts w:hint="eastAsia" w:ascii="仿宋_GB2312" w:hAnsi="宋体" w:eastAsia="仿宋_GB2312"/>
          <w:color w:val="auto"/>
          <w:sz w:val="24"/>
          <w:highlight w:val="none"/>
          <w:lang w:val="en-US" w:eastAsia="zh-CN"/>
        </w:rPr>
        <w:t>36</w:t>
      </w:r>
      <w:r>
        <w:rPr>
          <w:rFonts w:hint="eastAsia" w:ascii="仿宋_GB2312" w:hAnsi="宋体" w:eastAsia="仿宋_GB2312"/>
          <w:color w:val="auto"/>
          <w:sz w:val="24"/>
          <w:highlight w:val="none"/>
        </w:rPr>
        <w:t>个月</w:t>
      </w:r>
      <w:r>
        <w:rPr>
          <w:rFonts w:hint="eastAsia" w:ascii="仿宋_GB2312" w:hAnsi="宋体" w:eastAsia="仿宋_GB2312"/>
          <w:color w:val="auto"/>
          <w:sz w:val="24"/>
          <w:highlight w:val="none"/>
          <w:lang w:eastAsia="zh-CN"/>
        </w:rPr>
        <w:t>，</w:t>
      </w:r>
      <w:r>
        <w:rPr>
          <w:rFonts w:hint="eastAsia" w:ascii="仿宋_GB2312" w:hAnsi="宋体" w:eastAsia="仿宋_GB2312"/>
          <w:color w:val="auto"/>
          <w:sz w:val="24"/>
          <w:highlight w:val="none"/>
          <w:lang w:val="en-US" w:eastAsia="zh-CN"/>
        </w:rPr>
        <w:t>其中布线要求质保期180个月</w:t>
      </w:r>
      <w:r>
        <w:rPr>
          <w:rFonts w:hint="eastAsia" w:ascii="仿宋_GB2312" w:hAnsi="宋体" w:eastAsia="仿宋_GB2312"/>
          <w:color w:val="auto"/>
          <w:sz w:val="24"/>
          <w:highlight w:val="none"/>
        </w:rPr>
        <w:t>。在质保期内发生的乙方责任范围内的一切部件更换及设备维修费用由乙方承担。若国家有明确规定的质量保证期高于此质量保证期的，执行国家规定。</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9.2在货物质保期内，乙方应对由于设计、工艺、质量（含环保节能要求）、材料和的缺陷而发生的任何不足或故障负责，并解决存在的问题。</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9.3乙方在质保期内的工作应包括对所有设备和系统的常规检查、调整、升级等。对不符合本合同第四条规定要求的货物应立即进行调换，调换本身并不影响甲方就其损失（包括但不限于诉讼(仲裁)费、律师费、公证费、调查费、差旅费、保全费、保全保费、鉴定费等因争议解决所发生的一切费用）向乙方索赔的权利。</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9.4货物安装调试完成后，乙方应继续向甲方提供良好的技术支持。应当由专门队伍从事此项工作，并提供全天候的热线技术支持服务，应当对甲方所反映的任何问题在</w:t>
      </w:r>
      <w:r>
        <w:rPr>
          <w:rFonts w:ascii="仿宋_GB2312" w:hAnsi="宋体" w:eastAsia="仿宋_GB2312"/>
          <w:color w:val="auto"/>
          <w:sz w:val="24"/>
          <w:highlight w:val="none"/>
          <w:u w:val="single"/>
        </w:rPr>
        <w:t xml:space="preserve">2  </w:t>
      </w:r>
      <w:r>
        <w:rPr>
          <w:rFonts w:hint="eastAsia" w:ascii="仿宋_GB2312" w:hAnsi="宋体" w:eastAsia="仿宋_GB2312"/>
          <w:color w:val="auto"/>
          <w:sz w:val="24"/>
          <w:highlight w:val="none"/>
        </w:rPr>
        <w:t>小时之内做出及时响应，在</w:t>
      </w:r>
      <w:r>
        <w:rPr>
          <w:rFonts w:ascii="仿宋_GB2312" w:hAnsi="宋体" w:eastAsia="仿宋_GB2312"/>
          <w:color w:val="auto"/>
          <w:sz w:val="24"/>
          <w:highlight w:val="none"/>
          <w:u w:val="single"/>
        </w:rPr>
        <w:t xml:space="preserve"> 6</w:t>
      </w:r>
      <w:r>
        <w:rPr>
          <w:rFonts w:hint="eastAsia" w:ascii="仿宋_GB2312" w:hAnsi="宋体" w:eastAsia="仿宋_GB2312"/>
          <w:color w:val="auto"/>
          <w:sz w:val="24"/>
          <w:highlight w:val="none"/>
        </w:rPr>
        <w:t>小时之内赶到现场实地解决问题。若问题、故障在检修</w:t>
      </w:r>
      <w:r>
        <w:rPr>
          <w:rFonts w:ascii="仿宋_GB2312" w:hAnsi="宋体" w:eastAsia="仿宋_GB2312"/>
          <w:color w:val="auto"/>
          <w:sz w:val="24"/>
          <w:highlight w:val="none"/>
          <w:u w:val="single"/>
        </w:rPr>
        <w:t xml:space="preserve">12 </w:t>
      </w:r>
      <w:r>
        <w:rPr>
          <w:rFonts w:hint="eastAsia" w:ascii="仿宋_GB2312" w:hAnsi="宋体" w:eastAsia="仿宋_GB2312"/>
          <w:color w:val="auto"/>
          <w:sz w:val="24"/>
          <w:highlight w:val="none"/>
        </w:rPr>
        <w:t>工作</w:t>
      </w:r>
      <w:r>
        <w:rPr>
          <w:rFonts w:ascii="仿宋_GB2312" w:hAnsi="宋体" w:eastAsia="仿宋_GB2312"/>
          <w:color w:val="auto"/>
          <w:sz w:val="24"/>
          <w:highlight w:val="none"/>
        </w:rPr>
        <w:t>小时</w:t>
      </w:r>
      <w:r>
        <w:rPr>
          <w:rFonts w:hint="eastAsia" w:ascii="仿宋_GB2312" w:hAnsi="宋体" w:eastAsia="仿宋_GB2312"/>
          <w:color w:val="auto"/>
          <w:sz w:val="24"/>
          <w:highlight w:val="none"/>
        </w:rPr>
        <w:t>后仍无法解决，乙方应在</w:t>
      </w:r>
      <w:r>
        <w:rPr>
          <w:rFonts w:ascii="仿宋_GB2312" w:hAnsi="宋体" w:eastAsia="仿宋_GB2312"/>
          <w:color w:val="auto"/>
          <w:sz w:val="24"/>
          <w:highlight w:val="none"/>
          <w:u w:val="single"/>
        </w:rPr>
        <w:t>24</w:t>
      </w:r>
      <w:r>
        <w:rPr>
          <w:rFonts w:hint="eastAsia" w:ascii="仿宋_GB2312" w:hAnsi="宋体" w:eastAsia="仿宋_GB2312"/>
          <w:color w:val="auto"/>
          <w:sz w:val="24"/>
          <w:highlight w:val="none"/>
        </w:rPr>
        <w:t>小时内免费提供不低于故障货物规格型号档次的备用货物供甲方使用，直至故障货物修复。</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9.5乙方应当建立健全售后服务体系，确保货物正常运行。乙方应当遵守甲方的有关管理制度、操作规程。对于乙方违规操作造成甲方损失的，由乙方按照本合同第十二条的约定承担赔偿责任。</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9.6乙方应负责货物及主要部件、配件维修更换。质保期内，乙方对货物（人为故意损坏除外）提供全免费保修或免费更换；质保期后，收取维修成本费（备品备件乙方应以投标文件承诺的优惠价格提供）。</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9.7无论在质保期内还是质保期满后，一旦设备发生故障，乙方在接到通知之时起</w:t>
      </w:r>
      <w:r>
        <w:rPr>
          <w:rFonts w:ascii="仿宋_GB2312" w:hAnsi="宋体" w:eastAsia="仿宋_GB2312"/>
          <w:color w:val="auto"/>
          <w:sz w:val="24"/>
          <w:highlight w:val="none"/>
          <w:u w:val="single"/>
        </w:rPr>
        <w:t xml:space="preserve"> 2</w:t>
      </w:r>
      <w:r>
        <w:rPr>
          <w:rFonts w:hint="eastAsia" w:ascii="仿宋_GB2312" w:hAnsi="宋体" w:eastAsia="仿宋_GB2312"/>
          <w:color w:val="auto"/>
          <w:sz w:val="24"/>
          <w:highlight w:val="none"/>
        </w:rPr>
        <w:t>小时内赶赴现场处理问题。一般故障</w:t>
      </w:r>
      <w:r>
        <w:rPr>
          <w:rFonts w:hint="eastAsia" w:ascii="仿宋_GB2312" w:hAnsi="宋体" w:eastAsia="仿宋_GB2312"/>
          <w:color w:val="auto"/>
          <w:sz w:val="24"/>
          <w:highlight w:val="none"/>
          <w:u w:val="single"/>
        </w:rPr>
        <w:t xml:space="preserve">  24  </w:t>
      </w:r>
      <w:r>
        <w:rPr>
          <w:rFonts w:hint="eastAsia" w:ascii="仿宋_GB2312" w:hAnsi="宋体" w:eastAsia="仿宋_GB2312"/>
          <w:color w:val="auto"/>
          <w:sz w:val="24"/>
          <w:highlight w:val="none"/>
        </w:rPr>
        <w:t xml:space="preserve">小时内解决，重大故障 </w:t>
      </w:r>
      <w:r>
        <w:rPr>
          <w:rFonts w:ascii="仿宋_GB2312" w:hAnsi="宋体" w:eastAsia="仿宋_GB2312"/>
          <w:color w:val="auto"/>
          <w:sz w:val="24"/>
          <w:highlight w:val="none"/>
          <w:u w:val="single"/>
        </w:rPr>
        <w:t>7</w:t>
      </w:r>
      <w:r>
        <w:rPr>
          <w:rFonts w:hint="eastAsia" w:ascii="仿宋_GB2312" w:hAnsi="宋体" w:eastAsia="仿宋_GB2312"/>
          <w:color w:val="auto"/>
          <w:sz w:val="24"/>
          <w:highlight w:val="none"/>
        </w:rPr>
        <w:t>日内解决。</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第十条  分包</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除招标采购文件事先说明、且经甲方事先书面同意外，乙方不得分包其应履行的合同义务。</w:t>
      </w:r>
    </w:p>
    <w:p>
      <w:pPr>
        <w:spacing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第十一条  合同的生效</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11.1本合同经甲乙双方授权代表签字、加盖公章</w:t>
      </w:r>
      <w:r>
        <w:rPr>
          <w:rFonts w:hint="eastAsia" w:ascii="仿宋_GB2312" w:hAnsi="宋体" w:eastAsia="仿宋_GB2312"/>
          <w:color w:val="auto"/>
          <w:sz w:val="24"/>
          <w:highlight w:val="none"/>
          <w:lang w:eastAsia="zh-CN"/>
        </w:rPr>
        <w:t>后</w:t>
      </w:r>
      <w:r>
        <w:rPr>
          <w:rFonts w:hint="eastAsia" w:ascii="仿宋_GB2312" w:hAnsi="宋体" w:eastAsia="仿宋_GB2312"/>
          <w:color w:val="auto"/>
          <w:sz w:val="24"/>
          <w:highlight w:val="none"/>
        </w:rPr>
        <w:t>成立，在乙方足额交纳约定的履约保证金后生效。</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11.2本合同生效后，除《政府采购法》第49条、第50条第二款规定的情形外，甲乙双方不得擅自变更、中止或终止合同。合同若有未尽事宜，需经双方共同协商，订立补充协议，补充协议与本合同有同等法律效力。</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11.3招标文件、投标文件及评审过程中形成的文字资料、询标纪要均作为本合同的组成部分，具有同等效力。</w:t>
      </w:r>
    </w:p>
    <w:p>
      <w:pPr>
        <w:snapToGrid w:val="0"/>
        <w:spacing w:line="460" w:lineRule="exact"/>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第十二条 合同终止</w:t>
      </w:r>
    </w:p>
    <w:p>
      <w:pPr>
        <w:spacing w:line="46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12.1若乙方因破产或经营不善导致合同履行不能，乙方应书面告知甲方并请求终止合同，共同处理善后事宜；在甲方知情而未收到乙方终止合同书面通知时，以及预期违约条件成立，甲方有权在任何时候书面通知乙方终止合同。</w:t>
      </w:r>
    </w:p>
    <w:p>
      <w:pPr>
        <w:spacing w:line="460" w:lineRule="exact"/>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12.2因不可抗力导致合同履行不能。</w:t>
      </w:r>
    </w:p>
    <w:p>
      <w:pPr>
        <w:snapToGrid w:val="0"/>
        <w:spacing w:line="460" w:lineRule="exact"/>
        <w:ind w:firstLine="482" w:firstLineChars="200"/>
        <w:rPr>
          <w:rFonts w:ascii="仿宋_GB2312" w:hAnsi="宋体" w:eastAsia="仿宋_GB2312" w:cs="宋体-18030"/>
          <w:b/>
          <w:snapToGrid w:val="0"/>
          <w:color w:val="auto"/>
          <w:kern w:val="0"/>
          <w:sz w:val="24"/>
          <w:highlight w:val="none"/>
        </w:rPr>
      </w:pPr>
      <w:r>
        <w:rPr>
          <w:rFonts w:hint="eastAsia" w:ascii="仿宋_GB2312" w:hAnsi="宋体" w:eastAsia="仿宋_GB2312"/>
          <w:b/>
          <w:color w:val="auto"/>
          <w:sz w:val="24"/>
          <w:highlight w:val="none"/>
        </w:rPr>
        <w:t xml:space="preserve">第十三条  </w:t>
      </w:r>
      <w:r>
        <w:rPr>
          <w:rFonts w:hint="eastAsia" w:ascii="仿宋_GB2312" w:hAnsi="宋体" w:eastAsia="仿宋_GB2312" w:cs="宋体-18030"/>
          <w:b/>
          <w:snapToGrid w:val="0"/>
          <w:color w:val="auto"/>
          <w:kern w:val="0"/>
          <w:sz w:val="24"/>
          <w:highlight w:val="none"/>
        </w:rPr>
        <w:t>保险</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13.1第三者责任保险</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乙方应对乙方人员以及第三方全权负责(如乙方应投保第三者责任险)，在乙方的责任区范围内由于乙方原因导致自己员工或第三方的损害或事故由乙方负责，甲方不承担任何责任。</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13.2员工或聘请的第三方人身意外</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在服务期内，乙方所有人员的事故由乙方自行全权负责(如乙方应对其派出员工的安全和技术培训、按操作规程安全生产教育、选取有资质的第三方注意义务等，为可能受损的人员、派出员工和第三方投保人身意外险。</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13.4其他保险及费用</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乙方外派员工应是依法缴纳社保的，具备相关专业技能的正式员工，并对选任员工以外提供服务的第三人资质和安全负全责。</w:t>
      </w:r>
    </w:p>
    <w:p>
      <w:pPr>
        <w:snapToGrid w:val="0"/>
        <w:spacing w:line="460" w:lineRule="exact"/>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第十四条 商业秘密保护及无违法行为承诺</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14.1乙方及其派遣的工作人员和选派的第三方工作人员，对工作中涉及和了解到的甲方及学校的商业秘密及知识产权，有保密和保护、不泄露、不利用的义务。</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14.2参加本次政府采购活动前三年内，乙方及法定代表人、主要管理人员在生产经营活动中无重大违法犯罪记录。</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14.3参加本次政府采购活动前三年内，乙方及法定代表人、主要管理人员无涉嫌行贿犯罪等违法行为正被相关部门调查的。</w:t>
      </w:r>
    </w:p>
    <w:p>
      <w:pPr>
        <w:snapToGrid w:val="0"/>
        <w:spacing w:line="460" w:lineRule="exact"/>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第十五条 违约责任</w:t>
      </w:r>
    </w:p>
    <w:p>
      <w:pPr>
        <w:spacing w:line="460" w:lineRule="exact"/>
        <w:ind w:firstLine="556"/>
        <w:rPr>
          <w:rFonts w:ascii="仿宋_GB2312" w:hAnsi="宋体" w:eastAsia="仿宋_GB2312" w:cs="宋体-18030"/>
          <w:snapToGrid w:val="0"/>
          <w:color w:val="auto"/>
          <w:kern w:val="0"/>
          <w:sz w:val="24"/>
          <w:highlight w:val="none"/>
        </w:rPr>
      </w:pPr>
      <w:r>
        <w:rPr>
          <w:rFonts w:hint="eastAsia" w:ascii="仿宋_GB2312" w:hAnsi="宋体" w:eastAsia="仿宋_GB2312" w:cs="宋体-18030"/>
          <w:snapToGrid w:val="0"/>
          <w:color w:val="auto"/>
          <w:kern w:val="0"/>
          <w:sz w:val="24"/>
          <w:highlight w:val="none"/>
        </w:rPr>
        <w:t>15.1乙方逾期履行合同的，自逾期之日起，向甲方每日偿付合同总价的0.2%的违约金；乙方逾期10日不能交付的，应在前述违约金之外另向甲方支付合同总价2%的违约金。如乙方逾期交付货物的，按照 15.4 条约定执行。</w:t>
      </w:r>
    </w:p>
    <w:p>
      <w:pPr>
        <w:spacing w:line="460" w:lineRule="exact"/>
        <w:ind w:firstLine="556"/>
        <w:rPr>
          <w:rFonts w:ascii="仿宋_GB2312" w:hAnsi="宋体" w:eastAsia="仿宋_GB2312"/>
          <w:color w:val="auto"/>
          <w:sz w:val="24"/>
          <w:highlight w:val="none"/>
        </w:rPr>
      </w:pPr>
      <w:r>
        <w:rPr>
          <w:rFonts w:hint="eastAsia" w:ascii="仿宋_GB2312" w:hAnsi="宋体" w:eastAsia="仿宋_GB2312" w:cs="宋体-18030"/>
          <w:snapToGrid w:val="0"/>
          <w:color w:val="auto"/>
          <w:kern w:val="0"/>
          <w:sz w:val="24"/>
          <w:highlight w:val="none"/>
        </w:rPr>
        <w:t>15.2</w:t>
      </w:r>
      <w:r>
        <w:rPr>
          <w:rFonts w:ascii="仿宋_GB2312" w:hAnsi="宋体" w:eastAsia="仿宋_GB2312" w:cs="宋体-18030"/>
          <w:snapToGrid w:val="0"/>
          <w:color w:val="auto"/>
          <w:kern w:val="0"/>
          <w:sz w:val="24"/>
          <w:highlight w:val="none"/>
        </w:rPr>
        <w:t>乙方所交</w:t>
      </w:r>
      <w:r>
        <w:rPr>
          <w:rFonts w:hint="eastAsia" w:ascii="仿宋_GB2312" w:hAnsi="宋体" w:eastAsia="仿宋_GB2312" w:cs="宋体-18030"/>
          <w:snapToGrid w:val="0"/>
          <w:color w:val="auto"/>
          <w:kern w:val="0"/>
          <w:sz w:val="24"/>
          <w:highlight w:val="none"/>
        </w:rPr>
        <w:t>付</w:t>
      </w:r>
      <w:r>
        <w:rPr>
          <w:rFonts w:ascii="仿宋_GB2312" w:hAnsi="宋体" w:eastAsia="仿宋_GB2312" w:cs="宋体-18030"/>
          <w:snapToGrid w:val="0"/>
          <w:color w:val="auto"/>
          <w:kern w:val="0"/>
          <w:sz w:val="24"/>
          <w:highlight w:val="none"/>
        </w:rPr>
        <w:t>的货物不符合</w:t>
      </w:r>
      <w:r>
        <w:rPr>
          <w:rFonts w:hint="eastAsia" w:ascii="仿宋_GB2312" w:hAnsi="宋体" w:eastAsia="仿宋_GB2312" w:cs="宋体-18030"/>
          <w:snapToGrid w:val="0"/>
          <w:color w:val="auto"/>
          <w:kern w:val="0"/>
          <w:sz w:val="24"/>
          <w:highlight w:val="none"/>
        </w:rPr>
        <w:t>本</w:t>
      </w:r>
      <w:r>
        <w:rPr>
          <w:rFonts w:ascii="仿宋_GB2312" w:hAnsi="宋体" w:eastAsia="仿宋_GB2312" w:cs="宋体-18030"/>
          <w:snapToGrid w:val="0"/>
          <w:color w:val="auto"/>
          <w:kern w:val="0"/>
          <w:sz w:val="24"/>
          <w:highlight w:val="none"/>
        </w:rPr>
        <w:t>合同规定的，甲方有权拒收</w:t>
      </w:r>
      <w:r>
        <w:rPr>
          <w:rFonts w:hint="eastAsia" w:ascii="仿宋_GB2312" w:hAnsi="宋体" w:eastAsia="仿宋_GB2312" w:cs="宋体-18030"/>
          <w:snapToGrid w:val="0"/>
          <w:color w:val="auto"/>
          <w:kern w:val="0"/>
          <w:sz w:val="24"/>
          <w:highlight w:val="none"/>
        </w:rPr>
        <w:t>，乙方在得到甲方通知之日起</w:t>
      </w:r>
      <w:r>
        <w:rPr>
          <w:rFonts w:hint="eastAsia" w:ascii="仿宋_GB2312" w:hAnsi="宋体" w:eastAsia="仿宋_GB2312" w:cs="宋体-18030"/>
          <w:snapToGrid w:val="0"/>
          <w:color w:val="auto"/>
          <w:kern w:val="0"/>
          <w:sz w:val="24"/>
          <w:highlight w:val="none"/>
          <w:u w:val="single"/>
        </w:rPr>
        <w:t xml:space="preserve"> 3</w:t>
      </w:r>
      <w:r>
        <w:rPr>
          <w:rFonts w:hint="eastAsia" w:ascii="仿宋_GB2312" w:hAnsi="宋体" w:eastAsia="仿宋_GB2312" w:cs="宋体-18030"/>
          <w:snapToGrid w:val="0"/>
          <w:color w:val="auto"/>
          <w:kern w:val="0"/>
          <w:sz w:val="24"/>
          <w:highlight w:val="none"/>
        </w:rPr>
        <w:t>个工作日内采取补</w:t>
      </w:r>
      <w:r>
        <w:rPr>
          <w:rFonts w:hint="eastAsia" w:ascii="仿宋_GB2312" w:hAnsi="宋体" w:eastAsia="仿宋_GB2312"/>
          <w:color w:val="auto"/>
          <w:sz w:val="24"/>
          <w:highlight w:val="none"/>
        </w:rPr>
        <w:t>救措施，逾期仍未采取有效措施的，甲方有权要求乙方赔偿因此造成的损失（包括但不限于诉讼(仲裁)费、律师费、公证费、调查费、差旅费、保全费、保全保费、鉴定费等因争议解决所发生的一切费用）并扣留履约保证金；同时乙方应向甲方支付合同总价</w:t>
      </w:r>
      <w:r>
        <w:rPr>
          <w:rFonts w:hint="eastAsia" w:ascii="仿宋_GB2312" w:hAnsi="宋体" w:eastAsia="仿宋_GB2312"/>
          <w:color w:val="auto"/>
          <w:sz w:val="24"/>
          <w:highlight w:val="none"/>
          <w:u w:val="single"/>
        </w:rPr>
        <w:t xml:space="preserve"> / </w:t>
      </w:r>
      <w:r>
        <w:rPr>
          <w:rFonts w:hint="eastAsia" w:ascii="仿宋_GB2312" w:hAnsi="宋体" w:eastAsia="仿宋_GB2312"/>
          <w:color w:val="auto"/>
          <w:sz w:val="24"/>
          <w:highlight w:val="none"/>
        </w:rPr>
        <w:t>％的违约金。</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15.3甲方无正当理由拒收货物、拒付货款的，甲方应向乙方偿付拒付货款</w:t>
      </w:r>
      <w:r>
        <w:rPr>
          <w:rFonts w:hint="eastAsia" w:ascii="仿宋_GB2312" w:hAnsi="宋体" w:eastAsia="仿宋_GB2312"/>
          <w:color w:val="auto"/>
          <w:sz w:val="24"/>
          <w:highlight w:val="none"/>
          <w:u w:val="single"/>
        </w:rPr>
        <w:t xml:space="preserve">  /  </w:t>
      </w:r>
      <w:r>
        <w:rPr>
          <w:rFonts w:hint="eastAsia" w:ascii="仿宋_GB2312" w:hAnsi="宋体" w:eastAsia="仿宋_GB2312"/>
          <w:color w:val="auto"/>
          <w:sz w:val="24"/>
          <w:highlight w:val="none"/>
        </w:rPr>
        <w:t>％的违约金。</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15.4</w:t>
      </w:r>
      <w:r>
        <w:rPr>
          <w:rFonts w:ascii="仿宋_GB2312" w:hAnsi="宋体" w:eastAsia="仿宋_GB2312"/>
          <w:color w:val="auto"/>
          <w:sz w:val="24"/>
          <w:highlight w:val="none"/>
        </w:rPr>
        <w:t>乙方</w:t>
      </w:r>
      <w:r>
        <w:rPr>
          <w:rFonts w:ascii="仿宋_GB2312" w:eastAsia="仿宋_GB2312"/>
          <w:color w:val="auto"/>
          <w:sz w:val="24"/>
          <w:highlight w:val="none"/>
        </w:rPr>
        <w:t>无正当理由</w:t>
      </w:r>
      <w:r>
        <w:rPr>
          <w:rFonts w:ascii="仿宋_GB2312" w:hAnsi="宋体" w:eastAsia="仿宋_GB2312"/>
          <w:color w:val="auto"/>
          <w:sz w:val="24"/>
          <w:highlight w:val="none"/>
        </w:rPr>
        <w:t>逾期交付货物的，每逾期1天，乙方向甲方偿付逾期交货部分货款总额的</w:t>
      </w:r>
      <w:r>
        <w:rPr>
          <w:rFonts w:hint="eastAsia" w:ascii="仿宋_GB2312" w:hAnsi="宋体" w:eastAsia="仿宋_GB2312"/>
          <w:color w:val="auto"/>
          <w:sz w:val="24"/>
          <w:highlight w:val="none"/>
        </w:rPr>
        <w:t>0.2%的违约金。如乙方逾期交货达</w:t>
      </w:r>
      <w:r>
        <w:rPr>
          <w:rFonts w:hint="eastAsia" w:ascii="仿宋_GB2312" w:hAnsi="宋体" w:eastAsia="仿宋_GB2312"/>
          <w:color w:val="auto"/>
          <w:sz w:val="24"/>
          <w:highlight w:val="none"/>
          <w:u w:val="single"/>
        </w:rPr>
        <w:t>10</w:t>
      </w:r>
      <w:r>
        <w:rPr>
          <w:rFonts w:hint="eastAsia" w:ascii="仿宋_GB2312" w:hAnsi="宋体" w:eastAsia="仿宋_GB2312"/>
          <w:color w:val="auto"/>
          <w:sz w:val="24"/>
          <w:highlight w:val="none"/>
        </w:rPr>
        <w:t>天，甲方有权解除合同，并要求乙方在前述违约金之外向甲方另行支付合同总价2</w:t>
      </w:r>
      <w:r>
        <w:rPr>
          <w:rFonts w:ascii="仿宋_GB2312" w:hAnsi="宋体" w:eastAsia="仿宋_GB2312"/>
          <w:color w:val="auto"/>
          <w:sz w:val="24"/>
          <w:highlight w:val="none"/>
        </w:rPr>
        <w:t>%</w:t>
      </w:r>
      <w:r>
        <w:rPr>
          <w:rFonts w:hint="eastAsia" w:ascii="仿宋_GB2312" w:hAnsi="宋体" w:eastAsia="仿宋_GB2312"/>
          <w:color w:val="auto"/>
          <w:sz w:val="24"/>
          <w:highlight w:val="none"/>
        </w:rPr>
        <w:t>的违约金。甲方解除合同的通知自到达乙方时生效，并且不再退还履约保证金。</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在此情况下，乙方给甲方造成的实际损失（包括但不限于诉讼(仲裁)费、律师费、公证费、调查费、差旅费、保全费、保全保费、鉴定费等因争议解决所发生的一切费用）并高于违约金的，对高出违约金的部分乙方应予以赔偿。</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15.5甲方未按合同规定的期限向乙方支付货款的，每逾期1天甲方向乙方偿付欠款总额万分之四的违约金，且累计违约金总额不超过欠款总额的2％。</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15.6在乙方承诺的或国家规定的质量保证期内（取两者中最长的期限），</w:t>
      </w:r>
      <w:r>
        <w:rPr>
          <w:rFonts w:ascii="仿宋_GB2312" w:hAnsi="宋体" w:eastAsia="仿宋_GB2312"/>
          <w:color w:val="auto"/>
          <w:sz w:val="24"/>
          <w:highlight w:val="none"/>
        </w:rPr>
        <w:t>如经乙方两次维修，货物仍不能达到合同约定</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质量标准</w:t>
      </w:r>
      <w:r>
        <w:rPr>
          <w:rFonts w:hint="eastAsia" w:ascii="仿宋_GB2312" w:hAnsi="宋体" w:eastAsia="仿宋_GB2312"/>
          <w:color w:val="auto"/>
          <w:sz w:val="24"/>
          <w:highlight w:val="none"/>
        </w:rPr>
        <w:t>、运行效果的</w:t>
      </w:r>
      <w:r>
        <w:rPr>
          <w:rFonts w:ascii="仿宋_GB2312" w:hAnsi="宋体" w:eastAsia="仿宋_GB2312"/>
          <w:color w:val="auto"/>
          <w:sz w:val="24"/>
          <w:highlight w:val="none"/>
        </w:rPr>
        <w:t>，甲方有权</w:t>
      </w:r>
      <w:r>
        <w:rPr>
          <w:rFonts w:hint="eastAsia" w:ascii="仿宋_GB2312" w:hAnsi="宋体" w:eastAsia="仿宋_GB2312"/>
          <w:color w:val="auto"/>
          <w:sz w:val="24"/>
          <w:highlight w:val="none"/>
        </w:rPr>
        <w:t>要求乙方更换为全新合格货物</w:t>
      </w:r>
      <w:r>
        <w:rPr>
          <w:rFonts w:ascii="仿宋_GB2312" w:hAnsi="宋体" w:eastAsia="仿宋_GB2312"/>
          <w:color w:val="auto"/>
          <w:sz w:val="24"/>
          <w:highlight w:val="none"/>
        </w:rPr>
        <w:t>并按</w:t>
      </w:r>
      <w:r>
        <w:rPr>
          <w:rFonts w:hint="eastAsia" w:ascii="仿宋_GB2312" w:hAnsi="宋体" w:eastAsia="仿宋_GB2312"/>
          <w:color w:val="auto"/>
          <w:sz w:val="24"/>
          <w:highlight w:val="none"/>
        </w:rPr>
        <w:t>本条</w:t>
      </w:r>
      <w:r>
        <w:rPr>
          <w:rFonts w:ascii="仿宋_GB2312" w:hAnsi="宋体" w:eastAsia="仿宋_GB2312"/>
          <w:color w:val="auto"/>
          <w:sz w:val="24"/>
          <w:highlight w:val="none"/>
        </w:rPr>
        <w:t>第</w:t>
      </w:r>
      <w:r>
        <w:rPr>
          <w:rFonts w:hint="eastAsia" w:ascii="仿宋_GB2312" w:hAnsi="宋体" w:eastAsia="仿宋_GB2312"/>
          <w:color w:val="auto"/>
          <w:sz w:val="24"/>
          <w:highlight w:val="none"/>
        </w:rPr>
        <w:t>2</w:t>
      </w:r>
      <w:r>
        <w:rPr>
          <w:rFonts w:ascii="仿宋_GB2312" w:hAnsi="宋体" w:eastAsia="仿宋_GB2312"/>
          <w:color w:val="auto"/>
          <w:sz w:val="24"/>
          <w:highlight w:val="none"/>
        </w:rPr>
        <w:t>款处理，同时，乙方还须赔偿甲方因此遭受的损失</w:t>
      </w:r>
      <w:r>
        <w:rPr>
          <w:rFonts w:hint="eastAsia" w:ascii="仿宋_GB2312" w:hAnsi="宋体" w:eastAsia="仿宋_GB2312"/>
          <w:color w:val="auto"/>
          <w:sz w:val="24"/>
          <w:highlight w:val="none"/>
        </w:rPr>
        <w:t>（包括但不限于诉讼(仲裁)费、律师费、公证费、调查费、差旅费、保全费、保全保费、鉴定费等因争议解决所发生的一切费用）</w:t>
      </w:r>
      <w:r>
        <w:rPr>
          <w:rFonts w:ascii="仿宋_GB2312" w:hAnsi="宋体" w:eastAsia="仿宋_GB2312"/>
          <w:color w:val="auto"/>
          <w:sz w:val="24"/>
          <w:highlight w:val="none"/>
        </w:rPr>
        <w:t>。</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15.7如因乙方的违约行为给甲方造成任何损失的，乙方应进行赔偿，包括但不限于诉讼(仲裁)费、律师费、公证费、调查费、差旅费、保全费、保全保费、鉴定费等因争议解决所发生的一切费用。</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lang w:val="en-US" w:eastAsia="zh-CN"/>
        </w:rPr>
        <w:t>15.8</w:t>
      </w:r>
      <w:r>
        <w:rPr>
          <w:rFonts w:hint="eastAsia" w:ascii="仿宋_GB2312" w:hAnsi="宋体" w:eastAsia="仿宋_GB2312"/>
          <w:color w:val="auto"/>
          <w:sz w:val="24"/>
          <w:highlight w:val="none"/>
        </w:rPr>
        <w:t>其它未尽事宜，以《民法典》和《政府采购法》等有关法律法规规定为准，无相关规定的，双方协商解决。</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第十六条  不可抗力</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甲、乙方中任何一方，因不可抗力不能按时或完全履行合同的，应及时通知对方，并在</w:t>
      </w:r>
      <w:r>
        <w:rPr>
          <w:rFonts w:ascii="仿宋_GB2312" w:hAnsi="宋体" w:eastAsia="仿宋_GB2312"/>
          <w:color w:val="auto"/>
          <w:sz w:val="24"/>
          <w:highlight w:val="none"/>
          <w:u w:val="single"/>
        </w:rPr>
        <w:t>3</w:t>
      </w:r>
      <w:r>
        <w:rPr>
          <w:rFonts w:hint="eastAsia" w:ascii="仿宋_GB2312" w:hAnsi="宋体" w:eastAsia="仿宋_GB2312"/>
          <w:color w:val="auto"/>
          <w:sz w:val="24"/>
          <w:highlight w:val="none"/>
        </w:rPr>
        <w:t>个工作日内提供相应证明。未履行完合同部分是否继续履行、如何履行等问题，可由双方初步协商，并向主管部门和政府采购管理部门报告。确定为不可抗力原因造成的损失，免予承担责任。</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第十七条  争议的解决方式</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17.1各方应通过友好协商，解决在执行本政府采购合同过程中所发生的或与本政府采购合同有关的一切争端。如从协商开始</w:t>
      </w:r>
      <w:r>
        <w:rPr>
          <w:rFonts w:ascii="仿宋_GB2312" w:hAnsi="宋体" w:eastAsia="仿宋_GB2312"/>
          <w:color w:val="auto"/>
          <w:sz w:val="24"/>
          <w:highlight w:val="none"/>
          <w:u w:val="single"/>
        </w:rPr>
        <w:t>7</w:t>
      </w:r>
      <w:r>
        <w:rPr>
          <w:rFonts w:hint="eastAsia" w:ascii="仿宋_GB2312" w:hAnsi="宋体" w:eastAsia="仿宋_GB2312"/>
          <w:color w:val="auto"/>
          <w:sz w:val="24"/>
          <w:highlight w:val="none"/>
        </w:rPr>
        <w:t>日内仍不能解决，可向有关政府采购管理部门提请调解。</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17.2因货物的质量问题发生争议的，协商不成，应当共同协商邀请国家认可的质量检测机构对货物质量进行鉴定。货物符合标准的，鉴定费由甲方承担；货物不符合质量标准的，鉴定费由乙方承担。</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17.3在解释或者执行本合同的过程中发生争议时，双方应通过协商方式解决。</w:t>
      </w:r>
    </w:p>
    <w:p>
      <w:pPr>
        <w:spacing w:line="48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17.4经协商不能解决的争议，双方可选择以下第</w:t>
      </w:r>
      <w:r>
        <w:rPr>
          <w:rFonts w:hint="eastAsia" w:ascii="仿宋_GB2312" w:hAnsi="仿宋_GB2312" w:eastAsia="仿宋_GB2312" w:cs="仿宋_GB2312"/>
          <w:color w:val="auto"/>
          <w:sz w:val="24"/>
          <w:highlight w:val="none"/>
          <w:u w:val="single"/>
        </w:rPr>
        <w:t>①</w:t>
      </w:r>
      <w:r>
        <w:rPr>
          <w:rFonts w:hint="eastAsia" w:ascii="仿宋_GB2312" w:hAnsi="宋体" w:eastAsia="仿宋_GB2312"/>
          <w:color w:val="auto"/>
          <w:sz w:val="24"/>
          <w:highlight w:val="none"/>
        </w:rPr>
        <w:t>种方式解决：</w:t>
      </w:r>
    </w:p>
    <w:p>
      <w:pPr>
        <w:spacing w:line="480" w:lineRule="exact"/>
        <w:ind w:firstLine="480" w:firstLineChars="200"/>
        <w:rPr>
          <w:rFonts w:ascii="仿宋_GB2312" w:hAnsi="宋体" w:eastAsia="仿宋_GB2312"/>
          <w:color w:val="auto"/>
          <w:sz w:val="24"/>
          <w:highlight w:val="none"/>
        </w:rPr>
      </w:pPr>
      <w:r>
        <w:rPr>
          <w:rFonts w:hint="eastAsia" w:ascii="仿宋_GB2312" w:hAnsi="仿宋_GB2312" w:eastAsia="仿宋_GB2312" w:cs="仿宋_GB2312"/>
          <w:color w:val="auto"/>
          <w:sz w:val="24"/>
          <w:highlight w:val="none"/>
        </w:rPr>
        <w:t>①</w:t>
      </w:r>
      <w:r>
        <w:rPr>
          <w:rFonts w:hint="eastAsia" w:ascii="仿宋_GB2312" w:hAnsi="宋体" w:eastAsia="仿宋_GB2312"/>
          <w:color w:val="auto"/>
          <w:sz w:val="24"/>
          <w:highlight w:val="none"/>
        </w:rPr>
        <w:t>向杭州市上城区人民法院提起诉讼；</w:t>
      </w:r>
    </w:p>
    <w:p>
      <w:pPr>
        <w:spacing w:line="480" w:lineRule="exact"/>
        <w:ind w:firstLine="480" w:firstLineChars="200"/>
        <w:rPr>
          <w:rFonts w:ascii="仿宋_GB2312" w:hAnsi="宋体" w:eastAsia="仿宋_GB2312"/>
          <w:color w:val="auto"/>
          <w:sz w:val="24"/>
          <w:highlight w:val="none"/>
        </w:rPr>
      </w:pPr>
      <w:r>
        <w:rPr>
          <w:rFonts w:hint="eastAsia" w:ascii="仿宋_GB2312" w:hAnsi="仿宋_GB2312" w:eastAsia="仿宋_GB2312" w:cs="仿宋_GB2312"/>
          <w:color w:val="auto"/>
          <w:sz w:val="24"/>
          <w:highlight w:val="none"/>
        </w:rPr>
        <w:t>②</w:t>
      </w:r>
      <w:r>
        <w:rPr>
          <w:rFonts w:hint="eastAsia" w:ascii="仿宋_GB2312" w:hAnsi="宋体" w:eastAsia="仿宋_GB2312"/>
          <w:color w:val="auto"/>
          <w:sz w:val="24"/>
          <w:highlight w:val="none"/>
        </w:rPr>
        <w:t>向杭州仲裁委员会提出仲裁。</w:t>
      </w:r>
    </w:p>
    <w:p>
      <w:pPr>
        <w:spacing w:line="48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17.5在法院审理和仲裁期间，除有不能继续履行的争议部分外，本合同可以履行的仍应按合同条款继续履行。</w:t>
      </w:r>
    </w:p>
    <w:p>
      <w:pPr>
        <w:spacing w:line="48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17.6本合同适用按照中华人民共和国现行法律、法规。</w:t>
      </w:r>
    </w:p>
    <w:p>
      <w:pPr>
        <w:spacing w:line="360" w:lineRule="auto"/>
        <w:ind w:left="482"/>
        <w:rPr>
          <w:rFonts w:ascii="仿宋_GB2312" w:hAnsi="宋体" w:eastAsia="仿宋_GB2312"/>
          <w:b/>
          <w:color w:val="auto"/>
          <w:sz w:val="24"/>
          <w:highlight w:val="none"/>
        </w:rPr>
      </w:pPr>
      <w:r>
        <w:rPr>
          <w:rFonts w:hint="eastAsia" w:ascii="仿宋_GB2312" w:hAnsi="宋体" w:eastAsia="仿宋_GB2312"/>
          <w:b/>
          <w:color w:val="auto"/>
          <w:sz w:val="24"/>
          <w:highlight w:val="none"/>
        </w:rPr>
        <w:t>第十八条  其他</w:t>
      </w:r>
    </w:p>
    <w:p>
      <w:pPr>
        <w:spacing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18.1符合《政府采购法》第49条规定的，经双方协商，办理政府采购手续后，可签订补充合同，所签订的补充合同与本合同具有同等法律效力。</w:t>
      </w:r>
    </w:p>
    <w:p>
      <w:pPr>
        <w:spacing w:line="360" w:lineRule="auto"/>
        <w:ind w:firstLine="480"/>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18.2.本合同履行过程中，学校需追加与合同标的相同的货物的，在不改变合同其他条款的前提下，可以报甲方同意后，与乙方协商签订补充合同，但所有补充合同的采购金额不得超过本合同采购金额的百分之十。</w:t>
      </w:r>
    </w:p>
    <w:p>
      <w:pPr>
        <w:spacing w:line="360" w:lineRule="auto"/>
        <w:ind w:firstLine="480"/>
        <w:rPr>
          <w:rFonts w:hint="eastAsia" w:ascii="仿宋_GB2312" w:hAnsi="宋体" w:eastAsia="仿宋_GB2312"/>
          <w:color w:val="auto"/>
          <w:sz w:val="24"/>
          <w:highlight w:val="none"/>
        </w:rPr>
      </w:pPr>
      <w:r>
        <w:rPr>
          <w:rFonts w:hint="eastAsia" w:ascii="仿宋_GB2312" w:hAnsi="宋体" w:eastAsia="仿宋_GB2312"/>
          <w:color w:val="auto"/>
          <w:sz w:val="24"/>
          <w:highlight w:val="none"/>
        </w:rPr>
        <w:t>18.3本合同一式4份，甲方执2份、乙方和采购代理机构各执1份。</w:t>
      </w:r>
    </w:p>
    <w:p>
      <w:pPr>
        <w:spacing w:line="360" w:lineRule="auto"/>
        <w:ind w:firstLine="480"/>
        <w:rPr>
          <w:rFonts w:ascii="仿宋_GB2312" w:hAnsi="宋体" w:eastAsia="仿宋_GB2312"/>
          <w:b/>
          <w:bCs/>
          <w:color w:val="auto"/>
          <w:sz w:val="24"/>
          <w:highlight w:val="none"/>
        </w:rPr>
      </w:pPr>
      <w:r>
        <w:rPr>
          <w:rFonts w:hint="eastAsia" w:ascii="仿宋_GB2312" w:hAnsi="宋体" w:eastAsia="仿宋_GB2312"/>
          <w:b/>
          <w:bCs/>
          <w:color w:val="auto"/>
          <w:sz w:val="24"/>
          <w:highlight w:val="none"/>
        </w:rPr>
        <w:t>以下无正文</w:t>
      </w:r>
    </w:p>
    <w:p>
      <w:pPr>
        <w:pStyle w:val="17"/>
        <w:rPr>
          <w:color w:val="auto"/>
          <w:highlight w:val="none"/>
        </w:rPr>
      </w:pPr>
      <w:r>
        <w:rPr>
          <w:rFonts w:ascii="仿宋_GB2312" w:hAnsi="宋体" w:eastAsia="仿宋_GB2312"/>
          <w:color w:val="auto"/>
          <w:sz w:val="24"/>
          <w:highlight w:val="none"/>
        </w:rPr>
        <mc:AlternateContent>
          <mc:Choice Requires="wps">
            <w:drawing>
              <wp:anchor distT="45720" distB="45720" distL="114300" distR="114300" simplePos="0" relativeHeight="251747328" behindDoc="0" locked="0" layoutInCell="1" allowOverlap="1">
                <wp:simplePos x="0" y="0"/>
                <wp:positionH relativeFrom="column">
                  <wp:posOffset>222250</wp:posOffset>
                </wp:positionH>
                <wp:positionV relativeFrom="paragraph">
                  <wp:posOffset>67945</wp:posOffset>
                </wp:positionV>
                <wp:extent cx="2677160" cy="1917065"/>
                <wp:effectExtent l="0" t="0" r="8890" b="6985"/>
                <wp:wrapNone/>
                <wp:docPr id="87" name="文本框 87"/>
                <wp:cNvGraphicFramePr/>
                <a:graphic xmlns:a="http://schemas.openxmlformats.org/drawingml/2006/main">
                  <a:graphicData uri="http://schemas.microsoft.com/office/word/2010/wordprocessingShape">
                    <wps:wsp>
                      <wps:cNvSpPr txBox="1">
                        <a:spLocks noChangeArrowheads="1"/>
                      </wps:cNvSpPr>
                      <wps:spPr bwMode="auto">
                        <a:xfrm>
                          <a:off x="0" y="0"/>
                          <a:ext cx="2677160" cy="1917065"/>
                        </a:xfrm>
                        <a:prstGeom prst="rect">
                          <a:avLst/>
                        </a:prstGeom>
                        <a:solidFill>
                          <a:srgbClr val="FFFFFF"/>
                        </a:solidFill>
                        <a:ln w="9525">
                          <a:noFill/>
                          <a:miter lim="800000"/>
                        </a:ln>
                      </wps:spPr>
                      <wps:txbx>
                        <w:txbxContent>
                          <w:p>
                            <w:pPr>
                              <w:spacing w:line="360" w:lineRule="auto"/>
                              <w:rPr>
                                <w:rFonts w:ascii="仿宋_GB2312" w:hAnsi="宋体" w:eastAsia="仿宋_GB2312"/>
                                <w:sz w:val="24"/>
                              </w:rPr>
                            </w:pPr>
                            <w:r>
                              <w:rPr>
                                <w:rFonts w:hint="eastAsia" w:ascii="仿宋_GB2312" w:hAnsi="宋体" w:eastAsia="仿宋_GB2312"/>
                                <w:sz w:val="24"/>
                              </w:rPr>
                              <w:t>乙   方：</w:t>
                            </w:r>
                          </w:p>
                          <w:p>
                            <w:pPr>
                              <w:spacing w:line="360" w:lineRule="auto"/>
                              <w:rPr>
                                <w:rFonts w:ascii="仿宋_GB2312" w:hAnsi="宋体" w:eastAsia="仿宋_GB2312"/>
                                <w:sz w:val="24"/>
                              </w:rPr>
                            </w:pPr>
                            <w:r>
                              <w:rPr>
                                <w:rFonts w:hint="eastAsia" w:ascii="仿宋_GB2312" w:hAnsi="宋体" w:eastAsia="仿宋_GB2312"/>
                                <w:sz w:val="24"/>
                              </w:rPr>
                              <w:t>名称：</w:t>
                            </w:r>
                          </w:p>
                          <w:p>
                            <w:pPr>
                              <w:spacing w:line="360" w:lineRule="auto"/>
                              <w:rPr>
                                <w:rFonts w:ascii="仿宋_GB2312" w:hAnsi="宋体" w:eastAsia="仿宋_GB2312"/>
                                <w:sz w:val="24"/>
                              </w:rPr>
                            </w:pPr>
                            <w:r>
                              <w:rPr>
                                <w:rFonts w:hint="eastAsia" w:ascii="仿宋_GB2312" w:hAnsi="宋体" w:eastAsia="仿宋_GB2312"/>
                                <w:sz w:val="24"/>
                              </w:rPr>
                              <w:t>地址：法定代表人（签字）：</w:t>
                            </w:r>
                          </w:p>
                          <w:p>
                            <w:pPr>
                              <w:spacing w:line="360" w:lineRule="auto"/>
                              <w:rPr>
                                <w:rFonts w:ascii="仿宋_GB2312" w:hAnsi="宋体" w:eastAsia="仿宋_GB2312"/>
                                <w:sz w:val="24"/>
                              </w:rPr>
                            </w:pPr>
                            <w:r>
                              <w:rPr>
                                <w:rFonts w:hint="eastAsia" w:ascii="仿宋_GB2312" w:hAnsi="宋体" w:eastAsia="仿宋_GB2312"/>
                                <w:sz w:val="24"/>
                              </w:rPr>
                              <w:t>授权代表（签字）：</w:t>
                            </w:r>
                          </w:p>
                          <w:p>
                            <w:pPr>
                              <w:spacing w:line="360" w:lineRule="auto"/>
                              <w:rPr>
                                <w:rFonts w:ascii="仿宋_GB2312" w:hAnsi="宋体" w:eastAsia="仿宋_GB2312"/>
                                <w:sz w:val="24"/>
                              </w:rPr>
                            </w:pPr>
                            <w:r>
                              <w:rPr>
                                <w:rFonts w:hint="eastAsia" w:ascii="仿宋_GB2312" w:hAnsi="宋体" w:eastAsia="仿宋_GB2312"/>
                                <w:sz w:val="24"/>
                              </w:rPr>
                              <w:t>开户银行：</w:t>
                            </w:r>
                          </w:p>
                          <w:p>
                            <w:pPr>
                              <w:spacing w:line="360" w:lineRule="auto"/>
                            </w:pPr>
                            <w:r>
                              <w:rPr>
                                <w:rFonts w:hint="eastAsia" w:ascii="仿宋_GB2312" w:hAnsi="宋体" w:eastAsia="仿宋_GB2312"/>
                                <w:sz w:val="24"/>
                              </w:rPr>
                              <w:t>银行帐号：</w:t>
                            </w:r>
                          </w:p>
                          <w:p>
                            <w:pPr>
                              <w:pStyle w:val="59"/>
                            </w:pPr>
                          </w:p>
                          <w:p/>
                          <w:p>
                            <w:pPr>
                              <w:pStyle w:val="59"/>
                            </w:pPr>
                          </w:p>
                          <w:p/>
                          <w:p>
                            <w:pPr>
                              <w:pStyle w:val="34"/>
                              <w:spacing w:after="120"/>
                            </w:pPr>
                          </w:p>
                          <w:p>
                            <w:pPr>
                              <w:rPr>
                                <w:rFonts w:ascii="仿宋_GB2312" w:hAnsi="宋体" w:eastAsia="仿宋_GB2312"/>
                                <w:sz w:val="24"/>
                              </w:rPr>
                            </w:pPr>
                          </w:p>
                        </w:txbxContent>
                      </wps:txbx>
                      <wps:bodyPr rot="0" vert="horz" wrap="square" lIns="91440" tIns="45720" rIns="91440" bIns="45720" anchor="t" anchorCtr="0">
                        <a:noAutofit/>
                      </wps:bodyPr>
                    </wps:wsp>
                  </a:graphicData>
                </a:graphic>
              </wp:anchor>
            </w:drawing>
          </mc:Choice>
          <mc:Fallback>
            <w:pict>
              <v:shape id="_x0000_s1026" o:spid="_x0000_s1026" o:spt="202" type="#_x0000_t202" style="position:absolute;left:0pt;margin-left:17.5pt;margin-top:5.35pt;height:150.95pt;width:210.8pt;z-index:251747328;mso-width-relative:page;mso-height-relative:page;" fillcolor="#FFFFFF" filled="t" stroked="f" coordsize="21600,21600" o:gfxdata="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B3lhl1wAAAAkBAAAPAAAAAAAAAAEAIAAAACIAAABkcnMvZG93&#10;bnJldi54bWxQSwECFAAUAAAACACHTuJATEQh7joCAABVBAAADgAAAAAAAAABACAAAAAmAQAAZHJz&#10;L2Uyb0RvYy54bWxQSwUGAAAAAAYABgBZAQAA0gUAAAAA&#10;">
                <v:fill on="t" focussize="0,0"/>
                <v:stroke on="f" miterlimit="8" joinstyle="miter"/>
                <v:imagedata o:title=""/>
                <o:lock v:ext="edit" aspectratio="f"/>
                <v:textbox>
                  <w:txbxContent>
                    <w:p>
                      <w:pPr>
                        <w:spacing w:line="360" w:lineRule="auto"/>
                        <w:rPr>
                          <w:rFonts w:ascii="仿宋_GB2312" w:hAnsi="宋体" w:eastAsia="仿宋_GB2312"/>
                          <w:sz w:val="24"/>
                        </w:rPr>
                      </w:pPr>
                      <w:r>
                        <w:rPr>
                          <w:rFonts w:hint="eastAsia" w:ascii="仿宋_GB2312" w:hAnsi="宋体" w:eastAsia="仿宋_GB2312"/>
                          <w:sz w:val="24"/>
                        </w:rPr>
                        <w:t>乙   方：</w:t>
                      </w:r>
                    </w:p>
                    <w:p>
                      <w:pPr>
                        <w:spacing w:line="360" w:lineRule="auto"/>
                        <w:rPr>
                          <w:rFonts w:ascii="仿宋_GB2312" w:hAnsi="宋体" w:eastAsia="仿宋_GB2312"/>
                          <w:sz w:val="24"/>
                        </w:rPr>
                      </w:pPr>
                      <w:r>
                        <w:rPr>
                          <w:rFonts w:hint="eastAsia" w:ascii="仿宋_GB2312" w:hAnsi="宋体" w:eastAsia="仿宋_GB2312"/>
                          <w:sz w:val="24"/>
                        </w:rPr>
                        <w:t>名称：</w:t>
                      </w:r>
                    </w:p>
                    <w:p>
                      <w:pPr>
                        <w:spacing w:line="360" w:lineRule="auto"/>
                        <w:rPr>
                          <w:rFonts w:ascii="仿宋_GB2312" w:hAnsi="宋体" w:eastAsia="仿宋_GB2312"/>
                          <w:sz w:val="24"/>
                        </w:rPr>
                      </w:pPr>
                      <w:r>
                        <w:rPr>
                          <w:rFonts w:hint="eastAsia" w:ascii="仿宋_GB2312" w:hAnsi="宋体" w:eastAsia="仿宋_GB2312"/>
                          <w:sz w:val="24"/>
                        </w:rPr>
                        <w:t>地址：法定代表人（签字）：</w:t>
                      </w:r>
                    </w:p>
                    <w:p>
                      <w:pPr>
                        <w:spacing w:line="360" w:lineRule="auto"/>
                        <w:rPr>
                          <w:rFonts w:ascii="仿宋_GB2312" w:hAnsi="宋体" w:eastAsia="仿宋_GB2312"/>
                          <w:sz w:val="24"/>
                        </w:rPr>
                      </w:pPr>
                      <w:r>
                        <w:rPr>
                          <w:rFonts w:hint="eastAsia" w:ascii="仿宋_GB2312" w:hAnsi="宋体" w:eastAsia="仿宋_GB2312"/>
                          <w:sz w:val="24"/>
                        </w:rPr>
                        <w:t>授权代表（签字）：</w:t>
                      </w:r>
                    </w:p>
                    <w:p>
                      <w:pPr>
                        <w:spacing w:line="360" w:lineRule="auto"/>
                        <w:rPr>
                          <w:rFonts w:ascii="仿宋_GB2312" w:hAnsi="宋体" w:eastAsia="仿宋_GB2312"/>
                          <w:sz w:val="24"/>
                        </w:rPr>
                      </w:pPr>
                      <w:r>
                        <w:rPr>
                          <w:rFonts w:hint="eastAsia" w:ascii="仿宋_GB2312" w:hAnsi="宋体" w:eastAsia="仿宋_GB2312"/>
                          <w:sz w:val="24"/>
                        </w:rPr>
                        <w:t>开户银行：</w:t>
                      </w:r>
                    </w:p>
                    <w:p>
                      <w:pPr>
                        <w:spacing w:line="360" w:lineRule="auto"/>
                      </w:pPr>
                      <w:r>
                        <w:rPr>
                          <w:rFonts w:hint="eastAsia" w:ascii="仿宋_GB2312" w:hAnsi="宋体" w:eastAsia="仿宋_GB2312"/>
                          <w:sz w:val="24"/>
                        </w:rPr>
                        <w:t>银行帐号：</w:t>
                      </w:r>
                    </w:p>
                    <w:p>
                      <w:pPr>
                        <w:pStyle w:val="59"/>
                      </w:pPr>
                    </w:p>
                    <w:p/>
                    <w:p>
                      <w:pPr>
                        <w:pStyle w:val="59"/>
                      </w:pPr>
                    </w:p>
                    <w:p/>
                    <w:p>
                      <w:pPr>
                        <w:pStyle w:val="34"/>
                        <w:spacing w:after="120"/>
                      </w:pPr>
                    </w:p>
                    <w:p>
                      <w:pPr>
                        <w:rPr>
                          <w:rFonts w:ascii="仿宋_GB2312" w:hAnsi="宋体" w:eastAsia="仿宋_GB2312"/>
                          <w:sz w:val="24"/>
                        </w:rPr>
                      </w:pPr>
                    </w:p>
                  </w:txbxContent>
                </v:textbox>
              </v:shape>
            </w:pict>
          </mc:Fallback>
        </mc:AlternateContent>
      </w:r>
      <w:r>
        <w:rPr>
          <w:rFonts w:ascii="仿宋_GB2312" w:hAnsi="宋体" w:eastAsia="仿宋_GB2312"/>
          <w:color w:val="auto"/>
          <w:sz w:val="24"/>
          <w:highlight w:val="none"/>
        </w:rPr>
        <mc:AlternateContent>
          <mc:Choice Requires="wps">
            <w:drawing>
              <wp:anchor distT="45720" distB="45720" distL="114300" distR="114300" simplePos="0" relativeHeight="251749376" behindDoc="0" locked="0" layoutInCell="1" allowOverlap="1">
                <wp:simplePos x="0" y="0"/>
                <wp:positionH relativeFrom="column">
                  <wp:posOffset>76200</wp:posOffset>
                </wp:positionH>
                <wp:positionV relativeFrom="paragraph">
                  <wp:posOffset>47625</wp:posOffset>
                </wp:positionV>
                <wp:extent cx="2544445" cy="2562860"/>
                <wp:effectExtent l="0" t="0" r="8255" b="8890"/>
                <wp:wrapSquare wrapText="bothSides"/>
                <wp:docPr id="88" name="文本框 88"/>
                <wp:cNvGraphicFramePr/>
                <a:graphic xmlns:a="http://schemas.openxmlformats.org/drawingml/2006/main">
                  <a:graphicData uri="http://schemas.microsoft.com/office/word/2010/wordprocessingShape">
                    <wps:wsp>
                      <wps:cNvSpPr txBox="1">
                        <a:spLocks noChangeArrowheads="1"/>
                      </wps:cNvSpPr>
                      <wps:spPr bwMode="auto">
                        <a:xfrm>
                          <a:off x="0" y="0"/>
                          <a:ext cx="2544445" cy="2562860"/>
                        </a:xfrm>
                        <a:prstGeom prst="rect">
                          <a:avLst/>
                        </a:prstGeom>
                        <a:solidFill>
                          <a:srgbClr val="FFFFFF"/>
                        </a:solidFill>
                        <a:ln w="9525">
                          <a:noFill/>
                          <a:miter lim="800000"/>
                        </a:ln>
                      </wps:spPr>
                      <wps:txbx>
                        <w:txbxContent>
                          <w:p>
                            <w:pPr>
                              <w:spacing w:line="360" w:lineRule="auto"/>
                              <w:jc w:val="both"/>
                              <w:rPr>
                                <w:rFonts w:ascii="仿宋_GB2312" w:hAnsi="宋体" w:eastAsia="仿宋_GB2312"/>
                                <w:sz w:val="24"/>
                              </w:rPr>
                            </w:pPr>
                            <w:r>
                              <w:rPr>
                                <w:rFonts w:hint="eastAsia" w:ascii="仿宋_GB2312" w:hAnsi="宋体" w:eastAsia="仿宋_GB2312"/>
                                <w:sz w:val="24"/>
                              </w:rPr>
                              <w:t>甲   方：</w:t>
                            </w:r>
                          </w:p>
                          <w:p>
                            <w:pPr>
                              <w:spacing w:line="360" w:lineRule="auto"/>
                              <w:rPr>
                                <w:rFonts w:ascii="仿宋_GB2312" w:hAnsi="宋体" w:eastAsia="仿宋_GB2312"/>
                                <w:sz w:val="24"/>
                              </w:rPr>
                            </w:pPr>
                            <w:r>
                              <w:rPr>
                                <w:rFonts w:hint="eastAsia" w:ascii="仿宋_GB2312" w:hAnsi="宋体" w:eastAsia="仿宋_GB2312"/>
                                <w:sz w:val="24"/>
                              </w:rPr>
                              <w:t>名称：杭州市上城区</w:t>
                            </w:r>
                            <w:r>
                              <w:rPr>
                                <w:rFonts w:ascii="仿宋_GB2312" w:hAnsi="宋体" w:eastAsia="仿宋_GB2312"/>
                                <w:sz w:val="24"/>
                              </w:rPr>
                              <w:t>教育发展服务中心</w:t>
                            </w:r>
                            <w:r>
                              <w:rPr>
                                <w:rFonts w:hint="eastAsia" w:ascii="仿宋_GB2312" w:hAnsi="宋体" w:eastAsia="仿宋_GB2312"/>
                                <w:sz w:val="24"/>
                              </w:rPr>
                              <w:t>（盖章）</w:t>
                            </w:r>
                          </w:p>
                          <w:p>
                            <w:pPr>
                              <w:spacing w:line="360" w:lineRule="auto"/>
                              <w:rPr>
                                <w:rFonts w:ascii="仿宋_GB2312" w:hAnsi="宋体" w:eastAsia="仿宋_GB2312"/>
                                <w:sz w:val="24"/>
                              </w:rPr>
                            </w:pPr>
                            <w:r>
                              <w:rPr>
                                <w:rFonts w:hint="eastAsia" w:ascii="仿宋_GB2312" w:hAnsi="宋体" w:eastAsia="仿宋_GB2312"/>
                                <w:sz w:val="24"/>
                              </w:rPr>
                              <w:t>地址：</w:t>
                            </w:r>
                          </w:p>
                          <w:p>
                            <w:pPr>
                              <w:spacing w:line="360" w:lineRule="auto"/>
                              <w:rPr>
                                <w:rFonts w:ascii="仿宋_GB2312" w:hAnsi="宋体" w:eastAsia="仿宋_GB2312"/>
                                <w:sz w:val="24"/>
                              </w:rPr>
                            </w:pPr>
                            <w:r>
                              <w:rPr>
                                <w:rFonts w:hint="eastAsia" w:ascii="仿宋_GB2312" w:hAnsi="宋体" w:eastAsia="仿宋_GB2312"/>
                                <w:sz w:val="24"/>
                              </w:rPr>
                              <w:t>法定代表人（签字）：</w:t>
                            </w:r>
                          </w:p>
                          <w:p>
                            <w:pPr>
                              <w:spacing w:line="360" w:lineRule="auto"/>
                              <w:rPr>
                                <w:rFonts w:ascii="仿宋_GB2312" w:hAnsi="宋体" w:eastAsia="仿宋_GB2312"/>
                                <w:sz w:val="24"/>
                              </w:rPr>
                            </w:pPr>
                            <w:r>
                              <w:rPr>
                                <w:rFonts w:hint="eastAsia" w:ascii="仿宋_GB2312" w:hAnsi="宋体" w:eastAsia="仿宋_GB2312"/>
                                <w:sz w:val="24"/>
                              </w:rPr>
                              <w:t>授权代表（签字）：</w:t>
                            </w:r>
                          </w:p>
                          <w:p>
                            <w:pPr>
                              <w:spacing w:line="360" w:lineRule="auto"/>
                              <w:rPr>
                                <w:rFonts w:ascii="仿宋_GB2312" w:hAnsi="宋体" w:eastAsia="仿宋_GB2312"/>
                                <w:sz w:val="24"/>
                              </w:rPr>
                            </w:pPr>
                            <w:r>
                              <w:rPr>
                                <w:rFonts w:hint="eastAsia" w:ascii="仿宋_GB2312" w:hAnsi="宋体" w:eastAsia="仿宋_GB2312"/>
                                <w:sz w:val="24"/>
                              </w:rPr>
                              <w:t>开户银行：工行</w:t>
                            </w:r>
                            <w:r>
                              <w:rPr>
                                <w:rFonts w:ascii="仿宋_GB2312" w:hAnsi="宋体" w:eastAsia="仿宋_GB2312"/>
                                <w:sz w:val="24"/>
                              </w:rPr>
                              <w:t>解放路支行</w:t>
                            </w:r>
                          </w:p>
                          <w:p>
                            <w:pPr>
                              <w:spacing w:line="360" w:lineRule="auto"/>
                              <w:rPr>
                                <w:rFonts w:ascii="仿宋_GB2312" w:hAnsi="宋体" w:eastAsia="仿宋_GB2312"/>
                                <w:sz w:val="24"/>
                              </w:rPr>
                            </w:pPr>
                            <w:r>
                              <w:rPr>
                                <w:rFonts w:hint="eastAsia" w:ascii="仿宋_GB2312" w:hAnsi="宋体" w:eastAsia="仿宋_GB2312"/>
                                <w:sz w:val="24"/>
                              </w:rPr>
                              <w:t>银行帐号：1202020709920162701</w:t>
                            </w:r>
                          </w:p>
                          <w:p>
                            <w:pPr>
                              <w:spacing w:line="360" w:lineRule="auto"/>
                              <w:rPr>
                                <w:rFonts w:ascii="仿宋_GB2312" w:hAnsi="宋体" w:eastAsia="仿宋_GB2312"/>
                                <w:sz w:val="24"/>
                              </w:rPr>
                            </w:pPr>
                          </w:p>
                          <w:p>
                            <w:pPr>
                              <w:spacing w:line="360" w:lineRule="auto"/>
                              <w:rPr>
                                <w:rFonts w:ascii="仿宋_GB2312" w:hAnsi="宋体" w:eastAsia="仿宋_GB2312"/>
                                <w:sz w:val="24"/>
                              </w:rPr>
                            </w:pPr>
                          </w:p>
                          <w:p>
                            <w:pPr>
                              <w:spacing w:line="360" w:lineRule="auto"/>
                              <w:rPr>
                                <w:rFonts w:ascii="仿宋_GB2312" w:hAnsi="宋体" w:eastAsia="仿宋_GB2312"/>
                                <w:sz w:val="24"/>
                              </w:rPr>
                            </w:pPr>
                          </w:p>
                          <w:p>
                            <w:pPr>
                              <w:pStyle w:val="34"/>
                              <w:spacing w:after="120"/>
                            </w:pPr>
                          </w:p>
                          <w:p>
                            <w:pPr>
                              <w:spacing w:line="360" w:lineRule="auto"/>
                              <w:rPr>
                                <w:rFonts w:ascii="仿宋_GB2312" w:hAnsi="宋体" w:eastAsia="仿宋_GB2312"/>
                                <w:sz w:val="24"/>
                              </w:rPr>
                            </w:pPr>
                          </w:p>
                          <w:p/>
                          <w:p>
                            <w:pPr>
                              <w:pStyle w:val="17"/>
                            </w:pPr>
                          </w:p>
                          <w:p>
                            <w:pPr>
                              <w:pStyle w:val="59"/>
                            </w:pPr>
                          </w:p>
                          <w:p/>
                          <w:p>
                            <w:pPr>
                              <w:pStyle w:val="59"/>
                            </w:pPr>
                          </w:p>
                        </w:txbxContent>
                      </wps:txbx>
                      <wps:bodyPr rot="0" vert="horz" wrap="square" lIns="91440" tIns="45720" rIns="91440" bIns="45720" anchor="t" anchorCtr="0">
                        <a:noAutofit/>
                      </wps:bodyPr>
                    </wps:wsp>
                  </a:graphicData>
                </a:graphic>
              </wp:anchor>
            </w:drawing>
          </mc:Choice>
          <mc:Fallback>
            <w:pict>
              <v:shape id="_x0000_s1026" o:spid="_x0000_s1026" o:spt="202" type="#_x0000_t202" style="position:absolute;left:0pt;margin-left:6pt;margin-top:3.75pt;height:201.8pt;width:200.35pt;mso-wrap-distance-bottom:3.6pt;mso-wrap-distance-left:9pt;mso-wrap-distance-right:9pt;mso-wrap-distance-top:3.6pt;z-index:251749376;mso-width-relative:page;mso-height-relative:page;" fillcolor="#FFFFFF" filled="t" stroked="f" coordsize="21600,21600" o:gfxdata="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GCh31QAAAAgBAAAPAAAAAAAAAAEAIAAAACIAAABkcnMvZG93bnJl&#10;di54bWxQSwECFAAUAAAACACHTuJAtQYP5zkCAABVBAAADgAAAAAAAAABACAAAAAkAQAAZHJzL2Uy&#10;b0RvYy54bWxQSwUGAAAAAAYABgBZAQAAzwUAAAAA&#10;">
                <v:fill on="t" focussize="0,0"/>
                <v:stroke on="f" miterlimit="8" joinstyle="miter"/>
                <v:imagedata o:title=""/>
                <o:lock v:ext="edit" aspectratio="f"/>
                <v:textbox>
                  <w:txbxContent>
                    <w:p>
                      <w:pPr>
                        <w:spacing w:line="360" w:lineRule="auto"/>
                        <w:jc w:val="both"/>
                        <w:rPr>
                          <w:rFonts w:ascii="仿宋_GB2312" w:hAnsi="宋体" w:eastAsia="仿宋_GB2312"/>
                          <w:sz w:val="24"/>
                        </w:rPr>
                      </w:pPr>
                      <w:r>
                        <w:rPr>
                          <w:rFonts w:hint="eastAsia" w:ascii="仿宋_GB2312" w:hAnsi="宋体" w:eastAsia="仿宋_GB2312"/>
                          <w:sz w:val="24"/>
                        </w:rPr>
                        <w:t>甲   方：</w:t>
                      </w:r>
                    </w:p>
                    <w:p>
                      <w:pPr>
                        <w:spacing w:line="360" w:lineRule="auto"/>
                        <w:rPr>
                          <w:rFonts w:ascii="仿宋_GB2312" w:hAnsi="宋体" w:eastAsia="仿宋_GB2312"/>
                          <w:sz w:val="24"/>
                        </w:rPr>
                      </w:pPr>
                      <w:r>
                        <w:rPr>
                          <w:rFonts w:hint="eastAsia" w:ascii="仿宋_GB2312" w:hAnsi="宋体" w:eastAsia="仿宋_GB2312"/>
                          <w:sz w:val="24"/>
                        </w:rPr>
                        <w:t>名称：杭州市上城区</w:t>
                      </w:r>
                      <w:r>
                        <w:rPr>
                          <w:rFonts w:ascii="仿宋_GB2312" w:hAnsi="宋体" w:eastAsia="仿宋_GB2312"/>
                          <w:sz w:val="24"/>
                        </w:rPr>
                        <w:t>教育发展服务中心</w:t>
                      </w:r>
                      <w:r>
                        <w:rPr>
                          <w:rFonts w:hint="eastAsia" w:ascii="仿宋_GB2312" w:hAnsi="宋体" w:eastAsia="仿宋_GB2312"/>
                          <w:sz w:val="24"/>
                        </w:rPr>
                        <w:t>（盖章）</w:t>
                      </w:r>
                    </w:p>
                    <w:p>
                      <w:pPr>
                        <w:spacing w:line="360" w:lineRule="auto"/>
                        <w:rPr>
                          <w:rFonts w:ascii="仿宋_GB2312" w:hAnsi="宋体" w:eastAsia="仿宋_GB2312"/>
                          <w:sz w:val="24"/>
                        </w:rPr>
                      </w:pPr>
                      <w:r>
                        <w:rPr>
                          <w:rFonts w:hint="eastAsia" w:ascii="仿宋_GB2312" w:hAnsi="宋体" w:eastAsia="仿宋_GB2312"/>
                          <w:sz w:val="24"/>
                        </w:rPr>
                        <w:t>地址：</w:t>
                      </w:r>
                    </w:p>
                    <w:p>
                      <w:pPr>
                        <w:spacing w:line="360" w:lineRule="auto"/>
                        <w:rPr>
                          <w:rFonts w:ascii="仿宋_GB2312" w:hAnsi="宋体" w:eastAsia="仿宋_GB2312"/>
                          <w:sz w:val="24"/>
                        </w:rPr>
                      </w:pPr>
                      <w:r>
                        <w:rPr>
                          <w:rFonts w:hint="eastAsia" w:ascii="仿宋_GB2312" w:hAnsi="宋体" w:eastAsia="仿宋_GB2312"/>
                          <w:sz w:val="24"/>
                        </w:rPr>
                        <w:t>法定代表人（签字）：</w:t>
                      </w:r>
                    </w:p>
                    <w:p>
                      <w:pPr>
                        <w:spacing w:line="360" w:lineRule="auto"/>
                        <w:rPr>
                          <w:rFonts w:ascii="仿宋_GB2312" w:hAnsi="宋体" w:eastAsia="仿宋_GB2312"/>
                          <w:sz w:val="24"/>
                        </w:rPr>
                      </w:pPr>
                      <w:r>
                        <w:rPr>
                          <w:rFonts w:hint="eastAsia" w:ascii="仿宋_GB2312" w:hAnsi="宋体" w:eastAsia="仿宋_GB2312"/>
                          <w:sz w:val="24"/>
                        </w:rPr>
                        <w:t>授权代表（签字）：</w:t>
                      </w:r>
                    </w:p>
                    <w:p>
                      <w:pPr>
                        <w:spacing w:line="360" w:lineRule="auto"/>
                        <w:rPr>
                          <w:rFonts w:ascii="仿宋_GB2312" w:hAnsi="宋体" w:eastAsia="仿宋_GB2312"/>
                          <w:sz w:val="24"/>
                        </w:rPr>
                      </w:pPr>
                      <w:r>
                        <w:rPr>
                          <w:rFonts w:hint="eastAsia" w:ascii="仿宋_GB2312" w:hAnsi="宋体" w:eastAsia="仿宋_GB2312"/>
                          <w:sz w:val="24"/>
                        </w:rPr>
                        <w:t>开户银行：工行</w:t>
                      </w:r>
                      <w:r>
                        <w:rPr>
                          <w:rFonts w:ascii="仿宋_GB2312" w:hAnsi="宋体" w:eastAsia="仿宋_GB2312"/>
                          <w:sz w:val="24"/>
                        </w:rPr>
                        <w:t>解放路支行</w:t>
                      </w:r>
                    </w:p>
                    <w:p>
                      <w:pPr>
                        <w:spacing w:line="360" w:lineRule="auto"/>
                        <w:rPr>
                          <w:rFonts w:ascii="仿宋_GB2312" w:hAnsi="宋体" w:eastAsia="仿宋_GB2312"/>
                          <w:sz w:val="24"/>
                        </w:rPr>
                      </w:pPr>
                      <w:r>
                        <w:rPr>
                          <w:rFonts w:hint="eastAsia" w:ascii="仿宋_GB2312" w:hAnsi="宋体" w:eastAsia="仿宋_GB2312"/>
                          <w:sz w:val="24"/>
                        </w:rPr>
                        <w:t>银行帐号：1202020709920162701</w:t>
                      </w:r>
                    </w:p>
                    <w:p>
                      <w:pPr>
                        <w:spacing w:line="360" w:lineRule="auto"/>
                        <w:rPr>
                          <w:rFonts w:ascii="仿宋_GB2312" w:hAnsi="宋体" w:eastAsia="仿宋_GB2312"/>
                          <w:sz w:val="24"/>
                        </w:rPr>
                      </w:pPr>
                    </w:p>
                    <w:p>
                      <w:pPr>
                        <w:spacing w:line="360" w:lineRule="auto"/>
                        <w:rPr>
                          <w:rFonts w:ascii="仿宋_GB2312" w:hAnsi="宋体" w:eastAsia="仿宋_GB2312"/>
                          <w:sz w:val="24"/>
                        </w:rPr>
                      </w:pPr>
                    </w:p>
                    <w:p>
                      <w:pPr>
                        <w:spacing w:line="360" w:lineRule="auto"/>
                        <w:rPr>
                          <w:rFonts w:ascii="仿宋_GB2312" w:hAnsi="宋体" w:eastAsia="仿宋_GB2312"/>
                          <w:sz w:val="24"/>
                        </w:rPr>
                      </w:pPr>
                    </w:p>
                    <w:p>
                      <w:pPr>
                        <w:pStyle w:val="34"/>
                        <w:spacing w:after="120"/>
                      </w:pPr>
                    </w:p>
                    <w:p>
                      <w:pPr>
                        <w:spacing w:line="360" w:lineRule="auto"/>
                        <w:rPr>
                          <w:rFonts w:ascii="仿宋_GB2312" w:hAnsi="宋体" w:eastAsia="仿宋_GB2312"/>
                          <w:sz w:val="24"/>
                        </w:rPr>
                      </w:pPr>
                    </w:p>
                    <w:p/>
                    <w:p>
                      <w:pPr>
                        <w:pStyle w:val="17"/>
                      </w:pPr>
                    </w:p>
                    <w:p>
                      <w:pPr>
                        <w:pStyle w:val="59"/>
                      </w:pPr>
                    </w:p>
                    <w:p/>
                    <w:p>
                      <w:pPr>
                        <w:pStyle w:val="59"/>
                      </w:pPr>
                    </w:p>
                  </w:txbxContent>
                </v:textbox>
                <w10:wrap type="square"/>
              </v:shape>
            </w:pict>
          </mc:Fallback>
        </mc:AlternateContent>
      </w:r>
    </w:p>
    <w:p>
      <w:pPr>
        <w:rPr>
          <w:color w:val="auto"/>
          <w:highlight w:val="none"/>
        </w:rPr>
      </w:pPr>
    </w:p>
    <w:p>
      <w:pPr>
        <w:pStyle w:val="17"/>
        <w:ind w:firstLine="0"/>
        <w:rPr>
          <w:color w:val="auto"/>
          <w:highlight w:val="none"/>
        </w:rPr>
      </w:pPr>
    </w:p>
    <w:p>
      <w:pPr>
        <w:rPr>
          <w:color w:val="auto"/>
          <w:highlight w:val="none"/>
        </w:rPr>
      </w:pPr>
    </w:p>
    <w:p>
      <w:pPr>
        <w:pStyle w:val="17"/>
        <w:ind w:firstLine="480"/>
        <w:rPr>
          <w:color w:val="auto"/>
          <w:highlight w:val="none"/>
        </w:rPr>
      </w:pPr>
    </w:p>
    <w:p>
      <w:pPr>
        <w:rPr>
          <w:color w:val="auto"/>
          <w:highlight w:val="none"/>
        </w:rPr>
      </w:pPr>
    </w:p>
    <w:p>
      <w:pPr>
        <w:pStyle w:val="17"/>
        <w:rPr>
          <w:color w:val="auto"/>
          <w:highlight w:val="none"/>
        </w:rPr>
      </w:pPr>
    </w:p>
    <w:p>
      <w:pPr>
        <w:rPr>
          <w:color w:val="auto"/>
          <w:highlight w:val="none"/>
        </w:rPr>
      </w:pPr>
    </w:p>
    <w:p>
      <w:pPr>
        <w:pStyle w:val="34"/>
        <w:spacing w:after="120" w:line="360" w:lineRule="auto"/>
        <w:ind w:right="480"/>
        <w:jc w:val="both"/>
        <w:rPr>
          <w:rFonts w:hint="eastAsia" w:ascii="仿宋_GB2312" w:hAnsi="宋体" w:eastAsia="仿宋_GB2312"/>
          <w:color w:val="auto"/>
          <w:sz w:val="24"/>
          <w:highlight w:val="none"/>
        </w:rPr>
      </w:pPr>
    </w:p>
    <w:p>
      <w:pPr>
        <w:pStyle w:val="34"/>
        <w:spacing w:after="120" w:line="360" w:lineRule="auto"/>
        <w:ind w:right="480" w:firstLine="240" w:firstLineChars="100"/>
        <w:jc w:val="both"/>
        <w:rPr>
          <w:rFonts w:ascii="仿宋_GB2312" w:hAnsi="宋体" w:eastAsia="仿宋_GB2312"/>
          <w:color w:val="auto"/>
          <w:sz w:val="24"/>
          <w:highlight w:val="none"/>
        </w:rPr>
      </w:pPr>
      <w:r>
        <w:rPr>
          <w:rFonts w:hint="eastAsia" w:ascii="仿宋_GB2312" w:hAnsi="宋体" w:eastAsia="仿宋_GB2312"/>
          <w:color w:val="auto"/>
          <w:sz w:val="24"/>
          <w:highlight w:val="none"/>
        </w:rPr>
        <w:t>合同</w:t>
      </w:r>
      <w:r>
        <w:rPr>
          <w:rFonts w:ascii="仿宋_GB2312" w:hAnsi="宋体" w:eastAsia="仿宋_GB2312"/>
          <w:color w:val="auto"/>
          <w:sz w:val="24"/>
          <w:highlight w:val="none"/>
        </w:rPr>
        <w:t>签订地点：</w:t>
      </w:r>
    </w:p>
    <w:p>
      <w:pPr>
        <w:pStyle w:val="34"/>
        <w:spacing w:after="120" w:line="360" w:lineRule="auto"/>
        <w:ind w:right="480" w:firstLine="240" w:firstLineChars="100"/>
        <w:rPr>
          <w:rFonts w:ascii="仿宋_GB2312" w:hAnsi="宋体" w:eastAsia="仿宋_GB2312"/>
          <w:color w:val="auto"/>
          <w:sz w:val="24"/>
          <w:highlight w:val="none"/>
        </w:rPr>
      </w:pPr>
      <w:r>
        <w:rPr>
          <w:rFonts w:hint="eastAsia" w:ascii="仿宋_GB2312" w:hAnsi="宋体" w:eastAsia="仿宋_GB2312"/>
          <w:color w:val="auto"/>
          <w:sz w:val="24"/>
          <w:highlight w:val="none"/>
        </w:rPr>
        <w:t>合同</w:t>
      </w:r>
      <w:r>
        <w:rPr>
          <w:rFonts w:ascii="仿宋_GB2312" w:hAnsi="宋体" w:eastAsia="仿宋_GB2312"/>
          <w:color w:val="auto"/>
          <w:sz w:val="24"/>
          <w:highlight w:val="none"/>
        </w:rPr>
        <w:t>签订时间</w:t>
      </w:r>
      <w:r>
        <w:rPr>
          <w:rFonts w:hint="eastAsia" w:ascii="仿宋_GB2312" w:hAnsi="宋体" w:eastAsia="仿宋_GB2312"/>
          <w:color w:val="auto"/>
          <w:sz w:val="24"/>
          <w:highlight w:val="none"/>
        </w:rPr>
        <w:t>：202</w:t>
      </w:r>
      <w:r>
        <w:rPr>
          <w:rFonts w:hint="eastAsia" w:ascii="仿宋_GB2312" w:hAnsi="宋体" w:eastAsia="仿宋_GB2312"/>
          <w:color w:val="auto"/>
          <w:sz w:val="24"/>
          <w:highlight w:val="none"/>
          <w:lang w:val="en-US" w:eastAsia="zh-CN"/>
        </w:rPr>
        <w:t>4</w:t>
      </w:r>
      <w:r>
        <w:rPr>
          <w:rFonts w:hint="eastAsia" w:ascii="仿宋_GB2312" w:hAnsi="宋体" w:eastAsia="仿宋_GB2312"/>
          <w:color w:val="auto"/>
          <w:sz w:val="24"/>
          <w:highlight w:val="none"/>
        </w:rPr>
        <w:t>年   月  日</w:t>
      </w:r>
    </w:p>
    <w:p>
      <w:pPr>
        <w:pStyle w:val="4"/>
        <w:jc w:val="center"/>
        <w:rPr>
          <w:rFonts w:hint="eastAsia" w:ascii="华文中宋" w:hAnsi="华文中宋" w:eastAsia="华文中宋"/>
          <w:b w:val="0"/>
          <w:color w:val="auto"/>
          <w:highlight w:val="none"/>
          <w:lang w:eastAsia="zh-CN"/>
        </w:rPr>
      </w:pPr>
      <w:r>
        <w:rPr>
          <w:rFonts w:hint="eastAsia" w:ascii="华文中宋" w:hAnsi="华文中宋" w:eastAsia="华文中宋"/>
          <w:b w:val="0"/>
          <w:color w:val="auto"/>
          <w:highlight w:val="none"/>
        </w:rPr>
        <w:t>上城</w:t>
      </w:r>
      <w:r>
        <w:rPr>
          <w:rFonts w:ascii="华文中宋" w:hAnsi="华文中宋" w:eastAsia="华文中宋"/>
          <w:b w:val="0"/>
          <w:color w:val="auto"/>
          <w:highlight w:val="none"/>
        </w:rPr>
        <w:t>区</w:t>
      </w:r>
      <w:r>
        <w:rPr>
          <w:rFonts w:hint="eastAsia" w:ascii="华文中宋" w:hAnsi="华文中宋" w:eastAsia="华文中宋"/>
          <w:b w:val="0"/>
          <w:color w:val="auto"/>
          <w:highlight w:val="none"/>
        </w:rPr>
        <w:t>教育</w:t>
      </w:r>
      <w:r>
        <w:rPr>
          <w:rFonts w:ascii="华文中宋" w:hAnsi="华文中宋" w:eastAsia="华文中宋"/>
          <w:b w:val="0"/>
          <w:color w:val="auto"/>
          <w:highlight w:val="none"/>
        </w:rPr>
        <w:t>系统货物类</w:t>
      </w:r>
      <w:r>
        <w:rPr>
          <w:rFonts w:hint="eastAsia" w:ascii="华文中宋" w:hAnsi="华文中宋" w:eastAsia="华文中宋"/>
          <w:b w:val="0"/>
          <w:color w:val="auto"/>
          <w:highlight w:val="none"/>
        </w:rPr>
        <w:t>政府</w:t>
      </w:r>
      <w:r>
        <w:rPr>
          <w:rFonts w:ascii="华文中宋" w:hAnsi="华文中宋" w:eastAsia="华文中宋"/>
          <w:b w:val="0"/>
          <w:color w:val="auto"/>
          <w:highlight w:val="none"/>
        </w:rPr>
        <w:t>采购项目</w:t>
      </w:r>
    </w:p>
    <w:p>
      <w:pPr>
        <w:pStyle w:val="4"/>
        <w:jc w:val="center"/>
        <w:rPr>
          <w:rFonts w:ascii="华文中宋" w:hAnsi="华文中宋" w:eastAsia="华文中宋"/>
          <w:b w:val="0"/>
          <w:color w:val="auto"/>
          <w:highlight w:val="none"/>
        </w:rPr>
      </w:pPr>
      <w:r>
        <w:rPr>
          <w:rFonts w:hint="eastAsia" w:ascii="华文中宋" w:hAnsi="华文中宋" w:eastAsia="华文中宋"/>
          <w:b w:val="0"/>
          <w:color w:val="auto"/>
          <w:highlight w:val="none"/>
        </w:rPr>
        <w:t>竣工</w:t>
      </w:r>
      <w:r>
        <w:rPr>
          <w:rFonts w:ascii="华文中宋" w:hAnsi="华文中宋" w:eastAsia="华文中宋"/>
          <w:b w:val="0"/>
          <w:color w:val="auto"/>
          <w:highlight w:val="none"/>
        </w:rPr>
        <w:t>验收</w:t>
      </w:r>
      <w:r>
        <w:rPr>
          <w:rFonts w:hint="eastAsia" w:ascii="华文中宋" w:hAnsi="华文中宋" w:eastAsia="华文中宋"/>
          <w:b w:val="0"/>
          <w:color w:val="auto"/>
          <w:highlight w:val="none"/>
        </w:rPr>
        <w:t>文档</w:t>
      </w:r>
      <w:r>
        <w:rPr>
          <w:rFonts w:ascii="华文中宋" w:hAnsi="华文中宋" w:eastAsia="华文中宋"/>
          <w:b w:val="0"/>
          <w:color w:val="auto"/>
          <w:highlight w:val="none"/>
        </w:rPr>
        <w:t>制作</w:t>
      </w:r>
      <w:r>
        <w:rPr>
          <w:rFonts w:hint="eastAsia" w:ascii="华文中宋" w:hAnsi="华文中宋" w:eastAsia="华文中宋"/>
          <w:b w:val="0"/>
          <w:color w:val="auto"/>
          <w:highlight w:val="none"/>
        </w:rPr>
        <w:t>要</w:t>
      </w:r>
      <w:r>
        <w:rPr>
          <w:rFonts w:ascii="华文中宋" w:hAnsi="华文中宋" w:eastAsia="华文中宋"/>
          <w:b w:val="0"/>
          <w:color w:val="auto"/>
          <w:highlight w:val="none"/>
        </w:rPr>
        <w:t>求</w:t>
      </w:r>
    </w:p>
    <w:p>
      <w:pPr>
        <w:pStyle w:val="5"/>
        <w:rPr>
          <w:color w:val="auto"/>
          <w:highlight w:val="none"/>
        </w:rPr>
      </w:pPr>
      <w:r>
        <w:rPr>
          <w:rFonts w:hint="eastAsia"/>
          <w:color w:val="auto"/>
          <w:highlight w:val="none"/>
        </w:rPr>
        <w:t>一</w:t>
      </w:r>
      <w:r>
        <w:rPr>
          <w:color w:val="auto"/>
          <w:highlight w:val="none"/>
        </w:rPr>
        <w:t>、</w:t>
      </w:r>
      <w:r>
        <w:rPr>
          <w:rFonts w:hint="eastAsia"/>
          <w:color w:val="auto"/>
          <w:highlight w:val="none"/>
        </w:rPr>
        <w:t>总体</w:t>
      </w:r>
      <w:r>
        <w:rPr>
          <w:color w:val="auto"/>
          <w:highlight w:val="none"/>
        </w:rPr>
        <w:t>要</w:t>
      </w:r>
      <w:r>
        <w:rPr>
          <w:rFonts w:hint="eastAsia"/>
          <w:color w:val="auto"/>
          <w:highlight w:val="none"/>
        </w:rPr>
        <w:t>求</w:t>
      </w:r>
    </w:p>
    <w:p>
      <w:pPr>
        <w:ind w:firstLine="560" w:firstLineChars="200"/>
        <w:rPr>
          <w:rFonts w:asciiTheme="minorEastAsia" w:hAnsiTheme="minorEastAsia"/>
          <w:color w:val="auto"/>
          <w:sz w:val="28"/>
          <w:highlight w:val="none"/>
        </w:rPr>
      </w:pPr>
      <w:r>
        <w:rPr>
          <w:rFonts w:hint="eastAsia" w:asciiTheme="minorEastAsia" w:hAnsiTheme="minorEastAsia"/>
          <w:color w:val="auto"/>
          <w:sz w:val="28"/>
          <w:highlight w:val="none"/>
        </w:rPr>
        <w:t>2</w:t>
      </w:r>
      <w:r>
        <w:rPr>
          <w:rFonts w:asciiTheme="minorEastAsia" w:hAnsiTheme="minorEastAsia"/>
          <w:color w:val="auto"/>
          <w:sz w:val="28"/>
          <w:highlight w:val="none"/>
        </w:rPr>
        <w:t>02</w:t>
      </w:r>
      <w:r>
        <w:rPr>
          <w:rFonts w:hint="eastAsia" w:asciiTheme="minorEastAsia" w:hAnsiTheme="minorEastAsia"/>
          <w:color w:val="auto"/>
          <w:sz w:val="28"/>
          <w:highlight w:val="none"/>
          <w:lang w:val="en-US" w:eastAsia="zh-CN"/>
        </w:rPr>
        <w:t>4</w:t>
      </w:r>
      <w:r>
        <w:rPr>
          <w:rFonts w:asciiTheme="minorEastAsia" w:hAnsiTheme="minorEastAsia"/>
          <w:color w:val="auto"/>
          <w:sz w:val="28"/>
          <w:highlight w:val="none"/>
        </w:rPr>
        <w:t>年度</w:t>
      </w:r>
      <w:r>
        <w:rPr>
          <w:rFonts w:hint="eastAsia" w:asciiTheme="minorEastAsia" w:hAnsiTheme="minorEastAsia"/>
          <w:color w:val="auto"/>
          <w:sz w:val="28"/>
          <w:highlight w:val="none"/>
        </w:rPr>
        <w:t>上城</w:t>
      </w:r>
      <w:r>
        <w:rPr>
          <w:rFonts w:asciiTheme="minorEastAsia" w:hAnsiTheme="minorEastAsia"/>
          <w:color w:val="auto"/>
          <w:sz w:val="28"/>
          <w:highlight w:val="none"/>
        </w:rPr>
        <w:t>区教育系统公开招标货物类项目</w:t>
      </w:r>
      <w:r>
        <w:rPr>
          <w:rFonts w:hint="eastAsia" w:asciiTheme="minorEastAsia" w:hAnsiTheme="minorEastAsia"/>
          <w:color w:val="auto"/>
          <w:sz w:val="28"/>
          <w:highlight w:val="none"/>
        </w:rPr>
        <w:t>，</w:t>
      </w:r>
      <w:r>
        <w:rPr>
          <w:rFonts w:asciiTheme="minorEastAsia" w:hAnsiTheme="minorEastAsia"/>
          <w:color w:val="auto"/>
          <w:sz w:val="28"/>
          <w:highlight w:val="none"/>
        </w:rPr>
        <w:t>供应商均需</w:t>
      </w:r>
      <w:r>
        <w:rPr>
          <w:rFonts w:hint="eastAsia" w:asciiTheme="minorEastAsia" w:hAnsiTheme="minorEastAsia"/>
          <w:color w:val="auto"/>
          <w:sz w:val="28"/>
          <w:highlight w:val="none"/>
        </w:rPr>
        <w:t>按</w:t>
      </w:r>
      <w:r>
        <w:rPr>
          <w:rFonts w:asciiTheme="minorEastAsia" w:hAnsiTheme="minorEastAsia"/>
          <w:color w:val="auto"/>
          <w:sz w:val="28"/>
          <w:highlight w:val="none"/>
        </w:rPr>
        <w:t>本要求制作验收文档</w:t>
      </w:r>
      <w:r>
        <w:rPr>
          <w:rFonts w:hint="eastAsia" w:asciiTheme="minorEastAsia" w:hAnsiTheme="minorEastAsia"/>
          <w:color w:val="auto"/>
          <w:sz w:val="28"/>
          <w:highlight w:val="none"/>
        </w:rPr>
        <w:t>。</w:t>
      </w:r>
      <w:r>
        <w:rPr>
          <w:rFonts w:asciiTheme="minorEastAsia" w:hAnsiTheme="minorEastAsia"/>
          <w:color w:val="auto"/>
          <w:sz w:val="28"/>
          <w:highlight w:val="none"/>
        </w:rPr>
        <w:t>验收</w:t>
      </w:r>
      <w:r>
        <w:rPr>
          <w:rFonts w:hint="eastAsia" w:asciiTheme="minorEastAsia" w:hAnsiTheme="minorEastAsia"/>
          <w:color w:val="auto"/>
          <w:sz w:val="28"/>
          <w:highlight w:val="none"/>
        </w:rPr>
        <w:t>文</w:t>
      </w:r>
      <w:r>
        <w:rPr>
          <w:rFonts w:asciiTheme="minorEastAsia" w:hAnsiTheme="minorEastAsia"/>
          <w:color w:val="auto"/>
          <w:sz w:val="28"/>
          <w:highlight w:val="none"/>
        </w:rPr>
        <w:t>档一式三份，均需胶装并在所需位置加盖公章</w:t>
      </w:r>
      <w:r>
        <w:rPr>
          <w:rFonts w:hint="eastAsia" w:asciiTheme="minorEastAsia" w:hAnsiTheme="minorEastAsia"/>
          <w:color w:val="auto"/>
          <w:sz w:val="28"/>
          <w:highlight w:val="none"/>
        </w:rPr>
        <w:t>。验收</w:t>
      </w:r>
      <w:r>
        <w:rPr>
          <w:rFonts w:asciiTheme="minorEastAsia" w:hAnsiTheme="minorEastAsia"/>
          <w:color w:val="auto"/>
          <w:sz w:val="28"/>
          <w:highlight w:val="none"/>
        </w:rPr>
        <w:t>文档必须在</w:t>
      </w:r>
      <w:r>
        <w:rPr>
          <w:rFonts w:hint="eastAsia" w:asciiTheme="minorEastAsia" w:hAnsiTheme="minorEastAsia"/>
          <w:color w:val="auto"/>
          <w:sz w:val="28"/>
          <w:highlight w:val="none"/>
        </w:rPr>
        <w:t>9月15日</w:t>
      </w:r>
      <w:r>
        <w:rPr>
          <w:rFonts w:asciiTheme="minorEastAsia" w:hAnsiTheme="minorEastAsia"/>
          <w:color w:val="auto"/>
          <w:sz w:val="28"/>
          <w:highlight w:val="none"/>
        </w:rPr>
        <w:t>前完成，</w:t>
      </w:r>
      <w:r>
        <w:rPr>
          <w:rFonts w:hint="eastAsia" w:asciiTheme="minorEastAsia" w:hAnsiTheme="minorEastAsia"/>
          <w:color w:val="auto"/>
          <w:sz w:val="28"/>
          <w:highlight w:val="none"/>
        </w:rPr>
        <w:t>上城</w:t>
      </w:r>
      <w:r>
        <w:rPr>
          <w:rFonts w:asciiTheme="minorEastAsia" w:hAnsiTheme="minorEastAsia"/>
          <w:color w:val="auto"/>
          <w:sz w:val="28"/>
          <w:highlight w:val="none"/>
        </w:rPr>
        <w:t>区教育</w:t>
      </w:r>
      <w:r>
        <w:rPr>
          <w:rFonts w:hint="eastAsia" w:asciiTheme="minorEastAsia" w:hAnsiTheme="minorEastAsia"/>
          <w:color w:val="auto"/>
          <w:sz w:val="28"/>
          <w:highlight w:val="none"/>
        </w:rPr>
        <w:t>发展服务</w:t>
      </w:r>
      <w:r>
        <w:rPr>
          <w:rFonts w:asciiTheme="minorEastAsia" w:hAnsiTheme="minorEastAsia"/>
          <w:color w:val="auto"/>
          <w:sz w:val="28"/>
          <w:highlight w:val="none"/>
        </w:rPr>
        <w:t>中心将组织专家组进行项目终验</w:t>
      </w:r>
      <w:r>
        <w:rPr>
          <w:rFonts w:hint="eastAsia" w:asciiTheme="minorEastAsia" w:hAnsiTheme="minorEastAsia"/>
          <w:color w:val="auto"/>
          <w:sz w:val="28"/>
          <w:highlight w:val="none"/>
        </w:rPr>
        <w:t>。</w:t>
      </w:r>
    </w:p>
    <w:p>
      <w:pPr>
        <w:pStyle w:val="5"/>
        <w:rPr>
          <w:color w:val="auto"/>
          <w:highlight w:val="none"/>
        </w:rPr>
      </w:pPr>
      <w:r>
        <w:rPr>
          <w:rFonts w:hint="eastAsia"/>
          <w:color w:val="auto"/>
          <w:highlight w:val="none"/>
        </w:rPr>
        <w:t>二</w:t>
      </w:r>
      <w:r>
        <w:rPr>
          <w:color w:val="auto"/>
          <w:highlight w:val="none"/>
        </w:rPr>
        <w:t>、目录格式</w:t>
      </w:r>
    </w:p>
    <w:p>
      <w:pPr>
        <w:ind w:firstLine="560" w:firstLineChars="200"/>
        <w:rPr>
          <w:rFonts w:asciiTheme="minorEastAsia" w:hAnsiTheme="minorEastAsia"/>
          <w:color w:val="auto"/>
          <w:sz w:val="28"/>
          <w:highlight w:val="none"/>
        </w:rPr>
      </w:pPr>
      <w:r>
        <w:rPr>
          <w:rFonts w:hint="eastAsia" w:asciiTheme="minorEastAsia" w:hAnsiTheme="minorEastAsia"/>
          <w:color w:val="auto"/>
          <w:sz w:val="28"/>
          <w:highlight w:val="none"/>
        </w:rPr>
        <w:t>请按</w:t>
      </w:r>
      <w:r>
        <w:rPr>
          <w:rFonts w:asciiTheme="minorEastAsia" w:hAnsiTheme="minorEastAsia"/>
          <w:color w:val="auto"/>
          <w:sz w:val="28"/>
          <w:highlight w:val="none"/>
        </w:rPr>
        <w:t>以下格式</w:t>
      </w:r>
      <w:r>
        <w:rPr>
          <w:rFonts w:hint="eastAsia" w:asciiTheme="minorEastAsia" w:hAnsiTheme="minorEastAsia"/>
          <w:color w:val="auto"/>
          <w:sz w:val="28"/>
          <w:highlight w:val="none"/>
        </w:rPr>
        <w:t>制作</w:t>
      </w:r>
      <w:r>
        <w:rPr>
          <w:rFonts w:asciiTheme="minorEastAsia" w:hAnsiTheme="minorEastAsia"/>
          <w:color w:val="auto"/>
          <w:sz w:val="28"/>
          <w:highlight w:val="none"/>
        </w:rPr>
        <w:t>目录并整理</w:t>
      </w:r>
      <w:r>
        <w:rPr>
          <w:rFonts w:hint="eastAsia" w:asciiTheme="minorEastAsia" w:hAnsiTheme="minorEastAsia"/>
          <w:color w:val="auto"/>
          <w:sz w:val="28"/>
          <w:highlight w:val="none"/>
        </w:rPr>
        <w:t>验收</w:t>
      </w:r>
      <w:r>
        <w:rPr>
          <w:rFonts w:asciiTheme="minorEastAsia" w:hAnsiTheme="minorEastAsia"/>
          <w:color w:val="auto"/>
          <w:sz w:val="28"/>
          <w:highlight w:val="none"/>
        </w:rPr>
        <w:t>材料：</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投标报</w:t>
      </w:r>
      <w:r>
        <w:rPr>
          <w:rFonts w:asciiTheme="minorEastAsia" w:hAnsiTheme="minorEastAsia"/>
          <w:color w:val="auto"/>
          <w:sz w:val="28"/>
          <w:highlight w:val="none"/>
        </w:rPr>
        <w:t>价</w:t>
      </w:r>
      <w:r>
        <w:rPr>
          <w:rFonts w:hint="eastAsia" w:asciiTheme="minorEastAsia" w:hAnsiTheme="minorEastAsia"/>
          <w:color w:val="auto"/>
          <w:sz w:val="28"/>
          <w:highlight w:val="none"/>
        </w:rPr>
        <w:t>文件</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中标通知书</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合同（只</w:t>
      </w:r>
      <w:r>
        <w:rPr>
          <w:rFonts w:asciiTheme="minorEastAsia" w:hAnsiTheme="minorEastAsia"/>
          <w:color w:val="auto"/>
          <w:sz w:val="28"/>
          <w:highlight w:val="none"/>
        </w:rPr>
        <w:t>需</w:t>
      </w:r>
      <w:r>
        <w:rPr>
          <w:rFonts w:hint="eastAsia" w:asciiTheme="minorEastAsia" w:hAnsiTheme="minorEastAsia"/>
          <w:color w:val="auto"/>
          <w:sz w:val="28"/>
          <w:highlight w:val="none"/>
        </w:rPr>
        <w:t>主</w:t>
      </w:r>
      <w:r>
        <w:rPr>
          <w:rFonts w:asciiTheme="minorEastAsia" w:hAnsiTheme="minorEastAsia"/>
          <w:color w:val="auto"/>
          <w:sz w:val="28"/>
          <w:highlight w:val="none"/>
        </w:rPr>
        <w:t>合同与各校明细清单</w:t>
      </w:r>
      <w:r>
        <w:rPr>
          <w:rFonts w:hint="eastAsia" w:asciiTheme="minorEastAsia" w:hAnsiTheme="minorEastAsia"/>
          <w:color w:val="auto"/>
          <w:sz w:val="28"/>
          <w:highlight w:val="none"/>
        </w:rPr>
        <w:t>）</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施工组织方案</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设备签收（所</w:t>
      </w:r>
      <w:r>
        <w:rPr>
          <w:rFonts w:asciiTheme="minorEastAsia" w:hAnsiTheme="minorEastAsia"/>
          <w:color w:val="auto"/>
          <w:sz w:val="28"/>
          <w:highlight w:val="none"/>
        </w:rPr>
        <w:t>有学校均需有</w:t>
      </w:r>
      <w:r>
        <w:rPr>
          <w:rFonts w:hint="eastAsia" w:asciiTheme="minorEastAsia" w:hAnsiTheme="minorEastAsia"/>
          <w:color w:val="auto"/>
          <w:sz w:val="28"/>
          <w:highlight w:val="none"/>
        </w:rPr>
        <w:t>）</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设备合格证</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完工情况(现</w:t>
      </w:r>
      <w:r>
        <w:rPr>
          <w:rFonts w:asciiTheme="minorEastAsia" w:hAnsiTheme="minorEastAsia"/>
          <w:color w:val="auto"/>
          <w:sz w:val="28"/>
          <w:highlight w:val="none"/>
        </w:rPr>
        <w:t>场</w:t>
      </w:r>
      <w:r>
        <w:rPr>
          <w:rFonts w:hint="eastAsia" w:asciiTheme="minorEastAsia" w:hAnsiTheme="minorEastAsia"/>
          <w:color w:val="auto"/>
          <w:sz w:val="28"/>
          <w:highlight w:val="none"/>
        </w:rPr>
        <w:t>照片、</w:t>
      </w:r>
      <w:r>
        <w:rPr>
          <w:rFonts w:asciiTheme="minorEastAsia" w:hAnsiTheme="minorEastAsia"/>
          <w:color w:val="auto"/>
          <w:sz w:val="28"/>
          <w:highlight w:val="none"/>
        </w:rPr>
        <w:t>线路图、</w:t>
      </w:r>
      <w:r>
        <w:rPr>
          <w:rFonts w:hint="eastAsia" w:asciiTheme="minorEastAsia" w:hAnsiTheme="minorEastAsia"/>
          <w:color w:val="auto"/>
          <w:sz w:val="28"/>
          <w:highlight w:val="none"/>
        </w:rPr>
        <w:t>点</w:t>
      </w:r>
      <w:r>
        <w:rPr>
          <w:rFonts w:asciiTheme="minorEastAsia" w:hAnsiTheme="minorEastAsia"/>
          <w:color w:val="auto"/>
          <w:sz w:val="28"/>
          <w:highlight w:val="none"/>
        </w:rPr>
        <w:t>位</w:t>
      </w:r>
      <w:r>
        <w:rPr>
          <w:rFonts w:hint="eastAsia" w:asciiTheme="minorEastAsia" w:hAnsiTheme="minorEastAsia"/>
          <w:color w:val="auto"/>
          <w:sz w:val="28"/>
          <w:highlight w:val="none"/>
        </w:rPr>
        <w:t>配置</w:t>
      </w:r>
      <w:r>
        <w:rPr>
          <w:rFonts w:asciiTheme="minorEastAsia" w:hAnsiTheme="minorEastAsia"/>
          <w:color w:val="auto"/>
          <w:sz w:val="28"/>
          <w:highlight w:val="none"/>
        </w:rPr>
        <w:t>表等</w:t>
      </w:r>
      <w:r>
        <w:rPr>
          <w:rFonts w:hint="eastAsia" w:asciiTheme="minorEastAsia" w:hAnsiTheme="minorEastAsia"/>
          <w:color w:val="auto"/>
          <w:sz w:val="28"/>
          <w:highlight w:val="none"/>
        </w:rPr>
        <w:t>）</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初验报告（各学校验收</w:t>
      </w:r>
      <w:r>
        <w:rPr>
          <w:rFonts w:asciiTheme="minorEastAsia" w:hAnsiTheme="minorEastAsia"/>
          <w:color w:val="auto"/>
          <w:sz w:val="28"/>
          <w:highlight w:val="none"/>
        </w:rPr>
        <w:t>回复单</w:t>
      </w:r>
      <w:r>
        <w:rPr>
          <w:rFonts w:hint="eastAsia" w:asciiTheme="minorEastAsia" w:hAnsiTheme="minorEastAsia"/>
          <w:color w:val="auto"/>
          <w:sz w:val="28"/>
          <w:highlight w:val="none"/>
        </w:rPr>
        <w:t>）</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整改建议书（如有）</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售后服务手册</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培训方案</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培训记录（含培训教材、签到表、培训现场照片等）</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整改落实情况说明（如有）</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终验申请（区级</w:t>
      </w:r>
      <w:r>
        <w:rPr>
          <w:rFonts w:asciiTheme="minorEastAsia" w:hAnsiTheme="minorEastAsia"/>
          <w:color w:val="auto"/>
          <w:sz w:val="28"/>
          <w:highlight w:val="none"/>
        </w:rPr>
        <w:t>验收</w:t>
      </w:r>
      <w:r>
        <w:rPr>
          <w:rFonts w:hint="eastAsia" w:asciiTheme="minorEastAsia" w:hAnsiTheme="minorEastAsia"/>
          <w:color w:val="auto"/>
          <w:sz w:val="28"/>
          <w:highlight w:val="none"/>
        </w:rPr>
        <w:t>）</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竣工报告</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用户使用报告</w:t>
      </w:r>
    </w:p>
    <w:p>
      <w:pPr>
        <w:pStyle w:val="256"/>
        <w:numPr>
          <w:ilvl w:val="0"/>
          <w:numId w:val="10"/>
        </w:numPr>
        <w:adjustRightInd/>
        <w:spacing w:line="240" w:lineRule="auto"/>
        <w:ind w:firstLineChars="0"/>
        <w:rPr>
          <w:rFonts w:asciiTheme="minorEastAsia" w:hAnsiTheme="minorEastAsia"/>
          <w:color w:val="auto"/>
          <w:sz w:val="28"/>
          <w:highlight w:val="none"/>
        </w:rPr>
      </w:pPr>
      <w:r>
        <w:rPr>
          <w:rFonts w:hint="eastAsia" w:asciiTheme="minorEastAsia" w:hAnsiTheme="minorEastAsia"/>
          <w:color w:val="auto"/>
          <w:sz w:val="28"/>
          <w:highlight w:val="none"/>
        </w:rPr>
        <w:t>项目验收报</w:t>
      </w:r>
      <w:r>
        <w:rPr>
          <w:rFonts w:asciiTheme="minorEastAsia" w:hAnsiTheme="minorEastAsia"/>
          <w:color w:val="auto"/>
          <w:sz w:val="28"/>
          <w:highlight w:val="none"/>
        </w:rPr>
        <w:t>告</w:t>
      </w:r>
    </w:p>
    <w:p>
      <w:pPr>
        <w:pStyle w:val="5"/>
        <w:rPr>
          <w:color w:val="auto"/>
          <w:highlight w:val="none"/>
        </w:rPr>
      </w:pPr>
      <w:r>
        <w:rPr>
          <w:rFonts w:hint="eastAsia"/>
          <w:color w:val="auto"/>
          <w:highlight w:val="none"/>
        </w:rPr>
        <w:t>三</w:t>
      </w:r>
      <w:r>
        <w:rPr>
          <w:color w:val="auto"/>
          <w:highlight w:val="none"/>
        </w:rPr>
        <w:t>、表单格式</w:t>
      </w:r>
    </w:p>
    <w:p>
      <w:pPr>
        <w:pStyle w:val="5"/>
        <w:rPr>
          <w:color w:val="auto"/>
          <w:highlight w:val="none"/>
        </w:rPr>
      </w:pPr>
      <w:r>
        <w:rPr>
          <w:color w:val="auto"/>
          <w:highlight w:val="none"/>
          <w:lang w:val="en-US"/>
        </w:rPr>
        <mc:AlternateContent>
          <mc:Choice Requires="wps">
            <w:drawing>
              <wp:anchor distT="45720" distB="45720" distL="114300" distR="114300" simplePos="0" relativeHeight="251748352" behindDoc="0" locked="0" layoutInCell="1" allowOverlap="1">
                <wp:simplePos x="0" y="0"/>
                <wp:positionH relativeFrom="column">
                  <wp:posOffset>104775</wp:posOffset>
                </wp:positionH>
                <wp:positionV relativeFrom="paragraph">
                  <wp:posOffset>180975</wp:posOffset>
                </wp:positionV>
                <wp:extent cx="5581650" cy="6800850"/>
                <wp:effectExtent l="4445" t="4445" r="14605" b="14605"/>
                <wp:wrapSquare wrapText="bothSides"/>
                <wp:docPr id="217" name="文本框 217"/>
                <wp:cNvGraphicFramePr/>
                <a:graphic xmlns:a="http://schemas.openxmlformats.org/drawingml/2006/main">
                  <a:graphicData uri="http://schemas.microsoft.com/office/word/2010/wordprocessingShape">
                    <wps:wsp>
                      <wps:cNvSpPr txBox="1">
                        <a:spLocks noChangeArrowheads="1"/>
                      </wps:cNvSpPr>
                      <wps:spPr bwMode="auto">
                        <a:xfrm>
                          <a:off x="0" y="0"/>
                          <a:ext cx="5581650" cy="6800850"/>
                        </a:xfrm>
                        <a:prstGeom prst="rect">
                          <a:avLst/>
                        </a:prstGeom>
                        <a:solidFill>
                          <a:srgbClr val="FFFFFF"/>
                        </a:solidFill>
                        <a:ln w="9525">
                          <a:solidFill>
                            <a:srgbClr val="000000"/>
                          </a:solidFill>
                          <a:miter lim="800000"/>
                        </a:ln>
                      </wps:spPr>
                      <wps:txbx>
                        <w:txbxContent>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202</w:t>
                            </w:r>
                            <w:r>
                              <w:rPr>
                                <w:rFonts w:hint="eastAsia" w:ascii="新宋体" w:hAnsi="新宋体" w:eastAsia="新宋体" w:cs="新宋体"/>
                                <w:b/>
                                <w:w w:val="94"/>
                                <w:kern w:val="0"/>
                                <w:sz w:val="52"/>
                                <w:szCs w:val="52"/>
                                <w:lang w:val="en-US" w:eastAsia="zh-CN"/>
                              </w:rPr>
                              <w:t>4</w:t>
                            </w:r>
                            <w:r>
                              <w:rPr>
                                <w:rFonts w:hint="eastAsia" w:ascii="新宋体" w:hAnsi="新宋体" w:eastAsia="新宋体" w:cs="新宋体"/>
                                <w:b/>
                                <w:w w:val="94"/>
                                <w:kern w:val="0"/>
                                <w:sz w:val="52"/>
                                <w:szCs w:val="52"/>
                              </w:rPr>
                              <w:t>年上城区教育系统X</w:t>
                            </w:r>
                            <w:r>
                              <w:rPr>
                                <w:rFonts w:ascii="新宋体" w:hAnsi="新宋体" w:eastAsia="新宋体" w:cs="新宋体"/>
                                <w:b/>
                                <w:w w:val="94"/>
                                <w:kern w:val="0"/>
                                <w:sz w:val="52"/>
                                <w:szCs w:val="52"/>
                              </w:rPr>
                              <w:t>X</w:t>
                            </w:r>
                            <w:r>
                              <w:rPr>
                                <w:rFonts w:hint="eastAsia" w:ascii="新宋体" w:hAnsi="新宋体" w:eastAsia="新宋体" w:cs="新宋体"/>
                                <w:b/>
                                <w:w w:val="94"/>
                                <w:kern w:val="0"/>
                                <w:sz w:val="52"/>
                                <w:szCs w:val="52"/>
                              </w:rPr>
                              <w:t>设备项目</w:t>
                            </w:r>
                          </w:p>
                          <w:p>
                            <w:pPr>
                              <w:widowControl/>
                              <w:spacing w:line="360" w:lineRule="auto"/>
                              <w:jc w:val="center"/>
                              <w:rPr>
                                <w:rFonts w:ascii="新宋体" w:hAnsi="新宋体" w:eastAsia="新宋体" w:cs="新宋体"/>
                                <w:b/>
                                <w:w w:val="94"/>
                                <w:kern w:val="0"/>
                                <w:sz w:val="32"/>
                                <w:szCs w:val="32"/>
                              </w:rPr>
                            </w:pPr>
                            <w:r>
                              <w:rPr>
                                <w:rFonts w:hint="eastAsia" w:ascii="新宋体" w:hAnsi="新宋体" w:eastAsia="新宋体" w:cs="新宋体"/>
                                <w:b/>
                                <w:w w:val="94"/>
                                <w:kern w:val="0"/>
                                <w:sz w:val="32"/>
                                <w:szCs w:val="32"/>
                              </w:rPr>
                              <w:t>项目编号：</w:t>
                            </w:r>
                          </w:p>
                          <w:p>
                            <w:pPr>
                              <w:spacing w:line="560" w:lineRule="exact"/>
                              <w:jc w:val="center"/>
                              <w:rPr>
                                <w:rFonts w:ascii="楷体_GB2312" w:hAnsi="楷体_GB2312" w:eastAsia="楷体_GB2312" w:cs="楷体_GB2312"/>
                                <w:b/>
                                <w:bCs/>
                                <w:sz w:val="44"/>
                              </w:rPr>
                            </w:pP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竣</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工</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验</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收</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报</w:t>
                            </w:r>
                          </w:p>
                          <w:p>
                            <w:pPr>
                              <w:widowControl/>
                              <w:spacing w:line="360" w:lineRule="auto"/>
                              <w:jc w:val="center"/>
                              <w:rPr>
                                <w:rFonts w:ascii="楷体_GB2312" w:hAnsi="楷体_GB2312" w:eastAsia="楷体_GB2312" w:cs="楷体_GB2312"/>
                                <w:sz w:val="28"/>
                              </w:rPr>
                            </w:pPr>
                            <w:r>
                              <w:rPr>
                                <w:rFonts w:hint="eastAsia" w:ascii="新宋体" w:hAnsi="新宋体" w:eastAsia="新宋体" w:cs="新宋体"/>
                                <w:b/>
                                <w:w w:val="94"/>
                                <w:kern w:val="0"/>
                                <w:sz w:val="52"/>
                                <w:szCs w:val="52"/>
                              </w:rPr>
                              <w:t>告</w:t>
                            </w:r>
                          </w:p>
                          <w:p>
                            <w:pPr>
                              <w:spacing w:line="440" w:lineRule="exact"/>
                              <w:rPr>
                                <w:rFonts w:ascii="楷体_GB2312" w:hAnsi="楷体_GB2312" w:eastAsia="楷体_GB2312" w:cs="楷体_GB2312"/>
                                <w:sz w:val="28"/>
                              </w:rPr>
                            </w:pPr>
                          </w:p>
                          <w:p>
                            <w:pPr>
                              <w:spacing w:line="440" w:lineRule="exact"/>
                              <w:ind w:firstLine="840" w:firstLineChars="300"/>
                              <w:rPr>
                                <w:sz w:val="28"/>
                                <w:szCs w:val="28"/>
                              </w:rPr>
                            </w:pPr>
                            <w:r>
                              <w:rPr>
                                <w:rFonts w:hint="eastAsia"/>
                                <w:sz w:val="28"/>
                                <w:szCs w:val="28"/>
                              </w:rPr>
                              <w:t>供货单位名称：    （盖公章）</w:t>
                            </w:r>
                          </w:p>
                          <w:p>
                            <w:pPr>
                              <w:spacing w:line="440" w:lineRule="exact"/>
                              <w:ind w:firstLine="840" w:firstLineChars="300"/>
                              <w:rPr>
                                <w:sz w:val="28"/>
                                <w:szCs w:val="28"/>
                              </w:rPr>
                            </w:pPr>
                            <w:r>
                              <w:rPr>
                                <w:rFonts w:hint="eastAsia"/>
                                <w:sz w:val="28"/>
                                <w:szCs w:val="28"/>
                              </w:rPr>
                              <w:t xml:space="preserve">时间： </w:t>
                            </w:r>
                            <w:r>
                              <w:rPr>
                                <w:sz w:val="28"/>
                                <w:szCs w:val="28"/>
                              </w:rPr>
                              <w:t xml:space="preserve"> </w:t>
                            </w:r>
                            <w:r>
                              <w:rPr>
                                <w:rFonts w:hint="eastAsia"/>
                                <w:sz w:val="28"/>
                                <w:szCs w:val="28"/>
                              </w:rPr>
                              <w:t xml:space="preserve"> 年</w:t>
                            </w:r>
                            <w:r>
                              <w:rPr>
                                <w:sz w:val="28"/>
                                <w:szCs w:val="28"/>
                              </w:rPr>
                              <w:t xml:space="preserve">   </w:t>
                            </w:r>
                            <w:r>
                              <w:rPr>
                                <w:rFonts w:hint="eastAsia"/>
                                <w:sz w:val="28"/>
                                <w:szCs w:val="28"/>
                              </w:rPr>
                              <w:t xml:space="preserve">月 </w:t>
                            </w:r>
                            <w:r>
                              <w:rPr>
                                <w:sz w:val="28"/>
                                <w:szCs w:val="28"/>
                              </w:rPr>
                              <w:t xml:space="preserve"> </w:t>
                            </w:r>
                            <w:r>
                              <w:rPr>
                                <w:rFonts w:hint="eastAsia"/>
                                <w:sz w:val="28"/>
                                <w:szCs w:val="28"/>
                              </w:rPr>
                              <w:t xml:space="preserve"> 日</w:t>
                            </w:r>
                          </w:p>
                          <w:p>
                            <w:pPr>
                              <w:spacing w:line="440" w:lineRule="exact"/>
                              <w:rPr>
                                <w:sz w:val="28"/>
                                <w:szCs w:val="28"/>
                              </w:rPr>
                            </w:pPr>
                          </w:p>
                          <w:p/>
                        </w:txbxContent>
                      </wps:txbx>
                      <wps:bodyPr rot="0" vert="horz" wrap="square" lIns="91440" tIns="45720" rIns="91440" bIns="45720" anchor="t" anchorCtr="0">
                        <a:noAutofit/>
                      </wps:bodyPr>
                    </wps:wsp>
                  </a:graphicData>
                </a:graphic>
              </wp:anchor>
            </w:drawing>
          </mc:Choice>
          <mc:Fallback>
            <w:pict>
              <v:shape id="_x0000_s1026" o:spid="_x0000_s1026" o:spt="202" type="#_x0000_t202" style="position:absolute;left:0pt;margin-left:8.25pt;margin-top:14.25pt;height:535.5pt;width:439.5pt;mso-wrap-distance-bottom:3.6pt;mso-wrap-distance-left:9pt;mso-wrap-distance-right:9pt;mso-wrap-distance-top:3.6pt;z-index:251748352;mso-width-relative:page;mso-height-relative:page;" fillcolor="#FFFFFF" filled="t" stroked="t" coordsize="21600,21600" o:gfxdata="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CKlryNgAAAAKAQAADwAAAAAAAAABACAAAAAiAAAAZHJz&#10;L2Rvd25yZXYueG1sUEsBAhQAFAAAAAgAh07iQAeWzCo9AgAAgAQAAA4AAAAAAAAAAQAgAAAAJwEA&#10;AGRycy9lMm9Eb2MueG1sUEsFBgAAAAAGAAYAWQEAANYFAAAAAA==&#10;">
                <v:fill on="t" focussize="0,0"/>
                <v:stroke color="#000000" miterlimit="8" joinstyle="miter"/>
                <v:imagedata o:title=""/>
                <o:lock v:ext="edit" aspectratio="f"/>
                <v:textbox>
                  <w:txbxContent>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202</w:t>
                      </w:r>
                      <w:r>
                        <w:rPr>
                          <w:rFonts w:hint="eastAsia" w:ascii="新宋体" w:hAnsi="新宋体" w:eastAsia="新宋体" w:cs="新宋体"/>
                          <w:b/>
                          <w:w w:val="94"/>
                          <w:kern w:val="0"/>
                          <w:sz w:val="52"/>
                          <w:szCs w:val="52"/>
                          <w:lang w:val="en-US" w:eastAsia="zh-CN"/>
                        </w:rPr>
                        <w:t>4</w:t>
                      </w:r>
                      <w:r>
                        <w:rPr>
                          <w:rFonts w:hint="eastAsia" w:ascii="新宋体" w:hAnsi="新宋体" w:eastAsia="新宋体" w:cs="新宋体"/>
                          <w:b/>
                          <w:w w:val="94"/>
                          <w:kern w:val="0"/>
                          <w:sz w:val="52"/>
                          <w:szCs w:val="52"/>
                        </w:rPr>
                        <w:t>年上城区教育系统X</w:t>
                      </w:r>
                      <w:r>
                        <w:rPr>
                          <w:rFonts w:ascii="新宋体" w:hAnsi="新宋体" w:eastAsia="新宋体" w:cs="新宋体"/>
                          <w:b/>
                          <w:w w:val="94"/>
                          <w:kern w:val="0"/>
                          <w:sz w:val="52"/>
                          <w:szCs w:val="52"/>
                        </w:rPr>
                        <w:t>X</w:t>
                      </w:r>
                      <w:r>
                        <w:rPr>
                          <w:rFonts w:hint="eastAsia" w:ascii="新宋体" w:hAnsi="新宋体" w:eastAsia="新宋体" w:cs="新宋体"/>
                          <w:b/>
                          <w:w w:val="94"/>
                          <w:kern w:val="0"/>
                          <w:sz w:val="52"/>
                          <w:szCs w:val="52"/>
                        </w:rPr>
                        <w:t>设备项目</w:t>
                      </w:r>
                    </w:p>
                    <w:p>
                      <w:pPr>
                        <w:widowControl/>
                        <w:spacing w:line="360" w:lineRule="auto"/>
                        <w:jc w:val="center"/>
                        <w:rPr>
                          <w:rFonts w:ascii="新宋体" w:hAnsi="新宋体" w:eastAsia="新宋体" w:cs="新宋体"/>
                          <w:b/>
                          <w:w w:val="94"/>
                          <w:kern w:val="0"/>
                          <w:sz w:val="32"/>
                          <w:szCs w:val="32"/>
                        </w:rPr>
                      </w:pPr>
                      <w:r>
                        <w:rPr>
                          <w:rFonts w:hint="eastAsia" w:ascii="新宋体" w:hAnsi="新宋体" w:eastAsia="新宋体" w:cs="新宋体"/>
                          <w:b/>
                          <w:w w:val="94"/>
                          <w:kern w:val="0"/>
                          <w:sz w:val="32"/>
                          <w:szCs w:val="32"/>
                        </w:rPr>
                        <w:t>项目编号：</w:t>
                      </w:r>
                    </w:p>
                    <w:p>
                      <w:pPr>
                        <w:spacing w:line="560" w:lineRule="exact"/>
                        <w:jc w:val="center"/>
                        <w:rPr>
                          <w:rFonts w:ascii="楷体_GB2312" w:hAnsi="楷体_GB2312" w:eastAsia="楷体_GB2312" w:cs="楷体_GB2312"/>
                          <w:b/>
                          <w:bCs/>
                          <w:sz w:val="44"/>
                        </w:rPr>
                      </w:pP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竣</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工</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验</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收</w:t>
                      </w:r>
                    </w:p>
                    <w:p>
                      <w:pPr>
                        <w:widowControl/>
                        <w:spacing w:line="360" w:lineRule="auto"/>
                        <w:jc w:val="center"/>
                        <w:rPr>
                          <w:rFonts w:ascii="新宋体" w:hAnsi="新宋体" w:eastAsia="新宋体" w:cs="新宋体"/>
                          <w:b/>
                          <w:w w:val="94"/>
                          <w:kern w:val="0"/>
                          <w:sz w:val="52"/>
                          <w:szCs w:val="52"/>
                        </w:rPr>
                      </w:pPr>
                      <w:r>
                        <w:rPr>
                          <w:rFonts w:hint="eastAsia" w:ascii="新宋体" w:hAnsi="新宋体" w:eastAsia="新宋体" w:cs="新宋体"/>
                          <w:b/>
                          <w:w w:val="94"/>
                          <w:kern w:val="0"/>
                          <w:sz w:val="52"/>
                          <w:szCs w:val="52"/>
                        </w:rPr>
                        <w:t>报</w:t>
                      </w:r>
                    </w:p>
                    <w:p>
                      <w:pPr>
                        <w:widowControl/>
                        <w:spacing w:line="360" w:lineRule="auto"/>
                        <w:jc w:val="center"/>
                        <w:rPr>
                          <w:rFonts w:ascii="楷体_GB2312" w:hAnsi="楷体_GB2312" w:eastAsia="楷体_GB2312" w:cs="楷体_GB2312"/>
                          <w:sz w:val="28"/>
                        </w:rPr>
                      </w:pPr>
                      <w:r>
                        <w:rPr>
                          <w:rFonts w:hint="eastAsia" w:ascii="新宋体" w:hAnsi="新宋体" w:eastAsia="新宋体" w:cs="新宋体"/>
                          <w:b/>
                          <w:w w:val="94"/>
                          <w:kern w:val="0"/>
                          <w:sz w:val="52"/>
                          <w:szCs w:val="52"/>
                        </w:rPr>
                        <w:t>告</w:t>
                      </w:r>
                    </w:p>
                    <w:p>
                      <w:pPr>
                        <w:spacing w:line="440" w:lineRule="exact"/>
                        <w:rPr>
                          <w:rFonts w:ascii="楷体_GB2312" w:hAnsi="楷体_GB2312" w:eastAsia="楷体_GB2312" w:cs="楷体_GB2312"/>
                          <w:sz w:val="28"/>
                        </w:rPr>
                      </w:pPr>
                    </w:p>
                    <w:p>
                      <w:pPr>
                        <w:spacing w:line="440" w:lineRule="exact"/>
                        <w:ind w:firstLine="840" w:firstLineChars="300"/>
                        <w:rPr>
                          <w:sz w:val="28"/>
                          <w:szCs w:val="28"/>
                        </w:rPr>
                      </w:pPr>
                      <w:r>
                        <w:rPr>
                          <w:rFonts w:hint="eastAsia"/>
                          <w:sz w:val="28"/>
                          <w:szCs w:val="28"/>
                        </w:rPr>
                        <w:t>供货单位名称：    （盖公章）</w:t>
                      </w:r>
                    </w:p>
                    <w:p>
                      <w:pPr>
                        <w:spacing w:line="440" w:lineRule="exact"/>
                        <w:ind w:firstLine="840" w:firstLineChars="300"/>
                        <w:rPr>
                          <w:sz w:val="28"/>
                          <w:szCs w:val="28"/>
                        </w:rPr>
                      </w:pPr>
                      <w:r>
                        <w:rPr>
                          <w:rFonts w:hint="eastAsia"/>
                          <w:sz w:val="28"/>
                          <w:szCs w:val="28"/>
                        </w:rPr>
                        <w:t xml:space="preserve">时间： </w:t>
                      </w:r>
                      <w:r>
                        <w:rPr>
                          <w:sz w:val="28"/>
                          <w:szCs w:val="28"/>
                        </w:rPr>
                        <w:t xml:space="preserve"> </w:t>
                      </w:r>
                      <w:r>
                        <w:rPr>
                          <w:rFonts w:hint="eastAsia"/>
                          <w:sz w:val="28"/>
                          <w:szCs w:val="28"/>
                        </w:rPr>
                        <w:t xml:space="preserve"> 年</w:t>
                      </w:r>
                      <w:r>
                        <w:rPr>
                          <w:sz w:val="28"/>
                          <w:szCs w:val="28"/>
                        </w:rPr>
                        <w:t xml:space="preserve">   </w:t>
                      </w:r>
                      <w:r>
                        <w:rPr>
                          <w:rFonts w:hint="eastAsia"/>
                          <w:sz w:val="28"/>
                          <w:szCs w:val="28"/>
                        </w:rPr>
                        <w:t xml:space="preserve">月 </w:t>
                      </w:r>
                      <w:r>
                        <w:rPr>
                          <w:sz w:val="28"/>
                          <w:szCs w:val="28"/>
                        </w:rPr>
                        <w:t xml:space="preserve"> </w:t>
                      </w:r>
                      <w:r>
                        <w:rPr>
                          <w:rFonts w:hint="eastAsia"/>
                          <w:sz w:val="28"/>
                          <w:szCs w:val="28"/>
                        </w:rPr>
                        <w:t xml:space="preserve"> 日</w:t>
                      </w:r>
                    </w:p>
                    <w:p>
                      <w:pPr>
                        <w:spacing w:line="440" w:lineRule="exact"/>
                        <w:rPr>
                          <w:sz w:val="28"/>
                          <w:szCs w:val="28"/>
                        </w:rPr>
                      </w:pPr>
                    </w:p>
                    <w:p/>
                  </w:txbxContent>
                </v:textbox>
                <w10:wrap type="square"/>
              </v:shape>
            </w:pict>
          </mc:Fallback>
        </mc:AlternateContent>
      </w:r>
    </w:p>
    <w:p>
      <w:pPr>
        <w:pStyle w:val="5"/>
        <w:rPr>
          <w:color w:val="auto"/>
          <w:highlight w:val="none"/>
        </w:rPr>
      </w:pPr>
    </w:p>
    <w:p>
      <w:pPr>
        <w:pStyle w:val="5"/>
        <w:jc w:val="center"/>
        <w:rPr>
          <w:rFonts w:ascii="宋体" w:hAnsi="宋体"/>
          <w:color w:val="auto"/>
          <w:szCs w:val="24"/>
          <w:highlight w:val="none"/>
        </w:rPr>
      </w:pPr>
      <w:r>
        <w:rPr>
          <w:color w:val="auto"/>
          <w:highlight w:val="none"/>
        </w:rPr>
        <w:br w:type="page"/>
      </w:r>
    </w:p>
    <w:p>
      <w:pPr>
        <w:jc w:val="center"/>
        <w:rPr>
          <w:b/>
          <w:color w:val="auto"/>
          <w:sz w:val="36"/>
          <w:szCs w:val="36"/>
          <w:highlight w:val="none"/>
        </w:rPr>
      </w:pPr>
      <w:r>
        <w:rPr>
          <w:rFonts w:hint="eastAsia"/>
          <w:b/>
          <w:color w:val="auto"/>
          <w:sz w:val="36"/>
          <w:szCs w:val="36"/>
          <w:highlight w:val="none"/>
        </w:rPr>
        <w:t>杭州市上城区学校货物验收回复单</w:t>
      </w:r>
    </w:p>
    <w:p>
      <w:pPr>
        <w:jc w:val="left"/>
        <w:rPr>
          <w:b/>
          <w:color w:val="auto"/>
          <w:sz w:val="24"/>
          <w:highlight w:val="none"/>
        </w:rPr>
      </w:pPr>
    </w:p>
    <w:p>
      <w:pPr>
        <w:jc w:val="left"/>
        <w:rPr>
          <w:b/>
          <w:color w:val="auto"/>
          <w:sz w:val="24"/>
          <w:highlight w:val="none"/>
        </w:rPr>
      </w:pPr>
      <w:r>
        <w:rPr>
          <w:rFonts w:hint="eastAsia"/>
          <w:b/>
          <w:color w:val="auto"/>
          <w:sz w:val="24"/>
          <w:highlight w:val="none"/>
        </w:rPr>
        <w:t>上城区财政采购预算号：</w:t>
      </w:r>
    </w:p>
    <w:p>
      <w:pPr>
        <w:jc w:val="left"/>
        <w:rPr>
          <w:b/>
          <w:color w:val="auto"/>
          <w:sz w:val="24"/>
          <w:highlight w:val="none"/>
        </w:rPr>
      </w:pPr>
      <w:r>
        <w:rPr>
          <w:rFonts w:hint="eastAsia"/>
          <w:b/>
          <w:color w:val="auto"/>
          <w:sz w:val="24"/>
          <w:highlight w:val="none"/>
        </w:rPr>
        <w:t>采购计划文号：上城政采集-202</w:t>
      </w:r>
      <w:r>
        <w:rPr>
          <w:rFonts w:hint="eastAsia"/>
          <w:b/>
          <w:color w:val="auto"/>
          <w:sz w:val="24"/>
          <w:highlight w:val="none"/>
          <w:lang w:val="en-US" w:eastAsia="zh-CN"/>
        </w:rPr>
        <w:t>4</w:t>
      </w:r>
      <w:r>
        <w:rPr>
          <w:rFonts w:hint="eastAsia"/>
          <w:b/>
          <w:color w:val="auto"/>
          <w:sz w:val="24"/>
          <w:highlight w:val="none"/>
        </w:rPr>
        <w:t>-0000{SCZFCG-YS-202</w:t>
      </w:r>
      <w:r>
        <w:rPr>
          <w:rFonts w:hint="eastAsia"/>
          <w:b/>
          <w:color w:val="auto"/>
          <w:sz w:val="24"/>
          <w:highlight w:val="none"/>
          <w:lang w:val="en-US" w:eastAsia="zh-CN"/>
        </w:rPr>
        <w:t>4</w:t>
      </w:r>
      <w:r>
        <w:rPr>
          <w:rFonts w:hint="eastAsia"/>
          <w:b/>
          <w:color w:val="auto"/>
          <w:sz w:val="24"/>
          <w:highlight w:val="none"/>
        </w:rPr>
        <w:t>-000}</w:t>
      </w:r>
    </w:p>
    <w:p>
      <w:pPr>
        <w:jc w:val="left"/>
        <w:rPr>
          <w:b/>
          <w:color w:val="auto"/>
          <w:sz w:val="24"/>
          <w:highlight w:val="none"/>
        </w:rPr>
      </w:pPr>
    </w:p>
    <w:p>
      <w:pPr>
        <w:jc w:val="left"/>
        <w:rPr>
          <w:b/>
          <w:color w:val="auto"/>
          <w:sz w:val="24"/>
          <w:highlight w:val="none"/>
        </w:rPr>
      </w:pPr>
      <w:r>
        <w:rPr>
          <w:rFonts w:hint="eastAsia"/>
          <w:b/>
          <w:color w:val="auto"/>
          <w:sz w:val="24"/>
          <w:highlight w:val="none"/>
        </w:rPr>
        <w:t>一、采购单位信息</w:t>
      </w:r>
    </w:p>
    <w:tbl>
      <w:tblPr>
        <w:tblStyle w:val="62"/>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1592"/>
        <w:gridCol w:w="952"/>
        <w:gridCol w:w="1553"/>
        <w:gridCol w:w="1273"/>
        <w:gridCol w:w="1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9" w:type="dxa"/>
            <w:vAlign w:val="center"/>
          </w:tcPr>
          <w:p>
            <w:pPr>
              <w:jc w:val="center"/>
              <w:rPr>
                <w:color w:val="auto"/>
                <w:sz w:val="24"/>
                <w:highlight w:val="none"/>
              </w:rPr>
            </w:pPr>
            <w:r>
              <w:rPr>
                <w:rFonts w:hint="eastAsia"/>
                <w:color w:val="auto"/>
                <w:sz w:val="24"/>
                <w:highlight w:val="none"/>
              </w:rPr>
              <w:t>单位名称</w:t>
            </w:r>
          </w:p>
        </w:tc>
        <w:tc>
          <w:tcPr>
            <w:tcW w:w="1592" w:type="dxa"/>
            <w:vAlign w:val="center"/>
          </w:tcPr>
          <w:p>
            <w:pPr>
              <w:jc w:val="center"/>
              <w:rPr>
                <w:color w:val="auto"/>
                <w:sz w:val="24"/>
                <w:highlight w:val="none"/>
              </w:rPr>
            </w:pPr>
          </w:p>
        </w:tc>
        <w:tc>
          <w:tcPr>
            <w:tcW w:w="952" w:type="dxa"/>
            <w:vAlign w:val="center"/>
          </w:tcPr>
          <w:p>
            <w:pPr>
              <w:jc w:val="center"/>
              <w:rPr>
                <w:color w:val="auto"/>
                <w:sz w:val="24"/>
                <w:highlight w:val="none"/>
              </w:rPr>
            </w:pPr>
            <w:r>
              <w:rPr>
                <w:rFonts w:hint="eastAsia"/>
                <w:color w:val="auto"/>
                <w:sz w:val="24"/>
                <w:highlight w:val="none"/>
              </w:rPr>
              <w:t>联系人</w:t>
            </w:r>
          </w:p>
        </w:tc>
        <w:tc>
          <w:tcPr>
            <w:tcW w:w="1553" w:type="dxa"/>
            <w:vAlign w:val="center"/>
          </w:tcPr>
          <w:p>
            <w:pPr>
              <w:jc w:val="center"/>
              <w:rPr>
                <w:color w:val="auto"/>
                <w:sz w:val="24"/>
                <w:highlight w:val="none"/>
              </w:rPr>
            </w:pPr>
          </w:p>
        </w:tc>
        <w:tc>
          <w:tcPr>
            <w:tcW w:w="1273" w:type="dxa"/>
            <w:vAlign w:val="center"/>
          </w:tcPr>
          <w:p>
            <w:pPr>
              <w:jc w:val="center"/>
              <w:rPr>
                <w:color w:val="auto"/>
                <w:sz w:val="24"/>
                <w:highlight w:val="none"/>
              </w:rPr>
            </w:pPr>
            <w:r>
              <w:rPr>
                <w:rFonts w:hint="eastAsia"/>
                <w:color w:val="auto"/>
                <w:sz w:val="24"/>
                <w:highlight w:val="none"/>
              </w:rPr>
              <w:t>联系电话</w:t>
            </w:r>
          </w:p>
        </w:tc>
        <w:tc>
          <w:tcPr>
            <w:tcW w:w="1886" w:type="dxa"/>
            <w:vAlign w:val="center"/>
          </w:tcPr>
          <w:p>
            <w:pPr>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5" w:type="dxa"/>
            <w:gridSpan w:val="6"/>
          </w:tcPr>
          <w:p>
            <w:pPr>
              <w:jc w:val="left"/>
              <w:rPr>
                <w:color w:val="auto"/>
                <w:sz w:val="24"/>
                <w:highlight w:val="none"/>
              </w:rPr>
            </w:pPr>
            <w:r>
              <w:rPr>
                <w:rFonts w:hint="eastAsia"/>
                <w:color w:val="auto"/>
                <w:sz w:val="24"/>
                <w:highlight w:val="none"/>
              </w:rPr>
              <w:t>收货地址：</w:t>
            </w:r>
          </w:p>
        </w:tc>
      </w:tr>
    </w:tbl>
    <w:p>
      <w:pPr>
        <w:jc w:val="left"/>
        <w:rPr>
          <w:b/>
          <w:color w:val="auto"/>
          <w:szCs w:val="21"/>
          <w:highlight w:val="none"/>
        </w:rPr>
      </w:pPr>
      <w:r>
        <w:rPr>
          <w:rFonts w:hint="eastAsia"/>
          <w:b/>
          <w:color w:val="auto"/>
          <w:szCs w:val="21"/>
          <w:highlight w:val="none"/>
        </w:rPr>
        <w:t>二、供货商信息</w:t>
      </w:r>
    </w:p>
    <w:tbl>
      <w:tblPr>
        <w:tblStyle w:val="62"/>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1592"/>
        <w:gridCol w:w="952"/>
        <w:gridCol w:w="1553"/>
        <w:gridCol w:w="1273"/>
        <w:gridCol w:w="1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9" w:type="dxa"/>
            <w:vAlign w:val="center"/>
          </w:tcPr>
          <w:p>
            <w:pPr>
              <w:jc w:val="center"/>
              <w:rPr>
                <w:color w:val="auto"/>
                <w:sz w:val="24"/>
                <w:highlight w:val="none"/>
              </w:rPr>
            </w:pPr>
            <w:r>
              <w:rPr>
                <w:rFonts w:hint="eastAsia"/>
                <w:color w:val="auto"/>
                <w:sz w:val="24"/>
                <w:highlight w:val="none"/>
              </w:rPr>
              <w:t>单位名称</w:t>
            </w:r>
          </w:p>
        </w:tc>
        <w:tc>
          <w:tcPr>
            <w:tcW w:w="1592" w:type="dxa"/>
            <w:vAlign w:val="center"/>
          </w:tcPr>
          <w:p>
            <w:pPr>
              <w:jc w:val="center"/>
              <w:rPr>
                <w:color w:val="auto"/>
                <w:sz w:val="24"/>
                <w:highlight w:val="none"/>
              </w:rPr>
            </w:pPr>
          </w:p>
        </w:tc>
        <w:tc>
          <w:tcPr>
            <w:tcW w:w="952" w:type="dxa"/>
            <w:vAlign w:val="center"/>
          </w:tcPr>
          <w:p>
            <w:pPr>
              <w:jc w:val="center"/>
              <w:rPr>
                <w:color w:val="auto"/>
                <w:sz w:val="24"/>
                <w:highlight w:val="none"/>
              </w:rPr>
            </w:pPr>
            <w:r>
              <w:rPr>
                <w:rFonts w:hint="eastAsia"/>
                <w:color w:val="auto"/>
                <w:sz w:val="24"/>
                <w:highlight w:val="none"/>
              </w:rPr>
              <w:t>联系人</w:t>
            </w:r>
          </w:p>
        </w:tc>
        <w:tc>
          <w:tcPr>
            <w:tcW w:w="1553" w:type="dxa"/>
            <w:vAlign w:val="center"/>
          </w:tcPr>
          <w:p>
            <w:pPr>
              <w:jc w:val="center"/>
              <w:rPr>
                <w:color w:val="auto"/>
                <w:sz w:val="24"/>
                <w:highlight w:val="none"/>
              </w:rPr>
            </w:pPr>
          </w:p>
        </w:tc>
        <w:tc>
          <w:tcPr>
            <w:tcW w:w="1273" w:type="dxa"/>
            <w:vAlign w:val="center"/>
          </w:tcPr>
          <w:p>
            <w:pPr>
              <w:jc w:val="center"/>
              <w:rPr>
                <w:color w:val="auto"/>
                <w:sz w:val="24"/>
                <w:highlight w:val="none"/>
              </w:rPr>
            </w:pPr>
            <w:r>
              <w:rPr>
                <w:rFonts w:hint="eastAsia"/>
                <w:color w:val="auto"/>
                <w:sz w:val="24"/>
                <w:highlight w:val="none"/>
              </w:rPr>
              <w:t>联系电话</w:t>
            </w:r>
          </w:p>
        </w:tc>
        <w:tc>
          <w:tcPr>
            <w:tcW w:w="1886" w:type="dxa"/>
            <w:vAlign w:val="center"/>
          </w:tcPr>
          <w:p>
            <w:pPr>
              <w:jc w:val="center"/>
              <w:rPr>
                <w:color w:val="auto"/>
                <w:sz w:val="24"/>
                <w:highlight w:val="none"/>
              </w:rPr>
            </w:pPr>
          </w:p>
        </w:tc>
      </w:tr>
    </w:tbl>
    <w:p>
      <w:pPr>
        <w:jc w:val="left"/>
        <w:rPr>
          <w:b/>
          <w:color w:val="auto"/>
          <w:szCs w:val="21"/>
          <w:highlight w:val="none"/>
        </w:rPr>
      </w:pPr>
      <w:r>
        <w:rPr>
          <w:rFonts w:hint="eastAsia"/>
          <w:b/>
          <w:color w:val="auto"/>
          <w:szCs w:val="21"/>
          <w:highlight w:val="none"/>
        </w:rPr>
        <w:t>三、货物信息</w:t>
      </w:r>
    </w:p>
    <w:tbl>
      <w:tblPr>
        <w:tblStyle w:val="62"/>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1318"/>
        <w:gridCol w:w="1225"/>
        <w:gridCol w:w="989"/>
        <w:gridCol w:w="986"/>
        <w:gridCol w:w="1067"/>
        <w:gridCol w:w="1067"/>
        <w:gridCol w:w="10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vAlign w:val="center"/>
          </w:tcPr>
          <w:p>
            <w:pPr>
              <w:jc w:val="center"/>
              <w:rPr>
                <w:color w:val="auto"/>
                <w:sz w:val="24"/>
                <w:highlight w:val="none"/>
              </w:rPr>
            </w:pPr>
            <w:r>
              <w:rPr>
                <w:rFonts w:hint="eastAsia"/>
                <w:color w:val="auto"/>
                <w:sz w:val="24"/>
                <w:highlight w:val="none"/>
              </w:rPr>
              <w:t>序号</w:t>
            </w:r>
          </w:p>
        </w:tc>
        <w:tc>
          <w:tcPr>
            <w:tcW w:w="1318" w:type="dxa"/>
            <w:vAlign w:val="center"/>
          </w:tcPr>
          <w:p>
            <w:pPr>
              <w:jc w:val="center"/>
              <w:rPr>
                <w:color w:val="auto"/>
                <w:sz w:val="24"/>
                <w:highlight w:val="none"/>
              </w:rPr>
            </w:pPr>
            <w:r>
              <w:rPr>
                <w:rFonts w:hint="eastAsia"/>
                <w:color w:val="auto"/>
                <w:sz w:val="24"/>
                <w:highlight w:val="none"/>
              </w:rPr>
              <w:t>货物名称</w:t>
            </w:r>
          </w:p>
        </w:tc>
        <w:tc>
          <w:tcPr>
            <w:tcW w:w="1225" w:type="dxa"/>
            <w:vAlign w:val="center"/>
          </w:tcPr>
          <w:p>
            <w:pPr>
              <w:jc w:val="center"/>
              <w:rPr>
                <w:color w:val="auto"/>
                <w:sz w:val="24"/>
                <w:highlight w:val="none"/>
              </w:rPr>
            </w:pPr>
            <w:r>
              <w:rPr>
                <w:rFonts w:hint="eastAsia"/>
                <w:color w:val="auto"/>
                <w:sz w:val="24"/>
                <w:highlight w:val="none"/>
              </w:rPr>
              <w:t>型号规格</w:t>
            </w:r>
          </w:p>
        </w:tc>
        <w:tc>
          <w:tcPr>
            <w:tcW w:w="989" w:type="dxa"/>
            <w:vAlign w:val="center"/>
          </w:tcPr>
          <w:p>
            <w:pPr>
              <w:jc w:val="center"/>
              <w:rPr>
                <w:color w:val="auto"/>
                <w:sz w:val="24"/>
                <w:highlight w:val="none"/>
              </w:rPr>
            </w:pPr>
            <w:r>
              <w:rPr>
                <w:rFonts w:hint="eastAsia"/>
                <w:color w:val="auto"/>
                <w:sz w:val="24"/>
                <w:highlight w:val="none"/>
              </w:rPr>
              <w:t>制造商</w:t>
            </w:r>
          </w:p>
        </w:tc>
        <w:tc>
          <w:tcPr>
            <w:tcW w:w="986" w:type="dxa"/>
            <w:vAlign w:val="center"/>
          </w:tcPr>
          <w:p>
            <w:pPr>
              <w:jc w:val="center"/>
              <w:rPr>
                <w:color w:val="auto"/>
                <w:sz w:val="24"/>
                <w:highlight w:val="none"/>
              </w:rPr>
            </w:pPr>
            <w:r>
              <w:rPr>
                <w:rFonts w:hint="eastAsia"/>
                <w:color w:val="auto"/>
                <w:sz w:val="24"/>
                <w:highlight w:val="none"/>
              </w:rPr>
              <w:t>原产地</w:t>
            </w:r>
          </w:p>
        </w:tc>
        <w:tc>
          <w:tcPr>
            <w:tcW w:w="1067" w:type="dxa"/>
            <w:vAlign w:val="center"/>
          </w:tcPr>
          <w:p>
            <w:pPr>
              <w:jc w:val="center"/>
              <w:rPr>
                <w:color w:val="auto"/>
                <w:sz w:val="24"/>
                <w:highlight w:val="none"/>
              </w:rPr>
            </w:pPr>
            <w:r>
              <w:rPr>
                <w:rFonts w:hint="eastAsia"/>
                <w:color w:val="auto"/>
                <w:sz w:val="24"/>
                <w:highlight w:val="none"/>
              </w:rPr>
              <w:t>数量</w:t>
            </w:r>
          </w:p>
        </w:tc>
        <w:tc>
          <w:tcPr>
            <w:tcW w:w="1067" w:type="dxa"/>
            <w:vAlign w:val="center"/>
          </w:tcPr>
          <w:p>
            <w:pPr>
              <w:jc w:val="center"/>
              <w:rPr>
                <w:color w:val="auto"/>
                <w:sz w:val="24"/>
                <w:highlight w:val="none"/>
              </w:rPr>
            </w:pPr>
            <w:r>
              <w:rPr>
                <w:rFonts w:hint="eastAsia"/>
                <w:color w:val="auto"/>
                <w:sz w:val="24"/>
                <w:highlight w:val="none"/>
              </w:rPr>
              <w:t>单位</w:t>
            </w:r>
          </w:p>
        </w:tc>
        <w:tc>
          <w:tcPr>
            <w:tcW w:w="1029" w:type="dxa"/>
            <w:vAlign w:val="center"/>
          </w:tcPr>
          <w:p>
            <w:pPr>
              <w:jc w:val="center"/>
              <w:rPr>
                <w:color w:val="auto"/>
                <w:sz w:val="24"/>
                <w:highlight w:val="none"/>
              </w:rPr>
            </w:pPr>
            <w:r>
              <w:rPr>
                <w:rFonts w:hint="eastAsia"/>
                <w:color w:val="auto"/>
                <w:sz w:val="24"/>
                <w:highlight w:val="none"/>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vAlign w:val="center"/>
          </w:tcPr>
          <w:p>
            <w:pPr>
              <w:jc w:val="center"/>
              <w:rPr>
                <w:color w:val="auto"/>
                <w:sz w:val="24"/>
                <w:highlight w:val="none"/>
              </w:rPr>
            </w:pPr>
            <w:r>
              <w:rPr>
                <w:rFonts w:hint="eastAsia"/>
                <w:color w:val="auto"/>
                <w:sz w:val="24"/>
                <w:highlight w:val="none"/>
              </w:rPr>
              <w:t>1</w:t>
            </w:r>
          </w:p>
        </w:tc>
        <w:tc>
          <w:tcPr>
            <w:tcW w:w="1318" w:type="dxa"/>
            <w:vAlign w:val="center"/>
          </w:tcPr>
          <w:p>
            <w:pPr>
              <w:jc w:val="center"/>
              <w:rPr>
                <w:color w:val="auto"/>
                <w:sz w:val="24"/>
                <w:highlight w:val="none"/>
              </w:rPr>
            </w:pPr>
          </w:p>
        </w:tc>
        <w:tc>
          <w:tcPr>
            <w:tcW w:w="1225" w:type="dxa"/>
            <w:vAlign w:val="center"/>
          </w:tcPr>
          <w:p>
            <w:pPr>
              <w:jc w:val="center"/>
              <w:rPr>
                <w:color w:val="auto"/>
                <w:sz w:val="24"/>
                <w:highlight w:val="none"/>
              </w:rPr>
            </w:pPr>
          </w:p>
        </w:tc>
        <w:tc>
          <w:tcPr>
            <w:tcW w:w="989" w:type="dxa"/>
            <w:vAlign w:val="center"/>
          </w:tcPr>
          <w:p>
            <w:pPr>
              <w:jc w:val="center"/>
              <w:rPr>
                <w:color w:val="auto"/>
                <w:sz w:val="24"/>
                <w:highlight w:val="none"/>
              </w:rPr>
            </w:pPr>
          </w:p>
        </w:tc>
        <w:tc>
          <w:tcPr>
            <w:tcW w:w="986" w:type="dxa"/>
            <w:vAlign w:val="center"/>
          </w:tcPr>
          <w:p>
            <w:pPr>
              <w:jc w:val="center"/>
              <w:rPr>
                <w:color w:val="auto"/>
                <w:sz w:val="24"/>
                <w:highlight w:val="none"/>
              </w:rPr>
            </w:pPr>
          </w:p>
        </w:tc>
        <w:tc>
          <w:tcPr>
            <w:tcW w:w="1067" w:type="dxa"/>
            <w:vAlign w:val="center"/>
          </w:tcPr>
          <w:p>
            <w:pPr>
              <w:jc w:val="center"/>
              <w:rPr>
                <w:color w:val="auto"/>
                <w:sz w:val="24"/>
                <w:highlight w:val="none"/>
              </w:rPr>
            </w:pPr>
          </w:p>
        </w:tc>
        <w:tc>
          <w:tcPr>
            <w:tcW w:w="1067" w:type="dxa"/>
            <w:vAlign w:val="center"/>
          </w:tcPr>
          <w:p>
            <w:pPr>
              <w:jc w:val="center"/>
              <w:rPr>
                <w:color w:val="auto"/>
                <w:sz w:val="24"/>
                <w:highlight w:val="none"/>
              </w:rPr>
            </w:pPr>
          </w:p>
        </w:tc>
        <w:tc>
          <w:tcPr>
            <w:tcW w:w="1029" w:type="dxa"/>
            <w:vAlign w:val="center"/>
          </w:tcPr>
          <w:p>
            <w:pPr>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dxa"/>
            <w:vAlign w:val="center"/>
          </w:tcPr>
          <w:p>
            <w:pPr>
              <w:jc w:val="center"/>
              <w:rPr>
                <w:color w:val="auto"/>
                <w:sz w:val="24"/>
                <w:highlight w:val="none"/>
              </w:rPr>
            </w:pPr>
            <w:r>
              <w:rPr>
                <w:rFonts w:hint="eastAsia"/>
                <w:color w:val="auto"/>
                <w:sz w:val="24"/>
                <w:highlight w:val="none"/>
              </w:rPr>
              <w:t>2</w:t>
            </w:r>
          </w:p>
        </w:tc>
        <w:tc>
          <w:tcPr>
            <w:tcW w:w="1318" w:type="dxa"/>
            <w:vAlign w:val="center"/>
          </w:tcPr>
          <w:p>
            <w:pPr>
              <w:jc w:val="center"/>
              <w:rPr>
                <w:color w:val="auto"/>
                <w:sz w:val="24"/>
                <w:highlight w:val="none"/>
              </w:rPr>
            </w:pPr>
          </w:p>
        </w:tc>
        <w:tc>
          <w:tcPr>
            <w:tcW w:w="1225" w:type="dxa"/>
            <w:vAlign w:val="center"/>
          </w:tcPr>
          <w:p>
            <w:pPr>
              <w:jc w:val="center"/>
              <w:rPr>
                <w:color w:val="auto"/>
                <w:sz w:val="24"/>
                <w:highlight w:val="none"/>
              </w:rPr>
            </w:pPr>
          </w:p>
        </w:tc>
        <w:tc>
          <w:tcPr>
            <w:tcW w:w="989" w:type="dxa"/>
            <w:vAlign w:val="center"/>
          </w:tcPr>
          <w:p>
            <w:pPr>
              <w:jc w:val="center"/>
              <w:rPr>
                <w:color w:val="auto"/>
                <w:sz w:val="24"/>
                <w:highlight w:val="none"/>
              </w:rPr>
            </w:pPr>
          </w:p>
        </w:tc>
        <w:tc>
          <w:tcPr>
            <w:tcW w:w="986" w:type="dxa"/>
            <w:vAlign w:val="center"/>
          </w:tcPr>
          <w:p>
            <w:pPr>
              <w:jc w:val="center"/>
              <w:rPr>
                <w:color w:val="auto"/>
                <w:sz w:val="24"/>
                <w:highlight w:val="none"/>
              </w:rPr>
            </w:pPr>
          </w:p>
        </w:tc>
        <w:tc>
          <w:tcPr>
            <w:tcW w:w="1067" w:type="dxa"/>
            <w:vAlign w:val="center"/>
          </w:tcPr>
          <w:p>
            <w:pPr>
              <w:jc w:val="center"/>
              <w:rPr>
                <w:color w:val="auto"/>
                <w:sz w:val="24"/>
                <w:highlight w:val="none"/>
              </w:rPr>
            </w:pPr>
          </w:p>
        </w:tc>
        <w:tc>
          <w:tcPr>
            <w:tcW w:w="1067" w:type="dxa"/>
            <w:vAlign w:val="center"/>
          </w:tcPr>
          <w:p>
            <w:pPr>
              <w:jc w:val="center"/>
              <w:rPr>
                <w:color w:val="auto"/>
                <w:sz w:val="24"/>
                <w:highlight w:val="none"/>
              </w:rPr>
            </w:pPr>
          </w:p>
        </w:tc>
        <w:tc>
          <w:tcPr>
            <w:tcW w:w="1029" w:type="dxa"/>
            <w:vAlign w:val="center"/>
          </w:tcPr>
          <w:p>
            <w:pPr>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5" w:type="dxa"/>
            <w:gridSpan w:val="8"/>
            <w:vAlign w:val="center"/>
          </w:tcPr>
          <w:p>
            <w:pPr>
              <w:rPr>
                <w:color w:val="auto"/>
                <w:sz w:val="24"/>
                <w:highlight w:val="none"/>
              </w:rPr>
            </w:pPr>
            <w:r>
              <w:rPr>
                <w:rFonts w:hint="eastAsia"/>
                <w:color w:val="auto"/>
                <w:sz w:val="24"/>
                <w:highlight w:val="none"/>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95" w:type="dxa"/>
            <w:gridSpan w:val="8"/>
            <w:vAlign w:val="center"/>
          </w:tcPr>
          <w:p>
            <w:pPr>
              <w:rPr>
                <w:color w:val="auto"/>
                <w:sz w:val="24"/>
                <w:highlight w:val="none"/>
              </w:rPr>
            </w:pPr>
            <w:r>
              <w:rPr>
                <w:rFonts w:hint="eastAsia"/>
                <w:color w:val="auto"/>
                <w:sz w:val="24"/>
                <w:highlight w:val="none"/>
              </w:rPr>
              <w:t>合计人民币（大写）：</w:t>
            </w:r>
          </w:p>
        </w:tc>
      </w:tr>
    </w:tbl>
    <w:p>
      <w:pPr>
        <w:jc w:val="left"/>
        <w:rPr>
          <w:b/>
          <w:color w:val="auto"/>
          <w:szCs w:val="21"/>
          <w:highlight w:val="none"/>
        </w:rPr>
      </w:pPr>
      <w:r>
        <w:rPr>
          <w:rFonts w:hint="eastAsia"/>
          <w:b/>
          <w:color w:val="auto"/>
          <w:szCs w:val="21"/>
          <w:highlight w:val="none"/>
        </w:rPr>
        <w:t>四、验收信息</w:t>
      </w:r>
    </w:p>
    <w:tbl>
      <w:tblPr>
        <w:tblStyle w:val="62"/>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72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9" w:type="dxa"/>
            <w:vAlign w:val="center"/>
          </w:tcPr>
          <w:p>
            <w:pPr>
              <w:jc w:val="center"/>
              <w:rPr>
                <w:color w:val="auto"/>
                <w:sz w:val="24"/>
                <w:highlight w:val="none"/>
              </w:rPr>
            </w:pPr>
            <w:r>
              <w:rPr>
                <w:rFonts w:hint="eastAsia"/>
                <w:color w:val="auto"/>
                <w:sz w:val="24"/>
                <w:highlight w:val="none"/>
              </w:rPr>
              <w:t>验收情况</w:t>
            </w:r>
          </w:p>
        </w:tc>
        <w:tc>
          <w:tcPr>
            <w:tcW w:w="7256" w:type="dxa"/>
          </w:tcPr>
          <w:p>
            <w:pPr>
              <w:jc w:val="left"/>
              <w:rPr>
                <w:color w:val="auto"/>
                <w:sz w:val="24"/>
                <w:highlight w:val="none"/>
              </w:rPr>
            </w:pPr>
            <w:r>
              <w:rPr>
                <w:rFonts w:hint="eastAsia"/>
                <w:color w:val="auto"/>
                <w:sz w:val="24"/>
                <w:highlight w:val="none"/>
              </w:rPr>
              <w:t>1.收到货物数量预订单数量是否一致？             是</w:t>
            </w:r>
            <w:r>
              <w:rPr>
                <w:rFonts w:hint="eastAsia" w:ascii="宋体" w:hAnsi="宋体"/>
                <w:color w:val="auto"/>
                <w:sz w:val="24"/>
                <w:highlight w:val="none"/>
              </w:rPr>
              <w:t>□</w:t>
            </w:r>
            <w:r>
              <w:rPr>
                <w:rFonts w:hint="eastAsia"/>
                <w:color w:val="auto"/>
                <w:sz w:val="24"/>
                <w:highlight w:val="none"/>
              </w:rPr>
              <w:t xml:space="preserve">   否□</w:t>
            </w:r>
          </w:p>
          <w:p>
            <w:pPr>
              <w:jc w:val="left"/>
              <w:rPr>
                <w:color w:val="auto"/>
                <w:sz w:val="24"/>
                <w:highlight w:val="none"/>
              </w:rPr>
            </w:pPr>
            <w:r>
              <w:rPr>
                <w:rFonts w:hint="eastAsia"/>
                <w:color w:val="auto"/>
                <w:sz w:val="24"/>
                <w:highlight w:val="none"/>
              </w:rPr>
              <w:t>2.内外包装是否完好？                           是□   否□</w:t>
            </w:r>
          </w:p>
          <w:p>
            <w:pPr>
              <w:jc w:val="left"/>
              <w:rPr>
                <w:color w:val="auto"/>
                <w:sz w:val="24"/>
                <w:highlight w:val="none"/>
              </w:rPr>
            </w:pPr>
            <w:r>
              <w:rPr>
                <w:rFonts w:hint="eastAsia"/>
                <w:color w:val="auto"/>
                <w:sz w:val="24"/>
                <w:highlight w:val="none"/>
              </w:rPr>
              <w:t>3.配置是否正确？                               是□   否□</w:t>
            </w:r>
          </w:p>
          <w:p>
            <w:pPr>
              <w:jc w:val="left"/>
              <w:rPr>
                <w:color w:val="auto"/>
                <w:sz w:val="24"/>
                <w:highlight w:val="none"/>
              </w:rPr>
            </w:pPr>
            <w:r>
              <w:rPr>
                <w:rFonts w:hint="eastAsia"/>
                <w:color w:val="auto"/>
                <w:sz w:val="24"/>
                <w:highlight w:val="none"/>
              </w:rPr>
              <w:t>4.箱内货物及配件与装箱清单数量是否一致？       是□   否□</w:t>
            </w:r>
          </w:p>
          <w:p>
            <w:pPr>
              <w:jc w:val="left"/>
              <w:rPr>
                <w:color w:val="auto"/>
                <w:sz w:val="24"/>
                <w:highlight w:val="none"/>
              </w:rPr>
            </w:pPr>
            <w:r>
              <w:rPr>
                <w:rFonts w:hint="eastAsia"/>
                <w:color w:val="auto"/>
                <w:sz w:val="24"/>
                <w:highlight w:val="none"/>
              </w:rPr>
              <w:t>5.品牌、型号是否正确？                         是□   否□</w:t>
            </w:r>
          </w:p>
          <w:p>
            <w:pPr>
              <w:jc w:val="left"/>
              <w:rPr>
                <w:color w:val="auto"/>
                <w:sz w:val="24"/>
                <w:highlight w:val="none"/>
              </w:rPr>
            </w:pPr>
            <w:r>
              <w:rPr>
                <w:rFonts w:hint="eastAsia"/>
                <w:color w:val="auto"/>
                <w:sz w:val="24"/>
                <w:highlight w:val="none"/>
              </w:rPr>
              <w:t>6.安装调试是否正常？                           是□   否□</w:t>
            </w:r>
          </w:p>
          <w:p>
            <w:pPr>
              <w:jc w:val="left"/>
              <w:rPr>
                <w:color w:val="auto"/>
                <w:sz w:val="24"/>
                <w:highlight w:val="none"/>
              </w:rPr>
            </w:pPr>
            <w:r>
              <w:rPr>
                <w:rFonts w:hint="eastAsia"/>
                <w:color w:val="auto"/>
                <w:sz w:val="24"/>
                <w:highlight w:val="none"/>
              </w:rPr>
              <w:t>7.是否有保修卡？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239" w:type="dxa"/>
            <w:vAlign w:val="center"/>
          </w:tcPr>
          <w:p>
            <w:pPr>
              <w:jc w:val="center"/>
              <w:rPr>
                <w:color w:val="auto"/>
                <w:sz w:val="24"/>
                <w:highlight w:val="none"/>
              </w:rPr>
            </w:pPr>
            <w:r>
              <w:rPr>
                <w:rFonts w:hint="eastAsia"/>
                <w:color w:val="auto"/>
                <w:sz w:val="24"/>
                <w:highlight w:val="none"/>
              </w:rPr>
              <w:t>验收意见</w:t>
            </w:r>
          </w:p>
        </w:tc>
        <w:tc>
          <w:tcPr>
            <w:tcW w:w="7256" w:type="dxa"/>
          </w:tcPr>
          <w:p>
            <w:pPr>
              <w:jc w:val="left"/>
              <w:rPr>
                <w:color w:val="auto"/>
                <w:sz w:val="24"/>
                <w:highlight w:val="none"/>
              </w:rPr>
            </w:pPr>
          </w:p>
          <w:p>
            <w:pPr>
              <w:jc w:val="left"/>
              <w:rPr>
                <w:color w:val="auto"/>
                <w:sz w:val="24"/>
                <w:highlight w:val="none"/>
              </w:rPr>
            </w:pPr>
          </w:p>
          <w:p>
            <w:pPr>
              <w:jc w:val="left"/>
              <w:rPr>
                <w:color w:val="auto"/>
                <w:sz w:val="24"/>
                <w:highlight w:val="none"/>
              </w:rPr>
            </w:pPr>
          </w:p>
          <w:p>
            <w:pPr>
              <w:jc w:val="left"/>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95" w:type="dxa"/>
            <w:gridSpan w:val="2"/>
            <w:vAlign w:val="center"/>
          </w:tcPr>
          <w:p>
            <w:pPr>
              <w:rPr>
                <w:color w:val="auto"/>
                <w:sz w:val="24"/>
                <w:highlight w:val="none"/>
              </w:rPr>
            </w:pPr>
            <w:r>
              <w:rPr>
                <w:rFonts w:hint="eastAsia"/>
                <w:color w:val="auto"/>
                <w:sz w:val="24"/>
                <w:highlight w:val="none"/>
              </w:rPr>
              <w:t>验收人1：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495" w:type="dxa"/>
            <w:gridSpan w:val="2"/>
            <w:vAlign w:val="center"/>
          </w:tcPr>
          <w:p>
            <w:pPr>
              <w:rPr>
                <w:color w:val="auto"/>
                <w:sz w:val="24"/>
                <w:highlight w:val="none"/>
              </w:rPr>
            </w:pPr>
            <w:r>
              <w:rPr>
                <w:rFonts w:hint="eastAsia"/>
                <w:color w:val="auto"/>
                <w:sz w:val="24"/>
                <w:highlight w:val="none"/>
              </w:rPr>
              <w:t>验收人2：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8495" w:type="dxa"/>
            <w:gridSpan w:val="2"/>
            <w:vAlign w:val="center"/>
          </w:tcPr>
          <w:p>
            <w:pPr>
              <w:rPr>
                <w:color w:val="auto"/>
                <w:sz w:val="24"/>
                <w:highlight w:val="none"/>
              </w:rPr>
            </w:pPr>
            <w:r>
              <w:rPr>
                <w:rFonts w:hint="eastAsia"/>
                <w:color w:val="auto"/>
                <w:sz w:val="24"/>
                <w:highlight w:val="none"/>
              </w:rPr>
              <w:t>验收人3：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495" w:type="dxa"/>
            <w:gridSpan w:val="2"/>
            <w:vAlign w:val="center"/>
          </w:tcPr>
          <w:p>
            <w:pPr>
              <w:rPr>
                <w:color w:val="auto"/>
                <w:sz w:val="24"/>
                <w:highlight w:val="none"/>
              </w:rPr>
            </w:pPr>
            <w:r>
              <w:rPr>
                <w:rFonts w:hint="eastAsia"/>
                <w:color w:val="auto"/>
                <w:sz w:val="24"/>
                <w:highlight w:val="none"/>
              </w:rPr>
              <w:t>验收时间：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8495" w:type="dxa"/>
            <w:gridSpan w:val="2"/>
            <w:vAlign w:val="center"/>
          </w:tcPr>
          <w:p>
            <w:pPr>
              <w:rPr>
                <w:color w:val="auto"/>
                <w:sz w:val="24"/>
                <w:highlight w:val="none"/>
              </w:rPr>
            </w:pPr>
            <w:r>
              <w:rPr>
                <w:rFonts w:hint="eastAsia"/>
                <w:color w:val="auto"/>
                <w:sz w:val="24"/>
                <w:highlight w:val="none"/>
              </w:rPr>
              <w:t>验收单位盖章：</w:t>
            </w:r>
          </w:p>
        </w:tc>
      </w:tr>
    </w:tbl>
    <w:p>
      <w:pPr>
        <w:jc w:val="left"/>
        <w:rPr>
          <w:color w:val="auto"/>
          <w:highlight w:val="none"/>
        </w:rPr>
      </w:pPr>
    </w:p>
    <w:p>
      <w:pPr>
        <w:ind w:left="-2" w:leftChars="0" w:firstLine="0" w:firstLineChars="0"/>
        <w:rPr>
          <w:rFonts w:ascii="宋体" w:hAnsi="宋体"/>
          <w:b/>
          <w:color w:val="auto"/>
          <w:sz w:val="24"/>
          <w:szCs w:val="32"/>
          <w:highlight w:val="none"/>
        </w:rPr>
      </w:pPr>
      <w:r>
        <w:rPr>
          <w:rFonts w:hint="eastAsia" w:ascii="宋体" w:hAnsi="宋体"/>
          <w:b/>
          <w:color w:val="auto"/>
          <w:sz w:val="24"/>
          <w:szCs w:val="28"/>
          <w:highlight w:val="none"/>
        </w:rPr>
        <w:t>注：本单由供应商打印填写，安装调试完毕后，由用户单位查对后签字盖章。本单一式二份，一份由供应商在发票盖章时交区教育发展服务中心，一份由用户单位留存。</w:t>
      </w:r>
      <w:r>
        <w:rPr>
          <w:rFonts w:ascii="宋体" w:hAnsi="宋体"/>
          <w:b/>
          <w:color w:val="auto"/>
          <w:sz w:val="24"/>
          <w:szCs w:val="32"/>
          <w:highlight w:val="none"/>
        </w:rPr>
        <w:t xml:space="preserve"> </w:t>
      </w:r>
    </w:p>
    <w:p>
      <w:pPr>
        <w:jc w:val="left"/>
        <w:rPr>
          <w:color w:val="auto"/>
          <w:highlight w:val="none"/>
        </w:rPr>
      </w:pPr>
    </w:p>
    <w:p>
      <w:pPr>
        <w:pStyle w:val="5"/>
        <w:rPr>
          <w:color w:val="auto"/>
          <w:highlight w:val="none"/>
        </w:rPr>
      </w:pPr>
    </w:p>
    <w:p>
      <w:pPr>
        <w:rPr>
          <w:color w:val="auto"/>
          <w:highlight w:val="none"/>
        </w:rPr>
      </w:pPr>
    </w:p>
    <w:p>
      <w:pPr>
        <w:jc w:val="center"/>
        <w:rPr>
          <w:rFonts w:ascii="仿宋_GB2312" w:eastAsia="仿宋_GB2312"/>
          <w:color w:val="auto"/>
          <w:sz w:val="30"/>
          <w:szCs w:val="30"/>
          <w:highlight w:val="none"/>
        </w:rPr>
      </w:pPr>
    </w:p>
    <w:tbl>
      <w:tblPr>
        <w:tblStyle w:val="62"/>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2339"/>
        <w:gridCol w:w="1360"/>
        <w:gridCol w:w="3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8" w:type="dxa"/>
            <w:gridSpan w:val="4"/>
          </w:tcPr>
          <w:p>
            <w:pPr>
              <w:spacing w:line="360" w:lineRule="auto"/>
              <w:jc w:val="center"/>
              <w:rPr>
                <w:rFonts w:ascii="宋体" w:hAnsi="宋体"/>
                <w:color w:val="auto"/>
                <w:sz w:val="24"/>
                <w:highlight w:val="none"/>
              </w:rPr>
            </w:pPr>
            <w:r>
              <w:rPr>
                <w:rFonts w:hint="eastAsia"/>
                <w:b/>
                <w:bCs/>
                <w:color w:val="auto"/>
                <w:sz w:val="28"/>
                <w:highlight w:val="none"/>
              </w:rPr>
              <w:t>上城</w:t>
            </w:r>
            <w:r>
              <w:rPr>
                <w:b/>
                <w:bCs/>
                <w:color w:val="auto"/>
                <w:sz w:val="28"/>
                <w:highlight w:val="none"/>
              </w:rPr>
              <w:t>区教育系统</w:t>
            </w:r>
            <w:r>
              <w:rPr>
                <w:rFonts w:hint="eastAsia"/>
                <w:b/>
                <w:bCs/>
                <w:color w:val="auto"/>
                <w:sz w:val="28"/>
                <w:highlight w:val="none"/>
              </w:rPr>
              <w:t>政府采购XX项目终</w:t>
            </w:r>
            <w:r>
              <w:rPr>
                <w:b/>
                <w:bCs/>
                <w:color w:val="auto"/>
                <w:sz w:val="28"/>
                <w:highlight w:val="none"/>
              </w:rPr>
              <w:t>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7" w:type="dxa"/>
          </w:tcPr>
          <w:p>
            <w:pPr>
              <w:spacing w:line="360" w:lineRule="auto"/>
              <w:jc w:val="center"/>
              <w:rPr>
                <w:rFonts w:ascii="宋体" w:hAnsi="宋体"/>
                <w:b/>
                <w:color w:val="auto"/>
                <w:sz w:val="24"/>
                <w:highlight w:val="none"/>
              </w:rPr>
            </w:pPr>
            <w:r>
              <w:rPr>
                <w:rFonts w:hint="eastAsia" w:ascii="宋体" w:hAnsi="宋体"/>
                <w:b/>
                <w:color w:val="auto"/>
                <w:sz w:val="24"/>
                <w:highlight w:val="none"/>
              </w:rPr>
              <w:t>项目名称</w:t>
            </w:r>
          </w:p>
        </w:tc>
        <w:tc>
          <w:tcPr>
            <w:tcW w:w="7021" w:type="dxa"/>
            <w:gridSpan w:val="3"/>
          </w:tcPr>
          <w:p>
            <w:pPr>
              <w:spacing w:line="360" w:lineRule="auto"/>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7" w:type="dxa"/>
            <w:vAlign w:val="center"/>
          </w:tcPr>
          <w:p>
            <w:pPr>
              <w:spacing w:line="360" w:lineRule="auto"/>
              <w:jc w:val="center"/>
              <w:rPr>
                <w:rFonts w:ascii="宋体" w:hAnsi="宋体"/>
                <w:b/>
                <w:color w:val="auto"/>
                <w:sz w:val="24"/>
                <w:highlight w:val="none"/>
              </w:rPr>
            </w:pPr>
            <w:r>
              <w:rPr>
                <w:rFonts w:hint="eastAsia" w:ascii="宋体" w:hAnsi="宋体"/>
                <w:b/>
                <w:color w:val="auto"/>
                <w:sz w:val="24"/>
                <w:highlight w:val="none"/>
              </w:rPr>
              <w:t>采购单位</w:t>
            </w:r>
          </w:p>
        </w:tc>
        <w:tc>
          <w:tcPr>
            <w:tcW w:w="2339" w:type="dxa"/>
            <w:vAlign w:val="center"/>
          </w:tcPr>
          <w:p>
            <w:pPr>
              <w:spacing w:line="360" w:lineRule="auto"/>
              <w:jc w:val="left"/>
              <w:rPr>
                <w:rFonts w:ascii="宋体" w:hAnsi="宋体"/>
                <w:color w:val="auto"/>
                <w:sz w:val="24"/>
                <w:highlight w:val="none"/>
              </w:rPr>
            </w:pPr>
            <w:bookmarkStart w:id="34" w:name="OLE_LINK2"/>
            <w:r>
              <w:rPr>
                <w:rFonts w:hint="eastAsia" w:ascii="宋体" w:hAnsi="宋体"/>
                <w:color w:val="auto"/>
                <w:sz w:val="24"/>
                <w:highlight w:val="none"/>
              </w:rPr>
              <w:t>杭州</w:t>
            </w:r>
            <w:bookmarkEnd w:id="34"/>
            <w:r>
              <w:rPr>
                <w:rFonts w:hint="eastAsia" w:ascii="宋体" w:hAnsi="宋体"/>
                <w:color w:val="auto"/>
                <w:sz w:val="24"/>
                <w:highlight w:val="none"/>
              </w:rPr>
              <w:t>市上城区教育发展服务中</w:t>
            </w:r>
            <w:r>
              <w:rPr>
                <w:rFonts w:ascii="宋体" w:hAnsi="宋体"/>
                <w:color w:val="auto"/>
                <w:sz w:val="24"/>
                <w:highlight w:val="none"/>
              </w:rPr>
              <w:t>心</w:t>
            </w:r>
          </w:p>
        </w:tc>
        <w:tc>
          <w:tcPr>
            <w:tcW w:w="1360" w:type="dxa"/>
            <w:vAlign w:val="center"/>
          </w:tcPr>
          <w:p>
            <w:pPr>
              <w:spacing w:line="360" w:lineRule="auto"/>
              <w:rPr>
                <w:rFonts w:ascii="宋体" w:hAnsi="宋体"/>
                <w:b/>
                <w:color w:val="auto"/>
                <w:sz w:val="24"/>
                <w:highlight w:val="none"/>
              </w:rPr>
            </w:pPr>
            <w:r>
              <w:rPr>
                <w:rFonts w:hint="eastAsia" w:ascii="宋体" w:hAnsi="宋体"/>
                <w:b/>
                <w:color w:val="auto"/>
                <w:sz w:val="24"/>
                <w:highlight w:val="none"/>
              </w:rPr>
              <w:t>中标单位</w:t>
            </w:r>
          </w:p>
        </w:tc>
        <w:tc>
          <w:tcPr>
            <w:tcW w:w="3322" w:type="dxa"/>
            <w:vAlign w:val="center"/>
          </w:tcPr>
          <w:p>
            <w:pPr>
              <w:spacing w:line="360" w:lineRule="auto"/>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3" w:hRule="atLeast"/>
        </w:trPr>
        <w:tc>
          <w:tcPr>
            <w:tcW w:w="1547" w:type="dxa"/>
            <w:vAlign w:val="center"/>
          </w:tcPr>
          <w:p>
            <w:pPr>
              <w:spacing w:line="360" w:lineRule="auto"/>
              <w:jc w:val="center"/>
              <w:rPr>
                <w:rFonts w:ascii="宋体" w:hAnsi="宋体"/>
                <w:b/>
                <w:color w:val="auto"/>
                <w:sz w:val="24"/>
                <w:highlight w:val="none"/>
              </w:rPr>
            </w:pPr>
            <w:r>
              <w:rPr>
                <w:rFonts w:hint="eastAsia" w:ascii="宋体" w:hAnsi="宋体"/>
                <w:b/>
                <w:color w:val="auto"/>
                <w:sz w:val="24"/>
                <w:highlight w:val="none"/>
              </w:rPr>
              <w:t>申</w:t>
            </w:r>
          </w:p>
          <w:p>
            <w:pPr>
              <w:spacing w:line="360" w:lineRule="auto"/>
              <w:jc w:val="center"/>
              <w:rPr>
                <w:rFonts w:ascii="宋体" w:hAnsi="宋体"/>
                <w:b/>
                <w:color w:val="auto"/>
                <w:sz w:val="24"/>
                <w:highlight w:val="none"/>
              </w:rPr>
            </w:pPr>
            <w:r>
              <w:rPr>
                <w:rFonts w:hint="eastAsia" w:ascii="宋体" w:hAnsi="宋体"/>
                <w:b/>
                <w:color w:val="auto"/>
                <w:sz w:val="24"/>
                <w:highlight w:val="none"/>
              </w:rPr>
              <w:t>请</w:t>
            </w:r>
          </w:p>
          <w:p>
            <w:pPr>
              <w:spacing w:line="360" w:lineRule="auto"/>
              <w:jc w:val="center"/>
              <w:rPr>
                <w:rFonts w:ascii="宋体" w:hAnsi="宋体"/>
                <w:b/>
                <w:color w:val="auto"/>
                <w:sz w:val="24"/>
                <w:highlight w:val="none"/>
              </w:rPr>
            </w:pPr>
            <w:r>
              <w:rPr>
                <w:rFonts w:hint="eastAsia" w:ascii="宋体" w:hAnsi="宋体"/>
                <w:b/>
                <w:color w:val="auto"/>
                <w:sz w:val="24"/>
                <w:highlight w:val="none"/>
              </w:rPr>
              <w:t>内</w:t>
            </w:r>
          </w:p>
          <w:p>
            <w:pPr>
              <w:spacing w:line="360" w:lineRule="auto"/>
              <w:jc w:val="center"/>
              <w:rPr>
                <w:rFonts w:ascii="宋体" w:hAnsi="宋体"/>
                <w:color w:val="auto"/>
                <w:sz w:val="24"/>
                <w:highlight w:val="none"/>
              </w:rPr>
            </w:pPr>
            <w:r>
              <w:rPr>
                <w:rFonts w:hint="eastAsia" w:ascii="宋体" w:hAnsi="宋体"/>
                <w:b/>
                <w:color w:val="auto"/>
                <w:sz w:val="24"/>
                <w:highlight w:val="none"/>
              </w:rPr>
              <w:t>容</w:t>
            </w:r>
          </w:p>
        </w:tc>
        <w:tc>
          <w:tcPr>
            <w:tcW w:w="7021" w:type="dxa"/>
            <w:gridSpan w:val="3"/>
          </w:tcPr>
          <w:p>
            <w:pPr>
              <w:spacing w:line="360" w:lineRule="auto"/>
              <w:rPr>
                <w:rFonts w:ascii="宋体" w:hAnsi="宋体"/>
                <w:color w:val="auto"/>
                <w:sz w:val="24"/>
                <w:highlight w:val="none"/>
              </w:rPr>
            </w:pPr>
            <w:r>
              <w:rPr>
                <w:rFonts w:hint="eastAsia" w:ascii="宋体" w:hAnsi="宋体"/>
                <w:color w:val="auto"/>
                <w:sz w:val="24"/>
                <w:highlight w:val="none"/>
              </w:rPr>
              <w:t>杭州市上城区教育发展服务中</w:t>
            </w:r>
            <w:r>
              <w:rPr>
                <w:rFonts w:ascii="宋体" w:hAnsi="宋体"/>
                <w:color w:val="auto"/>
                <w:sz w:val="24"/>
                <w:highlight w:val="none"/>
              </w:rPr>
              <w:t>心</w:t>
            </w:r>
            <w:r>
              <w:rPr>
                <w:rFonts w:hint="eastAsia" w:ascii="宋体" w:hAnsi="宋体"/>
                <w:color w:val="auto"/>
                <w:sz w:val="24"/>
                <w:highlight w:val="none"/>
              </w:rPr>
              <w:t>：</w:t>
            </w:r>
          </w:p>
          <w:p>
            <w:pPr>
              <w:spacing w:line="360" w:lineRule="auto"/>
              <w:ind w:firstLine="576" w:firstLineChars="240"/>
              <w:rPr>
                <w:rFonts w:ascii="宋体" w:hAnsi="宋体"/>
                <w:color w:val="auto"/>
                <w:sz w:val="24"/>
                <w:highlight w:val="none"/>
              </w:rPr>
            </w:pPr>
            <w:r>
              <w:rPr>
                <w:rFonts w:hint="eastAsia" w:ascii="宋体" w:hAnsi="宋体"/>
                <w:color w:val="auto"/>
                <w:sz w:val="24"/>
                <w:highlight w:val="none"/>
              </w:rPr>
              <w:t>由我方中</w:t>
            </w:r>
            <w:r>
              <w:rPr>
                <w:rFonts w:ascii="宋体" w:hAnsi="宋体"/>
                <w:color w:val="auto"/>
                <w:sz w:val="24"/>
                <w:highlight w:val="none"/>
              </w:rPr>
              <w:t>标</w:t>
            </w:r>
            <w:r>
              <w:rPr>
                <w:rFonts w:hint="eastAsia" w:ascii="宋体" w:hAnsi="宋体"/>
                <w:color w:val="auto"/>
                <w:sz w:val="24"/>
                <w:highlight w:val="none"/>
              </w:rPr>
              <w:t>承建的“X</w:t>
            </w:r>
            <w:r>
              <w:rPr>
                <w:rFonts w:ascii="宋体" w:hAnsi="宋体"/>
                <w:color w:val="auto"/>
                <w:sz w:val="24"/>
                <w:highlight w:val="none"/>
              </w:rPr>
              <w:t>XX</w:t>
            </w:r>
            <w:r>
              <w:rPr>
                <w:rFonts w:hint="eastAsia" w:ascii="宋体" w:hAnsi="宋体"/>
                <w:color w:val="auto"/>
                <w:sz w:val="24"/>
                <w:highlight w:val="none"/>
              </w:rPr>
              <w:t>项目（SCZFCG20</w:t>
            </w:r>
            <w:r>
              <w:rPr>
                <w:rFonts w:ascii="宋体" w:hAnsi="宋体"/>
                <w:color w:val="auto"/>
                <w:sz w:val="24"/>
                <w:highlight w:val="none"/>
              </w:rPr>
              <w:t>2</w:t>
            </w:r>
            <w:r>
              <w:rPr>
                <w:rFonts w:hint="eastAsia" w:ascii="宋体" w:hAnsi="宋体"/>
                <w:color w:val="auto"/>
                <w:sz w:val="24"/>
                <w:highlight w:val="none"/>
                <w:lang w:val="en-US" w:eastAsia="zh-CN"/>
              </w:rPr>
              <w:t>4</w:t>
            </w:r>
            <w:r>
              <w:rPr>
                <w:rFonts w:hint="eastAsia" w:ascii="宋体" w:hAnsi="宋体"/>
                <w:color w:val="auto"/>
                <w:sz w:val="24"/>
                <w:highlight w:val="none"/>
              </w:rPr>
              <w:t>-GK-</w:t>
            </w:r>
            <w:r>
              <w:rPr>
                <w:rFonts w:ascii="宋体" w:hAnsi="宋体"/>
                <w:color w:val="auto"/>
                <w:sz w:val="24"/>
                <w:highlight w:val="none"/>
              </w:rPr>
              <w:t>XX</w:t>
            </w:r>
            <w:r>
              <w:rPr>
                <w:rFonts w:hint="eastAsia" w:ascii="宋体" w:hAnsi="宋体"/>
                <w:color w:val="auto"/>
                <w:sz w:val="24"/>
                <w:highlight w:val="none"/>
              </w:rPr>
              <w:t>）”已完成设备供</w:t>
            </w:r>
            <w:r>
              <w:rPr>
                <w:rFonts w:ascii="宋体" w:hAnsi="宋体"/>
                <w:color w:val="auto"/>
                <w:sz w:val="24"/>
                <w:highlight w:val="none"/>
              </w:rPr>
              <w:t>货、安装调试与培训等工作，并经学校初验合格</w:t>
            </w:r>
            <w:r>
              <w:rPr>
                <w:rFonts w:hint="eastAsia" w:ascii="宋体" w:hAnsi="宋体"/>
                <w:color w:val="auto"/>
                <w:sz w:val="24"/>
                <w:highlight w:val="none"/>
              </w:rPr>
              <w:t>。</w:t>
            </w:r>
          </w:p>
          <w:p>
            <w:pPr>
              <w:spacing w:line="360" w:lineRule="auto"/>
              <w:ind w:firstLine="576" w:firstLineChars="240"/>
              <w:rPr>
                <w:rFonts w:ascii="宋体" w:hAnsi="宋体"/>
                <w:color w:val="auto"/>
                <w:sz w:val="24"/>
                <w:highlight w:val="none"/>
              </w:rPr>
            </w:pPr>
            <w:r>
              <w:rPr>
                <w:rFonts w:hint="eastAsia" w:ascii="宋体" w:hAnsi="宋体"/>
                <w:color w:val="auto"/>
                <w:sz w:val="24"/>
                <w:highlight w:val="none"/>
              </w:rPr>
              <w:t>现根据合同要求和项目计划，申请项目竣工验收。</w:t>
            </w: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r>
              <w:rPr>
                <w:rFonts w:hint="eastAsia" w:ascii="宋体" w:hAnsi="宋体"/>
                <w:color w:val="auto"/>
                <w:sz w:val="24"/>
                <w:highlight w:val="none"/>
              </w:rPr>
              <w:t>中标单位（盖章）：</w:t>
            </w:r>
          </w:p>
          <w:p>
            <w:pPr>
              <w:spacing w:line="360" w:lineRule="auto"/>
              <w:rPr>
                <w:rFonts w:ascii="宋体" w:hAnsi="宋体"/>
                <w:color w:val="auto"/>
                <w:sz w:val="24"/>
                <w:highlight w:val="none"/>
              </w:rPr>
            </w:pPr>
            <w:r>
              <w:rPr>
                <w:rFonts w:hint="eastAsia" w:ascii="宋体" w:hAnsi="宋体"/>
                <w:color w:val="auto"/>
                <w:sz w:val="24"/>
                <w:highlight w:val="none"/>
              </w:rPr>
              <w:t>项目经理（签字）：</w:t>
            </w:r>
          </w:p>
          <w:p>
            <w:pPr>
              <w:spacing w:line="360" w:lineRule="auto"/>
              <w:rPr>
                <w:rFonts w:ascii="宋体" w:hAnsi="宋体"/>
                <w:color w:val="auto"/>
                <w:sz w:val="24"/>
                <w:highlight w:val="none"/>
              </w:rPr>
            </w:pPr>
            <w:r>
              <w:rPr>
                <w:rFonts w:hint="eastAsia" w:ascii="宋体" w:hAnsi="宋体"/>
                <w:color w:val="auto"/>
                <w:sz w:val="24"/>
                <w:highlight w:val="none"/>
              </w:rPr>
              <w:t>申请</w:t>
            </w:r>
            <w:r>
              <w:rPr>
                <w:rFonts w:ascii="宋体" w:hAnsi="宋体"/>
                <w:color w:val="auto"/>
                <w:sz w:val="24"/>
                <w:highlight w:val="none"/>
              </w:rPr>
              <w:t xml:space="preserve">日期：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5" w:hRule="atLeast"/>
        </w:trPr>
        <w:tc>
          <w:tcPr>
            <w:tcW w:w="1547" w:type="dxa"/>
            <w:vAlign w:val="center"/>
          </w:tcPr>
          <w:p>
            <w:pPr>
              <w:spacing w:line="360" w:lineRule="auto"/>
              <w:jc w:val="center"/>
              <w:rPr>
                <w:rFonts w:ascii="宋体" w:hAnsi="宋体"/>
                <w:b/>
                <w:color w:val="auto"/>
                <w:sz w:val="24"/>
                <w:highlight w:val="none"/>
              </w:rPr>
            </w:pPr>
            <w:r>
              <w:rPr>
                <w:rFonts w:hint="eastAsia" w:ascii="宋体" w:hAnsi="宋体"/>
                <w:b/>
                <w:color w:val="auto"/>
                <w:sz w:val="24"/>
                <w:highlight w:val="none"/>
              </w:rPr>
              <w:t>采</w:t>
            </w:r>
            <w:r>
              <w:rPr>
                <w:rFonts w:ascii="宋体" w:hAnsi="宋体"/>
                <w:b/>
                <w:color w:val="auto"/>
                <w:sz w:val="24"/>
                <w:highlight w:val="none"/>
              </w:rPr>
              <w:t>购</w:t>
            </w:r>
          </w:p>
          <w:p>
            <w:pPr>
              <w:spacing w:line="360" w:lineRule="auto"/>
              <w:jc w:val="center"/>
              <w:rPr>
                <w:rFonts w:ascii="宋体" w:hAnsi="宋体"/>
                <w:b/>
                <w:color w:val="auto"/>
                <w:sz w:val="24"/>
                <w:highlight w:val="none"/>
              </w:rPr>
            </w:pPr>
            <w:r>
              <w:rPr>
                <w:rFonts w:hint="eastAsia" w:ascii="宋体" w:hAnsi="宋体"/>
                <w:b/>
                <w:color w:val="auto"/>
                <w:sz w:val="24"/>
                <w:highlight w:val="none"/>
              </w:rPr>
              <w:t>单位</w:t>
            </w:r>
          </w:p>
          <w:p>
            <w:pPr>
              <w:spacing w:line="360" w:lineRule="auto"/>
              <w:jc w:val="center"/>
              <w:rPr>
                <w:rFonts w:ascii="宋体" w:hAnsi="宋体"/>
                <w:color w:val="auto"/>
                <w:sz w:val="24"/>
                <w:highlight w:val="none"/>
              </w:rPr>
            </w:pPr>
            <w:r>
              <w:rPr>
                <w:rFonts w:hint="eastAsia" w:ascii="宋体" w:hAnsi="宋体"/>
                <w:b/>
                <w:color w:val="auto"/>
                <w:sz w:val="24"/>
                <w:highlight w:val="none"/>
              </w:rPr>
              <w:t>意见</w:t>
            </w:r>
          </w:p>
        </w:tc>
        <w:tc>
          <w:tcPr>
            <w:tcW w:w="7021" w:type="dxa"/>
            <w:gridSpan w:val="3"/>
            <w:vAlign w:val="center"/>
          </w:tcPr>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r>
              <w:rPr>
                <w:rFonts w:hint="eastAsia" w:ascii="宋体" w:hAnsi="宋体"/>
                <w:color w:val="auto"/>
                <w:sz w:val="24"/>
                <w:highlight w:val="none"/>
              </w:rPr>
              <w:t>采购单位（盖章）：</w:t>
            </w:r>
          </w:p>
          <w:p>
            <w:pPr>
              <w:spacing w:line="360" w:lineRule="auto"/>
              <w:rPr>
                <w:rFonts w:ascii="宋体" w:hAnsi="宋体"/>
                <w:color w:val="auto"/>
                <w:sz w:val="24"/>
                <w:highlight w:val="none"/>
              </w:rPr>
            </w:pPr>
            <w:r>
              <w:rPr>
                <w:rFonts w:hint="eastAsia" w:ascii="宋体" w:hAnsi="宋体"/>
                <w:color w:val="auto"/>
                <w:sz w:val="24"/>
                <w:highlight w:val="none"/>
              </w:rPr>
              <w:t>代    表（签字）：</w:t>
            </w:r>
          </w:p>
        </w:tc>
      </w:tr>
    </w:tbl>
    <w:p>
      <w:pPr>
        <w:widowControl/>
        <w:jc w:val="left"/>
        <w:rPr>
          <w:rFonts w:ascii="宋体" w:hAnsi="宋体"/>
          <w:color w:val="auto"/>
          <w:highlight w:val="none"/>
        </w:rPr>
      </w:pPr>
      <w:r>
        <w:rPr>
          <w:rFonts w:ascii="宋体" w:hAnsi="宋体"/>
          <w:color w:val="auto"/>
          <w:highlight w:val="none"/>
        </w:rPr>
        <w:br w:type="page"/>
      </w:r>
    </w:p>
    <w:tbl>
      <w:tblPr>
        <w:tblStyle w:val="62"/>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2339"/>
        <w:gridCol w:w="1360"/>
        <w:gridCol w:w="3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8568" w:type="dxa"/>
            <w:gridSpan w:val="4"/>
            <w:vAlign w:val="center"/>
          </w:tcPr>
          <w:p>
            <w:pPr>
              <w:spacing w:line="360" w:lineRule="auto"/>
              <w:jc w:val="center"/>
              <w:rPr>
                <w:b/>
                <w:bCs/>
                <w:color w:val="auto"/>
                <w:sz w:val="28"/>
                <w:highlight w:val="none"/>
              </w:rPr>
            </w:pPr>
            <w:r>
              <w:rPr>
                <w:rFonts w:hint="eastAsia"/>
                <w:b/>
                <w:bCs/>
                <w:color w:val="auto"/>
                <w:sz w:val="28"/>
                <w:highlight w:val="none"/>
              </w:rPr>
              <w:t>上城</w:t>
            </w:r>
            <w:r>
              <w:rPr>
                <w:b/>
                <w:bCs/>
                <w:color w:val="auto"/>
                <w:sz w:val="28"/>
                <w:highlight w:val="none"/>
              </w:rPr>
              <w:t>区教育系统</w:t>
            </w:r>
            <w:r>
              <w:rPr>
                <w:rFonts w:hint="eastAsia"/>
                <w:b/>
                <w:bCs/>
                <w:color w:val="auto"/>
                <w:sz w:val="28"/>
                <w:highlight w:val="none"/>
              </w:rPr>
              <w:t>政府采购XX项目用户</w:t>
            </w:r>
            <w:r>
              <w:rPr>
                <w:b/>
                <w:bCs/>
                <w:color w:val="auto"/>
                <w:sz w:val="28"/>
                <w:highlight w:val="none"/>
              </w:rPr>
              <w:t>使用报告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547" w:type="dxa"/>
          </w:tcPr>
          <w:p>
            <w:pPr>
              <w:spacing w:line="360" w:lineRule="auto"/>
              <w:jc w:val="center"/>
              <w:rPr>
                <w:rFonts w:ascii="宋体" w:hAnsi="宋体"/>
                <w:b/>
                <w:color w:val="auto"/>
                <w:sz w:val="24"/>
                <w:highlight w:val="none"/>
              </w:rPr>
            </w:pPr>
            <w:r>
              <w:rPr>
                <w:rFonts w:hint="eastAsia" w:ascii="宋体" w:hAnsi="宋体"/>
                <w:b/>
                <w:color w:val="auto"/>
                <w:sz w:val="24"/>
                <w:highlight w:val="none"/>
              </w:rPr>
              <w:t>项目名称</w:t>
            </w:r>
          </w:p>
        </w:tc>
        <w:tc>
          <w:tcPr>
            <w:tcW w:w="7021" w:type="dxa"/>
            <w:gridSpan w:val="3"/>
          </w:tcPr>
          <w:p>
            <w:pPr>
              <w:widowControl/>
              <w:jc w:val="left"/>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trPr>
        <w:tc>
          <w:tcPr>
            <w:tcW w:w="1547" w:type="dxa"/>
            <w:vAlign w:val="center"/>
          </w:tcPr>
          <w:p>
            <w:pPr>
              <w:widowControl/>
              <w:jc w:val="left"/>
              <w:rPr>
                <w:rFonts w:ascii="宋体" w:hAnsi="宋体"/>
                <w:b/>
                <w:color w:val="auto"/>
                <w:highlight w:val="none"/>
              </w:rPr>
            </w:pPr>
            <w:r>
              <w:rPr>
                <w:rFonts w:hint="eastAsia" w:ascii="宋体" w:hAnsi="宋体"/>
                <w:b/>
                <w:color w:val="auto"/>
                <w:highlight w:val="none"/>
              </w:rPr>
              <w:t>采购单位</w:t>
            </w:r>
          </w:p>
        </w:tc>
        <w:tc>
          <w:tcPr>
            <w:tcW w:w="2339" w:type="dxa"/>
            <w:vAlign w:val="center"/>
          </w:tcPr>
          <w:p>
            <w:pPr>
              <w:widowControl/>
              <w:jc w:val="left"/>
              <w:rPr>
                <w:rFonts w:ascii="宋体" w:hAnsi="宋体"/>
                <w:color w:val="auto"/>
                <w:highlight w:val="none"/>
              </w:rPr>
            </w:pPr>
            <w:r>
              <w:rPr>
                <w:rFonts w:hint="eastAsia" w:ascii="宋体" w:hAnsi="宋体"/>
                <w:color w:val="auto"/>
                <w:sz w:val="24"/>
                <w:highlight w:val="none"/>
              </w:rPr>
              <w:t>杭州市上城区教育发展服务中</w:t>
            </w:r>
            <w:r>
              <w:rPr>
                <w:rFonts w:ascii="宋体" w:hAnsi="宋体"/>
                <w:color w:val="auto"/>
                <w:sz w:val="24"/>
                <w:highlight w:val="none"/>
              </w:rPr>
              <w:t>心</w:t>
            </w:r>
          </w:p>
        </w:tc>
        <w:tc>
          <w:tcPr>
            <w:tcW w:w="1360" w:type="dxa"/>
            <w:vAlign w:val="center"/>
          </w:tcPr>
          <w:p>
            <w:pPr>
              <w:widowControl/>
              <w:jc w:val="left"/>
              <w:rPr>
                <w:rFonts w:ascii="宋体" w:hAnsi="宋体"/>
                <w:b/>
                <w:color w:val="auto"/>
                <w:highlight w:val="none"/>
              </w:rPr>
            </w:pPr>
            <w:r>
              <w:rPr>
                <w:rFonts w:hint="eastAsia" w:ascii="宋体" w:hAnsi="宋体"/>
                <w:b/>
                <w:color w:val="auto"/>
                <w:highlight w:val="none"/>
              </w:rPr>
              <w:t>中标单位</w:t>
            </w:r>
          </w:p>
        </w:tc>
        <w:tc>
          <w:tcPr>
            <w:tcW w:w="3322" w:type="dxa"/>
            <w:vAlign w:val="center"/>
          </w:tcPr>
          <w:p>
            <w:pPr>
              <w:widowControl/>
              <w:jc w:val="left"/>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7" w:hRule="atLeast"/>
        </w:trPr>
        <w:tc>
          <w:tcPr>
            <w:tcW w:w="1547" w:type="dxa"/>
            <w:vAlign w:val="center"/>
          </w:tcPr>
          <w:p>
            <w:pPr>
              <w:widowControl/>
              <w:jc w:val="left"/>
              <w:rPr>
                <w:rFonts w:ascii="宋体" w:hAnsi="宋体"/>
                <w:color w:val="auto"/>
                <w:highlight w:val="none"/>
              </w:rPr>
            </w:pPr>
            <w:r>
              <w:rPr>
                <w:rFonts w:hint="eastAsia" w:ascii="宋体" w:hAnsi="宋体"/>
                <w:color w:val="auto"/>
                <w:highlight w:val="none"/>
              </w:rPr>
              <w:t>中</w:t>
            </w:r>
            <w:r>
              <w:rPr>
                <w:rFonts w:ascii="宋体" w:hAnsi="宋体"/>
                <w:color w:val="auto"/>
                <w:highlight w:val="none"/>
              </w:rPr>
              <w:t>标情况</w:t>
            </w:r>
          </w:p>
        </w:tc>
        <w:tc>
          <w:tcPr>
            <w:tcW w:w="7021" w:type="dxa"/>
            <w:gridSpan w:val="3"/>
          </w:tcPr>
          <w:p>
            <w:pPr>
              <w:widowControl/>
              <w:jc w:val="left"/>
              <w:rPr>
                <w:rFonts w:ascii="宋体" w:hAnsi="宋体"/>
                <w:color w:val="auto"/>
                <w:highlight w:val="none"/>
              </w:rPr>
            </w:pPr>
            <w:r>
              <w:rPr>
                <w:rFonts w:hint="eastAsia" w:ascii="宋体" w:hAnsi="宋体"/>
                <w:color w:val="auto"/>
                <w:highlight w:val="none"/>
              </w:rPr>
              <w:t>经区财政局批准，</w:t>
            </w:r>
            <w:r>
              <w:rPr>
                <w:rFonts w:ascii="宋体" w:hAnsi="宋体"/>
                <w:color w:val="auto"/>
                <w:highlight w:val="none"/>
              </w:rPr>
              <w:t>202</w:t>
            </w:r>
            <w:r>
              <w:rPr>
                <w:rFonts w:hint="eastAsia" w:ascii="宋体" w:hAnsi="宋体"/>
                <w:color w:val="auto"/>
                <w:highlight w:val="none"/>
                <w:lang w:val="en-US" w:eastAsia="zh-CN"/>
              </w:rPr>
              <w:t>4</w:t>
            </w:r>
            <w:r>
              <w:rPr>
                <w:rFonts w:hint="eastAsia" w:ascii="宋体" w:hAnsi="宋体"/>
                <w:color w:val="auto"/>
                <w:highlight w:val="none"/>
              </w:rPr>
              <w:t>年上城区教育系统X</w:t>
            </w:r>
            <w:r>
              <w:rPr>
                <w:rFonts w:ascii="宋体" w:hAnsi="宋体"/>
                <w:color w:val="auto"/>
                <w:highlight w:val="none"/>
              </w:rPr>
              <w:t>X</w:t>
            </w:r>
            <w:r>
              <w:rPr>
                <w:rFonts w:hint="eastAsia" w:ascii="宋体" w:hAnsi="宋体"/>
                <w:color w:val="auto"/>
                <w:highlight w:val="none"/>
              </w:rPr>
              <w:t>设备项目（项目编号：</w:t>
            </w:r>
            <w:r>
              <w:rPr>
                <w:rFonts w:ascii="宋体" w:hAnsi="宋体"/>
                <w:color w:val="auto"/>
                <w:highlight w:val="none"/>
              </w:rPr>
              <w:t>XX</w:t>
            </w:r>
            <w:r>
              <w:rPr>
                <w:rFonts w:hint="eastAsia" w:ascii="宋体" w:hAnsi="宋体"/>
                <w:color w:val="auto"/>
                <w:highlight w:val="none"/>
              </w:rPr>
              <w:t>）由杭州市</w:t>
            </w:r>
            <w:r>
              <w:rPr>
                <w:rFonts w:ascii="宋体" w:hAnsi="宋体"/>
                <w:color w:val="auto"/>
                <w:highlight w:val="none"/>
              </w:rPr>
              <w:t>公共资源交易中心</w:t>
            </w:r>
            <w:r>
              <w:rPr>
                <w:rFonts w:hint="eastAsia" w:ascii="宋体" w:hAnsi="宋体"/>
                <w:color w:val="auto"/>
                <w:highlight w:val="none"/>
              </w:rPr>
              <w:t>上城</w:t>
            </w:r>
            <w:r>
              <w:rPr>
                <w:rFonts w:ascii="宋体" w:hAnsi="宋体"/>
                <w:color w:val="auto"/>
                <w:highlight w:val="none"/>
              </w:rPr>
              <w:t>分中心</w:t>
            </w:r>
            <w:r>
              <w:rPr>
                <w:rFonts w:hint="eastAsia" w:ascii="宋体" w:hAnsi="宋体"/>
                <w:color w:val="auto"/>
                <w:highlight w:val="none"/>
              </w:rPr>
              <w:t>进行公</w:t>
            </w:r>
            <w:r>
              <w:rPr>
                <w:rFonts w:ascii="宋体" w:hAnsi="宋体"/>
                <w:color w:val="auto"/>
                <w:highlight w:val="none"/>
              </w:rPr>
              <w:t>开</w:t>
            </w:r>
            <w:r>
              <w:rPr>
                <w:rFonts w:hint="eastAsia" w:ascii="宋体" w:hAnsi="宋体"/>
                <w:color w:val="auto"/>
                <w:highlight w:val="none"/>
              </w:rPr>
              <w:t>招标。项</w:t>
            </w:r>
            <w:r>
              <w:rPr>
                <w:rFonts w:ascii="宋体" w:hAnsi="宋体"/>
                <w:color w:val="auto"/>
                <w:highlight w:val="none"/>
              </w:rPr>
              <w:t>目</w:t>
            </w:r>
            <w:r>
              <w:rPr>
                <w:rFonts w:hint="eastAsia" w:ascii="宋体" w:hAnsi="宋体"/>
                <w:color w:val="auto"/>
                <w:highlight w:val="none"/>
              </w:rPr>
              <w:t>于20</w:t>
            </w:r>
            <w:r>
              <w:rPr>
                <w:rFonts w:ascii="宋体" w:hAnsi="宋体"/>
                <w:color w:val="auto"/>
                <w:highlight w:val="none"/>
              </w:rPr>
              <w:t>2</w:t>
            </w:r>
            <w:r>
              <w:rPr>
                <w:rFonts w:hint="eastAsia" w:ascii="宋体" w:hAnsi="宋体"/>
                <w:color w:val="auto"/>
                <w:highlight w:val="none"/>
                <w:lang w:val="en-US" w:eastAsia="zh-CN"/>
              </w:rPr>
              <w:t>4</w:t>
            </w:r>
            <w:r>
              <w:rPr>
                <w:rFonts w:hint="eastAsia" w:ascii="宋体" w:hAnsi="宋体"/>
                <w:color w:val="auto"/>
                <w:highlight w:val="none"/>
              </w:rPr>
              <w:t>年</w:t>
            </w:r>
            <w:r>
              <w:rPr>
                <w:rFonts w:ascii="宋体" w:hAnsi="宋体"/>
                <w:color w:val="auto"/>
                <w:highlight w:val="none"/>
              </w:rPr>
              <w:t>X</w:t>
            </w:r>
            <w:r>
              <w:rPr>
                <w:rFonts w:hint="eastAsia" w:ascii="宋体" w:hAnsi="宋体"/>
                <w:color w:val="auto"/>
                <w:highlight w:val="none"/>
              </w:rPr>
              <w:t>月</w:t>
            </w:r>
            <w:r>
              <w:rPr>
                <w:rFonts w:ascii="宋体" w:hAnsi="宋体"/>
                <w:color w:val="auto"/>
                <w:highlight w:val="none"/>
              </w:rPr>
              <w:t>X</w:t>
            </w:r>
            <w:r>
              <w:rPr>
                <w:rFonts w:hint="eastAsia" w:ascii="宋体" w:hAnsi="宋体"/>
                <w:color w:val="auto"/>
                <w:highlight w:val="none"/>
              </w:rPr>
              <w:t>日由X</w:t>
            </w:r>
            <w:r>
              <w:rPr>
                <w:rFonts w:ascii="宋体" w:hAnsi="宋体"/>
                <w:color w:val="auto"/>
                <w:highlight w:val="none"/>
              </w:rPr>
              <w:t>X</w:t>
            </w:r>
            <w:r>
              <w:rPr>
                <w:rFonts w:hint="eastAsia" w:ascii="宋体" w:hAnsi="宋体"/>
                <w:color w:val="auto"/>
                <w:highlight w:val="none"/>
              </w:rPr>
              <w:t>公司中标，</w:t>
            </w:r>
            <w:r>
              <w:rPr>
                <w:rFonts w:ascii="宋体" w:hAnsi="宋体"/>
                <w:color w:val="auto"/>
                <w:highlight w:val="none"/>
              </w:rPr>
              <w:t>中标金额</w:t>
            </w:r>
            <w:r>
              <w:rPr>
                <w:rFonts w:hint="eastAsia" w:ascii="宋体" w:hAnsi="宋体"/>
                <w:color w:val="auto"/>
                <w:highlight w:val="none"/>
              </w:rPr>
              <w:t>XX万</w:t>
            </w:r>
            <w:r>
              <w:rPr>
                <w:rFonts w:ascii="宋体" w:hAnsi="宋体"/>
                <w:color w:val="auto"/>
                <w:highlight w:val="none"/>
              </w:rPr>
              <w:t>元</w:t>
            </w:r>
            <w:r>
              <w:rPr>
                <w:rFonts w:hint="eastAsia" w:ascii="宋体" w:hAnsi="宋体"/>
                <w:color w:val="auto"/>
                <w:highlight w:val="none"/>
              </w:rPr>
              <w:t>，</w:t>
            </w:r>
            <w:r>
              <w:rPr>
                <w:rFonts w:ascii="宋体" w:hAnsi="宋体"/>
                <w:color w:val="auto"/>
                <w:highlight w:val="none"/>
              </w:rPr>
              <w:t>涉及</w:t>
            </w:r>
            <w:r>
              <w:rPr>
                <w:rFonts w:hint="eastAsia" w:ascii="宋体" w:hAnsi="宋体"/>
                <w:color w:val="auto"/>
                <w:highlight w:val="none"/>
              </w:rPr>
              <w:t>上城</w:t>
            </w:r>
            <w:r>
              <w:rPr>
                <w:rFonts w:ascii="宋体" w:hAnsi="宋体"/>
                <w:color w:val="auto"/>
                <w:highlight w:val="none"/>
              </w:rPr>
              <w:t>区教育局下属</w:t>
            </w:r>
            <w:r>
              <w:rPr>
                <w:rFonts w:hint="eastAsia" w:ascii="宋体" w:hAnsi="宋体"/>
                <w:color w:val="auto"/>
                <w:highlight w:val="none"/>
              </w:rPr>
              <w:t>X个</w:t>
            </w:r>
            <w:r>
              <w:rPr>
                <w:rFonts w:ascii="宋体" w:hAnsi="宋体"/>
                <w:color w:val="auto"/>
                <w:highlight w:val="none"/>
              </w:rPr>
              <w:t>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7" w:hRule="atLeast"/>
        </w:trPr>
        <w:tc>
          <w:tcPr>
            <w:tcW w:w="1547" w:type="dxa"/>
            <w:vAlign w:val="center"/>
          </w:tcPr>
          <w:p>
            <w:pPr>
              <w:widowControl/>
              <w:jc w:val="left"/>
              <w:rPr>
                <w:rFonts w:ascii="宋体" w:hAnsi="宋体"/>
                <w:color w:val="auto"/>
                <w:highlight w:val="none"/>
              </w:rPr>
            </w:pPr>
            <w:r>
              <w:rPr>
                <w:rFonts w:hint="eastAsia" w:ascii="宋体" w:hAnsi="宋体"/>
                <w:color w:val="auto"/>
                <w:highlight w:val="none"/>
              </w:rPr>
              <w:t>供</w:t>
            </w:r>
            <w:r>
              <w:rPr>
                <w:rFonts w:ascii="宋体" w:hAnsi="宋体"/>
                <w:color w:val="auto"/>
                <w:highlight w:val="none"/>
              </w:rPr>
              <w:t>货与</w:t>
            </w:r>
            <w:r>
              <w:rPr>
                <w:rFonts w:hint="eastAsia" w:ascii="宋体" w:hAnsi="宋体"/>
                <w:color w:val="auto"/>
                <w:highlight w:val="none"/>
              </w:rPr>
              <w:t>施</w:t>
            </w:r>
            <w:r>
              <w:rPr>
                <w:rFonts w:ascii="宋体" w:hAnsi="宋体"/>
                <w:color w:val="auto"/>
                <w:highlight w:val="none"/>
              </w:rPr>
              <w:t>工</w:t>
            </w:r>
          </w:p>
        </w:tc>
        <w:tc>
          <w:tcPr>
            <w:tcW w:w="7021" w:type="dxa"/>
            <w:gridSpan w:val="3"/>
          </w:tcPr>
          <w:p>
            <w:pPr>
              <w:widowControl/>
              <w:jc w:val="left"/>
              <w:rPr>
                <w:rFonts w:ascii="宋体" w:hAnsi="宋体"/>
                <w:color w:val="auto"/>
                <w:highlight w:val="none"/>
              </w:rPr>
            </w:pPr>
            <w:r>
              <w:rPr>
                <w:rFonts w:hint="eastAsia" w:ascii="宋体" w:hAnsi="宋体"/>
                <w:color w:val="auto"/>
                <w:highlight w:val="none"/>
              </w:rPr>
              <w:t>根据</w:t>
            </w:r>
            <w:r>
              <w:rPr>
                <w:rFonts w:ascii="宋体" w:hAnsi="宋体"/>
                <w:color w:val="auto"/>
                <w:highlight w:val="none"/>
              </w:rPr>
              <w:t>合同规定，中标方于</w:t>
            </w:r>
            <w:r>
              <w:rPr>
                <w:rFonts w:hint="eastAsia" w:ascii="宋体" w:hAnsi="宋体"/>
                <w:color w:val="auto"/>
                <w:highlight w:val="none"/>
              </w:rPr>
              <w:t>202</w:t>
            </w:r>
            <w:r>
              <w:rPr>
                <w:rFonts w:hint="eastAsia" w:ascii="宋体" w:hAnsi="宋体"/>
                <w:color w:val="auto"/>
                <w:highlight w:val="none"/>
                <w:lang w:val="en-US" w:eastAsia="zh-CN"/>
              </w:rPr>
              <w:t>4</w:t>
            </w:r>
            <w:r>
              <w:rPr>
                <w:rFonts w:hint="eastAsia" w:ascii="宋体" w:hAnsi="宋体"/>
                <w:color w:val="auto"/>
                <w:highlight w:val="none"/>
              </w:rPr>
              <w:t>年X月X日</w:t>
            </w:r>
            <w:r>
              <w:rPr>
                <w:rFonts w:ascii="宋体" w:hAnsi="宋体"/>
                <w:color w:val="auto"/>
                <w:highlight w:val="none"/>
              </w:rPr>
              <w:t>至</w:t>
            </w:r>
            <w:r>
              <w:rPr>
                <w:rFonts w:hint="eastAsia" w:ascii="宋体" w:hAnsi="宋体"/>
                <w:color w:val="auto"/>
                <w:highlight w:val="none"/>
              </w:rPr>
              <w:t>X月X日</w:t>
            </w:r>
            <w:r>
              <w:rPr>
                <w:rFonts w:ascii="宋体" w:hAnsi="宋体"/>
                <w:color w:val="auto"/>
                <w:highlight w:val="none"/>
              </w:rPr>
              <w:t>在</w:t>
            </w:r>
            <w:r>
              <w:rPr>
                <w:rFonts w:hint="eastAsia" w:ascii="宋体" w:hAnsi="宋体"/>
                <w:color w:val="auto"/>
                <w:highlight w:val="none"/>
              </w:rPr>
              <w:t>上城</w:t>
            </w:r>
            <w:r>
              <w:rPr>
                <w:rFonts w:ascii="宋体" w:hAnsi="宋体"/>
                <w:color w:val="auto"/>
                <w:highlight w:val="none"/>
              </w:rPr>
              <w:t>区</w:t>
            </w:r>
            <w:r>
              <w:rPr>
                <w:rFonts w:hint="eastAsia" w:ascii="宋体" w:hAnsi="宋体"/>
                <w:color w:val="auto"/>
                <w:highlight w:val="none"/>
              </w:rPr>
              <w:t>教育系统</w:t>
            </w:r>
            <w:r>
              <w:rPr>
                <w:rFonts w:ascii="宋体" w:hAnsi="宋体"/>
                <w:color w:val="auto"/>
                <w:highlight w:val="none"/>
              </w:rPr>
              <w:t>进行</w:t>
            </w:r>
            <w:r>
              <w:rPr>
                <w:rFonts w:hint="eastAsia" w:ascii="宋体" w:hAnsi="宋体"/>
                <w:color w:val="auto"/>
                <w:highlight w:val="none"/>
              </w:rPr>
              <w:t>XX</w:t>
            </w:r>
            <w:r>
              <w:rPr>
                <w:rFonts w:ascii="宋体" w:hAnsi="宋体"/>
                <w:color w:val="auto"/>
                <w:highlight w:val="none"/>
              </w:rPr>
              <w:t>设备供货、</w:t>
            </w:r>
            <w:r>
              <w:rPr>
                <w:rFonts w:hint="eastAsia" w:ascii="宋体" w:hAnsi="宋体"/>
                <w:color w:val="auto"/>
                <w:highlight w:val="none"/>
              </w:rPr>
              <w:t>安装调</w:t>
            </w:r>
            <w:r>
              <w:rPr>
                <w:rFonts w:ascii="宋体" w:hAnsi="宋体"/>
                <w:color w:val="auto"/>
                <w:highlight w:val="none"/>
              </w:rPr>
              <w:t>试与技术培训</w:t>
            </w:r>
            <w:r>
              <w:rPr>
                <w:rFonts w:hint="eastAsia" w:ascii="宋体" w:hAnsi="宋体"/>
                <w:color w:val="auto"/>
                <w:highlight w:val="none"/>
              </w:rPr>
              <w:t>等工作，</w:t>
            </w:r>
            <w:r>
              <w:rPr>
                <w:rFonts w:ascii="宋体" w:hAnsi="宋体"/>
                <w:color w:val="auto"/>
                <w:highlight w:val="none"/>
              </w:rPr>
              <w:t>现已全部完成</w:t>
            </w:r>
            <w:r>
              <w:rPr>
                <w:rFonts w:hint="eastAsia" w:ascii="宋体" w:hAnsi="宋体"/>
                <w:color w:val="auto"/>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7" w:hRule="atLeast"/>
        </w:trPr>
        <w:tc>
          <w:tcPr>
            <w:tcW w:w="1547" w:type="dxa"/>
            <w:vAlign w:val="center"/>
          </w:tcPr>
          <w:p>
            <w:pPr>
              <w:widowControl/>
              <w:jc w:val="left"/>
              <w:rPr>
                <w:rFonts w:ascii="宋体" w:hAnsi="宋体"/>
                <w:color w:val="auto"/>
                <w:highlight w:val="none"/>
              </w:rPr>
            </w:pPr>
            <w:r>
              <w:rPr>
                <w:rFonts w:hint="eastAsia" w:ascii="宋体" w:hAnsi="宋体"/>
                <w:color w:val="auto"/>
                <w:highlight w:val="none"/>
              </w:rPr>
              <w:t>质量与</w:t>
            </w:r>
            <w:r>
              <w:rPr>
                <w:rFonts w:ascii="宋体" w:hAnsi="宋体"/>
                <w:color w:val="auto"/>
                <w:highlight w:val="none"/>
              </w:rPr>
              <w:t>服务</w:t>
            </w:r>
          </w:p>
        </w:tc>
        <w:tc>
          <w:tcPr>
            <w:tcW w:w="7021" w:type="dxa"/>
            <w:gridSpan w:val="3"/>
          </w:tcPr>
          <w:p>
            <w:pPr>
              <w:widowControl/>
              <w:jc w:val="left"/>
              <w:rPr>
                <w:rFonts w:ascii="宋体" w:hAnsi="宋体"/>
                <w:color w:val="auto"/>
                <w:highlight w:val="none"/>
              </w:rPr>
            </w:pPr>
            <w:r>
              <w:rPr>
                <w:rFonts w:hint="eastAsia" w:ascii="宋体" w:hAnsi="宋体"/>
                <w:color w:val="auto"/>
                <w:highlight w:val="none"/>
              </w:rPr>
              <w:t>经</w:t>
            </w:r>
            <w:r>
              <w:rPr>
                <w:rFonts w:ascii="宋体" w:hAnsi="宋体"/>
                <w:color w:val="auto"/>
                <w:highlight w:val="none"/>
              </w:rPr>
              <w:t>各相关学校初验</w:t>
            </w:r>
            <w:r>
              <w:rPr>
                <w:rFonts w:hint="eastAsia" w:ascii="宋体" w:hAnsi="宋体"/>
                <w:color w:val="auto"/>
                <w:highlight w:val="none"/>
              </w:rPr>
              <w:t>合格</w:t>
            </w:r>
            <w:r>
              <w:rPr>
                <w:rFonts w:ascii="宋体" w:hAnsi="宋体"/>
                <w:color w:val="auto"/>
                <w:highlight w:val="none"/>
              </w:rPr>
              <w:t>，设备</w:t>
            </w:r>
            <w:r>
              <w:rPr>
                <w:rFonts w:hint="eastAsia" w:ascii="宋体" w:hAnsi="宋体"/>
                <w:color w:val="auto"/>
                <w:highlight w:val="none"/>
              </w:rPr>
              <w:t>品牌</w:t>
            </w:r>
            <w:r>
              <w:rPr>
                <w:rFonts w:ascii="宋体" w:hAnsi="宋体"/>
                <w:color w:val="auto"/>
                <w:highlight w:val="none"/>
              </w:rPr>
              <w:t>型号</w:t>
            </w:r>
            <w:r>
              <w:rPr>
                <w:rFonts w:hint="eastAsia" w:ascii="宋体" w:hAnsi="宋体"/>
                <w:color w:val="auto"/>
                <w:highlight w:val="none"/>
              </w:rPr>
              <w:t>、</w:t>
            </w:r>
            <w:r>
              <w:rPr>
                <w:rFonts w:ascii="宋体" w:hAnsi="宋体"/>
                <w:color w:val="auto"/>
                <w:highlight w:val="none"/>
              </w:rPr>
              <w:t>数量、</w:t>
            </w:r>
            <w:r>
              <w:rPr>
                <w:rFonts w:hint="eastAsia" w:ascii="宋体" w:hAnsi="宋体"/>
                <w:color w:val="auto"/>
                <w:highlight w:val="none"/>
              </w:rPr>
              <w:t>配置、</w:t>
            </w:r>
            <w:r>
              <w:rPr>
                <w:rFonts w:ascii="宋体" w:hAnsi="宋体"/>
                <w:color w:val="auto"/>
                <w:highlight w:val="none"/>
              </w:rPr>
              <w:t>施工</w:t>
            </w:r>
            <w:r>
              <w:rPr>
                <w:rFonts w:hint="eastAsia" w:ascii="宋体" w:hAnsi="宋体"/>
                <w:color w:val="auto"/>
                <w:highlight w:val="none"/>
              </w:rPr>
              <w:t>质量</w:t>
            </w:r>
            <w:r>
              <w:rPr>
                <w:rFonts w:ascii="宋体" w:hAnsi="宋体"/>
                <w:color w:val="auto"/>
                <w:highlight w:val="none"/>
              </w:rPr>
              <w:t>与服务</w:t>
            </w:r>
            <w:r>
              <w:rPr>
                <w:rFonts w:hint="eastAsia" w:ascii="宋体" w:hAnsi="宋体"/>
                <w:color w:val="auto"/>
                <w:highlight w:val="none"/>
              </w:rPr>
              <w:t>约定等</w:t>
            </w:r>
            <w:r>
              <w:rPr>
                <w:rFonts w:ascii="宋体" w:hAnsi="宋体"/>
                <w:color w:val="auto"/>
                <w:highlight w:val="none"/>
              </w:rPr>
              <w:t>符合合同规定</w:t>
            </w:r>
            <w:r>
              <w:rPr>
                <w:rFonts w:hint="eastAsia" w:ascii="宋体" w:hAnsi="宋体"/>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7" w:hRule="atLeast"/>
        </w:trPr>
        <w:tc>
          <w:tcPr>
            <w:tcW w:w="1547" w:type="dxa"/>
            <w:vAlign w:val="center"/>
          </w:tcPr>
          <w:p>
            <w:pPr>
              <w:widowControl/>
              <w:jc w:val="left"/>
              <w:rPr>
                <w:rFonts w:ascii="宋体" w:hAnsi="宋体"/>
                <w:color w:val="auto"/>
                <w:highlight w:val="none"/>
              </w:rPr>
            </w:pPr>
            <w:r>
              <w:rPr>
                <w:rFonts w:hint="eastAsia" w:ascii="宋体" w:hAnsi="宋体"/>
                <w:color w:val="auto"/>
                <w:highlight w:val="none"/>
              </w:rPr>
              <w:t>用</w:t>
            </w:r>
            <w:r>
              <w:rPr>
                <w:rFonts w:ascii="宋体" w:hAnsi="宋体"/>
                <w:color w:val="auto"/>
                <w:highlight w:val="none"/>
              </w:rPr>
              <w:t>户意见</w:t>
            </w:r>
          </w:p>
        </w:tc>
        <w:tc>
          <w:tcPr>
            <w:tcW w:w="7021" w:type="dxa"/>
            <w:gridSpan w:val="3"/>
          </w:tcPr>
          <w:p>
            <w:pPr>
              <w:widowControl/>
              <w:jc w:val="left"/>
              <w:rPr>
                <w:rFonts w:ascii="宋体" w:hAnsi="宋体"/>
                <w:color w:val="auto"/>
                <w:highlight w:val="none"/>
              </w:rPr>
            </w:pPr>
            <w:r>
              <w:rPr>
                <w:rFonts w:hint="eastAsia" w:ascii="宋体" w:hAnsi="宋体"/>
                <w:color w:val="auto"/>
                <w:highlight w:val="none"/>
              </w:rPr>
              <w:t>同意施</w:t>
            </w:r>
            <w:r>
              <w:rPr>
                <w:rFonts w:ascii="宋体" w:hAnsi="宋体"/>
                <w:color w:val="auto"/>
                <w:highlight w:val="none"/>
              </w:rPr>
              <w:t>工方终验申请，提请专家组进行竣工验收。</w:t>
            </w:r>
          </w:p>
          <w:p>
            <w:pPr>
              <w:widowControl/>
              <w:jc w:val="left"/>
              <w:rPr>
                <w:rFonts w:ascii="宋体" w:hAnsi="宋体"/>
                <w:color w:val="auto"/>
                <w:highlight w:val="none"/>
              </w:rPr>
            </w:pPr>
          </w:p>
          <w:p>
            <w:pPr>
              <w:widowControl/>
              <w:jc w:val="left"/>
              <w:rPr>
                <w:rFonts w:ascii="宋体" w:hAnsi="宋体"/>
                <w:color w:val="auto"/>
                <w:highlight w:val="none"/>
              </w:rPr>
            </w:pPr>
          </w:p>
          <w:p>
            <w:pPr>
              <w:widowControl/>
              <w:jc w:val="left"/>
              <w:rPr>
                <w:rFonts w:ascii="宋体" w:hAnsi="宋体"/>
                <w:color w:val="auto"/>
                <w:highlight w:val="none"/>
              </w:rPr>
            </w:pPr>
          </w:p>
          <w:p>
            <w:pPr>
              <w:widowControl/>
              <w:jc w:val="left"/>
              <w:rPr>
                <w:rFonts w:ascii="宋体" w:hAnsi="宋体"/>
                <w:color w:val="auto"/>
                <w:highlight w:val="none"/>
              </w:rPr>
            </w:pPr>
          </w:p>
          <w:p>
            <w:pPr>
              <w:widowControl/>
              <w:jc w:val="left"/>
              <w:rPr>
                <w:rFonts w:ascii="宋体" w:hAnsi="宋体"/>
                <w:color w:val="auto"/>
                <w:highlight w:val="none"/>
              </w:rPr>
            </w:pPr>
            <w:r>
              <w:rPr>
                <w:rFonts w:hint="eastAsia" w:ascii="宋体" w:hAnsi="宋体"/>
                <w:color w:val="auto"/>
                <w:highlight w:val="none"/>
              </w:rPr>
              <w:t>杭州市上城</w:t>
            </w:r>
            <w:r>
              <w:rPr>
                <w:rFonts w:ascii="宋体" w:hAnsi="宋体"/>
                <w:color w:val="auto"/>
                <w:highlight w:val="none"/>
              </w:rPr>
              <w:t>区教育</w:t>
            </w:r>
            <w:r>
              <w:rPr>
                <w:rFonts w:hint="eastAsia" w:ascii="宋体" w:hAnsi="宋体"/>
                <w:color w:val="auto"/>
                <w:highlight w:val="none"/>
              </w:rPr>
              <w:t>发展服务</w:t>
            </w:r>
            <w:r>
              <w:rPr>
                <w:rFonts w:ascii="宋体" w:hAnsi="宋体"/>
                <w:color w:val="auto"/>
                <w:highlight w:val="none"/>
              </w:rPr>
              <w:t>中心</w:t>
            </w:r>
            <w:r>
              <w:rPr>
                <w:rFonts w:hint="eastAsia" w:ascii="宋体" w:hAnsi="宋体"/>
                <w:color w:val="auto"/>
                <w:highlight w:val="none"/>
              </w:rPr>
              <w:t>（盖章）</w:t>
            </w:r>
          </w:p>
          <w:p>
            <w:pPr>
              <w:widowControl/>
              <w:jc w:val="left"/>
              <w:rPr>
                <w:rFonts w:ascii="宋体" w:hAnsi="宋体"/>
                <w:color w:val="auto"/>
                <w:highlight w:val="none"/>
              </w:rPr>
            </w:pPr>
            <w:r>
              <w:rPr>
                <w:rFonts w:hint="eastAsia" w:ascii="宋体" w:hAnsi="宋体"/>
                <w:color w:val="auto"/>
                <w:highlight w:val="none"/>
              </w:rPr>
              <w:t>项</w:t>
            </w:r>
            <w:r>
              <w:rPr>
                <w:rFonts w:ascii="宋体" w:hAnsi="宋体"/>
                <w:color w:val="auto"/>
                <w:highlight w:val="none"/>
              </w:rPr>
              <w:t>目负责人（</w:t>
            </w:r>
            <w:r>
              <w:rPr>
                <w:rFonts w:hint="eastAsia" w:ascii="宋体" w:hAnsi="宋体"/>
                <w:color w:val="auto"/>
                <w:highlight w:val="none"/>
              </w:rPr>
              <w:t>签字</w:t>
            </w:r>
            <w:r>
              <w:rPr>
                <w:rFonts w:ascii="宋体" w:hAnsi="宋体"/>
                <w:color w:val="auto"/>
                <w:highlight w:val="none"/>
              </w:rPr>
              <w:t>）</w:t>
            </w:r>
          </w:p>
          <w:p>
            <w:pPr>
              <w:widowControl/>
              <w:jc w:val="left"/>
              <w:rPr>
                <w:rFonts w:ascii="宋体" w:hAnsi="宋体"/>
                <w:color w:val="auto"/>
                <w:highlight w:val="none"/>
              </w:rPr>
            </w:pPr>
            <w:r>
              <w:rPr>
                <w:rFonts w:hint="eastAsia" w:ascii="宋体" w:hAnsi="宋体"/>
                <w:color w:val="auto"/>
                <w:highlight w:val="none"/>
              </w:rPr>
              <w:t>日期</w:t>
            </w:r>
            <w:r>
              <w:rPr>
                <w:rFonts w:ascii="宋体" w:hAnsi="宋体"/>
                <w:color w:val="auto"/>
                <w:highlight w:val="none"/>
              </w:rPr>
              <w:t>：</w:t>
            </w:r>
          </w:p>
        </w:tc>
      </w:tr>
    </w:tbl>
    <w:p>
      <w:pPr>
        <w:widowControl/>
        <w:jc w:val="left"/>
        <w:rPr>
          <w:rFonts w:ascii="宋体" w:hAnsi="宋体"/>
          <w:color w:val="auto"/>
          <w:highlight w:val="none"/>
        </w:rPr>
      </w:pPr>
    </w:p>
    <w:p>
      <w:pPr>
        <w:rPr>
          <w:color w:val="auto"/>
          <w:highlight w:val="none"/>
        </w:rPr>
      </w:pPr>
      <w:r>
        <w:rPr>
          <w:color w:val="auto"/>
          <w:highlight w:val="none"/>
        </w:rPr>
        <w:br w:type="page"/>
      </w:r>
    </w:p>
    <w:tbl>
      <w:tblPr>
        <w:tblStyle w:val="63"/>
        <w:tblW w:w="82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728"/>
        <w:gridCol w:w="777"/>
        <w:gridCol w:w="734"/>
        <w:gridCol w:w="1022"/>
        <w:gridCol w:w="1320"/>
        <w:gridCol w:w="1293"/>
        <w:gridCol w:w="1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296" w:type="dxa"/>
            <w:gridSpan w:val="8"/>
            <w:vAlign w:val="center"/>
          </w:tcPr>
          <w:p>
            <w:pPr>
              <w:jc w:val="center"/>
              <w:rPr>
                <w:b/>
                <w:bCs/>
                <w:color w:val="auto"/>
                <w:highlight w:val="none"/>
              </w:rPr>
            </w:pPr>
            <w:r>
              <w:rPr>
                <w:rFonts w:hint="eastAsia"/>
                <w:b/>
                <w:bCs/>
                <w:color w:val="auto"/>
                <w:sz w:val="28"/>
                <w:highlight w:val="none"/>
              </w:rPr>
              <w:t>上城</w:t>
            </w:r>
            <w:r>
              <w:rPr>
                <w:b/>
                <w:bCs/>
                <w:color w:val="auto"/>
                <w:sz w:val="28"/>
                <w:highlight w:val="none"/>
              </w:rPr>
              <w:t>区教育系统</w:t>
            </w:r>
            <w:r>
              <w:rPr>
                <w:rFonts w:hint="eastAsia"/>
                <w:b/>
                <w:bCs/>
                <w:color w:val="auto"/>
                <w:sz w:val="28"/>
                <w:highlight w:val="none"/>
              </w:rPr>
              <w:t>政府采购项目验收报告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4390" w:type="dxa"/>
            <w:gridSpan w:val="5"/>
            <w:vAlign w:val="center"/>
          </w:tcPr>
          <w:p>
            <w:pPr>
              <w:rPr>
                <w:color w:val="auto"/>
                <w:highlight w:val="none"/>
              </w:rPr>
            </w:pPr>
            <w:r>
              <w:rPr>
                <w:rFonts w:hint="eastAsia"/>
                <w:color w:val="auto"/>
                <w:highlight w:val="none"/>
              </w:rPr>
              <w:t>采购单位：杭州市上城区教育发展服务中</w:t>
            </w:r>
            <w:r>
              <w:rPr>
                <w:color w:val="auto"/>
                <w:highlight w:val="none"/>
              </w:rPr>
              <w:t>心</w:t>
            </w:r>
          </w:p>
        </w:tc>
        <w:tc>
          <w:tcPr>
            <w:tcW w:w="1320" w:type="dxa"/>
            <w:vAlign w:val="center"/>
          </w:tcPr>
          <w:p>
            <w:pPr>
              <w:rPr>
                <w:color w:val="auto"/>
                <w:highlight w:val="none"/>
              </w:rPr>
            </w:pPr>
            <w:r>
              <w:rPr>
                <w:rFonts w:hint="eastAsia"/>
                <w:color w:val="auto"/>
                <w:highlight w:val="none"/>
              </w:rPr>
              <w:t>验收日期：</w:t>
            </w:r>
          </w:p>
        </w:tc>
        <w:tc>
          <w:tcPr>
            <w:tcW w:w="2586" w:type="dxa"/>
            <w:gridSpan w:val="2"/>
            <w:vAlign w:val="center"/>
          </w:tcPr>
          <w:p>
            <w:pP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129" w:type="dxa"/>
            <w:vAlign w:val="center"/>
          </w:tcPr>
          <w:p>
            <w:pPr>
              <w:rPr>
                <w:color w:val="auto"/>
                <w:highlight w:val="none"/>
              </w:rPr>
            </w:pPr>
            <w:r>
              <w:rPr>
                <w:rFonts w:hint="eastAsia"/>
                <w:color w:val="auto"/>
                <w:highlight w:val="none"/>
              </w:rPr>
              <w:t>采购项目</w:t>
            </w:r>
          </w:p>
        </w:tc>
        <w:tc>
          <w:tcPr>
            <w:tcW w:w="7167" w:type="dxa"/>
            <w:gridSpan w:val="7"/>
            <w:vAlign w:val="center"/>
          </w:tcPr>
          <w:p>
            <w:pPr>
              <w:rPr>
                <w:b/>
                <w:bCs/>
                <w:color w:val="auto"/>
                <w:highlight w:val="none"/>
              </w:rPr>
            </w:pPr>
            <w:r>
              <w:rPr>
                <w:rFonts w:hint="eastAsia"/>
                <w:b/>
                <w:bCs/>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129" w:type="dxa"/>
            <w:vAlign w:val="center"/>
          </w:tcPr>
          <w:p>
            <w:pPr>
              <w:rPr>
                <w:color w:val="auto"/>
                <w:highlight w:val="none"/>
              </w:rPr>
            </w:pPr>
            <w:r>
              <w:rPr>
                <w:rFonts w:hint="eastAsia"/>
                <w:color w:val="auto"/>
                <w:highlight w:val="none"/>
              </w:rPr>
              <w:t>项目编号</w:t>
            </w:r>
          </w:p>
        </w:tc>
        <w:tc>
          <w:tcPr>
            <w:tcW w:w="3261" w:type="dxa"/>
            <w:gridSpan w:val="4"/>
            <w:vAlign w:val="center"/>
          </w:tcPr>
          <w:p>
            <w:pPr>
              <w:rPr>
                <w:b/>
                <w:bCs/>
                <w:color w:val="auto"/>
                <w:highlight w:val="none"/>
              </w:rPr>
            </w:pPr>
            <w:r>
              <w:rPr>
                <w:b/>
                <w:bCs/>
                <w:color w:val="auto"/>
                <w:highlight w:val="none"/>
              </w:rPr>
              <w:t>　</w:t>
            </w:r>
          </w:p>
        </w:tc>
        <w:tc>
          <w:tcPr>
            <w:tcW w:w="1320" w:type="dxa"/>
            <w:vAlign w:val="center"/>
          </w:tcPr>
          <w:p>
            <w:pPr>
              <w:jc w:val="left"/>
              <w:rPr>
                <w:color w:val="auto"/>
                <w:highlight w:val="none"/>
              </w:rPr>
            </w:pPr>
            <w:r>
              <w:rPr>
                <w:rFonts w:hint="eastAsia"/>
                <w:color w:val="auto"/>
                <w:highlight w:val="none"/>
              </w:rPr>
              <w:t>中标金额</w:t>
            </w:r>
          </w:p>
        </w:tc>
        <w:tc>
          <w:tcPr>
            <w:tcW w:w="2586" w:type="dxa"/>
            <w:gridSpan w:val="2"/>
            <w:vAlign w:val="center"/>
          </w:tcPr>
          <w:p>
            <w:pPr>
              <w:rPr>
                <w:b/>
                <w:bCs/>
                <w:color w:val="auto"/>
                <w:highlight w:val="none"/>
              </w:rPr>
            </w:pPr>
            <w:r>
              <w:rPr>
                <w:b/>
                <w:bCs/>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129" w:type="dxa"/>
            <w:vAlign w:val="center"/>
          </w:tcPr>
          <w:p>
            <w:pPr>
              <w:rPr>
                <w:color w:val="auto"/>
                <w:highlight w:val="none"/>
              </w:rPr>
            </w:pPr>
            <w:r>
              <w:rPr>
                <w:rFonts w:hint="eastAsia"/>
                <w:color w:val="auto"/>
                <w:highlight w:val="none"/>
              </w:rPr>
              <w:t>采购方式</w:t>
            </w:r>
          </w:p>
        </w:tc>
        <w:tc>
          <w:tcPr>
            <w:tcW w:w="1505" w:type="dxa"/>
            <w:gridSpan w:val="2"/>
            <w:vAlign w:val="center"/>
          </w:tcPr>
          <w:p>
            <w:pPr>
              <w:rPr>
                <w:color w:val="auto"/>
                <w:highlight w:val="none"/>
              </w:rPr>
            </w:pPr>
            <w:r>
              <w:rPr>
                <w:rFonts w:hint="eastAsia"/>
                <w:color w:val="auto"/>
                <w:highlight w:val="none"/>
              </w:rPr>
              <w:t>公开招标</w:t>
            </w:r>
          </w:p>
        </w:tc>
        <w:tc>
          <w:tcPr>
            <w:tcW w:w="1756" w:type="dxa"/>
            <w:gridSpan w:val="2"/>
            <w:vAlign w:val="center"/>
          </w:tcPr>
          <w:p>
            <w:pPr>
              <w:rPr>
                <w:color w:val="auto"/>
                <w:highlight w:val="none"/>
              </w:rPr>
            </w:pPr>
            <w:r>
              <w:rPr>
                <w:rFonts w:hint="eastAsia"/>
                <w:color w:val="auto"/>
                <w:highlight w:val="none"/>
              </w:rPr>
              <w:t>采购机构</w:t>
            </w:r>
          </w:p>
        </w:tc>
        <w:tc>
          <w:tcPr>
            <w:tcW w:w="3906" w:type="dxa"/>
            <w:gridSpan w:val="3"/>
            <w:vAlign w:val="center"/>
          </w:tcPr>
          <w:p>
            <w:pPr>
              <w:rPr>
                <w:color w:val="auto"/>
                <w:highlight w:val="none"/>
              </w:rPr>
            </w:pPr>
            <w:r>
              <w:rPr>
                <w:rFonts w:hint="eastAsia"/>
                <w:color w:val="auto"/>
                <w:highlight w:val="none"/>
              </w:rPr>
              <w:t>杭州市公共资源交易中心上城分中</w:t>
            </w:r>
            <w:r>
              <w:rPr>
                <w:color w:val="auto"/>
                <w:highlight w:val="none"/>
              </w:rPr>
              <w:t>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857" w:type="dxa"/>
            <w:gridSpan w:val="2"/>
            <w:vAlign w:val="center"/>
          </w:tcPr>
          <w:p>
            <w:pPr>
              <w:rPr>
                <w:color w:val="auto"/>
                <w:highlight w:val="none"/>
              </w:rPr>
            </w:pPr>
            <w:r>
              <w:rPr>
                <w:rFonts w:hint="eastAsia"/>
                <w:color w:val="auto"/>
                <w:highlight w:val="none"/>
              </w:rPr>
              <w:t>合同签订日期</w:t>
            </w:r>
          </w:p>
        </w:tc>
        <w:tc>
          <w:tcPr>
            <w:tcW w:w="2533" w:type="dxa"/>
            <w:gridSpan w:val="3"/>
            <w:vAlign w:val="center"/>
          </w:tcPr>
          <w:p>
            <w:pPr>
              <w:rPr>
                <w:color w:val="auto"/>
                <w:highlight w:val="none"/>
              </w:rPr>
            </w:pPr>
          </w:p>
        </w:tc>
        <w:tc>
          <w:tcPr>
            <w:tcW w:w="1320" w:type="dxa"/>
            <w:vAlign w:val="center"/>
          </w:tcPr>
          <w:p>
            <w:pPr>
              <w:rPr>
                <w:color w:val="auto"/>
                <w:highlight w:val="none"/>
              </w:rPr>
            </w:pPr>
            <w:r>
              <w:rPr>
                <w:rFonts w:hint="eastAsia"/>
                <w:color w:val="auto"/>
                <w:highlight w:val="none"/>
              </w:rPr>
              <w:t>质保期</w:t>
            </w:r>
          </w:p>
        </w:tc>
        <w:tc>
          <w:tcPr>
            <w:tcW w:w="2586" w:type="dxa"/>
            <w:gridSpan w:val="2"/>
            <w:vAlign w:val="center"/>
          </w:tcPr>
          <w:p>
            <w:pPr>
              <w:rPr>
                <w:color w:val="auto"/>
                <w:highlight w:val="none"/>
              </w:rPr>
            </w:pPr>
            <w:r>
              <w:rPr>
                <w:rFonts w:hint="eastAsia"/>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1857" w:type="dxa"/>
            <w:gridSpan w:val="2"/>
            <w:vAlign w:val="center"/>
          </w:tcPr>
          <w:p>
            <w:pPr>
              <w:rPr>
                <w:color w:val="auto"/>
                <w:highlight w:val="none"/>
              </w:rPr>
            </w:pPr>
            <w:r>
              <w:rPr>
                <w:rFonts w:hint="eastAsia"/>
                <w:color w:val="auto"/>
                <w:highlight w:val="none"/>
              </w:rPr>
              <w:t>中标供应商</w:t>
            </w:r>
          </w:p>
        </w:tc>
        <w:tc>
          <w:tcPr>
            <w:tcW w:w="2533" w:type="dxa"/>
            <w:gridSpan w:val="3"/>
            <w:vAlign w:val="center"/>
          </w:tcPr>
          <w:p>
            <w:pPr>
              <w:rPr>
                <w:color w:val="auto"/>
                <w:highlight w:val="none"/>
              </w:rPr>
            </w:pPr>
            <w:r>
              <w:rPr>
                <w:rFonts w:hint="eastAsia"/>
                <w:color w:val="auto"/>
                <w:highlight w:val="none"/>
              </w:rPr>
              <w:t>　</w:t>
            </w:r>
          </w:p>
        </w:tc>
        <w:tc>
          <w:tcPr>
            <w:tcW w:w="1320" w:type="dxa"/>
            <w:vAlign w:val="center"/>
          </w:tcPr>
          <w:p>
            <w:pPr>
              <w:jc w:val="left"/>
              <w:rPr>
                <w:color w:val="auto"/>
                <w:highlight w:val="none"/>
              </w:rPr>
            </w:pPr>
            <w:r>
              <w:rPr>
                <w:rFonts w:hint="eastAsia"/>
                <w:color w:val="auto"/>
                <w:highlight w:val="none"/>
              </w:rPr>
              <w:t>联系人手机</w:t>
            </w:r>
          </w:p>
        </w:tc>
        <w:tc>
          <w:tcPr>
            <w:tcW w:w="2586" w:type="dxa"/>
            <w:gridSpan w:val="2"/>
            <w:vAlign w:val="center"/>
          </w:tcPr>
          <w:p>
            <w:pPr>
              <w:rPr>
                <w:color w:val="auto"/>
                <w:highlight w:val="none"/>
              </w:rPr>
            </w:pPr>
            <w:r>
              <w:rPr>
                <w:rFonts w:hint="eastAsia"/>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1129" w:type="dxa"/>
            <w:vMerge w:val="restart"/>
            <w:vAlign w:val="center"/>
          </w:tcPr>
          <w:p>
            <w:pPr>
              <w:jc w:val="center"/>
              <w:rPr>
                <w:color w:val="auto"/>
                <w:highlight w:val="none"/>
              </w:rPr>
            </w:pPr>
            <w:r>
              <w:rPr>
                <w:rFonts w:hint="eastAsia"/>
                <w:color w:val="auto"/>
                <w:highlight w:val="none"/>
              </w:rPr>
              <w:t>验</w:t>
            </w:r>
          </w:p>
          <w:p>
            <w:pPr>
              <w:jc w:val="center"/>
              <w:rPr>
                <w:color w:val="auto"/>
                <w:highlight w:val="none"/>
              </w:rPr>
            </w:pPr>
            <w:r>
              <w:rPr>
                <w:rFonts w:hint="eastAsia"/>
                <w:color w:val="auto"/>
                <w:highlight w:val="none"/>
              </w:rPr>
              <w:t>收</w:t>
            </w:r>
          </w:p>
          <w:p>
            <w:pPr>
              <w:jc w:val="center"/>
              <w:rPr>
                <w:color w:val="auto"/>
                <w:highlight w:val="none"/>
              </w:rPr>
            </w:pPr>
            <w:r>
              <w:rPr>
                <w:rFonts w:hint="eastAsia"/>
                <w:color w:val="auto"/>
                <w:highlight w:val="none"/>
              </w:rPr>
              <w:t>综</w:t>
            </w:r>
          </w:p>
          <w:p>
            <w:pPr>
              <w:jc w:val="center"/>
              <w:rPr>
                <w:color w:val="auto"/>
                <w:highlight w:val="none"/>
              </w:rPr>
            </w:pPr>
            <w:r>
              <w:rPr>
                <w:rFonts w:hint="eastAsia"/>
                <w:color w:val="auto"/>
                <w:highlight w:val="none"/>
              </w:rPr>
              <w:t>合</w:t>
            </w:r>
          </w:p>
          <w:p>
            <w:pPr>
              <w:jc w:val="center"/>
              <w:rPr>
                <w:color w:val="auto"/>
                <w:highlight w:val="none"/>
              </w:rPr>
            </w:pPr>
            <w:r>
              <w:rPr>
                <w:rFonts w:hint="eastAsia"/>
                <w:color w:val="auto"/>
                <w:highlight w:val="none"/>
              </w:rPr>
              <w:t>结</w:t>
            </w:r>
          </w:p>
          <w:p>
            <w:pPr>
              <w:jc w:val="center"/>
              <w:rPr>
                <w:color w:val="auto"/>
                <w:highlight w:val="none"/>
              </w:rPr>
            </w:pPr>
            <w:r>
              <w:rPr>
                <w:rFonts w:hint="eastAsia"/>
                <w:color w:val="auto"/>
                <w:highlight w:val="none"/>
              </w:rPr>
              <w:t>论</w:t>
            </w:r>
          </w:p>
          <w:p>
            <w:pPr>
              <w:rPr>
                <w:color w:val="auto"/>
                <w:highlight w:val="none"/>
              </w:rPr>
            </w:pPr>
          </w:p>
        </w:tc>
        <w:tc>
          <w:tcPr>
            <w:tcW w:w="7167" w:type="dxa"/>
            <w:gridSpan w:val="7"/>
            <w:vAlign w:val="center"/>
          </w:tcPr>
          <w:p>
            <w:pPr>
              <w:rPr>
                <w:color w:val="auto"/>
                <w:highlight w:val="none"/>
              </w:rPr>
            </w:pPr>
            <w:r>
              <w:rPr>
                <w:rFonts w:hint="eastAsia"/>
                <w:color w:val="auto"/>
                <w:highlight w:val="none"/>
              </w:rPr>
              <w:t>验收记录（包括设备的品牌、型号、配置、质保期、数量等以及合同约定的施</w:t>
            </w:r>
            <w:r>
              <w:rPr>
                <w:color w:val="auto"/>
                <w:highlight w:val="none"/>
              </w:rPr>
              <w:t>工质量、</w:t>
            </w:r>
            <w:r>
              <w:rPr>
                <w:rFonts w:hint="eastAsia"/>
                <w:color w:val="auto"/>
                <w:highlight w:val="none"/>
              </w:rPr>
              <w:t>服务考核情况）：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0" w:hRule="atLeast"/>
          <w:jc w:val="center"/>
        </w:trPr>
        <w:tc>
          <w:tcPr>
            <w:tcW w:w="1129" w:type="dxa"/>
            <w:vMerge w:val="continue"/>
            <w:vAlign w:val="center"/>
          </w:tcPr>
          <w:p>
            <w:pPr>
              <w:rPr>
                <w:color w:val="auto"/>
                <w:highlight w:val="none"/>
              </w:rPr>
            </w:pPr>
          </w:p>
        </w:tc>
        <w:tc>
          <w:tcPr>
            <w:tcW w:w="7167" w:type="dxa"/>
            <w:gridSpan w:val="7"/>
            <w:vAlign w:val="center"/>
          </w:tcPr>
          <w:p>
            <w:pPr>
              <w:rPr>
                <w:color w:val="auto"/>
                <w:highlight w:val="none"/>
              </w:rPr>
            </w:pPr>
            <w:r>
              <w:rPr>
                <w:color w:val="auto"/>
                <w:highlight w:val="none"/>
              </w:rPr>
              <w:t>　</w:t>
            </w:r>
          </w:p>
          <w:p>
            <w:pPr>
              <w:rPr>
                <w:color w:val="auto"/>
                <w:highlight w:val="none"/>
              </w:rPr>
            </w:pPr>
            <w:r>
              <w:rPr>
                <w:color w:val="auto"/>
                <w:highlight w:val="none"/>
              </w:rPr>
              <w:t>　</w:t>
            </w:r>
          </w:p>
          <w:p>
            <w:pPr>
              <w:rPr>
                <w:color w:val="auto"/>
                <w:highlight w:val="none"/>
              </w:rPr>
            </w:pPr>
            <w:r>
              <w:rPr>
                <w:color w:val="auto"/>
                <w:highlight w:val="none"/>
              </w:rPr>
              <w:t>　</w:t>
            </w:r>
          </w:p>
          <w:p>
            <w:pPr>
              <w:rPr>
                <w:color w:val="auto"/>
                <w:highlight w:val="none"/>
              </w:rPr>
            </w:pPr>
            <w:r>
              <w:rPr>
                <w:rFonts w:hint="eastAsia"/>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1129" w:type="dxa"/>
            <w:vMerge w:val="continue"/>
            <w:vAlign w:val="center"/>
          </w:tcPr>
          <w:p>
            <w:pPr>
              <w:rPr>
                <w:color w:val="auto"/>
                <w:highlight w:val="none"/>
              </w:rPr>
            </w:pPr>
          </w:p>
        </w:tc>
        <w:tc>
          <w:tcPr>
            <w:tcW w:w="7167" w:type="dxa"/>
            <w:gridSpan w:val="7"/>
            <w:vAlign w:val="center"/>
          </w:tcPr>
          <w:p>
            <w:pPr>
              <w:rPr>
                <w:color w:val="auto"/>
                <w:highlight w:val="none"/>
              </w:rPr>
            </w:pPr>
            <w:r>
              <w:rPr>
                <w:rFonts w:hint="eastAsia"/>
                <w:color w:val="auto"/>
                <w:highlight w:val="none"/>
              </w:rPr>
              <w:t>验收结论：合格（　）；不合格（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1129" w:type="dxa"/>
            <w:vMerge w:val="continue"/>
            <w:vAlign w:val="center"/>
          </w:tcPr>
          <w:p>
            <w:pPr>
              <w:rPr>
                <w:color w:val="auto"/>
                <w:highlight w:val="none"/>
              </w:rPr>
            </w:pPr>
          </w:p>
        </w:tc>
        <w:tc>
          <w:tcPr>
            <w:tcW w:w="7167" w:type="dxa"/>
            <w:gridSpan w:val="7"/>
            <w:vAlign w:val="center"/>
          </w:tcPr>
          <w:p>
            <w:pPr>
              <w:rPr>
                <w:color w:val="auto"/>
                <w:highlight w:val="none"/>
              </w:rPr>
            </w:pPr>
            <w:r>
              <w:rPr>
                <w:rFonts w:hint="eastAsia"/>
                <w:color w:val="auto"/>
                <w:highlight w:val="none"/>
              </w:rPr>
              <w:t xml:space="preserve">                                        验收负责人（签字）：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8296" w:type="dxa"/>
            <w:gridSpan w:val="8"/>
            <w:vAlign w:val="center"/>
          </w:tcPr>
          <w:p>
            <w:pPr>
              <w:rPr>
                <w:b/>
                <w:bCs/>
                <w:color w:val="auto"/>
                <w:highlight w:val="none"/>
              </w:rPr>
            </w:pPr>
            <w:r>
              <w:rPr>
                <w:rFonts w:hint="eastAsia"/>
                <w:b/>
                <w:bCs/>
                <w:color w:val="auto"/>
                <w:highlight w:val="none"/>
              </w:rPr>
              <w:t>验  收  人  员  意  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29" w:type="dxa"/>
            <w:vAlign w:val="center"/>
          </w:tcPr>
          <w:p>
            <w:pPr>
              <w:rPr>
                <w:color w:val="auto"/>
                <w:highlight w:val="none"/>
              </w:rPr>
            </w:pPr>
            <w:r>
              <w:rPr>
                <w:rFonts w:hint="eastAsia"/>
                <w:color w:val="auto"/>
                <w:highlight w:val="none"/>
              </w:rPr>
              <w:t>姓名</w:t>
            </w:r>
          </w:p>
        </w:tc>
        <w:tc>
          <w:tcPr>
            <w:tcW w:w="2239" w:type="dxa"/>
            <w:gridSpan w:val="3"/>
            <w:vAlign w:val="center"/>
          </w:tcPr>
          <w:p>
            <w:pPr>
              <w:rPr>
                <w:color w:val="auto"/>
                <w:highlight w:val="none"/>
              </w:rPr>
            </w:pPr>
            <w:r>
              <w:rPr>
                <w:rFonts w:hint="eastAsia"/>
                <w:color w:val="auto"/>
                <w:highlight w:val="none"/>
              </w:rPr>
              <w:t>工作单位</w:t>
            </w:r>
          </w:p>
        </w:tc>
        <w:tc>
          <w:tcPr>
            <w:tcW w:w="1022" w:type="dxa"/>
            <w:vAlign w:val="center"/>
          </w:tcPr>
          <w:p>
            <w:pPr>
              <w:rPr>
                <w:color w:val="auto"/>
                <w:highlight w:val="none"/>
              </w:rPr>
            </w:pPr>
            <w:r>
              <w:rPr>
                <w:rFonts w:hint="eastAsia"/>
                <w:color w:val="auto"/>
                <w:highlight w:val="none"/>
              </w:rPr>
              <w:t>职务</w:t>
            </w:r>
            <w:r>
              <w:rPr>
                <w:color w:val="auto"/>
                <w:highlight w:val="none"/>
              </w:rPr>
              <w:t>/</w:t>
            </w:r>
            <w:r>
              <w:rPr>
                <w:rFonts w:hint="eastAsia"/>
                <w:color w:val="auto"/>
                <w:highlight w:val="none"/>
              </w:rPr>
              <w:t>职称</w:t>
            </w:r>
          </w:p>
        </w:tc>
        <w:tc>
          <w:tcPr>
            <w:tcW w:w="1320" w:type="dxa"/>
            <w:vAlign w:val="center"/>
          </w:tcPr>
          <w:p>
            <w:pPr>
              <w:rPr>
                <w:color w:val="auto"/>
                <w:highlight w:val="none"/>
              </w:rPr>
            </w:pPr>
            <w:r>
              <w:rPr>
                <w:rFonts w:hint="eastAsia"/>
                <w:color w:val="auto"/>
                <w:highlight w:val="none"/>
              </w:rPr>
              <w:t>联系电话</w:t>
            </w:r>
          </w:p>
        </w:tc>
        <w:tc>
          <w:tcPr>
            <w:tcW w:w="1293" w:type="dxa"/>
            <w:vAlign w:val="center"/>
          </w:tcPr>
          <w:p>
            <w:pPr>
              <w:rPr>
                <w:color w:val="auto"/>
                <w:highlight w:val="none"/>
              </w:rPr>
            </w:pPr>
            <w:r>
              <w:rPr>
                <w:rFonts w:hint="eastAsia"/>
                <w:color w:val="auto"/>
                <w:highlight w:val="none"/>
              </w:rPr>
              <w:t>合格或不合格</w:t>
            </w:r>
          </w:p>
        </w:tc>
        <w:tc>
          <w:tcPr>
            <w:tcW w:w="1293" w:type="dxa"/>
            <w:vAlign w:val="center"/>
          </w:tcPr>
          <w:p>
            <w:pPr>
              <w:rPr>
                <w:color w:val="auto"/>
                <w:highlight w:val="none"/>
              </w:rPr>
            </w:pPr>
            <w:r>
              <w:rPr>
                <w:rFonts w:hint="eastAsia"/>
                <w:color w:val="auto"/>
                <w:highlight w:val="none"/>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129" w:type="dxa"/>
            <w:vAlign w:val="center"/>
          </w:tcPr>
          <w:p>
            <w:pPr>
              <w:rPr>
                <w:color w:val="auto"/>
                <w:highlight w:val="none"/>
              </w:rPr>
            </w:pPr>
            <w:r>
              <w:rPr>
                <w:color w:val="auto"/>
                <w:highlight w:val="none"/>
              </w:rPr>
              <w:t>　</w:t>
            </w:r>
          </w:p>
        </w:tc>
        <w:tc>
          <w:tcPr>
            <w:tcW w:w="2239" w:type="dxa"/>
            <w:gridSpan w:val="3"/>
            <w:vAlign w:val="center"/>
          </w:tcPr>
          <w:p>
            <w:pPr>
              <w:rPr>
                <w:color w:val="auto"/>
                <w:highlight w:val="none"/>
              </w:rPr>
            </w:pPr>
            <w:r>
              <w:rPr>
                <w:rFonts w:hint="eastAsia"/>
                <w:color w:val="auto"/>
                <w:highlight w:val="none"/>
              </w:rPr>
              <w:t>　</w:t>
            </w:r>
          </w:p>
        </w:tc>
        <w:tc>
          <w:tcPr>
            <w:tcW w:w="1022" w:type="dxa"/>
            <w:vAlign w:val="center"/>
          </w:tcPr>
          <w:p>
            <w:pPr>
              <w:rPr>
                <w:color w:val="auto"/>
                <w:highlight w:val="none"/>
              </w:rPr>
            </w:pPr>
            <w:r>
              <w:rPr>
                <w:color w:val="auto"/>
                <w:highlight w:val="none"/>
              </w:rPr>
              <w:t>　</w:t>
            </w:r>
          </w:p>
        </w:tc>
        <w:tc>
          <w:tcPr>
            <w:tcW w:w="1320"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129" w:type="dxa"/>
            <w:vAlign w:val="center"/>
          </w:tcPr>
          <w:p>
            <w:pPr>
              <w:rPr>
                <w:color w:val="auto"/>
                <w:highlight w:val="none"/>
              </w:rPr>
            </w:pPr>
            <w:r>
              <w:rPr>
                <w:color w:val="auto"/>
                <w:highlight w:val="none"/>
              </w:rPr>
              <w:t>　</w:t>
            </w:r>
          </w:p>
        </w:tc>
        <w:tc>
          <w:tcPr>
            <w:tcW w:w="2239" w:type="dxa"/>
            <w:gridSpan w:val="3"/>
            <w:vAlign w:val="center"/>
          </w:tcPr>
          <w:p>
            <w:pPr>
              <w:rPr>
                <w:color w:val="auto"/>
                <w:highlight w:val="none"/>
              </w:rPr>
            </w:pPr>
            <w:r>
              <w:rPr>
                <w:rFonts w:hint="eastAsia"/>
                <w:color w:val="auto"/>
                <w:highlight w:val="none"/>
              </w:rPr>
              <w:t>　</w:t>
            </w:r>
          </w:p>
        </w:tc>
        <w:tc>
          <w:tcPr>
            <w:tcW w:w="1022" w:type="dxa"/>
            <w:vAlign w:val="center"/>
          </w:tcPr>
          <w:p>
            <w:pPr>
              <w:rPr>
                <w:color w:val="auto"/>
                <w:highlight w:val="none"/>
              </w:rPr>
            </w:pPr>
            <w:r>
              <w:rPr>
                <w:color w:val="auto"/>
                <w:highlight w:val="none"/>
              </w:rPr>
              <w:t>　</w:t>
            </w:r>
          </w:p>
        </w:tc>
        <w:tc>
          <w:tcPr>
            <w:tcW w:w="1320"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129" w:type="dxa"/>
            <w:vAlign w:val="center"/>
          </w:tcPr>
          <w:p>
            <w:pPr>
              <w:rPr>
                <w:color w:val="auto"/>
                <w:highlight w:val="none"/>
              </w:rPr>
            </w:pPr>
            <w:r>
              <w:rPr>
                <w:color w:val="auto"/>
                <w:highlight w:val="none"/>
              </w:rPr>
              <w:t>　</w:t>
            </w:r>
          </w:p>
        </w:tc>
        <w:tc>
          <w:tcPr>
            <w:tcW w:w="2239" w:type="dxa"/>
            <w:gridSpan w:val="3"/>
            <w:vAlign w:val="center"/>
          </w:tcPr>
          <w:p>
            <w:pPr>
              <w:rPr>
                <w:color w:val="auto"/>
                <w:highlight w:val="none"/>
              </w:rPr>
            </w:pPr>
            <w:r>
              <w:rPr>
                <w:rFonts w:hint="eastAsia"/>
                <w:color w:val="auto"/>
                <w:highlight w:val="none"/>
              </w:rPr>
              <w:t>　</w:t>
            </w:r>
          </w:p>
        </w:tc>
        <w:tc>
          <w:tcPr>
            <w:tcW w:w="1022" w:type="dxa"/>
            <w:vAlign w:val="center"/>
          </w:tcPr>
          <w:p>
            <w:pPr>
              <w:rPr>
                <w:color w:val="auto"/>
                <w:highlight w:val="none"/>
              </w:rPr>
            </w:pPr>
            <w:r>
              <w:rPr>
                <w:color w:val="auto"/>
                <w:highlight w:val="none"/>
              </w:rPr>
              <w:t>　</w:t>
            </w:r>
          </w:p>
        </w:tc>
        <w:tc>
          <w:tcPr>
            <w:tcW w:w="1320"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129" w:type="dxa"/>
            <w:vAlign w:val="center"/>
          </w:tcPr>
          <w:p>
            <w:pPr>
              <w:rPr>
                <w:color w:val="auto"/>
                <w:highlight w:val="none"/>
              </w:rPr>
            </w:pPr>
            <w:r>
              <w:rPr>
                <w:color w:val="auto"/>
                <w:highlight w:val="none"/>
              </w:rPr>
              <w:t>　</w:t>
            </w:r>
          </w:p>
        </w:tc>
        <w:tc>
          <w:tcPr>
            <w:tcW w:w="2239" w:type="dxa"/>
            <w:gridSpan w:val="3"/>
            <w:vAlign w:val="center"/>
          </w:tcPr>
          <w:p>
            <w:pPr>
              <w:rPr>
                <w:color w:val="auto"/>
                <w:highlight w:val="none"/>
              </w:rPr>
            </w:pPr>
            <w:r>
              <w:rPr>
                <w:rFonts w:hint="eastAsia"/>
                <w:color w:val="auto"/>
                <w:highlight w:val="none"/>
              </w:rPr>
              <w:t>　</w:t>
            </w:r>
          </w:p>
        </w:tc>
        <w:tc>
          <w:tcPr>
            <w:tcW w:w="1022" w:type="dxa"/>
            <w:vAlign w:val="center"/>
          </w:tcPr>
          <w:p>
            <w:pPr>
              <w:rPr>
                <w:color w:val="auto"/>
                <w:highlight w:val="none"/>
              </w:rPr>
            </w:pPr>
            <w:r>
              <w:rPr>
                <w:color w:val="auto"/>
                <w:highlight w:val="none"/>
              </w:rPr>
              <w:t>　</w:t>
            </w:r>
          </w:p>
        </w:tc>
        <w:tc>
          <w:tcPr>
            <w:tcW w:w="1320"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129" w:type="dxa"/>
            <w:vAlign w:val="center"/>
          </w:tcPr>
          <w:p>
            <w:pPr>
              <w:rPr>
                <w:color w:val="auto"/>
                <w:highlight w:val="none"/>
              </w:rPr>
            </w:pPr>
            <w:r>
              <w:rPr>
                <w:color w:val="auto"/>
                <w:highlight w:val="none"/>
              </w:rPr>
              <w:t>　</w:t>
            </w:r>
          </w:p>
        </w:tc>
        <w:tc>
          <w:tcPr>
            <w:tcW w:w="2239" w:type="dxa"/>
            <w:gridSpan w:val="3"/>
            <w:vAlign w:val="center"/>
          </w:tcPr>
          <w:p>
            <w:pPr>
              <w:rPr>
                <w:color w:val="auto"/>
                <w:highlight w:val="none"/>
              </w:rPr>
            </w:pPr>
            <w:r>
              <w:rPr>
                <w:rFonts w:hint="eastAsia"/>
                <w:color w:val="auto"/>
                <w:highlight w:val="none"/>
              </w:rPr>
              <w:t>　</w:t>
            </w:r>
          </w:p>
        </w:tc>
        <w:tc>
          <w:tcPr>
            <w:tcW w:w="1022" w:type="dxa"/>
            <w:vAlign w:val="center"/>
          </w:tcPr>
          <w:p>
            <w:pPr>
              <w:rPr>
                <w:color w:val="auto"/>
                <w:highlight w:val="none"/>
              </w:rPr>
            </w:pPr>
            <w:r>
              <w:rPr>
                <w:color w:val="auto"/>
                <w:highlight w:val="none"/>
              </w:rPr>
              <w:t>　</w:t>
            </w:r>
          </w:p>
        </w:tc>
        <w:tc>
          <w:tcPr>
            <w:tcW w:w="1320"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c>
          <w:tcPr>
            <w:tcW w:w="1293" w:type="dxa"/>
            <w:vAlign w:val="center"/>
          </w:tcPr>
          <w:p>
            <w:pPr>
              <w:rPr>
                <w:color w:val="auto"/>
                <w:highlight w:val="none"/>
              </w:rPr>
            </w:pPr>
            <w:r>
              <w:rPr>
                <w:color w:val="auto"/>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29" w:type="dxa"/>
            <w:vAlign w:val="center"/>
          </w:tcPr>
          <w:p>
            <w:pPr>
              <w:rPr>
                <w:color w:val="auto"/>
                <w:highlight w:val="none"/>
              </w:rPr>
            </w:pPr>
            <w:r>
              <w:rPr>
                <w:rFonts w:hint="eastAsia"/>
                <w:color w:val="auto"/>
                <w:highlight w:val="none"/>
              </w:rPr>
              <w:t>备　注</w:t>
            </w:r>
          </w:p>
        </w:tc>
        <w:tc>
          <w:tcPr>
            <w:tcW w:w="7167" w:type="dxa"/>
            <w:gridSpan w:val="7"/>
            <w:vAlign w:val="center"/>
          </w:tcPr>
          <w:p>
            <w:pPr>
              <w:rPr>
                <w:color w:val="auto"/>
                <w:highlight w:val="none"/>
              </w:rPr>
            </w:pPr>
            <w:r>
              <w:rPr>
                <w:color w:val="auto"/>
                <w:highlight w:val="none"/>
              </w:rPr>
              <w:t>　</w:t>
            </w:r>
          </w:p>
        </w:tc>
      </w:tr>
    </w:tbl>
    <w:p>
      <w:pPr>
        <w:rPr>
          <w:color w:val="auto"/>
          <w:highlight w:val="none"/>
        </w:rPr>
      </w:pPr>
    </w:p>
    <w:p>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2"/>
      <w:r>
        <w:rPr>
          <w:rFonts w:hint="eastAsia" w:ascii="宋体" w:hAnsi="宋体" w:cs="宋体"/>
          <w:b/>
          <w:color w:val="auto"/>
          <w:sz w:val="36"/>
          <w:szCs w:val="20"/>
          <w:highlight w:val="none"/>
        </w:rPr>
        <w:t xml:space="preserve"> </w:t>
      </w:r>
      <w:bookmarkEnd w:id="33"/>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杭州市上城区教育发展服务中心、欧邦工程管理集团有限公司：</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2024年杭州市上城区教育系统网络改造项目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OBZB-2024-0523</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pPr>
        <w:widowControl/>
        <w:spacing w:line="360" w:lineRule="auto"/>
        <w:ind w:firstLine="480"/>
        <w:jc w:val="left"/>
        <w:rPr>
          <w:rFonts w:ascii="宋体" w:hAnsi="宋体" w:cs="宋体"/>
          <w:color w:val="auto"/>
          <w:sz w:val="24"/>
          <w:highlight w:val="none"/>
        </w:rPr>
      </w:pPr>
    </w:p>
    <w:p>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pPr>
        <w:widowControl/>
        <w:spacing w:line="360" w:lineRule="auto"/>
        <w:ind w:left="150"/>
        <w:jc w:val="center"/>
        <w:rPr>
          <w:rFonts w:ascii="宋体" w:hAnsi="宋体" w:cs="宋体"/>
          <w:b/>
          <w:color w:val="auto"/>
          <w:kern w:val="0"/>
          <w:sz w:val="32"/>
          <w:szCs w:val="32"/>
          <w:highlight w:val="none"/>
        </w:rPr>
      </w:pPr>
    </w:p>
    <w:p>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hAnsi="宋体" w:cs="宋体"/>
          <w:color w:val="auto"/>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pStyle w:val="5"/>
        <w:rPr>
          <w:color w:val="auto"/>
          <w:highlight w:val="none"/>
          <w:lang w:val="en-US"/>
        </w:rPr>
      </w:pPr>
    </w:p>
    <w:p>
      <w:pPr>
        <w:rPr>
          <w:color w:val="auto"/>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snapToGrid w:val="0"/>
        <w:spacing w:line="360" w:lineRule="auto"/>
        <w:ind w:firstLine="3855" w:firstLineChars="1200"/>
        <w:outlineLvl w:val="0"/>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杭州市上城区教育发展服务中心、欧邦工程管理集团有限公司：</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2024年杭州市上城区教育系统网络改造项目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OBZB-2024-0523</w:t>
      </w:r>
      <w:r>
        <w:rPr>
          <w:rFonts w:hint="eastAsia" w:ascii="宋体" w:hAnsi="宋体" w:cs="宋体"/>
          <w:color w:val="auto"/>
          <w:sz w:val="24"/>
          <w:highlight w:val="none"/>
        </w:rPr>
        <w:t>】招标的有关活动，并对此项目进行投标。为此：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napToGrid w:val="0"/>
        <w:spacing w:line="360" w:lineRule="auto"/>
        <w:jc w:val="center"/>
        <w:rPr>
          <w:rFonts w:ascii="宋体" w:hAnsi="宋体" w:cs="宋体"/>
          <w:b/>
          <w:color w:val="auto"/>
          <w:kern w:val="0"/>
          <w:sz w:val="32"/>
          <w:szCs w:val="32"/>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杭州市上城区教育发展服务中心、欧邦工程管理集团有限公司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2024年杭州市上城区教育系统网络改造项目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OBZB-2024-0523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杭州市上城区教育发展服务中心、欧邦工程管理集团有限公司</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2024年杭州市上城区教育系统网络改造项目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OBZB-2024-0523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147"/>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7"/>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7"/>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pPr>
        <w:widowControl/>
        <w:spacing w:line="360" w:lineRule="auto"/>
        <w:ind w:firstLine="120" w:firstLineChars="50"/>
        <w:jc w:val="left"/>
        <w:rPr>
          <w:rFonts w:ascii="宋体" w:hAnsi="宋体" w:cs="宋体"/>
          <w:color w:val="auto"/>
          <w:sz w:val="24"/>
          <w:highlight w:val="none"/>
        </w:rPr>
      </w:pPr>
      <w:bookmarkStart w:id="35"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35"/>
    <w:p>
      <w:pPr>
        <w:snapToGrid w:val="0"/>
        <w:spacing w:line="360" w:lineRule="auto"/>
        <w:rPr>
          <w:rFonts w:ascii="宋体" w:hAnsi="宋体" w:cs="宋体"/>
          <w:color w:val="auto"/>
          <w:kern w:val="0"/>
          <w:sz w:val="24"/>
          <w:highlight w:val="none"/>
        </w:rPr>
      </w:pPr>
    </w:p>
    <w:p>
      <w:pPr>
        <w:jc w:val="center"/>
        <w:rPr>
          <w:rFonts w:ascii="宋体" w:hAnsi="宋体" w:cs="宋体"/>
          <w:b/>
          <w:color w:val="auto"/>
          <w:kern w:val="0"/>
          <w:sz w:val="32"/>
          <w:szCs w:val="32"/>
          <w:highlight w:val="none"/>
        </w:rPr>
      </w:pPr>
    </w:p>
    <w:p>
      <w:pPr>
        <w:pStyle w:val="5"/>
        <w:rPr>
          <w:color w:val="auto"/>
          <w:highlight w:val="none"/>
          <w:lang w:val="en-US"/>
        </w:rPr>
      </w:pPr>
    </w:p>
    <w:p>
      <w:pPr>
        <w:rPr>
          <w:color w:val="auto"/>
          <w:highlight w:val="none"/>
        </w:rPr>
      </w:pPr>
    </w:p>
    <w:p>
      <w:pPr>
        <w:pStyle w:val="5"/>
        <w:rPr>
          <w:color w:val="auto"/>
          <w:highlight w:val="none"/>
          <w:lang w:val="en-US"/>
        </w:rPr>
      </w:pPr>
    </w:p>
    <w:p>
      <w:pPr>
        <w:jc w:val="center"/>
        <w:rPr>
          <w:rFonts w:ascii="宋体" w:hAnsi="宋体" w:cs="宋体"/>
          <w:b/>
          <w:color w:val="auto"/>
          <w:kern w:val="0"/>
          <w:sz w:val="32"/>
          <w:szCs w:val="32"/>
          <w:highlight w:val="none"/>
        </w:rPr>
      </w:pPr>
    </w:p>
    <w:p>
      <w:pPr>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见投标文件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ind w:firstLine="0" w:firstLineChars="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ind w:firstLine="1911" w:firstLineChars="595"/>
        <w:rPr>
          <w:rFonts w:ascii="宋体" w:hAnsi="宋体" w:cs="宋体"/>
          <w:b/>
          <w:bCs/>
          <w:color w:val="auto"/>
          <w:sz w:val="32"/>
          <w:szCs w:val="32"/>
          <w:highlight w:val="none"/>
        </w:rPr>
      </w:pPr>
    </w:p>
    <w:p>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杭州市上城区教育发展服务中心、欧邦工程管理集团有限公司</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杭州市上城区教育发展服务中心、欧邦工程管理集团有限公司</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2024年杭州市上城区教育系统网络改造项目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OBZB-2024-0523</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866"/>
        <w:gridCol w:w="1208"/>
        <w:gridCol w:w="1638"/>
        <w:gridCol w:w="2104"/>
        <w:gridCol w:w="1980"/>
        <w:gridCol w:w="1856"/>
        <w:gridCol w:w="1857"/>
        <w:gridCol w:w="1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atLeast"/>
        </w:trPr>
        <w:tc>
          <w:tcPr>
            <w:tcW w:w="713"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866" w:type="dxa"/>
            <w:vAlign w:val="center"/>
          </w:tcPr>
          <w:p>
            <w:pPr>
              <w:spacing w:line="360" w:lineRule="auto"/>
              <w:jc w:val="center"/>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学校</w:t>
            </w:r>
          </w:p>
          <w:p>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名称</w:t>
            </w:r>
          </w:p>
        </w:tc>
        <w:tc>
          <w:tcPr>
            <w:tcW w:w="1208"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638" w:type="dxa"/>
            <w:vAlign w:val="center"/>
          </w:tcPr>
          <w:p>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品牌</w:t>
            </w: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（如果有）</w:t>
            </w:r>
          </w:p>
        </w:tc>
        <w:tc>
          <w:tcPr>
            <w:tcW w:w="2104"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198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856"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857"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1856"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杭州师范大学第一附属小学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eastAsia="宋体" w:cs="宋体"/>
                <w:color w:val="auto"/>
                <w:kern w:val="2"/>
                <w:sz w:val="24"/>
                <w:szCs w:val="24"/>
                <w:highlight w:val="none"/>
                <w:lang w:val="en-US" w:eastAsia="zh-CN" w:bidi="ar-SA"/>
              </w:rPr>
            </w:pPr>
          </w:p>
          <w:p>
            <w:pPr>
              <w:snapToGrid w:val="0"/>
              <w:spacing w:line="360" w:lineRule="auto"/>
              <w:jc w:val="center"/>
              <w:rPr>
                <w:rFonts w:ascii="宋体" w:hAnsi="宋体" w:eastAsia="宋体" w:cs="宋体"/>
                <w:color w:val="auto"/>
                <w:kern w:val="2"/>
                <w:sz w:val="24"/>
                <w:szCs w:val="24"/>
                <w:highlight w:val="none"/>
                <w:lang w:val="en-US" w:eastAsia="zh-CN" w:bidi="ar-SA"/>
              </w:rPr>
            </w:pPr>
          </w:p>
          <w:p>
            <w:pPr>
              <w:snapToGrid w:val="0"/>
              <w:spacing w:line="360" w:lineRule="auto"/>
              <w:jc w:val="center"/>
              <w:rPr>
                <w:rFonts w:ascii="宋体" w:hAnsi="宋体" w:eastAsia="宋体" w:cs="宋体"/>
                <w:color w:val="auto"/>
                <w:sz w:val="24"/>
                <w:highlight w:val="none"/>
              </w:rPr>
            </w:pPr>
          </w:p>
        </w:tc>
        <w:tc>
          <w:tcPr>
            <w:tcW w:w="1980" w:type="dxa"/>
            <w:vAlign w:val="center"/>
          </w:tcPr>
          <w:p>
            <w:pPr>
              <w:snapToGrid w:val="0"/>
              <w:spacing w:line="360" w:lineRule="auto"/>
              <w:jc w:val="center"/>
              <w:rPr>
                <w:rFonts w:ascii="宋体" w:hAnsi="宋体" w:eastAsia="宋体" w:cs="宋体"/>
                <w:color w:val="auto"/>
                <w:sz w:val="24"/>
                <w:highlight w:val="none"/>
                <w:lang w:val="en-US" w:eastAsia="zh-CN"/>
              </w:rPr>
            </w:pPr>
          </w:p>
          <w:p>
            <w:pPr>
              <w:snapToGrid w:val="0"/>
              <w:spacing w:line="360" w:lineRule="auto"/>
              <w:jc w:val="center"/>
              <w:rPr>
                <w:rFonts w:ascii="宋体" w:hAnsi="宋体" w:eastAsia="宋体" w:cs="宋体"/>
                <w:color w:val="auto"/>
                <w:sz w:val="24"/>
                <w:highlight w:val="none"/>
                <w:lang w:val="en-US" w:eastAsia="zh-CN"/>
              </w:rPr>
            </w:pPr>
          </w:p>
          <w:p>
            <w:pPr>
              <w:snapToGrid w:val="0"/>
              <w:spacing w:line="360" w:lineRule="auto"/>
              <w:jc w:val="center"/>
              <w:rPr>
                <w:rFonts w:ascii="宋体" w:hAnsi="宋体" w:eastAsia="宋体" w:cs="宋体"/>
                <w:color w:val="auto"/>
                <w:sz w:val="24"/>
                <w:highlight w:val="none"/>
              </w:rPr>
            </w:pPr>
          </w:p>
        </w:tc>
        <w:tc>
          <w:tcPr>
            <w:tcW w:w="1856" w:type="dxa"/>
            <w:vAlign w:val="center"/>
          </w:tcPr>
          <w:p>
            <w:pPr>
              <w:snapToGrid w:val="0"/>
              <w:spacing w:line="360" w:lineRule="auto"/>
              <w:jc w:val="center"/>
              <w:rPr>
                <w:rFonts w:ascii="宋体" w:hAnsi="宋体" w:eastAsia="宋体" w:cs="宋体"/>
                <w:color w:val="auto"/>
                <w:sz w:val="24"/>
                <w:highlight w:val="none"/>
              </w:rPr>
            </w:pPr>
          </w:p>
        </w:tc>
        <w:tc>
          <w:tcPr>
            <w:tcW w:w="1857" w:type="dxa"/>
          </w:tcPr>
          <w:p>
            <w:pPr>
              <w:snapToGrid w:val="0"/>
              <w:spacing w:line="360" w:lineRule="auto"/>
              <w:jc w:val="center"/>
              <w:rPr>
                <w:rFonts w:ascii="宋体" w:hAnsi="宋体" w:eastAsia="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eastAsia="宋体" w:cs="宋体"/>
                <w:color w:val="auto"/>
                <w:kern w:val="2"/>
                <w:sz w:val="24"/>
                <w:szCs w:val="24"/>
                <w:highlight w:val="none"/>
                <w:lang w:val="en-US" w:eastAsia="zh-CN" w:bidi="ar-SA"/>
              </w:rPr>
            </w:pPr>
          </w:p>
        </w:tc>
        <w:tc>
          <w:tcPr>
            <w:tcW w:w="1980" w:type="dxa"/>
            <w:vAlign w:val="center"/>
          </w:tcPr>
          <w:p>
            <w:pPr>
              <w:snapToGrid w:val="0"/>
              <w:spacing w:line="360" w:lineRule="auto"/>
              <w:jc w:val="center"/>
              <w:rPr>
                <w:rFonts w:ascii="宋体" w:hAnsi="宋体" w:eastAsia="宋体" w:cs="宋体"/>
                <w:color w:val="auto"/>
                <w:kern w:val="2"/>
                <w:sz w:val="24"/>
                <w:szCs w:val="24"/>
                <w:highlight w:val="none"/>
                <w:lang w:val="en-US" w:eastAsia="zh-CN" w:bidi="ar-SA"/>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杭州师范大学第一附属小学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杭州市高银巷小学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杭州市高银巷小学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杭州市吴山幼儿园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杭州市吴山幼儿园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杭州市清波幼儿园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杭州市清波幼儿园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杭州市胜利实验学校</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杭州市胜利实验学校</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杭州市凤凰小学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杭州市凤凰小学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杭州市紫阳小学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杭州市紫阳小学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杭州市蒋筑英学校</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杭州市蒋筑英学校</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杭州市江城中学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杭州市江城中学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杭州市凤凰幼儿园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凤凰园区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杭州市凤凰幼儿园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凤凰园区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杭州市凤凰幼儿园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亲亲园区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杭州市凤凰幼儿园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亲亲园区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杭州市娃哈哈幼儿园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赞成园区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杭州市娃哈哈幼儿园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赞成园区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杭州市娃哈哈幼儿园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新城园区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杭州市娃哈哈幼儿园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新城园区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杭州市紫阳幼儿园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杭州市紫阳幼儿园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杭州市培红幼儿园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培红园区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杭州市培红幼儿园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培红园区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杭州市培红幼儿园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保安桥园区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杭州市培红幼儿园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保安桥园区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杭州市胜利金都幼儿园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杭州市胜利金都幼儿园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杭州市行知新城幼儿园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杭州市行知新城幼儿园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杭州市胜利小学附属幼儿园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杭州市胜利小学附属幼儿园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杭州市海潮幼儿园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杭州市海潮幼儿园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杭州市陶子幼儿园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陶子园区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杭州市陶子幼儿园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陶子园区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杭州市陶子幼儿园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水澄园区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杭州市陶子幼儿园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水澄园区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杭州市行知金陶幼儿园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金陶园区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杭州市行知金陶幼儿园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金陶园区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杭州市行知金陶幼儿园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闸口园区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杭州市行知金陶幼儿园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闸口园区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杭州市行知金陶幼儿园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美政园区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杭州市行知金陶幼儿园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美政园区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杭州市天长小学东坡校区</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杭州市天长小学东坡校区</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杭州市天长小学孝女路校区</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杭州市天长小学孝女路校区</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杭州市娃哈哈小学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杭州市娃哈哈小学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杭州市惠兴中学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杭州市惠兴中学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杭州新世纪外国语学校</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杭州新世纪外国语学校</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杭州市行知幼儿园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杭州市行知幼儿园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杭州市饮马井巷小学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杭州市饮马井巷小学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杭州市大学路小学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杭州市大学路小学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杭州市回族穆兴小学穆兴校区</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杭州市回族穆兴小学穆兴校区</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杭州市回族穆兴小学小营校区</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杭州市回族穆兴小学小营校区</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杭州市胜利幼儿园大学路园区</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杭州市胜利幼儿园大学路园区</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杭州市胜利瑞丰幼儿园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小营园区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杭州市胜利瑞丰幼儿园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小营园区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杭州市胜利瑞丰幼儿园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瑞丰园区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杭州市胜利瑞丰幼儿园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瑞丰园区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杭州市胜利东河幼儿园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大塔儿园区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杭州市胜利东河幼儿园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大塔儿园区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杭州市胜利东河幼儿园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东河园区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杭州市胜利东河幼儿园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东河园区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杭州市胜利小学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杭州市胜利小学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杭州市勇进实验学校</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杭州市勇进实验学校</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cs="宋体"/>
                <w:color w:val="auto"/>
                <w:sz w:val="24"/>
                <w:highlight w:val="none"/>
              </w:rPr>
            </w:pPr>
            <w:r>
              <w:rPr>
                <w:rFonts w:hint="eastAsia" w:ascii="宋体" w:hAnsi="宋体" w:eastAsia="宋体" w:cs="宋体"/>
                <w:color w:val="auto"/>
                <w:kern w:val="0"/>
                <w:sz w:val="20"/>
                <w:szCs w:val="20"/>
                <w:highlight w:val="none"/>
                <w:lang w:bidi="ar"/>
              </w:rPr>
              <w:t>杭州市开元中学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杭州市开元中学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杭州市近江幼儿园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近江园区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杭州市近江幼儿园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近江园区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杭州市近江幼儿园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依江园区</w:t>
            </w:r>
            <w:r>
              <w:rPr>
                <w:rFonts w:hint="eastAsia" w:ascii="宋体" w:hAnsi="宋体" w:cs="宋体"/>
                <w:color w:val="auto"/>
                <w:kern w:val="0"/>
                <w:sz w:val="20"/>
                <w:szCs w:val="20"/>
                <w:highlight w:val="none"/>
                <w:lang w:eastAsia="zh-CN" w:bidi="ar"/>
              </w:rPr>
              <w:t>）</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杭州市近江幼儿园</w:t>
            </w:r>
            <w:r>
              <w:rPr>
                <w:rFonts w:hint="eastAsia" w:ascii="宋体" w:hAnsi="宋体" w:cs="宋体"/>
                <w:color w:val="auto"/>
                <w:kern w:val="0"/>
                <w:sz w:val="20"/>
                <w:szCs w:val="20"/>
                <w:highlight w:val="none"/>
                <w:lang w:eastAsia="zh-CN" w:bidi="ar"/>
              </w:rPr>
              <w:t>（</w:t>
            </w:r>
            <w:r>
              <w:rPr>
                <w:rFonts w:hint="eastAsia" w:ascii="宋体" w:hAnsi="宋体" w:eastAsia="宋体" w:cs="宋体"/>
                <w:color w:val="auto"/>
                <w:kern w:val="0"/>
                <w:sz w:val="20"/>
                <w:szCs w:val="20"/>
                <w:highlight w:val="none"/>
                <w:lang w:bidi="ar"/>
              </w:rPr>
              <w:t>依江园区</w:t>
            </w:r>
            <w:r>
              <w:rPr>
                <w:rFonts w:hint="eastAsia" w:ascii="宋体" w:hAnsi="宋体" w:cs="宋体"/>
                <w:color w:val="auto"/>
                <w:kern w:val="0"/>
                <w:sz w:val="20"/>
                <w:szCs w:val="20"/>
                <w:highlight w:val="none"/>
                <w:lang w:eastAsia="zh-CN" w:bidi="ar"/>
              </w:rPr>
              <w:t>）</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 xml:space="preserve">杭州市上城区教育学院 </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 xml:space="preserve">杭州市上城区教育学院 </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杭州市丁兰第二幼儿园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杭州市丁兰第二幼儿园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杭州市时代小学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杭州市时代小学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杭州市凯旋实验幼儿园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杭州市凯旋实验幼儿园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杭州市阳光幼儿园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杭州市阳光幼儿园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杭州市澎行幼儿园</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杭州市澎行幼儿园</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杭州市金都天长小学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杭州市金都天长小学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杭州第六中学</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杭州第六中学</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杭州师范大学附属丁兰实验学校</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杭州师范大学附属丁兰实验学校</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866" w:type="dxa"/>
            <w:vMerge w:val="restart"/>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0"/>
                <w:szCs w:val="20"/>
                <w:highlight w:val="none"/>
                <w:lang w:bidi="ar"/>
              </w:rPr>
              <w:t>杭州市上城区教育评估与检测中心</w:t>
            </w: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66" w:type="dxa"/>
            <w:vMerge w:val="continue"/>
            <w:vAlign w:val="center"/>
          </w:tcPr>
          <w:p>
            <w:pPr>
              <w:snapToGrid w:val="0"/>
              <w:spacing w:line="360" w:lineRule="auto"/>
              <w:jc w:val="center"/>
              <w:rPr>
                <w:rFonts w:hint="eastAsia"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13"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866" w:type="dxa"/>
            <w:vMerge w:val="continue"/>
            <w:vAlign w:val="center"/>
          </w:tcPr>
          <w:p>
            <w:pPr>
              <w:snapToGrid w:val="0"/>
              <w:spacing w:line="360" w:lineRule="auto"/>
              <w:jc w:val="center"/>
              <w:rPr>
                <w:rFonts w:ascii="宋体" w:hAnsi="宋体" w:cs="宋体"/>
                <w:color w:val="auto"/>
                <w:sz w:val="24"/>
                <w:highlight w:val="none"/>
              </w:rPr>
            </w:pPr>
          </w:p>
        </w:tc>
        <w:tc>
          <w:tcPr>
            <w:tcW w:w="1208" w:type="dxa"/>
            <w:vAlign w:val="center"/>
          </w:tcPr>
          <w:p>
            <w:pPr>
              <w:snapToGrid w:val="0"/>
              <w:spacing w:line="360" w:lineRule="auto"/>
              <w:jc w:val="center"/>
              <w:rPr>
                <w:rFonts w:ascii="宋体" w:hAnsi="宋体" w:cs="宋体"/>
                <w:color w:val="auto"/>
                <w:sz w:val="24"/>
                <w:highlight w:val="none"/>
              </w:rPr>
            </w:pPr>
          </w:p>
        </w:tc>
        <w:tc>
          <w:tcPr>
            <w:tcW w:w="1638" w:type="dxa"/>
            <w:vAlign w:val="center"/>
          </w:tcPr>
          <w:p>
            <w:pPr>
              <w:snapToGrid w:val="0"/>
              <w:spacing w:line="360" w:lineRule="auto"/>
              <w:jc w:val="center"/>
              <w:rPr>
                <w:rFonts w:ascii="宋体" w:hAnsi="宋体" w:cs="宋体"/>
                <w:color w:val="auto"/>
                <w:sz w:val="24"/>
                <w:highlight w:val="none"/>
              </w:rPr>
            </w:pPr>
          </w:p>
        </w:tc>
        <w:tc>
          <w:tcPr>
            <w:tcW w:w="2104" w:type="dxa"/>
            <w:vAlign w:val="center"/>
          </w:tcPr>
          <w:p>
            <w:pPr>
              <w:snapToGrid w:val="0"/>
              <w:spacing w:line="360" w:lineRule="auto"/>
              <w:jc w:val="center"/>
              <w:rPr>
                <w:rFonts w:ascii="宋体" w:hAnsi="宋体" w:cs="宋体"/>
                <w:color w:val="auto"/>
                <w:sz w:val="24"/>
                <w:highlight w:val="none"/>
              </w:rPr>
            </w:pPr>
          </w:p>
        </w:tc>
        <w:tc>
          <w:tcPr>
            <w:tcW w:w="1980" w:type="dxa"/>
            <w:vAlign w:val="center"/>
          </w:tcPr>
          <w:p>
            <w:pPr>
              <w:snapToGrid w:val="0"/>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c>
          <w:tcPr>
            <w:tcW w:w="1857" w:type="dxa"/>
          </w:tcPr>
          <w:p>
            <w:pPr>
              <w:spacing w:line="360" w:lineRule="auto"/>
              <w:jc w:val="center"/>
              <w:rPr>
                <w:rFonts w:ascii="宋体" w:hAnsi="宋体" w:cs="宋体"/>
                <w:color w:val="auto"/>
                <w:sz w:val="24"/>
                <w:highlight w:val="none"/>
              </w:rPr>
            </w:pPr>
          </w:p>
        </w:tc>
        <w:tc>
          <w:tcPr>
            <w:tcW w:w="1856"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ascii="宋体" w:hAnsi="宋体" w:cs="宋体"/>
                <w:b/>
                <w:color w:val="auto"/>
                <w:sz w:val="24"/>
                <w:highlight w:val="none"/>
              </w:rPr>
            </w:pPr>
            <w:r>
              <w:rPr>
                <w:rFonts w:hint="eastAsia" w:ascii="宋体" w:hAnsi="宋体" w:eastAsia="宋体" w:cs="宋体"/>
                <w:color w:val="auto"/>
                <w:kern w:val="0"/>
                <w:sz w:val="20"/>
                <w:szCs w:val="20"/>
                <w:highlight w:val="none"/>
                <w:lang w:bidi="ar"/>
              </w:rPr>
              <w:t>杭州市上城区教育评估与检测中心</w:t>
            </w:r>
            <w:r>
              <w:rPr>
                <w:rFonts w:hint="eastAsia" w:ascii="宋体" w:hAnsi="宋体" w:cs="宋体"/>
                <w:b/>
                <w:color w:val="auto"/>
                <w:sz w:val="24"/>
                <w:highlight w:val="none"/>
              </w:rPr>
              <w:t>投标报价（</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rPr>
              <w:t>）</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color w:val="auto"/>
                <w:sz w:val="24"/>
                <w:highlight w:val="none"/>
              </w:rPr>
              <w:t>投标报价（小写）</w:t>
            </w:r>
          </w:p>
        </w:tc>
        <w:tc>
          <w:tcPr>
            <w:tcW w:w="7549" w:type="dxa"/>
            <w:gridSpan w:val="4"/>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6529" w:type="dxa"/>
            <w:gridSpan w:val="5"/>
            <w:vAlign w:val="center"/>
          </w:tcPr>
          <w:p>
            <w:pPr>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color w:val="auto"/>
                <w:sz w:val="24"/>
                <w:highlight w:val="none"/>
              </w:rPr>
              <w:t>投标报价（大写）</w:t>
            </w:r>
          </w:p>
        </w:tc>
        <w:tc>
          <w:tcPr>
            <w:tcW w:w="7549" w:type="dxa"/>
            <w:gridSpan w:val="4"/>
          </w:tcPr>
          <w:p>
            <w:pPr>
              <w:spacing w:line="360" w:lineRule="auto"/>
              <w:jc w:val="center"/>
              <w:rPr>
                <w:rFonts w:ascii="宋体" w:hAnsi="宋体" w:cs="宋体"/>
                <w:color w:val="auto"/>
                <w:sz w:val="24"/>
                <w:highlight w:val="none"/>
              </w:rPr>
            </w:pPr>
          </w:p>
        </w:tc>
      </w:tr>
    </w:tbl>
    <w:p>
      <w:pPr>
        <w:pStyle w:val="61"/>
        <w:rPr>
          <w:color w:val="auto"/>
          <w:highlight w:val="none"/>
          <w:lang w:val="zh-CN"/>
        </w:rPr>
      </w:pPr>
    </w:p>
    <w:p>
      <w:pPr>
        <w:snapToGrid w:val="0"/>
        <w:spacing w:line="360" w:lineRule="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2" w:firstLineChars="200"/>
        <w:jc w:val="left"/>
        <w:rPr>
          <w:rFonts w:cs="宋体"/>
          <w:b/>
          <w:color w:val="auto"/>
          <w:kern w:val="0"/>
          <w:sz w:val="24"/>
          <w:szCs w:val="22"/>
          <w:highlight w:val="none"/>
          <w:lang w:val="zh-CN"/>
        </w:rPr>
      </w:pPr>
      <w:r>
        <w:rPr>
          <w:rFonts w:hint="eastAsia" w:ascii="宋体" w:hAnsi="宋体" w:cs="宋体"/>
          <w:b/>
          <w:color w:val="auto"/>
          <w:kern w:val="0"/>
          <w:sz w:val="24"/>
          <w:szCs w:val="22"/>
          <w:highlight w:val="none"/>
          <w:lang w:val="zh-CN"/>
        </w:rPr>
        <w:t>5.▲</w:t>
      </w:r>
      <w:r>
        <w:rPr>
          <w:rFonts w:hint="eastAsia" w:cs="宋体"/>
          <w:b/>
          <w:color w:val="auto"/>
          <w:kern w:val="0"/>
          <w:sz w:val="24"/>
          <w:szCs w:val="22"/>
          <w:highlight w:val="none"/>
          <w:lang w:val="zh-CN"/>
        </w:rPr>
        <w:t>本</w:t>
      </w:r>
      <w:r>
        <w:rPr>
          <w:rFonts w:cs="宋体"/>
          <w:b/>
          <w:color w:val="auto"/>
          <w:kern w:val="0"/>
          <w:sz w:val="24"/>
          <w:szCs w:val="22"/>
          <w:highlight w:val="none"/>
          <w:lang w:val="zh-CN"/>
        </w:rPr>
        <w:t>项目各学校投标报价不得超出最高限价，否则作无效标处理。</w:t>
      </w:r>
    </w:p>
    <w:p>
      <w:pPr>
        <w:pStyle w:val="61"/>
        <w:rPr>
          <w:rFonts w:ascii="Times New Roman" w:hAnsi="Times New Roman" w:eastAsia="宋体" w:cs="宋体"/>
          <w:b/>
          <w:color w:val="auto"/>
          <w:kern w:val="0"/>
          <w:szCs w:val="22"/>
          <w:highlight w:val="none"/>
          <w:lang w:val="zh-CN"/>
        </w:rPr>
      </w:pPr>
    </w:p>
    <w:p>
      <w:pPr>
        <w:spacing w:line="360" w:lineRule="auto"/>
        <w:ind w:firstLine="482" w:firstLineChars="200"/>
        <w:rPr>
          <w:rFonts w:ascii="宋体" w:hAnsi="宋体" w:cs="宋体"/>
          <w:b/>
          <w:color w:val="auto"/>
          <w:kern w:val="0"/>
          <w:sz w:val="24"/>
          <w:highlight w:val="none"/>
        </w:rPr>
      </w:pPr>
    </w:p>
    <w:p>
      <w:pPr>
        <w:pStyle w:val="2"/>
        <w:ind w:firstLine="420"/>
        <w:rPr>
          <w:color w:val="auto"/>
          <w:highlight w:val="none"/>
        </w:rPr>
        <w:sectPr>
          <w:pgSz w:w="16840" w:h="11907" w:orient="landscape"/>
          <w:pgMar w:top="1814" w:right="1474" w:bottom="1814" w:left="1474" w:header="851" w:footer="992" w:gutter="0"/>
          <w:pgBorders>
            <w:top w:val="none" w:sz="0" w:space="0"/>
            <w:left w:val="none" w:sz="0" w:space="0"/>
            <w:bottom w:val="none" w:sz="0" w:space="0"/>
            <w:right w:val="none" w:sz="0" w:space="0"/>
          </w:pgBorders>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w:t>
      </w:r>
      <w:bookmarkStart w:id="36" w:name="_Hlk101259491"/>
      <w:r>
        <w:rPr>
          <w:rFonts w:hint="eastAsia" w:ascii="宋体" w:hAnsi="宋体" w:eastAsia="宋体" w:cs="宋体"/>
          <w:color w:val="auto"/>
          <w:sz w:val="32"/>
          <w:szCs w:val="32"/>
          <w:highlight w:val="none"/>
        </w:rPr>
        <w:t>（如果有）</w:t>
      </w:r>
      <w:bookmarkEnd w:id="36"/>
    </w:p>
    <w:p>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pPr>
        <w:pStyle w:val="690"/>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p>
    <w:p>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37" w:name="_Toc465665161"/>
      <w:r>
        <w:rPr>
          <w:rFonts w:hint="eastAsia" w:ascii="宋体" w:hAnsi="宋体" w:cs="宋体"/>
          <w:color w:val="auto"/>
          <w:highlight w:val="none"/>
        </w:rPr>
        <w:t>附件</w:t>
      </w:r>
      <w:bookmarkEnd w:id="37"/>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38" w:name="OLE_LINK14"/>
      <w:bookmarkStart w:id="39" w:name="OLE_LINK13"/>
      <w:r>
        <w:rPr>
          <w:rFonts w:hint="eastAsia" w:ascii="宋体" w:hAnsi="宋体" w:cs="宋体"/>
          <w:b/>
          <w:color w:val="auto"/>
          <w:spacing w:val="6"/>
          <w:sz w:val="32"/>
          <w:szCs w:val="32"/>
          <w:highlight w:val="none"/>
        </w:rPr>
        <w:t>残疾人福利性单位声明函</w:t>
      </w:r>
    </w:p>
    <w:bookmarkEnd w:id="38"/>
    <w:bookmarkEnd w:id="39"/>
    <w:p>
      <w:pPr>
        <w:spacing w:line="360" w:lineRule="auto"/>
        <w:rPr>
          <w:rFonts w:ascii="宋体" w:hAnsi="宋体" w:cs="宋体"/>
          <w:b/>
          <w:color w:val="auto"/>
          <w:spacing w:val="6"/>
          <w:sz w:val="30"/>
          <w:szCs w:val="30"/>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杭州市上城区教育发展服务中心</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2024年杭州市上城区教育系统网络改造项目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pStyle w:val="61"/>
        <w:rPr>
          <w:color w:val="auto"/>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u w:val="single"/>
        </w:rPr>
      </w:pPr>
    </w:p>
    <w:p>
      <w:pPr>
        <w:spacing w:line="360" w:lineRule="auto"/>
        <w:rPr>
          <w:rFonts w:ascii="宋体" w:hAnsi="宋体" w:cs="宋体"/>
          <w:color w:val="auto"/>
          <w:sz w:val="24"/>
          <w:highlight w:val="none"/>
        </w:rPr>
      </w:pPr>
      <w:r>
        <w:rPr>
          <w:rFonts w:hint="eastAsia" w:ascii="宋体" w:hAnsi="宋体" w:cs="宋体"/>
          <w:color w:val="auto"/>
          <w:sz w:val="24"/>
          <w:highlight w:val="none"/>
          <w:u w:val="single"/>
        </w:rPr>
        <w:t>杭州市上城区教育发展服务中心、欧邦工程管理集团有限公司：</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2024年杭州市上城区教育系统网络改造项目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OBZB-2024-0523</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napToGrid w:val="0"/>
        <w:spacing w:line="360" w:lineRule="auto"/>
        <w:jc w:val="center"/>
        <w:outlineLvl w:val="0"/>
        <w:rPr>
          <w:rFonts w:hint="eastAsia"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pPr>
        <w:snapToGrid w:val="0"/>
        <w:spacing w:line="360" w:lineRule="auto"/>
        <w:ind w:firstLine="576"/>
        <w:rPr>
          <w:rFonts w:ascii="宋体" w:hAnsi="宋体" w:cs="宋体"/>
          <w:color w:val="auto"/>
          <w:kern w:val="0"/>
          <w:sz w:val="24"/>
          <w:highlight w:val="none"/>
          <w:lang w:val="zh-CN"/>
        </w:rPr>
      </w:pPr>
      <w:bookmarkStart w:id="40"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0"/>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pStyle w:val="61"/>
        <w:rPr>
          <w:color w:val="auto"/>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2024年杭州市上城区教育系统网络改造项目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OBZB-2024-0523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pPr>
        <w:snapToGrid w:val="0"/>
        <w:spacing w:line="360" w:lineRule="auto"/>
        <w:jc w:val="center"/>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杭州市上城区教育发展服务中心</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2024年杭州市上城区教育系统网络改造项目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pacing w:line="360" w:lineRule="auto"/>
        <w:jc w:val="left"/>
        <w:rPr>
          <w:rFonts w:ascii="宋体" w:hAnsi="宋体" w:cs="宋体"/>
          <w:color w:val="auto"/>
          <w:sz w:val="18"/>
          <w:szCs w:val="18"/>
          <w:highlight w:val="none"/>
        </w:rPr>
      </w:pPr>
      <w:r>
        <w:rPr>
          <w:rFonts w:hint="eastAsia" w:ascii="宋体" w:hAnsi="宋体" w:cs="宋体"/>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jc w:val="center"/>
        <w:rPr>
          <w:rFonts w:ascii="宋体" w:hAnsi="宋体" w:cs="宋体"/>
          <w:b/>
          <w:color w:val="auto"/>
          <w:sz w:val="32"/>
          <w:szCs w:val="32"/>
          <w:highlight w:val="none"/>
        </w:rPr>
      </w:pPr>
    </w:p>
    <w:p>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AF61167-CC6D-48EF-A8BC-838B337C0132}"/>
  </w:font>
  <w:font w:name="Arial">
    <w:panose1 w:val="020B0604020202020204"/>
    <w:charset w:val="01"/>
    <w:family w:val="swiss"/>
    <w:pitch w:val="default"/>
    <w:sig w:usb0="E0002EFF" w:usb1="C000785B" w:usb2="00000009" w:usb3="00000000" w:csb0="400001FF" w:csb1="FFFF0000"/>
    <w:embedRegular r:id="rId2" w:fontKey="{525DC60D-E55E-4A12-826F-54DA08507198}"/>
  </w:font>
  <w:font w:name="黑体">
    <w:panose1 w:val="02010609060101010101"/>
    <w:charset w:val="86"/>
    <w:family w:val="auto"/>
    <w:pitch w:val="default"/>
    <w:sig w:usb0="800002BF" w:usb1="38CF7CFA" w:usb2="00000016" w:usb3="00000000" w:csb0="00040001" w:csb1="00000000"/>
    <w:embedRegular r:id="rId3" w:fontKey="{5F09074F-9DAA-44DF-B2BF-DC6C3210E514}"/>
  </w:font>
  <w:font w:name="Courier New">
    <w:panose1 w:val="02070309020205020404"/>
    <w:charset w:val="01"/>
    <w:family w:val="modern"/>
    <w:pitch w:val="default"/>
    <w:sig w:usb0="E0002EFF" w:usb1="C0007843" w:usb2="00000009" w:usb3="00000000" w:csb0="400001FF" w:csb1="FFFF0000"/>
    <w:embedRegular r:id="rId4" w:fontKey="{C1632905-E033-4BC7-A2C1-090A4121F1EA}"/>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5" w:fontKey="{C8E40920-7650-4DE4-AAF1-6A3E2209B136}"/>
  </w:font>
  <w:font w:name="仿宋">
    <w:panose1 w:val="02010609060101010101"/>
    <w:charset w:val="86"/>
    <w:family w:val="auto"/>
    <w:pitch w:val="default"/>
    <w:sig w:usb0="800002BF" w:usb1="38CF7CFA" w:usb2="00000016" w:usb3="00000000" w:csb0="00040001" w:csb1="00000000"/>
    <w:embedRegular r:id="rId6" w:fontKey="{A8D569D8-89C2-4375-AAEB-E4B02C8B8DEF}"/>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embedRegular r:id="rId7" w:fontKey="{E275344B-DD66-45FD-A36E-C68D0A6D58C8}"/>
  </w:font>
  <w:font w:name="楷体">
    <w:panose1 w:val="02010609060101010101"/>
    <w:charset w:val="86"/>
    <w:family w:val="auto"/>
    <w:pitch w:val="default"/>
    <w:sig w:usb0="800002BF" w:usb1="38CF7CFA" w:usb2="00000016" w:usb3="00000000" w:csb0="00040001" w:csb1="00000000"/>
  </w:font>
  <w:font w:name="Helvetica">
    <w:panose1 w:val="020B0504020202030204"/>
    <w:charset w:val="00"/>
    <w:family w:val="swiss"/>
    <w:pitch w:val="default"/>
    <w:sig w:usb0="00000007" w:usb1="00000000" w:usb2="00000000" w:usb3="00000000" w:csb0="00000093"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embedRegular r:id="rId8" w:fontKey="{49B0D5CE-1685-4C6A-A272-26F221279339}"/>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embedRegular r:id="rId9" w:fontKey="{E08FD64A-45D9-4198-8F3F-5A4E99A82F59}"/>
  </w:font>
  <w:font w:name="新宋体">
    <w:panose1 w:val="02010609030101010101"/>
    <w:charset w:val="86"/>
    <w:family w:val="modern"/>
    <w:pitch w:val="default"/>
    <w:sig w:usb0="00000203" w:usb1="288F0000" w:usb2="00000006" w:usb3="00000000" w:csb0="00040001" w:csb1="00000000"/>
    <w:embedRegular r:id="rId10" w:fontKey="{F5B94646-199D-4F8E-86E4-A2790C679B93}"/>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embedRegular r:id="rId11" w:fontKey="{EB07A16B-4956-457D-AC08-0AFCDD2BD82D}"/>
  </w:font>
  <w:font w:name="MS Mincho">
    <w:panose1 w:val="02020609040205080304"/>
    <w:charset w:val="80"/>
    <w:family w:val="roman"/>
    <w:pitch w:val="default"/>
    <w:sig w:usb0="A00002BF" w:usb1="68C7FCFB" w:usb2="00000010" w:usb3="00000000" w:csb0="4002009F" w:csb1="DFD70000"/>
    <w:embedRegular r:id="rId12" w:fontKey="{3D5E6578-7640-4B16-A231-C4ABAEFC044B}"/>
  </w:font>
  <w:font w:name="方正仿宋_GB2312">
    <w:panose1 w:val="02000000000000000000"/>
    <w:charset w:val="86"/>
    <w:family w:val="auto"/>
    <w:pitch w:val="default"/>
    <w:sig w:usb0="A00002BF" w:usb1="184F6CFA" w:usb2="00000012" w:usb3="00000000" w:csb0="00040001" w:csb1="00000000"/>
    <w:embedRegular r:id="rId13" w:fontKey="{6BD2D095-AA87-4336-BCF5-4EAC436A10E6}"/>
  </w:font>
  <w:font w:name="华文仿宋">
    <w:panose1 w:val="02010600040101010101"/>
    <w:charset w:val="86"/>
    <w:family w:val="auto"/>
    <w:pitch w:val="default"/>
    <w:sig w:usb0="00000287" w:usb1="080F0000" w:usb2="00000000" w:usb3="00000000" w:csb0="0004009F" w:csb1="DFD70000"/>
    <w:embedRegular r:id="rId14" w:fontKey="{8423F4ED-6682-4D7C-B614-E6F4190B2AC4}"/>
  </w:font>
  <w:font w:name="宋体-18030">
    <w:altName w:val="微软雅黑"/>
    <w:panose1 w:val="00000000000000000000"/>
    <w:charset w:val="86"/>
    <w:family w:val="modern"/>
    <w:pitch w:val="default"/>
    <w:sig w:usb0="00000000" w:usb1="00000000" w:usb2="000A005E" w:usb3="00000000" w:csb0="00040001" w:csb1="00000000"/>
    <w:embedRegular r:id="rId15" w:fontKey="{98C10F20-40C1-4577-A31B-412F3A4AD67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2" w:name="_Toc164085800"/>
    <w:bookmarkStart w:id="43" w:name="_Toc36110187"/>
    <w:bookmarkStart w:id="44" w:name="_Toc131845147"/>
    <w:bookmarkStart w:id="45" w:name="_Toc91899912"/>
    <w:r>
      <w:rPr>
        <w:rFonts w:hint="eastAsia" w:ascii="仿宋_GB2312" w:eastAsia="仿宋_GB2312"/>
        <w:kern w:val="0"/>
        <w:szCs w:val="21"/>
      </w:rPr>
      <w:t xml:space="preserve"> 页</w:t>
    </w:r>
    <w:bookmarkEnd w:id="42"/>
    <w:bookmarkEnd w:id="43"/>
    <w:bookmarkEnd w:id="44"/>
    <w:bookmarkEnd w:id="4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rPr>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right"/>
      <w:rPr>
        <w:rFonts w:ascii="仿宋_GB2312" w:eastAsia="仿宋_GB2312"/>
        <w:b/>
        <w:i/>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right"/>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right"/>
      <w:rPr>
        <w:rFonts w:ascii="仿宋_GB2312" w:eastAsia="仿宋_GB2312"/>
        <w:b/>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18A1C"/>
    <w:multiLevelType w:val="singleLevel"/>
    <w:tmpl w:val="9B618A1C"/>
    <w:lvl w:ilvl="0" w:tentative="0">
      <w:start w:val="1"/>
      <w:numFmt w:val="decimal"/>
      <w:suff w:val="nothing"/>
      <w:lvlText w:val="%1."/>
      <w:lvlJc w:val="left"/>
      <w:pPr>
        <w:ind w:left="113" w:hanging="113"/>
      </w:pPr>
      <w:rPr>
        <w:rFonts w:hint="default"/>
      </w:rPr>
    </w:lvl>
  </w:abstractNum>
  <w:abstractNum w:abstractNumId="1">
    <w:nsid w:val="9BD129B1"/>
    <w:multiLevelType w:val="singleLevel"/>
    <w:tmpl w:val="9BD129B1"/>
    <w:lvl w:ilvl="0" w:tentative="0">
      <w:start w:val="1"/>
      <w:numFmt w:val="decimal"/>
      <w:suff w:val="nothing"/>
      <w:lvlText w:val="%1."/>
      <w:lvlJc w:val="left"/>
      <w:pPr>
        <w:ind w:left="113" w:hanging="113"/>
      </w:pPr>
      <w:rPr>
        <w:rFonts w:hint="default"/>
      </w:rPr>
    </w:lvl>
  </w:abstractNum>
  <w:abstractNum w:abstractNumId="2">
    <w:nsid w:val="BBF10844"/>
    <w:multiLevelType w:val="multilevel"/>
    <w:tmpl w:val="BBF10844"/>
    <w:lvl w:ilvl="0" w:tentative="0">
      <w:start w:val="1"/>
      <w:numFmt w:val="decimal"/>
      <w:suff w:val="nothing"/>
      <w:lvlText w:val="%1."/>
      <w:lvlJc w:val="left"/>
      <w:pPr>
        <w:ind w:left="113" w:hanging="113"/>
      </w:pPr>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3">
    <w:nsid w:val="DF60D81F"/>
    <w:multiLevelType w:val="multilevel"/>
    <w:tmpl w:val="DF60D81F"/>
    <w:lvl w:ilvl="0" w:tentative="0">
      <w:start w:val="1"/>
      <w:numFmt w:val="chineseCounting"/>
      <w:suff w:val="nothing"/>
      <w:lvlText w:val="%1、"/>
      <w:lvlJc w:val="left"/>
      <w:pPr>
        <w:ind w:left="-420" w:firstLine="420"/>
      </w:pPr>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4">
    <w:nsid w:val="E28E29CE"/>
    <w:multiLevelType w:val="singleLevel"/>
    <w:tmpl w:val="E28E29CE"/>
    <w:lvl w:ilvl="0" w:tentative="0">
      <w:start w:val="1"/>
      <w:numFmt w:val="decimal"/>
      <w:suff w:val="nothing"/>
      <w:lvlText w:val="%1、"/>
      <w:lvlJc w:val="left"/>
    </w:lvl>
  </w:abstractNum>
  <w:abstractNum w:abstractNumId="5">
    <w:nsid w:val="06BC776C"/>
    <w:multiLevelType w:val="multilevel"/>
    <w:tmpl w:val="06BC776C"/>
    <w:lvl w:ilvl="0" w:tentative="0">
      <w:start w:val="1"/>
      <w:numFmt w:val="japaneseCounting"/>
      <w:lvlText w:val="第%1条"/>
      <w:lvlJc w:val="left"/>
      <w:pPr>
        <w:ind w:left="1245" w:hanging="765"/>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2B44195F"/>
    <w:multiLevelType w:val="multilevel"/>
    <w:tmpl w:val="2B44195F"/>
    <w:lvl w:ilvl="0" w:tentative="0">
      <w:start w:val="1"/>
      <w:numFmt w:val="decimal"/>
      <w:lvlText w:val="%1."/>
      <w:lvlJc w:val="left"/>
      <w:pPr>
        <w:ind w:left="980"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2DDB9FD2"/>
    <w:multiLevelType w:val="multilevel"/>
    <w:tmpl w:val="2DDB9FD2"/>
    <w:lvl w:ilvl="0" w:tentative="0">
      <w:start w:val="1"/>
      <w:numFmt w:val="decimal"/>
      <w:suff w:val="nothing"/>
      <w:lvlText w:val="%1."/>
      <w:lvlJc w:val="left"/>
      <w:pPr>
        <w:ind w:left="113" w:hanging="113"/>
      </w:pPr>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8">
    <w:nsid w:val="52209BF5"/>
    <w:multiLevelType w:val="multilevel"/>
    <w:tmpl w:val="52209BF5"/>
    <w:lvl w:ilvl="0" w:tentative="0">
      <w:start w:val="1"/>
      <w:numFmt w:val="decimal"/>
      <w:suff w:val="nothing"/>
      <w:lvlText w:val="%1."/>
      <w:lvlJc w:val="left"/>
      <w:pPr>
        <w:ind w:left="113" w:hanging="113"/>
      </w:pPr>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9">
    <w:nsid w:val="5567129E"/>
    <w:multiLevelType w:val="multilevel"/>
    <w:tmpl w:val="5567129E"/>
    <w:lvl w:ilvl="0" w:tentative="0">
      <w:start w:val="1"/>
      <w:numFmt w:val="decimal"/>
      <w:suff w:val="nothing"/>
      <w:lvlText w:val="%1."/>
      <w:lvlJc w:val="left"/>
      <w:pPr>
        <w:ind w:left="113" w:hanging="113"/>
      </w:pPr>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num w:numId="1">
    <w:abstractNumId w:val="3"/>
  </w:num>
  <w:num w:numId="2">
    <w:abstractNumId w:val="7"/>
  </w:num>
  <w:num w:numId="3">
    <w:abstractNumId w:val="8"/>
  </w:num>
  <w:num w:numId="4">
    <w:abstractNumId w:val="2"/>
  </w:num>
  <w:num w:numId="5">
    <w:abstractNumId w:val="1"/>
  </w:num>
  <w:num w:numId="6">
    <w:abstractNumId w:val="9"/>
  </w:num>
  <w:num w:numId="7">
    <w:abstractNumId w:val="4"/>
  </w:num>
  <w:num w:numId="8">
    <w:abstractNumId w:val="0"/>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3NzVjZWU4NmIzYjMzMDM2ZmRjNzUxZGE1ZTI2NDkifQ=="/>
    <w:docVar w:name="KSO_WPS_MARK_KEY" w:val="6bd3f849-eccd-4220-bab7-52dd328a36dc"/>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4FA3"/>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19F"/>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9F7441"/>
    <w:rsid w:val="01B37585"/>
    <w:rsid w:val="01D55165"/>
    <w:rsid w:val="01DF6BF8"/>
    <w:rsid w:val="01EC2C57"/>
    <w:rsid w:val="025F0711"/>
    <w:rsid w:val="026B2E25"/>
    <w:rsid w:val="0278409E"/>
    <w:rsid w:val="02824D4D"/>
    <w:rsid w:val="02DC4B10"/>
    <w:rsid w:val="02DD76CE"/>
    <w:rsid w:val="02E60AE3"/>
    <w:rsid w:val="02F36323"/>
    <w:rsid w:val="02F5619C"/>
    <w:rsid w:val="0326446A"/>
    <w:rsid w:val="032D5555"/>
    <w:rsid w:val="036634D2"/>
    <w:rsid w:val="03DD35E4"/>
    <w:rsid w:val="04076900"/>
    <w:rsid w:val="041A5A3B"/>
    <w:rsid w:val="042311BA"/>
    <w:rsid w:val="042B157A"/>
    <w:rsid w:val="044004C3"/>
    <w:rsid w:val="048F763B"/>
    <w:rsid w:val="049F330E"/>
    <w:rsid w:val="04AA775C"/>
    <w:rsid w:val="04AF1889"/>
    <w:rsid w:val="04CE5E7A"/>
    <w:rsid w:val="04F66F48"/>
    <w:rsid w:val="05251E14"/>
    <w:rsid w:val="058359C0"/>
    <w:rsid w:val="05A16594"/>
    <w:rsid w:val="05A7762D"/>
    <w:rsid w:val="060E5941"/>
    <w:rsid w:val="06110FAF"/>
    <w:rsid w:val="06493CA7"/>
    <w:rsid w:val="065A6178"/>
    <w:rsid w:val="066F1CF3"/>
    <w:rsid w:val="06930BB8"/>
    <w:rsid w:val="06B170AD"/>
    <w:rsid w:val="06C81717"/>
    <w:rsid w:val="07245D42"/>
    <w:rsid w:val="07264C62"/>
    <w:rsid w:val="07321861"/>
    <w:rsid w:val="07430F3D"/>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7F70BC"/>
    <w:rsid w:val="098353B5"/>
    <w:rsid w:val="09A92330"/>
    <w:rsid w:val="09B06B87"/>
    <w:rsid w:val="09C13146"/>
    <w:rsid w:val="09E04166"/>
    <w:rsid w:val="0A1C0718"/>
    <w:rsid w:val="0A23066B"/>
    <w:rsid w:val="0A3E7710"/>
    <w:rsid w:val="0A5B7E63"/>
    <w:rsid w:val="0AA374A5"/>
    <w:rsid w:val="0AAB7649"/>
    <w:rsid w:val="0ABC5606"/>
    <w:rsid w:val="0B30404E"/>
    <w:rsid w:val="0B4C6C14"/>
    <w:rsid w:val="0B547599"/>
    <w:rsid w:val="0B631A88"/>
    <w:rsid w:val="0B683D45"/>
    <w:rsid w:val="0B7F3F11"/>
    <w:rsid w:val="0B884417"/>
    <w:rsid w:val="0BCC5F89"/>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66CFD"/>
    <w:rsid w:val="0D184CFB"/>
    <w:rsid w:val="0D2D6EBA"/>
    <w:rsid w:val="0D4A7419"/>
    <w:rsid w:val="0D827401"/>
    <w:rsid w:val="0D84094E"/>
    <w:rsid w:val="0D8A00E9"/>
    <w:rsid w:val="0D8D589E"/>
    <w:rsid w:val="0DA01C73"/>
    <w:rsid w:val="0DD63300"/>
    <w:rsid w:val="0DF50604"/>
    <w:rsid w:val="0DF702FE"/>
    <w:rsid w:val="0E060E51"/>
    <w:rsid w:val="0E0C7856"/>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D0305B"/>
    <w:rsid w:val="10646583"/>
    <w:rsid w:val="107D4B15"/>
    <w:rsid w:val="108A3C80"/>
    <w:rsid w:val="10C26171"/>
    <w:rsid w:val="10F33360"/>
    <w:rsid w:val="10FC16EA"/>
    <w:rsid w:val="110F1D40"/>
    <w:rsid w:val="11266F33"/>
    <w:rsid w:val="118963A1"/>
    <w:rsid w:val="118A4B84"/>
    <w:rsid w:val="11C6522A"/>
    <w:rsid w:val="11E104CC"/>
    <w:rsid w:val="11E20309"/>
    <w:rsid w:val="12255233"/>
    <w:rsid w:val="12530213"/>
    <w:rsid w:val="127723A9"/>
    <w:rsid w:val="12862074"/>
    <w:rsid w:val="12883966"/>
    <w:rsid w:val="128D14B9"/>
    <w:rsid w:val="129E45B4"/>
    <w:rsid w:val="12D81596"/>
    <w:rsid w:val="13072A44"/>
    <w:rsid w:val="135F4BE2"/>
    <w:rsid w:val="139B1A0A"/>
    <w:rsid w:val="139D25C7"/>
    <w:rsid w:val="13BF3CE4"/>
    <w:rsid w:val="141008D8"/>
    <w:rsid w:val="14125FE6"/>
    <w:rsid w:val="146D271E"/>
    <w:rsid w:val="14982588"/>
    <w:rsid w:val="14982830"/>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70062C"/>
    <w:rsid w:val="18817102"/>
    <w:rsid w:val="18830A15"/>
    <w:rsid w:val="18852B28"/>
    <w:rsid w:val="188B5321"/>
    <w:rsid w:val="19932372"/>
    <w:rsid w:val="19A20DD5"/>
    <w:rsid w:val="19AE03F1"/>
    <w:rsid w:val="1A071A03"/>
    <w:rsid w:val="1A1F16AE"/>
    <w:rsid w:val="1A3B5C77"/>
    <w:rsid w:val="1A6D0513"/>
    <w:rsid w:val="1A984BAD"/>
    <w:rsid w:val="1AB8220E"/>
    <w:rsid w:val="1AE4166C"/>
    <w:rsid w:val="1AF06CFB"/>
    <w:rsid w:val="1AF11B8D"/>
    <w:rsid w:val="1B11359C"/>
    <w:rsid w:val="1B2A271F"/>
    <w:rsid w:val="1B530544"/>
    <w:rsid w:val="1B713184"/>
    <w:rsid w:val="1BA209CF"/>
    <w:rsid w:val="1BB4777D"/>
    <w:rsid w:val="1BD75AB8"/>
    <w:rsid w:val="1C0459C2"/>
    <w:rsid w:val="1C1B3B4A"/>
    <w:rsid w:val="1C2F31A0"/>
    <w:rsid w:val="1C4C7821"/>
    <w:rsid w:val="1C88086E"/>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F0A0FF3"/>
    <w:rsid w:val="1F5569B0"/>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2EC394A"/>
    <w:rsid w:val="22F84393"/>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4DA20EF"/>
    <w:rsid w:val="257D72C5"/>
    <w:rsid w:val="258B00E2"/>
    <w:rsid w:val="25A917A6"/>
    <w:rsid w:val="25BE27CC"/>
    <w:rsid w:val="25F74A5C"/>
    <w:rsid w:val="2628662C"/>
    <w:rsid w:val="262D45DE"/>
    <w:rsid w:val="266A1A07"/>
    <w:rsid w:val="26871DC8"/>
    <w:rsid w:val="26A53EF9"/>
    <w:rsid w:val="26A94201"/>
    <w:rsid w:val="26AC274F"/>
    <w:rsid w:val="27044A29"/>
    <w:rsid w:val="271D34C8"/>
    <w:rsid w:val="276142BF"/>
    <w:rsid w:val="27783712"/>
    <w:rsid w:val="27907362"/>
    <w:rsid w:val="27EA0B49"/>
    <w:rsid w:val="28333E1D"/>
    <w:rsid w:val="28341380"/>
    <w:rsid w:val="28454BD6"/>
    <w:rsid w:val="28455253"/>
    <w:rsid w:val="28551971"/>
    <w:rsid w:val="285B1C53"/>
    <w:rsid w:val="289F7086"/>
    <w:rsid w:val="28AC5D0C"/>
    <w:rsid w:val="28C32028"/>
    <w:rsid w:val="28CC490F"/>
    <w:rsid w:val="28DE40AA"/>
    <w:rsid w:val="29345E77"/>
    <w:rsid w:val="294C65AD"/>
    <w:rsid w:val="29806583"/>
    <w:rsid w:val="298B3C4C"/>
    <w:rsid w:val="29F26D24"/>
    <w:rsid w:val="2A15033F"/>
    <w:rsid w:val="2A1662C1"/>
    <w:rsid w:val="2A1C7367"/>
    <w:rsid w:val="2A2815FA"/>
    <w:rsid w:val="2A380C48"/>
    <w:rsid w:val="2A3A75DF"/>
    <w:rsid w:val="2A6D6092"/>
    <w:rsid w:val="2A7D76B4"/>
    <w:rsid w:val="2AE100DC"/>
    <w:rsid w:val="2B437463"/>
    <w:rsid w:val="2B7807EE"/>
    <w:rsid w:val="2BA50BF7"/>
    <w:rsid w:val="2BBF00EC"/>
    <w:rsid w:val="2BC37CFD"/>
    <w:rsid w:val="2BD5237F"/>
    <w:rsid w:val="2BE536CE"/>
    <w:rsid w:val="2BE758D9"/>
    <w:rsid w:val="2BF346BB"/>
    <w:rsid w:val="2C09049E"/>
    <w:rsid w:val="2C0A653C"/>
    <w:rsid w:val="2C191F85"/>
    <w:rsid w:val="2CE82D6F"/>
    <w:rsid w:val="2D343236"/>
    <w:rsid w:val="2D575011"/>
    <w:rsid w:val="2DD15014"/>
    <w:rsid w:val="2DF72DE4"/>
    <w:rsid w:val="2E0220AF"/>
    <w:rsid w:val="2E4B082A"/>
    <w:rsid w:val="2E5D4E86"/>
    <w:rsid w:val="2E5D790B"/>
    <w:rsid w:val="2E9A3C18"/>
    <w:rsid w:val="2EBB0FEE"/>
    <w:rsid w:val="2EC203E6"/>
    <w:rsid w:val="2EC63002"/>
    <w:rsid w:val="2F0A6B38"/>
    <w:rsid w:val="2F946CCB"/>
    <w:rsid w:val="2FA67210"/>
    <w:rsid w:val="2FD25781"/>
    <w:rsid w:val="2FDC745C"/>
    <w:rsid w:val="2FF85FC0"/>
    <w:rsid w:val="2FFD7934"/>
    <w:rsid w:val="302D1273"/>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3F3CFB"/>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29E2"/>
    <w:rsid w:val="38586797"/>
    <w:rsid w:val="385D15DF"/>
    <w:rsid w:val="38BC0149"/>
    <w:rsid w:val="38D87D1C"/>
    <w:rsid w:val="39636459"/>
    <w:rsid w:val="396B7F6C"/>
    <w:rsid w:val="39B417A9"/>
    <w:rsid w:val="39EA5F1B"/>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46CCA"/>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624D9"/>
    <w:rsid w:val="42FE58DD"/>
    <w:rsid w:val="43174B3D"/>
    <w:rsid w:val="434B790E"/>
    <w:rsid w:val="4360274F"/>
    <w:rsid w:val="43977AB6"/>
    <w:rsid w:val="43A3342B"/>
    <w:rsid w:val="43C77C27"/>
    <w:rsid w:val="43DE09EE"/>
    <w:rsid w:val="44002FAD"/>
    <w:rsid w:val="449101DD"/>
    <w:rsid w:val="44DE1391"/>
    <w:rsid w:val="44E07EDE"/>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9F284C"/>
    <w:rsid w:val="46C4686E"/>
    <w:rsid w:val="47332224"/>
    <w:rsid w:val="477B778F"/>
    <w:rsid w:val="478203EC"/>
    <w:rsid w:val="47B025FA"/>
    <w:rsid w:val="4809698F"/>
    <w:rsid w:val="4811697D"/>
    <w:rsid w:val="487A3E25"/>
    <w:rsid w:val="488B5503"/>
    <w:rsid w:val="48937E21"/>
    <w:rsid w:val="489A0361"/>
    <w:rsid w:val="48AB44F2"/>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25AE"/>
    <w:rsid w:val="4D077F3C"/>
    <w:rsid w:val="4D123355"/>
    <w:rsid w:val="4D2A3B31"/>
    <w:rsid w:val="4D300636"/>
    <w:rsid w:val="4D312C52"/>
    <w:rsid w:val="4D43469D"/>
    <w:rsid w:val="4D905305"/>
    <w:rsid w:val="4D964A72"/>
    <w:rsid w:val="4D9C1254"/>
    <w:rsid w:val="4DB54254"/>
    <w:rsid w:val="4E4E206F"/>
    <w:rsid w:val="4E793892"/>
    <w:rsid w:val="4E800872"/>
    <w:rsid w:val="4EC569ED"/>
    <w:rsid w:val="4ED50EA1"/>
    <w:rsid w:val="4EEC050C"/>
    <w:rsid w:val="4F104EC3"/>
    <w:rsid w:val="4F47354A"/>
    <w:rsid w:val="4F911C54"/>
    <w:rsid w:val="4FA860FA"/>
    <w:rsid w:val="4FD50DCC"/>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04C3E"/>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67D81"/>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EB20DE"/>
    <w:rsid w:val="5617624F"/>
    <w:rsid w:val="566B6D1E"/>
    <w:rsid w:val="56B91AF1"/>
    <w:rsid w:val="56E40506"/>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B53E83"/>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23020C"/>
    <w:rsid w:val="5D397964"/>
    <w:rsid w:val="5D5A391C"/>
    <w:rsid w:val="5D5F10C0"/>
    <w:rsid w:val="5D7F0889"/>
    <w:rsid w:val="5D891B7B"/>
    <w:rsid w:val="5DAD38EE"/>
    <w:rsid w:val="5DD50CA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1D5BCF"/>
    <w:rsid w:val="60232584"/>
    <w:rsid w:val="607330CE"/>
    <w:rsid w:val="60825176"/>
    <w:rsid w:val="609528F6"/>
    <w:rsid w:val="609F2AC4"/>
    <w:rsid w:val="60EF01FD"/>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3FA10C8"/>
    <w:rsid w:val="64055776"/>
    <w:rsid w:val="64240056"/>
    <w:rsid w:val="643E143A"/>
    <w:rsid w:val="64491666"/>
    <w:rsid w:val="64810929"/>
    <w:rsid w:val="648B6EEF"/>
    <w:rsid w:val="64C158BF"/>
    <w:rsid w:val="64CE2EAA"/>
    <w:rsid w:val="653C3090"/>
    <w:rsid w:val="65854376"/>
    <w:rsid w:val="658767BE"/>
    <w:rsid w:val="65892531"/>
    <w:rsid w:val="65C36624"/>
    <w:rsid w:val="66195831"/>
    <w:rsid w:val="662E75B1"/>
    <w:rsid w:val="66342C2E"/>
    <w:rsid w:val="663E784C"/>
    <w:rsid w:val="668B6A45"/>
    <w:rsid w:val="66E11CA6"/>
    <w:rsid w:val="672F3F24"/>
    <w:rsid w:val="673E055F"/>
    <w:rsid w:val="67551CE3"/>
    <w:rsid w:val="67A22552"/>
    <w:rsid w:val="67B22DCC"/>
    <w:rsid w:val="67BE71AA"/>
    <w:rsid w:val="67D90273"/>
    <w:rsid w:val="67DE5875"/>
    <w:rsid w:val="67E55852"/>
    <w:rsid w:val="67EB1AB4"/>
    <w:rsid w:val="67FA1285"/>
    <w:rsid w:val="681B45E6"/>
    <w:rsid w:val="68551F4F"/>
    <w:rsid w:val="687C10C9"/>
    <w:rsid w:val="68840C16"/>
    <w:rsid w:val="68876EFB"/>
    <w:rsid w:val="68884654"/>
    <w:rsid w:val="689F444F"/>
    <w:rsid w:val="68B96DBB"/>
    <w:rsid w:val="68CA2805"/>
    <w:rsid w:val="68E937A3"/>
    <w:rsid w:val="693E15D3"/>
    <w:rsid w:val="69627681"/>
    <w:rsid w:val="6977531D"/>
    <w:rsid w:val="69CC2BFF"/>
    <w:rsid w:val="69F535C0"/>
    <w:rsid w:val="69FD55B8"/>
    <w:rsid w:val="6A0B1C62"/>
    <w:rsid w:val="6A2406C8"/>
    <w:rsid w:val="6ADE0BD1"/>
    <w:rsid w:val="6AE96859"/>
    <w:rsid w:val="6B147746"/>
    <w:rsid w:val="6B24787C"/>
    <w:rsid w:val="6B573233"/>
    <w:rsid w:val="6B5B6274"/>
    <w:rsid w:val="6B935D53"/>
    <w:rsid w:val="6C196F71"/>
    <w:rsid w:val="6C226FCB"/>
    <w:rsid w:val="6C31226F"/>
    <w:rsid w:val="6C5329F3"/>
    <w:rsid w:val="6C552F0B"/>
    <w:rsid w:val="6C8C67B7"/>
    <w:rsid w:val="6C9D744C"/>
    <w:rsid w:val="6CA9218A"/>
    <w:rsid w:val="6CAE575C"/>
    <w:rsid w:val="6D167928"/>
    <w:rsid w:val="6D26299B"/>
    <w:rsid w:val="6D4772EC"/>
    <w:rsid w:val="6D9078AF"/>
    <w:rsid w:val="6DAA3FEF"/>
    <w:rsid w:val="6DC0172B"/>
    <w:rsid w:val="6DCB690C"/>
    <w:rsid w:val="6DD41A5B"/>
    <w:rsid w:val="6DF43C2E"/>
    <w:rsid w:val="6DF51CA3"/>
    <w:rsid w:val="6E62689D"/>
    <w:rsid w:val="6E8335BD"/>
    <w:rsid w:val="6E8E12EF"/>
    <w:rsid w:val="6E972936"/>
    <w:rsid w:val="6ED446C5"/>
    <w:rsid w:val="6F2A7D94"/>
    <w:rsid w:val="6F49496A"/>
    <w:rsid w:val="6F8331F1"/>
    <w:rsid w:val="6FAE1A09"/>
    <w:rsid w:val="6FD75BF8"/>
    <w:rsid w:val="707723D0"/>
    <w:rsid w:val="70A4052D"/>
    <w:rsid w:val="70F5661B"/>
    <w:rsid w:val="71360107"/>
    <w:rsid w:val="713B688E"/>
    <w:rsid w:val="71D43752"/>
    <w:rsid w:val="71E24103"/>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831BFB"/>
    <w:rsid w:val="76C87133"/>
    <w:rsid w:val="76CD08D5"/>
    <w:rsid w:val="76DB4B92"/>
    <w:rsid w:val="77052AA4"/>
    <w:rsid w:val="77136511"/>
    <w:rsid w:val="77340A39"/>
    <w:rsid w:val="77351FD0"/>
    <w:rsid w:val="77472422"/>
    <w:rsid w:val="777F31F2"/>
    <w:rsid w:val="77D1700D"/>
    <w:rsid w:val="77D63742"/>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9670B3"/>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3472CE"/>
    <w:rsid w:val="7F715AF2"/>
    <w:rsid w:val="7F886E69"/>
    <w:rsid w:val="7FBA20C7"/>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119"/>
    <w:qFormat/>
    <w:uiPriority w:val="0"/>
    <w:pPr>
      <w:adjustRightInd/>
      <w:spacing w:after="120" w:line="240" w:lineRule="auto"/>
      <w:ind w:left="420" w:leftChars="200" w:firstLine="210"/>
    </w:pPr>
    <w:rPr>
      <w:sz w:val="21"/>
    </w:rPr>
  </w:style>
  <w:style w:type="paragraph" w:styleId="3">
    <w:name w:val="Body Text Indent"/>
    <w:basedOn w:val="1"/>
    <w:next w:val="2"/>
    <w:link w:val="263"/>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8"/>
    <w:link w:val="191"/>
    <w:qFormat/>
    <w:uiPriority w:val="0"/>
    <w:pPr>
      <w:widowControl/>
      <w:snapToGrid w:val="0"/>
      <w:spacing w:line="480" w:lineRule="exact"/>
      <w:ind w:firstLine="567"/>
    </w:pPr>
    <w:rPr>
      <w:rFonts w:ascii="宋体"/>
      <w:snapToGrid w:val="0"/>
      <w:color w:val="000000"/>
      <w:kern w:val="28"/>
      <w:sz w:val="28"/>
      <w:szCs w:val="20"/>
    </w:rPr>
  </w:style>
  <w:style w:type="paragraph" w:styleId="18">
    <w:name w:val="toc 4"/>
    <w:basedOn w:val="1"/>
    <w:next w:val="1"/>
    <w:qFormat/>
    <w:uiPriority w:val="0"/>
    <w:pPr>
      <w:ind w:left="1260" w:leftChars="600"/>
    </w:pPr>
  </w:style>
  <w:style w:type="paragraph" w:styleId="19">
    <w:name w:val="caption"/>
    <w:basedOn w:val="1"/>
    <w:next w:val="1"/>
    <w:link w:val="227"/>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0"/>
    <w:qFormat/>
    <w:uiPriority w:val="0"/>
    <w:pPr>
      <w:shd w:val="clear" w:color="auto" w:fill="000080"/>
    </w:pPr>
  </w:style>
  <w:style w:type="paragraph" w:styleId="22">
    <w:name w:val="annotation text"/>
    <w:basedOn w:val="1"/>
    <w:link w:val="342"/>
    <w:qFormat/>
    <w:uiPriority w:val="99"/>
    <w:pPr>
      <w:jc w:val="left"/>
    </w:pPr>
  </w:style>
  <w:style w:type="paragraph" w:styleId="23">
    <w:name w:val="Salutation"/>
    <w:basedOn w:val="1"/>
    <w:next w:val="1"/>
    <w:link w:val="296"/>
    <w:qFormat/>
    <w:uiPriority w:val="0"/>
    <w:rPr>
      <w:rFonts w:ascii="仿宋_GB2312" w:eastAsia="仿宋_GB2312"/>
      <w:sz w:val="28"/>
      <w:szCs w:val="20"/>
    </w:rPr>
  </w:style>
  <w:style w:type="paragraph" w:styleId="24">
    <w:name w:val="Body Text 3"/>
    <w:basedOn w:val="1"/>
    <w:link w:val="328"/>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w:basedOn w:val="1"/>
    <w:next w:val="18"/>
    <w:link w:val="428"/>
    <w:qFormat/>
    <w:uiPriority w:val="0"/>
    <w:pPr>
      <w:autoSpaceDE w:val="0"/>
      <w:autoSpaceDN w:val="0"/>
      <w:spacing w:line="360" w:lineRule="auto"/>
    </w:pPr>
    <w:rPr>
      <w:rFonts w:ascii="宋体" w:hAnsi="Arial" w:cs="Arial"/>
      <w:snapToGrid w:val="0"/>
      <w:sz w:val="24"/>
      <w:szCs w:val="21"/>
      <w:lang w:val="zh-CN"/>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3"/>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9"/>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29"/>
    <w:qFormat/>
    <w:uiPriority w:val="0"/>
    <w:rPr>
      <w:lang w:val="zh-CN"/>
    </w:rPr>
  </w:style>
  <w:style w:type="paragraph" w:styleId="40">
    <w:name w:val="Balloon Text"/>
    <w:basedOn w:val="1"/>
    <w:link w:val="186"/>
    <w:qFormat/>
    <w:uiPriority w:val="0"/>
    <w:rPr>
      <w:sz w:val="18"/>
      <w:szCs w:val="18"/>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2"/>
    <w:next w:val="22"/>
    <w:link w:val="94"/>
    <w:qFormat/>
    <w:uiPriority w:val="0"/>
    <w:rPr>
      <w:b/>
      <w:bCs/>
    </w:rPr>
  </w:style>
  <w:style w:type="paragraph" w:styleId="61">
    <w:name w:val="Body Text First Indent"/>
    <w:basedOn w:val="26"/>
    <w:link w:val="319"/>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5"/>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7"/>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0"/>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0"/>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7"/>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21"/>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9"/>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3"/>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4"/>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3"/>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4"/>
    <w:qFormat/>
    <w:uiPriority w:val="0"/>
    <w:rPr>
      <w:kern w:val="2"/>
      <w:sz w:val="21"/>
    </w:rPr>
  </w:style>
  <w:style w:type="character" w:customStyle="1" w:styleId="329">
    <w:name w:val="font31"/>
    <w:basedOn w:val="69"/>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2"/>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7"/>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6"/>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0"/>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6"/>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6"/>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4"/>
    <w:qFormat/>
    <w:uiPriority w:val="0"/>
    <w:pPr>
      <w:tabs>
        <w:tab w:val="left" w:pos="840"/>
      </w:tabs>
      <w:adjustRightInd/>
      <w:ind w:left="840" w:hanging="420"/>
    </w:pPr>
  </w:style>
  <w:style w:type="paragraph" w:customStyle="1" w:styleId="624">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6"/>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8"/>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3"/>
    <w:next w:val="638"/>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2"/>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6"/>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1"/>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6"/>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6"/>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4"/>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1"/>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9"/>
    <w:qFormat/>
    <w:uiPriority w:val="0"/>
    <w:rPr>
      <w:kern w:val="2"/>
      <w:sz w:val="21"/>
      <w:szCs w:val="24"/>
      <w:lang w:val="zh-CN"/>
    </w:rPr>
  </w:style>
  <w:style w:type="character" w:customStyle="1" w:styleId="930">
    <w:name w:val="无间隔 Char"/>
    <w:link w:val="481"/>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6"/>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basedOn w:val="69"/>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font101"/>
    <w:basedOn w:val="69"/>
    <w:qFormat/>
    <w:uiPriority w:val="0"/>
    <w:rPr>
      <w:rFonts w:hint="eastAsia" w:ascii="仿宋" w:hAnsi="仿宋" w:eastAsia="仿宋" w:cs="仿宋"/>
      <w:color w:val="000000"/>
      <w:sz w:val="28"/>
      <w:szCs w:val="28"/>
      <w:u w:val="none"/>
    </w:rPr>
  </w:style>
  <w:style w:type="character" w:customStyle="1" w:styleId="963">
    <w:name w:val="font161"/>
    <w:basedOn w:val="69"/>
    <w:unhideWhenUsed/>
    <w:qFormat/>
    <w:uiPriority w:val="0"/>
    <w:rPr>
      <w:rFonts w:hint="default" w:ascii="Arial" w:hAnsi="Arial" w:eastAsia="宋体" w:cs="Arial"/>
      <w:color w:val="333333"/>
      <w:sz w:val="16"/>
      <w:szCs w:val="16"/>
    </w:rPr>
  </w:style>
  <w:style w:type="character" w:customStyle="1" w:styleId="964">
    <w:name w:val="font121"/>
    <w:basedOn w:val="69"/>
    <w:unhideWhenUsed/>
    <w:qFormat/>
    <w:uiPriority w:val="0"/>
    <w:rPr>
      <w:rFonts w:hint="default" w:ascii="Times New Roman" w:hAnsi="Times New Roman" w:eastAsia="宋体" w:cs="Times New Roman"/>
      <w:color w:val="000000"/>
      <w:sz w:val="28"/>
      <w:szCs w:val="28"/>
    </w:rPr>
  </w:style>
  <w:style w:type="paragraph" w:customStyle="1" w:styleId="965">
    <w:name w:val="招标正文"/>
    <w:basedOn w:val="1"/>
    <w:unhideWhenUsed/>
    <w:qFormat/>
    <w:uiPriority w:val="0"/>
    <w:pPr>
      <w:snapToGrid w:val="0"/>
      <w:spacing w:beforeLines="0" w:afterLines="0" w:line="360" w:lineRule="auto"/>
      <w:ind w:firstLine="480" w:firstLineChars="200"/>
    </w:pPr>
    <w:rPr>
      <w:rFonts w:hint="default" w:ascii="宋体" w:hAnsi="宋体"/>
      <w:color w:val="000000"/>
      <w:kern w:val="0"/>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1" Type="http://schemas.openxmlformats.org/officeDocument/2006/relationships/fontTable" Target="fontTable.xml"/><Relationship Id="rId60" Type="http://schemas.openxmlformats.org/officeDocument/2006/relationships/numbering" Target="numbering.xml"/><Relationship Id="rId6" Type="http://schemas.openxmlformats.org/officeDocument/2006/relationships/footer" Target="footer2.xml"/><Relationship Id="rId59" Type="http://schemas.openxmlformats.org/officeDocument/2006/relationships/customXml" Target="../customXml/item1.xml"/><Relationship Id="rId58" Type="http://schemas.openxmlformats.org/officeDocument/2006/relationships/image" Target="media/image33.png"/><Relationship Id="rId57" Type="http://schemas.openxmlformats.org/officeDocument/2006/relationships/image" Target="media/image32.png"/><Relationship Id="rId56" Type="http://schemas.openxmlformats.org/officeDocument/2006/relationships/image" Target="media/image31.png"/><Relationship Id="rId55" Type="http://schemas.openxmlformats.org/officeDocument/2006/relationships/image" Target="media/image30.png"/><Relationship Id="rId54" Type="http://schemas.openxmlformats.org/officeDocument/2006/relationships/image" Target="media/image29.png"/><Relationship Id="rId53" Type="http://schemas.openxmlformats.org/officeDocument/2006/relationships/image" Target="media/image28.png"/><Relationship Id="rId52" Type="http://schemas.openxmlformats.org/officeDocument/2006/relationships/image" Target="media/image27.png"/><Relationship Id="rId51" Type="http://schemas.openxmlformats.org/officeDocument/2006/relationships/image" Target="media/image26.png"/><Relationship Id="rId50" Type="http://schemas.openxmlformats.org/officeDocument/2006/relationships/image" Target="media/image25.png"/><Relationship Id="rId5" Type="http://schemas.openxmlformats.org/officeDocument/2006/relationships/footer" Target="footer1.xml"/><Relationship Id="rId49" Type="http://schemas.openxmlformats.org/officeDocument/2006/relationships/image" Target="media/image24.png"/><Relationship Id="rId48" Type="http://schemas.openxmlformats.org/officeDocument/2006/relationships/image" Target="media/image23.png"/><Relationship Id="rId47" Type="http://schemas.openxmlformats.org/officeDocument/2006/relationships/image" Target="media/image22.png"/><Relationship Id="rId46" Type="http://schemas.openxmlformats.org/officeDocument/2006/relationships/image" Target="media/image21.png"/><Relationship Id="rId45" Type="http://schemas.openxmlformats.org/officeDocument/2006/relationships/image" Target="media/image20.png"/><Relationship Id="rId44" Type="http://schemas.openxmlformats.org/officeDocument/2006/relationships/image" Target="media/image19.png"/><Relationship Id="rId43" Type="http://schemas.openxmlformats.org/officeDocument/2006/relationships/image" Target="media/image18.png"/><Relationship Id="rId42" Type="http://schemas.openxmlformats.org/officeDocument/2006/relationships/image" Target="media/image17.png"/><Relationship Id="rId41" Type="http://schemas.openxmlformats.org/officeDocument/2006/relationships/image" Target="media/image16.png"/><Relationship Id="rId40" Type="http://schemas.openxmlformats.org/officeDocument/2006/relationships/image" Target="media/image15.png"/><Relationship Id="rId4" Type="http://schemas.openxmlformats.org/officeDocument/2006/relationships/header" Target="header2.xml"/><Relationship Id="rId39" Type="http://schemas.openxmlformats.org/officeDocument/2006/relationships/image" Target="media/image14.png"/><Relationship Id="rId38" Type="http://schemas.openxmlformats.org/officeDocument/2006/relationships/image" Target="media/image13.png"/><Relationship Id="rId37" Type="http://schemas.openxmlformats.org/officeDocument/2006/relationships/image" Target="media/image12.png"/><Relationship Id="rId36" Type="http://schemas.openxmlformats.org/officeDocument/2006/relationships/image" Target="media/image11.png"/><Relationship Id="rId35" Type="http://schemas.openxmlformats.org/officeDocument/2006/relationships/image" Target="media/image10.png"/><Relationship Id="rId34" Type="http://schemas.openxmlformats.org/officeDocument/2006/relationships/image" Target="media/image9.png"/><Relationship Id="rId33" Type="http://schemas.openxmlformats.org/officeDocument/2006/relationships/image" Target="media/image8.png"/><Relationship Id="rId32" Type="http://schemas.openxmlformats.org/officeDocument/2006/relationships/image" Target="media/image7.png"/><Relationship Id="rId31" Type="http://schemas.openxmlformats.org/officeDocument/2006/relationships/image" Target="media/image6.png"/><Relationship Id="rId30" Type="http://schemas.openxmlformats.org/officeDocument/2006/relationships/image" Target="media/image5.png"/><Relationship Id="rId3" Type="http://schemas.openxmlformats.org/officeDocument/2006/relationships/header" Target="header1.xml"/><Relationship Id="rId29" Type="http://schemas.openxmlformats.org/officeDocument/2006/relationships/image" Target="media/image4.png"/><Relationship Id="rId28" Type="http://schemas.openxmlformats.org/officeDocument/2006/relationships/image" Target="media/image3.pn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5" Type="http://schemas.openxmlformats.org/officeDocument/2006/relationships/font" Target="fonts/font15.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244</Pages>
  <Words>130617</Words>
  <Characters>140974</Characters>
  <Lines>279</Lines>
  <Paragraphs>78</Paragraphs>
  <TotalTime>128</TotalTime>
  <ScaleCrop>false</ScaleCrop>
  <LinksUpToDate>false</LinksUpToDate>
  <CharactersWithSpaces>146128</CharactersWithSpaces>
  <Application>WPS Office_11.1.0.12165_F1E327BC-269C-435d-A152-05C5408002CA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WPS_1712799345</cp:lastModifiedBy>
  <cp:lastPrinted>2024-05-28T07:10:00Z</cp:lastPrinted>
  <dcterms:modified xsi:type="dcterms:W3CDTF">2024-06-03T06:19:53Z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CD5FA537F22946AEA9D0554C9D59D7C0_13</vt:lpwstr>
  </property>
</Properties>
</file>