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sz w:val="48"/>
          <w:szCs w:val="48"/>
        </w:rPr>
      </w:pPr>
    </w:p>
    <w:p>
      <w:pPr>
        <w:adjustRightInd/>
        <w:spacing w:line="360" w:lineRule="auto"/>
        <w:jc w:val="center"/>
        <w:rPr>
          <w:rFonts w:hint="eastAsia" w:ascii="宋体" w:hAnsi="宋体" w:cs="宋体"/>
          <w:sz w:val="48"/>
          <w:szCs w:val="48"/>
          <w:lang w:eastAsia="zh-CN"/>
        </w:rPr>
      </w:pP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2024年杭州市余杭区太炎中学饮水设备及管线采购项目</w:t>
      </w:r>
    </w:p>
    <w:p>
      <w:pPr>
        <w:bidi w:val="0"/>
        <w:rPr>
          <w:rFonts w:hint="eastAsia"/>
        </w:rPr>
      </w:pPr>
    </w:p>
    <w:p>
      <w:pPr>
        <w:adjustRightInd/>
        <w:spacing w:line="360" w:lineRule="auto"/>
        <w:jc w:val="center"/>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cs="宋体"/>
          <w:sz w:val="30"/>
          <w:szCs w:val="30"/>
        </w:rPr>
      </w:pPr>
    </w:p>
    <w:p>
      <w:pPr>
        <w:snapToGrid w:val="0"/>
        <w:spacing w:line="360" w:lineRule="auto"/>
        <w:jc w:val="center"/>
        <w:rPr>
          <w:rFonts w:hint="eastAsia" w:ascii="宋体" w:hAnsi="宋体" w:eastAsia="宋体" w:cs="宋体"/>
          <w:color w:val="FF0000"/>
          <w:sz w:val="36"/>
          <w:szCs w:val="36"/>
          <w:lang w:eastAsia="zh-CN"/>
        </w:rPr>
      </w:pPr>
      <w:r>
        <w:rPr>
          <w:rFonts w:hint="eastAsia" w:ascii="宋体" w:hAnsi="宋体" w:cs="宋体"/>
          <w:sz w:val="36"/>
          <w:szCs w:val="36"/>
        </w:rPr>
        <w:t>编号:</w:t>
      </w:r>
      <w:r>
        <w:rPr>
          <w:rFonts w:hint="eastAsia" w:ascii="宋体" w:hAnsi="宋体" w:cs="宋体"/>
          <w:i w:val="0"/>
          <w:iCs w:val="0"/>
          <w:caps w:val="0"/>
          <w:spacing w:val="0"/>
          <w:sz w:val="36"/>
          <w:szCs w:val="36"/>
          <w:u w:val="none"/>
          <w:lang w:val="en-US" w:eastAsia="zh-CN"/>
        </w:rPr>
        <w:t xml:space="preserve"> </w:t>
      </w:r>
      <w:r>
        <w:rPr>
          <w:rFonts w:hint="eastAsia" w:cs="宋体"/>
          <w:color w:val="000000" w:themeColor="text1"/>
          <w:sz w:val="36"/>
          <w:szCs w:val="36"/>
          <w:highlight w:val="none"/>
          <w:lang w:eastAsia="zh-CN"/>
          <w14:textFill>
            <w14:solidFill>
              <w14:schemeClr w14:val="tx1"/>
            </w14:solidFill>
          </w14:textFill>
        </w:rPr>
        <w:t>ZJZX-TYZX-202403G（C）</w:t>
      </w:r>
    </w:p>
    <w:p>
      <w:pPr>
        <w:adjustRightInd/>
        <w:spacing w:line="360" w:lineRule="auto"/>
        <w:rPr>
          <w:rFonts w:ascii="宋体" w:hAnsi="宋体" w:cs="宋体"/>
          <w:sz w:val="28"/>
          <w:szCs w:val="20"/>
        </w:rPr>
      </w:pPr>
    </w:p>
    <w:p>
      <w:pPr>
        <w:spacing w:line="360" w:lineRule="auto"/>
        <w:jc w:val="center"/>
        <w:rPr>
          <w:rFonts w:ascii="宋体" w:hAnsi="宋体" w:cs="宋体"/>
          <w:sz w:val="24"/>
        </w:rPr>
      </w:pPr>
    </w:p>
    <w:p>
      <w:pPr>
        <w:pStyle w:val="4"/>
        <w:rPr>
          <w:rFonts w:ascii="宋体" w:hAnsi="宋体" w:cs="宋体"/>
          <w:sz w:val="24"/>
        </w:rPr>
      </w:pPr>
    </w:p>
    <w:p/>
    <w:p>
      <w:pPr>
        <w:spacing w:line="360" w:lineRule="auto"/>
        <w:jc w:val="center"/>
        <w:rPr>
          <w:rFonts w:ascii="宋体" w:hAnsi="宋体" w:cs="宋体"/>
          <w:sz w:val="24"/>
        </w:rPr>
      </w:pPr>
    </w:p>
    <w:p>
      <w:pPr>
        <w:spacing w:line="360" w:lineRule="auto"/>
        <w:ind w:firstLine="1280" w:firstLineChars="400"/>
        <w:jc w:val="both"/>
        <w:rPr>
          <w:rFonts w:hint="eastAsia" w:ascii="宋体" w:hAnsi="宋体" w:eastAsia="宋体" w:cs="宋体"/>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eastAsia="宋体" w:cs="宋体"/>
          <w:bCs/>
          <w:sz w:val="32"/>
          <w:szCs w:val="32"/>
          <w:lang w:eastAsia="zh-CN"/>
        </w:rPr>
        <w:t>：</w:t>
      </w:r>
      <w:r>
        <w:rPr>
          <w:rFonts w:hint="eastAsia" w:ascii="宋体" w:hAnsi="宋体" w:cs="宋体"/>
          <w:bCs/>
          <w:sz w:val="32"/>
          <w:szCs w:val="32"/>
          <w:lang w:eastAsia="zh-CN"/>
        </w:rPr>
        <w:t>杭州市余杭区太炎中学</w:t>
      </w:r>
    </w:p>
    <w:p>
      <w:pPr>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w:t>
      </w:r>
      <w:r>
        <w:rPr>
          <w:rFonts w:hint="eastAsia" w:ascii="宋体" w:hAnsi="宋体" w:cs="宋体"/>
          <w:i w:val="0"/>
          <w:iCs w:val="0"/>
          <w:caps w:val="0"/>
          <w:spacing w:val="0"/>
          <w:sz w:val="32"/>
          <w:szCs w:val="32"/>
          <w:lang w:eastAsia="zh-CN"/>
        </w:rPr>
        <w:t>浙江致信招标代理有限公司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w:t>
      </w:r>
      <w:r>
        <w:rPr>
          <w:rFonts w:hint="eastAsia" w:ascii="宋体" w:hAnsi="宋体" w:cs="宋体"/>
          <w:bCs/>
          <w:color w:val="auto"/>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Style w:val="284"/>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Style w:val="284"/>
          <w:rFonts w:hint="eastAsia"/>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2024年杭州市余杭区太炎中学饮水设备及管线采购项目</w:t>
      </w:r>
      <w:r>
        <w:rPr>
          <w:rFonts w:hint="eastAsia" w:asciiTheme="minorEastAsia" w:hAnsiTheme="minorEastAsia" w:eastAsiaTheme="minorEastAsia"/>
          <w:color w:val="auto"/>
          <w:sz w:val="24"/>
        </w:rPr>
        <w:t>招标项目的潜在投标人应在政采</w:t>
      </w:r>
      <w:r>
        <w:rPr>
          <w:rStyle w:val="78"/>
          <w:rFonts w:hint="eastAsia" w:cs="Times New Roman" w:asciiTheme="minorEastAsia" w:hAnsiTheme="minorEastAsia" w:eastAsiaTheme="minorEastAsia"/>
          <w:snapToGrid/>
          <w:color w:val="auto"/>
          <w:kern w:val="2"/>
          <w:sz w:val="24"/>
          <w:szCs w:val="24"/>
        </w:rPr>
        <w:t>云平台（</w:t>
      </w:r>
      <w:r>
        <w:rPr>
          <w:rStyle w:val="78"/>
          <w:rFonts w:cs="Times New Roman" w:asciiTheme="minorEastAsia" w:hAnsiTheme="minorEastAsia" w:eastAsiaTheme="minorEastAsia"/>
          <w:snapToGrid/>
          <w:color w:val="auto"/>
          <w:kern w:val="2"/>
          <w:sz w:val="24"/>
          <w:szCs w:val="24"/>
        </w:rPr>
        <w:fldChar w:fldCharType="begin"/>
      </w:r>
      <w:r>
        <w:rPr>
          <w:rStyle w:val="78"/>
          <w:rFonts w:cs="Times New Roman" w:asciiTheme="minorEastAsia" w:hAnsiTheme="minorEastAsia" w:eastAsiaTheme="minorEastAsia"/>
          <w:snapToGrid/>
          <w:color w:val="auto"/>
          <w:kern w:val="2"/>
          <w:sz w:val="24"/>
          <w:szCs w:val="24"/>
        </w:rPr>
        <w:instrText xml:space="preserve"> HYPERLINK "https://www.zcygov.cn/）获取（下载）招标文件，并于202%20年%20月%20日%20点%20分00秒" </w:instrText>
      </w:r>
      <w:r>
        <w:rPr>
          <w:rStyle w:val="78"/>
          <w:rFonts w:cs="Times New Roman" w:asciiTheme="minorEastAsia" w:hAnsiTheme="minorEastAsia" w:eastAsiaTheme="minorEastAsia"/>
          <w:snapToGrid/>
          <w:color w:val="auto"/>
          <w:kern w:val="2"/>
          <w:sz w:val="24"/>
          <w:szCs w:val="24"/>
        </w:rP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rPr>
        <w:t>202</w:t>
      </w:r>
      <w:r>
        <w:rPr>
          <w:rStyle w:val="78"/>
          <w:rFonts w:hint="eastAsia" w:cs="Times New Roman" w:asciiTheme="minorEastAsia" w:hAnsiTheme="minorEastAsia" w:eastAsiaTheme="minorEastAsia"/>
          <w:snapToGrid/>
          <w:color w:val="auto"/>
          <w:kern w:val="2"/>
          <w:sz w:val="24"/>
          <w:szCs w:val="24"/>
          <w:lang w:val="en-US" w:eastAsia="zh-CN"/>
        </w:rPr>
        <w:t>4</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lang w:val="en-US" w:eastAsia="zh-CN"/>
        </w:rPr>
        <w:t>11月14日14</w:t>
      </w:r>
      <w:r>
        <w:rPr>
          <w:rStyle w:val="78"/>
          <w:rFonts w:hint="eastAsia" w:cs="Times New Roman" w:asciiTheme="minorEastAsia" w:hAnsiTheme="minorEastAsia" w:eastAsiaTheme="minorEastAsia"/>
          <w:snapToGrid/>
          <w:color w:val="auto"/>
          <w:kern w:val="2"/>
          <w:sz w:val="24"/>
          <w:szCs w:val="24"/>
        </w:rPr>
        <w:t>点</w:t>
      </w:r>
      <w:r>
        <w:rPr>
          <w:rStyle w:val="78"/>
          <w:rFonts w:hint="eastAsia" w:cs="Times New Roman" w:asciiTheme="minorEastAsia" w:hAnsiTheme="minorEastAsia" w:eastAsiaTheme="minorEastAsia"/>
          <w:snapToGrid/>
          <w:color w:val="auto"/>
          <w:kern w:val="2"/>
          <w:sz w:val="24"/>
          <w:szCs w:val="24"/>
          <w:lang w:val="en-US" w:eastAsia="zh-CN"/>
        </w:rPr>
        <w:t>00</w:t>
      </w:r>
      <w:r>
        <w:rPr>
          <w:rStyle w:val="78"/>
          <w:rFonts w:hint="eastAsia" w:cs="Times New Roman" w:asciiTheme="minorEastAsia" w:hAnsiTheme="minorEastAsia" w:eastAsiaTheme="minorEastAsia"/>
          <w:snapToGrid/>
          <w:color w:val="auto"/>
          <w:kern w:val="2"/>
          <w:sz w:val="24"/>
          <w:szCs w:val="24"/>
        </w:rPr>
        <w:t>分00秒</w:t>
      </w:r>
      <w:r>
        <w:rPr>
          <w:rStyle w:val="78"/>
          <w:rFonts w:hint="eastAsia" w:cs="Times New Roman" w:asciiTheme="minorEastAsia" w:hAnsiTheme="minorEastAsia" w:eastAsiaTheme="minorEastAsia"/>
          <w:snapToGrid/>
          <w:color w:val="auto"/>
          <w:kern w:val="2"/>
          <w:sz w:val="24"/>
          <w:szCs w:val="24"/>
        </w:rPr>
        <w:fldChar w:fldCharType="end"/>
      </w:r>
      <w:r>
        <w:rPr>
          <w:rStyle w:val="78"/>
          <w:rFonts w:hint="eastAsia" w:cs="Times New Roman" w:asciiTheme="minorEastAsia" w:hAnsiTheme="minorEastAsia" w:eastAsiaTheme="minorEastAsia"/>
          <w:snapToGrid/>
          <w:color w:val="auto"/>
          <w:kern w:val="2"/>
          <w:sz w:val="24"/>
          <w:szCs w:val="24"/>
        </w:rPr>
        <w:t>（北京</w:t>
      </w:r>
      <w:r>
        <w:rPr>
          <w:rFonts w:hint="eastAsia" w:asciiTheme="minorEastAsia" w:hAnsiTheme="minorEastAsia" w:eastAsiaTheme="minorEastAsia"/>
          <w:bCs/>
          <w:color w:val="auto"/>
          <w:sz w:val="24"/>
        </w:rPr>
        <w:t>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ZJZX-TYZX-202403G（C）</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2024年杭州市余杭区太炎中学饮水设备及管线采购项目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仿宋_GB2312" w:hAnsi="仿宋" w:eastAsia="仿宋_GB2312"/>
          <w:b/>
          <w:color w:val="auto"/>
          <w:sz w:val="24"/>
        </w:rPr>
        <w:t>725000</w:t>
      </w:r>
      <w:r>
        <w:rPr>
          <w:rFonts w:hint="eastAsia" w:ascii="仿宋_GB2312" w:hAnsi="仿宋" w:eastAsia="仿宋_GB2312"/>
          <w:color w:val="auto"/>
          <w:sz w:val="24"/>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rPr>
        <w:t>最高限价（</w:t>
      </w:r>
      <w:r>
        <w:rPr>
          <w:rFonts w:hint="eastAsia" w:ascii="宋体" w:hAnsi="宋体" w:cs="宋体"/>
          <w:b w:val="0"/>
          <w:bCs/>
          <w:color w:val="auto"/>
          <w:sz w:val="24"/>
        </w:rPr>
        <w:t>元</w:t>
      </w:r>
      <w:r>
        <w:rPr>
          <w:rFonts w:hint="eastAsia" w:ascii="宋体" w:hAnsi="宋体" w:cs="宋体"/>
          <w:b w:val="0"/>
          <w:bCs/>
          <w:color w:val="auto"/>
          <w:sz w:val="24"/>
          <w:highlight w:val="none"/>
        </w:rPr>
        <w:t>）</w:t>
      </w:r>
      <w:r>
        <w:rPr>
          <w:rFonts w:hint="eastAsia" w:ascii="仿宋_GB2312" w:hAnsi="仿宋" w:eastAsia="仿宋_GB2312"/>
          <w:b/>
          <w:color w:val="auto"/>
          <w:sz w:val="24"/>
        </w:rPr>
        <w:t>：</w:t>
      </w:r>
      <w:r>
        <w:rPr>
          <w:rFonts w:hint="eastAsia" w:ascii="仿宋_GB2312" w:hAnsi="仿宋" w:eastAsia="仿宋_GB2312"/>
          <w:b/>
          <w:color w:val="auto"/>
          <w:sz w:val="24"/>
          <w:lang w:val="en-US" w:eastAsia="zh-CN"/>
        </w:rPr>
        <w:t>683100</w:t>
      </w:r>
      <w:r>
        <w:rPr>
          <w:rFonts w:hint="eastAsia" w:ascii="仿宋_GB2312" w:hAnsi="仿宋" w:eastAsia="仿宋_GB2312"/>
          <w:b/>
          <w:color w:val="auto"/>
          <w:sz w:val="24"/>
        </w:rPr>
        <w:t xml:space="preserve">  </w:t>
      </w:r>
    </w:p>
    <w:p>
      <w:pPr>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bCs/>
          <w:color w:val="auto"/>
          <w:sz w:val="24"/>
          <w:lang w:eastAsia="zh-CN"/>
        </w:rPr>
        <w:t>采购需求：</w:t>
      </w:r>
      <w:r>
        <w:rPr>
          <w:rFonts w:hint="eastAsia" w:ascii="宋体" w:hAnsi="宋体" w:eastAsia="宋体" w:cs="宋体"/>
          <w:color w:val="auto"/>
          <w:sz w:val="24"/>
          <w:lang w:val="en-US" w:eastAsia="zh-CN"/>
        </w:rPr>
        <w:t>2024年杭州市余杭区太炎中学饮水设备及管线采购项目主要内容：太炎中学饮水设备及管线采购及安装等。具体以招标文件第三部分采购需求为准，详见《招标文件》“第三部分 采购需求”。</w:t>
      </w:r>
    </w:p>
    <w:p>
      <w:pPr>
        <w:pStyle w:val="3"/>
        <w:spacing w:line="360" w:lineRule="auto"/>
        <w:ind w:firstLine="480"/>
        <w:rPr>
          <w:rFonts w:hint="eastAsia" w:cs="Times New Roman" w:asciiTheme="minorEastAsia" w:hAnsiTheme="minorEastAsia" w:eastAsiaTheme="minorEastAsia"/>
          <w:b w:val="0"/>
          <w:snapToGrid/>
          <w:color w:val="auto"/>
          <w:kern w:val="2"/>
          <w:sz w:val="24"/>
          <w:szCs w:val="24"/>
        </w:rPr>
      </w:pPr>
      <w:r>
        <w:rPr>
          <w:rFonts w:hint="eastAsia" w:ascii="宋体" w:hAnsi="宋体" w:eastAsia="宋体" w:cs="宋体"/>
          <w:b/>
          <w:bCs/>
          <w:snapToGrid/>
          <w:color w:val="auto"/>
          <w:kern w:val="2"/>
          <w:sz w:val="24"/>
          <w:szCs w:val="24"/>
          <w:lang w:val="en-US" w:eastAsia="zh-CN" w:bidi="ar-SA"/>
        </w:rPr>
        <w:t>合同履约期限：</w:t>
      </w:r>
      <w:r>
        <w:rPr>
          <w:rFonts w:hint="eastAsia" w:cs="Times New Roman" w:asciiTheme="minorEastAsia" w:hAnsiTheme="minorEastAsia" w:eastAsiaTheme="minorEastAsia"/>
          <w:b w:val="0"/>
          <w:snapToGrid/>
          <w:color w:val="auto"/>
          <w:kern w:val="2"/>
          <w:sz w:val="24"/>
          <w:szCs w:val="24"/>
        </w:rPr>
        <w:t xml:space="preserve"> 签订</w:t>
      </w:r>
      <w:r>
        <w:rPr>
          <w:rFonts w:hint="eastAsia" w:cs="Times New Roman" w:asciiTheme="minorEastAsia" w:hAnsiTheme="minorEastAsia" w:eastAsiaTheme="minorEastAsia"/>
          <w:b w:val="0"/>
          <w:snapToGrid/>
          <w:color w:val="auto"/>
          <w:kern w:val="2"/>
          <w:sz w:val="24"/>
          <w:szCs w:val="24"/>
          <w:highlight w:val="none"/>
        </w:rPr>
        <w:t>合同后，</w:t>
      </w:r>
      <w:r>
        <w:rPr>
          <w:rFonts w:hint="eastAsia" w:cs="Times New Roman" w:asciiTheme="minorEastAsia" w:hAnsiTheme="minorEastAsia" w:eastAsiaTheme="minorEastAsia"/>
          <w:b w:val="0"/>
          <w:snapToGrid/>
          <w:color w:val="auto"/>
          <w:kern w:val="2"/>
          <w:sz w:val="24"/>
          <w:szCs w:val="24"/>
          <w:highlight w:val="none"/>
          <w:lang w:val="en-US" w:eastAsia="zh-CN"/>
        </w:rPr>
        <w:t>10</w:t>
      </w:r>
      <w:r>
        <w:rPr>
          <w:rFonts w:hint="eastAsia" w:cs="Times New Roman" w:asciiTheme="minorEastAsia" w:hAnsiTheme="minorEastAsia" w:eastAsiaTheme="minorEastAsia"/>
          <w:b w:val="0"/>
          <w:snapToGrid/>
          <w:color w:val="auto"/>
          <w:kern w:val="2"/>
          <w:sz w:val="24"/>
          <w:szCs w:val="24"/>
          <w:highlight w:val="none"/>
        </w:rPr>
        <w:t>日内完</w:t>
      </w:r>
      <w:r>
        <w:rPr>
          <w:rFonts w:hint="eastAsia" w:cs="Times New Roman" w:asciiTheme="minorEastAsia" w:hAnsiTheme="minorEastAsia" w:eastAsiaTheme="minorEastAsia"/>
          <w:b w:val="0"/>
          <w:snapToGrid/>
          <w:color w:val="auto"/>
          <w:kern w:val="2"/>
          <w:sz w:val="24"/>
          <w:szCs w:val="24"/>
        </w:rPr>
        <w:t>成供货安装，并调试完成。</w:t>
      </w:r>
    </w:p>
    <w:p>
      <w:pPr>
        <w:pStyle w:val="3"/>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11月14日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11月14日14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11月14日14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五、采购意向公开链接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https://zfcg.czt.zj.gov.cn/site/detail?categoryCode=ZcyAnnouncement&amp;parentId=600007&amp;articleId=N6UJGYVtWPwk3ROmjAqRjg==</w:t>
      </w:r>
    </w:p>
    <w:p>
      <w:pPr>
        <w:spacing w:line="360" w:lineRule="auto"/>
        <w:rPr>
          <w:rFonts w:ascii="宋体" w:hAnsi="宋体" w:cs="宋体"/>
          <w:color w:val="auto"/>
          <w:sz w:val="24"/>
        </w:rPr>
      </w:pPr>
      <w:r>
        <w:rPr>
          <w:rFonts w:hint="eastAsia" w:ascii="宋体" w:hAnsi="宋体" w:cs="宋体"/>
          <w:b/>
          <w:color w:val="auto"/>
          <w:sz w:val="24"/>
          <w:lang w:val="en-US" w:eastAsia="zh-CN"/>
        </w:rPr>
        <w:t>六</w:t>
      </w:r>
      <w:r>
        <w:rPr>
          <w:rFonts w:hint="eastAsia" w:ascii="宋体" w:hAnsi="宋体" w:cs="宋体"/>
          <w:b/>
          <w:color w:val="auto"/>
          <w:sz w:val="24"/>
        </w:rPr>
        <w:t xml:space="preserve">、公告期限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lang w:val="en-US" w:eastAsia="zh-CN"/>
        </w:rPr>
        <w:t>七</w:t>
      </w:r>
      <w:r>
        <w:rPr>
          <w:rFonts w:hint="eastAsia" w:ascii="宋体" w:hAnsi="宋体" w:cs="宋体"/>
          <w:b/>
          <w:color w:val="auto"/>
          <w:sz w:val="24"/>
        </w:rPr>
        <w:t>、其他补充事宜</w:t>
      </w:r>
    </w:p>
    <w:p>
      <w:pPr>
        <w:spacing w:line="360" w:lineRule="auto"/>
        <w:ind w:firstLine="480" w:firstLineChars="200"/>
        <w:rPr>
          <w:rFonts w:ascii="宋体" w:hAnsi="宋体" w:cs="宋体"/>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w:t>
      </w:r>
      <w:r>
        <w:rPr>
          <w:rFonts w:ascii="宋体" w:hAnsi="宋体" w:cs="宋体"/>
          <w:sz w:val="24"/>
        </w:rPr>
        <w:t>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color w:val="auto"/>
          <w:sz w:val="24"/>
        </w:rPr>
        <w:t xml:space="preserve">名    </w:t>
      </w:r>
      <w:r>
        <w:rPr>
          <w:rFonts w:hint="eastAsia" w:ascii="宋体" w:hAnsi="宋体" w:eastAsia="宋体" w:cs="宋体"/>
          <w:color w:val="auto"/>
          <w:sz w:val="24"/>
        </w:rPr>
        <w:t>称：</w:t>
      </w:r>
      <w:r>
        <w:rPr>
          <w:rFonts w:hint="eastAsia" w:ascii="宋体" w:hAnsi="宋体" w:cs="宋体"/>
          <w:color w:val="auto"/>
          <w:sz w:val="24"/>
          <w:lang w:eastAsia="zh-CN"/>
        </w:rPr>
        <w:t>杭州市余杭区太炎中学</w:t>
      </w:r>
      <w:r>
        <w:rPr>
          <w:rFonts w:hint="eastAsia" w:ascii="宋体" w:hAnsi="宋体" w:eastAsia="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w:t>
      </w:r>
      <w:r>
        <w:rPr>
          <w:rFonts w:hint="eastAsia" w:ascii="宋体" w:hAnsi="宋体" w:eastAsia="宋体" w:cs="宋体"/>
          <w:color w:val="auto"/>
          <w:sz w:val="24"/>
        </w:rPr>
        <w:t>址：</w:t>
      </w:r>
      <w:r>
        <w:rPr>
          <w:rFonts w:hint="eastAsia" w:ascii="宋体" w:hAnsi="宋体" w:eastAsia="宋体" w:cs="宋体"/>
          <w:color w:val="auto"/>
          <w:sz w:val="24"/>
          <w:lang w:eastAsia="zh-CN"/>
        </w:rPr>
        <w:t xml:space="preserve">余杭区余杭街道凤新路81号     </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eastAsia="宋体" w:cs="宋体"/>
          <w:color w:val="auto"/>
          <w:sz w:val="24"/>
          <w:lang w:val="en-US" w:eastAsia="zh-CN"/>
        </w:rPr>
        <w:t xml:space="preserve">时老师 </w:t>
      </w:r>
      <w:r>
        <w:rPr>
          <w:rFonts w:hint="eastAsia" w:ascii="宋体" w:hAnsi="宋体" w:eastAsia="宋体" w:cs="宋体"/>
          <w:color w:val="auto"/>
          <w:sz w:val="24"/>
          <w:lang w:eastAsia="zh-CN"/>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eastAsia="宋体" w:cs="宋体"/>
          <w:color w:val="auto"/>
          <w:sz w:val="24"/>
          <w:lang w:val="en-US" w:eastAsia="zh-CN"/>
        </w:rPr>
        <w:t xml:space="preserve"> 0571-88662100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eastAsia="宋体" w:cs="宋体"/>
          <w:color w:val="auto"/>
          <w:sz w:val="24"/>
          <w:lang w:val="en-US" w:eastAsia="zh-CN"/>
        </w:rPr>
        <w:t>郑老师</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eastAsia="宋体" w:cs="宋体"/>
          <w:color w:val="auto"/>
          <w:sz w:val="24"/>
          <w:lang w:eastAsia="zh-CN"/>
        </w:rPr>
        <w:t>18057101661（请通过以下路径在线提起质疑：政采云-项目采购-询问质疑投诉-质疑列表）</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i w:val="0"/>
          <w:iCs w:val="0"/>
          <w:caps w:val="0"/>
          <w:color w:val="auto"/>
          <w:spacing w:val="0"/>
          <w:sz w:val="24"/>
          <w:szCs w:val="24"/>
          <w:lang w:eastAsia="zh-CN"/>
        </w:rPr>
        <w:t>浙江致信招标代理有限公司</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i w:val="0"/>
          <w:iCs w:val="0"/>
          <w:caps w:val="0"/>
          <w:color w:val="auto"/>
          <w:spacing w:val="0"/>
          <w:sz w:val="24"/>
          <w:szCs w:val="24"/>
        </w:rPr>
        <w:t>杭州市余杭区余杭街道凤新路380号星贝社区2幢501A室</w:t>
      </w:r>
    </w:p>
    <w:p>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eastAsia="宋体" w:cs="宋体"/>
          <w:i w:val="0"/>
          <w:iCs w:val="0"/>
          <w:caps w:val="0"/>
          <w:color w:val="auto"/>
          <w:spacing w:val="0"/>
          <w:sz w:val="24"/>
          <w:szCs w:val="24"/>
        </w:rPr>
        <w:t>黄工</w:t>
      </w:r>
      <w:r>
        <w:rPr>
          <w:rFonts w:hint="eastAsia" w:ascii="宋体" w:hAnsi="宋体" w:cs="宋体"/>
          <w:color w:val="auto"/>
          <w:sz w:val="24"/>
        </w:rPr>
        <w:t xml:space="preserve"> </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cs="宋体"/>
          <w:color w:val="auto"/>
          <w:sz w:val="24"/>
        </w:rPr>
        <w:t xml:space="preserve">   </w:t>
      </w:r>
      <w:r>
        <w:rPr>
          <w:rFonts w:hint="eastAsia" w:ascii="宋体" w:hAnsi="宋体" w:eastAsia="宋体" w:cs="宋体"/>
          <w:i w:val="0"/>
          <w:iCs w:val="0"/>
          <w:caps w:val="0"/>
          <w:color w:val="auto"/>
          <w:spacing w:val="0"/>
          <w:sz w:val="24"/>
          <w:szCs w:val="24"/>
        </w:rPr>
        <w:t xml:space="preserve"> 项目联系方式（询问）：15372009809</w:t>
      </w:r>
    </w:p>
    <w:p>
      <w:pPr>
        <w:spacing w:line="360" w:lineRule="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 xml:space="preserve">    质疑联系人： </w:t>
      </w:r>
      <w:r>
        <w:rPr>
          <w:rFonts w:hint="eastAsia" w:ascii="宋体" w:hAnsi="宋体" w:cs="宋体"/>
          <w:i w:val="0"/>
          <w:iCs w:val="0"/>
          <w:caps w:val="0"/>
          <w:color w:val="auto"/>
          <w:spacing w:val="0"/>
          <w:sz w:val="24"/>
          <w:szCs w:val="24"/>
          <w:lang w:val="en-US" w:eastAsia="zh-CN"/>
        </w:rPr>
        <w:t>俞工</w:t>
      </w:r>
    </w:p>
    <w:p>
      <w:pPr>
        <w:spacing w:line="360" w:lineRule="auto"/>
        <w:rPr>
          <w:rFonts w:ascii="宋体" w:hAnsi="宋体" w:cs="宋体"/>
          <w:color w:val="auto"/>
          <w:sz w:val="24"/>
        </w:rPr>
      </w:pPr>
      <w:r>
        <w:rPr>
          <w:rFonts w:hint="eastAsia" w:ascii="宋体" w:hAnsi="宋体" w:eastAsia="宋体" w:cs="宋体"/>
          <w:i w:val="0"/>
          <w:iCs w:val="0"/>
          <w:caps w:val="0"/>
          <w:color w:val="auto"/>
          <w:spacing w:val="0"/>
          <w:sz w:val="24"/>
          <w:szCs w:val="24"/>
        </w:rPr>
        <w:t xml:space="preserve">    质疑联系方式：0571-85388866</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xml:space="preserve">    </w:t>
      </w:r>
      <w:bookmarkStart w:id="12" w:name="_Hlk160705047"/>
      <w:r>
        <w:rPr>
          <w:rFonts w:hint="eastAsia" w:ascii="宋体" w:hAnsi="宋体" w:eastAsia="宋体" w:cs="宋体"/>
          <w:i w:val="0"/>
          <w:iCs w:val="0"/>
          <w:caps w:val="0"/>
          <w:color w:val="auto"/>
          <w:spacing w:val="0"/>
          <w:sz w:val="24"/>
          <w:szCs w:val="24"/>
        </w:rPr>
        <w:t>名    称：</w:t>
      </w:r>
      <w:r>
        <w:rPr>
          <w:rFonts w:hint="eastAsia" w:ascii="宋体" w:hAnsi="宋体" w:eastAsia="宋体" w:cs="宋体"/>
          <w:color w:val="auto"/>
          <w:sz w:val="24"/>
          <w:highlight w:val="none"/>
        </w:rPr>
        <w:t>杭州市</w:t>
      </w:r>
      <w:r>
        <w:rPr>
          <w:rFonts w:hint="eastAsia" w:ascii="宋体" w:hAnsi="宋体" w:cs="宋体"/>
          <w:color w:val="auto"/>
          <w:sz w:val="24"/>
          <w:highlight w:val="none"/>
          <w:lang w:val="en-US" w:eastAsia="zh-CN"/>
        </w:rPr>
        <w:t>余杭区</w:t>
      </w:r>
      <w:r>
        <w:rPr>
          <w:rFonts w:hint="eastAsia" w:ascii="宋体" w:hAnsi="宋体" w:eastAsia="宋体" w:cs="宋体"/>
          <w:color w:val="auto"/>
          <w:sz w:val="24"/>
          <w:highlight w:val="none"/>
        </w:rPr>
        <w:t>财政局</w:t>
      </w:r>
      <w:r>
        <w:rPr>
          <w:rFonts w:hint="eastAsia" w:ascii="宋体" w:hAnsi="宋体" w:eastAsia="宋体" w:cs="宋体"/>
          <w:i w:val="0"/>
          <w:iCs w:val="0"/>
          <w:caps w:val="0"/>
          <w:color w:val="auto"/>
          <w:spacing w:val="0"/>
          <w:sz w:val="24"/>
          <w:szCs w:val="24"/>
        </w:rPr>
        <w:t>、浙江省政府采购行政裁决服务中心（杭州）</w:t>
      </w:r>
    </w:p>
    <w:p>
      <w:pPr>
        <w:spacing w:line="360" w:lineRule="auto"/>
        <w:ind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    址：杭州市上城区四季青街道新业路市民之家G03办公室（快递仅限ems或顺丰）</w:t>
      </w:r>
    </w:p>
    <w:p>
      <w:pPr>
        <w:spacing w:line="360" w:lineRule="auto"/>
        <w:ind w:firstLine="420" w:firstLineChars="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传    真：/</w:t>
      </w:r>
    </w:p>
    <w:p>
      <w:pPr>
        <w:spacing w:line="360" w:lineRule="auto"/>
        <w:ind w:firstLine="420" w:firstLineChars="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联 系 人：朱女士、王女士</w:t>
      </w:r>
    </w:p>
    <w:p>
      <w:pPr>
        <w:spacing w:line="360" w:lineRule="auto"/>
        <w:ind w:firstLine="420" w:firstLineChars="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监督投诉电话：电话：0571-85252453</w:t>
      </w:r>
    </w:p>
    <w:bookmarkEnd w:id="12"/>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adjustRightInd/>
        <w:spacing w:line="480" w:lineRule="exact"/>
        <w:rPr>
          <w:rFonts w:cs="宋体"/>
          <w:b/>
          <w:bCs/>
          <w:highlight w:val="none"/>
        </w:rPr>
      </w:pPr>
      <w:r>
        <w:rPr>
          <w:rFonts w:hint="eastAsia" w:cs="宋体"/>
          <w:b/>
          <w:bCs/>
          <w:highlight w:val="none"/>
        </w:rPr>
        <w:t>备注：请贵单位领取本项目招标文件后，认真阅读各项内容，进行必要的准备工作，按文件的要求详细填写和编制投标文件，并按以上确定的时间、地点准时参加投标。</w:t>
      </w:r>
    </w:p>
    <w:p>
      <w:pPr>
        <w:bidi w:val="0"/>
      </w:pPr>
      <w:r>
        <w:br w:type="page"/>
      </w:r>
    </w:p>
    <w:p>
      <w:pPr>
        <w:pStyle w:val="6"/>
        <w:bidi w:val="0"/>
      </w:pPr>
      <w:r>
        <w:rPr>
          <w:rFonts w:hint="eastAsia"/>
        </w:rPr>
        <w:t>第二部分</w:t>
      </w:r>
      <w:bookmarkEnd w:id="8"/>
      <w:r>
        <w:rPr>
          <w:rFonts w:hint="eastAsia"/>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94"/>
        <w:gridCol w:w="1840"/>
        <w:gridCol w:w="66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0"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692"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r>
              <w:rPr>
                <w:rFonts w:hint="eastAsia" w:ascii="宋体" w:hAnsi="宋体" w:cs="宋体"/>
                <w:b/>
                <w:bCs/>
                <w:sz w:val="24"/>
              </w:rPr>
              <w:t>1</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项目属性与核心产品</w:t>
            </w:r>
          </w:p>
        </w:tc>
        <w:tc>
          <w:tcPr>
            <w:tcW w:w="6692" w:type="dxa"/>
            <w:tcBorders>
              <w:tl2br w:val="nil"/>
              <w:tr2bl w:val="nil"/>
            </w:tcBorders>
            <w:vAlign w:val="center"/>
          </w:tcPr>
          <w:p>
            <w:pPr>
              <w:spacing w:line="240" w:lineRule="auto"/>
              <w:rPr>
                <w:rFonts w:hint="default" w:ascii="宋体" w:hAnsi="宋体" w:eastAsia="宋体" w:cs="宋体"/>
                <w:color w:val="auto"/>
                <w:sz w:val="24"/>
                <w:lang w:val="en-US" w:eastAsia="zh-CN"/>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lang w:eastAsia="zh-CN"/>
              </w:rPr>
              <w:t>六龙头饮水台、立式直饮机</w:t>
            </w:r>
            <w:r>
              <w:rPr>
                <w:rFonts w:hint="eastAsia" w:ascii="宋体" w:hAnsi="宋体" w:cs="宋体"/>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r>
              <w:rPr>
                <w:rFonts w:hint="eastAsia" w:ascii="宋体" w:hAnsi="宋体" w:cs="宋体"/>
                <w:b/>
                <w:bCs/>
                <w:sz w:val="24"/>
              </w:rPr>
              <w:t>2</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采购标的及其对应的中小企业划分标准所属行业</w:t>
            </w:r>
          </w:p>
        </w:tc>
        <w:tc>
          <w:tcPr>
            <w:tcW w:w="6692" w:type="dxa"/>
            <w:tcBorders>
              <w:tl2br w:val="nil"/>
              <w:tr2bl w:val="nil"/>
            </w:tcBorders>
            <w:vAlign w:val="center"/>
          </w:tcPr>
          <w:p>
            <w:pPr>
              <w:snapToGrid w:val="0"/>
              <w:spacing w:line="240" w:lineRule="auto"/>
              <w:rPr>
                <w:rFonts w:ascii="宋体" w:hAnsi="宋体" w:eastAsia="宋体" w:cs="宋体"/>
                <w:color w:val="auto"/>
                <w:lang w:val="en-US"/>
              </w:rPr>
            </w:pPr>
            <w:r>
              <w:rPr>
                <w:rFonts w:hint="eastAsia" w:ascii="宋体" w:hAnsi="宋体" w:cs="宋体"/>
                <w:color w:val="auto"/>
                <w:kern w:val="0"/>
                <w:sz w:val="24"/>
              </w:rPr>
              <w:t>（1）</w:t>
            </w:r>
            <w:r>
              <w:rPr>
                <w:rFonts w:hint="eastAsia" w:ascii="宋体" w:hAnsi="宋体" w:cs="宋体"/>
                <w:color w:val="auto"/>
                <w:kern w:val="0"/>
                <w:sz w:val="24"/>
                <w:lang w:val="en-US" w:eastAsia="zh-CN"/>
              </w:rPr>
              <w:t>采购</w:t>
            </w:r>
            <w:r>
              <w:rPr>
                <w:rFonts w:hint="eastAsia" w:ascii="宋体" w:hAnsi="宋体" w:cs="宋体"/>
                <w:color w:val="auto"/>
                <w:kern w:val="0"/>
                <w:sz w:val="24"/>
              </w:rPr>
              <w:t>标的：</w:t>
            </w:r>
            <w:r>
              <w:rPr>
                <w:rFonts w:hint="eastAsia" w:ascii="宋体" w:hAnsi="宋体" w:cs="宋体"/>
                <w:color w:val="auto"/>
                <w:sz w:val="24"/>
                <w:u w:val="single"/>
                <w:lang w:eastAsia="zh-CN"/>
              </w:rPr>
              <w:t>六龙头饮水台、立式直饮机</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工业（制造业）</w:t>
            </w:r>
            <w:r>
              <w:rPr>
                <w:rFonts w:hint="eastAsia" w:ascii="宋体" w:hAnsi="宋体" w:cs="宋体"/>
                <w:color w:val="auto"/>
                <w:kern w:val="0"/>
                <w:sz w:val="24"/>
              </w:rPr>
              <w:t>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3</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是否允许采购进口产品</w:t>
            </w:r>
          </w:p>
        </w:tc>
        <w:tc>
          <w:tcPr>
            <w:tcW w:w="6692" w:type="dxa"/>
            <w:tcBorders>
              <w:tl2br w:val="nil"/>
              <w:tr2bl w:val="nil"/>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4</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分包</w:t>
            </w:r>
          </w:p>
        </w:tc>
        <w:tc>
          <w:tcPr>
            <w:tcW w:w="6692" w:type="dxa"/>
            <w:tcBorders>
              <w:tl2br w:val="nil"/>
              <w:tr2bl w:val="nil"/>
            </w:tcBorders>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5</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开标前答疑会或现场考察</w:t>
            </w:r>
          </w:p>
        </w:tc>
        <w:tc>
          <w:tcPr>
            <w:tcW w:w="6692" w:type="dxa"/>
            <w:tcBorders>
              <w:tl2br w:val="nil"/>
              <w:tr2bl w:val="nil"/>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6</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样品提供</w:t>
            </w:r>
          </w:p>
        </w:tc>
        <w:tc>
          <w:tcPr>
            <w:tcW w:w="6692" w:type="dxa"/>
            <w:tcBorders>
              <w:tl2br w:val="nil"/>
              <w:tr2bl w:val="nil"/>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color w:val="auto"/>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b/>
                <w:bCs/>
                <w:color w:val="auto"/>
                <w:sz w:val="24"/>
                <w:u w:val="single"/>
              </w:rPr>
              <w:t>六龙头饮水台</w:t>
            </w:r>
            <w:r>
              <w:rPr>
                <w:rFonts w:hint="eastAsia" w:ascii="宋体" w:hAnsi="宋体" w:cs="宋体"/>
                <w:b/>
                <w:bCs/>
                <w:color w:val="auto"/>
                <w:sz w:val="24"/>
                <w:u w:val="single"/>
                <w:lang w:val="en-US" w:eastAsia="zh-CN"/>
              </w:rPr>
              <w:t>1台、立式直饮机1台</w:t>
            </w:r>
            <w:r>
              <w:rPr>
                <w:rFonts w:hint="eastAsia" w:ascii="宋体" w:hAnsi="宋体" w:cs="宋体"/>
                <w:color w:val="auto"/>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eastAsia="宋体" w:cs="宋体"/>
                <w:sz w:val="24"/>
                <w:u w:val="single"/>
              </w:rPr>
              <w:t>详见采购需求附件</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color w:val="auto"/>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/至2024年11月14日12:00止 </w:t>
            </w:r>
            <w:r>
              <w:rPr>
                <w:rFonts w:hint="eastAsia" w:ascii="宋体" w:hAnsi="宋体" w:cs="宋体"/>
                <w:color w:val="auto"/>
                <w:kern w:val="0"/>
                <w:sz w:val="24"/>
              </w:rPr>
              <w:t>；地点：</w:t>
            </w:r>
            <w:r>
              <w:rPr>
                <w:rFonts w:hint="eastAsia" w:ascii="宋体" w:hAnsi="宋体" w:cs="宋体"/>
                <w:b/>
                <w:bCs/>
                <w:color w:val="auto"/>
                <w:sz w:val="24"/>
                <w:u w:val="single"/>
              </w:rPr>
              <w:t xml:space="preserve">杭州市余杭区余杭街道凤新路380号星贝社区2幢501A室 </w:t>
            </w:r>
            <w:r>
              <w:rPr>
                <w:rFonts w:hint="eastAsia" w:ascii="宋体" w:hAnsi="宋体" w:cs="宋体"/>
                <w:b/>
                <w:bCs/>
                <w:color w:val="auto"/>
                <w:kern w:val="0"/>
                <w:sz w:val="24"/>
              </w:rPr>
              <w:t>；联系人</w:t>
            </w:r>
            <w:r>
              <w:rPr>
                <w:rFonts w:hint="eastAsia" w:ascii="宋体" w:hAnsi="宋体" w:cs="宋体"/>
                <w:b/>
                <w:bCs/>
                <w:color w:val="auto"/>
                <w:sz w:val="24"/>
              </w:rPr>
              <w:t>：</w:t>
            </w:r>
            <w:r>
              <w:rPr>
                <w:rFonts w:hint="eastAsia" w:ascii="宋体" w:hAnsi="宋体" w:cs="宋体"/>
                <w:b/>
                <w:bCs/>
                <w:color w:val="auto"/>
                <w:sz w:val="24"/>
                <w:u w:val="single"/>
              </w:rPr>
              <w:t xml:space="preserve">黄工 </w:t>
            </w:r>
            <w:r>
              <w:rPr>
                <w:rFonts w:hint="eastAsia" w:ascii="宋体" w:hAnsi="宋体" w:cs="宋体"/>
                <w:b/>
                <w:bCs/>
                <w:color w:val="auto"/>
                <w:sz w:val="24"/>
              </w:rPr>
              <w:t>，</w:t>
            </w:r>
            <w:r>
              <w:rPr>
                <w:rFonts w:hint="eastAsia" w:ascii="宋体" w:hAnsi="宋体" w:cs="宋体"/>
                <w:b/>
                <w:bCs/>
                <w:color w:val="auto"/>
                <w:kern w:val="28"/>
                <w:sz w:val="24"/>
              </w:rPr>
              <w:t>联系电话：</w:t>
            </w:r>
            <w:r>
              <w:rPr>
                <w:rFonts w:hint="eastAsia" w:ascii="宋体" w:hAnsi="宋体" w:cs="宋体"/>
                <w:b/>
                <w:bCs/>
                <w:color w:val="auto"/>
                <w:sz w:val="24"/>
                <w:u w:val="single"/>
              </w:rPr>
              <w:t>15372009809</w:t>
            </w:r>
            <w:r>
              <w:rPr>
                <w:rFonts w:hint="eastAsia" w:ascii="宋体" w:hAnsi="宋体" w:cs="宋体"/>
                <w:b/>
                <w:bCs/>
                <w:color w:val="auto"/>
                <w:sz w:val="24"/>
              </w:rPr>
              <w:t>。</w:t>
            </w:r>
            <w:r>
              <w:rPr>
                <w:rFonts w:hint="eastAsia" w:ascii="宋体" w:hAnsi="宋体" w:cs="宋体"/>
                <w:color w:val="auto"/>
                <w:sz w:val="24"/>
              </w:rPr>
              <w:t>请投标人在上述时间内提供样品并按规定位置安装完毕。超过截</w:t>
            </w:r>
            <w:r>
              <w:rPr>
                <w:rFonts w:hint="eastAsia" w:ascii="宋体" w:hAnsi="宋体" w:cs="宋体"/>
                <w:sz w:val="24"/>
              </w:rPr>
              <w:t>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hint="eastAsia" w:ascii="宋体" w:hAnsi="宋体" w:cs="宋体"/>
                <w:sz w:val="24"/>
              </w:rPr>
            </w:pPr>
            <w:r>
              <w:rPr>
                <w:rFonts w:hint="eastAsia" w:ascii="宋体" w:hAnsi="宋体" w:cs="宋体"/>
                <w:sz w:val="24"/>
              </w:rPr>
              <w:t>（7）制作、运输、安装和保管样品所发生的一切费用由投标人自理。</w:t>
            </w:r>
          </w:p>
          <w:p>
            <w:pPr>
              <w:spacing w:line="360" w:lineRule="auto"/>
              <w:jc w:val="left"/>
              <w:rPr>
                <w:rFonts w:hint="eastAsia"/>
                <w:color w:val="auto"/>
                <w:sz w:val="24"/>
              </w:rPr>
            </w:pPr>
            <w:r>
              <w:rPr>
                <w:rFonts w:hint="eastAsia"/>
                <w:sz w:val="24"/>
              </w:rPr>
              <w:t>（8）</w:t>
            </w:r>
            <w:r>
              <w:rPr>
                <w:rFonts w:hint="eastAsia" w:ascii="宋体" w:hAnsi="宋体" w:cs="宋体"/>
                <w:b/>
                <w:bCs/>
                <w:color w:val="000000"/>
                <w:sz w:val="24"/>
              </w:rPr>
              <w:t>本项目样品采</w:t>
            </w:r>
            <w:r>
              <w:rPr>
                <w:rFonts w:hint="eastAsia" w:ascii="宋体" w:hAnsi="宋体" w:cs="宋体"/>
                <w:b/>
                <w:bCs/>
                <w:color w:val="auto"/>
                <w:sz w:val="24"/>
              </w:rPr>
              <w:t>用暗标评审的方式；</w:t>
            </w:r>
          </w:p>
          <w:p>
            <w:pPr>
              <w:pStyle w:val="3"/>
              <w:spacing w:line="360" w:lineRule="auto"/>
              <w:ind w:firstLine="0"/>
            </w:pPr>
            <w:r>
              <w:rPr>
                <w:rFonts w:hint="eastAsia"/>
                <w:color w:val="auto"/>
                <w:sz w:val="24"/>
              </w:rPr>
              <w:t>（9）</w:t>
            </w:r>
            <w:r>
              <w:rPr>
                <w:rFonts w:hint="eastAsia"/>
                <w:b/>
                <w:bCs/>
                <w:color w:val="auto"/>
                <w:sz w:val="24"/>
              </w:rPr>
              <w:t>投标人不提供样品或样品提供不全</w:t>
            </w:r>
            <w:r>
              <w:rPr>
                <w:rFonts w:hint="eastAsia"/>
                <w:b/>
                <w:bCs/>
                <w:sz w:val="24"/>
              </w:rPr>
              <w:t>则视其投标无效，样品中出现投标单位名称或厂家名称或厂家LOGO或品牌LOGO或外观尺寸或技术参数明显不符合招标文件要求的则样品分为0分；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r>
              <w:rPr>
                <w:rFonts w:hint="eastAsia" w:ascii="宋体" w:hAnsi="宋体" w:cs="宋体"/>
                <w:b/>
                <w:bCs/>
                <w:sz w:val="24"/>
              </w:rPr>
              <w:t>7</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方案讲解演示</w:t>
            </w:r>
          </w:p>
        </w:tc>
        <w:tc>
          <w:tcPr>
            <w:tcW w:w="6692" w:type="dxa"/>
            <w:tcBorders>
              <w:tl2br w:val="nil"/>
              <w:tr2bl w:val="nil"/>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vMerge w:val="restart"/>
            <w:tcBorders>
              <w:tl2br w:val="nil"/>
              <w:tr2bl w:val="nil"/>
            </w:tcBorders>
            <w:vAlign w:val="center"/>
          </w:tcPr>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r>
              <w:rPr>
                <w:rFonts w:hint="eastAsia" w:ascii="宋体" w:hAnsi="宋体" w:cs="宋体"/>
                <w:b/>
                <w:bCs/>
                <w:sz w:val="24"/>
              </w:rPr>
              <w:t>8</w:t>
            </w:r>
          </w:p>
        </w:tc>
        <w:tc>
          <w:tcPr>
            <w:tcW w:w="1840" w:type="dxa"/>
            <w:vMerge w:val="restart"/>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投标人应当提供的资格、资信证明文件</w:t>
            </w:r>
          </w:p>
        </w:tc>
        <w:tc>
          <w:tcPr>
            <w:tcW w:w="6692"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（1）资格证明文件：见</w:t>
            </w:r>
            <w:r>
              <w:rPr>
                <w:rFonts w:hint="eastAsia" w:ascii="宋体" w:hAnsi="宋体" w:cs="宋体"/>
                <w:color w:val="auto"/>
                <w:sz w:val="24"/>
              </w:rPr>
              <w:t>招标文件第二部分。</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vMerge w:val="continue"/>
            <w:tcBorders>
              <w:tl2br w:val="nil"/>
              <w:tr2bl w:val="nil"/>
            </w:tcBorders>
            <w:vAlign w:val="center"/>
          </w:tcPr>
          <w:p>
            <w:pPr>
              <w:snapToGrid w:val="0"/>
              <w:spacing w:line="360" w:lineRule="auto"/>
              <w:jc w:val="center"/>
              <w:rPr>
                <w:rFonts w:ascii="宋体" w:hAnsi="宋体" w:cs="宋体"/>
                <w:b/>
                <w:bCs/>
                <w:sz w:val="24"/>
              </w:rPr>
            </w:pPr>
          </w:p>
        </w:tc>
        <w:tc>
          <w:tcPr>
            <w:tcW w:w="1840" w:type="dxa"/>
            <w:vMerge w:val="continue"/>
            <w:tcBorders>
              <w:tl2br w:val="nil"/>
              <w:tr2bl w:val="nil"/>
            </w:tcBorders>
            <w:vAlign w:val="center"/>
          </w:tcPr>
          <w:p>
            <w:pPr>
              <w:snapToGrid w:val="0"/>
              <w:spacing w:line="360" w:lineRule="auto"/>
              <w:jc w:val="center"/>
              <w:rPr>
                <w:rFonts w:ascii="宋体" w:hAnsi="宋体" w:cs="宋体"/>
                <w:b/>
                <w:bCs/>
                <w:sz w:val="24"/>
              </w:rPr>
            </w:pPr>
          </w:p>
        </w:tc>
        <w:tc>
          <w:tcPr>
            <w:tcW w:w="6692"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9</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节能产品、环境标志产品</w:t>
            </w:r>
          </w:p>
        </w:tc>
        <w:tc>
          <w:tcPr>
            <w:tcW w:w="6692" w:type="dxa"/>
            <w:tcBorders>
              <w:tl2br w:val="nil"/>
              <w:tr2bl w:val="nil"/>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10</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报价要求</w:t>
            </w:r>
          </w:p>
        </w:tc>
        <w:tc>
          <w:tcPr>
            <w:tcW w:w="6692" w:type="dxa"/>
            <w:tcBorders>
              <w:tl2br w:val="nil"/>
              <w:tr2bl w:val="nil"/>
            </w:tcBorders>
            <w:vAlign w:val="center"/>
          </w:tcPr>
          <w:p>
            <w:pPr>
              <w:snapToGrid w:val="0"/>
              <w:spacing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有关本项目实施所需的所有费用（</w:t>
            </w:r>
            <w:r>
              <w:rPr>
                <w:rFonts w:hint="eastAsia" w:ascii="宋体" w:hAnsi="宋体" w:cs="宋体"/>
                <w:b/>
                <w:bCs/>
                <w:color w:val="FF0000"/>
                <w:kern w:val="0"/>
                <w:sz w:val="24"/>
                <w:lang w:val="zh-CN" w:eastAsia="zh-CN"/>
              </w:rPr>
              <w:t>含本项目所有产品</w:t>
            </w:r>
            <w:r>
              <w:rPr>
                <w:rFonts w:hint="eastAsia" w:ascii="宋体" w:hAnsi="宋体" w:cs="宋体"/>
                <w:b/>
                <w:bCs/>
                <w:color w:val="FF0000"/>
                <w:kern w:val="0"/>
                <w:sz w:val="24"/>
                <w:lang w:val="en-US" w:eastAsia="zh-CN"/>
              </w:rPr>
              <w:t>的</w:t>
            </w:r>
            <w:r>
              <w:rPr>
                <w:rFonts w:hint="eastAsia" w:ascii="宋体" w:hAnsi="宋体" w:cs="宋体"/>
                <w:b/>
                <w:bCs/>
                <w:color w:val="FF0000"/>
                <w:kern w:val="0"/>
                <w:sz w:val="24"/>
                <w:lang w:val="zh-CN"/>
              </w:rPr>
              <w:t>安装所需配件、电线安装、排水管安装、设备安装费、运输费、税费等所有</w:t>
            </w:r>
            <w:r>
              <w:rPr>
                <w:rFonts w:hint="eastAsia" w:ascii="宋体" w:hAnsi="宋体" w:cs="宋体"/>
                <w:b/>
                <w:bCs/>
                <w:color w:val="FF0000"/>
                <w:kern w:val="0"/>
                <w:sz w:val="24"/>
                <w:lang w:val="zh-CN" w:eastAsia="zh-CN"/>
              </w:rPr>
              <w:t>费用</w:t>
            </w:r>
            <w:r>
              <w:rPr>
                <w:rFonts w:hint="eastAsia" w:ascii="宋体" w:hAnsi="宋体" w:cs="宋体"/>
                <w:kern w:val="0"/>
                <w:sz w:val="24"/>
                <w:lang w:val="zh-CN"/>
              </w:rPr>
              <w:t>）均计入报价。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hint="eastAsia" w:ascii="宋体" w:hAnsi="宋体" w:cs="宋体"/>
                <w:b/>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11</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中小企业信用融资</w:t>
            </w:r>
          </w:p>
        </w:tc>
        <w:tc>
          <w:tcPr>
            <w:tcW w:w="6692" w:type="dxa"/>
            <w:tcBorders>
              <w:tl2br w:val="nil"/>
              <w:tr2bl w:val="nil"/>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12</w:t>
            </w:r>
          </w:p>
        </w:tc>
        <w:tc>
          <w:tcPr>
            <w:tcW w:w="1840" w:type="dxa"/>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备份投标文件送达地点和签收人员</w:t>
            </w:r>
          </w:p>
        </w:tc>
        <w:tc>
          <w:tcPr>
            <w:tcW w:w="6692" w:type="dxa"/>
            <w:tcBorders>
              <w:tl2br w:val="nil"/>
              <w:tr2bl w:val="nil"/>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auto"/>
                <w:spacing w:val="0"/>
                <w:sz w:val="24"/>
                <w:szCs w:val="24"/>
              </w:rPr>
              <w:t>杭州市余杭区余杭街道凤新路380号星贝社区2幢501A室</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黄工15372009809</w:t>
            </w:r>
            <w:r>
              <w:rPr>
                <w:rFonts w:hint="eastAsia" w:hAnsi="宋体" w:cs="宋体"/>
                <w:color w:val="auto"/>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vMerge w:val="restart"/>
            <w:tcBorders>
              <w:tl2br w:val="nil"/>
              <w:tr2bl w:val="nil"/>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13</w:t>
            </w:r>
          </w:p>
        </w:tc>
        <w:tc>
          <w:tcPr>
            <w:tcW w:w="1840" w:type="dxa"/>
            <w:vMerge w:val="restart"/>
            <w:tcBorders>
              <w:tl2br w:val="nil"/>
              <w:tr2bl w:val="nil"/>
            </w:tcBorders>
            <w:vAlign w:val="center"/>
          </w:tcPr>
          <w:p>
            <w:pPr>
              <w:snapToGrid w:val="0"/>
              <w:spacing w:line="360" w:lineRule="auto"/>
              <w:jc w:val="center"/>
              <w:rPr>
                <w:rFonts w:ascii="宋体" w:hAnsi="宋体" w:cs="宋体"/>
                <w:b/>
                <w:bCs/>
                <w:sz w:val="24"/>
              </w:rPr>
            </w:pPr>
            <w:r>
              <w:rPr>
                <w:rFonts w:hint="eastAsia" w:cs="仿宋_GB2312" w:asciiTheme="minorEastAsia" w:hAnsiTheme="minorEastAsia" w:eastAsiaTheme="minorEastAsia"/>
                <w:b/>
                <w:bCs/>
                <w:sz w:val="24"/>
              </w:rPr>
              <w:t>特别说明</w:t>
            </w:r>
          </w:p>
        </w:tc>
        <w:tc>
          <w:tcPr>
            <w:tcW w:w="6692" w:type="dxa"/>
            <w:tcBorders>
              <w:tl2br w:val="nil"/>
              <w:tr2bl w:val="nil"/>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vMerge w:val="continue"/>
            <w:tcBorders>
              <w:tl2br w:val="nil"/>
              <w:tr2bl w:val="nil"/>
            </w:tcBorders>
            <w:vAlign w:val="center"/>
          </w:tcPr>
          <w:p>
            <w:pPr>
              <w:snapToGrid w:val="0"/>
              <w:spacing w:line="360" w:lineRule="auto"/>
              <w:jc w:val="center"/>
              <w:rPr>
                <w:rFonts w:ascii="宋体" w:hAnsi="宋体" w:cs="宋体"/>
                <w:b/>
                <w:bCs/>
                <w:sz w:val="24"/>
              </w:rPr>
            </w:pPr>
          </w:p>
        </w:tc>
        <w:tc>
          <w:tcPr>
            <w:tcW w:w="1840" w:type="dxa"/>
            <w:vMerge w:val="continue"/>
            <w:tcBorders>
              <w:tl2br w:val="nil"/>
              <w:tr2bl w:val="nil"/>
            </w:tcBorders>
            <w:vAlign w:val="center"/>
          </w:tcPr>
          <w:p>
            <w:pPr>
              <w:snapToGrid w:val="0"/>
              <w:spacing w:line="360" w:lineRule="auto"/>
              <w:jc w:val="center"/>
              <w:rPr>
                <w:rFonts w:ascii="宋体" w:hAnsi="宋体" w:cs="宋体"/>
                <w:b/>
                <w:bCs/>
                <w:sz w:val="24"/>
              </w:rPr>
            </w:pPr>
          </w:p>
        </w:tc>
        <w:tc>
          <w:tcPr>
            <w:tcW w:w="6692" w:type="dxa"/>
            <w:tcBorders>
              <w:tl2br w:val="nil"/>
              <w:tr2bl w:val="nil"/>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FF0000"/>
                  <w:kern w:val="0"/>
                  <w:sz w:val="24"/>
                </w:rPr>
                <w:id w:val="-36976655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14</w:t>
            </w:r>
          </w:p>
        </w:tc>
        <w:tc>
          <w:tcPr>
            <w:tcW w:w="1840" w:type="dxa"/>
            <w:tcBorders>
              <w:tl2br w:val="nil"/>
              <w:tr2bl w:val="nil"/>
            </w:tcBorders>
            <w:vAlign w:val="center"/>
          </w:tcPr>
          <w:p>
            <w:pPr>
              <w:snapToGrid w:val="0"/>
              <w:spacing w:line="360" w:lineRule="auto"/>
              <w:jc w:val="center"/>
              <w:rPr>
                <w:rFonts w:ascii="宋体" w:hAnsi="宋体" w:eastAsia="宋体" w:cs="宋体"/>
                <w:b/>
                <w:bCs/>
                <w:kern w:val="2"/>
                <w:sz w:val="24"/>
                <w:szCs w:val="24"/>
                <w:lang w:val="en-US" w:eastAsia="zh-CN" w:bidi="ar-SA"/>
              </w:rPr>
            </w:pPr>
            <w:r>
              <w:rPr>
                <w:rFonts w:hint="eastAsia" w:ascii="宋体" w:hAnsi="宋体" w:eastAsia="宋体" w:cs="宋体"/>
                <w:b/>
                <w:bCs/>
                <w:sz w:val="24"/>
              </w:rPr>
              <w:t>代理服务费</w:t>
            </w:r>
          </w:p>
        </w:tc>
        <w:tc>
          <w:tcPr>
            <w:tcW w:w="6692" w:type="dxa"/>
            <w:tcBorders>
              <w:tl2br w:val="nil"/>
              <w:tr2bl w:val="nil"/>
            </w:tcBorders>
            <w:vAlign w:val="center"/>
          </w:tcPr>
          <w:p>
            <w:pPr>
              <w:pStyle w:val="35"/>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（1）本项目代理服务费</w:t>
            </w:r>
            <w:r>
              <w:rPr>
                <w:rFonts w:hint="eastAsia" w:hAnsi="宋体" w:cs="宋体"/>
                <w:snapToGrid w:val="0"/>
                <w:color w:val="auto"/>
                <w:kern w:val="28"/>
                <w:sz w:val="24"/>
                <w:szCs w:val="24"/>
                <w:lang w:val="en-US" w:eastAsia="zh-CN" w:bidi="ar-SA"/>
              </w:rPr>
              <w:t>（不含专家评审费）</w:t>
            </w:r>
            <w:r>
              <w:rPr>
                <w:rFonts w:hint="eastAsia" w:ascii="宋体" w:hAnsi="宋体" w:eastAsia="宋体" w:cs="宋体"/>
                <w:snapToGrid w:val="0"/>
                <w:color w:val="auto"/>
                <w:kern w:val="28"/>
                <w:sz w:val="24"/>
                <w:szCs w:val="24"/>
                <w:lang w:val="en-US" w:eastAsia="zh-CN" w:bidi="ar-SA"/>
              </w:rPr>
              <w:t>以中标金额为计算基础，参照计价格【2002】1980号文的收费标准向中标供应商收取（不足5000元的按5000元收取）。以上费用，投标人应当自中标结果公告发布之日起5个工作日内一次性向采购代理机构支付。</w:t>
            </w:r>
          </w:p>
          <w:p>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（2）中标人在领取中标通知书前，应向采购代理机构交纳代理服务费。</w:t>
            </w:r>
          </w:p>
          <w:p>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（3）代理服务费以电汇方式支付。</w:t>
            </w:r>
          </w:p>
          <w:p>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（4）中标人如未按上述规定办理，本代理机构有权对不足部分进行追索。</w:t>
            </w:r>
          </w:p>
          <w:p>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（5）服务费缴纳账号：</w:t>
            </w:r>
          </w:p>
          <w:p>
            <w:pPr>
              <w:pStyle w:val="35"/>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户名：浙江致信招标代理有限公司宁波分公司</w:t>
            </w:r>
          </w:p>
          <w:p>
            <w:pPr>
              <w:pStyle w:val="35"/>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账号：33030100201000007592</w:t>
            </w:r>
          </w:p>
          <w:p>
            <w:pPr>
              <w:pStyle w:val="35"/>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开户行：浙江泰隆商业银行宁波路林小微企业专营支行</w:t>
            </w:r>
          </w:p>
          <w:p>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精确查找祥符支行行号：313332070157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94" w:type="dxa"/>
            <w:tcBorders>
              <w:tl2br w:val="nil"/>
              <w:tr2bl w:val="nil"/>
            </w:tcBorders>
            <w:vAlign w:val="center"/>
          </w:tcPr>
          <w:p>
            <w:pPr>
              <w:snapToGrid w:val="0"/>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15</w:t>
            </w:r>
          </w:p>
        </w:tc>
        <w:tc>
          <w:tcPr>
            <w:tcW w:w="1840" w:type="dxa"/>
            <w:tcBorders>
              <w:tl2br w:val="nil"/>
              <w:tr2bl w:val="nil"/>
            </w:tcBorders>
            <w:vAlign w:val="center"/>
          </w:tcPr>
          <w:p>
            <w:pPr>
              <w:snapToGrid w:val="0"/>
              <w:spacing w:line="360" w:lineRule="auto"/>
              <w:jc w:val="center"/>
              <w:rPr>
                <w:rFonts w:ascii="宋体" w:hAnsi="宋体" w:eastAsia="宋体" w:cs="宋体"/>
                <w:b/>
                <w:bCs/>
                <w:kern w:val="2"/>
                <w:sz w:val="24"/>
                <w:szCs w:val="24"/>
                <w:lang w:val="en-US" w:eastAsia="zh-CN" w:bidi="ar-SA"/>
              </w:rPr>
            </w:pPr>
            <w:r>
              <w:rPr>
                <w:rFonts w:hint="eastAsia" w:ascii="宋体" w:hAnsi="宋体" w:eastAsia="宋体" w:cs="宋体"/>
                <w:b/>
                <w:bCs/>
                <w:snapToGrid w:val="0"/>
                <w:kern w:val="28"/>
                <w:sz w:val="24"/>
              </w:rPr>
              <w:t>书面投标文件</w:t>
            </w:r>
          </w:p>
        </w:tc>
        <w:tc>
          <w:tcPr>
            <w:tcW w:w="6692" w:type="dxa"/>
            <w:tcBorders>
              <w:tl2br w:val="nil"/>
              <w:tr2bl w:val="nil"/>
            </w:tcBorders>
            <w:vAlign w:val="center"/>
          </w:tcPr>
          <w:p>
            <w:pPr>
              <w:spacing w:line="360" w:lineRule="auto"/>
              <w:rPr>
                <w:rFonts w:hint="default" w:ascii="宋体" w:hAnsi="宋体" w:cs="宋体"/>
                <w:snapToGrid w:val="0"/>
                <w:color w:val="auto"/>
                <w:kern w:val="28"/>
                <w:sz w:val="24"/>
                <w:lang w:val="en-US" w:eastAsia="zh-CN"/>
              </w:rPr>
            </w:pPr>
            <w:r>
              <w:rPr>
                <w:rFonts w:hint="eastAsia" w:ascii="宋体" w:hAnsi="宋体" w:cs="宋体"/>
                <w:snapToGrid w:val="0"/>
                <w:color w:val="auto"/>
                <w:kern w:val="28"/>
                <w:sz w:val="24"/>
              </w:rPr>
              <w:t>中标单位需在领取中标通知书时，提供</w:t>
            </w:r>
            <w:r>
              <w:rPr>
                <w:rFonts w:hint="eastAsia" w:ascii="宋体" w:hAnsi="宋体" w:cs="宋体"/>
                <w:snapToGrid w:val="0"/>
                <w:color w:val="auto"/>
                <w:kern w:val="28"/>
                <w:sz w:val="24"/>
                <w:lang w:val="en-US" w:eastAsia="zh-CN"/>
              </w:rPr>
              <w:t>以下文件：</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w:t>
            </w:r>
            <w:r>
              <w:rPr>
                <w:rFonts w:hint="eastAsia" w:ascii="宋体" w:hAnsi="宋体" w:cs="宋体"/>
                <w:snapToGrid w:val="0"/>
                <w:color w:val="auto"/>
                <w:kern w:val="28"/>
                <w:sz w:val="24"/>
                <w:lang w:val="en-US" w:eastAsia="zh-CN"/>
              </w:rPr>
              <w:t>1</w:t>
            </w:r>
            <w:r>
              <w:rPr>
                <w:rFonts w:hint="eastAsia" w:ascii="宋体" w:hAnsi="宋体" w:cs="宋体"/>
                <w:snapToGrid w:val="0"/>
                <w:color w:val="auto"/>
                <w:kern w:val="28"/>
                <w:sz w:val="24"/>
              </w:rPr>
              <w:t>）纸质版：资格证明文件正本一份，副本四份；报价文件正本一份，副本四份；商务技术文件正本一份，副本四份。</w:t>
            </w:r>
          </w:p>
          <w:p>
            <w:pPr>
              <w:spacing w:line="360" w:lineRule="auto"/>
              <w:rPr>
                <w:rFonts w:hint="eastAsia" w:ascii="宋体" w:hAnsi="宋体" w:cs="宋体"/>
                <w:snapToGrid w:val="0"/>
                <w:color w:val="auto"/>
                <w:kern w:val="28"/>
                <w:sz w:val="24"/>
                <w:lang w:val="en-US" w:eastAsia="zh-CN"/>
              </w:rPr>
            </w:pPr>
            <w:r>
              <w:rPr>
                <w:rFonts w:hint="eastAsia" w:ascii="宋体" w:hAnsi="宋体" w:cs="宋体"/>
                <w:snapToGrid w:val="0"/>
                <w:color w:val="auto"/>
                <w:kern w:val="28"/>
                <w:sz w:val="24"/>
              </w:rPr>
              <w:t>（</w:t>
            </w:r>
            <w:r>
              <w:rPr>
                <w:rFonts w:hint="eastAsia" w:ascii="宋体" w:hAnsi="宋体" w:cs="宋体"/>
                <w:snapToGrid w:val="0"/>
                <w:color w:val="auto"/>
                <w:kern w:val="28"/>
                <w:sz w:val="24"/>
                <w:lang w:val="en-US" w:eastAsia="zh-CN"/>
              </w:rPr>
              <w:t>2</w:t>
            </w:r>
            <w:r>
              <w:rPr>
                <w:rFonts w:hint="eastAsia" w:ascii="宋体" w:hAnsi="宋体" w:cs="宋体"/>
                <w:snapToGrid w:val="0"/>
                <w:color w:val="auto"/>
                <w:kern w:val="28"/>
                <w:sz w:val="24"/>
              </w:rPr>
              <w:t>）电子版（和报价文件一同密封包装，U盘存储）一份；内容要求：电子投标文件须为签字且加盖公章后的完整纸质投标文件正本的PDF彩色扫描件（文件扩展名为.pdf）。</w:t>
            </w:r>
          </w:p>
        </w:tc>
      </w:tr>
    </w:tbl>
    <w:p>
      <w:pPr>
        <w:snapToGrid w:val="0"/>
        <w:spacing w:line="360" w:lineRule="auto"/>
        <w:jc w:val="center"/>
        <w:rPr>
          <w:rFonts w:ascii="宋体" w:hAnsi="宋体" w:cs="宋体"/>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3"/>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pPr>
      <w:r>
        <w:rPr>
          <w:rFonts w:hint="eastAsia"/>
        </w:rPr>
        <w:t>质疑函范本及制作说明详见附件2。</w:t>
      </w:r>
    </w:p>
    <w:p>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90"/>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90"/>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90"/>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0"/>
        <w:shd w:val="clear" w:color="auto" w:fill="FFFFFF"/>
        <w:snapToGrid w:val="0"/>
        <w:spacing w:after="240" w:afterAutospacing="0" w:line="360" w:lineRule="auto"/>
        <w:ind w:firstLine="400"/>
        <w:contextualSpacing/>
      </w:pPr>
      <w:r>
        <w:rPr>
          <w:rFonts w:hint="eastAsia"/>
        </w:rPr>
        <w:t>投诉书范本及制作说明详见附件3。</w:t>
      </w:r>
    </w:p>
    <w:p>
      <w:pPr>
        <w:pStyle w:val="132"/>
        <w:snapToGrid w:val="0"/>
        <w:spacing w:before="0"/>
        <w:ind w:firstLine="360"/>
        <w:rPr>
          <w:rFonts w:ascii="宋体" w:hAnsi="宋体" w:cs="宋体"/>
          <w:sz w:val="18"/>
          <w:szCs w:val="18"/>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3"/>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11.1.2</w:t>
      </w:r>
      <w:bookmarkStart w:id="17" w:name="_Hlk101259339"/>
      <w:r>
        <w:rPr>
          <w:rFonts w:hint="eastAsia" w:ascii="宋体" w:hAnsi="宋体" w:cs="宋体"/>
          <w:sz w:val="24"/>
        </w:rPr>
        <w:t>联合协议</w:t>
      </w:r>
      <w:bookmarkEnd w:id="17"/>
      <w:r>
        <w:rPr>
          <w:rFonts w:hint="eastAsia" w:ascii="宋体" w:hAnsi="宋体" w:cs="宋体"/>
          <w:sz w:val="24"/>
        </w:rPr>
        <w:t>（</w:t>
      </w:r>
      <w:r>
        <w:rPr>
          <w:rFonts w:hint="eastAsia" w:ascii="宋体" w:hAnsi="宋体" w:cs="宋体"/>
          <w:color w:val="auto"/>
          <w:sz w:val="24"/>
        </w:rPr>
        <w:t>如果有)；</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11.1.3落实政府采购政策需满足的资格要求（如果有)；</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投标时提供中小企业申明函（格式后附），否则其投标文件作无效投标处理。</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11.1.4本项目的特定资格要求（如果有)。</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hint="eastAsia"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11.2.5评标标准相应的商务技术资料；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11.2.6投标标的清单；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w:t>
      </w:r>
      <w:r>
        <w:rPr>
          <w:rFonts w:hint="eastAsia" w:ascii="宋体" w:hAnsi="宋体" w:eastAsia="宋体" w:cs="宋体"/>
          <w:sz w:val="24"/>
          <w:lang w:val="zh-CN"/>
        </w:rPr>
        <w:t>廉洁自律承诺书；</w:t>
      </w:r>
    </w:p>
    <w:p>
      <w:pPr>
        <w:pStyle w:val="35"/>
        <w:spacing w:line="360" w:lineRule="auto"/>
        <w:ind w:firstLine="960" w:firstLineChars="4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zh-CN" w:eastAsia="zh-CN" w:bidi="ar-SA"/>
        </w:rPr>
        <w:t>11.2.9缴纳采购代理服务费承诺书；</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 xml:space="preserve">3报价文件：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投标人应对投标文件中材料的真实性、合法性负责。</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pPr>
        <w:pStyle w:val="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sz w:val="32"/>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四、开标、资格审查与信用信息查询</w:t>
      </w:r>
    </w:p>
    <w:p>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2"/>
        <w:spacing w:before="0"/>
        <w:ind w:firstLine="0" w:firstLineChars="0"/>
        <w:rPr>
          <w:rFonts w:ascii="宋体" w:hAnsi="宋体" w:cs="宋体"/>
          <w:b/>
          <w:szCs w:val="24"/>
        </w:rPr>
      </w:pPr>
      <w:r>
        <w:rPr>
          <w:rFonts w:hint="eastAsia" w:ascii="宋体" w:hAnsi="宋体" w:cs="宋体"/>
          <w:b/>
          <w:szCs w:val="24"/>
        </w:rPr>
        <w:t>20、信用信息查询</w:t>
      </w:r>
    </w:p>
    <w:p>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2"/>
        <w:spacing w:before="0"/>
        <w:ind w:firstLine="0" w:firstLineChars="0"/>
        <w:rPr>
          <w:rFonts w:ascii="宋体" w:hAnsi="宋体" w:cs="宋体"/>
          <w:kern w:val="0"/>
          <w:szCs w:val="24"/>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六、定标</w:t>
      </w:r>
    </w:p>
    <w:p>
      <w:pPr>
        <w:pStyle w:val="4"/>
        <w:spacing w:line="360" w:lineRule="auto"/>
        <w:ind w:left="479" w:hanging="479" w:hangingChars="199"/>
        <w:rPr>
          <w:rFonts w:cs="宋体"/>
          <w:b/>
        </w:rPr>
      </w:pPr>
      <w:r>
        <w:rPr>
          <w:rFonts w:hint="eastAsia" w:cs="宋体"/>
          <w:b/>
        </w:rPr>
        <w:t>22. 确定中标供应商</w:t>
      </w:r>
    </w:p>
    <w:p>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w:t>
      </w:r>
      <w:r>
        <w:rPr>
          <w:rFonts w:hint="eastAsia" w:ascii="宋体" w:hAnsi="宋体" w:cs="宋体"/>
          <w:color w:val="auto"/>
          <w:sz w:val="24"/>
        </w:rPr>
        <w:t>，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23.4 由于中标、成交供应商原因导致重新采购的，应当承担支付代理费和专家评审费等费用在内的赔偿责任。</w:t>
      </w:r>
    </w:p>
    <w:p>
      <w:pPr>
        <w:snapToGrid w:val="0"/>
        <w:spacing w:line="360" w:lineRule="auto"/>
        <w:ind w:left="120" w:leftChars="57" w:firstLine="482" w:firstLineChars="150"/>
        <w:jc w:val="both"/>
        <w:rPr>
          <w:rFonts w:ascii="宋体" w:hAnsi="宋体" w:cs="宋体"/>
          <w:b/>
          <w:color w:val="auto"/>
          <w:sz w:val="32"/>
        </w:rPr>
      </w:pP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七、合同授予</w:t>
      </w:r>
    </w:p>
    <w:p>
      <w:pPr>
        <w:pStyle w:val="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w:t>
      </w:r>
      <w:r>
        <w:rPr>
          <w:rFonts w:hint="eastAsia" w:ascii="宋体" w:hAnsi="宋体" w:eastAsia="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八、电子交易活动的中止</w:t>
      </w:r>
    </w:p>
    <w:p>
      <w:pPr>
        <w:pStyle w:val="132"/>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sz w:val="32"/>
          <w:szCs w:val="20"/>
        </w:rPr>
      </w:pPr>
      <w:r>
        <w:rPr>
          <w:rFonts w:hint="eastAsia" w:ascii="宋体" w:hAnsi="宋体" w:cs="宋体"/>
          <w:b/>
          <w:sz w:val="32"/>
          <w:szCs w:val="20"/>
        </w:rPr>
        <w:t>九、验收</w:t>
      </w:r>
    </w:p>
    <w:p>
      <w:pPr>
        <w:pStyle w:val="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bookmarkStart w:id="19" w:name="_Hlt74729768"/>
      <w:bookmarkEnd w:id="19"/>
      <w:bookmarkStart w:id="20" w:name="_Hlt74707468"/>
      <w:bookmarkEnd w:id="20"/>
      <w:bookmarkStart w:id="21" w:name="_Hlt75236290"/>
      <w:bookmarkEnd w:id="21"/>
      <w:bookmarkStart w:id="22" w:name="_Hlt68072998"/>
      <w:bookmarkEnd w:id="22"/>
      <w:bookmarkStart w:id="23" w:name="_Hlt74730295"/>
      <w:bookmarkEnd w:id="23"/>
      <w:bookmarkStart w:id="24" w:name="_Hlt68403820"/>
      <w:bookmarkEnd w:id="24"/>
      <w:bookmarkStart w:id="25" w:name="_Hlt75236101"/>
      <w:bookmarkEnd w:id="25"/>
      <w:bookmarkStart w:id="26" w:name="_Hlt74714665"/>
      <w:bookmarkEnd w:id="26"/>
      <w:bookmarkStart w:id="27" w:name="_Hlt75236011"/>
      <w:bookmarkEnd w:id="27"/>
      <w:bookmarkStart w:id="28" w:name="_Hlt68073093"/>
      <w:bookmarkEnd w:id="28"/>
      <w:bookmarkStart w:id="29" w:name="_Hlt68072990"/>
      <w:bookmarkEnd w:id="29"/>
      <w:bookmarkStart w:id="30" w:name="_Hlt68057669"/>
      <w:bookmarkEnd w:id="30"/>
    </w:p>
    <w:bookmarkEnd w:id="13"/>
    <w:bookmarkEnd w:id="14"/>
    <w:p>
      <w:pPr>
        <w:pStyle w:val="6"/>
        <w:bidi w:val="0"/>
        <w:jc w:val="center"/>
      </w:pPr>
      <w:bookmarkStart w:id="31" w:name="第四部分"/>
      <w:r>
        <w:rPr>
          <w:rFonts w:hint="eastAsia"/>
        </w:rPr>
        <w:t>第三部分   采购需求</w:t>
      </w:r>
    </w:p>
    <w:p>
      <w:pPr>
        <w:pStyle w:val="747"/>
        <w:keepNext w:val="0"/>
        <w:keepLines w:val="0"/>
        <w:pageBreakBefore w:val="0"/>
        <w:kinsoku/>
        <w:wordWrap/>
        <w:overflowPunct/>
        <w:topLinePunct w:val="0"/>
        <w:bidi w:val="0"/>
        <w:adjustRightInd w:val="0"/>
        <w:snapToGrid w:val="0"/>
        <w:spacing w:before="0" w:beforeLines="0" w:after="0" w:afterLines="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一、项目</w:t>
      </w:r>
      <w:r>
        <w:rPr>
          <w:rFonts w:hint="eastAsia" w:ascii="宋体" w:hAnsi="宋体" w:eastAsia="宋体" w:cs="宋体"/>
          <w:sz w:val="24"/>
          <w:szCs w:val="24"/>
          <w:lang w:val="en-US" w:eastAsia="zh-CN"/>
        </w:rPr>
        <w:t>总体要求</w:t>
      </w:r>
      <w:r>
        <w:rPr>
          <w:rFonts w:hint="eastAsia" w:ascii="宋体" w:hAnsi="宋体" w:eastAsia="宋体" w:cs="宋体"/>
          <w:sz w:val="24"/>
          <w:szCs w:val="24"/>
        </w:rPr>
        <w:t>：</w:t>
      </w:r>
    </w:p>
    <w:p>
      <w:pPr>
        <w:keepNext w:val="0"/>
        <w:keepLines w:val="0"/>
        <w:pageBreakBefore w:val="0"/>
        <w:tabs>
          <w:tab w:val="left" w:pos="0"/>
        </w:tabs>
        <w:kinsoku/>
        <w:wordWrap/>
        <w:overflowPunct/>
        <w:topLinePunct w:val="0"/>
        <w:bidi w:val="0"/>
        <w:adjustRightInd w:val="0"/>
        <w:snapToGrid w:val="0"/>
        <w:spacing w:line="360" w:lineRule="auto"/>
        <w:ind w:left="0" w:leftChars="0" w:firstLine="482" w:firstLineChars="200"/>
        <w:rPr>
          <w:rFonts w:hint="eastAsia" w:ascii="宋体" w:hAnsi="宋体" w:eastAsia="宋体" w:cs="宋体"/>
          <w:kern w:val="0"/>
          <w:sz w:val="24"/>
          <w:szCs w:val="24"/>
        </w:rPr>
      </w:pPr>
      <w:r>
        <w:rPr>
          <w:rFonts w:hint="eastAsia" w:ascii="宋体" w:hAnsi="宋体" w:eastAsia="宋体" w:cs="宋体"/>
          <w:b/>
          <w:bCs/>
          <w:kern w:val="0"/>
          <w:sz w:val="24"/>
          <w:szCs w:val="24"/>
        </w:rPr>
        <w:t>1、交货方式：</w:t>
      </w:r>
      <w:r>
        <w:rPr>
          <w:rFonts w:hint="eastAsia" w:ascii="宋体" w:hAnsi="宋体" w:eastAsia="宋体" w:cs="宋体"/>
          <w:kern w:val="0"/>
          <w:sz w:val="24"/>
          <w:szCs w:val="24"/>
        </w:rPr>
        <w:t>本项目为交钥匙工程。供应商应完成相关产品的设计、制造、送至采购人指定地点安装直至验收合格交付采购人使用。</w:t>
      </w:r>
    </w:p>
    <w:p>
      <w:pPr>
        <w:keepNext w:val="0"/>
        <w:keepLines w:val="0"/>
        <w:pageBreakBefore w:val="0"/>
        <w:tabs>
          <w:tab w:val="left" w:pos="0"/>
        </w:tabs>
        <w:kinsoku/>
        <w:wordWrap/>
        <w:overflowPunct/>
        <w:topLinePunct w:val="0"/>
        <w:bidi w:val="0"/>
        <w:adjustRightInd w:val="0"/>
        <w:snapToGrid w:val="0"/>
        <w:spacing w:line="360" w:lineRule="auto"/>
        <w:ind w:left="0" w:leftChars="0" w:firstLine="482" w:firstLineChars="200"/>
        <w:rPr>
          <w:rFonts w:hint="eastAsia" w:ascii="宋体" w:hAnsi="宋体" w:eastAsia="宋体" w:cs="宋体"/>
          <w:kern w:val="0"/>
          <w:sz w:val="24"/>
          <w:szCs w:val="24"/>
        </w:rPr>
      </w:pPr>
      <w:r>
        <w:rPr>
          <w:rFonts w:hint="eastAsia" w:ascii="宋体" w:hAnsi="宋体" w:eastAsia="宋体" w:cs="宋体"/>
          <w:b/>
          <w:bCs/>
          <w:kern w:val="0"/>
          <w:sz w:val="24"/>
          <w:szCs w:val="24"/>
        </w:rPr>
        <w:t>2、项目环境：</w:t>
      </w:r>
      <w:r>
        <w:rPr>
          <w:rFonts w:hint="eastAsia" w:ascii="宋体" w:hAnsi="宋体" w:eastAsia="宋体" w:cs="宋体"/>
          <w:kern w:val="0"/>
          <w:sz w:val="24"/>
          <w:szCs w:val="24"/>
        </w:rPr>
        <w:t>建议供应商现场踏勘自行了解现场的一切与本项目实施有关的情况，提供产品时应考虑相应的环境与安装条件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包括水电配件及安装等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，相关风险考虑计入报价。</w:t>
      </w:r>
    </w:p>
    <w:p>
      <w:pPr>
        <w:keepNext w:val="0"/>
        <w:keepLines w:val="0"/>
        <w:pageBreakBefore w:val="0"/>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kern w:val="0"/>
          <w:sz w:val="24"/>
          <w:szCs w:val="24"/>
        </w:rPr>
        <w:t>3、交货地</w:t>
      </w:r>
      <w:r>
        <w:rPr>
          <w:rFonts w:hint="eastAsia" w:ascii="宋体" w:hAnsi="宋体" w:eastAsia="宋体" w:cs="宋体"/>
          <w:b/>
          <w:bCs/>
          <w:color w:val="auto"/>
          <w:kern w:val="0"/>
          <w:sz w:val="24"/>
          <w:szCs w:val="24"/>
          <w:highlight w:val="none"/>
        </w:rPr>
        <w:t>点：</w:t>
      </w:r>
      <w:r>
        <w:rPr>
          <w:rFonts w:hint="eastAsia" w:ascii="宋体" w:hAnsi="宋体" w:eastAsia="宋体" w:cs="宋体"/>
          <w:color w:val="auto"/>
          <w:kern w:val="0"/>
          <w:sz w:val="24"/>
          <w:szCs w:val="24"/>
          <w:highlight w:val="none"/>
        </w:rPr>
        <w:t>杭州市</w:t>
      </w:r>
      <w:r>
        <w:rPr>
          <w:rFonts w:hint="eastAsia" w:ascii="宋体" w:hAnsi="宋体" w:eastAsia="宋体" w:cs="宋体"/>
          <w:color w:val="auto"/>
          <w:kern w:val="0"/>
          <w:sz w:val="24"/>
          <w:szCs w:val="24"/>
          <w:highlight w:val="none"/>
          <w:lang w:val="en-US" w:eastAsia="zh-CN"/>
        </w:rPr>
        <w:t>余杭区太炎中学</w:t>
      </w:r>
      <w:r>
        <w:rPr>
          <w:rFonts w:hint="eastAsia" w:ascii="宋体" w:hAnsi="宋体" w:eastAsia="宋体" w:cs="宋体"/>
          <w:color w:val="auto"/>
          <w:kern w:val="0"/>
          <w:sz w:val="24"/>
          <w:szCs w:val="24"/>
          <w:highlight w:val="none"/>
        </w:rPr>
        <w:t>，采购人指定地点。</w:t>
      </w:r>
    </w:p>
    <w:p>
      <w:pPr>
        <w:keepNext w:val="0"/>
        <w:keepLines w:val="0"/>
        <w:pageBreakBefore w:val="0"/>
        <w:kinsoku/>
        <w:wordWrap/>
        <w:overflowPunct/>
        <w:topLinePunct w:val="0"/>
        <w:bidi w:val="0"/>
        <w:adjustRightInd w:val="0"/>
        <w:snapToGrid w:val="0"/>
        <w:spacing w:line="360" w:lineRule="auto"/>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rPr>
        <w:t>▲4、供货期：</w:t>
      </w:r>
      <w:r>
        <w:rPr>
          <w:rFonts w:hint="eastAsia" w:ascii="宋体" w:hAnsi="宋体" w:eastAsia="宋体" w:cs="宋体"/>
          <w:b/>
          <w:bCs/>
          <w:color w:val="auto"/>
          <w:sz w:val="24"/>
          <w:szCs w:val="24"/>
          <w:highlight w:val="none"/>
        </w:rPr>
        <w:t>合同签订后</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日历天内完成所有产品的设计、制作、供货至指定地点及安装工作，并经采购人初步验收合格</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宋体" w:hAnsi="宋体" w:eastAsia="宋体" w:cs="宋体"/>
          <w:b/>
          <w:bCs/>
          <w:kern w:val="0"/>
          <w:sz w:val="24"/>
          <w:szCs w:val="24"/>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kern w:val="0"/>
          <w:sz w:val="24"/>
          <w:szCs w:val="24"/>
          <w:highlight w:val="none"/>
        </w:rPr>
        <w:t>产品的设计、制造、安装必须由供应商负责实施，采购人将不定期对供应商的生产和安装过程进行质量和工艺的监督，对产品主材和配件及成品货物进行随机抽取检测验收（检测验收费用由供应商承担）。一旦发现中标单位有违背采购文件要求的情况，采购人有权要求供应商停止制造，拒收</w:t>
      </w:r>
      <w:r>
        <w:rPr>
          <w:rFonts w:hint="eastAsia" w:ascii="宋体" w:hAnsi="宋体" w:eastAsia="宋体" w:cs="宋体"/>
          <w:b/>
          <w:bCs/>
          <w:kern w:val="0"/>
          <w:sz w:val="24"/>
          <w:szCs w:val="24"/>
        </w:rPr>
        <w:t>不合格货物，必要时中止采购，由此造成的损失由供应商负责。</w:t>
      </w:r>
    </w:p>
    <w:p>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宋体" w:hAnsi="宋体" w:eastAsia="宋体" w:cs="宋体"/>
          <w:b/>
          <w:sz w:val="24"/>
          <w:szCs w:val="24"/>
        </w:rPr>
      </w:pPr>
      <w:r>
        <w:rPr>
          <w:rFonts w:hint="eastAsia" w:ascii="宋体" w:hAnsi="宋体" w:eastAsia="宋体" w:cs="宋体"/>
          <w:b/>
          <w:bCs/>
          <w:sz w:val="24"/>
          <w:szCs w:val="24"/>
        </w:rPr>
        <w:t>▲</w:t>
      </w:r>
      <w:r>
        <w:rPr>
          <w:rFonts w:hint="eastAsia" w:ascii="宋体" w:hAnsi="宋体" w:eastAsia="宋体" w:cs="宋体"/>
          <w:b/>
          <w:sz w:val="24"/>
          <w:szCs w:val="24"/>
        </w:rPr>
        <w:t>6、供应商所供全部产品必须是全新未曾使用的，其质量符合或优于国家和行业的技术标准和规范、安全且环保、美观、对人体和环境无不利影响，否则，供应商将承担一切经济损失的赔偿及法律责任。</w:t>
      </w:r>
    </w:p>
    <w:p>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宋体" w:hAnsi="宋体" w:eastAsia="宋体" w:cs="宋体"/>
          <w:sz w:val="24"/>
          <w:szCs w:val="24"/>
        </w:rPr>
      </w:pPr>
      <w:r>
        <w:rPr>
          <w:rFonts w:hint="eastAsia" w:ascii="宋体" w:hAnsi="宋体" w:eastAsia="宋体" w:cs="宋体"/>
          <w:b/>
          <w:bCs/>
          <w:sz w:val="24"/>
          <w:szCs w:val="24"/>
        </w:rPr>
        <w:t>▲7、</w:t>
      </w:r>
      <w:r>
        <w:rPr>
          <w:rFonts w:hint="eastAsia" w:ascii="宋体" w:hAnsi="宋体" w:eastAsia="宋体" w:cs="宋体"/>
          <w:b/>
          <w:bCs/>
          <w:color w:val="000000" w:themeColor="text1"/>
          <w:kern w:val="0"/>
          <w:sz w:val="24"/>
          <w:szCs w:val="24"/>
          <w14:textFill>
            <w14:solidFill>
              <w14:schemeClr w14:val="tx1"/>
            </w14:solidFill>
          </w14:textFill>
        </w:rPr>
        <w:t>整机质量保修期：验收合格后不少于36个月，在质量保证期间，因产品原因而引起的损坏或不能正常使用，中标供应商应免费维修和正常保养。供应商应在投标文件中列明其质量保证期，未列明视为其质量保证期为36个月</w:t>
      </w:r>
      <w:r>
        <w:rPr>
          <w:rFonts w:hint="eastAsia" w:ascii="宋体" w:hAnsi="宋体" w:eastAsia="宋体" w:cs="宋体"/>
          <w:kern w:val="0"/>
          <w:sz w:val="24"/>
          <w:szCs w:val="24"/>
        </w:rPr>
        <w:t>。</w:t>
      </w:r>
    </w:p>
    <w:p>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宋体" w:hAnsi="宋体" w:eastAsia="宋体" w:cs="宋体"/>
          <w:bCs/>
          <w:sz w:val="24"/>
          <w:szCs w:val="24"/>
        </w:rPr>
      </w:pPr>
      <w:r>
        <w:rPr>
          <w:rFonts w:hint="eastAsia" w:ascii="宋体" w:hAnsi="宋体" w:eastAsia="宋体" w:cs="宋体"/>
          <w:b/>
          <w:bCs/>
          <w:kern w:val="0"/>
          <w:sz w:val="24"/>
          <w:szCs w:val="24"/>
        </w:rPr>
        <w:t>8、备品备件要求：</w:t>
      </w:r>
      <w:r>
        <w:rPr>
          <w:rFonts w:hint="eastAsia" w:ascii="宋体" w:hAnsi="宋体" w:eastAsia="宋体" w:cs="宋体"/>
          <w:kern w:val="0"/>
          <w:sz w:val="24"/>
          <w:szCs w:val="24"/>
        </w:rPr>
        <w:t>供应商需提供保证货物正常运转所必需的附件、备件和专用工具等，在投标文件中列出清单，其价格含在总价中。</w:t>
      </w:r>
    </w:p>
    <w:p>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宋体" w:hAnsi="宋体" w:eastAsia="宋体" w:cs="宋体"/>
          <w:kern w:val="0"/>
          <w:sz w:val="24"/>
          <w:szCs w:val="24"/>
        </w:rPr>
      </w:pPr>
      <w:r>
        <w:rPr>
          <w:rFonts w:hint="eastAsia" w:ascii="宋体" w:hAnsi="宋体" w:eastAsia="宋体" w:cs="宋体"/>
          <w:b/>
          <w:bCs/>
          <w:kern w:val="0"/>
          <w:sz w:val="24"/>
          <w:szCs w:val="24"/>
        </w:rPr>
        <w:t>9、培训要求：</w:t>
      </w:r>
      <w:r>
        <w:rPr>
          <w:rFonts w:hint="eastAsia" w:ascii="宋体" w:hAnsi="宋体" w:eastAsia="宋体" w:cs="宋体"/>
          <w:kern w:val="0"/>
          <w:sz w:val="24"/>
          <w:szCs w:val="24"/>
        </w:rPr>
        <w:t>供应商需提供操作培训和维护培训。</w:t>
      </w:r>
    </w:p>
    <w:p>
      <w:pPr>
        <w:pStyle w:val="747"/>
        <w:keepNext w:val="0"/>
        <w:keepLines w:val="0"/>
        <w:pageBreakBefore w:val="0"/>
        <w:kinsoku/>
        <w:wordWrap/>
        <w:overflowPunct/>
        <w:topLinePunct w:val="0"/>
        <w:bidi w:val="0"/>
        <w:adjustRightInd w:val="0"/>
        <w:snapToGrid w:val="0"/>
        <w:spacing w:before="0" w:beforeLines="0" w:after="0" w:afterLines="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二、本项目实施、售后服务及质保期等要求</w:t>
      </w:r>
    </w:p>
    <w:p>
      <w:pPr>
        <w:keepNext w:val="0"/>
        <w:keepLines w:val="0"/>
        <w:pageBreakBefore w:val="0"/>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1、供应商应提供针对本项目组织实施方案，但不限于以下内容：</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1）产品材质工艺详细说明；</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2）产品制造商生产能力的说明，主要的生产装备、生产场所；</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3）产品供货及现场安装、检测检验的详细组织方案和计划；</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4）产品验收标准和验收方法；</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5）供货期保证措施及应急预案；</w:t>
      </w:r>
    </w:p>
    <w:p>
      <w:pPr>
        <w:keepNext w:val="0"/>
        <w:keepLines w:val="0"/>
        <w:pageBreakBefore w:val="0"/>
        <w:tabs>
          <w:tab w:val="left" w:pos="1755"/>
        </w:tabs>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6）合理化建议和改进措施；</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7）供应商应拟派项目组技术力量和人力资源安排情况；</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8）供应商提供针对本项目的质量控制措施；</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9）供应商提供产品主要原材料情况（包括但不限于，产品品牌、产品产地、产品及原材料等相关检测报告或鉴定文件；或在投标投标文件中出具有关承诺）；</w:t>
      </w:r>
    </w:p>
    <w:p>
      <w:pPr>
        <w:keepNext w:val="0"/>
        <w:keepLines w:val="0"/>
        <w:pageBreakBefore w:val="0"/>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2、售后服务要求</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textAlignment w:val="bottom"/>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中标供应商的售后服务点须设在浙江杭州地区范围内，以处理所有的维修服务，需提供24小时响应服务，而且售后服务人员需在接到维修电话后1小时内赶到现场，处理问题。</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在保修期内，中标供应商应提供正常保养服务，因产品质量原因而引起的损坏或不能正常工作，中标供应商应提供免费维修直至更换。费用由中标供应商承担。</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水质检测：（1）在质保期内①每学期初进行一次水质检测；②学期内每月对每个学校饮水机检测。质保期内检测费由中标供应商支付。运行期间检测不合格的，整改后可以复检一次，复检时取样比例加倍，复检费用由中标供应商支付，复检期间的学生饮用水由中标供应商免费提供，直到复检合格。（2）采购人将不定期进行抽查水质情况，水质检测合格的，费用由采购人承担。水质检测不合格的，整改后可以复检一次，复检时取样比例加倍，复检费用由中标供应商支付，复检期间的学生饮用水由中标供应商免费提供，直到复检合格。</w:t>
      </w:r>
    </w:p>
    <w:p>
      <w:pPr>
        <w:keepNext w:val="0"/>
        <w:keepLines w:val="0"/>
        <w:pageBreakBefore w:val="0"/>
        <w:kinsoku/>
        <w:wordWrap/>
        <w:overflowPunct/>
        <w:topLinePunct w:val="0"/>
        <w:bidi w:val="0"/>
        <w:adjustRightInd w:val="0"/>
        <w:snapToGrid w:val="0"/>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在保修期内，中标供应商提供免费服务，保修期将满时，中标供应商须对响应产品进行全面检测一次，解决检测出的问题，并向采购人提供整个书面报告。</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保修期满后，中标供应商须提供最优惠的维修价格及列表（人工费、材料费、设备配件费等），并在投标文件中进行承诺，在设备寿命期内，保证维修配件的供应和及时维修，维修价格保持不变（政策调整因素除外）。</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供应商应在投标文件中对以上内容进行详细、明确的阐述。</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2" w:firstLineChars="200"/>
        <w:textAlignment w:val="bottom"/>
        <w:rPr>
          <w:rFonts w:hint="eastAsia" w:ascii="宋体" w:hAnsi="宋体" w:eastAsia="宋体" w:cs="宋体"/>
          <w:b/>
          <w:bCs/>
          <w:snapToGrid w:val="0"/>
          <w:kern w:val="0"/>
          <w:sz w:val="24"/>
          <w:szCs w:val="24"/>
        </w:rPr>
      </w:pPr>
      <w:r>
        <w:rPr>
          <w:rFonts w:hint="eastAsia" w:ascii="宋体" w:hAnsi="宋体" w:eastAsia="宋体" w:cs="宋体"/>
          <w:b/>
          <w:bCs/>
          <w:sz w:val="24"/>
          <w:szCs w:val="24"/>
        </w:rPr>
        <w:t>3、最终验收</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napToGrid w:val="0"/>
          <w:kern w:val="0"/>
          <w:sz w:val="24"/>
          <w:szCs w:val="24"/>
        </w:rPr>
        <w:t>供应商应提供产品的有效检验文件及供货清单，经采购人认可后，与产品的性能指标一起作为产品验收标准。采购人对产品验收合格后，双方共同签署验收合格证书。验收中发现产品达不到验收标准或合同规定的性能指标，供应商必须更换相关零部件，甚至于更换产品。并且赔偿由此给采购人造成的损失。</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（2）验收标准应当符合采购文件、投标文件、采购合同的约定，未进行相应约定的，应当符合国家强制性规定、政策要求、安全标准、行业或企业有关标准等。</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（3）验收时供应商必须在现场，验收完毕后作出验收结果报告。</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本项目验收根据《杭州市政府采购履约验收暂行办法》（杭财采监[2019]10号）的要求。按照一般程序进行验收，验收方法为一次性验收。履约验收产生的费用，属于首次验收过程中产生的，由采购人承担；属于首次验收不合格，重新验收过程中产生的，由供应商承担。</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宋体" w:hAnsi="宋体" w:eastAsia="宋体" w:cs="宋体"/>
          <w:snapToGrid w:val="0"/>
          <w:kern w:val="0"/>
          <w:sz w:val="24"/>
          <w:szCs w:val="24"/>
        </w:rPr>
      </w:pPr>
      <w:r>
        <w:rPr>
          <w:rFonts w:hint="eastAsia" w:ascii="宋体" w:hAnsi="宋体" w:eastAsia="宋体" w:cs="宋体"/>
          <w:sz w:val="24"/>
          <w:szCs w:val="24"/>
        </w:rPr>
        <w:t>（5）验收合格后，采购人依据验收报告和供应商的交付申请等办理交付和接收手续。</w:t>
      </w:r>
    </w:p>
    <w:p>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4、</w:t>
      </w:r>
      <w:r>
        <w:rPr>
          <w:rFonts w:hint="eastAsia" w:ascii="宋体" w:hAnsi="宋体" w:eastAsia="宋体" w:cs="宋体"/>
          <w:b/>
          <w:sz w:val="24"/>
          <w:szCs w:val="24"/>
          <w:lang w:val="zh-CN"/>
        </w:rPr>
        <w:t>特别提示：</w:t>
      </w:r>
      <w:r>
        <w:rPr>
          <w:rFonts w:hint="eastAsia" w:ascii="宋体" w:hAnsi="宋体" w:eastAsia="宋体" w:cs="宋体"/>
          <w:sz w:val="24"/>
          <w:szCs w:val="24"/>
        </w:rPr>
        <w:t>（以下内容请供应商仔细阅读）</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b/>
          <w:sz w:val="24"/>
          <w:szCs w:val="24"/>
        </w:rPr>
      </w:pPr>
      <w:r>
        <w:rPr>
          <w:rFonts w:hint="eastAsia" w:ascii="宋体" w:hAnsi="宋体" w:eastAsia="宋体" w:cs="宋体"/>
          <w:sz w:val="24"/>
          <w:szCs w:val="24"/>
          <w:lang w:val="zh-CN"/>
        </w:rPr>
        <w:t>（1）中标供应商有义务保证响应产品的完整性，如项目实施过程中因缺少设备、配件或服务导致响应产品无法正常使用的，中标供应商须承诺免费提供修复、</w:t>
      </w:r>
      <w:r>
        <w:rPr>
          <w:rFonts w:hint="eastAsia" w:ascii="宋体" w:hAnsi="宋体" w:eastAsia="宋体" w:cs="宋体"/>
          <w:sz w:val="24"/>
          <w:szCs w:val="24"/>
          <w:lang w:val="en-US" w:eastAsia="zh-CN"/>
        </w:rPr>
        <w:t>更换</w:t>
      </w:r>
      <w:r>
        <w:rPr>
          <w:rFonts w:hint="eastAsia" w:ascii="宋体" w:hAnsi="宋体" w:eastAsia="宋体" w:cs="宋体"/>
          <w:sz w:val="24"/>
          <w:szCs w:val="24"/>
        </w:rPr>
        <w:t>服务</w:t>
      </w:r>
      <w:r>
        <w:rPr>
          <w:rFonts w:hint="eastAsia" w:ascii="宋体" w:hAnsi="宋体" w:eastAsia="宋体" w:cs="宋体"/>
          <w:sz w:val="24"/>
          <w:szCs w:val="24"/>
          <w:lang w:val="zh-CN"/>
        </w:rPr>
        <w:t>。</w:t>
      </w:r>
    </w:p>
    <w:p>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（2）样品要求：详见供应商须知前附表</w:t>
      </w:r>
    </w:p>
    <w:p>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样品有关标记要求如下：</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a</w:t>
      </w:r>
      <w:r>
        <w:rPr>
          <w:rFonts w:hint="eastAsia" w:ascii="宋体" w:hAnsi="宋体" w:eastAsia="宋体" w:cs="宋体"/>
          <w:sz w:val="24"/>
          <w:szCs w:val="24"/>
          <w:lang w:val="zh-CN"/>
        </w:rPr>
        <w:t>．提供样品的时间：详见供应商须知前附表</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请供应商在采购文件规定时间内提供样品并按规定位置摆放。超过截止时间的，采购人或采购代理机构将不予接收，并将清场并封闭样品现场。</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b</w:t>
      </w:r>
      <w:r>
        <w:rPr>
          <w:rFonts w:hint="eastAsia" w:ascii="宋体" w:hAnsi="宋体" w:eastAsia="宋体" w:cs="宋体"/>
          <w:sz w:val="24"/>
          <w:szCs w:val="24"/>
          <w:lang w:val="zh-CN"/>
        </w:rPr>
        <w:t>．采购活动结束后，对于未中标供应商提供的样品，采购人、采购代理机构将通知未中标供应商在规定的时间内取回，逾期未取回的，采购人、采购代理机构不负保管义务；对于中标供应商提供的样品，采购人将进行封存，并作为履约验收的依据。</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宋体" w:hAnsi="宋体" w:eastAsia="宋体" w:cs="宋体"/>
          <w:b/>
          <w:sz w:val="24"/>
          <w:szCs w:val="24"/>
        </w:rPr>
      </w:pPr>
      <w:r>
        <w:rPr>
          <w:rFonts w:hint="eastAsia" w:ascii="宋体" w:hAnsi="宋体" w:eastAsia="宋体" w:cs="宋体"/>
          <w:sz w:val="24"/>
          <w:szCs w:val="24"/>
          <w:lang w:val="zh-CN"/>
        </w:rPr>
        <w:t>（3）制作、运输、安装和保管样品所发生的一切费用由供应商自理。</w:t>
      </w:r>
    </w:p>
    <w:p>
      <w:pPr>
        <w:pStyle w:val="747"/>
        <w:keepNext w:val="0"/>
        <w:keepLines w:val="0"/>
        <w:pageBreakBefore w:val="0"/>
        <w:kinsoku/>
        <w:wordWrap/>
        <w:overflowPunct/>
        <w:topLinePunct w:val="0"/>
        <w:bidi w:val="0"/>
        <w:adjustRightInd w:val="0"/>
        <w:snapToGrid w:val="0"/>
        <w:spacing w:before="0" w:beforeLines="0" w:after="0" w:afterLines="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lang w:val="zh-CN"/>
        </w:rPr>
        <w:t>项目具体采购清单</w:t>
      </w:r>
    </w:p>
    <w:tbl>
      <w:tblPr>
        <w:tblStyle w:val="64"/>
        <w:tblW w:w="4998" w:type="pct"/>
        <w:jc w:val="center"/>
        <w:shd w:val="clear" w:color="auto" w:fill="auto"/>
        <w:tblLayout w:type="autofit"/>
        <w:tblCellMar>
          <w:top w:w="0" w:type="dxa"/>
          <w:left w:w="0" w:type="dxa"/>
          <w:bottom w:w="0" w:type="dxa"/>
          <w:right w:w="0" w:type="dxa"/>
        </w:tblCellMar>
      </w:tblPr>
      <w:tblGrid>
        <w:gridCol w:w="725"/>
        <w:gridCol w:w="1049"/>
        <w:gridCol w:w="6664"/>
        <w:gridCol w:w="664"/>
        <w:gridCol w:w="665"/>
      </w:tblGrid>
      <w:tr>
        <w:tblPrEx>
          <w:shd w:val="clear" w:color="auto" w:fill="auto"/>
          <w:tblCellMar>
            <w:top w:w="0" w:type="dxa"/>
            <w:left w:w="0" w:type="dxa"/>
            <w:bottom w:w="0" w:type="dxa"/>
            <w:right w:w="0" w:type="dxa"/>
          </w:tblCellMar>
        </w:tblPrEx>
        <w:trPr>
          <w:trHeight w:val="0" w:hRule="atLeast"/>
          <w:jc w:val="center"/>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设备名称</w:t>
            </w:r>
          </w:p>
        </w:tc>
        <w:tc>
          <w:tcPr>
            <w:tcW w:w="3410"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技术指标要求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单位</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数量</w:t>
            </w:r>
          </w:p>
        </w:tc>
      </w:tr>
      <w:tr>
        <w:tblPrEx>
          <w:shd w:val="clear" w:color="auto" w:fill="auto"/>
          <w:tblCellMar>
            <w:top w:w="0" w:type="dxa"/>
            <w:left w:w="0" w:type="dxa"/>
            <w:bottom w:w="0" w:type="dxa"/>
            <w:right w:w="0" w:type="dxa"/>
          </w:tblCellMar>
        </w:tblPrEx>
        <w:trPr>
          <w:trHeight w:val="0" w:hRule="atLeast"/>
          <w:jc w:val="center"/>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b/>
                <w:bCs/>
                <w:color w:val="auto"/>
                <w:sz w:val="22"/>
                <w:szCs w:val="22"/>
                <w:highlight w:val="none"/>
                <w:lang w:val="en-US" w:eastAsia="zh-CN"/>
              </w:rPr>
              <w:t>六龙头饮水台（提供样品）</w:t>
            </w:r>
          </w:p>
        </w:tc>
        <w:tc>
          <w:tcPr>
            <w:tcW w:w="3410"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numPr>
                <w:ilvl w:val="0"/>
                <w:numId w:val="1"/>
              </w:numPr>
              <w:rPr>
                <w:rFonts w:hint="eastAsia" w:hAnsi="宋体"/>
                <w:szCs w:val="21"/>
                <w:highlight w:val="none"/>
                <w:lang w:eastAsia="zh-CN"/>
              </w:rPr>
            </w:pPr>
            <w:r>
              <w:rPr>
                <w:rFonts w:hint="eastAsia" w:hAnsi="宋体"/>
                <w:szCs w:val="21"/>
                <w:highlight w:val="none"/>
                <w:lang w:eastAsia="zh-CN"/>
              </w:rPr>
              <w:t>电源：</w:t>
            </w:r>
            <w:r>
              <w:rPr>
                <w:rFonts w:hint="eastAsia" w:hAnsi="宋体"/>
                <w:szCs w:val="21"/>
                <w:highlight w:val="none"/>
                <w:lang w:val="en-US" w:eastAsia="zh-CN"/>
              </w:rPr>
              <w:t>38</w:t>
            </w:r>
            <w:r>
              <w:rPr>
                <w:rFonts w:hint="eastAsia" w:hAnsi="宋体"/>
                <w:szCs w:val="21"/>
                <w:highlight w:val="none"/>
                <w:lang w:eastAsia="zh-CN"/>
              </w:rPr>
              <w:t>0V，50Hz</w:t>
            </w:r>
            <w:r>
              <w:rPr>
                <w:rFonts w:hint="eastAsia" w:hAnsi="宋体"/>
                <w:szCs w:val="21"/>
                <w:highlight w:val="none"/>
                <w:lang w:val="en-US" w:eastAsia="zh-CN"/>
              </w:rPr>
              <w:t xml:space="preserve">  额定</w:t>
            </w:r>
            <w:r>
              <w:rPr>
                <w:rFonts w:hint="eastAsia" w:hAnsi="宋体"/>
                <w:szCs w:val="21"/>
                <w:highlight w:val="none"/>
                <w:lang w:eastAsia="zh-CN"/>
              </w:rPr>
              <w:t>功率：≥</w:t>
            </w:r>
            <w:r>
              <w:rPr>
                <w:rFonts w:hint="eastAsia" w:hAnsi="宋体"/>
                <w:szCs w:val="21"/>
                <w:highlight w:val="none"/>
                <w:lang w:val="en-US" w:eastAsia="zh-CN"/>
              </w:rPr>
              <w:t>6</w:t>
            </w:r>
            <w:r>
              <w:rPr>
                <w:rFonts w:hint="eastAsia" w:hAnsi="宋体"/>
                <w:szCs w:val="21"/>
                <w:highlight w:val="none"/>
                <w:lang w:eastAsia="zh-CN"/>
              </w:rPr>
              <w:t>KW</w:t>
            </w:r>
          </w:p>
          <w:p>
            <w:pPr>
              <w:numPr>
                <w:ilvl w:val="0"/>
                <w:numId w:val="0"/>
              </w:numPr>
              <w:rPr>
                <w:rFonts w:hint="default" w:hAnsi="宋体"/>
                <w:szCs w:val="21"/>
                <w:highlight w:val="none"/>
                <w:lang w:val="en-US" w:eastAsia="zh-CN"/>
              </w:rPr>
            </w:pPr>
            <w:r>
              <w:rPr>
                <w:rFonts w:hint="eastAsia" w:hAnsi="宋体"/>
                <w:szCs w:val="21"/>
                <w:highlight w:val="none"/>
                <w:lang w:val="en-US" w:eastAsia="zh-CN"/>
              </w:rPr>
              <w:t>2、产品尺寸</w:t>
            </w:r>
            <w:r>
              <w:rPr>
                <w:rFonts w:hint="eastAsia" w:hAnsi="宋体"/>
                <w:szCs w:val="21"/>
                <w:highlight w:val="none"/>
              </w:rPr>
              <w:t>（mm）：</w:t>
            </w:r>
            <w:r>
              <w:rPr>
                <w:rFonts w:hint="eastAsia" w:hAnsi="宋体"/>
                <w:szCs w:val="21"/>
                <w:highlight w:val="none"/>
                <w:lang w:val="en-US" w:eastAsia="zh-CN"/>
              </w:rPr>
              <w:t>1500</w:t>
            </w:r>
            <w:r>
              <w:rPr>
                <w:rFonts w:hint="eastAsia" w:hAnsi="宋体"/>
                <w:szCs w:val="21"/>
                <w:highlight w:val="none"/>
              </w:rPr>
              <w:t>×</w:t>
            </w:r>
            <w:r>
              <w:rPr>
                <w:rFonts w:hint="eastAsia" w:hAnsi="宋体"/>
                <w:szCs w:val="21"/>
                <w:highlight w:val="none"/>
                <w:lang w:val="en-US" w:eastAsia="zh-CN"/>
              </w:rPr>
              <w:t>450</w:t>
            </w:r>
            <w:r>
              <w:rPr>
                <w:rFonts w:hint="eastAsia" w:hAnsi="宋体"/>
                <w:szCs w:val="21"/>
                <w:highlight w:val="none"/>
              </w:rPr>
              <w:t>×13</w:t>
            </w:r>
            <w:r>
              <w:rPr>
                <w:rFonts w:hint="eastAsia" w:hAnsi="宋体"/>
                <w:szCs w:val="21"/>
                <w:highlight w:val="none"/>
                <w:lang w:val="en-US" w:eastAsia="zh-CN"/>
              </w:rPr>
              <w:t>0</w:t>
            </w:r>
            <w:r>
              <w:rPr>
                <w:rFonts w:hint="eastAsia" w:hAnsi="宋体"/>
                <w:szCs w:val="21"/>
                <w:highlight w:val="none"/>
              </w:rPr>
              <w:t>0，允许偏离值</w:t>
            </w:r>
            <w:r>
              <w:rPr>
                <w:rFonts w:hAnsi="宋体"/>
                <w:szCs w:val="21"/>
                <w:highlight w:val="none"/>
              </w:rPr>
              <w:t>±10</w:t>
            </w:r>
            <w:r>
              <w:rPr>
                <w:rFonts w:hint="eastAsia" w:hAnsi="宋体"/>
                <w:szCs w:val="21"/>
                <w:highlight w:val="none"/>
              </w:rPr>
              <w:t>%；</w:t>
            </w:r>
          </w:p>
          <w:p>
            <w:pPr>
              <w:rPr>
                <w:rFonts w:hint="eastAsia" w:hAnsi="宋体"/>
                <w:szCs w:val="21"/>
                <w:highlight w:val="none"/>
                <w:lang w:eastAsia="zh-CN"/>
              </w:rPr>
            </w:pPr>
            <w:r>
              <w:rPr>
                <w:rFonts w:hint="eastAsia" w:hAnsi="宋体"/>
                <w:szCs w:val="21"/>
                <w:highlight w:val="none"/>
                <w:lang w:val="en-US" w:eastAsia="zh-CN"/>
              </w:rPr>
              <w:t>3</w:t>
            </w:r>
            <w:r>
              <w:rPr>
                <w:rFonts w:hint="eastAsia" w:hAnsi="宋体"/>
                <w:szCs w:val="21"/>
                <w:highlight w:val="none"/>
                <w:lang w:eastAsia="zh-CN"/>
              </w:rPr>
              <w:t>、产水量：</w:t>
            </w:r>
            <w:r>
              <w:rPr>
                <w:rFonts w:hint="eastAsia" w:hAnsi="宋体"/>
                <w:szCs w:val="21"/>
                <w:highlight w:val="none"/>
                <w:lang w:val="en-US" w:eastAsia="zh-CN"/>
              </w:rPr>
              <w:t>六个</w:t>
            </w:r>
            <w:r>
              <w:rPr>
                <w:rFonts w:hint="eastAsia" w:hAnsi="宋体"/>
                <w:szCs w:val="21"/>
                <w:highlight w:val="none"/>
                <w:lang w:eastAsia="zh-CN"/>
              </w:rPr>
              <w:t>温</w:t>
            </w:r>
            <w:r>
              <w:rPr>
                <w:rFonts w:hint="eastAsia" w:hAnsi="宋体"/>
                <w:szCs w:val="21"/>
                <w:highlight w:val="none"/>
                <w:lang w:val="en-US" w:eastAsia="zh-CN"/>
              </w:rPr>
              <w:t>水</w:t>
            </w:r>
            <w:r>
              <w:rPr>
                <w:rFonts w:hint="eastAsia" w:hAnsi="宋体"/>
                <w:szCs w:val="21"/>
                <w:highlight w:val="none"/>
                <w:lang w:eastAsia="zh-CN"/>
              </w:rPr>
              <w:t>，</w:t>
            </w:r>
            <w:r>
              <w:rPr>
                <w:rFonts w:hint="eastAsia" w:hAnsi="宋体"/>
                <w:szCs w:val="21"/>
                <w:highlight w:val="none"/>
                <w:lang w:val="en-US" w:eastAsia="zh-CN"/>
              </w:rPr>
              <w:t>开水</w:t>
            </w:r>
            <w:r>
              <w:rPr>
                <w:rFonts w:hint="eastAsia" w:hAnsi="宋体"/>
                <w:szCs w:val="21"/>
                <w:highlight w:val="none"/>
                <w:lang w:eastAsia="zh-CN"/>
              </w:rPr>
              <w:t>≥</w:t>
            </w:r>
            <w:r>
              <w:rPr>
                <w:rFonts w:hint="eastAsia" w:hAnsi="宋体"/>
                <w:szCs w:val="21"/>
                <w:highlight w:val="none"/>
                <w:lang w:val="en-US" w:eastAsia="zh-CN"/>
              </w:rPr>
              <w:t>60L/H,</w:t>
            </w:r>
            <w:r>
              <w:rPr>
                <w:rFonts w:hint="eastAsia" w:hAnsi="宋体"/>
                <w:szCs w:val="21"/>
                <w:highlight w:val="none"/>
                <w:lang w:eastAsia="zh-CN"/>
              </w:rPr>
              <w:t>温开水≥</w:t>
            </w:r>
            <w:r>
              <w:rPr>
                <w:rFonts w:hint="eastAsia" w:hAnsi="宋体"/>
                <w:szCs w:val="21"/>
                <w:highlight w:val="none"/>
                <w:lang w:val="en-US" w:eastAsia="zh-CN"/>
              </w:rPr>
              <w:t>250</w:t>
            </w:r>
            <w:r>
              <w:rPr>
                <w:rFonts w:hint="eastAsia" w:hAnsi="宋体"/>
                <w:szCs w:val="21"/>
                <w:highlight w:val="none"/>
                <w:lang w:eastAsia="zh-CN"/>
              </w:rPr>
              <w:t>L/H。</w:t>
            </w:r>
          </w:p>
          <w:p>
            <w:pPr>
              <w:rPr>
                <w:rFonts w:hint="eastAsia" w:hAnsi="宋体"/>
                <w:szCs w:val="21"/>
                <w:highlight w:val="none"/>
              </w:rPr>
            </w:pPr>
            <w:r>
              <w:rPr>
                <w:rFonts w:hint="eastAsia" w:hAnsi="宋体"/>
                <w:szCs w:val="21"/>
                <w:highlight w:val="none"/>
                <w:lang w:val="en-US" w:eastAsia="zh-CN"/>
              </w:rPr>
              <w:t>4</w:t>
            </w:r>
            <w:r>
              <w:rPr>
                <w:rFonts w:hint="eastAsia" w:hAnsi="宋体"/>
                <w:szCs w:val="21"/>
                <w:highlight w:val="none"/>
              </w:rPr>
              <w:t>、出水</w:t>
            </w:r>
            <w:r>
              <w:rPr>
                <w:rFonts w:hint="eastAsia" w:hAnsi="宋体"/>
                <w:szCs w:val="21"/>
                <w:highlight w:val="none"/>
                <w:lang w:val="en-US" w:eastAsia="zh-CN"/>
              </w:rPr>
              <w:t>/取水</w:t>
            </w:r>
            <w:r>
              <w:rPr>
                <w:rFonts w:hint="eastAsia" w:hAnsi="宋体"/>
                <w:szCs w:val="21"/>
                <w:highlight w:val="none"/>
                <w:lang w:eastAsia="zh-CN"/>
              </w:rPr>
              <w:t>：</w:t>
            </w:r>
            <w:r>
              <w:rPr>
                <w:rFonts w:hint="eastAsia" w:hAnsi="宋体"/>
                <w:szCs w:val="21"/>
                <w:highlight w:val="none"/>
              </w:rPr>
              <w:t>触摸按钮开关</w:t>
            </w:r>
            <w:r>
              <w:rPr>
                <w:rFonts w:hint="eastAsia" w:hAnsi="宋体"/>
                <w:szCs w:val="21"/>
                <w:highlight w:val="none"/>
                <w:lang w:eastAsia="zh-CN"/>
              </w:rPr>
              <w:t>，</w:t>
            </w:r>
            <w:r>
              <w:rPr>
                <w:rFonts w:hint="eastAsia" w:hAnsi="宋体"/>
                <w:szCs w:val="21"/>
                <w:highlight w:val="none"/>
                <w:lang w:val="en-US" w:eastAsia="zh-CN"/>
              </w:rPr>
              <w:t>6</w:t>
            </w:r>
            <w:r>
              <w:rPr>
                <w:rFonts w:hint="eastAsia" w:hAnsi="宋体"/>
                <w:szCs w:val="21"/>
                <w:highlight w:val="none"/>
              </w:rPr>
              <w:t>龙头</w:t>
            </w:r>
            <w:r>
              <w:rPr>
                <w:rFonts w:hint="eastAsia" w:hAnsi="宋体"/>
                <w:szCs w:val="21"/>
                <w:highlight w:val="none"/>
                <w:lang w:eastAsia="zh-CN"/>
              </w:rPr>
              <w:t>，</w:t>
            </w:r>
            <w:r>
              <w:rPr>
                <w:rFonts w:hint="eastAsia" w:hAnsi="宋体"/>
                <w:szCs w:val="21"/>
                <w:highlight w:val="none"/>
                <w:lang w:val="en-US" w:eastAsia="zh-CN"/>
              </w:rPr>
              <w:t>触摸按键</w:t>
            </w:r>
            <w:r>
              <w:rPr>
                <w:rFonts w:hint="eastAsia" w:hAnsi="宋体"/>
                <w:szCs w:val="21"/>
                <w:highlight w:val="none"/>
              </w:rPr>
              <w:t>出水，</w:t>
            </w:r>
            <w:r>
              <w:rPr>
                <w:rFonts w:hint="eastAsia" w:hAnsi="宋体"/>
                <w:szCs w:val="21"/>
                <w:highlight w:val="none"/>
                <w:lang w:val="en-US" w:eastAsia="zh-CN"/>
              </w:rPr>
              <w:t>6温开水</w:t>
            </w:r>
            <w:r>
              <w:rPr>
                <w:rFonts w:hint="eastAsia" w:hAnsi="宋体"/>
                <w:szCs w:val="21"/>
                <w:highlight w:val="none"/>
              </w:rPr>
              <w:t>。</w:t>
            </w:r>
          </w:p>
          <w:p>
            <w:pPr>
              <w:rPr>
                <w:rFonts w:hint="eastAsia" w:hAnsi="宋体"/>
                <w:szCs w:val="21"/>
                <w:highlight w:val="none"/>
                <w:lang w:val="en-US" w:eastAsia="zh-CN"/>
              </w:rPr>
            </w:pPr>
            <w:r>
              <w:rPr>
                <w:rFonts w:hint="eastAsia" w:hAnsi="宋体"/>
                <w:szCs w:val="21"/>
                <w:highlight w:val="none"/>
                <w:lang w:val="en-US" w:eastAsia="zh-CN"/>
              </w:rPr>
              <w:t>5</w:t>
            </w:r>
            <w:r>
              <w:rPr>
                <w:rFonts w:hint="eastAsia" w:hAnsi="宋体"/>
                <w:szCs w:val="21"/>
                <w:highlight w:val="none"/>
              </w:rPr>
              <w:t>、</w:t>
            </w:r>
            <w:r>
              <w:rPr>
                <w:rFonts w:hint="eastAsia" w:hAnsi="宋体"/>
                <w:szCs w:val="21"/>
                <w:highlight w:val="none"/>
                <w:lang w:val="en-US" w:eastAsia="zh-CN"/>
              </w:rPr>
              <w:t>具备智能显示功能：微电脑智能控制，缺水保护，定时开关机功能，水温显示，滤芯使用更换提醒功能，故障代码显示功能；</w:t>
            </w:r>
          </w:p>
          <w:p>
            <w:pPr>
              <w:rPr>
                <w:rFonts w:hint="eastAsia" w:hAnsi="宋体"/>
                <w:szCs w:val="21"/>
                <w:highlight w:val="none"/>
                <w:lang w:val="en-US" w:eastAsia="zh-CN"/>
              </w:rPr>
            </w:pPr>
            <w:r>
              <w:rPr>
                <w:rFonts w:hint="eastAsia" w:hAnsi="宋体"/>
                <w:szCs w:val="21"/>
                <w:highlight w:val="none"/>
                <w:lang w:val="en-US" w:eastAsia="zh-CN"/>
              </w:rPr>
              <w:t>6、具备防烫伤、防超温、防漏水、防干烧、防漏电功能；</w:t>
            </w:r>
          </w:p>
          <w:p>
            <w:pPr>
              <w:rPr>
                <w:rFonts w:hint="eastAsia" w:hAnsi="宋体"/>
                <w:szCs w:val="21"/>
                <w:highlight w:val="none"/>
              </w:rPr>
            </w:pPr>
            <w:r>
              <w:rPr>
                <w:rFonts w:hint="eastAsia" w:hAnsi="宋体"/>
                <w:szCs w:val="21"/>
                <w:highlight w:val="none"/>
                <w:lang w:val="en-US" w:eastAsia="zh-CN"/>
              </w:rPr>
              <w:t>7</w:t>
            </w:r>
            <w:r>
              <w:rPr>
                <w:rFonts w:hint="eastAsia" w:hAnsi="宋体"/>
                <w:szCs w:val="21"/>
                <w:highlight w:val="none"/>
              </w:rPr>
              <w:t>、加热管：采用不锈钢加热管（提供加热管《涉及饮用水卫生安全产品卫生许可批件》</w:t>
            </w:r>
            <w:r>
              <w:rPr>
                <w:rFonts w:hint="eastAsia" w:hAnsi="宋体"/>
                <w:szCs w:val="21"/>
                <w:highlight w:val="none"/>
                <w:lang w:val="en-US" w:eastAsia="zh-CN"/>
              </w:rPr>
              <w:t>扫描件</w:t>
            </w:r>
            <w:r>
              <w:rPr>
                <w:rFonts w:hint="eastAsia" w:hAnsi="宋体"/>
                <w:szCs w:val="21"/>
                <w:highlight w:val="none"/>
              </w:rPr>
              <w:t>）；</w:t>
            </w:r>
          </w:p>
          <w:p>
            <w:pPr>
              <w:rPr>
                <w:rFonts w:hint="eastAsia" w:hAnsi="宋体"/>
                <w:szCs w:val="21"/>
                <w:highlight w:val="none"/>
              </w:rPr>
            </w:pPr>
            <w:r>
              <w:rPr>
                <w:rFonts w:hint="eastAsia" w:hAnsi="宋体"/>
                <w:szCs w:val="21"/>
                <w:highlight w:val="none"/>
                <w:lang w:val="en-US" w:eastAsia="zh-CN"/>
              </w:rPr>
              <w:t>8</w:t>
            </w:r>
            <w:r>
              <w:rPr>
                <w:rFonts w:hint="eastAsia" w:hAnsi="宋体"/>
                <w:szCs w:val="21"/>
                <w:highlight w:val="none"/>
              </w:rPr>
              <w:t>、波纹管：采用不锈钢</w:t>
            </w:r>
            <w:r>
              <w:rPr>
                <w:rFonts w:hint="eastAsia" w:hAnsi="宋体"/>
                <w:szCs w:val="21"/>
                <w:highlight w:val="none"/>
                <w:lang w:val="en-US" w:eastAsia="zh-CN"/>
              </w:rPr>
              <w:t>波纹管</w:t>
            </w:r>
            <w:r>
              <w:rPr>
                <w:rFonts w:hint="eastAsia" w:hAnsi="宋体"/>
                <w:szCs w:val="21"/>
                <w:highlight w:val="none"/>
              </w:rPr>
              <w:t>（提供不锈钢</w:t>
            </w:r>
            <w:r>
              <w:rPr>
                <w:rFonts w:hint="eastAsia" w:hAnsi="宋体"/>
                <w:szCs w:val="21"/>
                <w:highlight w:val="none"/>
                <w:lang w:val="en-US" w:eastAsia="zh-CN"/>
              </w:rPr>
              <w:t>波纹管</w:t>
            </w:r>
            <w:r>
              <w:rPr>
                <w:rFonts w:hint="eastAsia" w:hAnsi="宋体"/>
                <w:szCs w:val="21"/>
                <w:highlight w:val="none"/>
              </w:rPr>
              <w:t>《涉及饮用水卫生安全产品卫生许可批件》</w:t>
            </w:r>
            <w:r>
              <w:rPr>
                <w:rFonts w:hint="eastAsia" w:hAnsi="宋体"/>
                <w:szCs w:val="21"/>
                <w:highlight w:val="none"/>
                <w:lang w:val="en-US" w:eastAsia="zh-CN"/>
              </w:rPr>
              <w:t>扫描件）</w:t>
            </w:r>
            <w:r>
              <w:rPr>
                <w:rFonts w:hint="eastAsia" w:hAnsi="宋体"/>
                <w:szCs w:val="21"/>
                <w:highlight w:val="none"/>
              </w:rPr>
              <w:t>；</w:t>
            </w:r>
          </w:p>
          <w:p>
            <w:pPr>
              <w:rPr>
                <w:rFonts w:hint="eastAsia" w:hAnsi="宋体"/>
                <w:szCs w:val="21"/>
                <w:highlight w:val="none"/>
                <w:lang w:val="en-US" w:eastAsia="zh-CN"/>
              </w:rPr>
            </w:pPr>
            <w:r>
              <w:rPr>
                <w:rFonts w:hint="eastAsia" w:hAnsi="宋体"/>
                <w:szCs w:val="21"/>
                <w:highlight w:val="none"/>
                <w:lang w:val="en-US" w:eastAsia="zh-CN"/>
              </w:rPr>
              <w:t>9</w:t>
            </w:r>
            <w:r>
              <w:rPr>
                <w:rFonts w:hint="eastAsia" w:hAnsi="宋体"/>
                <w:szCs w:val="21"/>
                <w:highlight w:val="none"/>
              </w:rPr>
              <w:t>、</w:t>
            </w:r>
            <w:r>
              <w:rPr>
                <w:rFonts w:hint="eastAsia" w:hAnsi="宋体"/>
                <w:szCs w:val="21"/>
                <w:highlight w:val="none"/>
                <w:lang w:val="en-US" w:eastAsia="zh-CN"/>
              </w:rPr>
              <w:t>内胆</w:t>
            </w:r>
            <w:r>
              <w:rPr>
                <w:rFonts w:hint="eastAsia" w:hAnsi="宋体"/>
                <w:szCs w:val="21"/>
                <w:highlight w:val="none"/>
              </w:rPr>
              <w:t>：采用</w:t>
            </w:r>
            <w:r>
              <w:rPr>
                <w:rFonts w:hint="eastAsia" w:hAnsi="宋体"/>
                <w:szCs w:val="21"/>
                <w:highlight w:val="none"/>
                <w:lang w:val="en-US" w:eastAsia="zh-CN"/>
              </w:rPr>
              <w:t>不锈钢内胆</w:t>
            </w:r>
            <w:r>
              <w:rPr>
                <w:rFonts w:hint="eastAsia" w:hAnsi="宋体"/>
                <w:szCs w:val="21"/>
                <w:highlight w:val="none"/>
              </w:rPr>
              <w:t>（提供</w:t>
            </w:r>
            <w:r>
              <w:rPr>
                <w:rFonts w:hint="eastAsia" w:hAnsi="宋体"/>
                <w:szCs w:val="21"/>
                <w:highlight w:val="none"/>
                <w:lang w:val="en-US" w:eastAsia="zh-CN"/>
              </w:rPr>
              <w:t>不锈钢水胆</w:t>
            </w:r>
            <w:r>
              <w:rPr>
                <w:rFonts w:hint="eastAsia" w:hAnsi="宋体"/>
                <w:szCs w:val="21"/>
                <w:highlight w:val="none"/>
              </w:rPr>
              <w:t>《涉及饮用水卫生安全产品卫生许可批件》</w:t>
            </w:r>
            <w:r>
              <w:rPr>
                <w:rFonts w:hint="eastAsia" w:hAnsi="宋体"/>
                <w:szCs w:val="21"/>
                <w:highlight w:val="none"/>
                <w:lang w:val="en-US" w:eastAsia="zh-CN"/>
              </w:rPr>
              <w:t>扫描件）</w:t>
            </w:r>
            <w:r>
              <w:rPr>
                <w:rFonts w:hint="eastAsia" w:hAnsi="宋体"/>
                <w:szCs w:val="21"/>
                <w:highlight w:val="none"/>
              </w:rPr>
              <w:t>；</w:t>
            </w:r>
          </w:p>
          <w:p>
            <w:pPr>
              <w:rPr>
                <w:rFonts w:hint="eastAsia" w:hAnsi="宋体"/>
                <w:szCs w:val="21"/>
                <w:highlight w:val="none"/>
              </w:rPr>
            </w:pPr>
            <w:r>
              <w:rPr>
                <w:rFonts w:hint="eastAsia" w:hAnsi="宋体"/>
                <w:szCs w:val="21"/>
                <w:highlight w:val="none"/>
                <w:lang w:val="en-US" w:eastAsia="zh-CN"/>
              </w:rPr>
              <w:t>10</w:t>
            </w:r>
            <w:r>
              <w:rPr>
                <w:rFonts w:hint="eastAsia" w:hAnsi="宋体"/>
                <w:szCs w:val="21"/>
                <w:highlight w:val="none"/>
              </w:rPr>
              <w:t>、</w:t>
            </w:r>
            <w:r>
              <w:rPr>
                <w:rFonts w:hint="eastAsia" w:hAnsi="宋体"/>
                <w:szCs w:val="21"/>
                <w:highlight w:val="none"/>
                <w:lang w:val="en-US" w:eastAsia="zh-CN"/>
              </w:rPr>
              <w:t>材质</w:t>
            </w:r>
            <w:r>
              <w:rPr>
                <w:rFonts w:hint="eastAsia" w:hAnsi="宋体"/>
                <w:szCs w:val="21"/>
                <w:highlight w:val="none"/>
              </w:rPr>
              <w:t>要求</w:t>
            </w:r>
            <w:r>
              <w:rPr>
                <w:rFonts w:hint="eastAsia" w:hAnsi="宋体"/>
                <w:szCs w:val="21"/>
                <w:highlight w:val="none"/>
                <w:lang w:eastAsia="zh-CN"/>
              </w:rPr>
              <w:t>：</w:t>
            </w:r>
            <w:r>
              <w:rPr>
                <w:rFonts w:hint="eastAsia" w:hAnsi="宋体"/>
                <w:szCs w:val="21"/>
                <w:highlight w:val="none"/>
                <w:lang w:val="en-US" w:eastAsia="zh-CN"/>
              </w:rPr>
              <w:t>:</w:t>
            </w:r>
            <w:r>
              <w:rPr>
                <w:rFonts w:hint="eastAsia" w:hAnsi="宋体"/>
                <w:szCs w:val="21"/>
                <w:highlight w:val="none"/>
              </w:rPr>
              <w:t>（1）水槽采用食品级304不锈钢材质，厚度≥0.</w:t>
            </w:r>
            <w:r>
              <w:rPr>
                <w:rFonts w:hint="eastAsia" w:hAnsi="宋体"/>
                <w:szCs w:val="21"/>
                <w:highlight w:val="none"/>
                <w:lang w:val="en-US" w:eastAsia="zh-CN"/>
              </w:rPr>
              <w:t>6</w:t>
            </w:r>
            <w:r>
              <w:rPr>
                <w:rFonts w:hint="eastAsia" w:hAnsi="宋体"/>
                <w:szCs w:val="21"/>
                <w:highlight w:val="none"/>
              </w:rPr>
              <w:t>mm；</w:t>
            </w:r>
            <w:r>
              <w:rPr>
                <w:rFonts w:hint="eastAsia" w:hAnsi="宋体"/>
                <w:szCs w:val="21"/>
                <w:highlight w:val="none"/>
                <w:lang w:eastAsia="zh-CN"/>
              </w:rPr>
              <w:t>（</w:t>
            </w:r>
            <w:r>
              <w:rPr>
                <w:rFonts w:hint="eastAsia" w:hAnsi="宋体"/>
                <w:szCs w:val="21"/>
                <w:highlight w:val="none"/>
                <w:lang w:val="en-US" w:eastAsia="zh-CN"/>
              </w:rPr>
              <w:t>2</w:t>
            </w:r>
            <w:r>
              <w:rPr>
                <w:rFonts w:hint="eastAsia" w:hAnsi="宋体"/>
                <w:szCs w:val="21"/>
                <w:highlight w:val="none"/>
                <w:lang w:eastAsia="zh-CN"/>
              </w:rPr>
              <w:t>）</w:t>
            </w:r>
            <w:r>
              <w:rPr>
                <w:rFonts w:hint="eastAsia" w:hAnsi="宋体"/>
                <w:szCs w:val="21"/>
                <w:highlight w:val="none"/>
                <w:lang w:val="en-US" w:eastAsia="zh-CN"/>
              </w:rPr>
              <w:t>内胆采用</w:t>
            </w:r>
            <w:r>
              <w:rPr>
                <w:rFonts w:hint="eastAsia" w:hAnsi="宋体"/>
                <w:szCs w:val="21"/>
                <w:highlight w:val="none"/>
              </w:rPr>
              <w:t>食品级</w:t>
            </w:r>
            <w:r>
              <w:rPr>
                <w:rFonts w:hint="eastAsia" w:hAnsi="宋体"/>
                <w:szCs w:val="21"/>
                <w:highlight w:val="none"/>
                <w:lang w:val="en-US" w:eastAsia="zh-CN"/>
              </w:rPr>
              <w:t>316</w:t>
            </w:r>
            <w:r>
              <w:rPr>
                <w:rFonts w:hint="eastAsia" w:hAnsi="宋体"/>
                <w:szCs w:val="21"/>
                <w:highlight w:val="none"/>
              </w:rPr>
              <w:t>不锈钢材质，厚度≥</w:t>
            </w:r>
            <w:r>
              <w:rPr>
                <w:rFonts w:hint="eastAsia" w:hAnsi="宋体"/>
                <w:szCs w:val="21"/>
                <w:highlight w:val="none"/>
                <w:lang w:val="en-US" w:eastAsia="zh-CN"/>
              </w:rPr>
              <w:t>0.8</w:t>
            </w:r>
            <w:r>
              <w:rPr>
                <w:rFonts w:hint="eastAsia" w:hAnsi="宋体"/>
                <w:szCs w:val="21"/>
                <w:highlight w:val="none"/>
              </w:rPr>
              <w:t>mm；</w:t>
            </w:r>
          </w:p>
          <w:p>
            <w:pPr>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11</w:t>
            </w:r>
            <w:r>
              <w:rPr>
                <w:rFonts w:hint="eastAsia" w:hAnsi="宋体"/>
                <w:szCs w:val="21"/>
                <w:highlight w:val="none"/>
              </w:rPr>
              <w:t>、过滤要求：</w:t>
            </w:r>
            <w:r>
              <w:rPr>
                <w:rFonts w:hint="eastAsia" w:hAnsi="宋体"/>
                <w:szCs w:val="21"/>
                <w:highlight w:val="none"/>
                <w:lang w:val="en-US" w:eastAsia="zh-CN"/>
              </w:rPr>
              <w:t>五</w:t>
            </w:r>
            <w:r>
              <w:rPr>
                <w:rFonts w:hint="eastAsia" w:hAnsi="宋体"/>
                <w:szCs w:val="21"/>
                <w:highlight w:val="none"/>
              </w:rPr>
              <w:t>级</w:t>
            </w:r>
            <w:r>
              <w:rPr>
                <w:rFonts w:hint="eastAsia" w:hAnsi="宋体"/>
                <w:szCs w:val="21"/>
                <w:highlight w:val="none"/>
                <w:lang w:val="en-US" w:eastAsia="zh-CN"/>
              </w:rPr>
              <w:t>或以上</w:t>
            </w:r>
            <w:r>
              <w:rPr>
                <w:rFonts w:hint="eastAsia" w:hAnsi="宋体"/>
                <w:szCs w:val="21"/>
                <w:highlight w:val="none"/>
              </w:rPr>
              <w:t>过滤配置，</w:t>
            </w:r>
            <w:r>
              <w:rPr>
                <w:rFonts w:hint="eastAsia" w:hAnsi="宋体"/>
                <w:szCs w:val="21"/>
                <w:highlight w:val="none"/>
                <w:lang w:val="en-US" w:eastAsia="zh-CN"/>
              </w:rPr>
              <w:t>采用反渗透过滤技术，反渗透膜规格</w:t>
            </w:r>
            <w:r>
              <w:rPr>
                <w:rFonts w:hint="eastAsia" w:hAnsi="宋体"/>
                <w:szCs w:val="21"/>
                <w:highlight w:val="none"/>
              </w:rPr>
              <w:t>≥</w:t>
            </w:r>
            <w:r>
              <w:rPr>
                <w:rFonts w:hint="eastAsia" w:hAnsi="宋体"/>
                <w:szCs w:val="21"/>
                <w:highlight w:val="none"/>
                <w:lang w:val="en-US" w:eastAsia="zh-CN"/>
              </w:rPr>
              <w:t>RO400G，</w:t>
            </w:r>
            <w:r>
              <w:rPr>
                <w:rFonts w:hint="eastAsia" w:hAnsi="宋体"/>
                <w:szCs w:val="21"/>
                <w:highlight w:val="none"/>
              </w:rPr>
              <w:t>加热内胆容量≥</w:t>
            </w:r>
            <w:r>
              <w:rPr>
                <w:rFonts w:hint="eastAsia" w:hAnsi="宋体"/>
                <w:szCs w:val="21"/>
                <w:highlight w:val="none"/>
                <w:lang w:val="en-US" w:eastAsia="zh-CN"/>
              </w:rPr>
              <w:t>35</w:t>
            </w:r>
            <w:r>
              <w:rPr>
                <w:rFonts w:hint="eastAsia" w:hAnsi="宋体"/>
                <w:szCs w:val="21"/>
                <w:highlight w:val="none"/>
              </w:rPr>
              <w:t>升</w:t>
            </w:r>
            <w:r>
              <w:rPr>
                <w:rFonts w:hint="eastAsia" w:hAnsi="宋体"/>
                <w:szCs w:val="21"/>
                <w:highlight w:val="none"/>
                <w:lang w:eastAsia="zh-CN"/>
              </w:rPr>
              <w:t>，</w:t>
            </w:r>
            <w:r>
              <w:rPr>
                <w:rFonts w:hint="eastAsia" w:hAnsi="宋体"/>
                <w:szCs w:val="21"/>
                <w:highlight w:val="none"/>
              </w:rPr>
              <w:t>净水流量≥</w:t>
            </w:r>
            <w:r>
              <w:rPr>
                <w:rFonts w:hint="eastAsia" w:hAnsi="宋体"/>
                <w:szCs w:val="21"/>
                <w:highlight w:val="none"/>
                <w:lang w:val="en-US" w:eastAsia="zh-CN"/>
              </w:rPr>
              <w:t>1</w:t>
            </w:r>
            <w:r>
              <w:rPr>
                <w:rFonts w:hint="eastAsia" w:hAnsi="宋体"/>
                <w:szCs w:val="21"/>
                <w:highlight w:val="none"/>
              </w:rPr>
              <w:t>.0L/min</w:t>
            </w:r>
            <w:r>
              <w:rPr>
                <w:rFonts w:hint="eastAsia" w:hAnsi="宋体"/>
                <w:szCs w:val="21"/>
                <w:highlight w:val="none"/>
                <w:lang w:eastAsia="zh-CN"/>
              </w:rPr>
              <w:t>；</w:t>
            </w:r>
            <w:r>
              <w:rPr>
                <w:rFonts w:hint="eastAsia" w:hAnsi="宋体"/>
                <w:szCs w:val="21"/>
                <w:highlight w:val="none"/>
              </w:rPr>
              <w:t>(提供整机《涉及饮用水卫生安全产品卫生许可批件》</w:t>
            </w:r>
            <w:r>
              <w:rPr>
                <w:rFonts w:hint="eastAsia" w:hAnsi="宋体"/>
                <w:szCs w:val="21"/>
                <w:highlight w:val="none"/>
                <w:lang w:val="en-US" w:eastAsia="zh-CN"/>
              </w:rPr>
              <w:t>扫描件</w:t>
            </w:r>
            <w:r>
              <w:rPr>
                <w:rFonts w:hint="eastAsia" w:hAnsi="宋体"/>
                <w:szCs w:val="21"/>
                <w:highlight w:val="none"/>
              </w:rPr>
              <w:t>，证件内容须体现出过滤配置</w:t>
            </w:r>
            <w:r>
              <w:rPr>
                <w:rFonts w:hint="eastAsia" w:hAnsi="宋体"/>
                <w:szCs w:val="21"/>
                <w:highlight w:val="none"/>
                <w:lang w:eastAsia="zh-CN"/>
              </w:rPr>
              <w:t>、</w:t>
            </w:r>
            <w:r>
              <w:rPr>
                <w:rFonts w:hint="eastAsia" w:hAnsi="宋体"/>
                <w:szCs w:val="21"/>
                <w:highlight w:val="none"/>
                <w:lang w:val="en-US" w:eastAsia="zh-CN"/>
              </w:rPr>
              <w:t>内胆容量</w:t>
            </w:r>
            <w:r>
              <w:rPr>
                <w:rFonts w:hint="eastAsia" w:hAnsi="宋体"/>
                <w:szCs w:val="21"/>
                <w:highlight w:val="none"/>
              </w:rPr>
              <w:t>及净水流量参数)；</w:t>
            </w:r>
          </w:p>
          <w:p>
            <w:pPr>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12、</w:t>
            </w:r>
            <w:r>
              <w:rPr>
                <w:rFonts w:hint="eastAsia" w:hAnsi="宋体"/>
                <w:szCs w:val="21"/>
                <w:highlight w:val="none"/>
              </w:rPr>
              <w:t>温开水安全要求：采用热交换器技术，热交换器内外管采用304不锈钢材质，（提供主要热交换器《涉及饮用水卫生安全产品卫生许可批件》</w:t>
            </w:r>
            <w:r>
              <w:rPr>
                <w:rFonts w:hint="eastAsia" w:hAnsi="宋体"/>
                <w:szCs w:val="21"/>
                <w:highlight w:val="none"/>
                <w:lang w:val="en-US" w:eastAsia="zh-CN"/>
              </w:rPr>
              <w:t>扫描件）</w:t>
            </w:r>
            <w:r>
              <w:rPr>
                <w:rFonts w:hint="eastAsia" w:hAnsi="宋体"/>
                <w:szCs w:val="21"/>
                <w:highlight w:val="none"/>
              </w:rPr>
              <w:t>；</w:t>
            </w:r>
          </w:p>
          <w:p>
            <w:pPr>
              <w:rPr>
                <w:rFonts w:hint="eastAsia" w:hAnsi="宋体"/>
                <w:szCs w:val="21"/>
                <w:highlight w:val="none"/>
                <w:lang w:val="en-US" w:eastAsia="zh-CN"/>
              </w:rPr>
            </w:pPr>
            <w:r>
              <w:rPr>
                <w:rFonts w:hint="eastAsia" w:hAnsi="宋体"/>
                <w:szCs w:val="21"/>
                <w:highlight w:val="none"/>
              </w:rPr>
              <w:t>★</w:t>
            </w:r>
            <w:r>
              <w:rPr>
                <w:rFonts w:hint="eastAsia" w:hAnsi="宋体"/>
                <w:szCs w:val="21"/>
                <w:highlight w:val="none"/>
                <w:lang w:val="en-US" w:eastAsia="zh-CN"/>
              </w:rPr>
              <w:t>13</w:t>
            </w:r>
            <w:r>
              <w:rPr>
                <w:rFonts w:hint="eastAsia" w:hAnsi="宋体"/>
                <w:szCs w:val="21"/>
                <w:highlight w:val="none"/>
              </w:rPr>
              <w:t>、整机符合GB4806.7-2016、GB4806.9-2016、GB4806.11-2016要求保证出水安全。提供与投标产品型号一致《食品接触产品安全认证证书》</w:t>
            </w:r>
            <w:r>
              <w:rPr>
                <w:rFonts w:hint="eastAsia" w:hAnsi="宋体"/>
                <w:szCs w:val="21"/>
                <w:highlight w:val="none"/>
                <w:lang w:val="en-US" w:eastAsia="zh-CN"/>
              </w:rPr>
              <w:t>扫描件，</w:t>
            </w:r>
            <w:r>
              <w:rPr>
                <w:rFonts w:hint="eastAsia" w:hAnsi="宋体"/>
                <w:szCs w:val="21"/>
                <w:highlight w:val="none"/>
              </w:rPr>
              <w:t>并</w:t>
            </w:r>
            <w:r>
              <w:rPr>
                <w:rFonts w:hint="eastAsia" w:ascii="宋体" w:hAnsi="宋体"/>
                <w:szCs w:val="21"/>
                <w:highlight w:val="none"/>
                <w:lang w:val="zh-TW" w:eastAsia="zh-TW"/>
              </w:rPr>
              <w:t>提供</w:t>
            </w:r>
            <w:r>
              <w:rPr>
                <w:rFonts w:ascii="宋体" w:hAnsi="宋体"/>
                <w:szCs w:val="21"/>
                <w:highlight w:val="none"/>
                <w:lang w:val="zh-TW" w:eastAsia="zh-TW"/>
              </w:rPr>
              <w:t>www.cnca.gov.cn</w:t>
            </w:r>
            <w:r>
              <w:rPr>
                <w:rFonts w:hint="eastAsia" w:ascii="宋体" w:hAnsi="宋体"/>
                <w:szCs w:val="21"/>
                <w:highlight w:val="none"/>
                <w:lang w:val="zh-TW" w:eastAsia="zh-TW"/>
              </w:rPr>
              <w:t>国家认证认可监督管理委员会官网查询证明</w:t>
            </w:r>
            <w:r>
              <w:rPr>
                <w:rFonts w:hint="eastAsia" w:hAnsi="宋体"/>
                <w:szCs w:val="21"/>
                <w:highlight w:val="none"/>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r>
      <w:tr>
        <w:tblPrEx>
          <w:shd w:val="clear" w:color="auto" w:fill="auto"/>
          <w:tblCellMar>
            <w:top w:w="0" w:type="dxa"/>
            <w:left w:w="0" w:type="dxa"/>
            <w:bottom w:w="0" w:type="dxa"/>
            <w:right w:w="0" w:type="dxa"/>
          </w:tblCellMar>
        </w:tblPrEx>
        <w:trPr>
          <w:trHeight w:val="0" w:hRule="atLeast"/>
          <w:jc w:val="center"/>
        </w:trPr>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立式直饮机</w:t>
            </w:r>
            <w:r>
              <w:rPr>
                <w:rFonts w:hint="eastAsia" w:ascii="宋体" w:hAnsi="宋体" w:cs="宋体"/>
                <w:b/>
                <w:bCs/>
                <w:i w:val="0"/>
                <w:iCs w:val="0"/>
                <w:color w:val="000000"/>
                <w:kern w:val="0"/>
                <w:sz w:val="21"/>
                <w:szCs w:val="21"/>
                <w:highlight w:val="none"/>
                <w:u w:val="none"/>
                <w:lang w:val="en-US" w:eastAsia="zh-CN" w:bidi="ar"/>
              </w:rPr>
              <w:t>（提供样品）</w:t>
            </w:r>
          </w:p>
        </w:tc>
        <w:tc>
          <w:tcPr>
            <w:tcW w:w="341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Ansi="宋体"/>
                <w:szCs w:val="21"/>
              </w:rPr>
            </w:pPr>
            <w:r>
              <w:rPr>
                <w:rFonts w:hint="eastAsia" w:hAnsi="宋体"/>
                <w:szCs w:val="21"/>
              </w:rPr>
              <w:t>1、</w:t>
            </w:r>
            <w:r>
              <w:rPr>
                <w:rFonts w:hAnsi="宋体"/>
                <w:szCs w:val="21"/>
              </w:rPr>
              <w:t>适用水源</w:t>
            </w:r>
            <w:r>
              <w:rPr>
                <w:rFonts w:hint="eastAsia" w:hAnsi="宋体"/>
                <w:szCs w:val="21"/>
              </w:rPr>
              <w:t>：</w:t>
            </w:r>
            <w:r>
              <w:rPr>
                <w:rFonts w:hAnsi="宋体"/>
                <w:szCs w:val="21"/>
              </w:rPr>
              <w:t>市政自来水</w:t>
            </w:r>
            <w:r>
              <w:rPr>
                <w:rFonts w:hint="eastAsia" w:hAnsi="宋体"/>
                <w:szCs w:val="21"/>
              </w:rPr>
              <w:t>；</w:t>
            </w:r>
          </w:p>
          <w:p>
            <w:pPr>
              <w:rPr>
                <w:rFonts w:hAnsi="宋体" w:cs="宋体"/>
                <w:szCs w:val="21"/>
                <w:highlight w:val="none"/>
              </w:rPr>
            </w:pPr>
            <w:r>
              <w:rPr>
                <w:rFonts w:hint="eastAsia" w:hAnsi="宋体"/>
                <w:szCs w:val="21"/>
                <w:lang w:val="en-US" w:eastAsia="zh-CN"/>
              </w:rPr>
              <w:t>2</w:t>
            </w:r>
            <w:r>
              <w:rPr>
                <w:rFonts w:hint="eastAsia" w:hAnsi="宋体"/>
                <w:szCs w:val="21"/>
              </w:rPr>
              <w:t>、产品尺寸（m</w:t>
            </w:r>
            <w:r>
              <w:rPr>
                <w:rFonts w:hint="eastAsia" w:hAnsi="宋体"/>
                <w:szCs w:val="21"/>
                <w:highlight w:val="none"/>
              </w:rPr>
              <w:t>m）：400×370×1360，允许偏离值</w:t>
            </w:r>
            <w:r>
              <w:rPr>
                <w:rFonts w:hAnsi="宋体"/>
                <w:szCs w:val="21"/>
                <w:highlight w:val="none"/>
              </w:rPr>
              <w:t>±10</w:t>
            </w:r>
            <w:r>
              <w:rPr>
                <w:rFonts w:hint="eastAsia" w:hAnsi="宋体"/>
                <w:szCs w:val="21"/>
                <w:highlight w:val="none"/>
              </w:rPr>
              <w:t>%；</w:t>
            </w:r>
          </w:p>
          <w:p>
            <w:pPr>
              <w:rPr>
                <w:rFonts w:hAnsi="宋体"/>
                <w:szCs w:val="21"/>
                <w:highlight w:val="none"/>
              </w:rPr>
            </w:pPr>
            <w:r>
              <w:rPr>
                <w:rFonts w:hint="eastAsia" w:hAnsi="宋体"/>
                <w:szCs w:val="21"/>
                <w:highlight w:val="none"/>
                <w:lang w:val="en-US" w:eastAsia="zh-CN"/>
              </w:rPr>
              <w:t>3</w:t>
            </w:r>
            <w:r>
              <w:rPr>
                <w:rFonts w:hint="eastAsia" w:hAnsi="宋体"/>
                <w:szCs w:val="21"/>
                <w:highlight w:val="none"/>
              </w:rPr>
              <w:t>、额定电压：220V/50Hz；额定</w:t>
            </w:r>
            <w:r>
              <w:rPr>
                <w:rFonts w:hAnsi="宋体"/>
                <w:szCs w:val="21"/>
                <w:highlight w:val="none"/>
              </w:rPr>
              <w:t>功率</w:t>
            </w:r>
            <w:r>
              <w:rPr>
                <w:rFonts w:hint="eastAsia" w:hAnsi="宋体"/>
                <w:szCs w:val="21"/>
                <w:highlight w:val="none"/>
              </w:rPr>
              <w:t>≥</w:t>
            </w:r>
            <w:r>
              <w:rPr>
                <w:rFonts w:hAnsi="宋体"/>
                <w:szCs w:val="21"/>
                <w:highlight w:val="none"/>
              </w:rPr>
              <w:t>800W</w:t>
            </w:r>
            <w:r>
              <w:rPr>
                <w:rFonts w:hint="eastAsia" w:hAnsi="宋体"/>
                <w:szCs w:val="21"/>
                <w:highlight w:val="none"/>
              </w:rPr>
              <w:t>；</w:t>
            </w:r>
            <w:r>
              <w:rPr>
                <w:rFonts w:hAnsi="宋体"/>
                <w:szCs w:val="21"/>
                <w:highlight w:val="none"/>
              </w:rPr>
              <w:t xml:space="preserve"> </w:t>
            </w:r>
          </w:p>
          <w:p>
            <w:pPr>
              <w:rPr>
                <w:rFonts w:hint="eastAsia" w:hAnsi="宋体"/>
                <w:szCs w:val="21"/>
                <w:highlight w:val="none"/>
                <w:lang w:val="en-US" w:eastAsia="zh-CN"/>
              </w:rPr>
            </w:pPr>
            <w:r>
              <w:rPr>
                <w:rFonts w:hint="eastAsia" w:hAnsi="宋体"/>
                <w:szCs w:val="21"/>
                <w:highlight w:val="none"/>
                <w:lang w:val="en-US" w:eastAsia="zh-CN"/>
              </w:rPr>
              <w:t>4</w:t>
            </w:r>
            <w:r>
              <w:rPr>
                <w:rFonts w:hint="eastAsia" w:hAnsi="宋体"/>
                <w:szCs w:val="21"/>
                <w:highlight w:val="none"/>
              </w:rPr>
              <w:t>、净水箱容积≥10L，（提供净水箱《涉及饮用水卫生安全产品卫生许可批件》</w:t>
            </w:r>
            <w:r>
              <w:rPr>
                <w:rFonts w:hint="eastAsia" w:hAnsi="宋体"/>
                <w:szCs w:val="21"/>
                <w:highlight w:val="none"/>
                <w:lang w:val="en-US" w:eastAsia="zh-CN"/>
              </w:rPr>
              <w:t>扫描件）</w:t>
            </w:r>
            <w:r>
              <w:rPr>
                <w:rFonts w:hint="eastAsia" w:hAnsi="宋体"/>
                <w:szCs w:val="21"/>
                <w:highlight w:val="none"/>
              </w:rPr>
              <w:t>；</w:t>
            </w:r>
          </w:p>
          <w:p>
            <w:pPr>
              <w:rPr>
                <w:rFonts w:hAnsi="宋体"/>
                <w:szCs w:val="21"/>
                <w:highlight w:val="none"/>
              </w:rPr>
            </w:pPr>
            <w:r>
              <w:rPr>
                <w:rFonts w:hint="eastAsia" w:hAnsi="宋体"/>
                <w:szCs w:val="21"/>
                <w:highlight w:val="none"/>
                <w:lang w:val="en-US" w:eastAsia="zh-CN"/>
              </w:rPr>
              <w:t>5</w:t>
            </w:r>
            <w:r>
              <w:rPr>
                <w:rFonts w:hint="eastAsia" w:hAnsi="宋体"/>
                <w:szCs w:val="21"/>
                <w:highlight w:val="none"/>
              </w:rPr>
              <w:t>、热胆容积≥</w:t>
            </w:r>
            <w:r>
              <w:rPr>
                <w:rFonts w:hAnsi="宋体"/>
                <w:szCs w:val="21"/>
                <w:highlight w:val="none"/>
              </w:rPr>
              <w:t>2</w:t>
            </w:r>
            <w:r>
              <w:rPr>
                <w:rFonts w:hint="eastAsia" w:hAnsi="宋体"/>
                <w:szCs w:val="21"/>
                <w:highlight w:val="none"/>
              </w:rPr>
              <w:t>L；冰胆容积≥0.8L；</w:t>
            </w:r>
          </w:p>
          <w:p>
            <w:pPr>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6</w:t>
            </w:r>
            <w:r>
              <w:rPr>
                <w:rFonts w:hint="eastAsia" w:hAnsi="宋体"/>
                <w:szCs w:val="21"/>
                <w:highlight w:val="none"/>
              </w:rPr>
              <w:t>、</w:t>
            </w:r>
            <w:r>
              <w:rPr>
                <w:rFonts w:hint="eastAsia" w:hAnsi="宋体"/>
                <w:szCs w:val="21"/>
                <w:highlight w:val="none"/>
                <w:lang w:val="en-US" w:eastAsia="zh-CN"/>
              </w:rPr>
              <w:t>出水方式</w:t>
            </w:r>
            <w:r>
              <w:rPr>
                <w:rFonts w:hint="eastAsia" w:hAnsi="宋体"/>
                <w:szCs w:val="21"/>
                <w:highlight w:val="none"/>
              </w:rPr>
              <w:t>：</w:t>
            </w:r>
            <w:r>
              <w:rPr>
                <w:rFonts w:hint="eastAsia" w:hAnsi="宋体"/>
                <w:szCs w:val="21"/>
                <w:highlight w:val="none"/>
                <w:lang w:val="en-US" w:eastAsia="zh-CN"/>
              </w:rPr>
              <w:t>两个水嘴，</w:t>
            </w:r>
            <w:r>
              <w:rPr>
                <w:rFonts w:hAnsi="宋体"/>
                <w:szCs w:val="21"/>
                <w:highlight w:val="none"/>
              </w:rPr>
              <w:t>可提供热水</w:t>
            </w:r>
            <w:r>
              <w:rPr>
                <w:rFonts w:hint="eastAsia" w:hAnsi="宋体"/>
                <w:szCs w:val="21"/>
                <w:highlight w:val="none"/>
              </w:rPr>
              <w:t>、</w:t>
            </w:r>
            <w:r>
              <w:rPr>
                <w:rFonts w:hAnsi="宋体"/>
                <w:szCs w:val="21"/>
                <w:highlight w:val="none"/>
              </w:rPr>
              <w:t>常温水和冷水三种选择</w:t>
            </w:r>
            <w:r>
              <w:rPr>
                <w:rFonts w:hint="eastAsia" w:hAnsi="宋体"/>
                <w:szCs w:val="21"/>
                <w:highlight w:val="none"/>
              </w:rPr>
              <w:t>；</w:t>
            </w:r>
          </w:p>
          <w:p>
            <w:pPr>
              <w:rPr>
                <w:rFonts w:hint="default" w:hAnsi="宋体" w:eastAsia="宋体"/>
                <w:szCs w:val="21"/>
                <w:highlight w:val="none"/>
                <w:lang w:val="en-US" w:eastAsia="zh-CN"/>
              </w:rPr>
            </w:pPr>
            <w:r>
              <w:rPr>
                <w:rFonts w:hint="eastAsia" w:hAnsi="宋体"/>
                <w:szCs w:val="21"/>
                <w:highlight w:val="none"/>
              </w:rPr>
              <w:t>★</w:t>
            </w:r>
            <w:r>
              <w:rPr>
                <w:rFonts w:hint="eastAsia" w:hAnsi="宋体"/>
                <w:szCs w:val="21"/>
                <w:highlight w:val="none"/>
                <w:lang w:val="en-US" w:eastAsia="zh-CN"/>
              </w:rPr>
              <w:t>7</w:t>
            </w:r>
            <w:r>
              <w:rPr>
                <w:rFonts w:hint="eastAsia" w:hAnsi="宋体"/>
                <w:szCs w:val="21"/>
                <w:highlight w:val="none"/>
              </w:rPr>
              <w:t>、制热能力：≥</w:t>
            </w:r>
            <w:r>
              <w:rPr>
                <w:rFonts w:hAnsi="宋体"/>
                <w:szCs w:val="21"/>
                <w:highlight w:val="none"/>
              </w:rPr>
              <w:t>8</w:t>
            </w:r>
            <w:r>
              <w:rPr>
                <w:rFonts w:hint="eastAsia" w:hAnsi="宋体"/>
                <w:szCs w:val="21"/>
                <w:highlight w:val="none"/>
              </w:rPr>
              <w:t>L/h；≥</w:t>
            </w:r>
            <w:r>
              <w:rPr>
                <w:rFonts w:hint="eastAsia" w:hAnsi="宋体"/>
                <w:szCs w:val="21"/>
                <w:highlight w:val="none"/>
                <w:lang w:val="en-US" w:eastAsia="zh-CN"/>
              </w:rPr>
              <w:t>90</w:t>
            </w:r>
            <w:r>
              <w:rPr>
                <w:rFonts w:hint="eastAsia" w:hAnsi="宋体"/>
                <w:szCs w:val="21"/>
                <w:highlight w:val="none"/>
              </w:rPr>
              <w:t>℃；</w:t>
            </w:r>
          </w:p>
          <w:p>
            <w:pPr>
              <w:rPr>
                <w:rFonts w:hAnsi="宋体"/>
                <w:szCs w:val="21"/>
                <w:highlight w:val="none"/>
              </w:rPr>
            </w:pPr>
            <w:r>
              <w:rPr>
                <w:rFonts w:hint="eastAsia" w:hAnsi="宋体"/>
                <w:szCs w:val="21"/>
                <w:highlight w:val="none"/>
              </w:rPr>
              <w:t>★</w:t>
            </w:r>
            <w:r>
              <w:rPr>
                <w:rFonts w:hint="eastAsia" w:hAnsi="宋体"/>
                <w:szCs w:val="21"/>
                <w:highlight w:val="none"/>
                <w:lang w:val="en-US" w:eastAsia="zh-CN"/>
              </w:rPr>
              <w:t>8</w:t>
            </w:r>
            <w:r>
              <w:rPr>
                <w:rFonts w:hint="eastAsia" w:hAnsi="宋体"/>
                <w:szCs w:val="21"/>
                <w:highlight w:val="none"/>
              </w:rPr>
              <w:t>、制冷能力：≥0.6L/h，≤15℃；</w:t>
            </w:r>
            <w:r>
              <w:rPr>
                <w:rFonts w:hint="eastAsia" w:hAnsi="宋体" w:cs="宋体"/>
                <w:szCs w:val="21"/>
                <w:highlight w:val="none"/>
              </w:rPr>
              <w:t>（提供制造商官网截图、产品彩页、产品说明书</w:t>
            </w:r>
            <w:r>
              <w:rPr>
                <w:rFonts w:hint="eastAsia" w:hAnsi="宋体" w:cs="宋体"/>
                <w:szCs w:val="21"/>
                <w:highlight w:val="none"/>
                <w:lang w:val="en-US" w:eastAsia="zh-CN"/>
              </w:rPr>
              <w:t>等证明资料</w:t>
            </w:r>
            <w:r>
              <w:rPr>
                <w:rFonts w:hint="eastAsia" w:hAnsi="宋体" w:cs="宋体"/>
                <w:szCs w:val="21"/>
                <w:highlight w:val="none"/>
              </w:rPr>
              <w:t>）</w:t>
            </w:r>
          </w:p>
          <w:p>
            <w:pPr>
              <w:rPr>
                <w:rFonts w:hAnsi="宋体" w:cs="宋体"/>
                <w:szCs w:val="21"/>
                <w:highlight w:val="none"/>
              </w:rPr>
            </w:pPr>
            <w:r>
              <w:rPr>
                <w:rFonts w:hint="eastAsia" w:hAnsi="宋体"/>
                <w:szCs w:val="21"/>
                <w:highlight w:val="none"/>
                <w:lang w:val="en-US" w:eastAsia="zh-CN"/>
              </w:rPr>
              <w:t>9</w:t>
            </w:r>
            <w:r>
              <w:rPr>
                <w:rFonts w:hint="eastAsia" w:hAnsi="宋体"/>
                <w:szCs w:val="21"/>
                <w:highlight w:val="none"/>
              </w:rPr>
              <w:t>、过滤要求：过滤工艺须包含反渗透膜滤芯，不得少于三支滤芯、过滤层级不得少于四级过滤；</w:t>
            </w:r>
          </w:p>
          <w:p>
            <w:pPr>
              <w:rPr>
                <w:rFonts w:hint="eastAsia" w:hAnsi="宋体"/>
                <w:szCs w:val="21"/>
                <w:highlight w:val="none"/>
              </w:rPr>
            </w:pPr>
            <w:r>
              <w:rPr>
                <w:rFonts w:hint="eastAsia" w:hAnsi="宋体"/>
                <w:szCs w:val="21"/>
                <w:highlight w:val="none"/>
                <w:lang w:val="en-US" w:eastAsia="zh-CN"/>
              </w:rPr>
              <w:t>10</w:t>
            </w:r>
            <w:r>
              <w:rPr>
                <w:rFonts w:hint="eastAsia" w:hAnsi="宋体"/>
                <w:szCs w:val="21"/>
                <w:highlight w:val="none"/>
              </w:rPr>
              <w:t>、</w:t>
            </w:r>
            <w:r>
              <w:rPr>
                <w:rFonts w:hAnsi="宋体"/>
                <w:szCs w:val="21"/>
                <w:highlight w:val="none"/>
              </w:rPr>
              <w:t>净水流量≥0.15L/min</w:t>
            </w:r>
            <w:r>
              <w:rPr>
                <w:rFonts w:hint="eastAsia" w:hAnsi="宋体"/>
                <w:szCs w:val="21"/>
                <w:highlight w:val="none"/>
              </w:rPr>
              <w:t>，提供《涉及饮用水卫生安全产品卫生许可批件》的参数内容证明；</w:t>
            </w:r>
          </w:p>
          <w:p>
            <w:pPr>
              <w:rPr>
                <w:rFonts w:hAnsi="宋体" w:cs="宋体"/>
                <w:szCs w:val="21"/>
                <w:highlight w:val="none"/>
              </w:rPr>
            </w:pPr>
            <w:r>
              <w:rPr>
                <w:rFonts w:hint="eastAsia" w:hAnsi="宋体"/>
                <w:szCs w:val="21"/>
                <w:highlight w:val="none"/>
              </w:rPr>
              <w:t>1</w:t>
            </w:r>
            <w:r>
              <w:rPr>
                <w:rFonts w:hint="eastAsia" w:hAnsi="宋体"/>
                <w:szCs w:val="21"/>
                <w:highlight w:val="none"/>
                <w:lang w:val="en-US" w:eastAsia="zh-CN"/>
              </w:rPr>
              <w:t>1</w:t>
            </w:r>
            <w:r>
              <w:rPr>
                <w:rFonts w:hint="eastAsia" w:hAnsi="宋体"/>
                <w:szCs w:val="21"/>
                <w:highlight w:val="none"/>
              </w:rPr>
              <w:t>、</w:t>
            </w:r>
            <w:r>
              <w:rPr>
                <w:rFonts w:hint="eastAsia" w:hAnsi="宋体"/>
                <w:szCs w:val="21"/>
                <w:highlight w:val="none"/>
                <w:lang w:val="en-US" w:eastAsia="zh-CN"/>
              </w:rPr>
              <w:t>具有</w:t>
            </w:r>
            <w:r>
              <w:rPr>
                <w:rFonts w:hAnsi="宋体"/>
                <w:szCs w:val="21"/>
                <w:highlight w:val="none"/>
              </w:rPr>
              <w:t>接水盒自动排水</w:t>
            </w:r>
            <w:r>
              <w:rPr>
                <w:rFonts w:hint="eastAsia" w:hAnsi="宋体"/>
                <w:szCs w:val="21"/>
                <w:highlight w:val="none"/>
                <w:lang w:val="en-US" w:eastAsia="zh-CN"/>
              </w:rPr>
              <w:t>功能</w:t>
            </w:r>
            <w:r>
              <w:rPr>
                <w:rFonts w:hint="eastAsia" w:hAnsi="宋体"/>
                <w:szCs w:val="21"/>
                <w:highlight w:val="none"/>
              </w:rPr>
              <w:t>；</w:t>
            </w:r>
            <w:r>
              <w:rPr>
                <w:rFonts w:hAnsi="宋体" w:cs="宋体"/>
                <w:szCs w:val="21"/>
                <w:highlight w:val="none"/>
              </w:rPr>
              <w:t xml:space="preserve"> </w:t>
            </w:r>
          </w:p>
          <w:p>
            <w:pPr>
              <w:rPr>
                <w:rFonts w:hAnsi="宋体" w:cs="宋体"/>
                <w:szCs w:val="21"/>
                <w:highlight w:val="none"/>
              </w:rPr>
            </w:pPr>
            <w:r>
              <w:rPr>
                <w:rFonts w:hAnsi="宋体"/>
                <w:szCs w:val="21"/>
                <w:highlight w:val="none"/>
              </w:rPr>
              <w:t>1</w:t>
            </w:r>
            <w:r>
              <w:rPr>
                <w:rFonts w:hint="eastAsia" w:hAnsi="宋体"/>
                <w:szCs w:val="21"/>
                <w:highlight w:val="none"/>
                <w:lang w:val="en-US" w:eastAsia="zh-CN"/>
              </w:rPr>
              <w:t>2</w:t>
            </w:r>
            <w:r>
              <w:rPr>
                <w:rFonts w:hint="eastAsia" w:hAnsi="宋体"/>
                <w:szCs w:val="21"/>
                <w:highlight w:val="none"/>
              </w:rPr>
              <w:t>、具有物联网功能：</w:t>
            </w:r>
            <w:r>
              <w:rPr>
                <w:rFonts w:hint="eastAsia" w:hAnsi="宋体"/>
                <w:szCs w:val="21"/>
                <w:highlight w:val="none"/>
                <w:lang w:val="en-US" w:eastAsia="zh-CN"/>
              </w:rPr>
              <w:t>显示</w:t>
            </w:r>
            <w:r>
              <w:rPr>
                <w:rFonts w:hint="eastAsia" w:hAnsi="宋体"/>
                <w:szCs w:val="21"/>
                <w:highlight w:val="none"/>
              </w:rPr>
              <w:t>机器运行状态、滤芯寿命、用水量统计、定时开关机/节能模式、机器分组批量设置管理功能、出水模式选择功能、手动冲洗等功能</w:t>
            </w:r>
            <w:r>
              <w:rPr>
                <w:rFonts w:hint="eastAsia" w:hAnsi="宋体" w:cs="宋体"/>
                <w:szCs w:val="21"/>
                <w:highlight w:val="none"/>
              </w:rPr>
              <w:t>（提供制造商官网截图、产品彩页、产品说明书</w:t>
            </w:r>
            <w:r>
              <w:rPr>
                <w:rFonts w:hint="eastAsia" w:hAnsi="宋体" w:cs="宋体"/>
                <w:szCs w:val="21"/>
                <w:highlight w:val="none"/>
                <w:lang w:val="en-US" w:eastAsia="zh-CN"/>
              </w:rPr>
              <w:t>等证明资料</w:t>
            </w:r>
            <w:r>
              <w:rPr>
                <w:rFonts w:hint="eastAsia" w:hAnsi="宋体" w:cs="宋体"/>
                <w:szCs w:val="21"/>
                <w:highlight w:val="none"/>
              </w:rPr>
              <w:t>）</w:t>
            </w:r>
          </w:p>
          <w:p>
            <w:pPr>
              <w:rPr>
                <w:rFonts w:hAnsi="宋体" w:cs="宋体"/>
                <w:szCs w:val="21"/>
                <w:highlight w:val="none"/>
              </w:rPr>
            </w:pPr>
            <w:r>
              <w:rPr>
                <w:rFonts w:hint="eastAsia" w:hAnsi="宋体"/>
                <w:szCs w:val="21"/>
                <w:highlight w:val="none"/>
              </w:rPr>
              <w:t>1</w:t>
            </w:r>
            <w:r>
              <w:rPr>
                <w:rFonts w:hint="eastAsia" w:hAnsi="宋体"/>
                <w:szCs w:val="21"/>
                <w:highlight w:val="none"/>
                <w:lang w:val="en-US" w:eastAsia="zh-CN"/>
              </w:rPr>
              <w:t>3</w:t>
            </w:r>
            <w:r>
              <w:rPr>
                <w:rFonts w:hint="eastAsia" w:hAnsi="宋体"/>
                <w:szCs w:val="21"/>
                <w:highlight w:val="none"/>
              </w:rPr>
              <w:t>、控制面板采用全触摸按键。具有滤芯寿命显示，机器运行状态显示，热水开关，开水童锁保护等功能；</w:t>
            </w:r>
            <w:r>
              <w:rPr>
                <w:rFonts w:hint="eastAsia" w:hAnsi="宋体" w:cs="宋体"/>
                <w:szCs w:val="21"/>
                <w:highlight w:val="none"/>
              </w:rPr>
              <w:t>（提供制造商官网截图、产品彩页、产品说明书</w:t>
            </w:r>
            <w:r>
              <w:rPr>
                <w:rFonts w:hint="eastAsia" w:hAnsi="宋体" w:cs="宋体"/>
                <w:szCs w:val="21"/>
                <w:highlight w:val="none"/>
                <w:lang w:val="en-US" w:eastAsia="zh-CN"/>
              </w:rPr>
              <w:t>等证明资料</w:t>
            </w:r>
            <w:r>
              <w:rPr>
                <w:rFonts w:hint="eastAsia" w:hAnsi="宋体" w:cs="宋体"/>
                <w:szCs w:val="21"/>
                <w:highlight w:val="none"/>
              </w:rPr>
              <w:t>）</w:t>
            </w:r>
          </w:p>
          <w:p>
            <w:pPr>
              <w:rPr>
                <w:rFonts w:hint="eastAsia" w:hAnsi="宋体" w:eastAsia="宋体" w:cs="宋体"/>
                <w:szCs w:val="21"/>
                <w:highlight w:val="none"/>
                <w:lang w:eastAsia="zh-CN"/>
              </w:rPr>
            </w:pPr>
            <w:r>
              <w:rPr>
                <w:rFonts w:hint="eastAsia" w:hAnsi="宋体"/>
                <w:szCs w:val="21"/>
                <w:highlight w:val="none"/>
              </w:rPr>
              <w:t>★</w:t>
            </w:r>
            <w:r>
              <w:rPr>
                <w:rFonts w:hAnsi="宋体"/>
                <w:szCs w:val="21"/>
                <w:highlight w:val="none"/>
              </w:rPr>
              <w:t>1</w:t>
            </w:r>
            <w:r>
              <w:rPr>
                <w:rFonts w:hint="eastAsia" w:hAnsi="宋体"/>
                <w:szCs w:val="21"/>
                <w:highlight w:val="none"/>
                <w:lang w:val="en-US" w:eastAsia="zh-CN"/>
              </w:rPr>
              <w:t>4</w:t>
            </w:r>
            <w:r>
              <w:rPr>
                <w:rFonts w:hint="eastAsia" w:hAnsi="宋体"/>
                <w:szCs w:val="21"/>
                <w:highlight w:val="none"/>
              </w:rPr>
              <w:t>、具有UV杀菌</w:t>
            </w:r>
            <w:r>
              <w:rPr>
                <w:rFonts w:hint="eastAsia" w:hAnsi="宋体"/>
                <w:szCs w:val="21"/>
                <w:highlight w:val="none"/>
                <w:lang w:val="en-US" w:eastAsia="zh-CN"/>
              </w:rPr>
              <w:t>功能</w:t>
            </w:r>
            <w:r>
              <w:rPr>
                <w:rFonts w:hint="eastAsia" w:hAnsi="宋体"/>
                <w:szCs w:val="21"/>
                <w:highlight w:val="none"/>
              </w:rPr>
              <w:t>，确保饮水安全</w:t>
            </w:r>
            <w:r>
              <w:rPr>
                <w:rFonts w:hint="eastAsia" w:hAnsi="宋体" w:cs="宋体"/>
                <w:szCs w:val="21"/>
                <w:highlight w:val="none"/>
              </w:rPr>
              <w:t>（提供制造商官网截图、产品彩页、产品说明书</w:t>
            </w:r>
            <w:r>
              <w:rPr>
                <w:rFonts w:hint="eastAsia" w:hAnsi="宋体" w:cs="宋体"/>
                <w:szCs w:val="21"/>
                <w:highlight w:val="none"/>
                <w:lang w:val="en-US" w:eastAsia="zh-CN"/>
              </w:rPr>
              <w:t>等证明资料</w:t>
            </w:r>
            <w:r>
              <w:rPr>
                <w:rFonts w:hint="eastAsia" w:hAnsi="宋体" w:cs="宋体"/>
                <w:szCs w:val="21"/>
                <w:highlight w:val="none"/>
              </w:rPr>
              <w:t>）</w:t>
            </w:r>
            <w:r>
              <w:rPr>
                <w:rFonts w:hint="eastAsia" w:hAnsi="宋体" w:cs="宋体"/>
                <w:szCs w:val="21"/>
                <w:highlight w:val="none"/>
                <w:lang w:eastAsia="zh-CN"/>
              </w:rPr>
              <w:t>；</w:t>
            </w:r>
          </w:p>
          <w:p>
            <w:pPr>
              <w:rPr>
                <w:rFonts w:hAnsi="宋体"/>
                <w:szCs w:val="21"/>
                <w:highlight w:val="none"/>
              </w:rPr>
            </w:pPr>
            <w:r>
              <w:rPr>
                <w:rFonts w:hint="eastAsia" w:hAnsi="宋体"/>
                <w:szCs w:val="21"/>
                <w:highlight w:val="none"/>
                <w:lang w:val="en-US" w:eastAsia="zh-CN"/>
              </w:rPr>
              <w:t>15</w:t>
            </w:r>
            <w:r>
              <w:rPr>
                <w:rFonts w:hint="eastAsia" w:hAnsi="宋体"/>
                <w:szCs w:val="21"/>
                <w:highlight w:val="none"/>
              </w:rPr>
              <w:t>、具有防干烧保护、缺水保护、漏水保护、制水超时保护、故障自检等</w:t>
            </w:r>
            <w:r>
              <w:rPr>
                <w:rFonts w:hint="eastAsia" w:hAnsi="宋体"/>
                <w:szCs w:val="21"/>
                <w:highlight w:val="none"/>
                <w:lang w:eastAsia="zh-CN"/>
              </w:rPr>
              <w:t>，</w:t>
            </w:r>
            <w:r>
              <w:rPr>
                <w:rFonts w:hint="eastAsia" w:hAnsi="宋体" w:cs="宋体"/>
                <w:szCs w:val="21"/>
                <w:highlight w:val="none"/>
              </w:rPr>
              <w:t>（提供制造商官网截图、产品彩页、产品说明书</w:t>
            </w:r>
            <w:r>
              <w:rPr>
                <w:rFonts w:hint="eastAsia" w:hAnsi="宋体" w:cs="宋体"/>
                <w:szCs w:val="21"/>
                <w:highlight w:val="none"/>
                <w:lang w:val="en-US" w:eastAsia="zh-CN"/>
              </w:rPr>
              <w:t>等证明资料</w:t>
            </w:r>
            <w:r>
              <w:rPr>
                <w:rFonts w:hint="eastAsia" w:hAnsi="宋体" w:cs="宋体"/>
                <w:szCs w:val="21"/>
                <w:highlight w:val="none"/>
              </w:rPr>
              <w:t>）</w:t>
            </w:r>
          </w:p>
          <w:p>
            <w:pPr>
              <w:rPr>
                <w:rFonts w:hAnsi="宋体"/>
                <w:szCs w:val="21"/>
                <w:highlight w:val="none"/>
              </w:rPr>
            </w:pPr>
            <w:r>
              <w:rPr>
                <w:rFonts w:hint="eastAsia" w:ascii="宋体" w:cs="宋体"/>
                <w:szCs w:val="21"/>
                <w:highlight w:val="none"/>
                <w:lang w:val="en-US" w:eastAsia="zh-CN"/>
              </w:rPr>
              <w:t>16</w:t>
            </w:r>
            <w:r>
              <w:rPr>
                <w:rFonts w:hint="eastAsia" w:hAnsi="宋体"/>
                <w:szCs w:val="21"/>
                <w:highlight w:val="none"/>
              </w:rPr>
              <w:t>、提供</w:t>
            </w:r>
            <w:r>
              <w:rPr>
                <w:rFonts w:hint="eastAsia" w:hAnsi="宋体"/>
                <w:szCs w:val="21"/>
                <w:highlight w:val="none"/>
                <w:lang w:val="en-US" w:eastAsia="zh-CN"/>
              </w:rPr>
              <w:t>投标产品</w:t>
            </w:r>
            <w:r>
              <w:rPr>
                <w:rFonts w:hint="eastAsia" w:hAnsi="宋体"/>
                <w:szCs w:val="21"/>
                <w:highlight w:val="none"/>
              </w:rPr>
              <w:t>整机</w:t>
            </w:r>
            <w:r>
              <w:rPr>
                <w:rFonts w:hint="eastAsia" w:hAnsi="宋体"/>
                <w:szCs w:val="21"/>
                <w:highlight w:val="none"/>
                <w:lang w:eastAsia="zh-CN"/>
              </w:rPr>
              <w:t>的</w:t>
            </w:r>
            <w:r>
              <w:rPr>
                <w:rFonts w:hint="eastAsia" w:hAnsi="宋体"/>
                <w:szCs w:val="21"/>
                <w:highlight w:val="none"/>
              </w:rPr>
              <w:t>《涉及饮用水卫生安全产品卫生许可批件》</w:t>
            </w:r>
            <w:r>
              <w:rPr>
                <w:rFonts w:hint="eastAsia" w:hAnsi="宋体"/>
                <w:szCs w:val="21"/>
                <w:highlight w:val="none"/>
                <w:lang w:val="en-US" w:eastAsia="zh-CN"/>
              </w:rPr>
              <w:t>扫描件</w:t>
            </w:r>
            <w:r>
              <w:rPr>
                <w:rFonts w:hint="eastAsia" w:hAnsi="宋体"/>
                <w:szCs w:val="21"/>
                <w:highlight w:val="none"/>
              </w:rPr>
              <w:t>；</w:t>
            </w:r>
          </w:p>
          <w:p>
            <w:pP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color w:val="auto"/>
                <w:spacing w:val="0"/>
                <w:position w:val="0"/>
                <w:sz w:val="24"/>
                <w:szCs w:val="24"/>
                <w:highlight w:val="none"/>
                <w:shd w:val="clear" w:color="auto" w:fill="auto"/>
              </w:rPr>
              <w:t>★</w:t>
            </w:r>
            <w:r>
              <w:rPr>
                <w:rFonts w:hint="eastAsia" w:ascii="宋体" w:hAnsi="宋体" w:cs="宋体"/>
                <w:szCs w:val="21"/>
                <w:highlight w:val="none"/>
                <w:lang w:val="en-US" w:eastAsia="zh-CN"/>
              </w:rPr>
              <w:t>17</w:t>
            </w:r>
            <w:r>
              <w:rPr>
                <w:rFonts w:hint="eastAsia" w:ascii="宋体" w:hAnsi="宋体" w:cs="宋体"/>
                <w:szCs w:val="21"/>
                <w:highlight w:val="none"/>
              </w:rPr>
              <w:t>、</w:t>
            </w:r>
            <w:r>
              <w:rPr>
                <w:rFonts w:hint="eastAsia" w:hAnsi="宋体"/>
                <w:szCs w:val="21"/>
                <w:highlight w:val="none"/>
              </w:rPr>
              <w:t>整机符合GB4806.7-2016、GB4806.9-2016、GB4806.11-2016要求保证出水安全。提供与投标产品型号一致《食品接触产品安全认证证书》</w:t>
            </w:r>
            <w:r>
              <w:rPr>
                <w:rFonts w:hint="eastAsia" w:hAnsi="宋体"/>
                <w:szCs w:val="21"/>
                <w:highlight w:val="none"/>
                <w:lang w:val="en-US" w:eastAsia="zh-CN"/>
              </w:rPr>
              <w:t>扫描件，</w:t>
            </w:r>
            <w:r>
              <w:rPr>
                <w:rFonts w:hint="eastAsia" w:hAnsi="宋体"/>
                <w:szCs w:val="21"/>
              </w:rPr>
              <w:t>并</w:t>
            </w:r>
            <w:r>
              <w:rPr>
                <w:rFonts w:hint="eastAsia" w:ascii="宋体" w:hAnsi="宋体"/>
                <w:szCs w:val="21"/>
                <w:lang w:val="zh-TW" w:eastAsia="zh-TW"/>
              </w:rPr>
              <w:t>提供</w:t>
            </w:r>
            <w:r>
              <w:rPr>
                <w:rFonts w:ascii="宋体" w:hAnsi="宋体"/>
                <w:szCs w:val="21"/>
                <w:lang w:val="zh-TW" w:eastAsia="zh-TW"/>
              </w:rPr>
              <w:t>www.cnca.gov.cn</w:t>
            </w:r>
            <w:r>
              <w:rPr>
                <w:rFonts w:hint="eastAsia" w:ascii="宋体" w:hAnsi="宋体"/>
                <w:szCs w:val="21"/>
                <w:lang w:val="zh-TW" w:eastAsia="zh-TW"/>
              </w:rPr>
              <w:t>国家认证认可监督管理委员会官网查询证明</w:t>
            </w:r>
            <w:r>
              <w:rPr>
                <w:rFonts w:hint="eastAsia" w:hAnsi="宋体"/>
                <w:szCs w:val="21"/>
                <w:highlight w:val="none"/>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57</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jc w:val="left"/>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特别提醒：</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jc w:val="left"/>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①供应商所投产品的技术参数不应低于本项目的技术要求和性能。上述技术要求如出现某类品牌型号特有的技术指标或性能，仅供供应商参考，不作为实质性响应条款。</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jc w:val="left"/>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②以上技术参数及功能要求涉及到的CCC认证、CQC认证、涉水卫生批件、相关检测报告等资料，采购机构有权对其有效性及真实性进行事后核查，如发现弄虚作假，将按相关规定提交给采购监管部门处理。</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jc w:val="left"/>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③以上技术参数中的参考外形尺寸要求仅供供应商参考，但供应商中标后实际供货产品的外形尺寸须符合现场的安装要求。因外形尺寸不符合现场安装要求而产生的相关损失由供应商自行承担。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jc w:val="left"/>
        <w:textAlignment w:val="auto"/>
        <w:rPr>
          <w:rFonts w:hint="eastAsia"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④中标后，采购人有权根据采购文件要求及投标承诺对中标供应商提供的设备及配件进行随机抽检。若抽检不合格，中标供应商须更换产品直至合格，并须同时提供所有投标产品及配件的合格检测报告（检测费用由中标供应商承担）。</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仿宋" w:hAnsi="仿宋" w:eastAsia="仿宋" w:cs="仿宋"/>
          <w:color w:val="000000"/>
          <w:sz w:val="24"/>
          <w:highlight w:val="none"/>
          <w:lang w:eastAsia="zh-CN"/>
        </w:rPr>
        <w:t>▲</w:t>
      </w:r>
      <w:r>
        <w:rPr>
          <w:rFonts w:hint="eastAsia" w:ascii="宋体" w:hAnsi="宋体" w:cs="宋体"/>
          <w:b/>
          <w:bCs/>
          <w:color w:val="000000" w:themeColor="text1"/>
          <w:kern w:val="0"/>
          <w:sz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14:textFill>
            <w14:solidFill>
              <w14:schemeClr w14:val="tx1"/>
            </w14:solidFill>
          </w14:textFill>
        </w:rPr>
        <w:t>货款支付：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1.合同生效、具备支付条件后5个工作日内，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凭</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开具的预付款发票，支付40%预付款给</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，若</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无需预付款的可选择在仪器设备验收合格后一次性支付；预付款的支付进程不得影响合同的履行。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按照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要求将货物送至各个使用点；经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组织验收，送货时间、地点、产品规格、型号、数量、质量及参数要求完全符合合同约定。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开具符合法律、法规规范及行业要求的真实、有效的增值税专用发票（进口免税产品须提供免表及报关单并符合税务部门的相关开票规定）。</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凭</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的供货发票，校内验收单、入库单等支付凭证办理相关支付手续，</w:t>
      </w:r>
      <w:r>
        <w:rPr>
          <w:rFonts w:hint="eastAsia" w:ascii="宋体" w:hAnsi="宋体" w:eastAsia="宋体" w:cs="宋体"/>
          <w:color w:val="auto"/>
          <w:sz w:val="24"/>
          <w:szCs w:val="24"/>
          <w:highlight w:val="none"/>
        </w:rPr>
        <w:t>满足合同约定的支付条件后</w:t>
      </w:r>
      <w:r>
        <w:rPr>
          <w:rFonts w:hint="eastAsia" w:ascii="宋体" w:hAnsi="宋体" w:eastAsia="宋体" w:cs="宋体"/>
          <w:color w:val="auto"/>
          <w:sz w:val="24"/>
          <w:szCs w:val="24"/>
          <w:highlight w:val="none"/>
          <w:lang w:val="zh-CN"/>
        </w:rPr>
        <w:t>5个工作日向</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zh-CN"/>
        </w:rPr>
        <w:t>付清全部合同款。</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bCs/>
          <w:sz w:val="24"/>
        </w:rPr>
      </w:pPr>
    </w:p>
    <w:p>
      <w:pPr>
        <w:pStyle w:val="6"/>
        <w:bidi w:val="0"/>
        <w:rPr>
          <w:rFonts w:hint="eastAsia"/>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p>
      <w:pPr>
        <w:pStyle w:val="6"/>
        <w:bidi w:val="0"/>
      </w:pPr>
      <w:r>
        <w:rPr>
          <w:rFonts w:hint="eastAsia"/>
        </w:rPr>
        <w:t xml:space="preserve">第四部分   </w:t>
      </w:r>
      <w:bookmarkStart w:id="32" w:name="_Toc184313295"/>
      <w:bookmarkEnd w:id="32"/>
      <w:bookmarkStart w:id="33" w:name="_Toc184313263"/>
      <w:bookmarkEnd w:id="33"/>
      <w:bookmarkStart w:id="34" w:name="_Toc184308097"/>
      <w:bookmarkEnd w:id="34"/>
      <w:bookmarkStart w:id="35" w:name="_Toc184314420"/>
      <w:bookmarkEnd w:id="35"/>
      <w:bookmarkStart w:id="36" w:name="_Toc184308040"/>
      <w:bookmarkEnd w:id="36"/>
      <w:bookmarkStart w:id="37" w:name="_Toc184310334"/>
      <w:bookmarkEnd w:id="37"/>
      <w:bookmarkStart w:id="38" w:name="_Toc184313290"/>
      <w:bookmarkEnd w:id="38"/>
      <w:bookmarkStart w:id="39" w:name="_Toc184314478"/>
      <w:bookmarkEnd w:id="39"/>
      <w:bookmarkStart w:id="40" w:name="_Toc184310333"/>
      <w:bookmarkEnd w:id="40"/>
      <w:bookmarkStart w:id="41" w:name="_Toc184310284"/>
      <w:bookmarkEnd w:id="41"/>
      <w:bookmarkStart w:id="42" w:name="_Toc184314422"/>
      <w:bookmarkEnd w:id="42"/>
      <w:bookmarkStart w:id="43" w:name="_Toc184310324"/>
      <w:bookmarkEnd w:id="43"/>
      <w:bookmarkStart w:id="44" w:name="_Toc184314474"/>
      <w:bookmarkEnd w:id="44"/>
      <w:bookmarkStart w:id="45" w:name="_Toc184313294"/>
      <w:bookmarkEnd w:id="45"/>
      <w:bookmarkStart w:id="46" w:name="_Toc184313252"/>
      <w:bookmarkEnd w:id="46"/>
      <w:bookmarkStart w:id="47" w:name="_Toc184308094"/>
      <w:bookmarkEnd w:id="47"/>
      <w:bookmarkStart w:id="48" w:name="_Toc184314456"/>
      <w:bookmarkEnd w:id="48"/>
      <w:bookmarkStart w:id="49" w:name="_Toc184308066"/>
      <w:bookmarkEnd w:id="49"/>
      <w:bookmarkStart w:id="50" w:name="_Toc184313250"/>
      <w:bookmarkEnd w:id="50"/>
      <w:bookmarkStart w:id="51" w:name="_Toc184310277"/>
      <w:bookmarkEnd w:id="51"/>
      <w:bookmarkStart w:id="52" w:name="_Toc184310328"/>
      <w:bookmarkEnd w:id="52"/>
      <w:bookmarkStart w:id="53" w:name="_Toc184312074"/>
      <w:bookmarkEnd w:id="53"/>
      <w:bookmarkStart w:id="54" w:name="_Toc184308095"/>
      <w:bookmarkEnd w:id="54"/>
      <w:bookmarkStart w:id="55" w:name="_Toc184314421"/>
      <w:bookmarkEnd w:id="55"/>
      <w:bookmarkStart w:id="56" w:name="_Toc184312069"/>
      <w:bookmarkEnd w:id="56"/>
      <w:bookmarkStart w:id="57" w:name="_Toc184313257"/>
      <w:bookmarkEnd w:id="57"/>
      <w:bookmarkStart w:id="58" w:name="_Toc184308106"/>
      <w:bookmarkEnd w:id="58"/>
      <w:bookmarkStart w:id="59" w:name="_Toc184313291"/>
      <w:bookmarkEnd w:id="59"/>
      <w:bookmarkStart w:id="60" w:name="_Toc184310296"/>
      <w:bookmarkEnd w:id="60"/>
      <w:bookmarkStart w:id="61" w:name="_Toc184310275"/>
      <w:bookmarkEnd w:id="61"/>
      <w:bookmarkStart w:id="62" w:name="_Toc184313246"/>
      <w:bookmarkEnd w:id="62"/>
      <w:bookmarkStart w:id="63" w:name="_Toc184313256"/>
      <w:bookmarkEnd w:id="63"/>
      <w:bookmarkStart w:id="64" w:name="_Toc184313266"/>
      <w:bookmarkEnd w:id="64"/>
      <w:bookmarkStart w:id="65" w:name="_Toc184312139"/>
      <w:bookmarkEnd w:id="65"/>
      <w:bookmarkStart w:id="66" w:name="_Toc184312095"/>
      <w:bookmarkEnd w:id="66"/>
      <w:bookmarkStart w:id="67" w:name="_Toc184312085"/>
      <w:bookmarkEnd w:id="67"/>
      <w:bookmarkStart w:id="68" w:name="_Toc184310300"/>
      <w:bookmarkEnd w:id="68"/>
      <w:bookmarkStart w:id="69" w:name="_Toc184313239"/>
      <w:bookmarkEnd w:id="69"/>
      <w:bookmarkStart w:id="70" w:name="_Toc184314445"/>
      <w:bookmarkEnd w:id="70"/>
      <w:bookmarkStart w:id="71" w:name="_Toc184314428"/>
      <w:bookmarkEnd w:id="71"/>
      <w:bookmarkStart w:id="72" w:name="_Toc184310329"/>
      <w:bookmarkEnd w:id="72"/>
      <w:bookmarkStart w:id="73" w:name="_Toc184312101"/>
      <w:bookmarkEnd w:id="73"/>
      <w:bookmarkStart w:id="74" w:name="_Toc184313244"/>
      <w:bookmarkEnd w:id="74"/>
      <w:bookmarkStart w:id="75" w:name="_Toc184313280"/>
      <w:bookmarkEnd w:id="75"/>
      <w:bookmarkStart w:id="76" w:name="_Toc184313304"/>
      <w:bookmarkEnd w:id="76"/>
      <w:bookmarkStart w:id="77" w:name="_Toc184310282"/>
      <w:bookmarkEnd w:id="77"/>
      <w:bookmarkStart w:id="78" w:name="_Toc184310301"/>
      <w:bookmarkEnd w:id="78"/>
      <w:bookmarkStart w:id="79" w:name="_Toc184310295"/>
      <w:bookmarkEnd w:id="79"/>
      <w:bookmarkStart w:id="80" w:name="_Toc184312093"/>
      <w:bookmarkEnd w:id="80"/>
      <w:bookmarkStart w:id="81" w:name="_Toc184313309"/>
      <w:bookmarkEnd w:id="81"/>
      <w:bookmarkStart w:id="82" w:name="_Toc184314444"/>
      <w:bookmarkEnd w:id="82"/>
      <w:bookmarkStart w:id="83" w:name="_Toc184314431"/>
      <w:bookmarkEnd w:id="83"/>
      <w:bookmarkStart w:id="84" w:name="_Toc184314441"/>
      <w:bookmarkEnd w:id="84"/>
      <w:bookmarkStart w:id="85" w:name="_Toc184312104"/>
      <w:bookmarkEnd w:id="85"/>
      <w:bookmarkStart w:id="86" w:name="_Toc184310292"/>
      <w:bookmarkEnd w:id="86"/>
      <w:bookmarkStart w:id="87" w:name="_Toc184313306"/>
      <w:bookmarkEnd w:id="87"/>
      <w:bookmarkStart w:id="88" w:name="_Toc184312118"/>
      <w:bookmarkEnd w:id="88"/>
      <w:bookmarkStart w:id="89" w:name="_Toc184310273"/>
      <w:bookmarkEnd w:id="89"/>
      <w:bookmarkStart w:id="90" w:name="_Toc184312108"/>
      <w:bookmarkEnd w:id="90"/>
      <w:bookmarkStart w:id="91" w:name="_Toc184310312"/>
      <w:bookmarkEnd w:id="91"/>
      <w:bookmarkStart w:id="92" w:name="_Toc184310314"/>
      <w:bookmarkEnd w:id="92"/>
      <w:bookmarkStart w:id="93" w:name="_Toc184314457"/>
      <w:bookmarkEnd w:id="93"/>
      <w:bookmarkStart w:id="94" w:name="_Toc184312070"/>
      <w:bookmarkEnd w:id="94"/>
      <w:bookmarkStart w:id="95" w:name="_Toc184312115"/>
      <w:bookmarkEnd w:id="95"/>
      <w:bookmarkStart w:id="96" w:name="_Toc184310274"/>
      <w:bookmarkEnd w:id="96"/>
      <w:bookmarkStart w:id="97" w:name="_Toc184312107"/>
      <w:bookmarkEnd w:id="97"/>
      <w:bookmarkStart w:id="98" w:name="_Toc184310303"/>
      <w:bookmarkEnd w:id="98"/>
      <w:bookmarkStart w:id="99" w:name="_Toc184314442"/>
      <w:bookmarkEnd w:id="99"/>
      <w:bookmarkStart w:id="100" w:name="_Toc184312105"/>
      <w:bookmarkEnd w:id="100"/>
      <w:bookmarkStart w:id="101" w:name="_Toc184312073"/>
      <w:bookmarkEnd w:id="101"/>
      <w:bookmarkStart w:id="102" w:name="_Toc184314458"/>
      <w:bookmarkEnd w:id="102"/>
      <w:bookmarkStart w:id="103" w:name="_Toc184310316"/>
      <w:bookmarkEnd w:id="103"/>
      <w:bookmarkStart w:id="104" w:name="_Toc184313274"/>
      <w:bookmarkEnd w:id="104"/>
      <w:bookmarkStart w:id="105" w:name="_Toc184312078"/>
      <w:bookmarkEnd w:id="105"/>
      <w:bookmarkStart w:id="106" w:name="_Toc184308076"/>
      <w:bookmarkEnd w:id="106"/>
      <w:bookmarkStart w:id="107" w:name="_Toc184308044"/>
      <w:bookmarkEnd w:id="107"/>
      <w:bookmarkStart w:id="108" w:name="_Toc184310318"/>
      <w:bookmarkEnd w:id="108"/>
      <w:bookmarkStart w:id="109" w:name="_Toc184314447"/>
      <w:bookmarkEnd w:id="109"/>
      <w:bookmarkStart w:id="110" w:name="_Toc184313258"/>
      <w:bookmarkEnd w:id="110"/>
      <w:bookmarkStart w:id="111" w:name="_Toc184310283"/>
      <w:bookmarkEnd w:id="111"/>
      <w:bookmarkStart w:id="112" w:name="_Toc184314432"/>
      <w:bookmarkEnd w:id="112"/>
      <w:bookmarkStart w:id="113" w:name="_Toc184308081"/>
      <w:bookmarkEnd w:id="113"/>
      <w:bookmarkStart w:id="114" w:name="_Toc184313289"/>
      <w:bookmarkEnd w:id="114"/>
      <w:bookmarkStart w:id="115" w:name="_Toc184313270"/>
      <w:bookmarkEnd w:id="115"/>
      <w:bookmarkStart w:id="116" w:name="_Toc184312129"/>
      <w:bookmarkEnd w:id="116"/>
      <w:bookmarkStart w:id="117" w:name="_Toc184312081"/>
      <w:bookmarkEnd w:id="117"/>
      <w:bookmarkStart w:id="118" w:name="_Toc184312099"/>
      <w:bookmarkEnd w:id="118"/>
      <w:bookmarkStart w:id="119" w:name="_Toc184313272"/>
      <w:bookmarkEnd w:id="119"/>
      <w:bookmarkStart w:id="120" w:name="_Toc184314418"/>
      <w:bookmarkEnd w:id="120"/>
      <w:bookmarkStart w:id="121" w:name="_Toc184312134"/>
      <w:bookmarkEnd w:id="121"/>
      <w:bookmarkStart w:id="122" w:name="_Toc184308086"/>
      <w:bookmarkEnd w:id="122"/>
      <w:bookmarkStart w:id="123" w:name="_Toc184313303"/>
      <w:bookmarkEnd w:id="123"/>
      <w:bookmarkStart w:id="124" w:name="_Toc184313308"/>
      <w:bookmarkEnd w:id="124"/>
      <w:bookmarkStart w:id="125" w:name="_Toc184313283"/>
      <w:bookmarkEnd w:id="125"/>
      <w:bookmarkStart w:id="126" w:name="_Toc184312127"/>
      <w:bookmarkEnd w:id="126"/>
      <w:bookmarkStart w:id="127" w:name="_Toc184310279"/>
      <w:bookmarkEnd w:id="127"/>
      <w:bookmarkStart w:id="128" w:name="_Toc184314439"/>
      <w:bookmarkEnd w:id="128"/>
      <w:bookmarkStart w:id="129" w:name="_Toc184314461"/>
      <w:bookmarkEnd w:id="129"/>
      <w:bookmarkStart w:id="130" w:name="_Toc184314429"/>
      <w:bookmarkEnd w:id="130"/>
      <w:bookmarkStart w:id="131" w:name="_Toc184308101"/>
      <w:bookmarkEnd w:id="131"/>
      <w:bookmarkStart w:id="132" w:name="_Toc184308092"/>
      <w:bookmarkEnd w:id="132"/>
      <w:bookmarkStart w:id="133" w:name="_Toc184312089"/>
      <w:bookmarkEnd w:id="133"/>
      <w:bookmarkStart w:id="134" w:name="_Toc184313238"/>
      <w:bookmarkEnd w:id="134"/>
      <w:bookmarkStart w:id="135" w:name="_Toc184312091"/>
      <w:bookmarkEnd w:id="135"/>
      <w:bookmarkStart w:id="136" w:name="_Toc184310341"/>
      <w:bookmarkEnd w:id="136"/>
      <w:bookmarkStart w:id="137" w:name="_Toc184308100"/>
      <w:bookmarkEnd w:id="137"/>
      <w:bookmarkStart w:id="138" w:name="_Toc184312102"/>
      <w:bookmarkEnd w:id="138"/>
      <w:bookmarkStart w:id="139" w:name="_Toc184313275"/>
      <w:bookmarkEnd w:id="139"/>
      <w:bookmarkStart w:id="140" w:name="_Toc184314463"/>
      <w:bookmarkEnd w:id="140"/>
      <w:bookmarkStart w:id="141" w:name="_Toc184313248"/>
      <w:bookmarkEnd w:id="141"/>
      <w:bookmarkStart w:id="142" w:name="_Toc184312138"/>
      <w:bookmarkEnd w:id="142"/>
      <w:bookmarkStart w:id="143" w:name="_Toc184313281"/>
      <w:bookmarkEnd w:id="143"/>
      <w:bookmarkStart w:id="144" w:name="_Toc184308057"/>
      <w:bookmarkEnd w:id="144"/>
      <w:bookmarkStart w:id="145" w:name="_Toc184314469"/>
      <w:bookmarkEnd w:id="145"/>
      <w:bookmarkStart w:id="146" w:name="_Toc184313287"/>
      <w:bookmarkEnd w:id="146"/>
      <w:bookmarkStart w:id="147" w:name="_Toc184308039"/>
      <w:bookmarkEnd w:id="147"/>
      <w:bookmarkStart w:id="148" w:name="_Toc184314411"/>
      <w:bookmarkEnd w:id="148"/>
      <w:bookmarkStart w:id="149" w:name="_Toc184312075"/>
      <w:bookmarkEnd w:id="149"/>
      <w:bookmarkStart w:id="150" w:name="_Toc184310310"/>
      <w:bookmarkEnd w:id="150"/>
      <w:bookmarkStart w:id="151" w:name="_Toc184310311"/>
      <w:bookmarkEnd w:id="151"/>
      <w:bookmarkStart w:id="152" w:name="_Toc184314450"/>
      <w:bookmarkEnd w:id="152"/>
      <w:bookmarkStart w:id="153" w:name="_Toc184308065"/>
      <w:bookmarkEnd w:id="153"/>
      <w:bookmarkStart w:id="154" w:name="_Toc184308041"/>
      <w:bookmarkEnd w:id="154"/>
      <w:bookmarkStart w:id="155" w:name="_Toc184308102"/>
      <w:bookmarkEnd w:id="155"/>
      <w:bookmarkStart w:id="156" w:name="_Toc184310344"/>
      <w:bookmarkEnd w:id="156"/>
      <w:bookmarkStart w:id="157" w:name="_Toc184308096"/>
      <w:bookmarkEnd w:id="157"/>
      <w:bookmarkStart w:id="158" w:name="_Toc184313284"/>
      <w:bookmarkEnd w:id="158"/>
      <w:bookmarkStart w:id="159" w:name="_Toc184310340"/>
      <w:bookmarkEnd w:id="159"/>
      <w:bookmarkStart w:id="160" w:name="_Toc184310327"/>
      <w:bookmarkEnd w:id="160"/>
      <w:bookmarkStart w:id="161" w:name="_Toc184308103"/>
      <w:bookmarkEnd w:id="161"/>
      <w:bookmarkStart w:id="162" w:name="_Toc184314430"/>
      <w:bookmarkEnd w:id="162"/>
      <w:bookmarkStart w:id="163" w:name="_Toc184312086"/>
      <w:bookmarkEnd w:id="163"/>
      <w:bookmarkStart w:id="164" w:name="_Toc184312076"/>
      <w:bookmarkEnd w:id="164"/>
      <w:bookmarkStart w:id="165" w:name="_Toc184313254"/>
      <w:bookmarkEnd w:id="165"/>
      <w:bookmarkStart w:id="166" w:name="_Toc184308108"/>
      <w:bookmarkEnd w:id="166"/>
      <w:bookmarkStart w:id="167" w:name="_Toc184308091"/>
      <w:bookmarkEnd w:id="167"/>
      <w:bookmarkStart w:id="168" w:name="_Toc184308042"/>
      <w:bookmarkEnd w:id="168"/>
      <w:bookmarkStart w:id="169" w:name="_Toc184313277"/>
      <w:bookmarkEnd w:id="169"/>
      <w:bookmarkStart w:id="170" w:name="_Toc184310299"/>
      <w:bookmarkEnd w:id="170"/>
      <w:bookmarkStart w:id="171" w:name="_Toc184312077"/>
      <w:bookmarkEnd w:id="171"/>
      <w:bookmarkStart w:id="172" w:name="_Toc184314473"/>
      <w:bookmarkEnd w:id="172"/>
      <w:bookmarkStart w:id="173" w:name="_Toc184312133"/>
      <w:bookmarkEnd w:id="173"/>
      <w:bookmarkStart w:id="174" w:name="_Toc184310306"/>
      <w:bookmarkEnd w:id="174"/>
      <w:bookmarkStart w:id="175" w:name="_Toc184308082"/>
      <w:bookmarkEnd w:id="175"/>
      <w:bookmarkStart w:id="176" w:name="_Toc184314440"/>
      <w:bookmarkEnd w:id="176"/>
      <w:bookmarkStart w:id="177" w:name="_Toc184313267"/>
      <w:bookmarkEnd w:id="177"/>
      <w:bookmarkStart w:id="178" w:name="_Toc184310319"/>
      <w:bookmarkEnd w:id="178"/>
      <w:bookmarkStart w:id="179" w:name="_Toc184310286"/>
      <w:bookmarkEnd w:id="179"/>
      <w:bookmarkStart w:id="180" w:name="_Toc184312084"/>
      <w:bookmarkEnd w:id="180"/>
      <w:bookmarkStart w:id="181" w:name="_Toc184314436"/>
      <w:bookmarkEnd w:id="181"/>
      <w:bookmarkStart w:id="182" w:name="_Toc184308046"/>
      <w:bookmarkEnd w:id="182"/>
      <w:bookmarkStart w:id="183" w:name="_Toc184310305"/>
      <w:bookmarkEnd w:id="183"/>
      <w:bookmarkStart w:id="184" w:name="_Toc184314449"/>
      <w:bookmarkEnd w:id="184"/>
      <w:bookmarkStart w:id="185" w:name="_Toc184308089"/>
      <w:bookmarkEnd w:id="185"/>
      <w:bookmarkStart w:id="186" w:name="_Toc184310326"/>
      <w:bookmarkEnd w:id="186"/>
      <w:bookmarkStart w:id="187" w:name="_Toc184308050"/>
      <w:bookmarkEnd w:id="187"/>
      <w:bookmarkStart w:id="188" w:name="_Toc184312121"/>
      <w:bookmarkEnd w:id="188"/>
      <w:bookmarkStart w:id="189" w:name="_Toc184314482"/>
      <w:bookmarkEnd w:id="189"/>
      <w:bookmarkStart w:id="190" w:name="_Toc184308062"/>
      <w:bookmarkEnd w:id="190"/>
      <w:bookmarkStart w:id="191" w:name="_Toc184312120"/>
      <w:bookmarkEnd w:id="191"/>
      <w:bookmarkStart w:id="192" w:name="_Toc184312135"/>
      <w:bookmarkEnd w:id="192"/>
      <w:bookmarkStart w:id="193" w:name="_Toc184314433"/>
      <w:bookmarkEnd w:id="193"/>
      <w:bookmarkStart w:id="194" w:name="_Toc184314470"/>
      <w:bookmarkEnd w:id="194"/>
      <w:bookmarkStart w:id="195" w:name="_Toc184314465"/>
      <w:bookmarkEnd w:id="195"/>
      <w:bookmarkStart w:id="196" w:name="_Toc184314453"/>
      <w:bookmarkEnd w:id="196"/>
      <w:bookmarkStart w:id="197" w:name="_Toc184314480"/>
      <w:bookmarkEnd w:id="197"/>
      <w:bookmarkStart w:id="198" w:name="_Toc184310342"/>
      <w:bookmarkEnd w:id="198"/>
      <w:bookmarkStart w:id="199" w:name="_Toc184310331"/>
      <w:bookmarkEnd w:id="199"/>
      <w:bookmarkStart w:id="200" w:name="_Toc184310325"/>
      <w:bookmarkEnd w:id="200"/>
      <w:bookmarkStart w:id="201" w:name="_Toc184312092"/>
      <w:bookmarkEnd w:id="201"/>
      <w:bookmarkStart w:id="202" w:name="_Toc184310323"/>
      <w:bookmarkEnd w:id="202"/>
      <w:bookmarkStart w:id="203" w:name="_Toc184312117"/>
      <w:bookmarkEnd w:id="203"/>
      <w:bookmarkStart w:id="204" w:name="_Toc184310297"/>
      <w:bookmarkEnd w:id="204"/>
      <w:bookmarkStart w:id="205" w:name="_Toc184308085"/>
      <w:bookmarkEnd w:id="205"/>
      <w:bookmarkStart w:id="206" w:name="_Toc184314419"/>
      <w:bookmarkEnd w:id="206"/>
      <w:bookmarkStart w:id="207" w:name="_Toc184314415"/>
      <w:bookmarkEnd w:id="207"/>
      <w:bookmarkStart w:id="208" w:name="_Toc184310278"/>
      <w:bookmarkEnd w:id="208"/>
      <w:bookmarkStart w:id="209" w:name="_Toc184308059"/>
      <w:bookmarkEnd w:id="209"/>
      <w:bookmarkStart w:id="210" w:name="_Toc184310287"/>
      <w:bookmarkEnd w:id="210"/>
      <w:bookmarkStart w:id="211" w:name="_Toc184312088"/>
      <w:bookmarkEnd w:id="211"/>
      <w:bookmarkStart w:id="212" w:name="_Toc184308061"/>
      <w:bookmarkEnd w:id="212"/>
      <w:bookmarkStart w:id="213" w:name="_Toc184314435"/>
      <w:bookmarkEnd w:id="213"/>
      <w:bookmarkStart w:id="214" w:name="_Toc184308064"/>
      <w:bookmarkEnd w:id="214"/>
      <w:bookmarkStart w:id="215" w:name="_Toc184312079"/>
      <w:bookmarkEnd w:id="215"/>
      <w:bookmarkStart w:id="216" w:name="_Toc184314468"/>
      <w:bookmarkEnd w:id="216"/>
      <w:bookmarkStart w:id="217" w:name="_Toc184312097"/>
      <w:bookmarkEnd w:id="217"/>
      <w:bookmarkStart w:id="218" w:name="_Toc184312111"/>
      <w:bookmarkEnd w:id="218"/>
      <w:bookmarkStart w:id="219" w:name="_Toc184314466"/>
      <w:bookmarkEnd w:id="219"/>
      <w:bookmarkStart w:id="220" w:name="_Toc184310338"/>
      <w:bookmarkEnd w:id="220"/>
      <w:bookmarkStart w:id="221" w:name="_Toc184314412"/>
      <w:bookmarkEnd w:id="221"/>
      <w:bookmarkStart w:id="222" w:name="_Toc184310285"/>
      <w:bookmarkEnd w:id="222"/>
      <w:bookmarkStart w:id="223" w:name="_Toc184308055"/>
      <w:bookmarkEnd w:id="223"/>
      <w:bookmarkStart w:id="224" w:name="_Toc184314414"/>
      <w:bookmarkEnd w:id="224"/>
      <w:bookmarkStart w:id="225" w:name="_Toc184310294"/>
      <w:bookmarkEnd w:id="225"/>
      <w:bookmarkStart w:id="226" w:name="_Toc184314455"/>
      <w:bookmarkEnd w:id="226"/>
      <w:bookmarkStart w:id="227" w:name="_Toc184313297"/>
      <w:bookmarkEnd w:id="227"/>
      <w:bookmarkStart w:id="228" w:name="_Toc184312122"/>
      <w:bookmarkEnd w:id="228"/>
      <w:bookmarkStart w:id="229" w:name="_Toc184308078"/>
      <w:bookmarkEnd w:id="229"/>
      <w:bookmarkStart w:id="230" w:name="_Toc184310309"/>
      <w:bookmarkEnd w:id="230"/>
      <w:bookmarkStart w:id="231" w:name="_Toc184314475"/>
      <w:bookmarkEnd w:id="231"/>
      <w:bookmarkStart w:id="232" w:name="_Toc184313310"/>
      <w:bookmarkEnd w:id="232"/>
      <w:bookmarkStart w:id="233" w:name="_Toc184308087"/>
      <w:bookmarkEnd w:id="233"/>
      <w:bookmarkStart w:id="234" w:name="_Toc184308093"/>
      <w:bookmarkEnd w:id="234"/>
      <w:bookmarkStart w:id="235" w:name="_Toc184313245"/>
      <w:bookmarkEnd w:id="235"/>
      <w:bookmarkStart w:id="236" w:name="_Toc184308043"/>
      <w:bookmarkEnd w:id="236"/>
      <w:bookmarkStart w:id="237" w:name="_Toc184313241"/>
      <w:bookmarkEnd w:id="237"/>
      <w:bookmarkStart w:id="238" w:name="_Toc184313282"/>
      <w:bookmarkEnd w:id="238"/>
      <w:bookmarkStart w:id="239" w:name="_Toc184312068"/>
      <w:bookmarkEnd w:id="239"/>
      <w:bookmarkStart w:id="240" w:name="_Toc184308053"/>
      <w:bookmarkEnd w:id="240"/>
      <w:bookmarkStart w:id="241" w:name="_Toc184308068"/>
      <w:bookmarkEnd w:id="241"/>
      <w:bookmarkStart w:id="242" w:name="_Toc184313276"/>
      <w:bookmarkEnd w:id="242"/>
      <w:bookmarkStart w:id="243" w:name="_Toc184310281"/>
      <w:bookmarkEnd w:id="243"/>
      <w:bookmarkStart w:id="244" w:name="_Toc184313268"/>
      <w:bookmarkEnd w:id="244"/>
      <w:bookmarkStart w:id="245" w:name="_Toc184310335"/>
      <w:bookmarkEnd w:id="245"/>
      <w:bookmarkStart w:id="246" w:name="_Toc184313265"/>
      <w:bookmarkEnd w:id="246"/>
      <w:bookmarkStart w:id="247" w:name="_Toc184313305"/>
      <w:bookmarkEnd w:id="247"/>
      <w:bookmarkStart w:id="248" w:name="_Toc184313278"/>
      <w:bookmarkEnd w:id="248"/>
      <w:bookmarkStart w:id="249" w:name="_Toc184313249"/>
      <w:bookmarkEnd w:id="249"/>
      <w:bookmarkStart w:id="250" w:name="_Toc184314446"/>
      <w:bookmarkEnd w:id="250"/>
      <w:bookmarkStart w:id="251" w:name="_Toc184312132"/>
      <w:bookmarkEnd w:id="251"/>
      <w:bookmarkStart w:id="252" w:name="_Toc184313261"/>
      <w:bookmarkEnd w:id="252"/>
      <w:bookmarkStart w:id="253" w:name="_Toc184314427"/>
      <w:bookmarkEnd w:id="253"/>
      <w:bookmarkStart w:id="254" w:name="_Toc184313259"/>
      <w:bookmarkEnd w:id="254"/>
      <w:bookmarkStart w:id="255" w:name="_Toc184310321"/>
      <w:bookmarkEnd w:id="255"/>
      <w:bookmarkStart w:id="256" w:name="_Toc184314437"/>
      <w:bookmarkEnd w:id="256"/>
      <w:bookmarkStart w:id="257" w:name="_Toc184314472"/>
      <w:bookmarkEnd w:id="257"/>
      <w:bookmarkStart w:id="258" w:name="_Toc184312080"/>
      <w:bookmarkEnd w:id="258"/>
      <w:bookmarkStart w:id="259" w:name="_Toc184313271"/>
      <w:bookmarkEnd w:id="259"/>
      <w:bookmarkStart w:id="260" w:name="_Toc184313279"/>
      <w:bookmarkEnd w:id="260"/>
      <w:bookmarkStart w:id="261" w:name="_Toc184308075"/>
      <w:bookmarkEnd w:id="261"/>
      <w:bookmarkStart w:id="262" w:name="_Toc184308037"/>
      <w:bookmarkEnd w:id="262"/>
      <w:bookmarkStart w:id="263" w:name="_Toc184312128"/>
      <w:bookmarkEnd w:id="263"/>
      <w:bookmarkStart w:id="264" w:name="_Toc184310272"/>
      <w:bookmarkEnd w:id="264"/>
      <w:bookmarkStart w:id="265" w:name="_Toc184310322"/>
      <w:bookmarkEnd w:id="265"/>
      <w:bookmarkStart w:id="266" w:name="_Toc184312094"/>
      <w:bookmarkEnd w:id="266"/>
      <w:bookmarkStart w:id="267" w:name="_Toc184314460"/>
      <w:bookmarkEnd w:id="267"/>
      <w:bookmarkStart w:id="268" w:name="_Toc184313255"/>
      <w:bookmarkEnd w:id="268"/>
      <w:bookmarkStart w:id="269" w:name="_Toc184308071"/>
      <w:bookmarkEnd w:id="269"/>
      <w:bookmarkStart w:id="270" w:name="_Toc184314462"/>
      <w:bookmarkEnd w:id="270"/>
      <w:bookmarkStart w:id="271" w:name="_Toc184313251"/>
      <w:bookmarkEnd w:id="271"/>
      <w:bookmarkStart w:id="272" w:name="_Toc184308083"/>
      <w:bookmarkEnd w:id="272"/>
      <w:bookmarkStart w:id="273" w:name="_Toc184313260"/>
      <w:bookmarkEnd w:id="273"/>
      <w:bookmarkStart w:id="274" w:name="_Toc184312114"/>
      <w:bookmarkEnd w:id="274"/>
      <w:bookmarkStart w:id="275" w:name="_Toc184313300"/>
      <w:bookmarkEnd w:id="275"/>
      <w:bookmarkStart w:id="276" w:name="_Toc184308067"/>
      <w:bookmarkEnd w:id="276"/>
      <w:bookmarkStart w:id="277" w:name="_Toc184313243"/>
      <w:bookmarkEnd w:id="277"/>
      <w:bookmarkStart w:id="278" w:name="_Toc184313293"/>
      <w:bookmarkEnd w:id="278"/>
      <w:bookmarkStart w:id="279" w:name="_Toc184308088"/>
      <w:bookmarkEnd w:id="279"/>
      <w:bookmarkStart w:id="280" w:name="_Toc184308104"/>
      <w:bookmarkEnd w:id="280"/>
      <w:bookmarkStart w:id="281" w:name="_Toc184312136"/>
      <w:bookmarkEnd w:id="281"/>
      <w:bookmarkStart w:id="282" w:name="_Toc184313302"/>
      <w:bookmarkEnd w:id="282"/>
      <w:bookmarkStart w:id="283" w:name="_Toc184308049"/>
      <w:bookmarkEnd w:id="283"/>
      <w:bookmarkStart w:id="284" w:name="_Toc184312087"/>
      <w:bookmarkEnd w:id="284"/>
      <w:bookmarkStart w:id="285" w:name="_Toc184312112"/>
      <w:bookmarkEnd w:id="285"/>
      <w:bookmarkStart w:id="286" w:name="_Toc184312125"/>
      <w:bookmarkEnd w:id="286"/>
      <w:bookmarkStart w:id="287" w:name="_Toc184314425"/>
      <w:bookmarkEnd w:id="287"/>
      <w:bookmarkStart w:id="288" w:name="_Toc184313307"/>
      <w:bookmarkEnd w:id="288"/>
      <w:bookmarkStart w:id="289" w:name="_Toc184314424"/>
      <w:bookmarkEnd w:id="289"/>
      <w:bookmarkStart w:id="290" w:name="_Toc184312106"/>
      <w:bookmarkEnd w:id="290"/>
      <w:bookmarkStart w:id="291" w:name="_Toc184308105"/>
      <w:bookmarkEnd w:id="291"/>
      <w:bookmarkStart w:id="292" w:name="_Toc184313240"/>
      <w:bookmarkEnd w:id="292"/>
      <w:bookmarkStart w:id="293" w:name="_Toc184314481"/>
      <w:bookmarkEnd w:id="293"/>
      <w:bookmarkStart w:id="294" w:name="_Toc184312130"/>
      <w:bookmarkEnd w:id="294"/>
      <w:bookmarkStart w:id="295" w:name="_Toc184314426"/>
      <w:bookmarkEnd w:id="295"/>
      <w:bookmarkStart w:id="296" w:name="_Toc184314467"/>
      <w:bookmarkEnd w:id="296"/>
      <w:bookmarkStart w:id="297" w:name="_Toc184310308"/>
      <w:bookmarkEnd w:id="297"/>
      <w:bookmarkStart w:id="298" w:name="_Toc184314476"/>
      <w:bookmarkEnd w:id="298"/>
      <w:bookmarkStart w:id="299" w:name="_Toc184312109"/>
      <w:bookmarkEnd w:id="299"/>
      <w:bookmarkStart w:id="300" w:name="_Toc184310337"/>
      <w:bookmarkEnd w:id="300"/>
      <w:bookmarkStart w:id="301" w:name="_Toc184312082"/>
      <w:bookmarkEnd w:id="301"/>
      <w:bookmarkStart w:id="302" w:name="_Toc184314452"/>
      <w:bookmarkEnd w:id="302"/>
      <w:bookmarkStart w:id="303" w:name="_Toc184314434"/>
      <w:bookmarkEnd w:id="303"/>
      <w:bookmarkStart w:id="304" w:name="_Toc184308038"/>
      <w:bookmarkEnd w:id="304"/>
      <w:bookmarkStart w:id="305" w:name="_Toc184308077"/>
      <w:bookmarkEnd w:id="305"/>
      <w:bookmarkStart w:id="306" w:name="_Toc184308084"/>
      <w:bookmarkEnd w:id="306"/>
      <w:bookmarkStart w:id="307" w:name="_Toc184312119"/>
      <w:bookmarkEnd w:id="307"/>
      <w:bookmarkStart w:id="308" w:name="_Toc184313301"/>
      <w:bookmarkEnd w:id="308"/>
      <w:bookmarkStart w:id="309" w:name="_Toc184310288"/>
      <w:bookmarkEnd w:id="309"/>
      <w:bookmarkStart w:id="310" w:name="_Toc184308036"/>
      <w:bookmarkEnd w:id="310"/>
      <w:bookmarkStart w:id="311" w:name="_Toc184308099"/>
      <w:bookmarkEnd w:id="311"/>
      <w:bookmarkStart w:id="312" w:name="_Toc184308073"/>
      <w:bookmarkEnd w:id="312"/>
      <w:bookmarkStart w:id="313" w:name="_Toc184312131"/>
      <w:bookmarkEnd w:id="313"/>
      <w:bookmarkStart w:id="314" w:name="_Toc184308080"/>
      <w:bookmarkEnd w:id="314"/>
      <w:bookmarkStart w:id="315" w:name="_Toc184308072"/>
      <w:bookmarkEnd w:id="315"/>
      <w:bookmarkStart w:id="316" w:name="_Toc184308074"/>
      <w:bookmarkEnd w:id="316"/>
      <w:bookmarkStart w:id="317" w:name="_Toc184314459"/>
      <w:bookmarkEnd w:id="317"/>
      <w:bookmarkStart w:id="318" w:name="_Toc184313264"/>
      <w:bookmarkEnd w:id="318"/>
      <w:bookmarkStart w:id="319" w:name="_Toc184308107"/>
      <w:bookmarkEnd w:id="319"/>
      <w:bookmarkStart w:id="320" w:name="_Toc184312103"/>
      <w:bookmarkEnd w:id="320"/>
      <w:bookmarkStart w:id="321" w:name="_Toc184308090"/>
      <w:bookmarkEnd w:id="321"/>
      <w:bookmarkStart w:id="322" w:name="_Toc184310291"/>
      <w:bookmarkEnd w:id="322"/>
      <w:bookmarkStart w:id="323" w:name="_Toc184312110"/>
      <w:bookmarkEnd w:id="323"/>
      <w:bookmarkStart w:id="324" w:name="_Toc184314471"/>
      <w:bookmarkEnd w:id="324"/>
      <w:bookmarkStart w:id="325" w:name="_Toc184312124"/>
      <w:bookmarkEnd w:id="325"/>
      <w:bookmarkStart w:id="326" w:name="_Toc184313273"/>
      <w:bookmarkEnd w:id="326"/>
      <w:bookmarkStart w:id="327" w:name="_Toc184312072"/>
      <w:bookmarkEnd w:id="327"/>
      <w:bookmarkStart w:id="328" w:name="_Toc184308060"/>
      <w:bookmarkEnd w:id="328"/>
      <w:bookmarkStart w:id="329" w:name="_Toc184314443"/>
      <w:bookmarkEnd w:id="329"/>
      <w:bookmarkStart w:id="330" w:name="_Toc184312116"/>
      <w:bookmarkEnd w:id="330"/>
      <w:bookmarkStart w:id="331" w:name="_Toc184310315"/>
      <w:bookmarkEnd w:id="331"/>
      <w:bookmarkStart w:id="332" w:name="_Toc184308058"/>
      <w:bookmarkEnd w:id="332"/>
      <w:bookmarkStart w:id="333" w:name="_Toc184308079"/>
      <w:bookmarkEnd w:id="333"/>
      <w:bookmarkStart w:id="334" w:name="_Toc184313296"/>
      <w:bookmarkEnd w:id="334"/>
      <w:bookmarkStart w:id="335" w:name="_Toc184312137"/>
      <w:bookmarkEnd w:id="335"/>
      <w:bookmarkStart w:id="336" w:name="_Toc184308052"/>
      <w:bookmarkEnd w:id="336"/>
      <w:bookmarkStart w:id="337" w:name="_Toc184310302"/>
      <w:bookmarkEnd w:id="337"/>
      <w:bookmarkStart w:id="338" w:name="_Toc184308069"/>
      <w:bookmarkEnd w:id="338"/>
      <w:bookmarkStart w:id="339" w:name="_Toc184308070"/>
      <w:bookmarkEnd w:id="339"/>
      <w:bookmarkStart w:id="340" w:name="_Toc184313285"/>
      <w:bookmarkEnd w:id="340"/>
      <w:bookmarkStart w:id="341" w:name="_Toc184313262"/>
      <w:bookmarkEnd w:id="341"/>
      <w:bookmarkStart w:id="342" w:name="_Toc184310290"/>
      <w:bookmarkEnd w:id="342"/>
      <w:bookmarkStart w:id="343" w:name="_Toc184314479"/>
      <w:bookmarkEnd w:id="343"/>
      <w:bookmarkStart w:id="344" w:name="_Toc184310339"/>
      <w:bookmarkEnd w:id="344"/>
      <w:bookmarkStart w:id="345" w:name="_Toc184308047"/>
      <w:bookmarkEnd w:id="345"/>
      <w:bookmarkStart w:id="346" w:name="_Toc184312126"/>
      <w:bookmarkEnd w:id="346"/>
      <w:bookmarkStart w:id="347" w:name="_Toc184312090"/>
      <w:bookmarkEnd w:id="347"/>
      <w:bookmarkStart w:id="348" w:name="_Toc184308051"/>
      <w:bookmarkEnd w:id="348"/>
      <w:bookmarkStart w:id="349" w:name="_Toc184314423"/>
      <w:bookmarkEnd w:id="349"/>
      <w:bookmarkStart w:id="350" w:name="_Toc184314417"/>
      <w:bookmarkEnd w:id="350"/>
      <w:bookmarkStart w:id="351" w:name="_Toc184312067"/>
      <w:bookmarkEnd w:id="351"/>
      <w:bookmarkStart w:id="352" w:name="_Toc184312098"/>
      <w:bookmarkEnd w:id="352"/>
      <w:bookmarkStart w:id="353" w:name="_Toc184310336"/>
      <w:bookmarkEnd w:id="353"/>
      <w:bookmarkStart w:id="354" w:name="_Toc184310293"/>
      <w:bookmarkEnd w:id="354"/>
      <w:bookmarkStart w:id="355" w:name="_Toc184313298"/>
      <w:bookmarkEnd w:id="355"/>
      <w:bookmarkStart w:id="356" w:name="_Toc184312083"/>
      <w:bookmarkEnd w:id="356"/>
      <w:bookmarkStart w:id="357" w:name="_Toc184314464"/>
      <w:bookmarkEnd w:id="357"/>
      <w:bookmarkStart w:id="358" w:name="_Toc184310304"/>
      <w:bookmarkEnd w:id="358"/>
      <w:bookmarkStart w:id="359" w:name="_Toc184308054"/>
      <w:bookmarkEnd w:id="359"/>
      <w:bookmarkStart w:id="360" w:name="_Toc184310280"/>
      <w:bookmarkEnd w:id="360"/>
      <w:bookmarkStart w:id="361" w:name="_Toc184313288"/>
      <w:bookmarkEnd w:id="361"/>
      <w:bookmarkStart w:id="362" w:name="_Toc184313292"/>
      <w:bookmarkEnd w:id="362"/>
      <w:bookmarkStart w:id="363" w:name="_Toc184310289"/>
      <w:bookmarkEnd w:id="363"/>
      <w:bookmarkStart w:id="364" w:name="_Toc184314416"/>
      <w:bookmarkEnd w:id="364"/>
      <w:bookmarkStart w:id="365" w:name="_Toc184310307"/>
      <w:bookmarkEnd w:id="365"/>
      <w:bookmarkStart w:id="366" w:name="_Toc184314413"/>
      <w:bookmarkEnd w:id="366"/>
      <w:bookmarkStart w:id="367" w:name="_Toc184308045"/>
      <w:bookmarkEnd w:id="367"/>
      <w:bookmarkStart w:id="368" w:name="_Toc184308063"/>
      <w:bookmarkEnd w:id="368"/>
      <w:bookmarkStart w:id="369" w:name="_Toc184310320"/>
      <w:bookmarkEnd w:id="369"/>
      <w:bookmarkStart w:id="370" w:name="_Toc184313253"/>
      <w:bookmarkEnd w:id="370"/>
      <w:bookmarkStart w:id="371" w:name="_Toc184312100"/>
      <w:bookmarkEnd w:id="371"/>
      <w:bookmarkStart w:id="372" w:name="_Toc184314454"/>
      <w:bookmarkEnd w:id="372"/>
      <w:bookmarkStart w:id="373" w:name="_Toc184310298"/>
      <w:bookmarkEnd w:id="373"/>
      <w:bookmarkStart w:id="374" w:name="_Toc184312123"/>
      <w:bookmarkEnd w:id="374"/>
      <w:bookmarkStart w:id="375" w:name="_Toc184310332"/>
      <w:bookmarkEnd w:id="375"/>
      <w:bookmarkStart w:id="376" w:name="_Toc184310313"/>
      <w:bookmarkEnd w:id="376"/>
      <w:bookmarkStart w:id="377" w:name="_Toc184313269"/>
      <w:bookmarkEnd w:id="377"/>
      <w:bookmarkStart w:id="378" w:name="_Toc184314448"/>
      <w:bookmarkEnd w:id="378"/>
      <w:bookmarkStart w:id="379" w:name="_Toc184313247"/>
      <w:bookmarkEnd w:id="379"/>
      <w:bookmarkStart w:id="380" w:name="_Toc184310343"/>
      <w:bookmarkEnd w:id="380"/>
      <w:bookmarkStart w:id="381" w:name="_Toc184310330"/>
      <w:bookmarkEnd w:id="381"/>
      <w:bookmarkStart w:id="382" w:name="_Toc184313242"/>
      <w:bookmarkEnd w:id="382"/>
      <w:bookmarkStart w:id="383" w:name="_Toc184308048"/>
      <w:bookmarkEnd w:id="383"/>
      <w:bookmarkStart w:id="384" w:name="_Toc184314410"/>
      <w:bookmarkEnd w:id="384"/>
      <w:bookmarkStart w:id="385" w:name="_Toc184314451"/>
      <w:bookmarkEnd w:id="385"/>
      <w:bookmarkStart w:id="386" w:name="_Toc184312096"/>
      <w:bookmarkEnd w:id="386"/>
      <w:bookmarkStart w:id="387" w:name="_Toc184310276"/>
      <w:bookmarkEnd w:id="387"/>
      <w:bookmarkStart w:id="388" w:name="_Toc184308098"/>
      <w:bookmarkEnd w:id="388"/>
      <w:bookmarkStart w:id="389" w:name="_Toc184308056"/>
      <w:bookmarkEnd w:id="389"/>
      <w:bookmarkStart w:id="390" w:name="_Toc184312113"/>
      <w:bookmarkEnd w:id="390"/>
      <w:bookmarkStart w:id="391" w:name="_Toc184314477"/>
      <w:bookmarkEnd w:id="391"/>
      <w:bookmarkStart w:id="392" w:name="_Toc184310317"/>
      <w:bookmarkEnd w:id="392"/>
      <w:bookmarkStart w:id="393" w:name="_Toc184314438"/>
      <w:bookmarkEnd w:id="393"/>
      <w:bookmarkStart w:id="394" w:name="_Toc184313286"/>
      <w:bookmarkEnd w:id="394"/>
      <w:bookmarkStart w:id="395" w:name="_Toc184312071"/>
      <w:bookmarkEnd w:id="395"/>
      <w:bookmarkStart w:id="396" w:name="_Toc184313299"/>
      <w:bookmarkEnd w:id="396"/>
      <w:r>
        <w:rPr>
          <w:rFonts w:hint="eastAsia"/>
        </w:rPr>
        <w:t>评标办法</w:t>
      </w:r>
    </w:p>
    <w:p>
      <w:pPr>
        <w:snapToGrid w:val="0"/>
        <w:spacing w:before="240" w:beforeLines="100" w:line="320" w:lineRule="exact"/>
        <w:jc w:val="center"/>
        <w:outlineLvl w:val="1"/>
        <w:rPr>
          <w:rFonts w:ascii="仿宋" w:hAnsi="仿宋" w:eastAsia="仿宋" w:cs="宋体"/>
          <w:b/>
          <w:sz w:val="32"/>
          <w:szCs w:val="32"/>
        </w:rPr>
      </w:pPr>
      <w:r>
        <w:rPr>
          <w:rFonts w:hint="eastAsia" w:ascii="仿宋" w:hAnsi="仿宋" w:eastAsia="仿宋" w:cs="宋体"/>
          <w:b/>
          <w:sz w:val="32"/>
          <w:szCs w:val="32"/>
        </w:rPr>
        <w:t>评标办法前附表</w:t>
      </w:r>
    </w:p>
    <w:tbl>
      <w:tblPr>
        <w:tblStyle w:val="6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98"/>
        <w:gridCol w:w="540"/>
        <w:gridCol w:w="78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562" w:type="dxa"/>
            <w:vAlign w:val="center"/>
          </w:tcPr>
          <w:p>
            <w:pPr>
              <w:snapToGrid w:val="0"/>
              <w:spacing w:before="120" w:beforeLines="50" w:after="120" w:afterLines="50"/>
              <w:jc w:val="center"/>
              <w:rPr>
                <w:rFonts w:ascii="仿宋" w:hAnsi="仿宋" w:eastAsia="仿宋" w:cs="仿宋_GB2312"/>
                <w:b/>
                <w:bCs/>
                <w:sz w:val="24"/>
              </w:rPr>
            </w:pPr>
            <w:r>
              <w:rPr>
                <w:rFonts w:hint="eastAsia" w:ascii="仿宋" w:hAnsi="仿宋" w:eastAsia="仿宋" w:cs="仿宋_GB2312"/>
                <w:b/>
                <w:bCs/>
                <w:sz w:val="24"/>
              </w:rPr>
              <w:t>序号</w:t>
            </w:r>
          </w:p>
        </w:tc>
        <w:tc>
          <w:tcPr>
            <w:tcW w:w="6598" w:type="dxa"/>
            <w:vAlign w:val="center"/>
          </w:tcPr>
          <w:p>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评标标准</w:t>
            </w:r>
          </w:p>
        </w:tc>
        <w:tc>
          <w:tcPr>
            <w:tcW w:w="540" w:type="dxa"/>
            <w:vAlign w:val="center"/>
          </w:tcPr>
          <w:p>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权重</w:t>
            </w:r>
          </w:p>
        </w:tc>
        <w:tc>
          <w:tcPr>
            <w:tcW w:w="780" w:type="dxa"/>
            <w:vAlign w:val="center"/>
          </w:tcPr>
          <w:p>
            <w:pPr>
              <w:snapToGrid w:val="0"/>
              <w:spacing w:before="120" w:beforeLines="50" w:after="120" w:afterLines="50"/>
              <w:jc w:val="center"/>
              <w:rPr>
                <w:rFonts w:ascii="仿宋" w:hAnsi="仿宋" w:eastAsia="仿宋" w:cs="仿宋_GB2312"/>
                <w:b/>
                <w:bCs/>
                <w:sz w:val="24"/>
              </w:rPr>
            </w:pPr>
            <w:r>
              <w:rPr>
                <w:rFonts w:hint="eastAsia" w:ascii="仿宋" w:hAnsi="仿宋" w:eastAsia="仿宋" w:cs="仿宋_GB2312"/>
                <w:b/>
                <w:bCs/>
                <w:sz w:val="24"/>
              </w:rPr>
              <w:t>主观分/客观分属性</w:t>
            </w:r>
          </w:p>
        </w:tc>
        <w:tc>
          <w:tcPr>
            <w:tcW w:w="704" w:type="dxa"/>
            <w:vAlign w:val="center"/>
          </w:tcPr>
          <w:p>
            <w:pPr>
              <w:snapToGrid w:val="0"/>
              <w:spacing w:before="120" w:beforeLines="50" w:after="120" w:afterLines="50"/>
              <w:jc w:val="center"/>
              <w:rPr>
                <w:rFonts w:ascii="仿宋" w:hAnsi="仿宋" w:eastAsia="仿宋" w:cs="仿宋_GB2312"/>
                <w:b/>
                <w:bCs/>
                <w:szCs w:val="21"/>
              </w:rPr>
            </w:pPr>
            <w:r>
              <w:rPr>
                <w:rFonts w:hint="eastAsia" w:ascii="仿宋" w:hAnsi="仿宋" w:eastAsia="仿宋" w:cs="仿宋_GB2312"/>
                <w:b/>
                <w:bCs/>
                <w:sz w:val="16"/>
                <w:szCs w:val="16"/>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sz w:val="24"/>
              </w:rPr>
            </w:pPr>
            <w:r>
              <w:rPr>
                <w:rFonts w:ascii="仿宋" w:hAnsi="仿宋" w:eastAsia="仿宋" w:cs="仿宋_GB2312"/>
              </w:rPr>
              <w:t>1</w:t>
            </w:r>
          </w:p>
        </w:tc>
        <w:tc>
          <w:tcPr>
            <w:tcW w:w="6598" w:type="dxa"/>
            <w:vAlign w:val="center"/>
          </w:tcPr>
          <w:p>
            <w:pPr>
              <w:pStyle w:val="132"/>
              <w:spacing w:before="0" w:line="240" w:lineRule="auto"/>
              <w:ind w:firstLine="0" w:firstLineChars="0"/>
              <w:jc w:val="left"/>
              <w:rPr>
                <w:rFonts w:ascii="仿宋" w:hAnsi="仿宋" w:eastAsia="仿宋" w:cs="仿宋"/>
                <w:bCs/>
                <w:color w:val="auto"/>
                <w:sz w:val="21"/>
                <w:szCs w:val="21"/>
              </w:rPr>
            </w:pPr>
            <w:r>
              <w:rPr>
                <w:rFonts w:hint="eastAsia" w:ascii="仿宋" w:hAnsi="仿宋" w:eastAsia="仿宋" w:cs="仿宋"/>
                <w:bCs/>
                <w:color w:val="auto"/>
                <w:sz w:val="21"/>
                <w:szCs w:val="21"/>
              </w:rPr>
              <w:t>供应商自2021年01月01日（以合同签订日期为准）以来已完成的同类项目业绩，每个有效业绩得1分，本项最高得3分。</w:t>
            </w:r>
          </w:p>
          <w:p>
            <w:pPr>
              <w:pStyle w:val="132"/>
              <w:spacing w:before="0" w:line="240" w:lineRule="auto"/>
              <w:ind w:firstLine="0" w:firstLineChars="0"/>
              <w:jc w:val="left"/>
              <w:rPr>
                <w:rFonts w:ascii="仿宋" w:hAnsi="仿宋" w:eastAsia="仿宋" w:cs="Arial"/>
                <w:bCs/>
                <w:color w:val="auto"/>
                <w:sz w:val="21"/>
                <w:szCs w:val="21"/>
              </w:rPr>
            </w:pPr>
            <w:r>
              <w:rPr>
                <w:rFonts w:hint="eastAsia" w:ascii="仿宋" w:hAnsi="仿宋" w:eastAsia="仿宋" w:cs="仿宋"/>
                <w:bCs/>
                <w:color w:val="auto"/>
                <w:sz w:val="21"/>
                <w:szCs w:val="21"/>
              </w:rPr>
              <w:t>证明材料：合同及项目验收报告复印件，并加盖</w:t>
            </w:r>
            <w:r>
              <w:rPr>
                <w:rFonts w:hint="eastAsia" w:ascii="仿宋" w:hAnsi="仿宋" w:eastAsia="仿宋" w:cs="仿宋"/>
                <w:bCs/>
                <w:color w:val="auto"/>
                <w:sz w:val="21"/>
                <w:szCs w:val="21"/>
                <w:lang w:val="en-US" w:eastAsia="zh-CN"/>
              </w:rPr>
              <w:t>供应商</w:t>
            </w:r>
            <w:r>
              <w:rPr>
                <w:rFonts w:hint="eastAsia" w:ascii="仿宋" w:hAnsi="仿宋" w:eastAsia="仿宋" w:cs="仿宋"/>
                <w:bCs/>
                <w:color w:val="auto"/>
                <w:sz w:val="21"/>
                <w:szCs w:val="21"/>
              </w:rPr>
              <w:t>公章，否则不得分。</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rPr>
              <w:t>3</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客观分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ascii="仿宋" w:hAnsi="仿宋" w:eastAsia="仿宋" w:cs="仿宋_GB2312"/>
              </w:rPr>
              <w:t>2</w:t>
            </w:r>
          </w:p>
        </w:tc>
        <w:tc>
          <w:tcPr>
            <w:tcW w:w="6598" w:type="dxa"/>
            <w:vAlign w:val="center"/>
          </w:tcPr>
          <w:p>
            <w:pPr>
              <w:pStyle w:val="132"/>
              <w:spacing w:before="0" w:line="240" w:lineRule="auto"/>
              <w:ind w:firstLine="0" w:firstLineChars="0"/>
              <w:jc w:val="left"/>
              <w:rPr>
                <w:rFonts w:ascii="仿宋" w:hAnsi="仿宋" w:eastAsia="仿宋" w:cs="仿宋"/>
                <w:bCs/>
                <w:color w:val="auto"/>
                <w:sz w:val="21"/>
                <w:szCs w:val="21"/>
              </w:rPr>
            </w:pPr>
            <w:r>
              <w:rPr>
                <w:rFonts w:hint="eastAsia" w:ascii="仿宋" w:hAnsi="仿宋" w:eastAsia="仿宋" w:cs="仿宋"/>
                <w:bCs/>
                <w:color w:val="auto"/>
                <w:sz w:val="21"/>
                <w:szCs w:val="21"/>
              </w:rPr>
              <w:t>供应商具有有效的质量管理体系认证、环境管理体系认证、职业健康安全管理体系认证证书的，每个得1分，本项最高得3分。</w:t>
            </w:r>
          </w:p>
          <w:p>
            <w:pPr>
              <w:pStyle w:val="132"/>
              <w:spacing w:before="0" w:line="240" w:lineRule="auto"/>
              <w:ind w:firstLine="0" w:firstLineChars="0"/>
              <w:jc w:val="left"/>
              <w:rPr>
                <w:rFonts w:ascii="仿宋" w:hAnsi="仿宋" w:eastAsia="仿宋" w:cs="仿宋"/>
                <w:bCs/>
                <w:color w:val="auto"/>
                <w:sz w:val="21"/>
                <w:szCs w:val="21"/>
              </w:rPr>
            </w:pPr>
            <w:r>
              <w:rPr>
                <w:rFonts w:hint="eastAsia" w:ascii="仿宋" w:hAnsi="仿宋" w:eastAsia="仿宋" w:cs="仿宋"/>
                <w:bCs/>
                <w:color w:val="auto"/>
                <w:sz w:val="21"/>
                <w:szCs w:val="21"/>
              </w:rPr>
              <w:t>证明材料：相关认证证书</w:t>
            </w:r>
            <w:r>
              <w:rPr>
                <w:rFonts w:hint="eastAsia" w:ascii="仿宋" w:hAnsi="仿宋" w:eastAsia="仿宋" w:cs="仿宋"/>
                <w:bCs/>
                <w:color w:val="auto"/>
                <w:sz w:val="21"/>
                <w:szCs w:val="21"/>
                <w:lang w:val="en-US" w:eastAsia="zh-CN"/>
              </w:rPr>
              <w:t>复印件</w:t>
            </w:r>
            <w:r>
              <w:rPr>
                <w:rFonts w:hint="eastAsia" w:ascii="仿宋" w:hAnsi="仿宋" w:eastAsia="仿宋" w:cs="仿宋"/>
                <w:bCs/>
                <w:color w:val="auto"/>
                <w:sz w:val="21"/>
                <w:szCs w:val="21"/>
              </w:rPr>
              <w:t>、国家认监委查询链接及截图</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US" w:eastAsia="zh-CN"/>
              </w:rPr>
              <w:t>以上材料</w:t>
            </w:r>
            <w:r>
              <w:rPr>
                <w:rFonts w:hint="eastAsia" w:ascii="仿宋" w:hAnsi="仿宋" w:eastAsia="仿宋" w:cs="仿宋"/>
                <w:bCs/>
                <w:color w:val="auto"/>
                <w:sz w:val="21"/>
                <w:szCs w:val="21"/>
              </w:rPr>
              <w:t>加盖</w:t>
            </w:r>
            <w:r>
              <w:rPr>
                <w:rFonts w:hint="eastAsia" w:ascii="仿宋" w:hAnsi="仿宋" w:eastAsia="仿宋" w:cs="仿宋"/>
                <w:bCs/>
                <w:color w:val="auto"/>
                <w:sz w:val="21"/>
                <w:szCs w:val="21"/>
                <w:lang w:val="en-US" w:eastAsia="zh-CN"/>
              </w:rPr>
              <w:t>供应商</w:t>
            </w:r>
            <w:r>
              <w:rPr>
                <w:rFonts w:hint="eastAsia" w:ascii="仿宋" w:hAnsi="仿宋" w:eastAsia="仿宋" w:cs="仿宋"/>
                <w:bCs/>
                <w:color w:val="auto"/>
                <w:sz w:val="21"/>
                <w:szCs w:val="21"/>
              </w:rPr>
              <w:t>公章，否则不得分。</w:t>
            </w:r>
          </w:p>
        </w:tc>
        <w:tc>
          <w:tcPr>
            <w:tcW w:w="540" w:type="dxa"/>
            <w:vAlign w:val="center"/>
          </w:tcPr>
          <w:p>
            <w:pPr>
              <w:snapToGrid w:val="0"/>
              <w:jc w:val="center"/>
              <w:rPr>
                <w:rFonts w:ascii="仿宋" w:hAnsi="仿宋" w:eastAsia="仿宋" w:cs="仿宋_GB2312"/>
              </w:rPr>
            </w:pPr>
            <w:r>
              <w:rPr>
                <w:rFonts w:hint="eastAsia" w:ascii="仿宋" w:hAnsi="仿宋" w:eastAsia="仿宋" w:cs="仿宋_GB2312"/>
                <w:szCs w:val="21"/>
              </w:rPr>
              <w:t>3</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客观分</w:t>
            </w:r>
          </w:p>
        </w:tc>
        <w:tc>
          <w:tcPr>
            <w:tcW w:w="704" w:type="dxa"/>
            <w:vAlign w:val="center"/>
          </w:tcPr>
          <w:p>
            <w:pPr>
              <w:snapToGrid w:val="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highlight w:val="none"/>
              </w:rPr>
            </w:pPr>
            <w:r>
              <w:rPr>
                <w:rFonts w:hint="eastAsia" w:ascii="仿宋" w:hAnsi="仿宋" w:eastAsia="仿宋" w:cs="仿宋_GB2312"/>
                <w:highlight w:val="none"/>
              </w:rPr>
              <w:t>3</w:t>
            </w:r>
          </w:p>
        </w:tc>
        <w:tc>
          <w:tcPr>
            <w:tcW w:w="6598" w:type="dxa"/>
            <w:vAlign w:val="center"/>
          </w:tcPr>
          <w:p>
            <w:pPr>
              <w:pStyle w:val="132"/>
              <w:spacing w:before="0" w:line="240" w:lineRule="auto"/>
              <w:ind w:firstLine="0" w:firstLineChars="0"/>
              <w:jc w:val="left"/>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所投产品节能：所投产品中具有有效的节能产品认证证书的得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分；证明材料：提供有效的认证证书</w:t>
            </w:r>
            <w:r>
              <w:rPr>
                <w:rFonts w:hint="eastAsia" w:ascii="仿宋" w:hAnsi="仿宋" w:eastAsia="仿宋" w:cs="仿宋"/>
                <w:bCs/>
                <w:color w:val="auto"/>
                <w:sz w:val="21"/>
                <w:szCs w:val="21"/>
                <w:highlight w:val="none"/>
                <w:lang w:val="en-US" w:eastAsia="zh-CN"/>
              </w:rPr>
              <w:t>复印件并加盖供应商公章</w:t>
            </w:r>
            <w:r>
              <w:rPr>
                <w:rFonts w:hint="eastAsia" w:ascii="仿宋" w:hAnsi="仿宋" w:eastAsia="仿宋" w:cs="仿宋"/>
                <w:bCs/>
                <w:color w:val="auto"/>
                <w:sz w:val="21"/>
                <w:szCs w:val="21"/>
                <w:highlight w:val="none"/>
              </w:rPr>
              <w:t>，认证证书所列产品型号与所投产品不一致的不予认可。</w:t>
            </w:r>
          </w:p>
        </w:tc>
        <w:tc>
          <w:tcPr>
            <w:tcW w:w="540" w:type="dxa"/>
            <w:vAlign w:val="center"/>
          </w:tcPr>
          <w:p>
            <w:pPr>
              <w:snapToGrid w:val="0"/>
              <w:jc w:val="center"/>
              <w:rPr>
                <w:rFonts w:ascii="仿宋" w:hAnsi="仿宋" w:eastAsia="仿宋" w:cs="仿宋_GB2312"/>
                <w:szCs w:val="21"/>
                <w:highlight w:val="none"/>
              </w:rPr>
            </w:pPr>
            <w:r>
              <w:rPr>
                <w:rFonts w:hint="eastAsia" w:ascii="仿宋" w:hAnsi="仿宋" w:eastAsia="仿宋" w:cs="仿宋_GB2312"/>
                <w:szCs w:val="21"/>
                <w:highlight w:val="none"/>
              </w:rPr>
              <w:t>2</w:t>
            </w:r>
          </w:p>
        </w:tc>
        <w:tc>
          <w:tcPr>
            <w:tcW w:w="780" w:type="dxa"/>
            <w:vAlign w:val="center"/>
          </w:tcPr>
          <w:p>
            <w:pPr>
              <w:snapToGrid w:val="0"/>
              <w:jc w:val="center"/>
              <w:rPr>
                <w:rFonts w:ascii="仿宋" w:hAnsi="仿宋" w:eastAsia="仿宋" w:cs="仿宋_GB2312"/>
                <w:szCs w:val="21"/>
                <w:highlight w:val="none"/>
              </w:rPr>
            </w:pPr>
            <w:r>
              <w:rPr>
                <w:rFonts w:hint="eastAsia" w:ascii="仿宋" w:hAnsi="仿宋" w:eastAsia="仿宋" w:cs="仿宋_GB2312"/>
                <w:szCs w:val="21"/>
                <w:highlight w:val="none"/>
              </w:rPr>
              <w:t>客观分</w:t>
            </w:r>
          </w:p>
        </w:tc>
        <w:tc>
          <w:tcPr>
            <w:tcW w:w="704" w:type="dxa"/>
            <w:vAlign w:val="center"/>
          </w:tcPr>
          <w:p>
            <w:pPr>
              <w:snapToGrid w:val="0"/>
              <w:jc w:val="center"/>
              <w:rPr>
                <w:rFonts w:ascii="仿宋" w:hAnsi="仿宋" w:eastAsia="仿宋"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4</w:t>
            </w:r>
          </w:p>
        </w:tc>
        <w:tc>
          <w:tcPr>
            <w:tcW w:w="6598" w:type="dxa"/>
            <w:vAlign w:val="center"/>
          </w:tcPr>
          <w:p>
            <w:pPr>
              <w:pStyle w:val="132"/>
              <w:spacing w:before="0" w:line="240" w:lineRule="auto"/>
              <w:ind w:firstLine="0" w:firstLineChars="0"/>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由评委根据投标人提供的设备配置方案和投标响应情况等进行综合评议，产品的基本功能、技术指标与需求的吻合程度和偏差情况（除▲以外）：投标产品的技术参数是否能够满足招标文件要求。全部满足或明显优于招标文件要求得2</w:t>
            </w:r>
            <w:r>
              <w:rPr>
                <w:rFonts w:hint="eastAsia" w:ascii="仿宋" w:hAnsi="仿宋" w:eastAsia="仿宋" w:cs="仿宋"/>
                <w:bCs/>
                <w:color w:val="000000" w:themeColor="text1"/>
                <w:sz w:val="21"/>
                <w:szCs w:val="21"/>
                <w:lang w:val="en-US" w:eastAsia="zh-CN"/>
                <w14:textFill>
                  <w14:solidFill>
                    <w14:schemeClr w14:val="tx1"/>
                  </w14:solidFill>
                </w14:textFill>
              </w:rPr>
              <w:t>3</w:t>
            </w:r>
            <w:r>
              <w:rPr>
                <w:rFonts w:hint="eastAsia" w:ascii="仿宋" w:hAnsi="仿宋" w:eastAsia="仿宋" w:cs="仿宋"/>
                <w:bCs/>
                <w:color w:val="000000" w:themeColor="text1"/>
                <w:sz w:val="21"/>
                <w:szCs w:val="21"/>
                <w14:textFill>
                  <w14:solidFill>
                    <w14:schemeClr w14:val="tx1"/>
                  </w14:solidFill>
                </w14:textFill>
              </w:rPr>
              <w:t>分；标注“★”的为重要条款，投标产品技术条款低于采购需求中重要条款要求（负偏离）的每条扣</w:t>
            </w:r>
            <w:r>
              <w:rPr>
                <w:rFonts w:hint="eastAsia" w:ascii="仿宋" w:hAnsi="仿宋" w:eastAsia="仿宋" w:cs="仿宋"/>
                <w:bCs/>
                <w:color w:val="000000" w:themeColor="text1"/>
                <w:sz w:val="21"/>
                <w:szCs w:val="21"/>
                <w:lang w:val="en-US" w:eastAsia="zh-CN"/>
                <w14:textFill>
                  <w14:solidFill>
                    <w14:schemeClr w14:val="tx1"/>
                  </w14:solidFill>
                </w14:textFill>
              </w:rPr>
              <w:t>3</w:t>
            </w:r>
            <w:r>
              <w:rPr>
                <w:rFonts w:hint="eastAsia" w:ascii="仿宋" w:hAnsi="仿宋" w:eastAsia="仿宋" w:cs="仿宋"/>
                <w:bCs/>
                <w:color w:val="000000" w:themeColor="text1"/>
                <w:sz w:val="21"/>
                <w:szCs w:val="21"/>
                <w14:textFill>
                  <w14:solidFill>
                    <w14:schemeClr w14:val="tx1"/>
                  </w14:solidFill>
                </w14:textFill>
              </w:rPr>
              <w:t>分，其它一般技术条款低于技术要求（负偏离）的每条扣2分，扣完为止。</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val="0"/>
                <w:color w:val="000000" w:themeColor="text1"/>
                <w:sz w:val="21"/>
                <w:szCs w:val="21"/>
                <w14:textFill>
                  <w14:solidFill>
                    <w14:schemeClr w14:val="tx1"/>
                  </w14:solidFill>
                </w14:textFill>
              </w:rPr>
              <w:t>注：商务技术偏离表技术要求中响应规格与技术资料不一致的（或要求提供证明材料但未提供的）经评标委员会讨论后可被认定为负偏离</w:t>
            </w:r>
            <w:r>
              <w:rPr>
                <w:rFonts w:hint="eastAsia" w:ascii="仿宋" w:hAnsi="仿宋" w:eastAsia="仿宋" w:cs="仿宋"/>
                <w:b/>
                <w:bCs w:val="0"/>
                <w:color w:val="000000" w:themeColor="text1"/>
                <w:sz w:val="21"/>
                <w:szCs w:val="21"/>
                <w:lang w:eastAsia="zh-CN"/>
                <w14:textFill>
                  <w14:solidFill>
                    <w14:schemeClr w14:val="tx1"/>
                  </w14:solidFill>
                </w14:textFill>
              </w:rPr>
              <w:t>，</w:t>
            </w:r>
            <w:r>
              <w:rPr>
                <w:rFonts w:hint="eastAsia" w:ascii="仿宋" w:hAnsi="仿宋" w:eastAsia="仿宋" w:cs="仿宋"/>
                <w:b/>
                <w:bCs w:val="0"/>
                <w:color w:val="000000" w:themeColor="text1"/>
                <w:sz w:val="21"/>
                <w:szCs w:val="21"/>
                <w:lang w:val="en-US" w:eastAsia="zh-CN"/>
                <w14:textFill>
                  <w14:solidFill>
                    <w14:schemeClr w14:val="tx1"/>
                  </w14:solidFill>
                </w14:textFill>
              </w:rPr>
              <w:t>其中</w:t>
            </w:r>
            <w:r>
              <w:rPr>
                <w:rFonts w:hint="eastAsia" w:ascii="仿宋" w:hAnsi="仿宋" w:eastAsia="仿宋" w:cs="仿宋"/>
                <w:b/>
                <w:bCs w:val="0"/>
                <w:color w:val="000000" w:themeColor="text1"/>
                <w:sz w:val="21"/>
                <w:szCs w:val="21"/>
                <w14:textFill>
                  <w14:solidFill>
                    <w14:schemeClr w14:val="tx1"/>
                  </w14:solidFill>
                </w14:textFill>
              </w:rPr>
              <w:t>标注“★”的</w:t>
            </w:r>
            <w:r>
              <w:rPr>
                <w:rFonts w:hint="eastAsia" w:ascii="仿宋" w:hAnsi="仿宋" w:eastAsia="仿宋" w:cs="仿宋"/>
                <w:b/>
                <w:bCs w:val="0"/>
                <w:color w:val="000000" w:themeColor="text1"/>
                <w:sz w:val="21"/>
                <w:szCs w:val="21"/>
                <w:lang w:val="en-US" w:eastAsia="zh-CN"/>
                <w14:textFill>
                  <w14:solidFill>
                    <w14:schemeClr w14:val="tx1"/>
                  </w14:solidFill>
                </w14:textFill>
              </w:rPr>
              <w:t>参数必须提供证明材料</w:t>
            </w:r>
            <w:r>
              <w:rPr>
                <w:rFonts w:hint="eastAsia" w:ascii="仿宋" w:hAnsi="仿宋" w:eastAsia="仿宋" w:cs="仿宋"/>
                <w:b/>
                <w:bCs w:val="0"/>
                <w:color w:val="000000" w:themeColor="text1"/>
                <w:sz w:val="21"/>
                <w:szCs w:val="21"/>
                <w14:textFill>
                  <w14:solidFill>
                    <w14:schemeClr w14:val="tx1"/>
                  </w14:solidFill>
                </w14:textFill>
              </w:rPr>
              <w:t>。</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23</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客观分</w:t>
            </w:r>
          </w:p>
        </w:tc>
        <w:tc>
          <w:tcPr>
            <w:tcW w:w="704" w:type="dxa"/>
            <w:vAlign w:val="center"/>
          </w:tcPr>
          <w:p>
            <w:pPr>
              <w:snapToGrid w:val="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5</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供应商针对本项目的供货计划（包括但不限于产品供货流程、进度计划表及进度保障措施）是否科学、可行、完整和可操作等。</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（评分范围：5，4，3，2，1，0）</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5</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主观分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6</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供应商针对本项目拟派的实施项目团队及施工设施设备安排是否科学、可行、完整和可操作等。</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（评分范围：4，3，2，1，0）</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4</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主观分</w:t>
            </w:r>
          </w:p>
        </w:tc>
        <w:tc>
          <w:tcPr>
            <w:tcW w:w="704" w:type="dxa"/>
            <w:vAlign w:val="center"/>
          </w:tcPr>
          <w:p>
            <w:pPr>
              <w:snapToGrid w:val="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7</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供应商针对本项目的具体安装方案、施工安装工艺、调试流程工艺等情况是否科学、可行、完整和可操作等。</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（评分范围：4，3，2，1，0）</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4</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主观分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8</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供应商投标产品生产工艺流程、出厂检验程序等质量保证体系的可行性、科学性、完整性和可操作性等。</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（评分范围：3，2，1，0）</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3</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主观分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9</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供应商针对本项目的售后服务方案：故障解决能力，人员配置及资质、服务响应时间及保障措施是否科学、可行、完整和可操作等。</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（评分范围：5，4，3，2，1，0）</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5</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主观分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10</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针对本项目培训情况：培训内容是否齐全完善、可实施性强。</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（评分范围：3，2，1，0）</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3</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主观分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11</w:t>
            </w:r>
          </w:p>
        </w:tc>
        <w:tc>
          <w:tcPr>
            <w:tcW w:w="7918" w:type="dxa"/>
            <w:gridSpan w:val="3"/>
            <w:vAlign w:val="center"/>
          </w:tcPr>
          <w:p>
            <w:pPr>
              <w:pStyle w:val="132"/>
              <w:spacing w:before="0" w:line="240" w:lineRule="auto"/>
              <w:ind w:firstLine="0" w:firstLineChars="0"/>
              <w:jc w:val="both"/>
              <w:rPr>
                <w:rFonts w:ascii="仿宋" w:hAnsi="仿宋" w:eastAsia="仿宋" w:cs="仿宋_GB2312"/>
                <w:szCs w:val="21"/>
              </w:rPr>
            </w:pPr>
            <w:r>
              <w:rPr>
                <w:rFonts w:hint="eastAsia" w:ascii="仿宋" w:hAnsi="仿宋" w:eastAsia="仿宋" w:cs="仿宋"/>
                <w:bCs/>
                <w:color w:val="000000" w:themeColor="text1"/>
                <w:sz w:val="21"/>
                <w:szCs w:val="21"/>
                <w14:textFill>
                  <w14:solidFill>
                    <w14:schemeClr w14:val="tx1"/>
                  </w14:solidFill>
                </w14:textFill>
              </w:rPr>
              <w:t>样品情况（未提供样品或样品提供不全的，本项不得分）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11.1</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投标样品的外观式样是否先进、美观，且与本项目《</w:t>
            </w:r>
            <w:r>
              <w:rPr>
                <w:rFonts w:hint="eastAsia" w:ascii="仿宋" w:hAnsi="仿宋" w:eastAsia="仿宋" w:cs="仿宋"/>
                <w:bCs/>
                <w:color w:val="000000" w:themeColor="text1"/>
                <w:sz w:val="21"/>
                <w:szCs w:val="21"/>
                <w:lang w:val="en-US" w:eastAsia="zh-CN"/>
                <w14:textFill>
                  <w14:solidFill>
                    <w14:schemeClr w14:val="tx1"/>
                  </w14:solidFill>
                </w14:textFill>
              </w:rPr>
              <w:t>采购需求</w:t>
            </w:r>
            <w:r>
              <w:rPr>
                <w:rFonts w:hint="eastAsia" w:ascii="仿宋" w:hAnsi="仿宋" w:eastAsia="仿宋" w:cs="仿宋"/>
                <w:bCs/>
                <w:color w:val="000000" w:themeColor="text1"/>
                <w:sz w:val="21"/>
                <w:szCs w:val="21"/>
                <w14:textFill>
                  <w14:solidFill>
                    <w14:schemeClr w14:val="tx1"/>
                  </w14:solidFill>
                </w14:textFill>
              </w:rPr>
              <w:t>》相关要求的符合情况。</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（评分范围：5，4，3，2，1，0）</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5</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主观分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11.2</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投标样品的生产工艺水平是否先进，且与本项目《</w:t>
            </w:r>
            <w:r>
              <w:rPr>
                <w:rFonts w:hint="eastAsia" w:ascii="仿宋" w:hAnsi="仿宋" w:eastAsia="仿宋" w:cs="仿宋"/>
                <w:bCs/>
                <w:color w:val="000000" w:themeColor="text1"/>
                <w:sz w:val="21"/>
                <w:szCs w:val="21"/>
                <w:lang w:val="en-US" w:eastAsia="zh-CN"/>
                <w14:textFill>
                  <w14:solidFill>
                    <w14:schemeClr w14:val="tx1"/>
                  </w14:solidFill>
                </w14:textFill>
              </w:rPr>
              <w:t>采购需求</w:t>
            </w:r>
            <w:r>
              <w:rPr>
                <w:rFonts w:hint="eastAsia" w:ascii="仿宋" w:hAnsi="仿宋" w:eastAsia="仿宋" w:cs="仿宋"/>
                <w:bCs/>
                <w:color w:val="000000" w:themeColor="text1"/>
                <w:sz w:val="21"/>
                <w:szCs w:val="21"/>
                <w14:textFill>
                  <w14:solidFill>
                    <w14:schemeClr w14:val="tx1"/>
                  </w14:solidFill>
                </w14:textFill>
              </w:rPr>
              <w:t>》相关要求的符合情况。</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（评分范围：5，4，3，2，1，0）</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5</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主观分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cs="仿宋_GB2312"/>
              </w:rPr>
            </w:pPr>
            <w:r>
              <w:rPr>
                <w:rFonts w:hint="eastAsia" w:ascii="仿宋" w:hAnsi="仿宋" w:eastAsia="仿宋" w:cs="仿宋_GB2312"/>
              </w:rPr>
              <w:t>11.3</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投标样品的先进性、使用便捷性、安全性、可维护性等及与本项目《</w:t>
            </w:r>
            <w:r>
              <w:rPr>
                <w:rFonts w:hint="eastAsia" w:ascii="仿宋" w:hAnsi="仿宋" w:eastAsia="仿宋" w:cs="仿宋"/>
                <w:bCs/>
                <w:color w:val="000000" w:themeColor="text1"/>
                <w:sz w:val="21"/>
                <w:szCs w:val="21"/>
                <w:lang w:val="en-US" w:eastAsia="zh-CN"/>
                <w14:textFill>
                  <w14:solidFill>
                    <w14:schemeClr w14:val="tx1"/>
                  </w14:solidFill>
                </w14:textFill>
              </w:rPr>
              <w:t>采购需求</w:t>
            </w:r>
            <w:r>
              <w:rPr>
                <w:rFonts w:hint="eastAsia" w:ascii="仿宋" w:hAnsi="仿宋" w:eastAsia="仿宋" w:cs="仿宋"/>
                <w:bCs/>
                <w:color w:val="000000" w:themeColor="text1"/>
                <w:sz w:val="21"/>
                <w:szCs w:val="21"/>
                <w14:textFill>
                  <w14:solidFill>
                    <w14:schemeClr w14:val="tx1"/>
                  </w14:solidFill>
                </w14:textFill>
              </w:rPr>
              <w:t>》相关要求的符合情况。</w:t>
            </w:r>
          </w:p>
          <w:p>
            <w:pPr>
              <w:pStyle w:val="132"/>
              <w:spacing w:before="0" w:line="240" w:lineRule="auto"/>
              <w:ind w:firstLine="0" w:firstLineChars="0"/>
              <w:jc w:val="left"/>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（评分范围：5，4，3，2，1，0）</w:t>
            </w:r>
          </w:p>
        </w:tc>
        <w:tc>
          <w:tcPr>
            <w:tcW w:w="54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5</w:t>
            </w:r>
          </w:p>
        </w:tc>
        <w:tc>
          <w:tcPr>
            <w:tcW w:w="780"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主观分</w:t>
            </w:r>
          </w:p>
        </w:tc>
        <w:tc>
          <w:tcPr>
            <w:tcW w:w="704" w:type="dxa"/>
            <w:vAlign w:val="center"/>
          </w:tcPr>
          <w:p>
            <w:pPr>
              <w:snapToGrid w:val="0"/>
              <w:jc w:val="center"/>
              <w:rPr>
                <w:rFonts w:ascii="仿宋" w:hAnsi="仿宋" w:eastAsia="仿宋" w:cs="仿宋_GB2312"/>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4" w:type="dxa"/>
            <w:gridSpan w:val="5"/>
            <w:vAlign w:val="center"/>
          </w:tcPr>
          <w:p>
            <w:pPr>
              <w:snapToGrid w:val="0"/>
              <w:spacing w:before="120" w:beforeLines="50" w:after="120" w:afterLines="50"/>
              <w:jc w:val="center"/>
              <w:rPr>
                <w:rFonts w:ascii="仿宋" w:hAnsi="仿宋" w:eastAsia="仿宋" w:cs="仿宋_GB2312"/>
                <w:b/>
                <w:bCs/>
                <w:sz w:val="24"/>
              </w:rPr>
            </w:pPr>
            <w:r>
              <w:rPr>
                <w:rFonts w:hint="eastAsia" w:ascii="仿宋" w:hAnsi="仿宋" w:eastAsia="仿宋" w:cs="仿宋_GB2312"/>
                <w:b/>
                <w:bCs/>
                <w:sz w:val="24"/>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adjustRightInd/>
              <w:spacing w:before="72" w:beforeLines="30" w:after="72" w:afterLines="30"/>
              <w:ind w:left="-107" w:leftChars="-51" w:right="-64"/>
              <w:jc w:val="center"/>
              <w:rPr>
                <w:rFonts w:ascii="仿宋" w:hAnsi="仿宋" w:eastAsia="仿宋"/>
                <w:sz w:val="24"/>
              </w:rPr>
            </w:pPr>
            <w:r>
              <w:rPr>
                <w:rFonts w:ascii="仿宋" w:hAnsi="仿宋" w:eastAsia="仿宋"/>
                <w:sz w:val="24"/>
              </w:rPr>
              <w:t>/</w:t>
            </w:r>
          </w:p>
        </w:tc>
        <w:tc>
          <w:tcPr>
            <w:tcW w:w="6598" w:type="dxa"/>
            <w:vAlign w:val="center"/>
          </w:tcPr>
          <w:p>
            <w:pPr>
              <w:pStyle w:val="132"/>
              <w:spacing w:before="0" w:line="240" w:lineRule="auto"/>
              <w:ind w:firstLine="0" w:firstLineChars="0"/>
              <w:jc w:val="left"/>
              <w:rPr>
                <w:rFonts w:ascii="仿宋" w:hAnsi="仿宋" w:eastAsia="仿宋" w:cs="仿宋"/>
                <w:bCs/>
                <w:color w:val="000000" w:themeColor="text1"/>
                <w:sz w:val="22"/>
                <w:szCs w:val="22"/>
                <w14:textFill>
                  <w14:solidFill>
                    <w14:schemeClr w14:val="tx1"/>
                  </w14:solidFill>
                </w14:textFill>
              </w:rPr>
            </w:pPr>
            <w:bookmarkStart w:id="559" w:name="_GoBack"/>
            <w:r>
              <w:rPr>
                <w:rFonts w:hint="eastAsia" w:ascii="仿宋" w:hAnsi="仿宋" w:eastAsia="仿宋" w:cs="仿宋"/>
                <w:bCs/>
                <w:color w:val="000000" w:themeColor="text1"/>
                <w:sz w:val="22"/>
                <w:szCs w:val="22"/>
                <w14:textFill>
                  <w14:solidFill>
                    <w14:schemeClr w14:val="tx1"/>
                  </w14:solidFill>
                </w14:textFill>
              </w:rPr>
              <w:t>有效投标报价的最低价作为评标基准价，其最低报价为满分；按［投标报价得分</w:t>
            </w:r>
            <w:r>
              <w:rPr>
                <w:rFonts w:ascii="仿宋" w:hAnsi="仿宋" w:eastAsia="仿宋" w:cs="仿宋"/>
                <w:bCs/>
                <w:color w:val="000000" w:themeColor="text1"/>
                <w:sz w:val="22"/>
                <w:szCs w:val="22"/>
                <w14:textFill>
                  <w14:solidFill>
                    <w14:schemeClr w14:val="tx1"/>
                  </w14:solidFill>
                </w14:textFill>
              </w:rPr>
              <w:t>=（评标基准价/投标报价）*</w:t>
            </w:r>
            <w:r>
              <w:rPr>
                <w:rFonts w:hint="eastAsia" w:ascii="仿宋" w:hAnsi="仿宋" w:eastAsia="仿宋" w:cs="仿宋"/>
                <w:bCs/>
                <w:color w:val="000000" w:themeColor="text1"/>
                <w:sz w:val="22"/>
                <w:szCs w:val="22"/>
                <w14:textFill>
                  <w14:solidFill>
                    <w14:schemeClr w14:val="tx1"/>
                  </w14:solidFill>
                </w14:textFill>
              </w:rPr>
              <w:t>权重</w:t>
            </w:r>
            <w:r>
              <w:rPr>
                <w:rFonts w:ascii="仿宋" w:hAnsi="仿宋" w:eastAsia="仿宋" w:cs="仿宋"/>
                <w:bCs/>
                <w:color w:val="000000" w:themeColor="text1"/>
                <w:sz w:val="22"/>
                <w:szCs w:val="22"/>
                <w14:textFill>
                  <w14:solidFill>
                    <w14:schemeClr w14:val="tx1"/>
                  </w14:solidFill>
                </w14:textFill>
              </w:rPr>
              <w:t>］的计算公式计算。</w:t>
            </w:r>
          </w:p>
          <w:p>
            <w:pPr>
              <w:pStyle w:val="132"/>
              <w:spacing w:before="0" w:line="240" w:lineRule="auto"/>
              <w:ind w:firstLine="0" w:firstLineChars="0"/>
              <w:jc w:val="left"/>
              <w:rPr>
                <w:rFonts w:ascii="仿宋" w:hAnsi="仿宋" w:eastAsia="仿宋"/>
                <w:color w:val="0000FF"/>
                <w:szCs w:val="21"/>
              </w:rPr>
            </w:pPr>
            <w:r>
              <w:rPr>
                <w:rFonts w:ascii="仿宋" w:hAnsi="仿宋" w:eastAsia="仿宋" w:cs="仿宋"/>
                <w:bCs/>
                <w:color w:val="000000" w:themeColor="text1"/>
                <w:sz w:val="22"/>
                <w:szCs w:val="22"/>
                <w14:textFill>
                  <w14:solidFill>
                    <w14:schemeClr w14:val="tx1"/>
                  </w14:solidFill>
                </w14:textFill>
              </w:rPr>
              <w:t>评标过程中，不得去掉报价中的最高报价和最低报价。</w:t>
            </w:r>
            <w:bookmarkEnd w:id="559"/>
          </w:p>
        </w:tc>
        <w:tc>
          <w:tcPr>
            <w:tcW w:w="540" w:type="dxa"/>
            <w:vAlign w:val="center"/>
          </w:tcPr>
          <w:p>
            <w:pPr>
              <w:snapToGrid w:val="0"/>
              <w:jc w:val="center"/>
              <w:rPr>
                <w:rFonts w:ascii="仿宋" w:hAnsi="仿宋" w:eastAsia="仿宋" w:cs="仿宋_GB2312"/>
                <w:sz w:val="24"/>
              </w:rPr>
            </w:pPr>
            <w:r>
              <w:rPr>
                <w:rFonts w:hint="eastAsia" w:ascii="仿宋" w:hAnsi="仿宋" w:eastAsia="仿宋" w:cs="仿宋_GB2312"/>
                <w:szCs w:val="21"/>
              </w:rPr>
              <w:t>3</w:t>
            </w:r>
            <w:r>
              <w:rPr>
                <w:rFonts w:ascii="仿宋" w:hAnsi="仿宋" w:eastAsia="仿宋" w:cs="仿宋_GB2312"/>
                <w:szCs w:val="21"/>
              </w:rPr>
              <w:t>0</w:t>
            </w:r>
          </w:p>
        </w:tc>
        <w:tc>
          <w:tcPr>
            <w:tcW w:w="780" w:type="dxa"/>
            <w:vAlign w:val="center"/>
          </w:tcPr>
          <w:p>
            <w:pPr>
              <w:snapToGrid w:val="0"/>
              <w:jc w:val="center"/>
              <w:rPr>
                <w:rFonts w:ascii="仿宋" w:hAnsi="仿宋" w:eastAsia="仿宋" w:cs="仿宋_GB2312"/>
                <w:color w:val="0000FF"/>
                <w:sz w:val="24"/>
              </w:rPr>
            </w:pPr>
            <w:r>
              <w:rPr>
                <w:rFonts w:hint="eastAsia" w:ascii="仿宋" w:hAnsi="仿宋" w:eastAsia="仿宋" w:cs="仿宋_GB2312"/>
                <w:szCs w:val="21"/>
              </w:rPr>
              <w:t>客观分</w:t>
            </w:r>
          </w:p>
        </w:tc>
        <w:tc>
          <w:tcPr>
            <w:tcW w:w="704" w:type="dxa"/>
            <w:vAlign w:val="center"/>
          </w:tcPr>
          <w:p>
            <w:pPr>
              <w:jc w:val="center"/>
              <w:outlineLvl w:val="0"/>
              <w:rPr>
                <w:rFonts w:ascii="仿宋" w:hAnsi="仿宋" w:eastAsia="仿宋" w:cs="仿宋_GB2312"/>
                <w:color w:val="0000FF"/>
                <w:sz w:val="24"/>
              </w:rPr>
            </w:pPr>
            <w:r>
              <w:rPr>
                <w:rFonts w:ascii="仿宋" w:hAnsi="仿宋" w:eastAsia="仿宋" w:cs="仿宋_GB2312"/>
                <w:color w:val="0000FF"/>
                <w:sz w:val="24"/>
              </w:rPr>
              <w:t>/</w:t>
            </w:r>
          </w:p>
        </w:tc>
      </w:tr>
    </w:tbl>
    <w:p>
      <w:pPr>
        <w:snapToGrid w:val="0"/>
        <w:spacing w:before="120" w:beforeLines="50" w:line="320" w:lineRule="exact"/>
        <w:ind w:firstLine="482" w:firstLineChars="200"/>
        <w:jc w:val="left"/>
        <w:rPr>
          <w:rFonts w:ascii="Calibri" w:hAnsi="Calibri" w:eastAsia="仿宋" w:cs="Calibri"/>
          <w:b/>
          <w:bCs/>
          <w:sz w:val="24"/>
        </w:rPr>
      </w:pPr>
      <w:r>
        <w:rPr>
          <w:rFonts w:hint="eastAsia" w:ascii="仿宋" w:hAnsi="仿宋" w:eastAsia="仿宋" w:cs="宋体"/>
          <w:b/>
          <w:bCs/>
          <w:sz w:val="24"/>
        </w:rPr>
        <w:t>*备注：投标人编制投标文件（商务技术文件部分）时，建议按此目录（序号和内容）提供评标标准相应的商务技术资料。</w:t>
      </w:r>
      <w:r>
        <w:rPr>
          <w:rFonts w:ascii="Calibri" w:hAnsi="Calibri" w:eastAsia="仿宋" w:cs="Calibri"/>
          <w:b/>
          <w:bCs/>
          <w:sz w:val="24"/>
        </w:rPr>
        <w:t> </w:t>
      </w:r>
    </w:p>
    <w:p>
      <w:pPr>
        <w:pStyle w:val="62"/>
      </w:pPr>
    </w:p>
    <w:p>
      <w:pPr>
        <w:snapToGrid w:val="0"/>
        <w:spacing w:line="360" w:lineRule="auto"/>
        <w:rPr>
          <w:rFonts w:ascii="宋体" w:hAnsi="宋体" w:cs="宋体"/>
          <w:b/>
          <w:sz w:val="24"/>
          <w:szCs w:val="24"/>
        </w:rPr>
      </w:pPr>
      <w:r>
        <w:rPr>
          <w:rFonts w:hint="eastAsia" w:ascii="宋体" w:hAnsi="宋体" w:cs="宋体"/>
          <w:b/>
          <w:sz w:val="28"/>
          <w:szCs w:val="2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hint="eastAsia" w:ascii="宋体" w:hAnsi="宋体" w:cs="宋体"/>
          <w:b/>
          <w:sz w:val="28"/>
          <w:szCs w:val="22"/>
        </w:rPr>
      </w:pPr>
      <w:r>
        <w:rPr>
          <w:rFonts w:hint="eastAsia" w:ascii="宋体" w:hAnsi="宋体" w:cs="宋体"/>
          <w:b/>
          <w:sz w:val="28"/>
          <w:szCs w:val="2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napToGrid w:val="0"/>
        <w:spacing w:line="360" w:lineRule="auto"/>
        <w:rPr>
          <w:rFonts w:hint="eastAsia" w:ascii="宋体" w:hAnsi="宋体" w:cs="宋体"/>
          <w:b/>
          <w:sz w:val="28"/>
          <w:szCs w:val="22"/>
        </w:rPr>
      </w:pPr>
      <w:r>
        <w:rPr>
          <w:rFonts w:hint="eastAsia" w:ascii="宋体" w:hAnsi="宋体" w:cs="宋体"/>
          <w:b/>
          <w:sz w:val="28"/>
          <w:szCs w:val="2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宋体" w:hAnsi="宋体" w:cs="宋体"/>
          <w:b/>
          <w:sz w:val="28"/>
          <w:szCs w:val="22"/>
        </w:rPr>
      </w:pPr>
      <w:r>
        <w:rPr>
          <w:rFonts w:hint="eastAsia" w:ascii="宋体" w:hAnsi="宋体" w:cs="宋体"/>
          <w:b/>
          <w:sz w:val="28"/>
          <w:szCs w:val="22"/>
        </w:rPr>
        <w:t>四、评标中的其他事项</w:t>
      </w:r>
    </w:p>
    <w:p>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7"/>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4"/>
        <w:snapToGrid w:val="0"/>
        <w:spacing w:line="360" w:lineRule="auto"/>
        <w:rPr>
          <w:rFonts w:cs="宋体"/>
        </w:rPr>
      </w:pPr>
      <w:r>
        <w:rPr>
          <w:rFonts w:hint="eastAsia" w:cs="宋体"/>
        </w:rPr>
        <w:t>5.1符合专业条件的供应商或者对招标文件作实质响应的供应商不足3家的；</w:t>
      </w:r>
    </w:p>
    <w:p>
      <w:pPr>
        <w:pStyle w:val="4"/>
        <w:snapToGrid w:val="0"/>
        <w:spacing w:line="360" w:lineRule="auto"/>
        <w:rPr>
          <w:rFonts w:cs="宋体"/>
        </w:rPr>
      </w:pPr>
      <w:r>
        <w:rPr>
          <w:rFonts w:hint="eastAsia" w:cs="宋体"/>
        </w:rPr>
        <w:t>5.2出现影响采购公正的违法、违规行为的；</w:t>
      </w:r>
    </w:p>
    <w:p>
      <w:pPr>
        <w:pStyle w:val="4"/>
        <w:snapToGrid w:val="0"/>
        <w:spacing w:line="360" w:lineRule="auto"/>
        <w:rPr>
          <w:rFonts w:cs="宋体"/>
        </w:rPr>
      </w:pPr>
      <w:r>
        <w:rPr>
          <w:rFonts w:hint="eastAsia" w:cs="宋体"/>
        </w:rPr>
        <w:t>5.3投标人的报价均超过了采购预算，采购人不能支付的；</w:t>
      </w:r>
    </w:p>
    <w:p>
      <w:pPr>
        <w:pStyle w:val="4"/>
        <w:snapToGrid w:val="0"/>
        <w:spacing w:line="360" w:lineRule="auto"/>
        <w:rPr>
          <w:rFonts w:cs="宋体"/>
        </w:rPr>
      </w:pPr>
      <w:r>
        <w:rPr>
          <w:rFonts w:hint="eastAsia" w:cs="宋体"/>
        </w:rPr>
        <w:t>5.4因重大变故，采购任务取消的。</w:t>
      </w:r>
    </w:p>
    <w:p>
      <w:pPr>
        <w:pStyle w:val="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4"/>
        <w:snapToGrid w:val="0"/>
        <w:spacing w:line="360" w:lineRule="auto"/>
        <w:rPr>
          <w:rFonts w:cs="宋体"/>
        </w:rPr>
      </w:pPr>
      <w:r>
        <w:rPr>
          <w:rFonts w:hint="eastAsia" w:cs="宋体"/>
        </w:rPr>
        <w:t>7.1未确定中标供应商的，终止本次政府采购活动，重新开展政府采购活动。</w:t>
      </w:r>
    </w:p>
    <w:p>
      <w:pPr>
        <w:pStyle w:val="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4"/>
        <w:snapToGrid w:val="0"/>
        <w:spacing w:line="360" w:lineRule="auto"/>
        <w:rPr>
          <w:rFonts w:cs="宋体"/>
        </w:rPr>
      </w:pPr>
      <w:r>
        <w:rPr>
          <w:rFonts w:hint="eastAsia" w:cs="宋体"/>
        </w:rPr>
        <w:t>7.4政府采购合同已经履行，给采购人、供应商造成损失的，由责任人承担赔偿责任。</w:t>
      </w:r>
    </w:p>
    <w:p>
      <w:pPr>
        <w:pStyle w:val="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pPr>
        <w:pStyle w:val="3"/>
        <w:ind w:firstLine="0"/>
        <w:rPr>
          <w:rFonts w:ascii="宋体" w:hAnsi="宋体" w:cs="宋体"/>
          <w:b/>
          <w:sz w:val="36"/>
          <w:szCs w:val="36"/>
        </w:rPr>
      </w:pPr>
      <w:bookmarkStart w:id="397" w:name="第五部分"/>
      <w:bookmarkStart w:id="398" w:name="_Toc86217003"/>
    </w:p>
    <w:p>
      <w:pPr>
        <w:pStyle w:val="6"/>
        <w:bidi w:val="0"/>
        <w:rPr>
          <w:rFonts w:hint="eastAsia"/>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p>
      <w:pPr>
        <w:pStyle w:val="6"/>
        <w:bidi w:val="0"/>
      </w:pPr>
      <w:r>
        <w:rPr>
          <w:rFonts w:hint="eastAsia"/>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both"/>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3"/>
        <w:jc w:val="center"/>
        <w:rPr>
          <w:rFonts w:ascii="宋体" w:hAnsi="宋体" w:cs="宋体"/>
          <w:szCs w:val="24"/>
        </w:rPr>
      </w:pPr>
    </w:p>
    <w:p>
      <w:pPr>
        <w:pStyle w:val="703"/>
        <w:ind w:firstLine="2843" w:firstLineChars="1180"/>
        <w:rPr>
          <w:rFonts w:ascii="宋体" w:hAnsi="宋体" w:cs="宋体"/>
          <w:b/>
          <w:szCs w:val="24"/>
        </w:rPr>
      </w:pPr>
      <w:r>
        <w:rPr>
          <w:rFonts w:hint="eastAsia" w:ascii="宋体" w:hAnsi="宋体" w:cs="宋体"/>
          <w:b/>
          <w:szCs w:val="24"/>
        </w:rPr>
        <w:t>第一部分 合同书</w:t>
      </w:r>
    </w:p>
    <w:p>
      <w:pPr>
        <w:pStyle w:val="703"/>
        <w:rPr>
          <w:rFonts w:ascii="宋体" w:hAnsi="宋体" w:cs="宋体"/>
          <w:szCs w:val="24"/>
        </w:rPr>
      </w:pPr>
    </w:p>
    <w:p>
      <w:pPr>
        <w:pStyle w:val="703"/>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0"/>
        <w:spacing w:before="120" w:line="22" w:lineRule="atLeast"/>
        <w:rPr>
          <w:rFonts w:ascii="宋体" w:hAnsi="宋体" w:eastAsia="宋体" w:cs="宋体"/>
          <w:szCs w:val="24"/>
        </w:rPr>
      </w:pPr>
    </w:p>
    <w:p>
      <w:pPr>
        <w:pStyle w:val="600"/>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w:t>
      </w:r>
      <w:r>
        <w:rPr>
          <w:rFonts w:hint="eastAsia" w:ascii="宋体" w:hAnsi="宋体" w:cs="宋体"/>
          <w:sz w:val="24"/>
        </w:rPr>
        <w:t>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24059"/>
      <w:bookmarkStart w:id="400" w:name="_Toc3029"/>
      <w:bookmarkStart w:id="401" w:name="_Toc2232"/>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7126"/>
      <w:bookmarkStart w:id="403" w:name="_Toc21295"/>
      <w:bookmarkStart w:id="404" w:name="_Toc24300"/>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1631"/>
      <w:bookmarkStart w:id="406" w:name="_Toc21551"/>
      <w:bookmarkStart w:id="407" w:name="_Toc23292"/>
      <w:r>
        <w:rPr>
          <w:rFonts w:hint="eastAsia" w:ascii="宋体" w:hAnsi="宋体" w:cs="宋体"/>
          <w:b/>
          <w:sz w:val="24"/>
        </w:rPr>
        <w:t>1.3 价款</w:t>
      </w:r>
      <w:bookmarkEnd w:id="405"/>
      <w:bookmarkEnd w:id="406"/>
      <w:bookmarkEnd w:id="407"/>
    </w:p>
    <w:p>
      <w:pPr>
        <w:spacing w:line="560" w:lineRule="exact"/>
        <w:ind w:firstLine="480" w:firstLineChars="200"/>
        <w:rPr>
          <w:rFonts w:hint="eastAsia"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2" w:firstLineChars="200"/>
        <w:rPr>
          <w:rFonts w:hint="eastAsia" w:ascii="宋体" w:hAnsi="宋体" w:eastAsia="宋体" w:cs="宋体"/>
          <w:b/>
          <w:bCs/>
          <w:color w:val="FF0000"/>
          <w:sz w:val="24"/>
          <w:highlight w:val="none"/>
          <w:lang w:eastAsia="zh-CN"/>
        </w:rPr>
      </w:pPr>
      <w:r>
        <w:rPr>
          <w:rFonts w:hint="eastAsia" w:ascii="宋体" w:hAnsi="宋体" w:cs="宋体"/>
          <w:b/>
          <w:bCs/>
          <w:color w:val="FF0000"/>
          <w:sz w:val="24"/>
          <w:highlight w:val="none"/>
          <w:lang w:val="en-US" w:eastAsia="zh-CN"/>
        </w:rPr>
        <w:t>以上费用已包含本项目所有产品的</w:t>
      </w:r>
      <w:r>
        <w:rPr>
          <w:rFonts w:hint="eastAsia" w:ascii="宋体" w:hAnsi="宋体" w:cs="宋体"/>
          <w:b/>
          <w:bCs/>
          <w:color w:val="FF0000"/>
          <w:sz w:val="24"/>
          <w:highlight w:val="none"/>
        </w:rPr>
        <w:t>安装所需配件、电线安装、排水管安装、设备安装费、运输费、税费等所有</w:t>
      </w:r>
      <w:r>
        <w:rPr>
          <w:rFonts w:hint="eastAsia" w:ascii="宋体" w:hAnsi="宋体" w:cs="宋体"/>
          <w:b/>
          <w:bCs/>
          <w:color w:val="FF0000"/>
          <w:sz w:val="24"/>
          <w:highlight w:val="none"/>
          <w:lang w:val="en-US" w:eastAsia="zh-CN"/>
        </w:rPr>
        <w:t>费用。</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sz w:val="24"/>
                <w:szCs w:val="24"/>
              </w:rPr>
            </w:pPr>
          </w:p>
        </w:tc>
      </w:tr>
    </w:tbl>
    <w:p>
      <w:pPr>
        <w:pStyle w:val="961"/>
        <w:spacing w:before="0" w:beforeAutospacing="0" w:after="0" w:afterAutospacing="0" w:line="360" w:lineRule="auto"/>
        <w:ind w:firstLine="480"/>
        <w:rPr>
          <w:b/>
        </w:rPr>
      </w:pPr>
      <w:bookmarkStart w:id="408" w:name="_Toc10340"/>
      <w:bookmarkStart w:id="409" w:name="_Toc22618"/>
      <w:bookmarkStart w:id="410" w:name="_Toc1814"/>
      <w:r>
        <w:rPr>
          <w:rFonts w:hint="eastAsia"/>
          <w:b/>
        </w:rPr>
        <w:t>1.4履约保证金</w:t>
      </w:r>
    </w:p>
    <w:p>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否</w:t>
      </w:r>
      <w:r>
        <w:rPr>
          <w:rFonts w:hint="eastAsia"/>
          <w:u w:val="single"/>
          <w:lang w:val="en-US" w:eastAsia="zh-CN"/>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7"/>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1"/>
        <w:spacing w:before="0" w:beforeAutospacing="0" w:after="0" w:afterAutospacing="0" w:line="360" w:lineRule="auto"/>
        <w:ind w:firstLine="480"/>
        <w:rPr>
          <w:b/>
          <w:bCs/>
        </w:rPr>
      </w:pPr>
      <w:r>
        <w:rPr>
          <w:rFonts w:hint="eastAsia"/>
          <w:b/>
          <w:bCs/>
        </w:rPr>
        <w:t>1.6资金支付</w:t>
      </w:r>
    </w:p>
    <w:p>
      <w:pPr>
        <w:pStyle w:val="961"/>
        <w:spacing w:before="0" w:beforeAutospacing="0" w:after="0" w:afterAutospacing="0" w:line="360" w:lineRule="auto"/>
        <w:ind w:firstLine="480"/>
      </w:pPr>
      <w:r>
        <w:rPr>
          <w:rFonts w:hint="eastAsia"/>
        </w:rPr>
        <w:t>1.6.1甲方应严格履行合同，及时组织验收，验收合格后及时将合同款支付完毕。乙方应在甲方付款前向甲方开具并交付当期应付款等额的增值税专用发票，否则甲方有权拒绝付款。乙方必须提供符合中华人民共和国国家税务规定的等额增值税专用发票，若乙方无法提供增值税专用发票或因乙方原因造成发票无法认证成功，导致甲方无法抵扣进项税额，乙方应全额赔偿甲方因此产生的税额损失。因乙方未按约及时提供发票导致甲方迟延付款的，不视为甲方逾期付款，乙方不得因此向甲方主张承担逾期付款违约责任。</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2846"/>
      <w:bookmarkStart w:id="412" w:name="_Toc19304"/>
      <w:bookmarkStart w:id="413" w:name="_Toc32071"/>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1423"/>
      <w:bookmarkStart w:id="415" w:name="_Toc27250"/>
      <w:bookmarkStart w:id="416" w:name="_Toc19554"/>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6021"/>
      <w:bookmarkStart w:id="418" w:name="_Toc15583"/>
      <w:bookmarkStart w:id="419" w:name="_Toc28375"/>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1.9.2 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15322"/>
      <w:bookmarkStart w:id="421" w:name="_Toc7245"/>
      <w:bookmarkStart w:id="422" w:name="_Toc11173"/>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7"/>
        <w:rPr>
          <w:rFonts w:ascii="宋体" w:hAnsi="宋体" w:cs="宋体"/>
          <w:sz w:val="24"/>
        </w:rPr>
      </w:pPr>
    </w:p>
    <w:p>
      <w:pPr>
        <w:rPr>
          <w:rFonts w:ascii="宋体" w:hAnsi="宋体" w:cs="宋体"/>
          <w:sz w:val="24"/>
        </w:rPr>
      </w:pPr>
    </w:p>
    <w:p>
      <w:pPr>
        <w:pStyle w:val="7"/>
        <w:rPr>
          <w:rFonts w:ascii="宋体" w:hAnsi="宋体" w:cs="宋体"/>
          <w:sz w:val="24"/>
        </w:rPr>
      </w:pPr>
    </w:p>
    <w:p>
      <w:pPr>
        <w:rPr>
          <w:rFonts w:ascii="宋体" w:hAnsi="宋体" w:cs="宋体"/>
          <w:sz w:val="24"/>
        </w:rPr>
      </w:pPr>
    </w:p>
    <w:p>
      <w:pPr>
        <w:pStyle w:val="7"/>
        <w:rPr>
          <w:rFonts w:ascii="宋体" w:hAnsi="宋体" w:cs="宋体"/>
          <w:sz w:val="24"/>
        </w:rPr>
      </w:pPr>
    </w:p>
    <w:p>
      <w:pPr>
        <w:rPr>
          <w:rFonts w:ascii="宋体" w:hAnsi="宋体" w:cs="宋体"/>
          <w:sz w:val="24"/>
        </w:rPr>
      </w:pPr>
    </w:p>
    <w:p>
      <w:pPr>
        <w:pStyle w:val="703"/>
        <w:spacing w:line="560" w:lineRule="exact"/>
        <w:ind w:firstLine="482"/>
        <w:jc w:val="center"/>
        <w:rPr>
          <w:rFonts w:hint="eastAsia" w:ascii="宋体" w:hAnsi="宋体" w:cs="宋体"/>
          <w:b/>
          <w:szCs w:val="24"/>
        </w:rPr>
        <w:sectPr>
          <w:footerReference r:id="rId10" w:type="first"/>
          <w:headerReference r:id="rId8"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Ref467378404"/>
      <w:bookmarkStart w:id="424" w:name="_Ref467379101"/>
      <w:bookmarkStart w:id="425" w:name="_Ref467379109"/>
      <w:bookmarkStart w:id="426" w:name="_Toc259093669"/>
      <w:bookmarkStart w:id="427" w:name="_Ref467379214"/>
      <w:bookmarkStart w:id="428" w:name="_Ref467379205"/>
      <w:bookmarkStart w:id="429" w:name="_Toc16917"/>
      <w:bookmarkStart w:id="430" w:name="_Ref467379094"/>
      <w:bookmarkStart w:id="431" w:name="_Toc28763"/>
      <w:bookmarkStart w:id="432" w:name="_Toc19614"/>
      <w:bookmarkStart w:id="433" w:name="_Ref467379195"/>
      <w:bookmarkStart w:id="434" w:name="_Toc487900349"/>
      <w:bookmarkStart w:id="435" w:name="_Ref467379225"/>
      <w:bookmarkStart w:id="436" w:name="_Ref467378463"/>
      <w:bookmarkStart w:id="437" w:name="_Ref467378499"/>
      <w:bookmarkStart w:id="438" w:name="_Toc279701240"/>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13336"/>
      <w:bookmarkStart w:id="443" w:name="_Toc27635"/>
      <w:bookmarkStart w:id="444" w:name="_Toc487900350"/>
      <w:bookmarkStart w:id="445" w:name="_Toc259093670"/>
      <w:bookmarkStart w:id="446" w:name="_Toc32504"/>
      <w:bookmarkStart w:id="447" w:name="_Toc279701241"/>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487900351"/>
      <w:bookmarkStart w:id="449" w:name="_Toc259093671"/>
      <w:bookmarkStart w:id="450" w:name="_Toc31634"/>
      <w:bookmarkStart w:id="451" w:name="_Toc9829"/>
      <w:bookmarkStart w:id="452" w:name="_Toc279701242"/>
      <w:bookmarkStart w:id="453" w:name="_Toc27853"/>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29149"/>
      <w:bookmarkStart w:id="455" w:name="_Toc11932"/>
      <w:bookmarkStart w:id="456" w:name="_Toc4194"/>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42"/>
      <w:bookmarkStart w:id="458" w:name="_Ref467379536"/>
      <w:bookmarkStart w:id="459" w:name="_Toc279701245"/>
      <w:bookmarkStart w:id="460" w:name="_Toc487900354"/>
      <w:bookmarkStart w:id="461" w:name="_Ref467379527"/>
      <w:bookmarkStart w:id="462" w:name="_Toc259093674"/>
      <w:bookmarkStart w:id="463" w:name="_Ref467378591"/>
      <w:bookmarkStart w:id="464" w:name="_Ref467378541"/>
      <w:bookmarkStart w:id="465" w:name="_Toc19074"/>
      <w:bookmarkStart w:id="466" w:name="_Toc26182"/>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Toc487900357"/>
      <w:bookmarkStart w:id="472" w:name="_Toc279701247"/>
      <w:bookmarkStart w:id="473" w:name="_Ref467379807"/>
      <w:bookmarkStart w:id="47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Ref467379863"/>
      <w:bookmarkStart w:id="477" w:name="_Toc487900358"/>
      <w:bookmarkStart w:id="478" w:name="_Ref467379852"/>
      <w:bookmarkStart w:id="479" w:name="_Toc279701248"/>
      <w:bookmarkStart w:id="480" w:name="_Ref467379923"/>
      <w:bookmarkStart w:id="481" w:name="_Toc259093677"/>
      <w:bookmarkStart w:id="482" w:name="_Toc16110"/>
      <w:bookmarkStart w:id="483" w:name="_Toc3225"/>
      <w:bookmarkStart w:id="484" w:name="_Toc774"/>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79701252"/>
      <w:bookmarkStart w:id="488" w:name="_Toc259093681"/>
      <w:bookmarkStart w:id="489" w:name="_Toc48790036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259093683"/>
      <w:bookmarkStart w:id="493" w:name="_Ref467378121"/>
      <w:bookmarkStart w:id="494" w:name="_Toc487900364"/>
      <w:bookmarkStart w:id="495" w:name="_Toc279701254"/>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pPr>
        <w:spacing w:line="560" w:lineRule="exact"/>
        <w:ind w:firstLine="482" w:firstLineChars="200"/>
        <w:outlineLvl w:val="0"/>
        <w:rPr>
          <w:rFonts w:ascii="宋体" w:hAnsi="宋体" w:cs="宋体"/>
          <w:b/>
          <w:sz w:val="24"/>
        </w:rPr>
      </w:pPr>
      <w:bookmarkStart w:id="499" w:name="_Toc15237"/>
      <w:bookmarkStart w:id="500" w:name="_Toc10366"/>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6508"/>
      <w:bookmarkStart w:id="503" w:name="_Toc14066"/>
      <w:bookmarkStart w:id="504" w:name="_Toc135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259093684"/>
      <w:bookmarkStart w:id="506" w:name="_Toc30676"/>
      <w:bookmarkStart w:id="507" w:name="_Toc487900365"/>
      <w:bookmarkStart w:id="508" w:name="_Toc689"/>
      <w:bookmarkStart w:id="509" w:name="_Toc279701255"/>
      <w:bookmarkStart w:id="510" w:name="_Toc6969"/>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59093687"/>
      <w:bookmarkStart w:id="512" w:name="_Toc8298"/>
      <w:bookmarkStart w:id="513" w:name="_Toc487900368"/>
      <w:bookmarkStart w:id="514" w:name="_Toc16959"/>
      <w:bookmarkStart w:id="515" w:name="_Toc7102"/>
      <w:bookmarkStart w:id="516" w:name="_Toc279701258"/>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6134"/>
      <w:bookmarkStart w:id="518" w:name="_Toc29333"/>
      <w:bookmarkStart w:id="519" w:name="_Toc15387"/>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6596"/>
      <w:bookmarkStart w:id="521" w:name="_Toc14563"/>
      <w:bookmarkStart w:id="522" w:name="_Toc1125"/>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259093690"/>
      <w:bookmarkStart w:id="524" w:name="_Toc279701261"/>
      <w:bookmarkStart w:id="525" w:name="_Toc487900371"/>
      <w:bookmarkStart w:id="526" w:name="_Toc25182"/>
      <w:bookmarkStart w:id="527" w:name="_Toc19604"/>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3135"/>
      <w:bookmarkStart w:id="530" w:name="_Toc6698"/>
      <w:bookmarkStart w:id="531" w:name="_Toc487900372"/>
      <w:bookmarkStart w:id="532" w:name="_Toc259093691"/>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30599"/>
      <w:bookmarkStart w:id="537" w:name="_Toc18540"/>
      <w:bookmarkStart w:id="538" w:name="_Toc4355"/>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279701263"/>
      <w:bookmarkStart w:id="540" w:name="_Toc18567"/>
      <w:bookmarkStart w:id="541" w:name="_Toc10330"/>
      <w:bookmarkStart w:id="542" w:name="_Toc487900373"/>
      <w:bookmarkStart w:id="543" w:name="_Toc12773"/>
      <w:bookmarkStart w:id="544" w:name="_Toc259093692"/>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4001"/>
      <w:bookmarkStart w:id="546" w:name="_Toc6885"/>
      <w:bookmarkStart w:id="547" w:name="_Toc19890"/>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甲方</w:t>
            </w:r>
            <w:r>
              <w:rPr>
                <w:rFonts w:hint="eastAsia" w:ascii="宋体" w:hAnsi="宋体" w:cs="宋体"/>
                <w:sz w:val="24"/>
              </w:rPr>
              <w:t>向</w:t>
            </w:r>
            <w:r>
              <w:rPr>
                <w:rFonts w:hint="eastAsia" w:ascii="宋体" w:hAnsi="宋体" w:cs="宋体"/>
                <w:sz w:val="24"/>
                <w:lang w:val="en-US" w:eastAsia="zh-CN"/>
              </w:rPr>
              <w:t>乙方</w:t>
            </w:r>
            <w:r>
              <w:rPr>
                <w:rFonts w:hint="eastAsia" w:ascii="宋体" w:hAnsi="宋体" w:cs="宋体"/>
                <w:sz w:val="24"/>
              </w:rPr>
              <w:t>支付合同总价的 40%预付款。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hint="eastAsia" w:ascii="宋体" w:hAnsi="宋体" w:cs="宋体"/>
                <w:sz w:val="24"/>
              </w:rPr>
            </w:pPr>
            <w:r>
              <w:rPr>
                <w:rFonts w:hint="eastAsia" w:ascii="宋体" w:hAnsi="宋体" w:cs="宋体"/>
                <w:sz w:val="24"/>
              </w:rPr>
              <w:t>1.合同生效、具备支付条件后5个工作日内，</w:t>
            </w:r>
            <w:r>
              <w:rPr>
                <w:rFonts w:hint="eastAsia" w:ascii="宋体" w:hAnsi="宋体" w:cs="宋体"/>
                <w:sz w:val="24"/>
                <w:lang w:val="en-US" w:eastAsia="zh-CN"/>
              </w:rPr>
              <w:t>甲方</w:t>
            </w:r>
            <w:r>
              <w:rPr>
                <w:rFonts w:hint="eastAsia" w:ascii="宋体" w:hAnsi="宋体" w:cs="宋体"/>
                <w:sz w:val="24"/>
              </w:rPr>
              <w:t>凭</w:t>
            </w:r>
            <w:r>
              <w:rPr>
                <w:rFonts w:hint="eastAsia" w:ascii="宋体" w:hAnsi="宋体" w:cs="宋体"/>
                <w:sz w:val="24"/>
                <w:lang w:val="en-US" w:eastAsia="zh-CN"/>
              </w:rPr>
              <w:t>乙方</w:t>
            </w:r>
            <w:r>
              <w:rPr>
                <w:rFonts w:hint="eastAsia" w:ascii="宋体" w:hAnsi="宋体" w:cs="宋体"/>
                <w:sz w:val="24"/>
              </w:rPr>
              <w:t>开具的预付款发票，支付40%预付款给</w:t>
            </w:r>
            <w:r>
              <w:rPr>
                <w:rFonts w:hint="eastAsia" w:ascii="宋体" w:hAnsi="宋体" w:cs="宋体"/>
                <w:sz w:val="24"/>
                <w:lang w:val="en-US" w:eastAsia="zh-CN"/>
              </w:rPr>
              <w:t>乙方</w:t>
            </w:r>
            <w:r>
              <w:rPr>
                <w:rFonts w:hint="eastAsia" w:ascii="宋体" w:hAnsi="宋体" w:cs="宋体"/>
                <w:sz w:val="24"/>
              </w:rPr>
              <w:t>，若</w:t>
            </w:r>
            <w:r>
              <w:rPr>
                <w:rFonts w:hint="eastAsia" w:ascii="宋体" w:hAnsi="宋体" w:cs="宋体"/>
                <w:sz w:val="24"/>
                <w:lang w:val="en-US" w:eastAsia="zh-CN"/>
              </w:rPr>
              <w:t>乙方</w:t>
            </w:r>
            <w:r>
              <w:rPr>
                <w:rFonts w:hint="eastAsia" w:ascii="宋体" w:hAnsi="宋体" w:cs="宋体"/>
                <w:sz w:val="24"/>
              </w:rPr>
              <w:t>无需预付款的可选择在仪器设备验收合格后一次性支付；预付款的支付进程不得影响合同的履行。</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乙方</w:t>
            </w:r>
            <w:r>
              <w:rPr>
                <w:rFonts w:hint="eastAsia" w:ascii="宋体" w:hAnsi="宋体" w:cs="宋体"/>
                <w:sz w:val="24"/>
              </w:rPr>
              <w:t>按照</w:t>
            </w:r>
            <w:r>
              <w:rPr>
                <w:rFonts w:hint="eastAsia" w:ascii="宋体" w:hAnsi="宋体" w:cs="宋体"/>
                <w:sz w:val="24"/>
                <w:lang w:val="en-US" w:eastAsia="zh-CN"/>
              </w:rPr>
              <w:t>甲方</w:t>
            </w:r>
            <w:r>
              <w:rPr>
                <w:rFonts w:hint="eastAsia" w:ascii="宋体" w:hAnsi="宋体" w:cs="宋体"/>
                <w:sz w:val="24"/>
              </w:rPr>
              <w:t>要求将货物送至各个使用点；经</w:t>
            </w:r>
            <w:r>
              <w:rPr>
                <w:rFonts w:hint="eastAsia" w:ascii="宋体" w:hAnsi="宋体" w:cs="宋体"/>
                <w:sz w:val="24"/>
                <w:lang w:val="en-US" w:eastAsia="zh-CN"/>
              </w:rPr>
              <w:t>甲方</w:t>
            </w:r>
            <w:r>
              <w:rPr>
                <w:rFonts w:hint="eastAsia" w:ascii="宋体" w:hAnsi="宋体" w:cs="宋体"/>
                <w:sz w:val="24"/>
              </w:rPr>
              <w:t>组织验收，送货时间、地点、产品规格、型号、数量、质量及参数要求完全符合合同约定。</w:t>
            </w:r>
          </w:p>
          <w:p>
            <w:pPr>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乙方</w:t>
            </w:r>
            <w:r>
              <w:rPr>
                <w:rFonts w:hint="eastAsia" w:ascii="宋体" w:hAnsi="宋体" w:cs="宋体"/>
                <w:sz w:val="24"/>
              </w:rPr>
              <w:t>向</w:t>
            </w:r>
            <w:r>
              <w:rPr>
                <w:rFonts w:hint="eastAsia" w:ascii="宋体" w:hAnsi="宋体" w:cs="宋体"/>
                <w:sz w:val="24"/>
                <w:lang w:val="en-US" w:eastAsia="zh-CN"/>
              </w:rPr>
              <w:t>甲方</w:t>
            </w:r>
            <w:r>
              <w:rPr>
                <w:rFonts w:hint="eastAsia" w:ascii="宋体" w:hAnsi="宋体" w:cs="宋体"/>
                <w:sz w:val="24"/>
              </w:rPr>
              <w:t>开具符合法律、法规规范及行业要求的真实、有效的增值税专用发票（进口免税产品须提供免表及报关单并符合税务部门的相关开票规定）。</w:t>
            </w:r>
          </w:p>
          <w:p>
            <w:pPr>
              <w:spacing w:line="360" w:lineRule="auto"/>
              <w:rPr>
                <w:rFonts w:ascii="宋体" w:hAnsi="宋体" w:cs="宋体"/>
                <w:sz w:val="24"/>
              </w:rPr>
            </w:pPr>
            <w:r>
              <w:rPr>
                <w:rFonts w:hint="eastAsia" w:ascii="宋体" w:hAnsi="宋体" w:cs="宋体"/>
                <w:sz w:val="24"/>
              </w:rPr>
              <w:t>4.</w:t>
            </w:r>
            <w:r>
              <w:rPr>
                <w:rFonts w:hint="eastAsia" w:ascii="宋体" w:hAnsi="宋体" w:cs="宋体"/>
                <w:sz w:val="24"/>
                <w:lang w:val="en-US" w:eastAsia="zh-CN"/>
              </w:rPr>
              <w:t>甲方</w:t>
            </w:r>
            <w:r>
              <w:rPr>
                <w:rFonts w:hint="eastAsia" w:ascii="宋体" w:hAnsi="宋体" w:cs="宋体"/>
                <w:sz w:val="24"/>
              </w:rPr>
              <w:t>凭</w:t>
            </w:r>
            <w:r>
              <w:rPr>
                <w:rFonts w:hint="eastAsia" w:ascii="宋体" w:hAnsi="宋体" w:cs="宋体"/>
                <w:sz w:val="24"/>
                <w:lang w:val="en-US" w:eastAsia="zh-CN"/>
              </w:rPr>
              <w:t>乙方</w:t>
            </w:r>
            <w:r>
              <w:rPr>
                <w:rFonts w:hint="eastAsia" w:ascii="宋体" w:hAnsi="宋体" w:cs="宋体"/>
                <w:sz w:val="24"/>
              </w:rPr>
              <w:t>的供货发票，校内验收单、入库单等支付凭证办理相关支付手续，满足合同约定的支付条件后5个工作日向</w:t>
            </w:r>
            <w:r>
              <w:rPr>
                <w:rFonts w:hint="eastAsia" w:ascii="宋体" w:hAnsi="宋体" w:cs="宋体"/>
                <w:sz w:val="24"/>
                <w:lang w:val="en-US" w:eastAsia="zh-CN"/>
              </w:rPr>
              <w:t>乙方</w:t>
            </w:r>
            <w:r>
              <w:rPr>
                <w:rFonts w:hint="eastAsia" w:ascii="宋体" w:hAnsi="宋体" w:cs="宋体"/>
                <w:sz w:val="24"/>
              </w:rPr>
              <w:t>付清全部合同款。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r>
              <w:rPr>
                <w:rFonts w:hint="eastAsia" w:ascii="宋体" w:hAnsi="宋体" w:cs="宋体"/>
                <w:sz w:val="24"/>
                <w:lang w:val="en-US" w:eastAsia="zh-CN"/>
              </w:rPr>
              <w:t>合</w:t>
            </w:r>
            <w:r>
              <w:rPr>
                <w:rFonts w:hint="eastAsia" w:ascii="宋体" w:hAnsi="宋体" w:cs="宋体"/>
                <w:sz w:val="24"/>
              </w:rPr>
              <w:t>同签订后 10日历天内完成所有产品的设计、制作、供货至指定地点及安装工作，并经</w:t>
            </w:r>
            <w:r>
              <w:rPr>
                <w:rFonts w:hint="eastAsia" w:ascii="宋体" w:hAnsi="宋体" w:cs="宋体"/>
                <w:sz w:val="24"/>
                <w:lang w:val="en-US" w:eastAsia="zh-CN"/>
              </w:rPr>
              <w:t>甲方</w:t>
            </w:r>
            <w:r>
              <w:rPr>
                <w:rFonts w:hint="eastAsia" w:ascii="宋体" w:hAnsi="宋体" w:cs="宋体"/>
                <w:sz w:val="24"/>
              </w:rPr>
              <w:t>初步验收合格。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根据甲方指定方式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hint="eastAsia" w:ascii="宋体" w:hAnsi="宋体" w:eastAsia="宋体" w:cs="宋体"/>
                <w:sz w:val="24"/>
                <w:lang w:eastAsia="zh-CN"/>
              </w:rPr>
            </w:pPr>
            <w:r>
              <w:rPr>
                <w:rFonts w:hint="eastAsia" w:ascii="宋体" w:hAnsi="宋体" w:cs="宋体"/>
                <w:sz w:val="24"/>
              </w:rPr>
              <w:t>乙方或乙方人员违反本合同约定的任何义务的，应承担甲方因实现权利所支付的所有费用，包括但不限于调查取证费、鉴定费、公证费、评估费、保全费、担保费、律师费、仲裁费/诉讼费、公告费等</w:t>
            </w:r>
            <w:r>
              <w:rPr>
                <w:rFonts w:hint="eastAsia" w:ascii="宋体" w:hAnsi="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乙方应根据本合同的约定提供服务并提交工作成果。乙方履行合同形成的资料</w:t>
            </w:r>
          </w:p>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和成果的所有权及知识产权归甲方所有。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napToGrid w:val="0"/>
              <w:spacing w:before="120" w:beforeLines="50" w:line="320" w:lineRule="exact"/>
              <w:rPr>
                <w:rFonts w:ascii="宋体" w:hAnsi="宋体" w:cs="宋体"/>
                <w:sz w:val="24"/>
              </w:rPr>
            </w:pPr>
            <w:r>
              <w:rPr>
                <w:rFonts w:hint="eastAsia" w:asciiTheme="minorEastAsia" w:hAnsiTheme="minorEastAsia" w:eastAsiaTheme="minorEastAsia" w:cstheme="minorEastAsia"/>
                <w:sz w:val="24"/>
                <w:szCs w:val="24"/>
              </w:rPr>
              <w:t>本项目验收根据《杭州市政府采购履约验收暂行办法》（杭财采监[2019]10号）的要求。按照一般程序进行验收，验收方法为一次性验收。履约验收产生的费用，属于首次验收过程中产生的，由</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承担；属于首次验收不合格，重新验收过程中产生的，由</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r>
              <w:rPr>
                <w:rFonts w:hint="eastAsia" w:ascii="宋体" w:hAnsi="宋体" w:cs="宋体"/>
                <w:sz w:val="24"/>
              </w:rPr>
              <w:t>本合同一式陆份，甲方肆份，乙方贰份，具有同等法律效力。</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7"/>
      </w:pPr>
    </w:p>
    <w:p/>
    <w:p>
      <w:pPr>
        <w:spacing w:line="360" w:lineRule="auto"/>
        <w:ind w:left="720" w:firstLine="723" w:firstLineChars="200"/>
        <w:outlineLvl w:val="0"/>
        <w:rPr>
          <w:rFonts w:hint="eastAsia" w:ascii="宋体" w:hAnsi="宋体" w:cs="宋体"/>
          <w:b/>
          <w:sz w:val="36"/>
          <w:szCs w:val="20"/>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left="0" w:firstLine="0" w:firstLineChars="0"/>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2024年杭州市余杭区太炎中学饮水设备及管线采购项目</w:t>
      </w:r>
      <w:r>
        <w:rPr>
          <w:rFonts w:hint="eastAsia" w:ascii="宋体" w:hAnsi="宋体" w:cs="宋体"/>
          <w:color w:val="auto"/>
          <w:sz w:val="24"/>
        </w:rPr>
        <w:t>【招标编号：（采购编号）】政府采购活动，郑重承诺：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jc w:val="both"/>
        <w:rPr>
          <w:rFonts w:ascii="宋体" w:hAnsi="宋体" w:cs="宋体"/>
          <w:b/>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kern w:val="0"/>
          <w:sz w:val="32"/>
          <w:szCs w:val="32"/>
        </w:rPr>
        <w:t>二</w:t>
      </w:r>
      <w:r>
        <w:rPr>
          <w:rFonts w:hint="eastAsia" w:ascii="宋体" w:hAnsi="宋体" w:cs="宋体"/>
          <w:b/>
          <w:color w:val="auto"/>
          <w:kern w:val="0"/>
          <w:sz w:val="32"/>
          <w:szCs w:val="32"/>
        </w:rPr>
        <w:t>、联合协议（如果有）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pStyle w:val="62"/>
        <w:rPr>
          <w:rFonts w:ascii="宋体" w:hAnsi="宋体" w:cs="宋体"/>
          <w:b/>
          <w:kern w:val="0"/>
          <w:sz w:val="32"/>
          <w:szCs w:val="32"/>
        </w:rPr>
      </w:pPr>
    </w:p>
    <w:p>
      <w:pPr>
        <w:pStyle w:val="27"/>
        <w:rPr>
          <w:rFonts w:ascii="宋体" w:hAnsi="宋体" w:cs="宋体"/>
          <w:b/>
          <w:kern w:val="0"/>
          <w:sz w:val="32"/>
          <w:szCs w:val="32"/>
        </w:rPr>
      </w:pPr>
    </w:p>
    <w:p>
      <w:pP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0" w:firstLine="0" w:firstLineChars="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jc w:val="left"/>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jc w:val="left"/>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jc w:val="left"/>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jc w:val="left"/>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jc w:val="left"/>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pStyle w:val="35"/>
        <w:ind w:firstLine="480" w:firstLineChars="2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zh-CN" w:eastAsia="zh-CN" w:bidi="ar-SA"/>
        </w:rPr>
        <w:t>（</w:t>
      </w:r>
      <w:r>
        <w:rPr>
          <w:rFonts w:hint="eastAsia" w:ascii="宋体" w:hAnsi="宋体" w:eastAsia="宋体" w:cs="宋体"/>
          <w:snapToGrid/>
          <w:kern w:val="2"/>
          <w:sz w:val="24"/>
          <w:szCs w:val="24"/>
          <w:lang w:val="en-US" w:eastAsia="zh-CN" w:bidi="ar-SA"/>
        </w:rPr>
        <w:t>9</w:t>
      </w:r>
      <w:r>
        <w:rPr>
          <w:rFonts w:hint="eastAsia" w:ascii="宋体" w:hAnsi="宋体" w:eastAsia="宋体" w:cs="宋体"/>
          <w:snapToGrid/>
          <w:kern w:val="2"/>
          <w:sz w:val="24"/>
          <w:szCs w:val="24"/>
          <w:lang w:val="zh-CN" w:eastAsia="zh-CN" w:bidi="ar-SA"/>
        </w:rPr>
        <w:t>）缴纳采购代理服务费承诺书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7"/>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2024年杭州市余杭区太炎中学饮水设备及管线采购项目</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2024年杭州市余杭区太炎中学饮水设备及管线采购项目</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2024年杭州市余杭区太炎中学饮水设备及管线采购项目</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rPr>
            </w:pPr>
            <w:r>
              <w:rPr>
                <w:rFonts w:hint="eastAsia" w:hAnsi="宋体" w:cs="宋体"/>
                <w:bCs/>
                <w:color w:val="auto"/>
                <w:sz w:val="24"/>
              </w:rPr>
              <w:t>正面：                                 反面：</w:t>
            </w:r>
          </w:p>
          <w:p>
            <w:pPr>
              <w:pStyle w:val="150"/>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548"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8"/>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7"/>
        <w:rPr>
          <w:color w:val="auto"/>
          <w:lang w:val="en-US"/>
        </w:rPr>
      </w:pPr>
    </w:p>
    <w:p>
      <w:pPr>
        <w:rPr>
          <w:color w:val="auto"/>
        </w:rPr>
      </w:pPr>
    </w:p>
    <w:p>
      <w:pPr>
        <w:pStyle w:val="7"/>
        <w:rPr>
          <w:color w:val="auto"/>
          <w:lang w:val="en-US"/>
        </w:rPr>
      </w:pPr>
    </w:p>
    <w:p>
      <w:pPr>
        <w:pStyle w:val="27"/>
        <w:rPr>
          <w:color w:val="auto"/>
          <w:lang w:val="en-US"/>
        </w:rPr>
      </w:pPr>
    </w:p>
    <w:p>
      <w:pPr>
        <w:rPr>
          <w:color w:val="auto"/>
          <w:lang w:val="en-US"/>
        </w:rPr>
      </w:pPr>
    </w:p>
    <w:p>
      <w:pPr>
        <w:pStyle w:val="62"/>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62"/>
        <w:rPr>
          <w:rFonts w:ascii="宋体" w:hAnsi="宋体" w:cs="宋体"/>
          <w:b/>
          <w:color w:val="auto"/>
          <w:kern w:val="0"/>
          <w:sz w:val="32"/>
          <w:szCs w:val="32"/>
        </w:rPr>
      </w:pPr>
    </w:p>
    <w:p>
      <w:pPr>
        <w:pStyle w:val="27"/>
        <w:rPr>
          <w:rFonts w:ascii="宋体" w:hAnsi="宋体" w:cs="宋体"/>
          <w:b/>
          <w:color w:val="auto"/>
          <w:kern w:val="0"/>
          <w:sz w:val="32"/>
          <w:szCs w:val="32"/>
        </w:rPr>
      </w:pPr>
    </w:p>
    <w:p>
      <w:pPr>
        <w:rPr>
          <w:color w:val="auto"/>
        </w:rPr>
      </w:pPr>
    </w:p>
    <w:p>
      <w:pPr>
        <w:jc w:val="center"/>
        <w:rPr>
          <w:rFonts w:ascii="宋体" w:hAnsi="宋体" w:cs="宋体"/>
          <w:b/>
          <w:color w:val="auto"/>
          <w:kern w:val="0"/>
          <w:sz w:val="32"/>
          <w:szCs w:val="32"/>
        </w:rPr>
      </w:pPr>
    </w:p>
    <w:p>
      <w:pPr>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pStyle w:val="62"/>
        <w:rPr>
          <w:rFonts w:ascii="宋体" w:hAnsi="宋体" w:cs="宋体"/>
          <w:b/>
          <w:color w:val="auto"/>
          <w:kern w:val="0"/>
          <w:sz w:val="32"/>
          <w:szCs w:val="32"/>
        </w:rPr>
      </w:pPr>
    </w:p>
    <w:p>
      <w:pPr>
        <w:pStyle w:val="27"/>
        <w:rPr>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br w:type="page"/>
      </w: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九、</w:t>
      </w:r>
      <w:r>
        <w:rPr>
          <w:rFonts w:hint="eastAsia" w:ascii="宋体" w:hAnsi="宋体" w:eastAsia="宋体" w:cs="宋体"/>
          <w:b/>
          <w:kern w:val="0"/>
          <w:sz w:val="32"/>
          <w:szCs w:val="32"/>
        </w:rPr>
        <w:t>缴纳采购代理服务费承诺书</w:t>
      </w:r>
    </w:p>
    <w:p>
      <w:pPr>
        <w:pStyle w:val="321"/>
        <w:spacing w:line="360" w:lineRule="auto"/>
        <w:ind w:firstLine="562"/>
        <w:jc w:val="center"/>
        <w:rPr>
          <w:rFonts w:hint="eastAsia" w:ascii="Times New Roman" w:hAnsi="Times New Roman" w:eastAsia="宋体" w:cs="仿宋_GB2312"/>
          <w:b/>
          <w:bCs/>
          <w:color w:val="auto"/>
          <w:sz w:val="28"/>
          <w:szCs w:val="28"/>
        </w:rPr>
      </w:pPr>
    </w:p>
    <w:p>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int="eastAsia" w:ascii="Times New Roman" w:hAnsi="Times New Roman" w:eastAsia="宋体" w:cs="仿宋_GB2312"/>
          <w:color w:val="auto"/>
          <w:sz w:val="30"/>
          <w:szCs w:val="30"/>
        </w:rPr>
      </w:pPr>
      <w:r>
        <w:rPr>
          <w:rFonts w:hint="eastAsia" w:ascii="Times New Roman" w:hAnsi="Times New Roman" w:eastAsia="宋体" w:cs="宋体"/>
          <w:color w:val="auto"/>
          <w:sz w:val="24"/>
          <w:szCs w:val="24"/>
          <w:u w:val="single"/>
          <w:lang w:eastAsia="zh-CN"/>
        </w:rPr>
        <w:t>浙江</w:t>
      </w:r>
      <w:r>
        <w:rPr>
          <w:rFonts w:hint="eastAsia" w:ascii="Times New Roman" w:hAnsi="Times New Roman" w:eastAsia="宋体" w:cs="宋体"/>
          <w:color w:val="auto"/>
          <w:sz w:val="24"/>
          <w:szCs w:val="24"/>
          <w:u w:val="single"/>
          <w:lang w:val="en-US" w:eastAsia="zh-CN"/>
        </w:rPr>
        <w:t>致信招标代理</w:t>
      </w:r>
      <w:r>
        <w:rPr>
          <w:rFonts w:hint="eastAsia" w:ascii="Times New Roman" w:hAnsi="Times New Roman" w:eastAsia="宋体" w:cs="宋体"/>
          <w:color w:val="auto"/>
          <w:sz w:val="24"/>
          <w:szCs w:val="24"/>
          <w:u w:val="single"/>
          <w:lang w:eastAsia="zh-CN"/>
        </w:rPr>
        <w:t>有限公司</w:t>
      </w:r>
      <w:r>
        <w:rPr>
          <w:rFonts w:hint="eastAsia" w:ascii="Times New Roman" w:hAnsi="Times New Roman" w:eastAsia="宋体" w:cs="宋体"/>
          <w:color w:val="auto"/>
          <w:sz w:val="24"/>
          <w:szCs w:val="24"/>
        </w:rPr>
        <w:t>：</w:t>
      </w:r>
    </w:p>
    <w:p>
      <w:pPr>
        <w:keepNext w:val="0"/>
        <w:keepLines w:val="0"/>
        <w:pageBreakBefore w:val="0"/>
        <w:widowControl w:val="0"/>
        <w:kinsoku/>
        <w:wordWrap/>
        <w:overflowPunct/>
        <w:topLinePunct w:val="0"/>
        <w:autoSpaceDE/>
        <w:autoSpaceDN/>
        <w:bidi w:val="0"/>
        <w:snapToGrid/>
        <w:spacing w:line="360" w:lineRule="auto"/>
        <w:ind w:firstLine="440"/>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我方在你公司组织的</w:t>
      </w:r>
      <w:r>
        <w:rPr>
          <w:rFonts w:hint="eastAsia" w:ascii="Times New Roman" w:hAnsi="Times New Roman" w:eastAsia="宋体" w:cs="宋体"/>
          <w:color w:val="auto"/>
          <w:sz w:val="24"/>
          <w:szCs w:val="24"/>
          <w:u w:val="single"/>
          <w:lang w:eastAsia="zh-CN"/>
        </w:rPr>
        <w:t>【</w:t>
      </w:r>
      <w:r>
        <w:rPr>
          <w:rFonts w:hint="eastAsia" w:ascii="Times New Roman" w:hAnsi="Times New Roman" w:eastAsia="宋体" w:cs="宋体"/>
          <w:color w:val="auto"/>
          <w:sz w:val="24"/>
          <w:szCs w:val="24"/>
          <w:u w:val="single"/>
          <w:lang w:val="en-US" w:eastAsia="zh-CN"/>
        </w:rPr>
        <w:t>项目名称</w:t>
      </w:r>
      <w:r>
        <w:rPr>
          <w:rFonts w:hint="eastAsia" w:ascii="Times New Roman" w:hAnsi="Times New Roman" w:eastAsia="宋体" w:cs="宋体"/>
          <w:color w:val="auto"/>
          <w:sz w:val="24"/>
          <w:szCs w:val="24"/>
          <w:u w:val="single"/>
          <w:lang w:eastAsia="zh-CN"/>
        </w:rPr>
        <w:t>】（</w:t>
      </w:r>
      <w:r>
        <w:rPr>
          <w:rFonts w:hint="eastAsia" w:ascii="Times New Roman" w:hAnsi="Times New Roman" w:eastAsia="宋体" w:cs="宋体"/>
          <w:color w:val="auto"/>
          <w:sz w:val="24"/>
          <w:szCs w:val="24"/>
          <w:u w:val="single"/>
          <w:lang w:val="en-US" w:eastAsia="zh-CN"/>
        </w:rPr>
        <w:t>项目编号</w:t>
      </w:r>
      <w:r>
        <w:rPr>
          <w:rFonts w:hint="eastAsia" w:ascii="Times New Roman" w:hAnsi="Times New Roman" w:eastAsia="宋体" w:cs="宋体"/>
          <w:color w:val="auto"/>
          <w:sz w:val="24"/>
          <w:szCs w:val="24"/>
          <w:u w:val="single"/>
          <w:lang w:eastAsia="zh-CN"/>
        </w:rPr>
        <w:t>）</w:t>
      </w:r>
      <w:r>
        <w:rPr>
          <w:rFonts w:hint="eastAsia" w:ascii="Times New Roman" w:hAnsi="Times New Roman" w:eastAsia="宋体" w:cs="宋体"/>
          <w:color w:val="auto"/>
          <w:sz w:val="24"/>
          <w:szCs w:val="24"/>
        </w:rPr>
        <w:t>的采购活动中若获成交，我方保证</w:t>
      </w:r>
      <w:r>
        <w:rPr>
          <w:rFonts w:hint="eastAsia" w:ascii="Times New Roman" w:hAnsi="Times New Roman" w:eastAsia="宋体" w:cs="宋体"/>
          <w:color w:val="auto"/>
          <w:sz w:val="24"/>
          <w:szCs w:val="24"/>
          <w:lang w:val="en-US" w:eastAsia="zh-CN"/>
        </w:rPr>
        <w:t>于</w:t>
      </w:r>
      <w:r>
        <w:rPr>
          <w:rFonts w:hint="eastAsia" w:ascii="Times New Roman" w:hAnsi="Times New Roman" w:eastAsia="宋体" w:cs="宋体"/>
          <w:color w:val="auto"/>
          <w:sz w:val="24"/>
          <w:szCs w:val="24"/>
        </w:rPr>
        <w:t>中标后[具体时间]，按采购文件</w:t>
      </w:r>
      <w:r>
        <w:rPr>
          <w:rFonts w:hint="eastAsia" w:ascii="Times New Roman" w:hAnsi="Times New Roman" w:eastAsia="宋体" w:cs="宋体"/>
          <w:b/>
          <w:color w:val="auto"/>
          <w:sz w:val="24"/>
          <w:szCs w:val="24"/>
        </w:rPr>
        <w:t>“响应</w:t>
      </w:r>
      <w:r>
        <w:rPr>
          <w:rFonts w:hint="eastAsia" w:ascii="Times New Roman" w:hAnsi="Times New Roman" w:eastAsia="宋体" w:cs="宋体"/>
          <w:b/>
          <w:color w:val="auto"/>
          <w:sz w:val="24"/>
          <w:szCs w:val="24"/>
          <w:lang w:val="en-US" w:eastAsia="zh-CN"/>
        </w:rPr>
        <w:t>/投标</w:t>
      </w:r>
      <w:r>
        <w:rPr>
          <w:rFonts w:hint="eastAsia" w:ascii="Times New Roman" w:hAnsi="Times New Roman" w:eastAsia="宋体" w:cs="宋体"/>
          <w:b/>
          <w:color w:val="auto"/>
          <w:sz w:val="24"/>
          <w:szCs w:val="24"/>
        </w:rPr>
        <w:t>人须知前附表”</w:t>
      </w:r>
      <w:r>
        <w:rPr>
          <w:rFonts w:hint="eastAsia" w:ascii="Times New Roman" w:hAnsi="Times New Roman" w:eastAsia="宋体" w:cs="宋体"/>
          <w:color w:val="auto"/>
          <w:sz w:val="24"/>
          <w:szCs w:val="24"/>
        </w:rPr>
        <w:t>规定</w:t>
      </w:r>
      <w:r>
        <w:rPr>
          <w:rFonts w:hint="eastAsia" w:ascii="Times New Roman" w:hAnsi="Times New Roman" w:eastAsia="宋体" w:cs="宋体"/>
          <w:color w:val="auto"/>
          <w:sz w:val="24"/>
          <w:szCs w:val="24"/>
          <w:lang w:val="en-US" w:eastAsia="zh-CN"/>
        </w:rPr>
        <w:t>的</w:t>
      </w:r>
      <w:r>
        <w:rPr>
          <w:rFonts w:hint="eastAsia" w:ascii="Times New Roman" w:hAnsi="Times New Roman" w:eastAsia="宋体" w:cs="宋体"/>
          <w:sz w:val="24"/>
          <w:szCs w:val="24"/>
          <w:lang w:val="en-US" w:eastAsia="zh-CN"/>
        </w:rPr>
        <w:t>采购代理服务费缴纳标准及方式</w:t>
      </w:r>
      <w:r>
        <w:rPr>
          <w:rFonts w:hint="eastAsia" w:ascii="Times New Roman" w:hAnsi="Times New Roman" w:eastAsia="宋体" w:cs="宋体"/>
          <w:color w:val="auto"/>
          <w:sz w:val="24"/>
          <w:szCs w:val="24"/>
        </w:rPr>
        <w:t>，向你公司支付采购代理服务费。</w:t>
      </w:r>
    </w:p>
    <w:p>
      <w:pPr>
        <w:keepNext w:val="0"/>
        <w:keepLines w:val="0"/>
        <w:pageBreakBefore w:val="0"/>
        <w:widowControl w:val="0"/>
        <w:kinsoku/>
        <w:wordWrap/>
        <w:overflowPunct/>
        <w:topLinePunct w:val="0"/>
        <w:autoSpaceDE/>
        <w:autoSpaceDN/>
        <w:bidi w:val="0"/>
        <w:snapToGrid/>
        <w:spacing w:line="360" w:lineRule="auto"/>
        <w:ind w:firstLine="440"/>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我方</w:t>
      </w:r>
      <w:r>
        <w:rPr>
          <w:rFonts w:hint="eastAsia" w:ascii="Times New Roman" w:hAnsi="Times New Roman" w:eastAsia="宋体" w:cs="宋体"/>
          <w:color w:val="auto"/>
          <w:sz w:val="24"/>
          <w:szCs w:val="24"/>
          <w:lang w:val="en-US" w:eastAsia="zh-CN"/>
        </w:rPr>
        <w:t>理解并承诺，若</w:t>
      </w:r>
      <w:r>
        <w:rPr>
          <w:rFonts w:hint="eastAsia" w:ascii="Times New Roman" w:hAnsi="Times New Roman" w:eastAsia="宋体" w:cs="宋体"/>
          <w:color w:val="auto"/>
          <w:sz w:val="24"/>
          <w:szCs w:val="24"/>
        </w:rPr>
        <w:t>未能按时缴纳采购代理服务费，</w:t>
      </w:r>
      <w:r>
        <w:rPr>
          <w:rFonts w:hint="eastAsia" w:ascii="Times New Roman" w:hAnsi="Times New Roman" w:eastAsia="宋体" w:cs="宋体"/>
          <w:color w:val="auto"/>
          <w:sz w:val="24"/>
          <w:szCs w:val="24"/>
          <w:lang w:val="en-US" w:eastAsia="zh-CN"/>
        </w:rPr>
        <w:t>由此产生的</w:t>
      </w:r>
      <w:r>
        <w:rPr>
          <w:rFonts w:hint="eastAsia" w:ascii="Times New Roman" w:hAnsi="Times New Roman" w:eastAsia="宋体" w:cs="宋体"/>
          <w:color w:val="auto"/>
          <w:sz w:val="24"/>
          <w:szCs w:val="24"/>
        </w:rPr>
        <w:t>法律责任</w:t>
      </w:r>
      <w:r>
        <w:rPr>
          <w:rFonts w:hint="eastAsia" w:ascii="Times New Roman" w:hAnsi="Times New Roman" w:eastAsia="宋体" w:cs="宋体"/>
          <w:color w:val="auto"/>
          <w:sz w:val="24"/>
          <w:szCs w:val="24"/>
          <w:lang w:val="en-US" w:eastAsia="zh-CN"/>
        </w:rPr>
        <w:t>我方自行承担。我方承诺，本承诺书一旦盖章，即具有法律效力</w:t>
      </w:r>
      <w:r>
        <w:rPr>
          <w:rFonts w:hint="eastAsia" w:ascii="Times New Roman" w:hAnsi="Times New Roman" w:eastAsia="宋体" w:cs="宋体"/>
          <w:color w:val="auto"/>
          <w:sz w:val="24"/>
          <w:szCs w:val="24"/>
        </w:rPr>
        <w:t>。</w:t>
      </w:r>
    </w:p>
    <w:p>
      <w:pPr>
        <w:pStyle w:val="321"/>
        <w:keepNext w:val="0"/>
        <w:keepLines w:val="0"/>
        <w:pageBreakBefore w:val="0"/>
        <w:widowControl w:val="0"/>
        <w:kinsoku/>
        <w:wordWrap/>
        <w:overflowPunct/>
        <w:topLinePunct w:val="0"/>
        <w:autoSpaceDE/>
        <w:autoSpaceDN/>
        <w:bidi w:val="0"/>
        <w:snapToGrid/>
        <w:spacing w:line="360" w:lineRule="auto"/>
        <w:ind w:firstLine="440"/>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特此承诺。</w:t>
      </w:r>
    </w:p>
    <w:p>
      <w:pPr>
        <w:pStyle w:val="321"/>
        <w:keepNext w:val="0"/>
        <w:keepLines w:val="0"/>
        <w:pageBreakBefore w:val="0"/>
        <w:widowControl w:val="0"/>
        <w:kinsoku/>
        <w:wordWrap/>
        <w:overflowPunct/>
        <w:topLinePunct w:val="0"/>
        <w:autoSpaceDE/>
        <w:autoSpaceDN/>
        <w:bidi w:val="0"/>
        <w:snapToGrid/>
        <w:spacing w:line="360" w:lineRule="auto"/>
        <w:ind w:firstLine="440"/>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响应</w:t>
      </w:r>
      <w:r>
        <w:rPr>
          <w:rFonts w:hint="eastAsia" w:ascii="Times New Roman" w:hAnsi="Times New Roman" w:eastAsia="宋体" w:cs="宋体"/>
          <w:color w:val="auto"/>
          <w:sz w:val="24"/>
          <w:szCs w:val="24"/>
          <w:lang w:val="en-US" w:eastAsia="zh-CN"/>
        </w:rPr>
        <w:t>/投标</w:t>
      </w:r>
      <w:r>
        <w:rPr>
          <w:rFonts w:hint="eastAsia" w:ascii="Times New Roman" w:hAnsi="Times New Roman" w:eastAsia="宋体" w:cs="宋体"/>
          <w:color w:val="auto"/>
          <w:sz w:val="24"/>
          <w:szCs w:val="24"/>
        </w:rPr>
        <w:t>人全称（盖单位公章）：</w:t>
      </w:r>
    </w:p>
    <w:p>
      <w:pPr>
        <w:pStyle w:val="321"/>
        <w:keepNext w:val="0"/>
        <w:keepLines w:val="0"/>
        <w:pageBreakBefore w:val="0"/>
        <w:widowControl w:val="0"/>
        <w:kinsoku/>
        <w:wordWrap/>
        <w:overflowPunct/>
        <w:topLinePunct w:val="0"/>
        <w:autoSpaceDE/>
        <w:autoSpaceDN/>
        <w:bidi w:val="0"/>
        <w:snapToGrid/>
        <w:spacing w:line="360" w:lineRule="auto"/>
        <w:ind w:firstLine="440"/>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响应</w:t>
      </w:r>
      <w:r>
        <w:rPr>
          <w:rFonts w:hint="eastAsia" w:ascii="Times New Roman" w:hAnsi="Times New Roman" w:eastAsia="宋体" w:cs="宋体"/>
          <w:color w:val="auto"/>
          <w:sz w:val="24"/>
          <w:szCs w:val="24"/>
          <w:lang w:val="en-US" w:eastAsia="zh-CN"/>
        </w:rPr>
        <w:t>/投标</w:t>
      </w:r>
      <w:r>
        <w:rPr>
          <w:rFonts w:hint="eastAsia" w:ascii="Times New Roman" w:hAnsi="Times New Roman" w:eastAsia="宋体" w:cs="宋体"/>
          <w:color w:val="auto"/>
          <w:sz w:val="24"/>
          <w:szCs w:val="24"/>
        </w:rPr>
        <w:t xml:space="preserve">人法定代表人或委托代理人（签字或盖章）： </w:t>
      </w:r>
    </w:p>
    <w:p>
      <w:pPr>
        <w:pStyle w:val="35"/>
      </w:pPr>
      <w:r>
        <w:rPr>
          <w:rFonts w:hint="eastAsia" w:ascii="Times New Roman" w:hAnsi="Times New Roman" w:eastAsia="宋体" w:cs="宋体"/>
          <w:color w:val="auto"/>
          <w:sz w:val="24"/>
          <w:szCs w:val="24"/>
        </w:rPr>
        <w:t>日期：</w:t>
      </w:r>
      <w:r>
        <w:rPr>
          <w:rFonts w:hint="eastAsia" w:ascii="Times New Roman" w:hAnsi="Times New Roman" w:eastAsia="宋体" w:cs="宋体"/>
          <w:color w:val="auto"/>
          <w:sz w:val="24"/>
          <w:szCs w:val="24"/>
          <w:u w:val="single"/>
        </w:rPr>
        <w:t xml:space="preserve">   年  月  日</w:t>
      </w:r>
    </w:p>
    <w:p>
      <w:pPr>
        <w:spacing w:line="360" w:lineRule="auto"/>
        <w:jc w:val="center"/>
        <w:rPr>
          <w:rFonts w:ascii="宋体" w:hAnsi="宋体" w:cs="宋体"/>
          <w:b/>
          <w:bCs/>
          <w:color w:val="auto"/>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2024年杭州市余杭区太炎中学饮水设备及管线采购项目</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486"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632" w:type="pct"/>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070"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340"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53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680"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1070" w:type="pct"/>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486"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632" w:type="pct"/>
            <w:vAlign w:val="center"/>
          </w:tcPr>
          <w:p>
            <w:pPr>
              <w:snapToGrid w:val="0"/>
              <w:spacing w:line="360" w:lineRule="auto"/>
              <w:jc w:val="center"/>
              <w:rPr>
                <w:rFonts w:ascii="宋体" w:hAnsi="宋体" w:cs="宋体"/>
                <w:color w:val="auto"/>
                <w:sz w:val="24"/>
              </w:rPr>
            </w:pPr>
          </w:p>
        </w:tc>
        <w:tc>
          <w:tcPr>
            <w:tcW w:w="1070" w:type="pct"/>
            <w:vAlign w:val="center"/>
          </w:tcPr>
          <w:p>
            <w:pPr>
              <w:snapToGrid w:val="0"/>
              <w:spacing w:line="360" w:lineRule="auto"/>
              <w:jc w:val="center"/>
              <w:rPr>
                <w:rFonts w:ascii="宋体" w:hAnsi="宋体" w:cs="宋体"/>
                <w:color w:val="auto"/>
                <w:sz w:val="24"/>
              </w:rPr>
            </w:pPr>
          </w:p>
        </w:tc>
        <w:tc>
          <w:tcPr>
            <w:tcW w:w="340" w:type="pct"/>
            <w:vAlign w:val="center"/>
          </w:tcPr>
          <w:p>
            <w:pPr>
              <w:snapToGrid w:val="0"/>
              <w:spacing w:line="360" w:lineRule="auto"/>
              <w:jc w:val="center"/>
              <w:rPr>
                <w:rFonts w:ascii="宋体" w:hAnsi="宋体" w:cs="宋体"/>
                <w:color w:val="auto"/>
                <w:sz w:val="24"/>
              </w:rPr>
            </w:pPr>
          </w:p>
        </w:tc>
        <w:tc>
          <w:tcPr>
            <w:tcW w:w="534" w:type="pct"/>
            <w:vAlign w:val="center"/>
          </w:tcPr>
          <w:p>
            <w:pPr>
              <w:spacing w:line="360" w:lineRule="auto"/>
              <w:jc w:val="center"/>
              <w:rPr>
                <w:rFonts w:ascii="宋体" w:hAnsi="宋体" w:cs="宋体"/>
                <w:color w:val="auto"/>
                <w:sz w:val="24"/>
              </w:rPr>
            </w:pPr>
          </w:p>
        </w:tc>
        <w:tc>
          <w:tcPr>
            <w:tcW w:w="680" w:type="pct"/>
            <w:vAlign w:val="center"/>
          </w:tcPr>
          <w:p>
            <w:pPr>
              <w:spacing w:line="360" w:lineRule="auto"/>
              <w:jc w:val="center"/>
              <w:rPr>
                <w:rFonts w:ascii="宋体" w:hAnsi="宋体" w:cs="宋体"/>
                <w:color w:val="auto"/>
                <w:sz w:val="24"/>
              </w:rPr>
            </w:pPr>
          </w:p>
        </w:tc>
        <w:tc>
          <w:tcPr>
            <w:tcW w:w="1070"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486"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632" w:type="pct"/>
            <w:vAlign w:val="center"/>
          </w:tcPr>
          <w:p>
            <w:pPr>
              <w:snapToGrid w:val="0"/>
              <w:spacing w:line="360" w:lineRule="auto"/>
              <w:jc w:val="center"/>
              <w:rPr>
                <w:rFonts w:ascii="宋体" w:hAnsi="宋体" w:cs="宋体"/>
                <w:color w:val="auto"/>
                <w:sz w:val="24"/>
              </w:rPr>
            </w:pPr>
          </w:p>
        </w:tc>
        <w:tc>
          <w:tcPr>
            <w:tcW w:w="1070" w:type="pct"/>
            <w:vAlign w:val="center"/>
          </w:tcPr>
          <w:p>
            <w:pPr>
              <w:snapToGrid w:val="0"/>
              <w:spacing w:line="360" w:lineRule="auto"/>
              <w:jc w:val="center"/>
              <w:rPr>
                <w:rFonts w:ascii="宋体" w:hAnsi="宋体" w:cs="宋体"/>
                <w:color w:val="auto"/>
                <w:sz w:val="24"/>
              </w:rPr>
            </w:pPr>
          </w:p>
        </w:tc>
        <w:tc>
          <w:tcPr>
            <w:tcW w:w="340" w:type="pct"/>
            <w:vAlign w:val="center"/>
          </w:tcPr>
          <w:p>
            <w:pPr>
              <w:snapToGrid w:val="0"/>
              <w:spacing w:line="360" w:lineRule="auto"/>
              <w:jc w:val="center"/>
              <w:rPr>
                <w:rFonts w:ascii="宋体" w:hAnsi="宋体" w:cs="宋体"/>
                <w:color w:val="auto"/>
                <w:sz w:val="24"/>
              </w:rPr>
            </w:pPr>
          </w:p>
        </w:tc>
        <w:tc>
          <w:tcPr>
            <w:tcW w:w="534" w:type="pct"/>
            <w:vAlign w:val="center"/>
          </w:tcPr>
          <w:p>
            <w:pPr>
              <w:spacing w:line="360" w:lineRule="auto"/>
              <w:jc w:val="center"/>
              <w:rPr>
                <w:rFonts w:ascii="宋体" w:hAnsi="宋体" w:cs="宋体"/>
                <w:color w:val="auto"/>
                <w:sz w:val="24"/>
              </w:rPr>
            </w:pPr>
          </w:p>
        </w:tc>
        <w:tc>
          <w:tcPr>
            <w:tcW w:w="680" w:type="pct"/>
            <w:vAlign w:val="center"/>
          </w:tcPr>
          <w:p>
            <w:pPr>
              <w:spacing w:line="360" w:lineRule="auto"/>
              <w:jc w:val="center"/>
              <w:rPr>
                <w:rFonts w:ascii="宋体" w:hAnsi="宋体" w:cs="宋体"/>
                <w:color w:val="auto"/>
                <w:sz w:val="24"/>
              </w:rPr>
            </w:pPr>
          </w:p>
        </w:tc>
        <w:tc>
          <w:tcPr>
            <w:tcW w:w="1070"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486" w:type="pct"/>
            <w:vAlign w:val="center"/>
          </w:tcPr>
          <w:p>
            <w:pPr>
              <w:snapToGrid w:val="0"/>
              <w:spacing w:line="360" w:lineRule="auto"/>
              <w:jc w:val="center"/>
              <w:rPr>
                <w:rFonts w:ascii="宋体" w:hAnsi="宋体" w:cs="宋体"/>
                <w:color w:val="auto"/>
                <w:sz w:val="24"/>
              </w:rPr>
            </w:pPr>
          </w:p>
        </w:tc>
        <w:tc>
          <w:tcPr>
            <w:tcW w:w="632" w:type="pct"/>
            <w:vAlign w:val="center"/>
          </w:tcPr>
          <w:p>
            <w:pPr>
              <w:snapToGrid w:val="0"/>
              <w:spacing w:line="360" w:lineRule="auto"/>
              <w:jc w:val="center"/>
              <w:rPr>
                <w:rFonts w:ascii="宋体" w:hAnsi="宋体" w:cs="宋体"/>
                <w:color w:val="auto"/>
                <w:sz w:val="24"/>
              </w:rPr>
            </w:pPr>
          </w:p>
        </w:tc>
        <w:tc>
          <w:tcPr>
            <w:tcW w:w="1070" w:type="pct"/>
            <w:vAlign w:val="center"/>
          </w:tcPr>
          <w:p>
            <w:pPr>
              <w:snapToGrid w:val="0"/>
              <w:spacing w:line="360" w:lineRule="auto"/>
              <w:jc w:val="center"/>
              <w:rPr>
                <w:rFonts w:ascii="宋体" w:hAnsi="宋体" w:cs="宋体"/>
                <w:color w:val="auto"/>
                <w:sz w:val="24"/>
              </w:rPr>
            </w:pPr>
          </w:p>
        </w:tc>
        <w:tc>
          <w:tcPr>
            <w:tcW w:w="340" w:type="pct"/>
            <w:vAlign w:val="center"/>
          </w:tcPr>
          <w:p>
            <w:pPr>
              <w:snapToGrid w:val="0"/>
              <w:spacing w:line="360" w:lineRule="auto"/>
              <w:jc w:val="center"/>
              <w:rPr>
                <w:rFonts w:ascii="宋体" w:hAnsi="宋体" w:cs="宋体"/>
                <w:color w:val="auto"/>
                <w:sz w:val="24"/>
              </w:rPr>
            </w:pPr>
          </w:p>
        </w:tc>
        <w:tc>
          <w:tcPr>
            <w:tcW w:w="534" w:type="pct"/>
            <w:vAlign w:val="center"/>
          </w:tcPr>
          <w:p>
            <w:pPr>
              <w:spacing w:line="360" w:lineRule="auto"/>
              <w:jc w:val="center"/>
              <w:rPr>
                <w:rFonts w:ascii="宋体" w:hAnsi="宋体" w:cs="宋体"/>
                <w:color w:val="auto"/>
                <w:sz w:val="24"/>
              </w:rPr>
            </w:pPr>
          </w:p>
        </w:tc>
        <w:tc>
          <w:tcPr>
            <w:tcW w:w="680" w:type="pct"/>
            <w:vAlign w:val="center"/>
          </w:tcPr>
          <w:p>
            <w:pPr>
              <w:spacing w:line="360" w:lineRule="auto"/>
              <w:jc w:val="center"/>
              <w:rPr>
                <w:rFonts w:ascii="宋体" w:hAnsi="宋体" w:cs="宋体"/>
                <w:color w:val="auto"/>
                <w:sz w:val="24"/>
              </w:rPr>
            </w:pPr>
          </w:p>
        </w:tc>
        <w:tc>
          <w:tcPr>
            <w:tcW w:w="1070"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宋体" w:hAnsi="宋体" w:cs="宋体"/>
                <w:color w:val="auto"/>
                <w:sz w:val="24"/>
              </w:rPr>
            </w:pPr>
          </w:p>
        </w:tc>
        <w:tc>
          <w:tcPr>
            <w:tcW w:w="486" w:type="pct"/>
            <w:vAlign w:val="center"/>
          </w:tcPr>
          <w:p>
            <w:pPr>
              <w:snapToGrid w:val="0"/>
              <w:spacing w:line="360" w:lineRule="auto"/>
              <w:jc w:val="center"/>
              <w:rPr>
                <w:rFonts w:ascii="宋体" w:hAnsi="宋体" w:cs="宋体"/>
                <w:color w:val="auto"/>
                <w:sz w:val="24"/>
              </w:rPr>
            </w:pPr>
          </w:p>
        </w:tc>
        <w:tc>
          <w:tcPr>
            <w:tcW w:w="632" w:type="pct"/>
            <w:vAlign w:val="center"/>
          </w:tcPr>
          <w:p>
            <w:pPr>
              <w:snapToGrid w:val="0"/>
              <w:spacing w:line="360" w:lineRule="auto"/>
              <w:jc w:val="center"/>
              <w:rPr>
                <w:rFonts w:ascii="宋体" w:hAnsi="宋体" w:cs="宋体"/>
                <w:color w:val="auto"/>
                <w:sz w:val="24"/>
              </w:rPr>
            </w:pPr>
          </w:p>
        </w:tc>
        <w:tc>
          <w:tcPr>
            <w:tcW w:w="1070" w:type="pct"/>
            <w:vAlign w:val="center"/>
          </w:tcPr>
          <w:p>
            <w:pPr>
              <w:snapToGrid w:val="0"/>
              <w:spacing w:line="360" w:lineRule="auto"/>
              <w:jc w:val="center"/>
              <w:rPr>
                <w:rFonts w:ascii="宋体" w:hAnsi="宋体" w:cs="宋体"/>
                <w:color w:val="auto"/>
                <w:sz w:val="24"/>
              </w:rPr>
            </w:pPr>
          </w:p>
        </w:tc>
        <w:tc>
          <w:tcPr>
            <w:tcW w:w="340" w:type="pct"/>
            <w:vAlign w:val="center"/>
          </w:tcPr>
          <w:p>
            <w:pPr>
              <w:snapToGrid w:val="0"/>
              <w:spacing w:line="360" w:lineRule="auto"/>
              <w:jc w:val="center"/>
              <w:rPr>
                <w:rFonts w:ascii="宋体" w:hAnsi="宋体" w:cs="宋体"/>
                <w:color w:val="auto"/>
                <w:sz w:val="24"/>
              </w:rPr>
            </w:pPr>
          </w:p>
        </w:tc>
        <w:tc>
          <w:tcPr>
            <w:tcW w:w="534" w:type="pct"/>
            <w:vAlign w:val="center"/>
          </w:tcPr>
          <w:p>
            <w:pPr>
              <w:spacing w:line="360" w:lineRule="auto"/>
              <w:jc w:val="center"/>
              <w:rPr>
                <w:rFonts w:ascii="宋体" w:hAnsi="宋体" w:cs="宋体"/>
                <w:color w:val="auto"/>
                <w:sz w:val="24"/>
              </w:rPr>
            </w:pPr>
          </w:p>
        </w:tc>
        <w:tc>
          <w:tcPr>
            <w:tcW w:w="680" w:type="pct"/>
            <w:vAlign w:val="center"/>
          </w:tcPr>
          <w:p>
            <w:pPr>
              <w:spacing w:line="360" w:lineRule="auto"/>
              <w:jc w:val="center"/>
              <w:rPr>
                <w:rFonts w:ascii="宋体" w:hAnsi="宋体" w:cs="宋体"/>
                <w:color w:val="auto"/>
                <w:sz w:val="24"/>
              </w:rPr>
            </w:pPr>
          </w:p>
        </w:tc>
        <w:tc>
          <w:tcPr>
            <w:tcW w:w="1070"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宋体" w:hAnsi="宋体" w:cs="宋体"/>
                <w:color w:val="auto"/>
                <w:sz w:val="24"/>
              </w:rPr>
            </w:pPr>
          </w:p>
        </w:tc>
        <w:tc>
          <w:tcPr>
            <w:tcW w:w="486" w:type="pct"/>
            <w:vAlign w:val="center"/>
          </w:tcPr>
          <w:p>
            <w:pPr>
              <w:snapToGrid w:val="0"/>
              <w:spacing w:line="360" w:lineRule="auto"/>
              <w:jc w:val="center"/>
              <w:rPr>
                <w:rFonts w:ascii="宋体" w:hAnsi="宋体" w:cs="宋体"/>
                <w:color w:val="auto"/>
                <w:sz w:val="24"/>
              </w:rPr>
            </w:pPr>
          </w:p>
        </w:tc>
        <w:tc>
          <w:tcPr>
            <w:tcW w:w="632" w:type="pct"/>
            <w:vAlign w:val="center"/>
          </w:tcPr>
          <w:p>
            <w:pPr>
              <w:snapToGrid w:val="0"/>
              <w:spacing w:line="360" w:lineRule="auto"/>
              <w:jc w:val="center"/>
              <w:rPr>
                <w:rFonts w:ascii="宋体" w:hAnsi="宋体" w:cs="宋体"/>
                <w:color w:val="auto"/>
                <w:sz w:val="24"/>
              </w:rPr>
            </w:pPr>
          </w:p>
        </w:tc>
        <w:tc>
          <w:tcPr>
            <w:tcW w:w="1070" w:type="pct"/>
            <w:vAlign w:val="center"/>
          </w:tcPr>
          <w:p>
            <w:pPr>
              <w:snapToGrid w:val="0"/>
              <w:spacing w:line="360" w:lineRule="auto"/>
              <w:jc w:val="center"/>
              <w:rPr>
                <w:rFonts w:ascii="宋体" w:hAnsi="宋体" w:cs="宋体"/>
                <w:color w:val="auto"/>
                <w:sz w:val="24"/>
              </w:rPr>
            </w:pPr>
          </w:p>
        </w:tc>
        <w:tc>
          <w:tcPr>
            <w:tcW w:w="340" w:type="pct"/>
            <w:vAlign w:val="center"/>
          </w:tcPr>
          <w:p>
            <w:pPr>
              <w:snapToGrid w:val="0"/>
              <w:spacing w:line="360" w:lineRule="auto"/>
              <w:jc w:val="center"/>
              <w:rPr>
                <w:rFonts w:ascii="宋体" w:hAnsi="宋体" w:cs="宋体"/>
                <w:color w:val="auto"/>
                <w:sz w:val="24"/>
              </w:rPr>
            </w:pPr>
          </w:p>
        </w:tc>
        <w:tc>
          <w:tcPr>
            <w:tcW w:w="534" w:type="pct"/>
            <w:vAlign w:val="center"/>
          </w:tcPr>
          <w:p>
            <w:pPr>
              <w:spacing w:line="360" w:lineRule="auto"/>
              <w:jc w:val="center"/>
              <w:rPr>
                <w:rFonts w:ascii="宋体" w:hAnsi="宋体" w:cs="宋体"/>
                <w:color w:val="auto"/>
                <w:sz w:val="24"/>
              </w:rPr>
            </w:pPr>
          </w:p>
        </w:tc>
        <w:tc>
          <w:tcPr>
            <w:tcW w:w="680" w:type="pct"/>
            <w:vAlign w:val="center"/>
          </w:tcPr>
          <w:p>
            <w:pPr>
              <w:spacing w:line="360" w:lineRule="auto"/>
              <w:jc w:val="center"/>
              <w:rPr>
                <w:rFonts w:ascii="宋体" w:hAnsi="宋体" w:cs="宋体"/>
                <w:color w:val="auto"/>
                <w:sz w:val="24"/>
              </w:rPr>
            </w:pPr>
          </w:p>
        </w:tc>
        <w:tc>
          <w:tcPr>
            <w:tcW w:w="1070" w:type="pct"/>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2627" w:type="pct"/>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2627" w:type="pct"/>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49" w:name="_Hlk101259491"/>
      <w:r>
        <w:rPr>
          <w:rFonts w:hint="eastAsia" w:ascii="宋体" w:hAnsi="宋体" w:eastAsia="宋体" w:cs="宋体"/>
          <w:color w:val="auto"/>
          <w:sz w:val="32"/>
          <w:szCs w:val="32"/>
        </w:rPr>
        <w:t>（如果有）</w:t>
      </w:r>
      <w:bookmarkEnd w:id="549"/>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6"/>
        <w:keepNext w:val="0"/>
        <w:keepLines w:val="0"/>
        <w:pageBreakBefore/>
        <w:widowControl/>
        <w:spacing w:before="100" w:beforeAutospacing="1" w:after="100" w:afterAutospacing="1" w:line="360" w:lineRule="auto"/>
        <w:jc w:val="left"/>
        <w:rPr>
          <w:rFonts w:ascii="宋体" w:hAnsi="宋体" w:cs="宋体"/>
          <w:color w:val="auto"/>
        </w:rPr>
      </w:pPr>
      <w:bookmarkStart w:id="550" w:name="_Toc465665161"/>
      <w:r>
        <w:rPr>
          <w:rFonts w:hint="eastAsia" w:ascii="宋体" w:hAnsi="宋体" w:cs="宋体"/>
          <w:color w:val="auto"/>
        </w:rPr>
        <w:t>附件</w:t>
      </w:r>
      <w:bookmarkEnd w:id="550"/>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51" w:name="OLE_LINK14"/>
      <w:bookmarkStart w:id="552" w:name="OLE_LINK13"/>
      <w:r>
        <w:rPr>
          <w:rFonts w:hint="eastAsia" w:ascii="宋体" w:hAnsi="宋体" w:cs="宋体"/>
          <w:b/>
          <w:color w:val="auto"/>
          <w:spacing w:val="6"/>
          <w:sz w:val="32"/>
          <w:szCs w:val="32"/>
        </w:rPr>
        <w:t>残疾人福利性单位声明函</w:t>
      </w:r>
    </w:p>
    <w:bookmarkEnd w:id="551"/>
    <w:bookmarkEnd w:id="55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2024年杭州市余杭区太炎中学饮水设备及管线采购项目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2024年杭州市余杭区太炎中学饮水设备及管线采购项目</w:t>
      </w:r>
      <w:r>
        <w:rPr>
          <w:rFonts w:hint="eastAsia" w:ascii="宋体" w:hAnsi="宋体" w:cs="宋体"/>
          <w:color w:val="auto"/>
          <w:sz w:val="24"/>
        </w:rPr>
        <w:t>【招标编号：（采购编号）】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2024年杭州市余杭区太炎中学饮水设备及管线采购项目</w:t>
      </w:r>
      <w:r>
        <w:rPr>
          <w:rFonts w:hint="eastAsia" w:ascii="宋体" w:hAnsi="宋体" w:cs="宋体"/>
          <w:color w:val="auto"/>
          <w:sz w:val="24"/>
        </w:rPr>
        <w:t>【招标编号：（采购编号）】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55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3"/>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2024年杭州市余杭区太炎中学饮水设备及管线采购项目</w:t>
      </w:r>
      <w:r>
        <w:rPr>
          <w:rFonts w:hint="eastAsia" w:ascii="宋体" w:hAnsi="宋体" w:cs="宋体"/>
          <w:color w:val="auto"/>
          <w:sz w:val="24"/>
        </w:rPr>
        <w:t>【招标编号：（采购编号）】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7"/>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lang w:eastAsia="zh-CN"/>
        </w:rPr>
        <w:t>2024年杭州市余杭区太炎中学饮水设备及管线采购项目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164085800"/>
    <w:bookmarkStart w:id="557" w:name="_Toc13184514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default" w:eastAsia="宋体"/>
        <w:lang w:val="en-US" w:eastAsia="zh-CN"/>
      </w:rPr>
    </w:pPr>
    <w:r>
      <w:t></w:t>
    </w:r>
    <w:r>
      <w:rPr>
        <w:rFonts w:hint="eastAsia"/>
      </w:rPr>
      <w:t>浙江致信招标代理有限公司</w:t>
    </w:r>
    <w:r>
      <w:rPr>
        <w:rFonts w:hint="eastAsia"/>
        <w:lang w:val="en-US" w:eastAsia="zh-CN"/>
      </w:rPr>
      <w:t>丨精致·专业·诚信</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lang w:val="zh-CN"/>
      </w:rPr>
      <w:t></w:t>
    </w:r>
    <w:r>
      <w:tab/>
    </w:r>
    <w:r>
      <w:rPr>
        <w:lang w:val="zh-CN"/>
      </w:rPr>
      <w:t></w:t>
    </w:r>
    <w:r>
      <w:tab/>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51C1E"/>
    <w:multiLevelType w:val="singleLevel"/>
    <w:tmpl w:val="AB051C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YmQ1ZmM0ZmQ2NzdlMjQ0ZjBhZjg4NjQxNTgzZ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C3F"/>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77B1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805A8"/>
    <w:rsid w:val="048F763B"/>
    <w:rsid w:val="049F330E"/>
    <w:rsid w:val="04AA775C"/>
    <w:rsid w:val="04AF1889"/>
    <w:rsid w:val="04F66F48"/>
    <w:rsid w:val="05251E14"/>
    <w:rsid w:val="052521E7"/>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22976"/>
    <w:rsid w:val="0B1F22B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0A23C8"/>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7363E"/>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9DF50AA"/>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DB2F3D"/>
    <w:rsid w:val="21E52EF3"/>
    <w:rsid w:val="21FB5D7B"/>
    <w:rsid w:val="22015E94"/>
    <w:rsid w:val="220B1C3D"/>
    <w:rsid w:val="221D1D20"/>
    <w:rsid w:val="22334A87"/>
    <w:rsid w:val="22BE6801"/>
    <w:rsid w:val="230440B1"/>
    <w:rsid w:val="233500BF"/>
    <w:rsid w:val="23377FF7"/>
    <w:rsid w:val="235B3AE6"/>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C7EAD"/>
    <w:rsid w:val="258B00E2"/>
    <w:rsid w:val="25A917A6"/>
    <w:rsid w:val="25BE27CC"/>
    <w:rsid w:val="25F74A5C"/>
    <w:rsid w:val="2628662C"/>
    <w:rsid w:val="262D45DE"/>
    <w:rsid w:val="265A71F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C3917"/>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9D4459"/>
    <w:rsid w:val="31AC537E"/>
    <w:rsid w:val="31E3679B"/>
    <w:rsid w:val="31E732FD"/>
    <w:rsid w:val="32517576"/>
    <w:rsid w:val="32BE5C2C"/>
    <w:rsid w:val="32FB6478"/>
    <w:rsid w:val="33263B3F"/>
    <w:rsid w:val="336963EB"/>
    <w:rsid w:val="33816EEB"/>
    <w:rsid w:val="33926FF2"/>
    <w:rsid w:val="33945FB2"/>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A4DA8"/>
    <w:rsid w:val="366E227C"/>
    <w:rsid w:val="366F2E0D"/>
    <w:rsid w:val="367B6A5C"/>
    <w:rsid w:val="36A74ADA"/>
    <w:rsid w:val="36AD60D5"/>
    <w:rsid w:val="36B224F9"/>
    <w:rsid w:val="36EC0CC9"/>
    <w:rsid w:val="373F410B"/>
    <w:rsid w:val="37EE7094"/>
    <w:rsid w:val="38296C89"/>
    <w:rsid w:val="383002EB"/>
    <w:rsid w:val="38586797"/>
    <w:rsid w:val="385D15DF"/>
    <w:rsid w:val="38BC0149"/>
    <w:rsid w:val="38C42631"/>
    <w:rsid w:val="38D87D1C"/>
    <w:rsid w:val="39636459"/>
    <w:rsid w:val="396B7F6C"/>
    <w:rsid w:val="39B417A9"/>
    <w:rsid w:val="39FC5695"/>
    <w:rsid w:val="3A006D8E"/>
    <w:rsid w:val="3A2802A5"/>
    <w:rsid w:val="3A3651E5"/>
    <w:rsid w:val="3A4E4FB4"/>
    <w:rsid w:val="3A744481"/>
    <w:rsid w:val="3A8C7BEF"/>
    <w:rsid w:val="3A906246"/>
    <w:rsid w:val="3AB837A5"/>
    <w:rsid w:val="3B0532F1"/>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879BA"/>
    <w:rsid w:val="3F6363FE"/>
    <w:rsid w:val="3F756B8F"/>
    <w:rsid w:val="3F95482B"/>
    <w:rsid w:val="3FC54401"/>
    <w:rsid w:val="4019356B"/>
    <w:rsid w:val="40510196"/>
    <w:rsid w:val="40592157"/>
    <w:rsid w:val="406E1CAE"/>
    <w:rsid w:val="40A0133A"/>
    <w:rsid w:val="40C31A53"/>
    <w:rsid w:val="40FF545D"/>
    <w:rsid w:val="410067C8"/>
    <w:rsid w:val="418F0D2A"/>
    <w:rsid w:val="41D01505"/>
    <w:rsid w:val="421D1EE7"/>
    <w:rsid w:val="42436ACB"/>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A246A"/>
    <w:rsid w:val="49B64211"/>
    <w:rsid w:val="49F6167F"/>
    <w:rsid w:val="4A064FA0"/>
    <w:rsid w:val="4A16615C"/>
    <w:rsid w:val="4A4424D7"/>
    <w:rsid w:val="4AB35D7B"/>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B0FCF"/>
    <w:rsid w:val="519D3C50"/>
    <w:rsid w:val="51A0432A"/>
    <w:rsid w:val="51A86090"/>
    <w:rsid w:val="51B7396D"/>
    <w:rsid w:val="522E4CC3"/>
    <w:rsid w:val="5244713B"/>
    <w:rsid w:val="524B47EF"/>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D055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051F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4288C"/>
    <w:rsid w:val="5C02690E"/>
    <w:rsid w:val="5C196DA7"/>
    <w:rsid w:val="5C2A048C"/>
    <w:rsid w:val="5C3E3E63"/>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B63988"/>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7034A"/>
    <w:rsid w:val="60FA2EE8"/>
    <w:rsid w:val="61054A27"/>
    <w:rsid w:val="610A52BC"/>
    <w:rsid w:val="611D2366"/>
    <w:rsid w:val="61421856"/>
    <w:rsid w:val="615227C4"/>
    <w:rsid w:val="61654E3F"/>
    <w:rsid w:val="6182292A"/>
    <w:rsid w:val="619F7F92"/>
    <w:rsid w:val="61F94C26"/>
    <w:rsid w:val="62000E56"/>
    <w:rsid w:val="620B6B90"/>
    <w:rsid w:val="624F3E49"/>
    <w:rsid w:val="62632286"/>
    <w:rsid w:val="62885958"/>
    <w:rsid w:val="62C00E4F"/>
    <w:rsid w:val="62F40B65"/>
    <w:rsid w:val="62FC2CFE"/>
    <w:rsid w:val="63024505"/>
    <w:rsid w:val="635600A5"/>
    <w:rsid w:val="635B1DB5"/>
    <w:rsid w:val="63711FED"/>
    <w:rsid w:val="63880DDC"/>
    <w:rsid w:val="638D750D"/>
    <w:rsid w:val="63AC6CC0"/>
    <w:rsid w:val="64055776"/>
    <w:rsid w:val="64210FEF"/>
    <w:rsid w:val="64240056"/>
    <w:rsid w:val="643E143A"/>
    <w:rsid w:val="64491666"/>
    <w:rsid w:val="648B6EEF"/>
    <w:rsid w:val="64C158BF"/>
    <w:rsid w:val="64CE2EAA"/>
    <w:rsid w:val="653C3090"/>
    <w:rsid w:val="655150B5"/>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3A638D"/>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14693"/>
    <w:rsid w:val="6D9078AF"/>
    <w:rsid w:val="6DAA3FEF"/>
    <w:rsid w:val="6DC0172B"/>
    <w:rsid w:val="6DCB690C"/>
    <w:rsid w:val="6DD41A5B"/>
    <w:rsid w:val="6DF43C2E"/>
    <w:rsid w:val="6DF51CA3"/>
    <w:rsid w:val="6E8335BD"/>
    <w:rsid w:val="6E8E12EF"/>
    <w:rsid w:val="6E972936"/>
    <w:rsid w:val="6ED446C5"/>
    <w:rsid w:val="6ED547AD"/>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3793F"/>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0413"/>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A55CD"/>
    <w:rsid w:val="7CE27788"/>
    <w:rsid w:val="7D0C32F1"/>
    <w:rsid w:val="7D0F408D"/>
    <w:rsid w:val="7D491C6C"/>
    <w:rsid w:val="7D5429C0"/>
    <w:rsid w:val="7D6E6D43"/>
    <w:rsid w:val="7D7B252F"/>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4"/>
    <w:autoRedefine/>
    <w:qFormat/>
    <w:uiPriority w:val="9"/>
    <w:pPr>
      <w:keepNext/>
      <w:keepLines/>
      <w:tabs>
        <w:tab w:val="left" w:pos="432"/>
      </w:tabs>
      <w:snapToGrid w:val="0"/>
      <w:spacing w:line="360" w:lineRule="auto"/>
      <w:ind w:left="0" w:firstLine="0"/>
      <w:jc w:val="center"/>
      <w:outlineLvl w:val="0"/>
    </w:pPr>
    <w:rPr>
      <w:rFonts w:ascii="Times New Roman" w:hAnsi="Times New Roman" w:eastAsia="宋体"/>
      <w:b/>
      <w:bCs/>
      <w:kern w:val="44"/>
      <w:sz w:val="32"/>
      <w:szCs w:val="44"/>
    </w:rPr>
  </w:style>
  <w:style w:type="paragraph" w:styleId="7">
    <w:name w:val="heading 2"/>
    <w:basedOn w:val="1"/>
    <w:next w:val="1"/>
    <w:link w:val="96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3"/>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5"/>
    <w:link w:val="266"/>
    <w:autoRedefine/>
    <w:qFormat/>
    <w:uiPriority w:val="0"/>
    <w:pPr>
      <w:spacing w:line="480" w:lineRule="exact"/>
      <w:ind w:firstLine="480" w:firstLineChars="200"/>
    </w:pPr>
    <w:rPr>
      <w:rFonts w:ascii="宋体" w:hAnsi="宋体"/>
      <w:sz w:val="24"/>
    </w:rPr>
  </w:style>
  <w:style w:type="paragraph" w:styleId="5">
    <w:name w:val="envelope return"/>
    <w:basedOn w:val="1"/>
    <w:qFormat/>
    <w:uiPriority w:val="99"/>
    <w:rPr>
      <w:rFonts w:ascii="Arial" w:hAnsi="Arial"/>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Body Text First Indent1"/>
    <w:basedOn w:val="25"/>
    <w:next w:val="27"/>
    <w:qFormat/>
    <w:uiPriority w:val="0"/>
    <w:pPr>
      <w:spacing w:line="312" w:lineRule="auto"/>
      <w:ind w:firstLine="420"/>
    </w:pPr>
    <w:rPr>
      <w:rFonts w:ascii="Calibri" w:hAnsi="Calibri"/>
      <w:sz w:val="32"/>
      <w:szCs w:val="24"/>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3"/>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autoRedefine/>
    <w:qFormat/>
    <w:uiPriority w:val="0"/>
    <w:rPr>
      <w:b/>
      <w:bCs/>
    </w:rPr>
  </w:style>
  <w:style w:type="paragraph" w:styleId="62">
    <w:name w:val="Body Text First Indent"/>
    <w:basedOn w:val="25"/>
    <w:next w:val="27"/>
    <w:link w:val="322"/>
    <w:autoRedefine/>
    <w:qFormat/>
    <w:uiPriority w:val="0"/>
    <w:pPr>
      <w:ind w:firstLine="420"/>
    </w:pPr>
    <w:rPr>
      <w:rFonts w:hAnsi="Calibri" w:cs="Times New Roman"/>
      <w:snapToGrid/>
      <w:szCs w:val="20"/>
    </w:rPr>
  </w:style>
  <w:style w:type="paragraph" w:styleId="63">
    <w:name w:val="Body Text First Indent 2"/>
    <w:basedOn w:val="4"/>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BodyTextIndent"/>
    <w:basedOn w:val="1"/>
    <w:next w:val="82"/>
    <w:autoRedefine/>
    <w:qFormat/>
    <w:uiPriority w:val="0"/>
    <w:pPr>
      <w:widowControl/>
      <w:spacing w:line="480" w:lineRule="atLeast"/>
      <w:ind w:firstLine="570"/>
      <w:textAlignment w:val="baseline"/>
    </w:pPr>
    <w:rPr>
      <w:rFonts w:ascii="??" w:hAnsi="??" w:eastAsia="??"/>
      <w:sz w:val="28"/>
      <w:szCs w:val="28"/>
    </w:rPr>
  </w:style>
  <w:style w:type="paragraph" w:customStyle="1" w:styleId="82">
    <w:name w:val="EnvelopeReturn"/>
    <w:basedOn w:val="1"/>
    <w:autoRedefine/>
    <w:qFormat/>
    <w:uiPriority w:val="0"/>
    <w:pPr>
      <w:snapToGrid w:val="0"/>
    </w:pPr>
    <w:rPr>
      <w:rFonts w:ascii="Arial" w:hAnsi="Arial"/>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7"/>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3"/>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6"/>
    <w:autoRedefine/>
    <w:qFormat/>
    <w:uiPriority w:val="9"/>
    <w:rPr>
      <w:rFonts w:ascii="Times New Roman" w:hAnsi="Times New Roman" w:eastAsia="宋体"/>
      <w:b/>
      <w:bCs/>
      <w:kern w:val="44"/>
      <w:sz w:val="32"/>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1"/>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0"/>
    <w:rPr>
      <w:kern w:val="2"/>
      <w:sz w:val="21"/>
      <w:szCs w:val="24"/>
    </w:rPr>
  </w:style>
  <w:style w:type="character" w:customStyle="1" w:styleId="346">
    <w:name w:val="签名 Char"/>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3"/>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7"/>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7"/>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7"/>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6"/>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2"/>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2"/>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7"/>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6"/>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7"/>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7"/>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7"/>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6"/>
    <w:autoRedefine/>
    <w:qFormat/>
    <w:uiPriority w:val="0"/>
    <w:pPr>
      <w:tabs>
        <w:tab w:val="left" w:pos="840"/>
      </w:tabs>
      <w:adjustRightInd/>
      <w:ind w:left="840" w:hanging="420"/>
    </w:pPr>
  </w:style>
  <w:style w:type="paragraph" w:customStyle="1" w:styleId="627">
    <w:name w:val="样式 标题 2标题2H2Heading 2 HiddenHeading 2 CCBSheading 22nd lev..."/>
    <w:basedOn w:val="7"/>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7"/>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7"/>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6"/>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6"/>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7"/>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3"/>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2"/>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6"/>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6"/>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6"/>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7"/>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BodyText"/>
    <w:basedOn w:val="1"/>
    <w:autoRedefine/>
    <w:qFormat/>
    <w:uiPriority w:val="0"/>
    <w:pPr>
      <w:textAlignment w:val="baseline"/>
    </w:pPr>
    <w:rPr>
      <w:rFonts w:ascii="等线" w:hAnsi="等线" w:eastAsia="??"/>
      <w:sz w:val="24"/>
      <w:szCs w:val="28"/>
    </w:rPr>
  </w:style>
  <w:style w:type="paragraph" w:customStyle="1" w:styleId="967">
    <w:name w:val="null3"/>
    <w:qFormat/>
    <w:uiPriority w:val="0"/>
    <w:rPr>
      <w:rFonts w:hint="eastAsia" w:ascii="Calibri" w:hAnsi="Calibri" w:eastAsia="宋体" w:cs="Times New Roman"/>
      <w:lang w:val="en-US" w:eastAsia="zh-Hans"/>
    </w:rPr>
  </w:style>
  <w:style w:type="paragraph" w:customStyle="1" w:styleId="968">
    <w:name w:val="[Normal]"/>
    <w:autoRedefine/>
    <w:qFormat/>
    <w:uiPriority w:val="0"/>
    <w:rPr>
      <w:rFonts w:ascii="宋体" w:hAnsi="宋体" w:eastAsia="宋体" w:cs="Times New Roman"/>
      <w:sz w:val="24"/>
      <w:szCs w:val="22"/>
      <w:lang w:val="zh-CN" w:eastAsia="zh-CN" w:bidi="ar-SA"/>
    </w:rPr>
  </w:style>
  <w:style w:type="character" w:customStyle="1" w:styleId="969">
    <w:name w:val="标题 2 Char1"/>
    <w:link w:val="7"/>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37819</Words>
  <Characters>40126</Characters>
  <Lines>279</Lines>
  <Paragraphs>78</Paragraphs>
  <TotalTime>22</TotalTime>
  <ScaleCrop>false</ScaleCrop>
  <LinksUpToDate>false</LinksUpToDate>
  <CharactersWithSpaces>45316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三月</cp:lastModifiedBy>
  <cp:lastPrinted>2024-07-31T03:35:00Z</cp:lastPrinted>
  <dcterms:modified xsi:type="dcterms:W3CDTF">2024-10-23T08:43:39Z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E466A02E32AD455285AD3AA0C288EF24_13</vt:lpwstr>
  </property>
</Properties>
</file>