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sz w:val="44"/>
          <w:szCs w:val="44"/>
        </w:rPr>
      </w:pPr>
      <w:r>
        <w:rPr>
          <w:rFonts w:hint="eastAsia" w:ascii="宋体" w:hAnsi="宋体" w:cs="宋体"/>
          <w:sz w:val="44"/>
          <w:szCs w:val="44"/>
        </w:rPr>
        <w:t>卫健数字化改革项目驾驶舱日常运维保障项目（2024年度）</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p>
    <w:p>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ZJZT-2024-12317</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ascii="宋体" w:hAnsi="宋体" w:cs="宋体"/>
          <w:b/>
          <w:bCs/>
          <w:sz w:val="32"/>
          <w:szCs w:val="32"/>
        </w:rPr>
      </w:pPr>
      <w:r>
        <w:rPr>
          <w:rFonts w:hint="eastAsia" w:ascii="宋体" w:hAnsi="宋体" w:cs="宋体"/>
          <w:b/>
          <w:bCs/>
          <w:sz w:val="32"/>
          <w:szCs w:val="32"/>
        </w:rPr>
        <w:t xml:space="preserve">招 </w:t>
      </w:r>
      <w:r>
        <w:rPr>
          <w:rFonts w:ascii="宋体" w:hAnsi="宋体" w:cs="宋体"/>
          <w:b/>
          <w:bCs/>
          <w:sz w:val="32"/>
          <w:szCs w:val="32"/>
        </w:rPr>
        <w:t xml:space="preserve"> </w:t>
      </w:r>
      <w:r>
        <w:rPr>
          <w:rFonts w:hint="eastAsia" w:ascii="宋体" w:hAnsi="宋体" w:cs="宋体"/>
          <w:b/>
          <w:bCs/>
          <w:sz w:val="32"/>
          <w:szCs w:val="32"/>
        </w:rPr>
        <w:t>标</w:t>
      </w:r>
      <w:r>
        <w:rPr>
          <w:rFonts w:ascii="宋体" w:hAnsi="宋体" w:cs="宋体"/>
          <w:b/>
          <w:bCs/>
          <w:sz w:val="32"/>
          <w:szCs w:val="32"/>
        </w:rPr>
        <w:t xml:space="preserve">  </w:t>
      </w:r>
      <w:r>
        <w:rPr>
          <w:rFonts w:hint="eastAsia" w:ascii="宋体" w:hAnsi="宋体" w:cs="宋体"/>
          <w:b/>
          <w:bCs/>
          <w:sz w:val="32"/>
          <w:szCs w:val="32"/>
        </w:rPr>
        <w:t>人：杭州市卫生健康事业发展中心</w:t>
      </w:r>
    </w:p>
    <w:p>
      <w:pPr>
        <w:snapToGrid w:val="0"/>
        <w:spacing w:line="360" w:lineRule="auto"/>
        <w:jc w:val="center"/>
        <w:rPr>
          <w:rFonts w:hint="eastAsia" w:ascii="宋体" w:hAnsi="宋体" w:eastAsia="宋体" w:cs="宋体"/>
          <w:b/>
          <w:bCs/>
          <w:sz w:val="32"/>
          <w:szCs w:val="32"/>
          <w:lang w:eastAsia="zh-CN"/>
        </w:rPr>
      </w:pPr>
      <w:r>
        <w:rPr>
          <w:rFonts w:hint="eastAsia" w:ascii="宋体" w:hAnsi="宋体" w:cs="宋体"/>
          <w:b/>
          <w:bCs/>
          <w:sz w:val="32"/>
          <w:szCs w:val="32"/>
        </w:rPr>
        <w:t>招标代理机构：</w:t>
      </w:r>
      <w:r>
        <w:rPr>
          <w:rFonts w:hint="eastAsia" w:ascii="宋体" w:hAnsi="宋体" w:cs="宋体"/>
          <w:b/>
          <w:bCs/>
          <w:sz w:val="32"/>
          <w:szCs w:val="32"/>
          <w:lang w:eastAsia="zh-CN"/>
        </w:rPr>
        <w:t>浙江中通通信有限公司</w:t>
      </w:r>
    </w:p>
    <w:p>
      <w:pPr>
        <w:snapToGrid w:val="0"/>
        <w:spacing w:line="360" w:lineRule="auto"/>
        <w:jc w:val="center"/>
        <w:rPr>
          <w:rFonts w:ascii="宋体" w:hAnsi="宋体" w:cs="宋体"/>
          <w:b/>
          <w:bCs/>
          <w:sz w:val="32"/>
          <w:szCs w:val="32"/>
        </w:rPr>
      </w:pPr>
      <w:r>
        <w:rPr>
          <w:rFonts w:hint="eastAsia" w:ascii="宋体" w:hAnsi="宋体" w:cs="宋体"/>
          <w:b/>
          <w:bCs/>
          <w:sz w:val="32"/>
          <w:szCs w:val="32"/>
        </w:rPr>
        <w:t>二〇二四年</w:t>
      </w:r>
      <w:r>
        <w:rPr>
          <w:rFonts w:hint="eastAsia" w:ascii="宋体" w:hAnsi="宋体" w:cs="宋体"/>
          <w:b/>
          <w:bCs/>
          <w:sz w:val="32"/>
          <w:szCs w:val="32"/>
          <w:lang w:val="en-US" w:eastAsia="zh-CN"/>
        </w:rPr>
        <w:t>六</w:t>
      </w:r>
      <w:r>
        <w:rPr>
          <w:rFonts w:hint="eastAsia" w:ascii="宋体" w:hAnsi="宋体" w:cs="宋体"/>
          <w:b/>
          <w:bCs/>
          <w:sz w:val="32"/>
          <w:szCs w:val="32"/>
        </w:rPr>
        <w:t>月</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4"/>
        <w:rPr>
          <w:rFonts w:ascii="宋体" w:hAnsi="宋体" w:eastAsia="宋体"/>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卫健数字化改革项目驾驶舱日常运维保障项目（2024年度）</w:t>
      </w:r>
      <w:r>
        <w:rPr>
          <w:rFonts w:hint="eastAsia" w:ascii="宋体" w:hAnsi="宋体" w:cs="宋体"/>
          <w:sz w:val="24"/>
          <w:u w:val="none"/>
        </w:rPr>
        <w:t>招标项目的潜在投标人应在政采云平台（</w:t>
      </w:r>
      <w:r>
        <w:rPr>
          <w:rFonts w:hint="eastAsia" w:ascii="宋体" w:hAnsi="宋体" w:cs="宋体"/>
          <w:sz w:val="24"/>
          <w:u w:val="none"/>
        </w:rPr>
        <w:fldChar w:fldCharType="begin"/>
      </w:r>
      <w:r>
        <w:rPr>
          <w:rFonts w:hint="eastAsia" w:ascii="宋体" w:hAnsi="宋体" w:cs="宋体"/>
          <w:sz w:val="24"/>
          <w:u w:val="none"/>
        </w:rPr>
        <w:instrText xml:space="preserve"> HYPERLINK "https://www.zcygov.cn/）获取（下载）招标文件，并于2023年%20%20月%20%20日09点30分00秒" </w:instrText>
      </w:r>
      <w:r>
        <w:rPr>
          <w:rFonts w:hint="eastAsia" w:ascii="宋体" w:hAnsi="宋体" w:cs="宋体"/>
          <w:sz w:val="24"/>
          <w:u w:val="none"/>
        </w:rPr>
        <w:fldChar w:fldCharType="separate"/>
      </w:r>
      <w:r>
        <w:rPr>
          <w:rFonts w:hint="eastAsia" w:ascii="宋体" w:hAnsi="宋体" w:cs="宋体"/>
          <w:sz w:val="24"/>
          <w:u w:val="none"/>
        </w:rPr>
        <w:t>https://www.zcygov.cn/）获取（下载）招标文件，并于</w:t>
      </w:r>
      <w:r>
        <w:rPr>
          <w:rFonts w:hint="eastAsia" w:ascii="宋体" w:hAnsi="宋体" w:cs="宋体"/>
          <w:sz w:val="24"/>
          <w:u w:val="none"/>
          <w:lang w:eastAsia="zh-CN"/>
        </w:rPr>
        <w:t>2024年6月26日</w:t>
      </w:r>
      <w:bookmarkStart w:id="548" w:name="_GoBack"/>
      <w:bookmarkEnd w:id="548"/>
      <w:r>
        <w:rPr>
          <w:rFonts w:hint="eastAsia" w:ascii="宋体" w:hAnsi="宋体" w:cs="宋体"/>
          <w:sz w:val="24"/>
          <w:u w:val="none"/>
          <w:lang w:eastAsia="zh-CN"/>
        </w:rPr>
        <w:t>08点30分00秒</w:t>
      </w:r>
      <w:r>
        <w:rPr>
          <w:rFonts w:hint="eastAsia" w:ascii="宋体" w:hAnsi="宋体" w:cs="宋体"/>
          <w:sz w:val="24"/>
          <w:u w:val="none"/>
        </w:rPr>
        <w:fldChar w:fldCharType="end"/>
      </w:r>
      <w:r>
        <w:rPr>
          <w:rFonts w:hint="eastAsia" w:ascii="宋体" w:hAnsi="宋体" w:cs="宋体"/>
          <w:sz w:val="24"/>
          <w:u w:val="none"/>
        </w:rPr>
        <w:t>（北京时间）前递交（上传）投标文件。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sz w:val="24"/>
          <w:highlight w:val="none"/>
          <w:lang w:eastAsia="zh-CN"/>
        </w:rPr>
        <w:t>ZJZT-2024-12317</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卫健数字化改革项目驾驶舱日常运维保障项目（2024年度）</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ascii="宋体" w:hAnsi="宋体" w:cs="宋体"/>
          <w:sz w:val="24"/>
        </w:rPr>
        <w:t>1150000.00</w:t>
      </w:r>
    </w:p>
    <w:p>
      <w:pPr>
        <w:spacing w:line="360" w:lineRule="auto"/>
        <w:ind w:firstLine="482" w:firstLineChars="200"/>
        <w:rPr>
          <w:rFonts w:ascii="宋体" w:hAnsi="宋体" w:cs="宋体"/>
          <w:sz w:val="24"/>
        </w:rPr>
      </w:pPr>
      <w:r>
        <w:rPr>
          <w:rFonts w:hint="eastAsia" w:ascii="宋体" w:hAnsi="宋体" w:cs="宋体"/>
          <w:b/>
          <w:sz w:val="24"/>
        </w:rPr>
        <w:t>最高限价（元）：</w:t>
      </w:r>
      <w:r>
        <w:rPr>
          <w:rFonts w:ascii="宋体" w:hAnsi="宋体" w:cs="宋体"/>
          <w:sz w:val="24"/>
        </w:rPr>
        <w:t>1092500.00</w:t>
      </w:r>
    </w:p>
    <w:p>
      <w:pPr>
        <w:spacing w:line="360" w:lineRule="auto"/>
        <w:ind w:firstLine="420"/>
        <w:rPr>
          <w:rFonts w:ascii="宋体" w:hAnsi="宋体"/>
          <w:sz w:val="24"/>
        </w:rPr>
      </w:pPr>
      <w:r>
        <w:rPr>
          <w:rFonts w:hint="eastAsia" w:ascii="宋体" w:hAnsi="宋体" w:cs="宋体"/>
          <w:b/>
          <w:sz w:val="24"/>
        </w:rPr>
        <w:t>采购需求：</w:t>
      </w:r>
      <w:r>
        <w:rPr>
          <w:rFonts w:hint="eastAsia" w:ascii="宋体" w:hAnsi="宋体"/>
          <w:sz w:val="24"/>
        </w:rPr>
        <w:t>购买系统维保服务，保障杭州市卫健委“平安卫健”系统、杭州市婴育数字化应用系统、杭州市健康应用、杭州市中医药数据驾驶舱、城市大脑运维保障等五个系统的正常运维。具体以招标文件第三部分采购需求为准，供应商可点击本公告下方“浏览采购文件”查看采购需求。</w:t>
      </w:r>
    </w:p>
    <w:p>
      <w:pPr>
        <w:pStyle w:val="128"/>
        <w:ind w:firstLine="482"/>
        <w:outlineLvl w:val="2"/>
        <w:rPr>
          <w:rFonts w:ascii="宋体" w:hAnsi="宋体" w:cs="宋体"/>
        </w:rPr>
      </w:pPr>
      <w:r>
        <w:rPr>
          <w:rFonts w:hint="eastAsia" w:ascii="宋体" w:hAnsi="宋体" w:cs="宋体"/>
          <w:b/>
        </w:rPr>
        <w:t>合同履约期限：</w:t>
      </w:r>
      <w:r>
        <w:rPr>
          <w:rFonts w:hint="eastAsia" w:ascii="宋体" w:hAnsi="宋体"/>
          <w:bCs/>
          <w:snapToGrid w:val="0"/>
          <w:kern w:val="28"/>
        </w:rPr>
        <w:t>2024年</w:t>
      </w:r>
      <w:r>
        <w:rPr>
          <w:rFonts w:ascii="宋体" w:hAnsi="宋体"/>
          <w:bCs/>
          <w:snapToGrid w:val="0"/>
          <w:kern w:val="28"/>
        </w:rPr>
        <w:t>01</w:t>
      </w:r>
      <w:r>
        <w:rPr>
          <w:rFonts w:hint="eastAsia" w:ascii="宋体" w:hAnsi="宋体"/>
          <w:bCs/>
          <w:snapToGrid w:val="0"/>
          <w:kern w:val="28"/>
        </w:rPr>
        <w:t>月</w:t>
      </w:r>
      <w:r>
        <w:rPr>
          <w:rFonts w:ascii="宋体" w:hAnsi="宋体"/>
          <w:bCs/>
          <w:snapToGrid w:val="0"/>
          <w:kern w:val="28"/>
        </w:rPr>
        <w:t>01</w:t>
      </w:r>
      <w:r>
        <w:rPr>
          <w:rFonts w:hint="eastAsia" w:ascii="宋体" w:hAnsi="宋体"/>
          <w:bCs/>
          <w:snapToGrid w:val="0"/>
          <w:kern w:val="28"/>
        </w:rPr>
        <w:t>日至2024年1</w:t>
      </w:r>
      <w:r>
        <w:rPr>
          <w:rFonts w:ascii="宋体" w:hAnsi="宋体"/>
          <w:bCs/>
          <w:snapToGrid w:val="0"/>
          <w:kern w:val="28"/>
        </w:rPr>
        <w:t>2</w:t>
      </w:r>
      <w:r>
        <w:rPr>
          <w:rFonts w:hint="eastAsia" w:ascii="宋体" w:hAnsi="宋体"/>
          <w:bCs/>
          <w:snapToGrid w:val="0"/>
          <w:kern w:val="28"/>
        </w:rPr>
        <w:t>月3</w:t>
      </w:r>
      <w:r>
        <w:rPr>
          <w:rFonts w:ascii="宋体" w:hAnsi="宋体"/>
          <w:bCs/>
          <w:snapToGrid w:val="0"/>
          <w:kern w:val="28"/>
        </w:rPr>
        <w:t>1</w:t>
      </w:r>
      <w:r>
        <w:rPr>
          <w:rFonts w:hint="eastAsia" w:ascii="宋体" w:hAnsi="宋体"/>
          <w:bCs/>
          <w:snapToGrid w:val="0"/>
          <w:kern w:val="28"/>
        </w:rPr>
        <w:t>日</w:t>
      </w:r>
    </w:p>
    <w:p>
      <w:pPr>
        <w:pStyle w:val="6"/>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Segoe UI Symbol"/>
              <w:snapToGrid w:val="0"/>
              <w:color w:val="auto"/>
              <w:kern w:val="0"/>
              <w:sz w:val="24"/>
              <w:szCs w:val="20"/>
              <w:lang w:val="en-US" w:eastAsia="zh-CN" w:bidi="ar-SA"/>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ascii="宋体" w:hAnsi="宋体"/>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Segoe UI Symbol" w:hAnsi="Segoe UI Symbol" w:cs="Segoe UI Symbol"/>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rPr>
      </w:pPr>
      <w:sdt>
        <w:sdtPr>
          <w:rPr>
            <w:rFonts w:hint="eastAsia" w:ascii="宋体" w:hAnsi="宋体" w:cs="宋体"/>
            <w:kern w:val="0"/>
            <w:sz w:val="24"/>
          </w:rPr>
          <w:id w:val="-33368540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服务全部由符合政策要求的中小企业承接，提供中小企业声明函；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214102535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Segoe UI Symbol" w:hAnsi="Segoe UI Symbol" w:cs="Segoe UI Symbol"/>
              <w:kern w:val="0"/>
              <w:sz w:val="24"/>
            </w:rPr>
            <w:t>☐</w:t>
          </w:r>
        </w:sdtContent>
      </w:sdt>
      <w:r>
        <w:rPr>
          <w:rFonts w:hint="eastAsia" w:ascii="宋体" w:hAnsi="宋体" w:cs="宋体"/>
          <w:sz w:val="24"/>
        </w:rPr>
        <w:t>服务全部由符合政策要求的小微企业承接，提供中小企业声明函；</w:t>
      </w:r>
    </w:p>
    <w:p>
      <w:pPr>
        <w:spacing w:line="360" w:lineRule="auto"/>
        <w:ind w:firstLine="960" w:firstLineChars="4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Segoe UI Symbol" w:hAnsi="Segoe UI Symbol" w:cs="Segoe UI Symbol"/>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Segoe UI Symbol" w:hAnsi="Segoe UI Symbol" w:cs="Segoe UI Symbol"/>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2024年6月</w:t>
      </w:r>
      <w:r>
        <w:rPr>
          <w:rFonts w:hint="eastAsia" w:ascii="宋体" w:hAnsi="宋体" w:cs="宋体"/>
          <w:sz w:val="24"/>
          <w:u w:val="single"/>
          <w:lang w:val="en-US" w:eastAsia="zh-CN"/>
        </w:rPr>
        <w:t>26</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highlight w:val="none"/>
        </w:rPr>
      </w:pPr>
      <w:r>
        <w:rPr>
          <w:rFonts w:hint="eastAsia" w:ascii="宋体" w:hAnsi="宋体" w:cs="宋体"/>
          <w:b/>
          <w:sz w:val="24"/>
        </w:rPr>
        <w:t>提交投标文件截止</w:t>
      </w:r>
      <w:r>
        <w:rPr>
          <w:rFonts w:hint="eastAsia" w:ascii="宋体" w:hAnsi="宋体" w:cs="宋体"/>
          <w:b/>
          <w:sz w:val="24"/>
          <w:highlight w:val="none"/>
        </w:rPr>
        <w:t>时间：</w:t>
      </w:r>
      <w:r>
        <w:rPr>
          <w:rFonts w:hint="eastAsia" w:ascii="宋体" w:hAnsi="宋体" w:cs="宋体"/>
          <w:sz w:val="24"/>
          <w:highlight w:val="none"/>
          <w:u w:val="single"/>
        </w:rPr>
        <w:t xml:space="preserve"> 2024年6月</w:t>
      </w:r>
      <w:r>
        <w:rPr>
          <w:rFonts w:hint="eastAsia" w:ascii="宋体" w:hAnsi="宋体" w:cs="宋体"/>
          <w:sz w:val="24"/>
          <w:highlight w:val="none"/>
          <w:u w:val="single"/>
          <w:lang w:val="en-US" w:eastAsia="zh-CN"/>
        </w:rPr>
        <w:t>26</w:t>
      </w:r>
      <w:r>
        <w:rPr>
          <w:rFonts w:hint="eastAsia" w:ascii="宋体" w:hAnsi="宋体" w:cs="宋体"/>
          <w:sz w:val="24"/>
          <w:highlight w:val="none"/>
          <w:u w:val="single"/>
        </w:rPr>
        <w:t>日</w:t>
      </w:r>
      <w:r>
        <w:rPr>
          <w:rFonts w:hint="eastAsia" w:ascii="宋体" w:hAnsi="宋体" w:cs="宋体"/>
          <w:sz w:val="24"/>
          <w:highlight w:val="none"/>
          <w:u w:val="single"/>
          <w:lang w:eastAsia="zh-CN"/>
        </w:rPr>
        <w:t>08点30分00秒</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2024年6月</w:t>
      </w:r>
      <w:r>
        <w:rPr>
          <w:rFonts w:hint="eastAsia" w:ascii="宋体" w:hAnsi="宋体" w:cs="宋体"/>
          <w:sz w:val="24"/>
          <w:highlight w:val="none"/>
          <w:u w:val="single"/>
          <w:lang w:val="en-US" w:eastAsia="zh-CN"/>
        </w:rPr>
        <w:t>26</w:t>
      </w:r>
      <w:r>
        <w:rPr>
          <w:rFonts w:hint="eastAsia" w:ascii="宋体" w:hAnsi="宋体" w:cs="宋体"/>
          <w:sz w:val="24"/>
          <w:highlight w:val="none"/>
          <w:u w:val="single"/>
        </w:rPr>
        <w:t>日</w:t>
      </w:r>
      <w:r>
        <w:rPr>
          <w:rFonts w:hint="eastAsia" w:ascii="宋体" w:hAnsi="宋体" w:cs="宋体"/>
          <w:sz w:val="24"/>
          <w:highlight w:val="none"/>
          <w:u w:val="single"/>
          <w:lang w:eastAsia="zh-CN"/>
        </w:rPr>
        <w:t>08点30分00秒</w:t>
      </w:r>
      <w:r>
        <w:rPr>
          <w:rFonts w:hint="eastAsia" w:ascii="宋体" w:hAnsi="宋体" w:cs="宋体"/>
          <w:bCs/>
          <w:sz w:val="24"/>
          <w:highlight w:val="none"/>
          <w:u w:val="single"/>
        </w:rPr>
        <w:t xml:space="preserve">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76"/>
          <w:rFonts w:hint="eastAsia" w:ascii="宋体" w:hAnsi="宋体" w:eastAsia="宋体" w:cs="宋体"/>
          <w:snapToGrid/>
          <w:color w:val="auto"/>
          <w:kern w:val="2"/>
          <w:sz w:val="24"/>
          <w:szCs w:val="24"/>
          <w:highlight w:val="none"/>
        </w:rPr>
        <w:t>https://www.zcygov.cn/</w:t>
      </w:r>
      <w:r>
        <w:rPr>
          <w:rStyle w:val="76"/>
          <w:rFonts w:hint="eastAsia" w:ascii="宋体" w:hAnsi="宋体" w:eastAsia="宋体" w:cs="宋体"/>
          <w:snapToGrid/>
          <w:color w:val="auto"/>
          <w:kern w:val="2"/>
          <w:sz w:val="24"/>
          <w:szCs w:val="24"/>
          <w:highlight w:val="none"/>
        </w:rPr>
        <w:fldChar w:fldCharType="end"/>
      </w:r>
      <w:r>
        <w:rPr>
          <w:rFonts w:hint="eastAsia" w:ascii="宋体" w:hAnsi="宋体" w:cs="宋体"/>
          <w:sz w:val="24"/>
          <w:highlight w:val="none"/>
        </w:rPr>
        <w:t>）</w:t>
      </w:r>
    </w:p>
    <w:p>
      <w:pPr>
        <w:tabs>
          <w:tab w:val="left" w:pos="900"/>
        </w:tabs>
        <w:snapToGrid w:val="0"/>
        <w:spacing w:line="360" w:lineRule="auto"/>
        <w:rPr>
          <w:rFonts w:ascii="宋体" w:hAnsi="宋体" w:cs="宋体"/>
          <w:b/>
          <w:bCs/>
          <w:sz w:val="24"/>
        </w:rPr>
      </w:pPr>
      <w:r>
        <w:rPr>
          <w:rFonts w:hint="eastAsia" w:ascii="宋体" w:hAnsi="宋体" w:cs="宋体"/>
          <w:b/>
          <w:bCs/>
          <w:sz w:val="24"/>
        </w:rPr>
        <w:t>五、采购意向公开链接</w:t>
      </w:r>
    </w:p>
    <w:p>
      <w:pPr>
        <w:spacing w:line="360" w:lineRule="auto"/>
        <w:ind w:firstLine="480" w:firstLineChars="200"/>
        <w:rPr>
          <w:rFonts w:hint="eastAsia" w:ascii="宋体" w:hAnsi="宋体" w:cs="宋体"/>
          <w:b w:val="0"/>
          <w:bCs/>
          <w:sz w:val="24"/>
        </w:rPr>
      </w:pPr>
      <w:r>
        <w:rPr>
          <w:rFonts w:hint="eastAsia" w:ascii="宋体" w:hAnsi="宋体" w:cs="宋体"/>
          <w:b w:val="0"/>
          <w:bCs/>
          <w:sz w:val="24"/>
        </w:rPr>
        <w:fldChar w:fldCharType="begin"/>
      </w:r>
      <w:r>
        <w:rPr>
          <w:rFonts w:hint="eastAsia" w:ascii="宋体" w:hAnsi="宋体" w:cs="宋体"/>
          <w:b w:val="0"/>
          <w:bCs/>
          <w:sz w:val="24"/>
        </w:rPr>
        <w:instrText xml:space="preserve"> HYPERLINK "https://zfcg.czt.zj.gov.cn/site/detail?parentId=600007&amp;articleId=icIMxWDed0YKKll2XBNQsg%3D%3D&amp;utm=site.site-PC-37000.979-pc-websitegroup-zhejiang-secondPage-front.2.af8ee8e0230211efb1f025e5ff9d3a32" </w:instrText>
      </w:r>
      <w:r>
        <w:rPr>
          <w:rFonts w:hint="eastAsia" w:ascii="宋体" w:hAnsi="宋体" w:cs="宋体"/>
          <w:b w:val="0"/>
          <w:bCs/>
          <w:sz w:val="24"/>
        </w:rPr>
        <w:fldChar w:fldCharType="separate"/>
      </w:r>
      <w:r>
        <w:rPr>
          <w:rStyle w:val="76"/>
          <w:rFonts w:hint="eastAsia" w:ascii="宋体" w:hAnsi="宋体" w:cs="宋体"/>
          <w:b w:val="0"/>
          <w:bCs/>
          <w:sz w:val="24"/>
        </w:rPr>
        <w:t>https://zfcg.czt.zj.gov.cn/site/detail?parentId=600007&amp;articleId=icIMxWDed0YKKll2XBNQsg%3D%3D&amp;utm=site.site-PC-37000.979-pc-websitegroup-zhejiang-secondPage-front.2.af8ee8e0230211efb1f025e5ff9d3a32</w:t>
      </w:r>
      <w:r>
        <w:rPr>
          <w:rFonts w:hint="eastAsia" w:ascii="宋体" w:hAnsi="宋体" w:cs="宋体"/>
          <w:b w:val="0"/>
          <w:bCs/>
          <w:sz w:val="24"/>
        </w:rPr>
        <w:fldChar w:fldCharType="end"/>
      </w:r>
    </w:p>
    <w:p>
      <w:pPr>
        <w:spacing w:line="360" w:lineRule="auto"/>
        <w:rPr>
          <w:rFonts w:ascii="宋体" w:hAnsi="宋体" w:cs="宋体"/>
          <w:sz w:val="24"/>
        </w:rPr>
      </w:pPr>
      <w:r>
        <w:rPr>
          <w:rFonts w:hint="eastAsia" w:ascii="宋体" w:hAnsi="宋体" w:cs="宋体"/>
          <w:b/>
          <w:sz w:val="24"/>
        </w:rPr>
        <w:t xml:space="preserve">六、公告期限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七、其他补充事宜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八、对本次采购提出询问、质疑、投诉，请按以下方式联系</w:t>
      </w:r>
    </w:p>
    <w:p>
      <w:pPr>
        <w:widowControl/>
        <w:snapToGrid w:val="0"/>
        <w:spacing w:line="360" w:lineRule="auto"/>
        <w:ind w:firstLine="480" w:firstLineChars="200"/>
        <w:jc w:val="left"/>
        <w:rPr>
          <w:rFonts w:ascii="宋体" w:hAnsi="宋体" w:cs="宋体"/>
          <w:kern w:val="0"/>
          <w:sz w:val="24"/>
        </w:rPr>
      </w:pPr>
      <w:r>
        <w:rPr>
          <w:rFonts w:ascii="宋体" w:hAnsi="宋体" w:cs="宋体"/>
          <w:kern w:val="0"/>
          <w:sz w:val="24"/>
        </w:rPr>
        <w:t>1. 名称：杭州市卫生健康事业发展中心</w:t>
      </w:r>
    </w:p>
    <w:p>
      <w:pPr>
        <w:pStyle w:val="2"/>
        <w:spacing w:line="360" w:lineRule="auto"/>
        <w:rPr>
          <w:rFonts w:cs="宋体"/>
          <w:kern w:val="0"/>
        </w:rPr>
      </w:pPr>
      <w:r>
        <w:rPr>
          <w:rFonts w:cs="宋体"/>
          <w:kern w:val="0"/>
        </w:rPr>
        <w:t>地址：</w:t>
      </w:r>
      <w:r>
        <w:rPr>
          <w:rFonts w:hint="eastAsia" w:cs="宋体"/>
          <w:kern w:val="0"/>
        </w:rPr>
        <w:t>杭州市开元路70号</w:t>
      </w:r>
    </w:p>
    <w:p>
      <w:pPr>
        <w:pStyle w:val="2"/>
        <w:spacing w:line="360" w:lineRule="auto"/>
        <w:rPr>
          <w:rFonts w:cs="宋体"/>
          <w:kern w:val="0"/>
        </w:rPr>
      </w:pPr>
      <w:r>
        <w:rPr>
          <w:rFonts w:cs="宋体"/>
          <w:kern w:val="0"/>
        </w:rPr>
        <w:t>项目联系人：</w:t>
      </w:r>
      <w:r>
        <w:rPr>
          <w:rFonts w:hint="eastAsia" w:cs="宋体"/>
          <w:kern w:val="0"/>
        </w:rPr>
        <w:t>江腾</w:t>
      </w:r>
    </w:p>
    <w:p>
      <w:pPr>
        <w:pStyle w:val="2"/>
        <w:spacing w:line="360" w:lineRule="auto"/>
        <w:rPr>
          <w:rFonts w:cs="宋体"/>
          <w:kern w:val="0"/>
        </w:rPr>
      </w:pPr>
      <w:r>
        <w:rPr>
          <w:rFonts w:cs="宋体"/>
          <w:kern w:val="0"/>
        </w:rPr>
        <w:t>项目联系方式：</w:t>
      </w:r>
      <w:r>
        <w:rPr>
          <w:rFonts w:hint="eastAsia" w:cs="宋体"/>
          <w:kern w:val="0"/>
        </w:rPr>
        <w:t>0571-87014801</w:t>
      </w:r>
    </w:p>
    <w:p>
      <w:pPr>
        <w:pStyle w:val="2"/>
        <w:spacing w:line="360" w:lineRule="auto"/>
        <w:rPr>
          <w:rFonts w:cs="宋体"/>
          <w:kern w:val="0"/>
        </w:rPr>
      </w:pPr>
      <w:r>
        <w:rPr>
          <w:rFonts w:cs="宋体"/>
          <w:kern w:val="0"/>
        </w:rPr>
        <w:t>质疑联系人：</w:t>
      </w:r>
      <w:r>
        <w:rPr>
          <w:rFonts w:hint="eastAsia" w:cs="宋体"/>
          <w:kern w:val="0"/>
        </w:rPr>
        <w:t xml:space="preserve"> </w:t>
      </w:r>
      <w:r>
        <w:rPr>
          <w:rFonts w:hint="eastAsia" w:cs="宋体"/>
          <w:bCs/>
          <w:kern w:val="0"/>
        </w:rPr>
        <w:t>徐旭</w:t>
      </w:r>
    </w:p>
    <w:p>
      <w:pPr>
        <w:pStyle w:val="2"/>
        <w:spacing w:line="360" w:lineRule="auto"/>
        <w:rPr>
          <w:rFonts w:cs="宋体"/>
          <w:kern w:val="0"/>
        </w:rPr>
      </w:pPr>
      <w:r>
        <w:rPr>
          <w:rFonts w:cs="宋体"/>
          <w:kern w:val="0"/>
        </w:rPr>
        <w:t>质疑联系方式：</w:t>
      </w:r>
      <w:r>
        <w:rPr>
          <w:rFonts w:hint="eastAsia" w:cs="宋体"/>
          <w:bCs/>
          <w:kern w:val="0"/>
        </w:rPr>
        <w:t>0571-87386887</w:t>
      </w:r>
    </w:p>
    <w:p>
      <w:pPr>
        <w:pStyle w:val="963"/>
        <w:adjustRightInd w:val="0"/>
        <w:snapToGrid w:val="0"/>
        <w:ind w:firstLine="480"/>
        <w:rPr>
          <w:szCs w:val="24"/>
        </w:rPr>
      </w:pPr>
      <w:r>
        <w:rPr>
          <w:rFonts w:hint="eastAsia"/>
          <w:szCs w:val="24"/>
        </w:rPr>
        <w:t xml:space="preserve"> </w:t>
      </w:r>
      <w:r>
        <w:rPr>
          <w:szCs w:val="24"/>
        </w:rPr>
        <w:t xml:space="preserve">2. </w:t>
      </w:r>
      <w:r>
        <w:rPr>
          <w:rFonts w:hint="eastAsia"/>
          <w:szCs w:val="24"/>
        </w:rPr>
        <w:t>采购代理机构信息</w:t>
      </w:r>
    </w:p>
    <w:p>
      <w:pPr>
        <w:spacing w:line="360" w:lineRule="auto"/>
        <w:ind w:firstLine="480"/>
        <w:rPr>
          <w:rFonts w:hint="eastAsia" w:ascii="宋体" w:hAnsi="宋体" w:cs="宋体"/>
          <w:sz w:val="24"/>
        </w:rPr>
      </w:pPr>
      <w:r>
        <w:rPr>
          <w:rFonts w:hint="eastAsia" w:ascii="宋体" w:hAnsi="宋体" w:cs="宋体"/>
          <w:sz w:val="24"/>
        </w:rPr>
        <w:t>名    称：浙江中通通信有限公司</w:t>
      </w:r>
    </w:p>
    <w:p>
      <w:pPr>
        <w:spacing w:line="360" w:lineRule="auto"/>
        <w:ind w:firstLine="480"/>
        <w:rPr>
          <w:rFonts w:hint="eastAsia" w:ascii="宋体" w:hAnsi="宋体" w:cs="宋体"/>
          <w:sz w:val="24"/>
        </w:rPr>
      </w:pPr>
      <w:r>
        <w:rPr>
          <w:rFonts w:hint="eastAsia" w:ascii="宋体" w:hAnsi="宋体" w:cs="宋体"/>
          <w:sz w:val="24"/>
        </w:rPr>
        <w:t>地    址：杭州市拱墅区河东路215号</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项目联系人（询问）： 曾凯辉</w:t>
      </w:r>
    </w:p>
    <w:p>
      <w:pPr>
        <w:spacing w:line="360" w:lineRule="auto"/>
        <w:rPr>
          <w:rFonts w:ascii="宋体" w:hAnsi="宋体" w:cs="宋体"/>
          <w:sz w:val="24"/>
        </w:rPr>
      </w:pPr>
      <w:r>
        <w:rPr>
          <w:rFonts w:hint="eastAsia" w:ascii="宋体" w:hAnsi="宋体" w:cs="宋体"/>
          <w:sz w:val="24"/>
        </w:rPr>
        <w:t xml:space="preserve">    项目联系方式（询问）：188</w:t>
      </w:r>
      <w:r>
        <w:rPr>
          <w:rFonts w:hint="eastAsia" w:ascii="宋体" w:hAnsi="宋体" w:cs="宋体"/>
          <w:sz w:val="24"/>
          <w:lang w:val="en-US" w:eastAsia="zh-CN"/>
        </w:rPr>
        <w:t>6</w:t>
      </w:r>
      <w:r>
        <w:rPr>
          <w:rFonts w:hint="eastAsia" w:ascii="宋体" w:hAnsi="宋体" w:cs="宋体"/>
          <w:sz w:val="24"/>
        </w:rPr>
        <w:t>78</w:t>
      </w:r>
      <w:r>
        <w:rPr>
          <w:rFonts w:hint="eastAsia" w:ascii="宋体" w:hAnsi="宋体" w:cs="宋体"/>
          <w:sz w:val="24"/>
          <w:lang w:val="en-US" w:eastAsia="zh-CN"/>
        </w:rPr>
        <w:t>0</w:t>
      </w:r>
      <w:r>
        <w:rPr>
          <w:rFonts w:hint="eastAsia" w:ascii="宋体" w:hAnsi="宋体" w:cs="宋体"/>
          <w:sz w:val="24"/>
        </w:rPr>
        <w:t>2550</w:t>
      </w:r>
    </w:p>
    <w:p>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质疑联系人：</w:t>
      </w:r>
      <w:r>
        <w:rPr>
          <w:rFonts w:hint="eastAsia" w:ascii="宋体" w:hAnsi="宋体" w:cs="宋体"/>
          <w:sz w:val="24"/>
          <w:lang w:val="en-US" w:eastAsia="zh-CN"/>
        </w:rPr>
        <w:t>干祥平</w:t>
      </w:r>
    </w:p>
    <w:p>
      <w:pPr>
        <w:spacing w:line="360" w:lineRule="auto"/>
        <w:rPr>
          <w:rFonts w:hint="eastAsia" w:ascii="宋体" w:hAnsi="宋体" w:cs="宋体"/>
          <w:sz w:val="24"/>
        </w:rPr>
      </w:pPr>
      <w:r>
        <w:rPr>
          <w:rFonts w:hint="eastAsia" w:ascii="宋体" w:hAnsi="宋体" w:cs="宋体"/>
          <w:sz w:val="24"/>
        </w:rPr>
        <w:t xml:space="preserve">    质疑联系方式：15068155620（请通过以下路径在线提起质疑：政采云-项目采购-询问质疑投诉-质疑列表）</w:t>
      </w:r>
    </w:p>
    <w:p>
      <w:pPr>
        <w:spacing w:line="360" w:lineRule="auto"/>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3.同级政府采购监督管理部门            </w:t>
      </w:r>
    </w:p>
    <w:p>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 </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联系人 ：朱女士、王女士</w:t>
      </w:r>
    </w:p>
    <w:p>
      <w:pPr>
        <w:spacing w:line="360" w:lineRule="auto"/>
        <w:ind w:firstLine="480"/>
        <w:rPr>
          <w:rFonts w:ascii="宋体" w:hAnsi="宋体" w:cs="宋体"/>
          <w:sz w:val="24"/>
        </w:rPr>
      </w:pPr>
      <w:r>
        <w:rPr>
          <w:rFonts w:hint="eastAsia" w:ascii="宋体" w:hAnsi="宋体" w:cs="宋体"/>
          <w:sz w:val="24"/>
        </w:rPr>
        <w:t xml:space="preserve">监督投诉电话：电话：0571-85252453   </w:t>
      </w:r>
    </w:p>
    <w:p>
      <w:pPr>
        <w:spacing w:line="360" w:lineRule="auto"/>
        <w:ind w:firstLine="480"/>
        <w:rPr>
          <w:rFonts w:ascii="宋体" w:hAnsi="宋体" w:cs="宋体"/>
          <w:sz w:val="24"/>
        </w:rPr>
      </w:pPr>
      <w:r>
        <w:rPr>
          <w:rFonts w:hint="eastAsia" w:ascii="宋体" w:hAnsi="宋体" w:cs="宋体"/>
          <w:sz w:val="24"/>
        </w:rPr>
        <w:t>政策咨询：陈先生、厉先生，0571-89580460、89580456</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Arial"/>
                <w:b/>
                <w:bCs/>
                <w:kern w:val="0"/>
                <w:sz w:val="24"/>
                <w:u w:val="single"/>
              </w:rPr>
            </w:pPr>
            <w:r>
              <w:rPr>
                <w:rFonts w:hint="eastAsia" w:ascii="宋体" w:hAnsi="宋体" w:cs="Arial"/>
                <w:b/>
                <w:bCs/>
                <w:kern w:val="0"/>
                <w:sz w:val="24"/>
              </w:rPr>
              <w:t>标的：</w:t>
            </w:r>
            <w:r>
              <w:rPr>
                <w:rFonts w:hint="eastAsia" w:ascii="宋体" w:hAnsi="宋体" w:cs="Arial"/>
                <w:b/>
                <w:bCs/>
                <w:kern w:val="0"/>
                <w:sz w:val="24"/>
                <w:u w:val="single"/>
              </w:rPr>
              <w:t>卫健数字化改革项目驾驶舱日常运维保障项目（2024年度），</w:t>
            </w:r>
            <w:r>
              <w:rPr>
                <w:rFonts w:hint="eastAsia" w:ascii="宋体" w:hAnsi="宋体" w:cs="Arial"/>
                <w:b/>
                <w:bCs/>
                <w:kern w:val="0"/>
                <w:sz w:val="24"/>
              </w:rPr>
              <w:t>属于</w:t>
            </w:r>
            <w:r>
              <w:rPr>
                <w:rFonts w:hint="eastAsia" w:ascii="宋体" w:hAnsi="宋体" w:cs="Arial"/>
                <w:b/>
                <w:bCs/>
                <w:kern w:val="0"/>
                <w:sz w:val="24"/>
                <w:u w:val="single"/>
              </w:rPr>
              <w:t>软件和信息技术服务业</w:t>
            </w:r>
            <w:r>
              <w:rPr>
                <w:rFonts w:ascii="宋体" w:hAnsi="宋体" w:cs="Arial"/>
                <w:b/>
                <w:bCs/>
                <w:kern w:val="0"/>
                <w:sz w:val="24"/>
                <w:u w:val="single"/>
              </w:rPr>
              <w:t>。</w:t>
            </w:r>
          </w:p>
          <w:p>
            <w:pPr>
              <w:pStyle w:val="4"/>
              <w:rPr>
                <w:rFonts w:ascii="宋体" w:hAnsi="宋体" w:eastAsia="宋体"/>
                <w:sz w:val="24"/>
              </w:rPr>
            </w:pPr>
            <w:r>
              <w:rPr>
                <w:rFonts w:hint="eastAsia" w:ascii="宋体" w:hAnsi="宋体" w:eastAsia="宋体"/>
                <w:sz w:val="24"/>
              </w:rPr>
              <w:t>软件和信息技术服务业中小企业划型标准：从业人员</w:t>
            </w:r>
            <w:r>
              <w:rPr>
                <w:rFonts w:ascii="宋体" w:hAnsi="宋体" w:eastAsia="宋体"/>
                <w:sz w:val="24"/>
              </w:rPr>
              <w:t>300</w:t>
            </w:r>
          </w:p>
          <w:p>
            <w:pPr>
              <w:pStyle w:val="4"/>
              <w:rPr>
                <w:rFonts w:ascii="宋体" w:hAnsi="宋体" w:eastAsia="宋体"/>
                <w:sz w:val="24"/>
              </w:rPr>
            </w:pPr>
            <w:r>
              <w:rPr>
                <w:rFonts w:ascii="宋体" w:hAnsi="宋体" w:eastAsia="宋体"/>
                <w:sz w:val="24"/>
              </w:rPr>
              <w:t>人以下或营业收入10000万元以下的为中小微型企业。其</w:t>
            </w:r>
          </w:p>
          <w:p>
            <w:pPr>
              <w:pStyle w:val="4"/>
              <w:rPr>
                <w:rFonts w:ascii="宋体" w:hAnsi="宋体" w:eastAsia="宋体"/>
                <w:sz w:val="24"/>
              </w:rPr>
            </w:pPr>
            <w:r>
              <w:rPr>
                <w:rFonts w:ascii="宋体" w:hAnsi="宋体" w:eastAsia="宋体"/>
                <w:sz w:val="24"/>
              </w:rPr>
              <w:t>中，从业人员100人及以上，且营业收入1000万元及以上</w:t>
            </w:r>
          </w:p>
          <w:p>
            <w:pPr>
              <w:pStyle w:val="4"/>
              <w:rPr>
                <w:rFonts w:ascii="宋体" w:hAnsi="宋体" w:eastAsia="宋体"/>
                <w:sz w:val="24"/>
              </w:rPr>
            </w:pPr>
            <w:r>
              <w:rPr>
                <w:rFonts w:ascii="宋体" w:hAnsi="宋体" w:eastAsia="宋体"/>
                <w:sz w:val="24"/>
              </w:rPr>
              <w:t>的为中型企业；从业人员10人及以上，且营业收入50万</w:t>
            </w:r>
          </w:p>
          <w:p>
            <w:pPr>
              <w:pStyle w:val="4"/>
              <w:rPr>
                <w:rFonts w:ascii="宋体" w:hAnsi="宋体" w:eastAsia="宋体"/>
                <w:sz w:val="24"/>
              </w:rPr>
            </w:pPr>
            <w:r>
              <w:rPr>
                <w:rFonts w:ascii="宋体" w:hAnsi="宋体" w:eastAsia="宋体"/>
                <w:sz w:val="24"/>
              </w:rPr>
              <w:t>元及以上的为小型企业；从业人员10人以下或营业收入</w:t>
            </w:r>
          </w:p>
          <w:p>
            <w:pPr>
              <w:pStyle w:val="4"/>
              <w:rPr>
                <w:rFonts w:ascii="宋体" w:hAnsi="宋体" w:eastAsia="宋体" w:cs="宋体"/>
                <w:lang w:val="en-US"/>
              </w:rPr>
            </w:pPr>
            <w:r>
              <w:rPr>
                <w:rFonts w:ascii="宋体" w:hAnsi="宋体" w:eastAsia="宋体"/>
                <w:sz w:val="24"/>
              </w:rPr>
              <w:t>50万元以下的为微型企业。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Segoe UI Symbol" w:hAnsi="Segoe UI Symbol" w:cs="Segoe UI Symbol"/>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同意将非主体、非关键性的</w:t>
            </w:r>
            <w:r>
              <w:rPr>
                <w:rFonts w:hint="eastAsia" w:ascii="宋体" w:hAnsi="宋体" w:cs="宋体"/>
                <w:sz w:val="24"/>
                <w:u w:val="single"/>
              </w:rPr>
              <w:t>2</w:t>
            </w:r>
            <w:r>
              <w:rPr>
                <w:rFonts w:ascii="宋体" w:hAnsi="宋体" w:cs="宋体"/>
                <w:sz w:val="24"/>
                <w:u w:val="single"/>
              </w:rPr>
              <w:t>4</w:t>
            </w:r>
            <w:r>
              <w:rPr>
                <w:rFonts w:hint="eastAsia" w:ascii="宋体" w:hAnsi="宋体" w:cs="宋体"/>
                <w:sz w:val="24"/>
                <w:u w:val="single"/>
              </w:rPr>
              <w:t>小时运维电话</w:t>
            </w:r>
            <w:r>
              <w:rPr>
                <w:rFonts w:hint="eastAsia" w:ascii="宋体" w:hAnsi="宋体" w:cs="宋体"/>
                <w:sz w:val="24"/>
              </w:rPr>
              <w:t>工作分包，</w:t>
            </w:r>
            <w:r>
              <w:rPr>
                <w:rFonts w:hint="eastAsia" w:ascii="宋体" w:hAnsi="宋体"/>
                <w:sz w:val="24"/>
              </w:rPr>
              <w:t>分包部分合同金额比例应达到合同总金额的</w:t>
            </w:r>
            <w:r>
              <w:rPr>
                <w:rFonts w:ascii="宋体" w:hAnsi="宋体"/>
                <w:sz w:val="24"/>
              </w:rPr>
              <w:t>5%</w:t>
            </w:r>
            <w:r>
              <w:rPr>
                <w:rFonts w:hint="eastAsia" w:ascii="宋体" w:hAnsi="宋体"/>
                <w:sz w:val="24"/>
              </w:rPr>
              <w:t>，分包供应商应具备承接分包内容</w:t>
            </w:r>
            <w:r>
              <w:rPr>
                <w:rFonts w:ascii="宋体" w:hAnsi="宋体"/>
                <w:sz w:val="24"/>
              </w:rPr>
              <w:t>所必需的设备和专业技术能力</w:t>
            </w:r>
            <w:r>
              <w:rPr>
                <w:rFonts w:hint="eastAsia" w:ascii="宋体" w:hAnsi="宋体"/>
                <w:sz w:val="24"/>
              </w:rPr>
              <w:t>，总包供应商对分包内容承担连带责任。</w:t>
            </w:r>
          </w:p>
          <w:p>
            <w:pPr>
              <w:spacing w:line="360" w:lineRule="auto"/>
              <w:rPr>
                <w:rFonts w:ascii="宋体" w:hAnsi="宋体" w:cs="宋体"/>
                <w:sz w:val="24"/>
              </w:rPr>
            </w:pP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Segoe UI Symbol" w:hAnsi="Segoe UI Symbol" w:cs="Segoe UI Symbol"/>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18833310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Segoe UI Symbol" w:hAnsi="Segoe UI Symbol" w:cs="Segoe UI Symbol"/>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Segoe UI Symbol" w:hAnsi="Segoe UI Symbol" w:cs="Segoe UI Symbol"/>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Segoe UI Symbol" w:hAnsi="Segoe UI Symbol" w:cs="Segoe UI Symbol"/>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Segoe UI Symbol" w:hAnsi="Segoe UI Symbol" w:cs="Segoe UI Symbol"/>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Segoe UI Symbol" w:hAnsi="Segoe UI Symbol" w:cs="Segoe UI Symbol"/>
                    <w:kern w:val="0"/>
                    <w:sz w:val="24"/>
                  </w:rPr>
                  <w:t>☐</w:t>
                </w:r>
              </w:sdtContent>
            </w:sdt>
            <w:r>
              <w:rPr>
                <w:rFonts w:hint="eastAsia" w:ascii="宋体" w:hAnsi="宋体" w:cs="宋体"/>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Times New Roman"/>
                <w:kern w:val="28"/>
                <w:sz w:val="24"/>
                <w:szCs w:val="24"/>
                <w:u w:val="single"/>
                <w:lang w:eastAsia="zh-CN"/>
              </w:rPr>
              <w:t>杭州市拱墅区河东路215号招标商务部</w:t>
            </w:r>
            <w:r>
              <w:rPr>
                <w:rFonts w:hint="eastAsia" w:hAnsi="宋体" w:cs="宋体"/>
                <w:kern w:val="28"/>
                <w:sz w:val="24"/>
                <w:szCs w:val="24"/>
              </w:rPr>
              <w:t>；备份投标文件签收人员联系电话：</w:t>
            </w:r>
            <w:r>
              <w:rPr>
                <w:rFonts w:hint="eastAsia" w:hAnsi="宋体"/>
                <w:sz w:val="24"/>
                <w:u w:val="single"/>
                <w:lang w:eastAsia="zh-CN"/>
              </w:rPr>
              <w:t>曾凯辉</w:t>
            </w:r>
            <w:r>
              <w:rPr>
                <w:rFonts w:hint="eastAsia" w:hAnsi="宋体"/>
                <w:sz w:val="24"/>
                <w:u w:val="single"/>
              </w:rPr>
              <w:t>，</w:t>
            </w:r>
            <w:r>
              <w:rPr>
                <w:rFonts w:hint="eastAsia" w:hAnsi="宋体"/>
                <w:sz w:val="24"/>
                <w:u w:val="single"/>
                <w:lang w:eastAsia="zh-CN"/>
              </w:rPr>
              <w:t>18867802550</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ascii="宋体" w:hAnsi="宋体" w:cs="Arial"/>
                  <w:kern w:val="0"/>
                  <w:sz w:val="24"/>
                </w:rPr>
                <w:id w:val="-1816336663"/>
                <w14:checkbox>
                  <w14:checked w14:val="0"/>
                  <w14:checkedState w14:val="00FE" w14:font="Wingdings"/>
                  <w14:uncheckedState w14:val="2610" w14:font="MS Gothic"/>
                </w14:checkbox>
              </w:sdtPr>
              <w:sdtEndPr>
                <w:rPr>
                  <w:rFonts w:hint="eastAsia" w:ascii="宋体" w:hAnsi="宋体" w:cs="Arial"/>
                  <w:kern w:val="0"/>
                  <w:sz w:val="24"/>
                </w:rPr>
              </w:sdtEndPr>
              <w:sdtContent>
                <w:r>
                  <w:rPr>
                    <w:rFonts w:ascii="Segoe UI Symbol" w:hAnsi="Segoe UI Symbol" w:cs="Segoe UI Symbol"/>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ascii="宋体" w:hAnsi="宋体" w:cs="Arial"/>
                  <w:kern w:val="0"/>
                  <w:sz w:val="24"/>
                </w:rPr>
                <w:id w:val="-232311894"/>
                <w14:checkbox>
                  <w14:checked w14:val="1"/>
                  <w14:checkedState w14:val="00FE" w14:font="Wingdings"/>
                  <w14:uncheckedState w14:val="2610" w14:font="MS Gothic"/>
                </w14:checkbox>
              </w:sdtPr>
              <w:sdtEndPr>
                <w:rPr>
                  <w:rFonts w:hint="eastAsia" w:ascii="宋体" w:hAnsi="宋体" w:cs="Arial"/>
                  <w:kern w:val="0"/>
                  <w:sz w:val="24"/>
                </w:rPr>
              </w:sdtEndPr>
              <w:sdtContent>
                <w:r>
                  <w:rPr>
                    <w:rFonts w:hint="eastAsia" w:ascii="宋体" w:hAnsi="宋体" w:cs="Arial"/>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第三部分"/>
      <w:bookmarkStart w:id="12" w:name="_Toc164416483"/>
    </w:p>
    <w:p>
      <w:pPr>
        <w:adjustRightInd/>
        <w:spacing w:line="360" w:lineRule="auto"/>
        <w:ind w:firstLine="3845" w:firstLineChars="1197"/>
        <w:outlineLvl w:val="0"/>
        <w:rPr>
          <w:rFonts w:ascii="宋体" w:hAnsi="宋体" w:cs="宋体"/>
          <w:b/>
          <w:sz w:val="32"/>
          <w:szCs w:val="20"/>
        </w:rPr>
      </w:pPr>
    </w:p>
    <w:p>
      <w:pPr>
        <w:adjustRightInd/>
        <w:spacing w:line="360" w:lineRule="auto"/>
        <w:ind w:firstLine="3845" w:firstLineChars="1197"/>
        <w:outlineLvl w:val="0"/>
        <w:rPr>
          <w:rFonts w:ascii="宋体" w:hAnsi="宋体" w:cs="宋体"/>
          <w:b/>
          <w:sz w:val="32"/>
          <w:szCs w:val="20"/>
        </w:rPr>
      </w:pPr>
    </w:p>
    <w:p>
      <w:pPr>
        <w:adjustRightInd/>
        <w:spacing w:line="360" w:lineRule="auto"/>
        <w:ind w:firstLine="3845" w:firstLineChars="1197"/>
        <w:outlineLvl w:val="0"/>
        <w:rPr>
          <w:rFonts w:ascii="宋体" w:hAnsi="宋体" w:cs="宋体"/>
          <w:b/>
          <w:sz w:val="32"/>
          <w:szCs w:val="20"/>
        </w:rPr>
      </w:pPr>
    </w:p>
    <w:p>
      <w:pPr>
        <w:adjustRightInd/>
        <w:spacing w:line="360" w:lineRule="auto"/>
        <w:ind w:firstLine="3845" w:firstLineChars="1197"/>
        <w:outlineLvl w:val="0"/>
        <w:rPr>
          <w:rFonts w:ascii="宋体" w:hAnsi="宋体" w:cs="宋体"/>
          <w:b/>
          <w:sz w:val="32"/>
          <w:szCs w:val="20"/>
        </w:rPr>
      </w:pPr>
    </w:p>
    <w:p>
      <w:pPr>
        <w:adjustRightInd/>
        <w:spacing w:line="360" w:lineRule="auto"/>
        <w:ind w:firstLine="3845" w:firstLineChars="1197"/>
        <w:outlineLvl w:val="0"/>
        <w:rPr>
          <w:rFonts w:ascii="宋体" w:hAnsi="宋体" w:cs="宋体"/>
          <w:b/>
          <w:sz w:val="32"/>
          <w:szCs w:val="20"/>
        </w:rPr>
      </w:pPr>
    </w:p>
    <w:p>
      <w:pPr>
        <w:adjustRightInd/>
        <w:spacing w:line="360" w:lineRule="auto"/>
        <w:ind w:firstLine="3845" w:firstLineChars="1197"/>
        <w:outlineLvl w:val="0"/>
        <w:rPr>
          <w:rFonts w:ascii="宋体" w:hAnsi="宋体" w:cs="宋体"/>
          <w:b/>
          <w:sz w:val="32"/>
          <w:szCs w:val="20"/>
        </w:rPr>
      </w:pPr>
    </w:p>
    <w:p>
      <w:pPr>
        <w:adjustRightInd/>
        <w:spacing w:line="360" w:lineRule="auto"/>
        <w:ind w:firstLine="3845" w:firstLineChars="1197"/>
        <w:outlineLvl w:val="0"/>
        <w:rPr>
          <w:rFonts w:ascii="宋体" w:hAnsi="宋体" w:cs="宋体"/>
          <w:b/>
          <w:sz w:val="32"/>
          <w:szCs w:val="20"/>
        </w:rPr>
      </w:pPr>
    </w:p>
    <w:p>
      <w:pPr>
        <w:pStyle w:val="4"/>
        <w:rPr>
          <w:rFonts w:ascii="宋体" w:hAnsi="宋体" w:eastAsia="宋体"/>
          <w:lang w:val="en-US"/>
        </w:rPr>
      </w:pPr>
    </w:p>
    <w:p>
      <w:pPr>
        <w:rPr>
          <w:rFonts w:ascii="宋体" w:hAnsi="宋体" w:eastAsia="宋体"/>
          <w:lang w:val="en-US"/>
        </w:rPr>
      </w:pPr>
    </w:p>
    <w:p>
      <w:pPr>
        <w:pStyle w:val="2"/>
        <w:rPr>
          <w:rFonts w:ascii="宋体" w:hAnsi="宋体" w:eastAsia="宋体"/>
          <w:lang w:val="en-US"/>
        </w:rPr>
      </w:pPr>
    </w:p>
    <w:p>
      <w:pPr>
        <w:rPr>
          <w:rFonts w:ascii="宋体" w:hAnsi="宋体" w:eastAsia="宋体"/>
          <w:lang w:val="en-US"/>
        </w:rPr>
      </w:pPr>
    </w:p>
    <w:p>
      <w:pPr>
        <w:pStyle w:val="2"/>
        <w:rPr>
          <w:rFonts w:ascii="宋体" w:hAnsi="宋体" w:eastAsia="宋体"/>
          <w:lang w:val="en-US"/>
        </w:rPr>
      </w:pPr>
    </w:p>
    <w:p>
      <w:pPr>
        <w:rPr>
          <w:rFonts w:ascii="宋体" w:hAnsi="宋体" w:eastAsia="宋体"/>
          <w:lang w:val="en-US"/>
        </w:rPr>
      </w:pPr>
    </w:p>
    <w:p>
      <w:pPr>
        <w:pStyle w:val="2"/>
        <w:rPr>
          <w:rFonts w:ascii="宋体" w:hAnsi="宋体" w:eastAsia="宋体"/>
          <w:lang w:val="en-US"/>
        </w:rPr>
      </w:pPr>
    </w:p>
    <w:p>
      <w:pPr>
        <w:rPr>
          <w:rFonts w:ascii="宋体" w:hAnsi="宋体" w:eastAsia="宋体"/>
          <w:lang w:val="en-US"/>
        </w:rPr>
      </w:pPr>
    </w:p>
    <w:p>
      <w:pPr>
        <w:pStyle w:val="2"/>
        <w:rPr>
          <w:lang w:val="en-US"/>
        </w:rPr>
      </w:pPr>
    </w:p>
    <w:p>
      <w:pPr>
        <w:rPr>
          <w:rFonts w:ascii="宋体" w:hAnsi="宋体"/>
        </w:rPr>
      </w:pPr>
    </w:p>
    <w:p>
      <w:pPr>
        <w:rPr>
          <w:rFonts w:ascii="宋体" w:hAnsi="宋体"/>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宋体" w:hAnsi="宋体"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Segoe UI Symbol" w:hAnsi="Segoe UI Symbol" w:cs="Segoe UI Symbol"/>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12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2"/>
        <w:spacing w:line="360" w:lineRule="auto"/>
        <w:rPr>
          <w:rFonts w:hAnsi="宋体" w:cs="宋体"/>
          <w:b/>
          <w:sz w:val="24"/>
          <w:szCs w:val="24"/>
        </w:rPr>
      </w:pPr>
      <w:r>
        <w:rPr>
          <w:rFonts w:hint="eastAsia" w:hAnsi="宋体" w:cs="宋体"/>
          <w:b/>
          <w:sz w:val="24"/>
          <w:szCs w:val="24"/>
        </w:rPr>
        <w:t>5．招标文件的构成</w:t>
      </w:r>
    </w:p>
    <w:p>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2"/>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28"/>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2"/>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2"/>
        <w:spacing w:line="360" w:lineRule="auto"/>
        <w:rPr>
          <w:rFonts w:hAnsi="宋体" w:cs="宋体"/>
          <w:b/>
          <w:sz w:val="24"/>
          <w:szCs w:val="24"/>
        </w:rPr>
      </w:pPr>
      <w:r>
        <w:rPr>
          <w:rFonts w:hint="eastAsia" w:hAnsi="宋体" w:cs="宋体"/>
          <w:b/>
          <w:sz w:val="24"/>
          <w:szCs w:val="24"/>
        </w:rPr>
        <w:t>8.开标前答疑会或现场考察</w:t>
      </w:r>
    </w:p>
    <w:p>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szCs w:val="24"/>
        </w:rPr>
      </w:pPr>
      <w:r>
        <w:rPr>
          <w:rFonts w:hint="eastAsia" w:hAnsi="宋体" w:cs="宋体"/>
          <w:b/>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2"/>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hAnsi="宋体" w:cs="宋体"/>
          <w:b/>
          <w:sz w:val="24"/>
          <w:szCs w:val="24"/>
        </w:rPr>
      </w:pPr>
      <w:r>
        <w:rPr>
          <w:rFonts w:hint="eastAsia" w:hAnsi="宋体" w:cs="宋体"/>
          <w:b/>
          <w:sz w:val="24"/>
          <w:szCs w:val="24"/>
        </w:rPr>
        <w:t>15.备份投标文件</w:t>
      </w:r>
    </w:p>
    <w:p>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2"/>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sz w:val="32"/>
        </w:rPr>
      </w:pP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28"/>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ind w:firstLine="482" w:firstLineChars="200"/>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rFonts w:ascii="宋体" w:hAnsi="宋体" w:eastAsia="宋体"/>
        </w:rPr>
      </w:pPr>
      <w:r>
        <w:rPr>
          <w:rFonts w:ascii="宋体" w:hAnsi="宋体" w:eastAsia="宋体"/>
          <w:sz w:val="24"/>
          <w:lang w:val="en-US"/>
        </w:rPr>
        <w:t>27.预付款</w:t>
      </w:r>
    </w:p>
    <w:p>
      <w:pPr>
        <w:adjustRightInd/>
        <w:spacing w:line="360" w:lineRule="auto"/>
        <w:ind w:firstLine="480" w:firstLineChars="200"/>
        <w:rPr>
          <w:rFonts w:ascii="宋体" w:hAnsi="宋体"/>
        </w:rPr>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政府采购工程以及与工程建设有关的货物、服务，采用采购人式采购的，预付款从其相关规定。供应商可登录政采云前台大厅选择金融服务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Pr>
        <w:rPr>
          <w:rFonts w:ascii="宋体" w:hAnsi="宋体"/>
        </w:rPr>
      </w:pPr>
    </w:p>
    <w:p>
      <w:pPr>
        <w:snapToGrid w:val="0"/>
        <w:spacing w:line="360" w:lineRule="auto"/>
        <w:ind w:firstLine="3357" w:firstLineChars="1045"/>
        <w:rPr>
          <w:rFonts w:ascii="宋体" w:hAnsi="宋体" w:cs="宋体"/>
          <w:b/>
          <w:sz w:val="32"/>
        </w:rPr>
      </w:pPr>
    </w:p>
    <w:p>
      <w:pPr>
        <w:snapToGrid w:val="0"/>
        <w:spacing w:line="360" w:lineRule="auto"/>
        <w:jc w:val="center"/>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75236011"/>
      <w:bookmarkEnd w:id="16"/>
      <w:bookmarkStart w:id="17" w:name="_Hlt75236101"/>
      <w:bookmarkEnd w:id="17"/>
      <w:bookmarkStart w:id="18" w:name="_Hlt68403820"/>
      <w:bookmarkEnd w:id="18"/>
      <w:bookmarkStart w:id="19" w:name="_Hlt74730295"/>
      <w:bookmarkEnd w:id="19"/>
      <w:bookmarkStart w:id="20" w:name="_Hlt74707468"/>
      <w:bookmarkEnd w:id="20"/>
      <w:bookmarkStart w:id="21" w:name="_Hlt68072998"/>
      <w:bookmarkEnd w:id="21"/>
      <w:bookmarkStart w:id="22" w:name="_Hlt75236290"/>
      <w:bookmarkEnd w:id="22"/>
      <w:bookmarkStart w:id="23" w:name="_Hlt68073093"/>
      <w:bookmarkEnd w:id="23"/>
      <w:bookmarkStart w:id="24" w:name="_Hlt74714665"/>
      <w:bookmarkEnd w:id="24"/>
      <w:bookmarkStart w:id="25" w:name="_Hlt68057669"/>
      <w:bookmarkEnd w:id="25"/>
      <w:bookmarkStart w:id="26" w:name="_Hlt68072990"/>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pStyle w:val="4"/>
        <w:numPr>
          <w:ilvl w:val="0"/>
          <w:numId w:val="1"/>
        </w:numPr>
        <w:ind w:left="360" w:hanging="360"/>
        <w:rPr>
          <w:rFonts w:ascii="宋体" w:hAnsi="宋体" w:eastAsia="宋体" w:cs="宋体"/>
          <w:sz w:val="24"/>
          <w:szCs w:val="24"/>
        </w:rPr>
      </w:pPr>
      <w:bookmarkStart w:id="28" w:name="_Toc25476"/>
      <w:bookmarkStart w:id="29" w:name="_Hlk103617900"/>
      <w:r>
        <w:rPr>
          <w:rFonts w:hint="eastAsia" w:ascii="宋体" w:hAnsi="宋体" w:eastAsia="宋体" w:cs="宋体"/>
          <w:sz w:val="24"/>
          <w:szCs w:val="24"/>
        </w:rPr>
        <w:t>项目</w:t>
      </w:r>
      <w:bookmarkEnd w:id="28"/>
      <w:r>
        <w:rPr>
          <w:rFonts w:hint="eastAsia" w:ascii="宋体" w:hAnsi="宋体" w:eastAsia="宋体" w:cs="宋体"/>
          <w:sz w:val="24"/>
          <w:szCs w:val="24"/>
        </w:rPr>
        <w:t>概况</w:t>
      </w:r>
    </w:p>
    <w:p>
      <w:pPr>
        <w:pStyle w:val="82"/>
        <w:rPr>
          <w:rFonts w:cs="宋体"/>
        </w:rPr>
      </w:pPr>
      <w:r>
        <w:rPr>
          <w:rFonts w:hint="eastAsia" w:cs="宋体"/>
        </w:rPr>
        <w:t>2024年度卫健数字化改革项目驾驶舱日常运维保障项目具体服务内容如下：</w:t>
      </w:r>
    </w:p>
    <w:p>
      <w:pPr>
        <w:pStyle w:val="82"/>
        <w:rPr>
          <w:rFonts w:cs="宋体"/>
        </w:rPr>
      </w:pPr>
      <w:r>
        <w:rPr>
          <w:rFonts w:hint="eastAsia" w:cs="宋体"/>
        </w:rPr>
        <w:t>杭州市卫健委“平安卫健”系统运维服务、杭州市婴育数字化应用系统维护、杭州市健康应用运维服务、杭州市中医药数据驾驶舱运维服务、城市大脑运维保障服务等五个系统的运维。</w:t>
      </w:r>
    </w:p>
    <w:p>
      <w:pPr>
        <w:pStyle w:val="4"/>
        <w:numPr>
          <w:ilvl w:val="0"/>
          <w:numId w:val="1"/>
        </w:numPr>
        <w:ind w:left="360" w:hanging="360"/>
        <w:rPr>
          <w:rFonts w:ascii="宋体" w:hAnsi="宋体" w:eastAsia="宋体" w:cs="宋体"/>
          <w:sz w:val="24"/>
          <w:szCs w:val="24"/>
        </w:rPr>
      </w:pPr>
      <w:r>
        <w:rPr>
          <w:rFonts w:hint="eastAsia" w:ascii="宋体" w:hAnsi="宋体" w:eastAsia="宋体" w:cs="宋体"/>
          <w:sz w:val="24"/>
          <w:szCs w:val="24"/>
        </w:rPr>
        <w:t>项目内容</w:t>
      </w:r>
    </w:p>
    <w:p>
      <w:pPr>
        <w:pStyle w:val="82"/>
        <w:rPr>
          <w:rFonts w:cs="宋体"/>
          <w:b/>
          <w:bCs/>
        </w:rPr>
      </w:pPr>
      <w:r>
        <w:rPr>
          <w:rFonts w:hint="eastAsia" w:cs="宋体"/>
          <w:b/>
          <w:bCs/>
        </w:rPr>
        <w:t>系统一：杭州市卫健委“平安卫健”系统运维服务</w:t>
      </w:r>
    </w:p>
    <w:p>
      <w:pPr>
        <w:pStyle w:val="82"/>
      </w:pPr>
      <w:r>
        <w:rPr>
          <w:rFonts w:hint="eastAsia" w:cs="宋体"/>
        </w:rPr>
        <w:t>为维护杭州市卫健委“平安卫健”一期系统中年度考核、在线动态、消防安全、安全生产、信访维稳、综治安保、疫情防控这七大模块，通过系统化、持续地运维服务保障本系统高效、安全、稳定、可靠运行。</w:t>
      </w:r>
    </w:p>
    <w:p>
      <w:pPr>
        <w:pStyle w:val="255"/>
        <w:ind w:firstLine="480"/>
        <w:rPr>
          <w:rFonts w:ascii="宋体" w:hAnsi="宋体" w:eastAsia="宋体"/>
        </w:rPr>
      </w:pPr>
      <w:r>
        <w:rPr>
          <w:rFonts w:hint="eastAsia" w:ascii="宋体" w:hAnsi="宋体" w:eastAsia="宋体"/>
        </w:rPr>
        <w:t>（一）运维服务内容</w:t>
      </w:r>
    </w:p>
    <w:p>
      <w:pPr>
        <w:pStyle w:val="255"/>
        <w:numPr>
          <w:ilvl w:val="0"/>
          <w:numId w:val="2"/>
        </w:numPr>
        <w:adjustRightInd/>
        <w:ind w:left="0" w:firstLine="480"/>
        <w:rPr>
          <w:rFonts w:ascii="宋体" w:hAnsi="宋体" w:eastAsia="宋体"/>
        </w:rPr>
      </w:pPr>
      <w:r>
        <w:rPr>
          <w:rFonts w:hint="eastAsia" w:ascii="宋体" w:hAnsi="宋体" w:eastAsia="宋体"/>
        </w:rPr>
        <w:t>日常工单处理：提供5*8小时日常工单处理服务，通过邮件、QQ和电话等方式受理甲方派发的工单。</w:t>
      </w:r>
    </w:p>
    <w:p>
      <w:pPr>
        <w:pStyle w:val="255"/>
        <w:numPr>
          <w:ilvl w:val="0"/>
          <w:numId w:val="2"/>
        </w:numPr>
        <w:adjustRightInd/>
        <w:ind w:left="0" w:firstLine="480"/>
        <w:rPr>
          <w:rFonts w:ascii="宋体" w:hAnsi="宋体" w:eastAsia="宋体"/>
        </w:rPr>
      </w:pPr>
      <w:r>
        <w:rPr>
          <w:rFonts w:hint="eastAsia" w:ascii="宋体" w:hAnsi="宋体" w:eastAsia="宋体"/>
        </w:rPr>
        <w:t>变更管理：负责线上服务的变更、服务状态监控、服务容灾和数据备份等工作，对服务进行例行排查、故障应急处理等工作，保障平台7X24小时正常稳定的运行。</w:t>
      </w:r>
    </w:p>
    <w:p>
      <w:pPr>
        <w:pStyle w:val="255"/>
        <w:numPr>
          <w:ilvl w:val="0"/>
          <w:numId w:val="2"/>
        </w:numPr>
        <w:adjustRightInd/>
        <w:ind w:left="0" w:firstLine="480"/>
        <w:rPr>
          <w:rFonts w:ascii="宋体" w:hAnsi="宋体" w:eastAsia="宋体"/>
        </w:rPr>
      </w:pPr>
      <w:r>
        <w:rPr>
          <w:rFonts w:hint="eastAsia" w:ascii="宋体" w:hAnsi="宋体" w:eastAsia="宋体"/>
        </w:rPr>
        <w:t>安全演练：负责跟进上级发起的安全相关的应急保障演练工作，实施并编写相关演练报告及总结。并对生产业务进行高可用演练，保障生产业务持续稳定的运行。</w:t>
      </w:r>
    </w:p>
    <w:p>
      <w:pPr>
        <w:pStyle w:val="255"/>
        <w:numPr>
          <w:ilvl w:val="0"/>
          <w:numId w:val="2"/>
        </w:numPr>
        <w:adjustRightInd/>
        <w:ind w:left="0" w:firstLine="480"/>
        <w:rPr>
          <w:rFonts w:ascii="宋体" w:hAnsi="宋体" w:eastAsia="宋体"/>
        </w:rPr>
      </w:pPr>
      <w:r>
        <w:rPr>
          <w:rFonts w:hint="eastAsia" w:ascii="宋体" w:hAnsi="宋体" w:eastAsia="宋体"/>
        </w:rPr>
        <w:t>漏洞整改：对业务安全漏扫及隐私合规扫描出现的问题进行及时修复。</w:t>
      </w:r>
    </w:p>
    <w:p>
      <w:pPr>
        <w:pStyle w:val="255"/>
        <w:numPr>
          <w:ilvl w:val="0"/>
          <w:numId w:val="2"/>
        </w:numPr>
        <w:adjustRightInd/>
        <w:ind w:left="0" w:firstLine="480"/>
        <w:rPr>
          <w:rFonts w:ascii="宋体" w:hAnsi="宋体" w:eastAsia="宋体"/>
        </w:rPr>
      </w:pPr>
      <w:r>
        <w:rPr>
          <w:rFonts w:hint="eastAsia" w:ascii="宋体" w:hAnsi="宋体" w:eastAsia="宋体"/>
        </w:rPr>
        <w:t>运维优化：基于业务系统不断深入Linux操作系统内核、各大中间件进行部署、维护、调优，及高可用方案的可行性研究，并通过一系列shell脚本，对生产服务器进行自动化巡检，监控、告警等功能。</w:t>
      </w:r>
    </w:p>
    <w:p>
      <w:pPr>
        <w:pStyle w:val="255"/>
        <w:ind w:firstLine="480"/>
        <w:rPr>
          <w:rFonts w:ascii="宋体" w:hAnsi="宋体" w:eastAsia="宋体"/>
        </w:rPr>
      </w:pPr>
      <w:r>
        <w:rPr>
          <w:rFonts w:hint="eastAsia" w:ascii="宋体" w:hAnsi="宋体" w:eastAsia="宋体"/>
        </w:rPr>
        <w:t>（二）运维服务方式</w:t>
      </w:r>
    </w:p>
    <w:p>
      <w:pPr>
        <w:pStyle w:val="255"/>
        <w:numPr>
          <w:ilvl w:val="0"/>
          <w:numId w:val="3"/>
        </w:numPr>
        <w:adjustRightInd/>
        <w:ind w:left="0" w:firstLine="480"/>
        <w:rPr>
          <w:rFonts w:ascii="宋体" w:hAnsi="宋体" w:eastAsia="宋体"/>
        </w:rPr>
      </w:pPr>
      <w:r>
        <w:rPr>
          <w:rFonts w:hint="eastAsia" w:ascii="宋体" w:hAnsi="宋体" w:eastAsia="宋体"/>
        </w:rPr>
        <w:t>现场支持</w:t>
      </w:r>
      <w:r>
        <w:rPr>
          <w:rFonts w:ascii="宋体" w:hAnsi="宋体" w:eastAsia="宋体"/>
        </w:rPr>
        <w:t>服务</w:t>
      </w:r>
      <w:r>
        <w:rPr>
          <w:rFonts w:hint="eastAsia" w:ascii="宋体" w:hAnsi="宋体" w:eastAsia="宋体"/>
        </w:rPr>
        <w:t>：</w:t>
      </w:r>
      <w:r>
        <w:rPr>
          <w:rFonts w:ascii="宋体" w:hAnsi="宋体" w:eastAsia="宋体"/>
        </w:rPr>
        <w:t>公司为用户提供及时有效的支持服务。对于影响系统正常运行的严重故障</w:t>
      </w:r>
      <w:r>
        <w:rPr>
          <w:rFonts w:hint="eastAsia" w:ascii="宋体" w:hAnsi="宋体" w:eastAsia="宋体"/>
        </w:rPr>
        <w:t>，将</w:t>
      </w:r>
      <w:r>
        <w:rPr>
          <w:rFonts w:ascii="宋体" w:hAnsi="宋体" w:eastAsia="宋体"/>
        </w:rPr>
        <w:t>派相关技术人员在2小时内</w:t>
      </w:r>
      <w:r>
        <w:rPr>
          <w:rFonts w:hint="eastAsia" w:ascii="宋体" w:hAnsi="宋体" w:eastAsia="宋体"/>
        </w:rPr>
        <w:t>远程</w:t>
      </w:r>
      <w:r>
        <w:rPr>
          <w:rFonts w:ascii="宋体" w:hAnsi="宋体" w:eastAsia="宋体"/>
        </w:rPr>
        <w:t>查找原因，提出解决方案，并工作直至故障修妥完全恢复正常服务为止。</w:t>
      </w:r>
    </w:p>
    <w:p>
      <w:pPr>
        <w:pStyle w:val="255"/>
        <w:numPr>
          <w:ilvl w:val="0"/>
          <w:numId w:val="3"/>
        </w:numPr>
        <w:adjustRightInd/>
        <w:ind w:left="0" w:firstLine="480"/>
        <w:rPr>
          <w:rFonts w:ascii="宋体" w:hAnsi="宋体" w:eastAsia="宋体"/>
        </w:rPr>
      </w:pPr>
      <w:r>
        <w:rPr>
          <w:rFonts w:hint="eastAsia" w:ascii="宋体" w:hAnsi="宋体" w:eastAsia="宋体"/>
        </w:rPr>
        <w:t>电话咨询及邮件</w:t>
      </w:r>
      <w:r>
        <w:rPr>
          <w:rFonts w:ascii="宋体" w:hAnsi="宋体" w:eastAsia="宋体"/>
        </w:rPr>
        <w:t>服务</w:t>
      </w:r>
      <w:r>
        <w:rPr>
          <w:rFonts w:hint="eastAsia" w:ascii="宋体" w:hAnsi="宋体" w:eastAsia="宋体"/>
        </w:rPr>
        <w:t>：</w:t>
      </w:r>
      <w:r>
        <w:rPr>
          <w:rFonts w:ascii="宋体" w:hAnsi="宋体" w:eastAsia="宋体"/>
        </w:rPr>
        <w:t>提供每周7天/每天</w:t>
      </w:r>
      <w:r>
        <w:rPr>
          <w:rFonts w:hint="eastAsia" w:ascii="宋体" w:hAnsi="宋体" w:eastAsia="宋体"/>
        </w:rPr>
        <w:t>24</w:t>
      </w:r>
      <w:r>
        <w:rPr>
          <w:rFonts w:ascii="宋体" w:hAnsi="宋体" w:eastAsia="宋体"/>
        </w:rPr>
        <w:t>小时不间断的电话支持服务和电子邮件技术服务，解答用户在系统使用、维护过程中遇到的问题，及时提出解决问题的建议和操作方法。</w:t>
      </w:r>
    </w:p>
    <w:p>
      <w:pPr>
        <w:pStyle w:val="255"/>
        <w:numPr>
          <w:ilvl w:val="0"/>
          <w:numId w:val="3"/>
        </w:numPr>
        <w:adjustRightInd/>
        <w:ind w:left="0" w:firstLine="480"/>
        <w:rPr>
          <w:rFonts w:ascii="宋体" w:hAnsi="宋体" w:eastAsia="宋体"/>
        </w:rPr>
      </w:pPr>
      <w:r>
        <w:rPr>
          <w:rFonts w:hint="eastAsia" w:ascii="宋体" w:hAnsi="宋体" w:eastAsia="宋体"/>
        </w:rPr>
        <w:t>网上及远程在线诊断和故障排除：</w:t>
      </w:r>
      <w:r>
        <w:rPr>
          <w:rFonts w:ascii="宋体" w:hAnsi="宋体" w:eastAsia="宋体"/>
        </w:rPr>
        <w:t>对于电话咨询无法解决的问题，工程师经用户授权可通过</w:t>
      </w:r>
      <w:r>
        <w:rPr>
          <w:rFonts w:hint="eastAsia" w:ascii="宋体" w:hAnsi="宋体" w:eastAsia="宋体"/>
        </w:rPr>
        <w:t>政务云</w:t>
      </w:r>
      <w:r>
        <w:rPr>
          <w:rFonts w:ascii="宋体" w:hAnsi="宋体" w:eastAsia="宋体"/>
        </w:rPr>
        <w:t>远程登录到用户网络系统进行免费的故障诊断和故障排除。</w:t>
      </w:r>
    </w:p>
    <w:p>
      <w:pPr>
        <w:pStyle w:val="255"/>
        <w:numPr>
          <w:ilvl w:val="0"/>
          <w:numId w:val="3"/>
        </w:numPr>
        <w:adjustRightInd/>
        <w:ind w:left="0" w:firstLine="480"/>
        <w:rPr>
          <w:rFonts w:ascii="宋体" w:hAnsi="宋体" w:eastAsia="宋体"/>
        </w:rPr>
      </w:pPr>
      <w:r>
        <w:rPr>
          <w:rFonts w:hint="eastAsia" w:ascii="宋体" w:hAnsi="宋体" w:eastAsia="宋体"/>
        </w:rPr>
        <w:t>巡检服务：</w:t>
      </w:r>
      <w:r>
        <w:rPr>
          <w:rFonts w:ascii="宋体" w:hAnsi="宋体" w:eastAsia="宋体"/>
        </w:rPr>
        <w:t>为了避免出现重大故障，在不干扰业务运行的前提下，按照每月一次的频率对系统进行常规巡检，对应用系统进行经常性的性能和效能分析，以便对故障征兆进行提前预防，保证系统在最优化的状态下稳定运行。</w:t>
      </w:r>
    </w:p>
    <w:p>
      <w:pPr>
        <w:pStyle w:val="255"/>
        <w:ind w:firstLine="480"/>
        <w:rPr>
          <w:rFonts w:ascii="宋体" w:hAnsi="宋体" w:eastAsia="宋体"/>
        </w:rPr>
      </w:pPr>
      <w:r>
        <w:rPr>
          <w:rFonts w:hint="eastAsia" w:ascii="宋体" w:hAnsi="宋体" w:eastAsia="宋体"/>
        </w:rPr>
        <w:t>（三）维护人员要求</w:t>
      </w:r>
    </w:p>
    <w:p>
      <w:pPr>
        <w:pStyle w:val="255"/>
        <w:numPr>
          <w:ilvl w:val="0"/>
          <w:numId w:val="4"/>
        </w:numPr>
        <w:adjustRightInd/>
        <w:ind w:left="0" w:firstLine="480"/>
        <w:rPr>
          <w:rFonts w:ascii="宋体" w:hAnsi="宋体" w:eastAsia="宋体"/>
        </w:rPr>
      </w:pPr>
      <w:r>
        <w:rPr>
          <w:rFonts w:hint="eastAsia" w:ascii="宋体" w:hAnsi="宋体" w:eastAsia="宋体"/>
        </w:rPr>
        <w:t>具备很好的沟通能力，做事要积极主动，能协调各方资源并快速解决问题。</w:t>
      </w:r>
    </w:p>
    <w:p>
      <w:pPr>
        <w:pStyle w:val="255"/>
        <w:numPr>
          <w:ilvl w:val="0"/>
          <w:numId w:val="4"/>
        </w:numPr>
        <w:adjustRightInd/>
        <w:ind w:left="0" w:firstLine="480"/>
        <w:rPr>
          <w:rFonts w:ascii="宋体" w:hAnsi="宋体" w:eastAsia="宋体"/>
        </w:rPr>
      </w:pPr>
      <w:r>
        <w:rPr>
          <w:rFonts w:hint="eastAsia" w:ascii="宋体" w:hAnsi="宋体" w:eastAsia="宋体"/>
        </w:rPr>
        <w:t>要足够了解浙江省电子政务网，对其内部各业务也能在短期内做到了解熟悉。</w:t>
      </w:r>
    </w:p>
    <w:p>
      <w:pPr>
        <w:pStyle w:val="255"/>
        <w:numPr>
          <w:ilvl w:val="0"/>
          <w:numId w:val="4"/>
        </w:numPr>
        <w:adjustRightInd/>
        <w:ind w:left="0" w:firstLine="480"/>
        <w:rPr>
          <w:rFonts w:ascii="宋体" w:hAnsi="宋体" w:eastAsia="宋体"/>
        </w:rPr>
      </w:pPr>
      <w:r>
        <w:rPr>
          <w:rFonts w:hint="eastAsia" w:ascii="宋体" w:hAnsi="宋体" w:eastAsia="宋体"/>
        </w:rPr>
        <w:t>要求指派的运维人员服务态度好、效率高、沟通强。</w:t>
      </w:r>
    </w:p>
    <w:p>
      <w:pPr>
        <w:pStyle w:val="255"/>
        <w:numPr>
          <w:ilvl w:val="0"/>
          <w:numId w:val="4"/>
        </w:numPr>
        <w:adjustRightInd/>
        <w:ind w:left="0" w:firstLine="480"/>
        <w:rPr>
          <w:rFonts w:ascii="宋体" w:hAnsi="宋体" w:eastAsia="宋体"/>
        </w:rPr>
      </w:pPr>
      <w:r>
        <w:rPr>
          <w:rFonts w:hint="eastAsia" w:ascii="宋体" w:hAnsi="宋体" w:eastAsia="宋体"/>
        </w:rPr>
        <w:t>要求指派的运维人员能主动发现工作不足，并主动完善。</w:t>
      </w:r>
    </w:p>
    <w:p>
      <w:pPr>
        <w:pStyle w:val="255"/>
        <w:numPr>
          <w:ilvl w:val="0"/>
          <w:numId w:val="4"/>
        </w:numPr>
        <w:adjustRightInd/>
        <w:ind w:left="0" w:firstLine="480"/>
        <w:rPr>
          <w:rFonts w:ascii="宋体" w:hAnsi="宋体" w:eastAsia="宋体"/>
        </w:rPr>
      </w:pPr>
      <w:r>
        <w:rPr>
          <w:rFonts w:hint="eastAsia" w:ascii="宋体" w:hAnsi="宋体" w:eastAsia="宋体"/>
        </w:rPr>
        <w:t>具备相关技术专业知识，能够较快解决问题，熟悉病毒防范，熟悉防火墙、入侵检测等网络安全系统设备的配置和维护，熟悉主流网络操作系统、服务器的运维。</w:t>
      </w:r>
    </w:p>
    <w:p>
      <w:pPr>
        <w:pStyle w:val="82"/>
        <w:rPr>
          <w:rFonts w:cs="Lucida Sans"/>
          <w:b/>
          <w:bCs/>
        </w:rPr>
      </w:pPr>
      <w:r>
        <w:rPr>
          <w:rFonts w:hint="eastAsia"/>
          <w:b/>
          <w:bCs/>
        </w:rPr>
        <w:t>系统二：</w:t>
      </w:r>
      <w:r>
        <w:rPr>
          <w:rFonts w:hint="eastAsia" w:cs="Lucida Sans"/>
          <w:b/>
          <w:bCs/>
        </w:rPr>
        <w:t>杭州市婴育数字化应用系统维护</w:t>
      </w:r>
    </w:p>
    <w:p>
      <w:pPr>
        <w:spacing w:line="360" w:lineRule="auto"/>
        <w:ind w:firstLine="480" w:firstLineChars="200"/>
        <w:rPr>
          <w:rFonts w:ascii="宋体" w:hAnsi="宋体"/>
          <w:sz w:val="24"/>
        </w:rPr>
      </w:pPr>
      <w:r>
        <w:rPr>
          <w:rFonts w:hint="eastAsia" w:ascii="宋体" w:hAnsi="宋体" w:cs="宋体"/>
          <w:sz w:val="24"/>
        </w:rPr>
        <w:t>（一）项目背景</w:t>
      </w:r>
    </w:p>
    <w:p>
      <w:pPr>
        <w:spacing w:line="360" w:lineRule="auto"/>
        <w:ind w:firstLine="480" w:firstLineChars="200"/>
        <w:rPr>
          <w:rFonts w:ascii="宋体" w:hAnsi="宋体"/>
          <w:sz w:val="24"/>
        </w:rPr>
      </w:pPr>
      <w:r>
        <w:rPr>
          <w:rFonts w:hint="eastAsia" w:ascii="宋体" w:hAnsi="宋体" w:cs="宋体"/>
          <w:sz w:val="24"/>
        </w:rPr>
        <w:t>本项目需要运维的应用系统有</w:t>
      </w:r>
      <w:r>
        <w:rPr>
          <w:rFonts w:hint="eastAsia" w:ascii="宋体" w:hAnsi="宋体"/>
          <w:sz w:val="24"/>
          <w:lang w:eastAsia="zh-Hans"/>
        </w:rPr>
        <w:t>杭州市婴育数字化市级管理平台</w:t>
      </w:r>
      <w:r>
        <w:rPr>
          <w:rFonts w:ascii="宋体" w:hAnsi="宋体"/>
          <w:sz w:val="24"/>
          <w:lang w:eastAsia="zh-Hans"/>
        </w:rPr>
        <w:t>，</w:t>
      </w:r>
      <w:r>
        <w:rPr>
          <w:rFonts w:hint="eastAsia" w:ascii="宋体" w:hAnsi="宋体"/>
          <w:sz w:val="24"/>
          <w:lang w:eastAsia="zh-Hans"/>
        </w:rPr>
        <w:t>杭州市婴育数字化市级数据驾驶舱系统</w:t>
      </w:r>
      <w:r>
        <w:rPr>
          <w:rFonts w:ascii="宋体" w:hAnsi="宋体"/>
          <w:sz w:val="24"/>
          <w:lang w:eastAsia="zh-Hans"/>
        </w:rPr>
        <w:t>，</w:t>
      </w:r>
      <w:r>
        <w:rPr>
          <w:rFonts w:hint="eastAsia" w:ascii="宋体" w:hAnsi="宋体"/>
          <w:sz w:val="24"/>
          <w:lang w:eastAsia="zh-Hans"/>
        </w:rPr>
        <w:t>杭州市婴育数字化各区县级数据驾驶舱系统</w:t>
      </w:r>
      <w:r>
        <w:rPr>
          <w:rFonts w:ascii="宋体" w:hAnsi="宋体"/>
          <w:sz w:val="24"/>
          <w:lang w:eastAsia="zh-Hans"/>
        </w:rPr>
        <w:t>，</w:t>
      </w:r>
      <w:r>
        <w:rPr>
          <w:rFonts w:hint="eastAsia" w:ascii="宋体" w:hAnsi="宋体"/>
          <w:sz w:val="24"/>
          <w:lang w:eastAsia="zh-Hans"/>
        </w:rPr>
        <w:t>杭州市婴育数字化各镇街数据驾驶舱系统</w:t>
      </w:r>
      <w:r>
        <w:rPr>
          <w:rFonts w:ascii="宋体" w:hAnsi="宋体"/>
          <w:sz w:val="24"/>
          <w:lang w:eastAsia="zh-Hans"/>
        </w:rPr>
        <w:t>，</w:t>
      </w:r>
      <w:r>
        <w:rPr>
          <w:rFonts w:hint="eastAsia" w:ascii="宋体" w:hAnsi="宋体"/>
          <w:sz w:val="24"/>
          <w:lang w:eastAsia="zh-Hans"/>
        </w:rPr>
        <w:t>杭州市各镇街</w:t>
      </w:r>
      <w:r>
        <w:rPr>
          <w:rFonts w:ascii="宋体" w:hAnsi="宋体"/>
          <w:sz w:val="24"/>
          <w:lang w:eastAsia="zh-Hans"/>
        </w:rPr>
        <w:t>、</w:t>
      </w:r>
      <w:r>
        <w:rPr>
          <w:rFonts w:hint="eastAsia" w:ascii="宋体" w:hAnsi="宋体"/>
          <w:sz w:val="24"/>
          <w:lang w:eastAsia="zh-Hans"/>
        </w:rPr>
        <w:t>区县视频监控接入</w:t>
      </w:r>
      <w:r>
        <w:rPr>
          <w:rFonts w:ascii="宋体" w:hAnsi="宋体"/>
          <w:sz w:val="24"/>
          <w:lang w:eastAsia="zh-Hans"/>
        </w:rPr>
        <w:t>，</w:t>
      </w:r>
      <w:r>
        <w:rPr>
          <w:rFonts w:hint="eastAsia" w:ascii="宋体" w:hAnsi="宋体"/>
          <w:sz w:val="24"/>
          <w:lang w:eastAsia="zh-Hans"/>
        </w:rPr>
        <w:t>托育一件事法人服务系统</w:t>
      </w:r>
      <w:r>
        <w:rPr>
          <w:rFonts w:ascii="宋体" w:hAnsi="宋体"/>
          <w:sz w:val="24"/>
          <w:lang w:eastAsia="zh-Hans"/>
        </w:rPr>
        <w:t>，</w:t>
      </w:r>
      <w:r>
        <w:rPr>
          <w:rFonts w:hint="eastAsia" w:ascii="宋体" w:hAnsi="宋体"/>
          <w:sz w:val="24"/>
          <w:lang w:eastAsia="zh-Hans"/>
        </w:rPr>
        <w:t>托育一件事个人用户服务系统</w:t>
      </w:r>
      <w:r>
        <w:rPr>
          <w:rFonts w:hint="eastAsia" w:ascii="宋体" w:hAnsi="宋体" w:cs="宋体"/>
          <w:sz w:val="24"/>
        </w:rPr>
        <w:t>、</w:t>
      </w:r>
      <w:r>
        <w:rPr>
          <w:rFonts w:hint="eastAsia" w:ascii="宋体" w:hAnsi="宋体" w:cs="宋体"/>
          <w:sz w:val="24"/>
          <w:lang w:eastAsia="zh-Hans"/>
        </w:rPr>
        <w:t>用户管理</w:t>
      </w:r>
      <w:r>
        <w:rPr>
          <w:rFonts w:hint="eastAsia" w:ascii="宋体" w:hAnsi="宋体" w:cs="宋体"/>
          <w:sz w:val="24"/>
        </w:rPr>
        <w:t>系统等，以及其他少量需要运维的业务应用系统。</w:t>
      </w:r>
    </w:p>
    <w:p>
      <w:pPr>
        <w:spacing w:line="360" w:lineRule="auto"/>
        <w:ind w:firstLine="600" w:firstLineChars="250"/>
        <w:rPr>
          <w:rFonts w:ascii="宋体" w:hAnsi="宋体"/>
          <w:sz w:val="24"/>
        </w:rPr>
      </w:pPr>
      <w:r>
        <w:rPr>
          <w:rFonts w:hint="eastAsia" w:ascii="宋体" w:hAnsi="宋体" w:cs="宋体"/>
          <w:sz w:val="24"/>
        </w:rPr>
        <w:t>这些应用系统涉及的操作系统有Linux、windows，涉及的数据库有MySql、Oracle，涉及的应用服务器有TOMCAT、</w:t>
      </w:r>
      <w:r>
        <w:rPr>
          <w:rFonts w:ascii="宋体" w:hAnsi="宋体" w:cs="宋体"/>
          <w:sz w:val="24"/>
        </w:rPr>
        <w:t>nginx、</w:t>
      </w:r>
      <w:r>
        <w:rPr>
          <w:rFonts w:hint="eastAsia" w:ascii="宋体" w:hAnsi="宋体" w:cs="宋体"/>
          <w:sz w:val="24"/>
          <w:lang w:eastAsia="zh-Hans"/>
        </w:rPr>
        <w:t>no</w:t>
      </w:r>
      <w:r>
        <w:rPr>
          <w:rFonts w:ascii="宋体" w:hAnsi="宋体" w:cs="宋体"/>
          <w:sz w:val="24"/>
          <w:lang w:eastAsia="zh-Hans"/>
        </w:rPr>
        <w:t>dejs</w:t>
      </w:r>
      <w:r>
        <w:rPr>
          <w:rFonts w:hint="eastAsia" w:ascii="宋体" w:hAnsi="宋体" w:cs="宋体"/>
          <w:sz w:val="24"/>
        </w:rPr>
        <w:t>，涉及的开发语言有Java、</w:t>
      </w:r>
      <w:r>
        <w:rPr>
          <w:rFonts w:ascii="宋体" w:hAnsi="宋体" w:cs="宋体"/>
          <w:sz w:val="24"/>
        </w:rPr>
        <w:t>sql、</w:t>
      </w:r>
      <w:r>
        <w:rPr>
          <w:rFonts w:hint="eastAsia" w:ascii="宋体" w:hAnsi="宋体" w:cs="宋体"/>
          <w:sz w:val="24"/>
          <w:lang w:eastAsia="zh-Hans"/>
        </w:rPr>
        <w:t>HTML/</w:t>
      </w:r>
      <w:r>
        <w:rPr>
          <w:rFonts w:ascii="宋体" w:hAnsi="宋体" w:cs="宋体"/>
          <w:sz w:val="24"/>
          <w:lang w:eastAsia="zh-Hans"/>
        </w:rPr>
        <w:t>javascript/css</w:t>
      </w:r>
      <w:r>
        <w:rPr>
          <w:rFonts w:hint="eastAsia" w:ascii="宋体" w:hAnsi="宋体" w:cs="宋体"/>
          <w:sz w:val="24"/>
        </w:rPr>
        <w:t>等。</w:t>
      </w:r>
    </w:p>
    <w:p>
      <w:pPr>
        <w:spacing w:line="360" w:lineRule="auto"/>
        <w:rPr>
          <w:rFonts w:ascii="宋体" w:hAnsi="宋体"/>
          <w:sz w:val="24"/>
        </w:rPr>
      </w:pPr>
      <w:r>
        <w:rPr>
          <w:rFonts w:hint="eastAsia" w:ascii="宋体" w:hAnsi="宋体" w:cs="宋体"/>
          <w:sz w:val="24"/>
        </w:rPr>
        <w:t>网络环境为</w:t>
      </w:r>
      <w:r>
        <w:rPr>
          <w:rFonts w:hint="eastAsia" w:ascii="宋体" w:hAnsi="宋体" w:cs="宋体"/>
          <w:sz w:val="24"/>
          <w:lang w:eastAsia="zh-Hans"/>
        </w:rPr>
        <w:t>杭州市政府卫生专网</w:t>
      </w:r>
      <w:r>
        <w:rPr>
          <w:rFonts w:hint="eastAsia" w:ascii="宋体" w:hAnsi="宋体" w:cs="宋体"/>
          <w:sz w:val="24"/>
        </w:rPr>
        <w:t>、</w:t>
      </w:r>
      <w:r>
        <w:rPr>
          <w:rFonts w:hint="eastAsia" w:ascii="宋体" w:hAnsi="宋体" w:cs="宋体"/>
          <w:sz w:val="24"/>
          <w:lang w:eastAsia="zh-Hans"/>
        </w:rPr>
        <w:t>杭州市政府政务网</w:t>
      </w:r>
      <w:r>
        <w:rPr>
          <w:rFonts w:ascii="宋体" w:hAnsi="宋体" w:cs="宋体"/>
          <w:sz w:val="24"/>
          <w:lang w:eastAsia="zh-Hans"/>
        </w:rPr>
        <w:t>、</w:t>
      </w:r>
      <w:r>
        <w:rPr>
          <w:rFonts w:hint="eastAsia" w:ascii="宋体" w:hAnsi="宋体" w:cs="宋体"/>
          <w:sz w:val="24"/>
        </w:rPr>
        <w:t>互联网。</w:t>
      </w:r>
    </w:p>
    <w:p>
      <w:pPr>
        <w:spacing w:line="360" w:lineRule="auto"/>
        <w:rPr>
          <w:rFonts w:ascii="宋体" w:hAnsi="宋体"/>
          <w:sz w:val="24"/>
        </w:rPr>
      </w:pPr>
      <w:r>
        <w:rPr>
          <w:rFonts w:hint="eastAsia" w:ascii="宋体" w:hAnsi="宋体" w:cs="宋体"/>
          <w:sz w:val="24"/>
        </w:rPr>
        <w:t>为维护保障好已建各</w:t>
      </w:r>
      <w:r>
        <w:rPr>
          <w:rFonts w:hint="eastAsia" w:ascii="宋体" w:hAnsi="宋体" w:cs="宋体"/>
          <w:sz w:val="24"/>
          <w:lang w:eastAsia="zh-Hans"/>
        </w:rPr>
        <w:t>管理系统</w:t>
      </w:r>
      <w:r>
        <w:rPr>
          <w:rFonts w:hint="eastAsia" w:ascii="宋体" w:hAnsi="宋体" w:cs="宋体"/>
          <w:sz w:val="24"/>
        </w:rPr>
        <w:t>和应用系统，2024</w:t>
      </w:r>
      <w:r>
        <w:rPr>
          <w:rFonts w:hint="eastAsia" w:ascii="宋体" w:hAnsi="宋体" w:cs="宋体"/>
          <w:sz w:val="24"/>
          <w:lang w:eastAsia="zh-Hans"/>
        </w:rPr>
        <w:t>年开始管理系统和</w:t>
      </w:r>
      <w:r>
        <w:rPr>
          <w:rFonts w:hint="eastAsia" w:ascii="宋体" w:hAnsi="宋体" w:cs="宋体"/>
          <w:sz w:val="24"/>
        </w:rPr>
        <w:t>应用系统运维项目招标。</w:t>
      </w:r>
    </w:p>
    <w:p>
      <w:pPr>
        <w:spacing w:line="360" w:lineRule="auto"/>
        <w:rPr>
          <w:rFonts w:ascii="宋体" w:hAnsi="宋体"/>
          <w:sz w:val="24"/>
        </w:rPr>
      </w:pPr>
      <w:r>
        <w:rPr>
          <w:rFonts w:hint="eastAsia" w:ascii="宋体" w:hAnsi="宋体" w:cs="宋体"/>
          <w:sz w:val="24"/>
        </w:rPr>
        <w:t>（二）项目目标</w:t>
      </w:r>
    </w:p>
    <w:p>
      <w:pPr>
        <w:pStyle w:val="255"/>
        <w:numPr>
          <w:ilvl w:val="0"/>
          <w:numId w:val="5"/>
        </w:numPr>
        <w:ind w:firstLineChars="0"/>
        <w:rPr>
          <w:rFonts w:ascii="宋体" w:hAnsi="宋体" w:eastAsia="宋体"/>
        </w:rPr>
      </w:pPr>
      <w:r>
        <w:rPr>
          <w:rFonts w:hint="eastAsia" w:ascii="宋体" w:hAnsi="宋体" w:eastAsia="宋体" w:cs="宋体"/>
        </w:rPr>
        <w:t>增强维护能力，从人力资源及技术层面维护各应用系统，确保系统正常、高效、可靠、安全运行。</w:t>
      </w:r>
    </w:p>
    <w:p>
      <w:pPr>
        <w:pStyle w:val="255"/>
        <w:numPr>
          <w:ilvl w:val="0"/>
          <w:numId w:val="5"/>
        </w:numPr>
        <w:ind w:firstLineChars="0"/>
        <w:rPr>
          <w:rFonts w:ascii="宋体" w:hAnsi="宋体" w:eastAsia="宋体"/>
        </w:rPr>
      </w:pPr>
      <w:r>
        <w:rPr>
          <w:rFonts w:hint="eastAsia" w:ascii="宋体" w:hAnsi="宋体" w:eastAsia="宋体" w:cs="宋体"/>
        </w:rPr>
        <w:t>完善部分系统功能。</w:t>
      </w:r>
    </w:p>
    <w:p>
      <w:pPr>
        <w:pStyle w:val="255"/>
        <w:numPr>
          <w:ilvl w:val="0"/>
          <w:numId w:val="5"/>
        </w:numPr>
        <w:ind w:firstLineChars="0"/>
        <w:rPr>
          <w:rFonts w:ascii="宋体" w:hAnsi="宋体" w:eastAsia="宋体" w:cs="宋体"/>
        </w:rPr>
      </w:pPr>
      <w:r>
        <w:rPr>
          <w:rFonts w:hint="eastAsia" w:ascii="宋体" w:hAnsi="宋体" w:eastAsia="宋体" w:cs="宋体"/>
        </w:rPr>
        <w:t>辅助提升环境信息化管理和应用水平。</w:t>
      </w:r>
    </w:p>
    <w:p>
      <w:pPr>
        <w:spacing w:line="360" w:lineRule="auto"/>
        <w:rPr>
          <w:rFonts w:ascii="宋体" w:hAnsi="宋体"/>
          <w:sz w:val="24"/>
        </w:rPr>
      </w:pPr>
      <w:r>
        <w:rPr>
          <w:rFonts w:hint="eastAsia" w:ascii="宋体" w:hAnsi="宋体" w:cs="宋体"/>
          <w:sz w:val="24"/>
        </w:rPr>
        <w:t>（三）项目服务内容</w:t>
      </w:r>
    </w:p>
    <w:p>
      <w:pPr>
        <w:pStyle w:val="82"/>
        <w:rPr>
          <w:rFonts w:cs="宋体"/>
        </w:rPr>
      </w:pPr>
      <w:r>
        <w:rPr>
          <w:rFonts w:hint="eastAsia" w:cs="宋体"/>
        </w:rPr>
        <w:t>为服务期内需要本项目维护的所有管理系统和应用系统</w:t>
      </w:r>
      <w:r>
        <w:rPr>
          <w:rFonts w:cs="宋体"/>
        </w:rPr>
        <w:t>（</w:t>
      </w:r>
      <w:r>
        <w:rPr>
          <w:rFonts w:hint="eastAsia" w:cs="宋体"/>
        </w:rPr>
        <w:t>涉及到杭州市婴育数字化平台的所有管理系统和应用系统</w:t>
      </w:r>
      <w:r>
        <w:rPr>
          <w:rFonts w:cs="宋体"/>
        </w:rPr>
        <w:t>。）</w:t>
      </w:r>
    </w:p>
    <w:p>
      <w:pPr>
        <w:spacing w:line="360" w:lineRule="auto"/>
        <w:ind w:firstLine="480" w:firstLineChars="200"/>
        <w:rPr>
          <w:rFonts w:ascii="宋体" w:hAnsi="宋体"/>
          <w:sz w:val="24"/>
        </w:rPr>
      </w:pPr>
      <w:r>
        <w:rPr>
          <w:rFonts w:hint="eastAsia" w:ascii="宋体" w:hAnsi="宋体" w:cs="宋体"/>
          <w:sz w:val="24"/>
        </w:rPr>
        <w:t>1、</w:t>
      </w:r>
      <w:r>
        <w:rPr>
          <w:rFonts w:hint="eastAsia" w:ascii="宋体" w:hAnsi="宋体" w:cs="宋体"/>
          <w:sz w:val="24"/>
          <w:lang w:eastAsia="zh-Hans"/>
        </w:rPr>
        <w:t>管理</w:t>
      </w:r>
      <w:r>
        <w:rPr>
          <w:rFonts w:hint="eastAsia" w:ascii="宋体" w:hAnsi="宋体" w:cs="宋体"/>
          <w:sz w:val="24"/>
        </w:rPr>
        <w:t>系统运行维护</w:t>
      </w:r>
    </w:p>
    <w:p>
      <w:pPr>
        <w:pStyle w:val="255"/>
        <w:numPr>
          <w:ilvl w:val="0"/>
          <w:numId w:val="6"/>
        </w:numPr>
        <w:ind w:firstLine="6" w:firstLineChars="0"/>
        <w:rPr>
          <w:rFonts w:ascii="宋体" w:hAnsi="宋体" w:eastAsia="宋体"/>
        </w:rPr>
      </w:pPr>
      <w:r>
        <w:rPr>
          <w:rFonts w:hint="eastAsia" w:ascii="宋体" w:hAnsi="宋体" w:eastAsia="宋体" w:cs="宋体"/>
          <w:lang w:eastAsia="zh-Hans"/>
        </w:rPr>
        <w:t>管理</w:t>
      </w:r>
      <w:r>
        <w:rPr>
          <w:rFonts w:hint="eastAsia" w:ascii="宋体" w:hAnsi="宋体" w:eastAsia="宋体" w:cs="宋体"/>
        </w:rPr>
        <w:t>系统日常运行监控</w:t>
      </w:r>
    </w:p>
    <w:p>
      <w:pPr>
        <w:spacing w:line="360" w:lineRule="auto"/>
        <w:ind w:firstLine="480" w:firstLineChars="200"/>
        <w:rPr>
          <w:rFonts w:ascii="宋体" w:hAnsi="宋体"/>
          <w:sz w:val="24"/>
        </w:rPr>
      </w:pPr>
      <w:r>
        <w:rPr>
          <w:rFonts w:hint="eastAsia" w:ascii="宋体" w:hAnsi="宋体" w:cs="宋体"/>
          <w:sz w:val="24"/>
        </w:rPr>
        <w:t>日常监控各</w:t>
      </w:r>
      <w:r>
        <w:rPr>
          <w:rFonts w:hint="eastAsia" w:ascii="宋体" w:hAnsi="宋体" w:cs="宋体"/>
          <w:sz w:val="24"/>
          <w:lang w:eastAsia="zh-Hans"/>
        </w:rPr>
        <w:t>管理</w:t>
      </w:r>
      <w:r>
        <w:rPr>
          <w:rFonts w:hint="eastAsia" w:ascii="宋体" w:hAnsi="宋体" w:cs="宋体"/>
          <w:sz w:val="24"/>
        </w:rPr>
        <w:t>系统运行情况，保证正常运行，从运行环境情况、性能指标、补丁更新、日志记录、数据维护等方面检查，发现隐患苗头及时报告，出现故障及时配合恢复。</w:t>
      </w:r>
    </w:p>
    <w:p>
      <w:pPr>
        <w:pStyle w:val="255"/>
        <w:numPr>
          <w:ilvl w:val="0"/>
          <w:numId w:val="6"/>
        </w:numPr>
        <w:ind w:firstLine="6" w:firstLineChars="0"/>
        <w:rPr>
          <w:rFonts w:ascii="宋体" w:hAnsi="宋体" w:eastAsia="宋体" w:cs="宋体"/>
          <w:lang w:eastAsia="zh-Hans"/>
        </w:rPr>
      </w:pPr>
      <w:r>
        <w:rPr>
          <w:rFonts w:hint="eastAsia" w:ascii="宋体" w:hAnsi="宋体" w:eastAsia="宋体" w:cs="宋体"/>
          <w:lang w:eastAsia="zh-Hans"/>
        </w:rPr>
        <w:t>用户系统账号权限维护</w:t>
      </w:r>
    </w:p>
    <w:p>
      <w:pPr>
        <w:spacing w:line="360" w:lineRule="auto"/>
        <w:ind w:firstLine="600" w:firstLineChars="250"/>
        <w:rPr>
          <w:rFonts w:ascii="宋体" w:hAnsi="宋体"/>
          <w:sz w:val="24"/>
        </w:rPr>
      </w:pPr>
      <w:r>
        <w:rPr>
          <w:rFonts w:hint="eastAsia" w:ascii="宋体" w:hAnsi="宋体" w:cs="宋体"/>
          <w:sz w:val="24"/>
        </w:rPr>
        <w:t>进行</w:t>
      </w:r>
      <w:r>
        <w:rPr>
          <w:rFonts w:hint="eastAsia" w:ascii="宋体" w:hAnsi="宋体" w:cs="宋体"/>
          <w:sz w:val="24"/>
          <w:lang w:eastAsia="zh-Hans"/>
        </w:rPr>
        <w:t>用户系统账号权限</w:t>
      </w:r>
      <w:r>
        <w:rPr>
          <w:rFonts w:hint="eastAsia" w:ascii="宋体" w:hAnsi="宋体" w:cs="宋体"/>
          <w:sz w:val="24"/>
        </w:rPr>
        <w:t>的日常巡检管理，开展如用户及权限管理、各项系统配置、后台管理配置、应用数据处理等工作，保障系统正常运行。</w:t>
      </w:r>
    </w:p>
    <w:p>
      <w:pPr>
        <w:pStyle w:val="255"/>
        <w:numPr>
          <w:ilvl w:val="0"/>
          <w:numId w:val="6"/>
        </w:numPr>
        <w:ind w:firstLine="6" w:firstLineChars="0"/>
        <w:rPr>
          <w:rFonts w:ascii="宋体" w:hAnsi="宋体" w:eastAsia="宋体" w:cs="宋体"/>
          <w:lang w:eastAsia="zh-Hans"/>
        </w:rPr>
      </w:pPr>
      <w:r>
        <w:rPr>
          <w:rFonts w:hint="eastAsia" w:ascii="宋体" w:hAnsi="宋体" w:eastAsia="宋体" w:cs="宋体"/>
          <w:lang w:eastAsia="zh-Hans"/>
        </w:rPr>
        <w:t>管理系统的开发性维护</w:t>
      </w:r>
    </w:p>
    <w:p>
      <w:pPr>
        <w:spacing w:line="360" w:lineRule="auto"/>
        <w:ind w:firstLine="600" w:firstLineChars="250"/>
        <w:rPr>
          <w:rFonts w:ascii="宋体" w:hAnsi="宋体"/>
          <w:sz w:val="24"/>
        </w:rPr>
      </w:pPr>
      <w:r>
        <w:rPr>
          <w:rFonts w:hint="eastAsia" w:ascii="宋体" w:hAnsi="宋体" w:cs="宋体"/>
          <w:sz w:val="24"/>
        </w:rPr>
        <w:t>进行本项目相关</w:t>
      </w:r>
      <w:r>
        <w:rPr>
          <w:rFonts w:hint="eastAsia" w:ascii="宋体" w:hAnsi="宋体" w:cs="宋体"/>
          <w:sz w:val="24"/>
          <w:lang w:eastAsia="zh-Hans"/>
        </w:rPr>
        <w:t>管理系</w:t>
      </w:r>
      <w:r>
        <w:rPr>
          <w:rFonts w:hint="eastAsia" w:ascii="宋体" w:hAnsi="宋体" w:cs="宋体"/>
          <w:sz w:val="24"/>
        </w:rPr>
        <w:t>统的日常应用管理维护，如用户及权限管理、各项系统配置、</w:t>
      </w:r>
      <w:r>
        <w:rPr>
          <w:rFonts w:hint="eastAsia" w:ascii="宋体" w:hAnsi="宋体" w:cs="宋体"/>
          <w:sz w:val="24"/>
          <w:lang w:eastAsia="zh-Hans"/>
        </w:rPr>
        <w:t>数据</w:t>
      </w:r>
      <w:r>
        <w:rPr>
          <w:rFonts w:hint="eastAsia" w:ascii="宋体" w:hAnsi="宋体" w:cs="宋体"/>
          <w:sz w:val="24"/>
        </w:rPr>
        <w:t>统计等相关工作。</w:t>
      </w:r>
    </w:p>
    <w:p>
      <w:pPr>
        <w:spacing w:line="360" w:lineRule="auto"/>
        <w:ind w:firstLine="480" w:firstLineChars="200"/>
        <w:rPr>
          <w:rFonts w:ascii="宋体" w:hAnsi="宋体" w:cs="宋体"/>
          <w:sz w:val="24"/>
        </w:rPr>
      </w:pPr>
      <w:r>
        <w:rPr>
          <w:rFonts w:hint="eastAsia" w:ascii="宋体" w:hAnsi="宋体" w:cs="宋体"/>
          <w:sz w:val="24"/>
        </w:rPr>
        <w:t>2、应用系统运行维护</w:t>
      </w:r>
    </w:p>
    <w:p>
      <w:pPr>
        <w:pStyle w:val="255"/>
        <w:numPr>
          <w:ilvl w:val="0"/>
          <w:numId w:val="7"/>
        </w:numPr>
        <w:ind w:firstLine="6" w:firstLineChars="0"/>
        <w:rPr>
          <w:rFonts w:ascii="宋体" w:hAnsi="宋体" w:eastAsia="宋体"/>
        </w:rPr>
      </w:pPr>
      <w:r>
        <w:rPr>
          <w:rFonts w:hint="eastAsia" w:ascii="宋体" w:hAnsi="宋体" w:eastAsia="宋体" w:cs="宋体"/>
        </w:rPr>
        <w:t>应用系统软件日常运行监控</w:t>
      </w:r>
    </w:p>
    <w:p>
      <w:pPr>
        <w:spacing w:line="360" w:lineRule="auto"/>
        <w:ind w:firstLine="480" w:firstLineChars="200"/>
        <w:rPr>
          <w:rFonts w:ascii="宋体" w:hAnsi="宋体"/>
          <w:sz w:val="24"/>
        </w:rPr>
      </w:pPr>
      <w:r>
        <w:rPr>
          <w:rFonts w:hint="eastAsia" w:ascii="宋体" w:hAnsi="宋体" w:cs="宋体"/>
          <w:sz w:val="24"/>
        </w:rPr>
        <w:t>日常监控各应用系统运行情况</w:t>
      </w:r>
      <w:r>
        <w:rPr>
          <w:rFonts w:ascii="宋体" w:hAnsi="宋体" w:cs="宋体"/>
          <w:sz w:val="24"/>
        </w:rPr>
        <w:t>（</w:t>
      </w:r>
      <w:r>
        <w:rPr>
          <w:rFonts w:hint="eastAsia" w:ascii="宋体" w:hAnsi="宋体" w:cs="宋体"/>
          <w:sz w:val="24"/>
          <w:lang w:eastAsia="zh-Hans"/>
        </w:rPr>
        <w:t>杭州市级</w:t>
      </w:r>
      <w:r>
        <w:rPr>
          <w:rFonts w:ascii="宋体" w:hAnsi="宋体" w:cs="宋体"/>
          <w:sz w:val="24"/>
          <w:lang w:eastAsia="zh-Hans"/>
        </w:rPr>
        <w:t>、</w:t>
      </w:r>
      <w:r>
        <w:rPr>
          <w:rFonts w:hint="eastAsia" w:ascii="宋体" w:hAnsi="宋体" w:cs="宋体"/>
          <w:sz w:val="24"/>
          <w:lang w:eastAsia="zh-Hans"/>
        </w:rPr>
        <w:t>各区县级</w:t>
      </w:r>
      <w:r>
        <w:rPr>
          <w:rFonts w:ascii="宋体" w:hAnsi="宋体" w:cs="宋体"/>
          <w:sz w:val="24"/>
          <w:lang w:eastAsia="zh-Hans"/>
        </w:rPr>
        <w:t>、</w:t>
      </w:r>
      <w:r>
        <w:rPr>
          <w:rFonts w:hint="eastAsia" w:ascii="宋体" w:hAnsi="宋体" w:cs="宋体"/>
          <w:sz w:val="24"/>
          <w:lang w:eastAsia="zh-Hans"/>
        </w:rPr>
        <w:t>各镇街数据驾驶舱系统</w:t>
      </w:r>
      <w:r>
        <w:rPr>
          <w:rFonts w:ascii="宋体" w:hAnsi="宋体" w:cs="宋体"/>
          <w:sz w:val="24"/>
          <w:lang w:eastAsia="zh-Hans"/>
        </w:rPr>
        <w:t>，</w:t>
      </w:r>
      <w:r>
        <w:rPr>
          <w:rFonts w:hint="eastAsia" w:ascii="宋体" w:hAnsi="宋体" w:cs="宋体"/>
          <w:sz w:val="24"/>
          <w:lang w:eastAsia="zh-Hans"/>
        </w:rPr>
        <w:t>托育一件事法人</w:t>
      </w:r>
      <w:r>
        <w:rPr>
          <w:rFonts w:ascii="宋体" w:hAnsi="宋体" w:cs="宋体"/>
          <w:sz w:val="24"/>
          <w:lang w:eastAsia="zh-Hans"/>
        </w:rPr>
        <w:t>、</w:t>
      </w:r>
      <w:r>
        <w:rPr>
          <w:rFonts w:hint="eastAsia" w:ascii="宋体" w:hAnsi="宋体" w:cs="宋体"/>
          <w:sz w:val="24"/>
          <w:lang w:eastAsia="zh-Hans"/>
        </w:rPr>
        <w:t>个人用户服务系统等</w:t>
      </w:r>
      <w:r>
        <w:rPr>
          <w:rFonts w:ascii="宋体" w:hAnsi="宋体" w:cs="宋体"/>
          <w:sz w:val="24"/>
        </w:rPr>
        <w:t>），</w:t>
      </w:r>
      <w:r>
        <w:rPr>
          <w:rFonts w:hint="eastAsia" w:ascii="宋体" w:hAnsi="宋体" w:cs="宋体"/>
          <w:sz w:val="24"/>
        </w:rPr>
        <w:t>保证正常运行，从运行环境情况、性能指标、补丁更新、日志记录、应用数据维护等方面检查，发现隐患苗头及时报告，出现故障的及时配合恢复。</w:t>
      </w:r>
    </w:p>
    <w:p>
      <w:pPr>
        <w:spacing w:line="360" w:lineRule="auto"/>
        <w:rPr>
          <w:rFonts w:ascii="宋体" w:hAnsi="宋体"/>
          <w:sz w:val="24"/>
        </w:rPr>
      </w:pPr>
      <w:r>
        <w:rPr>
          <w:rFonts w:hint="eastAsia" w:ascii="宋体" w:hAnsi="宋体" w:cs="宋体"/>
          <w:sz w:val="24"/>
        </w:rPr>
        <w:t>运行环境情况检查包括可用存储空间检测、临时文件清理、操作系统健康巡检、应用程序健康巡检等。上述中运行环境情况、性能指标、可用存储空间检测、操作系统健康巡检、应用程序健康巡检须每日检查。</w:t>
      </w:r>
    </w:p>
    <w:p>
      <w:pPr>
        <w:pStyle w:val="255"/>
        <w:numPr>
          <w:ilvl w:val="0"/>
          <w:numId w:val="7"/>
        </w:numPr>
        <w:ind w:firstLine="6" w:firstLineChars="0"/>
        <w:rPr>
          <w:rFonts w:ascii="宋体" w:hAnsi="宋体" w:eastAsia="宋体" w:cs="宋体"/>
        </w:rPr>
      </w:pPr>
      <w:r>
        <w:rPr>
          <w:rFonts w:hint="eastAsia" w:ascii="宋体" w:hAnsi="宋体" w:eastAsia="宋体" w:cs="宋体"/>
        </w:rPr>
        <w:t>统一身份认证系统维护</w:t>
      </w:r>
    </w:p>
    <w:p>
      <w:pPr>
        <w:spacing w:line="360" w:lineRule="auto"/>
        <w:ind w:firstLine="480" w:firstLineChars="200"/>
        <w:rPr>
          <w:rFonts w:ascii="宋体" w:hAnsi="宋体"/>
          <w:sz w:val="24"/>
        </w:rPr>
      </w:pPr>
      <w:r>
        <w:rPr>
          <w:rFonts w:hint="eastAsia" w:ascii="宋体" w:hAnsi="宋体" w:cs="宋体"/>
          <w:sz w:val="24"/>
          <w:lang w:eastAsia="zh-Hans"/>
        </w:rPr>
        <w:t>杭州市级</w:t>
      </w:r>
      <w:r>
        <w:rPr>
          <w:rFonts w:ascii="宋体" w:hAnsi="宋体" w:cs="宋体"/>
          <w:sz w:val="24"/>
          <w:lang w:eastAsia="zh-Hans"/>
        </w:rPr>
        <w:t>、</w:t>
      </w:r>
      <w:r>
        <w:rPr>
          <w:rFonts w:hint="eastAsia" w:ascii="宋体" w:hAnsi="宋体" w:cs="宋体"/>
          <w:sz w:val="24"/>
          <w:lang w:eastAsia="zh-Hans"/>
        </w:rPr>
        <w:t>各区县级</w:t>
      </w:r>
      <w:r>
        <w:rPr>
          <w:rFonts w:ascii="宋体" w:hAnsi="宋体" w:cs="宋体"/>
          <w:sz w:val="24"/>
          <w:lang w:eastAsia="zh-Hans"/>
        </w:rPr>
        <w:t>、</w:t>
      </w:r>
      <w:r>
        <w:rPr>
          <w:rFonts w:hint="eastAsia" w:ascii="宋体" w:hAnsi="宋体" w:cs="宋体"/>
          <w:sz w:val="24"/>
          <w:lang w:eastAsia="zh-Hans"/>
        </w:rPr>
        <w:t>各镇街数据驾驶舱系统</w:t>
      </w:r>
      <w:r>
        <w:rPr>
          <w:rFonts w:ascii="宋体" w:hAnsi="宋体" w:cs="宋体"/>
          <w:sz w:val="24"/>
          <w:lang w:eastAsia="zh-Hans"/>
        </w:rPr>
        <w:t>，</w:t>
      </w:r>
      <w:r>
        <w:rPr>
          <w:rFonts w:hint="eastAsia" w:ascii="宋体" w:hAnsi="宋体" w:cs="宋体"/>
          <w:sz w:val="24"/>
          <w:lang w:eastAsia="zh-Hans"/>
        </w:rPr>
        <w:t>托育一件事法人</w:t>
      </w:r>
      <w:r>
        <w:rPr>
          <w:rFonts w:ascii="宋体" w:hAnsi="宋体" w:cs="宋体"/>
          <w:sz w:val="24"/>
          <w:lang w:eastAsia="zh-Hans"/>
        </w:rPr>
        <w:t>、</w:t>
      </w:r>
      <w:r>
        <w:rPr>
          <w:rFonts w:hint="eastAsia" w:ascii="宋体" w:hAnsi="宋体" w:cs="宋体"/>
          <w:sz w:val="24"/>
          <w:lang w:eastAsia="zh-Hans"/>
        </w:rPr>
        <w:t>个人用户服务系统等软件系统</w:t>
      </w:r>
      <w:r>
        <w:rPr>
          <w:rFonts w:hint="eastAsia" w:ascii="宋体" w:hAnsi="宋体" w:cs="宋体"/>
          <w:sz w:val="24"/>
        </w:rPr>
        <w:t>进行身份认证系统的日常巡检和应用管理，开展如用户及权限管理、各项系统配置、各项信息统计、系统备份迁移、应用数据处理、故障检查分析等工作，保障系统正常运行。</w:t>
      </w:r>
    </w:p>
    <w:p>
      <w:pPr>
        <w:pStyle w:val="255"/>
        <w:numPr>
          <w:ilvl w:val="0"/>
          <w:numId w:val="7"/>
        </w:numPr>
        <w:ind w:firstLine="6" w:firstLineChars="0"/>
        <w:rPr>
          <w:rFonts w:ascii="宋体" w:hAnsi="宋体" w:eastAsia="宋体" w:cs="宋体"/>
        </w:rPr>
      </w:pPr>
      <w:r>
        <w:rPr>
          <w:rFonts w:hint="eastAsia" w:ascii="宋体" w:hAnsi="宋体" w:eastAsia="宋体" w:cs="宋体"/>
        </w:rPr>
        <w:t>应用系统的开发性维护</w:t>
      </w:r>
    </w:p>
    <w:p>
      <w:pPr>
        <w:spacing w:line="360" w:lineRule="auto"/>
        <w:ind w:firstLine="480" w:firstLineChars="200"/>
        <w:rPr>
          <w:rFonts w:ascii="宋体" w:hAnsi="宋体"/>
          <w:sz w:val="24"/>
        </w:rPr>
      </w:pPr>
      <w:r>
        <w:rPr>
          <w:rFonts w:hint="eastAsia" w:ascii="宋体" w:hAnsi="宋体" w:cs="宋体"/>
          <w:sz w:val="24"/>
        </w:rPr>
        <w:t>进行本项目相关应用系统的日常应用管理维护，如用户及权限管理、各项系统配置、各项信息统计</w:t>
      </w:r>
      <w:r>
        <w:rPr>
          <w:rFonts w:ascii="宋体" w:hAnsi="宋体" w:cs="宋体"/>
          <w:sz w:val="24"/>
        </w:rPr>
        <w:t>、</w:t>
      </w:r>
      <w:r>
        <w:rPr>
          <w:rFonts w:hint="eastAsia" w:ascii="宋体" w:hAnsi="宋体" w:cs="宋体"/>
          <w:sz w:val="24"/>
          <w:lang w:eastAsia="zh-Hans"/>
        </w:rPr>
        <w:t>分析</w:t>
      </w:r>
      <w:r>
        <w:rPr>
          <w:rFonts w:hint="eastAsia" w:ascii="宋体" w:hAnsi="宋体" w:cs="宋体"/>
          <w:sz w:val="24"/>
        </w:rPr>
        <w:t>等相关工作。</w:t>
      </w:r>
    </w:p>
    <w:p>
      <w:pPr>
        <w:spacing w:line="360" w:lineRule="auto"/>
        <w:ind w:firstLine="480" w:firstLineChars="200"/>
        <w:rPr>
          <w:rFonts w:ascii="宋体" w:hAnsi="宋体"/>
          <w:sz w:val="24"/>
        </w:rPr>
      </w:pPr>
      <w:r>
        <w:rPr>
          <w:rFonts w:hint="eastAsia" w:ascii="宋体" w:hAnsi="宋体" w:cs="宋体"/>
          <w:sz w:val="24"/>
        </w:rPr>
        <w:t>应用系统运行维护内容还包括系统备份迁移、应用数据处理、故障排除修复、少数功能开发完善等工作，主要解决如下几类：第一类是纠错性维护，即诊断和修正系统运行中遗留的错误；第二类为系统配置管理问题，如人员和权限的调整等；第三类为应用数据处理，如数据出错后的数据补救、文档丢失找回等等；第四类为系统功能完善开发，如需要进行流程完善、表单扩展以及部分功能完善开发等。</w:t>
      </w:r>
    </w:p>
    <w:p>
      <w:pPr>
        <w:pStyle w:val="255"/>
        <w:numPr>
          <w:ilvl w:val="0"/>
          <w:numId w:val="7"/>
        </w:numPr>
        <w:ind w:firstLine="6" w:firstLineChars="0"/>
        <w:rPr>
          <w:rFonts w:ascii="宋体" w:hAnsi="宋体" w:eastAsia="宋体" w:cs="宋体"/>
        </w:rPr>
      </w:pPr>
      <w:r>
        <w:rPr>
          <w:rFonts w:hint="eastAsia" w:ascii="宋体" w:hAnsi="宋体" w:eastAsia="宋体" w:cs="宋体"/>
        </w:rPr>
        <w:t>应用杭州市婴育数字化系统有关软件系统</w:t>
      </w:r>
    </w:p>
    <w:p>
      <w:pPr>
        <w:pStyle w:val="61"/>
        <w:spacing w:line="360" w:lineRule="auto"/>
        <w:ind w:left="0" w:leftChars="0" w:firstLine="480"/>
        <w:rPr>
          <w:sz w:val="24"/>
        </w:rPr>
      </w:pPr>
      <w:r>
        <w:rPr>
          <w:rFonts w:hint="eastAsia" w:cs="宋体"/>
          <w:sz w:val="24"/>
        </w:rPr>
        <w:t>通过</w:t>
      </w:r>
      <w:r>
        <w:rPr>
          <w:rFonts w:hint="eastAsia" w:cs="宋体"/>
          <w:sz w:val="24"/>
          <w:lang w:eastAsia="zh-Hans"/>
        </w:rPr>
        <w:t>杭州市卫健局卫生专网</w:t>
      </w:r>
      <w:r>
        <w:rPr>
          <w:rFonts w:cs="宋体"/>
          <w:sz w:val="24"/>
          <w:lang w:eastAsia="zh-Hans"/>
        </w:rPr>
        <w:t>、</w:t>
      </w:r>
      <w:r>
        <w:rPr>
          <w:rFonts w:hint="eastAsia" w:cs="宋体"/>
          <w:sz w:val="24"/>
          <w:lang w:eastAsia="zh-Hans"/>
        </w:rPr>
        <w:t>杭州市政府政务网</w:t>
      </w:r>
      <w:r>
        <w:rPr>
          <w:rFonts w:hint="eastAsia" w:cs="宋体"/>
          <w:sz w:val="24"/>
        </w:rPr>
        <w:t>查看</w:t>
      </w:r>
      <w:r>
        <w:rPr>
          <w:rFonts w:hint="eastAsia" w:cs="宋体"/>
          <w:sz w:val="24"/>
          <w:lang w:eastAsia="zh-Hans"/>
        </w:rPr>
        <w:t>各区县婴幼儿照护服务机构数据</w:t>
      </w:r>
      <w:r>
        <w:rPr>
          <w:rFonts w:cs="宋体"/>
          <w:sz w:val="24"/>
          <w:lang w:eastAsia="zh-Hans"/>
        </w:rPr>
        <w:t>、</w:t>
      </w:r>
      <w:r>
        <w:rPr>
          <w:rFonts w:hint="eastAsia" w:cs="宋体"/>
          <w:sz w:val="24"/>
          <w:lang w:eastAsia="zh-Hans"/>
        </w:rPr>
        <w:t>儿童数据等信息</w:t>
      </w:r>
      <w:r>
        <w:rPr>
          <w:rFonts w:cs="宋体"/>
          <w:sz w:val="24"/>
          <w:lang w:eastAsia="zh-Hans"/>
        </w:rPr>
        <w:t>，</w:t>
      </w:r>
      <w:r>
        <w:rPr>
          <w:rFonts w:hint="eastAsia" w:cs="宋体"/>
          <w:sz w:val="24"/>
          <w:lang w:eastAsia="zh-Hans"/>
        </w:rPr>
        <w:t>发现与市级</w:t>
      </w:r>
      <w:r>
        <w:rPr>
          <w:rFonts w:cs="宋体"/>
          <w:sz w:val="24"/>
          <w:lang w:eastAsia="zh-Hans"/>
        </w:rPr>
        <w:t>、</w:t>
      </w:r>
      <w:r>
        <w:rPr>
          <w:rFonts w:hint="eastAsia" w:cs="宋体"/>
          <w:sz w:val="24"/>
          <w:lang w:eastAsia="zh-Hans"/>
        </w:rPr>
        <w:t>区级数据不一致现象</w:t>
      </w:r>
      <w:r>
        <w:rPr>
          <w:rFonts w:cs="宋体"/>
          <w:sz w:val="24"/>
          <w:lang w:eastAsia="zh-Hans"/>
        </w:rPr>
        <w:t>，</w:t>
      </w:r>
      <w:r>
        <w:rPr>
          <w:rFonts w:hint="eastAsia" w:cs="宋体"/>
          <w:sz w:val="24"/>
          <w:lang w:eastAsia="zh-Hans"/>
        </w:rPr>
        <w:t>及时调整</w:t>
      </w:r>
      <w:r>
        <w:rPr>
          <w:rFonts w:cs="宋体"/>
          <w:sz w:val="24"/>
          <w:lang w:eastAsia="zh-Hans"/>
        </w:rPr>
        <w:t>。</w:t>
      </w:r>
    </w:p>
    <w:p>
      <w:pPr>
        <w:spacing w:line="360" w:lineRule="auto"/>
        <w:ind w:firstLine="480" w:firstLineChars="200"/>
        <w:rPr>
          <w:rFonts w:ascii="宋体" w:hAnsi="宋体"/>
          <w:sz w:val="24"/>
        </w:rPr>
      </w:pPr>
      <w:bookmarkStart w:id="30" w:name="_Toc206"/>
      <w:r>
        <w:rPr>
          <w:rFonts w:hint="eastAsia" w:ascii="宋体" w:hAnsi="宋体" w:cs="宋体"/>
          <w:sz w:val="24"/>
        </w:rPr>
        <w:t>3、安全漏洞修复</w:t>
      </w:r>
      <w:bookmarkEnd w:id="30"/>
    </w:p>
    <w:p>
      <w:pPr>
        <w:spacing w:line="360" w:lineRule="auto"/>
        <w:ind w:firstLine="480" w:firstLineChars="200"/>
        <w:rPr>
          <w:rFonts w:ascii="宋体" w:hAnsi="宋体"/>
          <w:sz w:val="24"/>
        </w:rPr>
      </w:pPr>
      <w:r>
        <w:rPr>
          <w:rFonts w:hint="eastAsia" w:ascii="宋体" w:hAnsi="宋体" w:cs="宋体"/>
          <w:sz w:val="24"/>
        </w:rPr>
        <w:t>根据安全漏洞检</w:t>
      </w:r>
      <w:r>
        <w:rPr>
          <w:rFonts w:hint="eastAsia" w:ascii="宋体" w:hAnsi="宋体" w:cs="宋体"/>
          <w:sz w:val="24"/>
          <w:lang w:eastAsia="zh-Hans"/>
        </w:rPr>
        <w:t>结果</w:t>
      </w:r>
      <w:r>
        <w:rPr>
          <w:rFonts w:hint="eastAsia" w:ascii="宋体" w:hAnsi="宋体" w:cs="宋体"/>
          <w:sz w:val="24"/>
        </w:rPr>
        <w:t>，对本项目相关</w:t>
      </w:r>
      <w:r>
        <w:rPr>
          <w:rFonts w:hint="eastAsia" w:ascii="宋体" w:hAnsi="宋体" w:cs="宋体"/>
          <w:sz w:val="24"/>
          <w:lang w:eastAsia="zh-Hans"/>
        </w:rPr>
        <w:t>管理系统</w:t>
      </w:r>
      <w:r>
        <w:rPr>
          <w:rFonts w:hint="eastAsia" w:ascii="宋体" w:hAnsi="宋体" w:cs="宋体"/>
          <w:sz w:val="24"/>
        </w:rPr>
        <w:t>和应用系统</w:t>
      </w:r>
      <w:r>
        <w:rPr>
          <w:rFonts w:hint="eastAsia" w:ascii="宋体" w:hAnsi="宋体" w:cs="宋体"/>
          <w:sz w:val="24"/>
          <w:lang w:eastAsia="zh-Hans"/>
        </w:rPr>
        <w:t>进行检查</w:t>
      </w:r>
      <w:r>
        <w:rPr>
          <w:rFonts w:ascii="宋体" w:hAnsi="宋体" w:cs="宋体"/>
          <w:sz w:val="24"/>
          <w:lang w:eastAsia="zh-Hans"/>
        </w:rPr>
        <w:t>，</w:t>
      </w:r>
      <w:r>
        <w:rPr>
          <w:rFonts w:hint="eastAsia" w:ascii="宋体" w:hAnsi="宋体" w:cs="宋体"/>
          <w:sz w:val="24"/>
        </w:rPr>
        <w:t>若检查中发现安全漏洞需要修复，本项目中标单位须负责及时修复，包括补丁安装等。</w:t>
      </w:r>
    </w:p>
    <w:p>
      <w:pPr>
        <w:spacing w:line="360" w:lineRule="auto"/>
        <w:ind w:firstLine="480" w:firstLineChars="200"/>
        <w:rPr>
          <w:rFonts w:ascii="宋体" w:hAnsi="宋体" w:cs="宋体"/>
          <w:sz w:val="24"/>
        </w:rPr>
      </w:pPr>
      <w:bookmarkStart w:id="31" w:name="_Toc26001"/>
      <w:r>
        <w:rPr>
          <w:rFonts w:hint="eastAsia" w:ascii="宋体" w:hAnsi="宋体" w:cs="宋体"/>
          <w:sz w:val="24"/>
        </w:rPr>
        <w:t>4、其它</w:t>
      </w:r>
      <w:bookmarkEnd w:id="31"/>
    </w:p>
    <w:p>
      <w:pPr>
        <w:pStyle w:val="82"/>
        <w:rPr>
          <w:rFonts w:cs="宋体"/>
        </w:rPr>
      </w:pPr>
      <w:r>
        <w:rPr>
          <w:rFonts w:hint="eastAsia" w:cs="宋体"/>
        </w:rPr>
        <w:t>采购人提出的其它相关的维护要求。</w:t>
      </w:r>
    </w:p>
    <w:p>
      <w:pPr>
        <w:pStyle w:val="82"/>
        <w:rPr>
          <w:rFonts w:cs="宋体"/>
          <w:b/>
          <w:bCs/>
        </w:rPr>
      </w:pPr>
      <w:r>
        <w:rPr>
          <w:rFonts w:hint="eastAsia" w:cs="宋体"/>
          <w:b/>
          <w:bCs/>
        </w:rPr>
        <w:t>系统三：杭州市健康应用运维服务</w:t>
      </w:r>
    </w:p>
    <w:p>
      <w:pPr>
        <w:numPr>
          <w:ilvl w:val="0"/>
          <w:numId w:val="8"/>
        </w:numPr>
        <w:snapToGrid w:val="0"/>
        <w:spacing w:line="360" w:lineRule="auto"/>
        <w:rPr>
          <w:rFonts w:ascii="宋体" w:hAnsi="宋体"/>
          <w:sz w:val="24"/>
        </w:rPr>
      </w:pPr>
      <w:r>
        <w:rPr>
          <w:rFonts w:hint="eastAsia" w:ascii="宋体" w:hAnsi="宋体" w:cs="宋体"/>
          <w:sz w:val="24"/>
        </w:rPr>
        <w:t>心理援助专区维护</w:t>
      </w:r>
    </w:p>
    <w:p>
      <w:pPr>
        <w:widowControl/>
        <w:shd w:val="clear" w:color="auto" w:fill="FFFFFF"/>
        <w:snapToGrid w:val="0"/>
        <w:spacing w:line="360" w:lineRule="auto"/>
        <w:ind w:firstLine="420"/>
        <w:jc w:val="left"/>
        <w:rPr>
          <w:rFonts w:ascii="宋体" w:hAnsi="宋体" w:cs="仿宋_GB2312"/>
          <w:sz w:val="24"/>
        </w:rPr>
      </w:pPr>
      <w:r>
        <w:rPr>
          <w:rFonts w:hint="eastAsia" w:ascii="宋体" w:hAnsi="宋体" w:cs="仿宋_GB2312"/>
          <w:sz w:val="24"/>
        </w:rPr>
        <w:t xml:space="preserve"> “心理杭站”市级心理健康服务专区所有功能维护及日常按照业务需求进行功能迭代升级，并做好相关安全整改工作。</w:t>
      </w:r>
      <w:r>
        <w:rPr>
          <w:rFonts w:ascii="宋体" w:hAnsi="宋体" w:cs="仿宋_GB2312"/>
          <w:sz w:val="24"/>
        </w:rPr>
        <w:t xml:space="preserve"> </w:t>
      </w:r>
    </w:p>
    <w:p>
      <w:pPr>
        <w:numPr>
          <w:ilvl w:val="0"/>
          <w:numId w:val="8"/>
        </w:numPr>
        <w:snapToGrid w:val="0"/>
        <w:spacing w:line="360" w:lineRule="auto"/>
        <w:rPr>
          <w:rFonts w:ascii="宋体" w:hAnsi="宋体" w:cs="宋体"/>
          <w:sz w:val="24"/>
        </w:rPr>
      </w:pPr>
      <w:r>
        <w:rPr>
          <w:rFonts w:hint="eastAsia" w:ascii="宋体" w:hAnsi="宋体" w:cs="宋体"/>
          <w:sz w:val="24"/>
        </w:rPr>
        <w:t>互联网</w:t>
      </w:r>
      <w:r>
        <w:rPr>
          <w:rFonts w:ascii="宋体" w:hAnsi="宋体" w:cs="宋体"/>
          <w:sz w:val="24"/>
        </w:rPr>
        <w:t>+</w:t>
      </w:r>
      <w:r>
        <w:rPr>
          <w:rFonts w:hint="eastAsia" w:ascii="宋体" w:hAnsi="宋体" w:cs="宋体"/>
          <w:sz w:val="24"/>
        </w:rPr>
        <w:t>医疗健康平台维护及升级</w:t>
      </w:r>
    </w:p>
    <w:p>
      <w:pPr>
        <w:widowControl/>
        <w:shd w:val="clear" w:color="auto" w:fill="FFFFFF"/>
        <w:snapToGrid w:val="0"/>
        <w:spacing w:line="360" w:lineRule="auto"/>
        <w:ind w:firstLine="420"/>
        <w:jc w:val="left"/>
        <w:rPr>
          <w:rFonts w:ascii="宋体" w:hAnsi="宋体" w:cs="仿宋_GB2312"/>
          <w:sz w:val="24"/>
          <w:lang w:eastAsia="zh-Hans"/>
        </w:rPr>
      </w:pPr>
      <w:r>
        <w:rPr>
          <w:rFonts w:hint="eastAsia" w:ascii="宋体" w:hAnsi="宋体" w:cs="仿宋_GB2312"/>
          <w:sz w:val="24"/>
          <w:lang w:eastAsia="zh-Hans"/>
        </w:rPr>
        <w:t>根据省卫建委</w:t>
      </w:r>
      <w:r>
        <w:rPr>
          <w:rFonts w:hint="eastAsia" w:ascii="宋体" w:hAnsi="宋体" w:cs="仿宋_GB2312"/>
          <w:sz w:val="24"/>
        </w:rPr>
        <w:t>His</w:t>
      </w:r>
      <w:r>
        <w:rPr>
          <w:rFonts w:hint="eastAsia" w:ascii="宋体" w:hAnsi="宋体" w:cs="仿宋_GB2312"/>
          <w:sz w:val="24"/>
          <w:lang w:eastAsia="zh-Hans"/>
        </w:rPr>
        <w:t>贯通</w:t>
      </w:r>
      <w:r>
        <w:rPr>
          <w:rFonts w:hint="eastAsia" w:ascii="宋体" w:hAnsi="宋体" w:cs="仿宋_GB2312"/>
          <w:sz w:val="24"/>
        </w:rPr>
        <w:t>2</w:t>
      </w:r>
      <w:r>
        <w:rPr>
          <w:rFonts w:ascii="宋体" w:hAnsi="宋体" w:cs="仿宋_GB2312"/>
          <w:sz w:val="24"/>
        </w:rPr>
        <w:t>024</w:t>
      </w:r>
      <w:r>
        <w:rPr>
          <w:rFonts w:hint="eastAsia" w:ascii="宋体" w:hAnsi="宋体" w:cs="仿宋_GB2312"/>
          <w:sz w:val="24"/>
          <w:lang w:eastAsia="zh-Hans"/>
        </w:rPr>
        <w:t>新标准的要求，完成原对接</w:t>
      </w:r>
      <w:r>
        <w:rPr>
          <w:rFonts w:hint="eastAsia" w:ascii="宋体" w:hAnsi="宋体" w:cs="仿宋_GB2312"/>
          <w:sz w:val="24"/>
        </w:rPr>
        <w:t>符合条件的医疗机构的排队叫号</w:t>
      </w:r>
      <w:r>
        <w:rPr>
          <w:rFonts w:ascii="宋体" w:hAnsi="宋体" w:cs="仿宋_GB2312"/>
          <w:sz w:val="24"/>
        </w:rPr>
        <w:t>、</w:t>
      </w:r>
      <w:r>
        <w:rPr>
          <w:rFonts w:hint="eastAsia" w:ascii="宋体" w:hAnsi="宋体" w:cs="仿宋_GB2312"/>
          <w:sz w:val="24"/>
          <w:lang w:eastAsia="zh-Hans"/>
        </w:rPr>
        <w:t>在线取号及体检报告系统升级</w:t>
      </w:r>
      <w:r>
        <w:rPr>
          <w:rFonts w:ascii="宋体" w:hAnsi="宋体" w:cs="仿宋_GB2312"/>
          <w:sz w:val="24"/>
          <w:lang w:eastAsia="zh-Hans"/>
        </w:rPr>
        <w:t>，</w:t>
      </w:r>
      <w:r>
        <w:rPr>
          <w:rFonts w:hint="eastAsia" w:ascii="宋体" w:hAnsi="宋体" w:cs="仿宋_GB2312"/>
          <w:sz w:val="24"/>
          <w:lang w:eastAsia="zh-Hans"/>
        </w:rPr>
        <w:t>将医疗机构的相应服务接入市平台</w:t>
      </w:r>
      <w:r>
        <w:rPr>
          <w:rFonts w:ascii="宋体" w:hAnsi="宋体" w:cs="仿宋_GB2312"/>
          <w:sz w:val="24"/>
          <w:lang w:eastAsia="zh-Hans"/>
        </w:rPr>
        <w:t>，</w:t>
      </w:r>
      <w:r>
        <w:rPr>
          <w:rFonts w:hint="eastAsia" w:ascii="宋体" w:hAnsi="宋体" w:cs="仿宋_GB2312"/>
          <w:sz w:val="24"/>
          <w:lang w:eastAsia="zh-Hans"/>
        </w:rPr>
        <w:t>保障与省平台正常调用</w:t>
      </w:r>
      <w:r>
        <w:rPr>
          <w:rFonts w:ascii="宋体" w:hAnsi="宋体" w:cs="仿宋_GB2312"/>
          <w:sz w:val="24"/>
          <w:lang w:eastAsia="zh-Hans"/>
        </w:rPr>
        <w:t>，</w:t>
      </w:r>
      <w:r>
        <w:rPr>
          <w:rFonts w:hint="eastAsia" w:ascii="宋体" w:hAnsi="宋体" w:cs="仿宋_GB2312"/>
          <w:sz w:val="24"/>
          <w:lang w:eastAsia="zh-Hans"/>
        </w:rPr>
        <w:t>将接入的医疗机构相关服务在浙里办省排队叫号</w:t>
      </w:r>
      <w:r>
        <w:rPr>
          <w:rFonts w:ascii="宋体" w:hAnsi="宋体" w:cs="仿宋_GB2312"/>
          <w:sz w:val="24"/>
          <w:lang w:eastAsia="zh-Hans"/>
        </w:rPr>
        <w:t>、</w:t>
      </w:r>
      <w:r>
        <w:rPr>
          <w:rFonts w:hint="eastAsia" w:ascii="宋体" w:hAnsi="宋体" w:cs="仿宋_GB2312"/>
          <w:sz w:val="24"/>
          <w:lang w:eastAsia="zh-Hans"/>
        </w:rPr>
        <w:t>在线取号</w:t>
      </w:r>
      <w:r>
        <w:rPr>
          <w:rFonts w:ascii="宋体" w:hAnsi="宋体" w:cs="仿宋_GB2312"/>
          <w:sz w:val="24"/>
          <w:lang w:eastAsia="zh-Hans"/>
        </w:rPr>
        <w:t>、</w:t>
      </w:r>
      <w:r>
        <w:rPr>
          <w:rFonts w:hint="eastAsia" w:ascii="宋体" w:hAnsi="宋体" w:cs="仿宋_GB2312"/>
          <w:sz w:val="24"/>
          <w:lang w:eastAsia="zh-Hans"/>
        </w:rPr>
        <w:t>体检报告查询应用中透出</w:t>
      </w:r>
      <w:r>
        <w:rPr>
          <w:rFonts w:ascii="宋体" w:hAnsi="宋体" w:cs="仿宋_GB2312"/>
          <w:sz w:val="24"/>
          <w:lang w:eastAsia="zh-Hans"/>
        </w:rPr>
        <w:t>。</w:t>
      </w:r>
    </w:p>
    <w:p>
      <w:pPr>
        <w:widowControl/>
        <w:shd w:val="clear" w:color="auto" w:fill="FFFFFF"/>
        <w:snapToGrid w:val="0"/>
        <w:spacing w:line="360" w:lineRule="auto"/>
        <w:ind w:firstLine="420"/>
        <w:jc w:val="left"/>
        <w:rPr>
          <w:rFonts w:ascii="宋体" w:hAnsi="宋体" w:cs="仿宋_GB2312"/>
          <w:sz w:val="24"/>
        </w:rPr>
      </w:pPr>
      <w:r>
        <w:rPr>
          <w:rFonts w:hint="eastAsia" w:ascii="宋体" w:hAnsi="宋体" w:cs="宋体"/>
          <w:sz w:val="24"/>
        </w:rPr>
        <w:t>1、</w:t>
      </w:r>
      <w:r>
        <w:rPr>
          <w:rFonts w:hint="eastAsia" w:ascii="宋体" w:hAnsi="宋体" w:cs="仿宋_GB2312"/>
          <w:sz w:val="24"/>
        </w:rPr>
        <w:t>排队叫号</w:t>
      </w:r>
      <w:r>
        <w:rPr>
          <w:rFonts w:ascii="宋体" w:hAnsi="宋体" w:cs="仿宋_GB2312"/>
          <w:sz w:val="24"/>
        </w:rPr>
        <w:t>，</w:t>
      </w:r>
      <w:r>
        <w:rPr>
          <w:rFonts w:hint="eastAsia" w:ascii="宋体" w:hAnsi="宋体" w:cs="仿宋_GB2312"/>
          <w:sz w:val="24"/>
        </w:rPr>
        <w:t>对接全市区县符合条件的医疗机构的排队叫号系统，将排队叫号服务接入市平台，并与省平台打通，将服务接入浙里办省排队叫号应用。</w:t>
      </w:r>
    </w:p>
    <w:p>
      <w:pPr>
        <w:widowControl/>
        <w:shd w:val="clear" w:color="auto" w:fill="FFFFFF"/>
        <w:snapToGrid w:val="0"/>
        <w:spacing w:line="360" w:lineRule="auto"/>
        <w:ind w:firstLine="420"/>
        <w:jc w:val="left"/>
        <w:rPr>
          <w:rFonts w:ascii="宋体" w:hAnsi="宋体" w:cs="仿宋_GB2312"/>
          <w:sz w:val="24"/>
        </w:rPr>
      </w:pPr>
      <w:r>
        <w:rPr>
          <w:rFonts w:ascii="宋体" w:hAnsi="宋体" w:cs="仿宋_GB2312"/>
          <w:sz w:val="24"/>
        </w:rPr>
        <w:t>2、</w:t>
      </w:r>
      <w:r>
        <w:rPr>
          <w:rFonts w:hint="eastAsia" w:ascii="宋体" w:hAnsi="宋体" w:cs="仿宋_GB2312"/>
          <w:sz w:val="24"/>
        </w:rPr>
        <w:t>在线取号</w:t>
      </w:r>
      <w:r>
        <w:rPr>
          <w:rFonts w:ascii="宋体" w:hAnsi="宋体" w:cs="仿宋_GB2312"/>
          <w:sz w:val="24"/>
        </w:rPr>
        <w:t>，对接全市区县符合条件的医疗机构的在线取号系统，将在线取号服务接入市平台，并与省平台打通，将服务接入浙里办省在线取号应用。</w:t>
      </w:r>
    </w:p>
    <w:p>
      <w:pPr>
        <w:pStyle w:val="82"/>
        <w:rPr>
          <w:lang w:eastAsia="zh-Hans"/>
        </w:rPr>
      </w:pPr>
      <w:r>
        <w:rPr>
          <w:rFonts w:cs="仿宋_GB2312"/>
        </w:rPr>
        <w:t>3、体检报告，将全市区县符合条件的医疗机构的体检报告以PDF的形式上传至杭州市体检报告平台，而后通过市平台统一上传至浙江省体检报告平台</w:t>
      </w:r>
      <w:r>
        <w:rPr>
          <w:rFonts w:hint="eastAsia" w:cs="仿宋_GB2312"/>
        </w:rPr>
        <w:t>。</w:t>
      </w:r>
    </w:p>
    <w:p>
      <w:pPr>
        <w:numPr>
          <w:ilvl w:val="0"/>
          <w:numId w:val="8"/>
        </w:numPr>
        <w:snapToGrid w:val="0"/>
        <w:spacing w:line="360" w:lineRule="auto"/>
        <w:rPr>
          <w:rFonts w:ascii="宋体" w:hAnsi="宋体" w:cs="宋体"/>
          <w:sz w:val="24"/>
        </w:rPr>
      </w:pPr>
      <w:r>
        <w:rPr>
          <w:rFonts w:hint="eastAsia" w:ascii="宋体" w:hAnsi="宋体" w:cs="宋体"/>
          <w:sz w:val="24"/>
        </w:rPr>
        <w:t>业务保障及运维服务</w:t>
      </w:r>
    </w:p>
    <w:p>
      <w:pPr>
        <w:widowControl/>
        <w:shd w:val="clear" w:color="auto" w:fill="FFFFFF"/>
        <w:snapToGrid w:val="0"/>
        <w:spacing w:line="360" w:lineRule="auto"/>
        <w:ind w:firstLine="420"/>
        <w:jc w:val="left"/>
        <w:rPr>
          <w:rFonts w:ascii="宋体" w:hAnsi="宋体" w:cs="仿宋_GB2312"/>
          <w:sz w:val="24"/>
          <w:lang w:eastAsia="zh-Hans"/>
        </w:rPr>
      </w:pPr>
      <w:r>
        <w:rPr>
          <w:rFonts w:hint="eastAsia" w:ascii="宋体" w:hAnsi="宋体" w:cs="仿宋_GB2312"/>
          <w:sz w:val="24"/>
          <w:lang w:eastAsia="zh-Hans"/>
        </w:rPr>
        <w:t>为保障系统的稳定运行</w:t>
      </w:r>
      <w:r>
        <w:rPr>
          <w:rFonts w:ascii="宋体" w:hAnsi="宋体" w:cs="仿宋_GB2312"/>
          <w:sz w:val="24"/>
          <w:lang w:eastAsia="zh-Hans"/>
        </w:rPr>
        <w:t>，</w:t>
      </w:r>
      <w:r>
        <w:rPr>
          <w:rFonts w:hint="eastAsia" w:ascii="宋体" w:hAnsi="宋体" w:cs="仿宋_GB2312"/>
          <w:sz w:val="24"/>
          <w:lang w:eastAsia="zh-Hans"/>
        </w:rPr>
        <w:t>提供必要的日常业务保障及运维服务</w:t>
      </w:r>
      <w:r>
        <w:rPr>
          <w:rFonts w:ascii="宋体" w:hAnsi="宋体" w:cs="仿宋_GB2312"/>
          <w:sz w:val="24"/>
          <w:lang w:eastAsia="zh-Hans"/>
        </w:rPr>
        <w:t>。</w:t>
      </w:r>
      <w:r>
        <w:rPr>
          <w:rFonts w:hint="eastAsia" w:ascii="宋体" w:hAnsi="宋体" w:cs="仿宋_GB2312"/>
          <w:sz w:val="24"/>
          <w:lang w:eastAsia="zh-Hans"/>
        </w:rPr>
        <w:t>包括预防性巡检</w:t>
      </w:r>
      <w:r>
        <w:rPr>
          <w:rFonts w:ascii="宋体" w:hAnsi="宋体" w:cs="仿宋_GB2312"/>
          <w:sz w:val="24"/>
          <w:lang w:eastAsia="zh-Hans"/>
        </w:rPr>
        <w:t>、服务实时监测与告警、</w:t>
      </w:r>
      <w:r>
        <w:rPr>
          <w:rFonts w:hint="eastAsia" w:ascii="宋体" w:hAnsi="宋体" w:cs="宋体"/>
          <w:sz w:val="24"/>
        </w:rPr>
        <w:t>系统</w:t>
      </w:r>
      <w:r>
        <w:rPr>
          <w:rFonts w:hint="eastAsia" w:ascii="宋体" w:hAnsi="宋体" w:cs="宋体"/>
          <w:sz w:val="24"/>
          <w:lang w:eastAsia="zh-Hans"/>
        </w:rPr>
        <w:t>故障分析与维护</w:t>
      </w:r>
      <w:r>
        <w:rPr>
          <w:rFonts w:ascii="宋体" w:hAnsi="宋体" w:cs="宋体"/>
          <w:sz w:val="24"/>
          <w:lang w:eastAsia="zh-Hans"/>
        </w:rPr>
        <w:t>、</w:t>
      </w:r>
      <w:r>
        <w:rPr>
          <w:rFonts w:hint="eastAsia" w:ascii="宋体" w:hAnsi="宋体" w:cs="仿宋_GB2312"/>
          <w:sz w:val="24"/>
          <w:lang w:eastAsia="zh-Hans"/>
        </w:rPr>
        <w:t>技术支撑服务等</w:t>
      </w:r>
      <w:r>
        <w:rPr>
          <w:rFonts w:ascii="宋体" w:hAnsi="宋体" w:cs="仿宋_GB2312"/>
          <w:sz w:val="24"/>
          <w:lang w:eastAsia="zh-Hans"/>
        </w:rPr>
        <w:t>。</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eastAsia="zh-Hans"/>
        </w:rPr>
        <w:t>预防性</w:t>
      </w:r>
      <w:r>
        <w:rPr>
          <w:rFonts w:hint="eastAsia" w:ascii="宋体" w:hAnsi="宋体" w:cs="宋体"/>
          <w:sz w:val="24"/>
        </w:rPr>
        <w:t>巡检：定期对信息化系统进行巡检，检查系统功能是否正常，每</w:t>
      </w:r>
      <w:r>
        <w:rPr>
          <w:rFonts w:hint="eastAsia" w:ascii="宋体" w:hAnsi="宋体" w:cs="宋体"/>
          <w:sz w:val="24"/>
          <w:lang w:eastAsia="zh-Hans"/>
        </w:rPr>
        <w:t>季度</w:t>
      </w:r>
      <w:r>
        <w:rPr>
          <w:rFonts w:hint="eastAsia" w:ascii="宋体" w:hAnsi="宋体" w:cs="宋体"/>
          <w:sz w:val="24"/>
        </w:rPr>
        <w:t>进行一次全面巡检。</w:t>
      </w:r>
    </w:p>
    <w:p>
      <w:pPr>
        <w:spacing w:line="360" w:lineRule="auto"/>
        <w:ind w:firstLine="480" w:firstLineChars="200"/>
        <w:rPr>
          <w:rFonts w:ascii="宋体" w:hAnsi="宋体" w:cs="宋体"/>
          <w:sz w:val="24"/>
          <w:lang w:eastAsia="zh-Hans"/>
        </w:rPr>
      </w:pPr>
      <w:r>
        <w:rPr>
          <w:rFonts w:ascii="宋体" w:hAnsi="宋体" w:cs="宋体"/>
          <w:sz w:val="24"/>
          <w:lang w:eastAsia="zh-Hans"/>
        </w:rPr>
        <w:t>2、服务实时监测与告警：</w:t>
      </w:r>
      <w:r>
        <w:rPr>
          <w:rFonts w:hint="eastAsia" w:ascii="宋体" w:hAnsi="宋体" w:cs="宋体"/>
          <w:sz w:val="24"/>
          <w:lang w:eastAsia="zh-Hans"/>
        </w:rPr>
        <w:t>针对应用服务接口及前端服务可用性进行实时监控与告警</w:t>
      </w:r>
      <w:r>
        <w:rPr>
          <w:rFonts w:ascii="宋体" w:hAnsi="宋体" w:cs="宋体"/>
          <w:sz w:val="24"/>
          <w:lang w:eastAsia="zh-Hans"/>
        </w:rPr>
        <w:t>，</w:t>
      </w:r>
      <w:r>
        <w:rPr>
          <w:rFonts w:hint="eastAsia" w:ascii="宋体" w:hAnsi="宋体" w:cs="宋体"/>
          <w:sz w:val="24"/>
          <w:lang w:eastAsia="zh-Hans"/>
        </w:rPr>
        <w:t>保障服务稳定性。</w:t>
      </w:r>
    </w:p>
    <w:p>
      <w:pPr>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、系统</w:t>
      </w:r>
      <w:r>
        <w:rPr>
          <w:rFonts w:hint="eastAsia" w:ascii="宋体" w:hAnsi="宋体" w:cs="宋体"/>
          <w:sz w:val="24"/>
          <w:lang w:eastAsia="zh-Hans"/>
        </w:rPr>
        <w:t>故障分析与维护</w:t>
      </w:r>
      <w:r>
        <w:rPr>
          <w:rFonts w:hint="eastAsia" w:ascii="宋体" w:hAnsi="宋体" w:cs="宋体"/>
          <w:sz w:val="24"/>
        </w:rPr>
        <w:t>：针对系统问题进行故障分析，用户单位报修后半小时响应，一小时内维修人员到达现场，对故障系统现场进行维修，尽快恢复其功能。遇经使用单位及中标单位双方共同判断当日确不能修复的故障，中标单位需提供可行的应急措施，并确定具体修复时间。遇有突发事件和重要时间段要求中标单位的相关人员现场待命。</w:t>
      </w:r>
    </w:p>
    <w:p>
      <w:pPr>
        <w:pStyle w:val="82"/>
        <w:rPr>
          <w:lang w:eastAsia="zh-Hans"/>
        </w:rPr>
      </w:pPr>
      <w:r>
        <w:rPr>
          <w:rFonts w:hint="eastAsia" w:cs="宋体"/>
        </w:rPr>
        <w:t>4、技术支撑</w:t>
      </w:r>
      <w:r>
        <w:rPr>
          <w:rFonts w:hint="eastAsia" w:cs="宋体"/>
          <w:lang w:eastAsia="zh-Hans"/>
        </w:rPr>
        <w:t>服务</w:t>
      </w:r>
      <w:r>
        <w:rPr>
          <w:rFonts w:hint="eastAsia" w:cs="宋体"/>
        </w:rPr>
        <w:t>：提供24小时电话技术服务，对存在的问题随时响应并电话指导，解决信息化系统使用、操作、维护中遇到的问题；对电话</w:t>
      </w:r>
      <w:r>
        <w:rPr>
          <w:rFonts w:hint="eastAsia" w:cs="宋体"/>
          <w:lang w:eastAsia="zh-Hans"/>
        </w:rPr>
        <w:t>或远程方式</w:t>
      </w:r>
      <w:r>
        <w:rPr>
          <w:rFonts w:hint="eastAsia" w:cs="宋体"/>
        </w:rPr>
        <w:t>不能解决的问题，需提供现场支持服务。</w:t>
      </w:r>
    </w:p>
    <w:p>
      <w:pPr>
        <w:pStyle w:val="82"/>
        <w:ind w:firstLine="0"/>
      </w:pPr>
      <w:r>
        <w:rPr>
          <w:rFonts w:hint="eastAsia"/>
        </w:rPr>
        <w:t>（四）</w:t>
      </w:r>
      <w:r>
        <w:rPr>
          <w:rFonts w:hint="eastAsia"/>
          <w:lang w:eastAsia="zh-Hans"/>
        </w:rPr>
        <w:t>标准规范</w:t>
      </w:r>
      <w:r>
        <w:rPr>
          <w:rFonts w:hint="eastAsia"/>
        </w:rPr>
        <w:t>要求</w:t>
      </w:r>
    </w:p>
    <w:p>
      <w:pPr>
        <w:spacing w:line="360" w:lineRule="auto"/>
        <w:ind w:firstLine="480" w:firstLineChars="200"/>
        <w:rPr>
          <w:rFonts w:ascii="宋体" w:hAnsi="宋体" w:cs="宋体"/>
          <w:sz w:val="24"/>
        </w:rPr>
      </w:pPr>
      <w:r>
        <w:rPr>
          <w:rFonts w:hint="eastAsia" w:ascii="宋体" w:hAnsi="宋体" w:cs="宋体"/>
          <w:sz w:val="24"/>
        </w:rPr>
        <w:t>在维保服务过程中，中标人应遵循现行中华人民共和国及省、市、行业的一切有关法规、规范的要求，如下述标准及规范要求有出入则以较严格者为准：</w:t>
      </w:r>
    </w:p>
    <w:p>
      <w:pPr>
        <w:numPr>
          <w:ilvl w:val="0"/>
          <w:numId w:val="9"/>
        </w:numPr>
        <w:spacing w:line="360" w:lineRule="auto"/>
        <w:rPr>
          <w:rFonts w:ascii="宋体" w:hAnsi="宋体" w:cs="宋体"/>
          <w:sz w:val="24"/>
        </w:rPr>
      </w:pPr>
      <w:r>
        <w:rPr>
          <w:rFonts w:hint="eastAsia" w:ascii="宋体" w:hAnsi="宋体" w:cs="宋体"/>
          <w:sz w:val="24"/>
        </w:rPr>
        <w:t>国家基本公共卫生服务规范（第三版）</w:t>
      </w:r>
    </w:p>
    <w:p>
      <w:pPr>
        <w:numPr>
          <w:ilvl w:val="0"/>
          <w:numId w:val="9"/>
        </w:numPr>
        <w:spacing w:line="360" w:lineRule="auto"/>
        <w:rPr>
          <w:rFonts w:ascii="宋体" w:hAnsi="宋体" w:cs="宋体"/>
          <w:sz w:val="24"/>
        </w:rPr>
      </w:pPr>
      <w:r>
        <w:rPr>
          <w:rFonts w:hint="eastAsia" w:ascii="宋体" w:hAnsi="宋体" w:cs="宋体"/>
          <w:sz w:val="24"/>
        </w:rPr>
        <w:t>浙江省基本公共卫生服务规范（第四版）</w:t>
      </w:r>
    </w:p>
    <w:p>
      <w:pPr>
        <w:numPr>
          <w:ilvl w:val="0"/>
          <w:numId w:val="9"/>
        </w:numPr>
        <w:spacing w:line="360" w:lineRule="auto"/>
        <w:rPr>
          <w:rFonts w:ascii="宋体" w:hAnsi="宋体" w:cs="宋体"/>
          <w:sz w:val="24"/>
        </w:rPr>
      </w:pPr>
      <w:r>
        <w:rPr>
          <w:rFonts w:ascii="宋体" w:hAnsi="宋体" w:cs="宋体"/>
          <w:sz w:val="24"/>
        </w:rPr>
        <w:t>《</w:t>
      </w:r>
      <w:r>
        <w:rPr>
          <w:rFonts w:hint="eastAsia" w:ascii="宋体" w:hAnsi="宋体" w:cs="宋体"/>
          <w:sz w:val="24"/>
        </w:rPr>
        <w:t>卫生信息数据元值域代码规范</w:t>
      </w:r>
      <w:r>
        <w:rPr>
          <w:rFonts w:ascii="宋体" w:hAnsi="宋体" w:cs="宋体"/>
          <w:sz w:val="24"/>
        </w:rPr>
        <w:t>》（</w:t>
      </w:r>
      <w:r>
        <w:rPr>
          <w:rFonts w:hint="eastAsia" w:ascii="宋体" w:hAnsi="宋体" w:cs="宋体"/>
          <w:sz w:val="24"/>
        </w:rPr>
        <w:t>WS364-2011</w:t>
      </w:r>
      <w:r>
        <w:rPr>
          <w:rFonts w:ascii="宋体" w:hAnsi="宋体" w:cs="宋体"/>
          <w:sz w:val="24"/>
        </w:rPr>
        <w:t>）</w:t>
      </w:r>
    </w:p>
    <w:p>
      <w:pPr>
        <w:numPr>
          <w:ilvl w:val="0"/>
          <w:numId w:val="9"/>
        </w:numPr>
        <w:spacing w:line="360" w:lineRule="auto"/>
        <w:rPr>
          <w:rFonts w:ascii="宋体" w:hAnsi="宋体" w:cs="宋体"/>
          <w:sz w:val="24"/>
        </w:rPr>
      </w:pPr>
      <w:r>
        <w:rPr>
          <w:rFonts w:hint="eastAsia" w:ascii="宋体" w:hAnsi="宋体" w:cs="宋体"/>
          <w:sz w:val="24"/>
        </w:rPr>
        <w:t>《信息技术互连国际标准》（ISO/IEC11801-95）</w:t>
      </w:r>
    </w:p>
    <w:p>
      <w:pPr>
        <w:numPr>
          <w:ilvl w:val="0"/>
          <w:numId w:val="9"/>
        </w:numPr>
        <w:spacing w:line="360" w:lineRule="auto"/>
        <w:rPr>
          <w:rFonts w:ascii="宋体" w:hAnsi="宋体" w:cs="宋体"/>
          <w:sz w:val="24"/>
        </w:rPr>
      </w:pPr>
      <w:r>
        <w:rPr>
          <w:rFonts w:hint="eastAsia" w:ascii="宋体" w:hAnsi="宋体" w:cs="宋体"/>
          <w:sz w:val="24"/>
        </w:rPr>
        <w:t>《信息技术、软件包质量要求和测试》（GB/T 17544-1998）</w:t>
      </w:r>
    </w:p>
    <w:p>
      <w:pPr>
        <w:numPr>
          <w:ilvl w:val="0"/>
          <w:numId w:val="9"/>
        </w:numPr>
        <w:spacing w:line="360" w:lineRule="auto"/>
        <w:rPr>
          <w:rFonts w:ascii="宋体" w:hAnsi="宋体" w:cs="宋体"/>
          <w:sz w:val="24"/>
        </w:rPr>
      </w:pPr>
      <w:r>
        <w:rPr>
          <w:rFonts w:hint="eastAsia" w:ascii="宋体" w:hAnsi="宋体" w:cs="宋体"/>
          <w:sz w:val="24"/>
        </w:rPr>
        <w:t>《软件工程标准分类法》（GB/T 15538-1995）</w:t>
      </w:r>
    </w:p>
    <w:p>
      <w:pPr>
        <w:numPr>
          <w:ilvl w:val="0"/>
          <w:numId w:val="9"/>
        </w:numPr>
        <w:spacing w:line="360" w:lineRule="auto"/>
        <w:rPr>
          <w:rFonts w:ascii="宋体" w:hAnsi="宋体" w:cs="宋体"/>
          <w:sz w:val="24"/>
        </w:rPr>
      </w:pPr>
      <w:r>
        <w:rPr>
          <w:rFonts w:hint="eastAsia" w:ascii="宋体" w:hAnsi="宋体" w:cs="宋体"/>
          <w:sz w:val="24"/>
        </w:rPr>
        <w:t>《软件开发规范》（GB 8566-88）</w:t>
      </w:r>
    </w:p>
    <w:p>
      <w:pPr>
        <w:numPr>
          <w:ilvl w:val="0"/>
          <w:numId w:val="9"/>
        </w:numPr>
        <w:spacing w:line="360" w:lineRule="auto"/>
        <w:rPr>
          <w:rFonts w:ascii="宋体" w:hAnsi="宋体" w:cs="宋体"/>
          <w:sz w:val="24"/>
        </w:rPr>
      </w:pPr>
      <w:r>
        <w:rPr>
          <w:rFonts w:hint="eastAsia" w:ascii="宋体" w:hAnsi="宋体" w:cs="宋体"/>
          <w:sz w:val="24"/>
        </w:rPr>
        <w:t>《计算机软件质量保证计划规范》（GB/T 12504-90）</w:t>
      </w:r>
    </w:p>
    <w:p>
      <w:pPr>
        <w:pStyle w:val="82"/>
        <w:ind w:firstLine="0"/>
      </w:pPr>
      <w:r>
        <w:rPr>
          <w:rFonts w:hint="eastAsia"/>
        </w:rPr>
        <w:t>（五）服务团队要求</w:t>
      </w:r>
    </w:p>
    <w:p>
      <w:pPr>
        <w:pStyle w:val="82"/>
        <w:rPr>
          <w:rFonts w:cs="宋体"/>
        </w:rPr>
      </w:pPr>
      <w:r>
        <w:rPr>
          <w:rFonts w:hint="eastAsia" w:cs="宋体"/>
        </w:rPr>
        <w:t>1、要求中标人在合同期内组成</w:t>
      </w:r>
      <w:r>
        <w:rPr>
          <w:rFonts w:cs="宋体"/>
        </w:rPr>
        <w:t>5</w:t>
      </w:r>
      <w:r>
        <w:rPr>
          <w:rFonts w:hint="eastAsia" w:cs="宋体"/>
        </w:rPr>
        <w:t>名技术人员以上的服务小组，投标人应在投标文件中提供有关维护人员信息，介绍人员的情况，包括姓名、年龄、学历、职称、资格认证、从事类似项目经验、擅长技术、职责安排等情况，并附上相关证明文件。</w:t>
      </w:r>
    </w:p>
    <w:p>
      <w:pPr>
        <w:pStyle w:val="82"/>
        <w:rPr>
          <w:rFonts w:cs="宋体"/>
        </w:rPr>
      </w:pPr>
      <w:r>
        <w:rPr>
          <w:rFonts w:hint="eastAsia" w:cs="宋体"/>
        </w:rPr>
        <w:t>2、服务人员总体素质要求：能够承担本项目的任务。服务小组须熟悉J2EE架构开发，MySql、Oracle等数据库使用，Linux操作系统配置，以及数据一致性检查等工作。对软件系统开发制作深入了解</w:t>
      </w:r>
      <w:r>
        <w:rPr>
          <w:rFonts w:cs="宋体"/>
        </w:rPr>
        <w:t>，</w:t>
      </w:r>
      <w:r>
        <w:rPr>
          <w:rFonts w:hint="eastAsia" w:cs="宋体"/>
        </w:rPr>
        <w:t>需熟悉Java</w:t>
      </w:r>
      <w:r>
        <w:rPr>
          <w:rFonts w:cs="宋体"/>
        </w:rPr>
        <w:t>、</w:t>
      </w:r>
      <w:r>
        <w:rPr>
          <w:rFonts w:hint="eastAsia" w:cs="宋体"/>
        </w:rPr>
        <w:t>SQL</w:t>
      </w:r>
      <w:r>
        <w:rPr>
          <w:rFonts w:cs="宋体"/>
        </w:rPr>
        <w:t>、</w:t>
      </w:r>
      <w:r>
        <w:rPr>
          <w:rFonts w:hint="eastAsia" w:cs="宋体"/>
        </w:rPr>
        <w:t>HTML、Javascript、CSS</w:t>
      </w:r>
      <w:r>
        <w:rPr>
          <w:rFonts w:cs="宋体"/>
        </w:rPr>
        <w:t>、</w:t>
      </w:r>
      <w:r>
        <w:rPr>
          <w:rFonts w:hint="eastAsia" w:cs="宋体"/>
        </w:rPr>
        <w:t>Linux</w:t>
      </w:r>
      <w:r>
        <w:rPr>
          <w:rFonts w:cs="宋体"/>
        </w:rPr>
        <w:t xml:space="preserve"> </w:t>
      </w:r>
      <w:r>
        <w:rPr>
          <w:rFonts w:hint="eastAsia" w:cs="宋体"/>
        </w:rPr>
        <w:t>Shell等语言，具有熟练的美工能力，其制作的成果需要采购人确认。</w:t>
      </w:r>
    </w:p>
    <w:p>
      <w:pPr>
        <w:pStyle w:val="82"/>
        <w:rPr>
          <w:rFonts w:cs="宋体"/>
        </w:rPr>
      </w:pPr>
      <w:r>
        <w:rPr>
          <w:rFonts w:hint="eastAsia" w:cs="宋体"/>
        </w:rPr>
        <w:t>3、该平台运维服务需提供7×24电话或电子邮件服务，接到业主报修通知2小时内做出明确响应和安排，8小时内做出故障诊断报告。</w:t>
      </w:r>
    </w:p>
    <w:p>
      <w:pPr>
        <w:pStyle w:val="82"/>
        <w:ind w:firstLine="0"/>
      </w:pPr>
      <w:bookmarkStart w:id="32" w:name="_Toc30519"/>
      <w:r>
        <w:rPr>
          <w:rFonts w:hint="eastAsia"/>
        </w:rPr>
        <w:t>（六）响应要求</w:t>
      </w:r>
      <w:bookmarkEnd w:id="32"/>
    </w:p>
    <w:p>
      <w:pPr>
        <w:spacing w:line="360" w:lineRule="auto"/>
        <w:ind w:firstLine="480" w:firstLineChars="200"/>
        <w:rPr>
          <w:rFonts w:ascii="宋体" w:hAnsi="宋体"/>
          <w:sz w:val="24"/>
        </w:rPr>
      </w:pPr>
      <w:r>
        <w:rPr>
          <w:rFonts w:hint="eastAsia" w:ascii="宋体" w:hAnsi="宋体" w:cs="宋体"/>
          <w:sz w:val="24"/>
        </w:rPr>
        <w:t>1、工作日须每</w:t>
      </w:r>
      <w:r>
        <w:rPr>
          <w:rFonts w:hint="eastAsia" w:ascii="宋体" w:hAnsi="宋体" w:cs="宋体"/>
          <w:sz w:val="24"/>
          <w:lang w:eastAsia="zh-Hans"/>
        </w:rPr>
        <w:t>天</w:t>
      </w:r>
      <w:r>
        <w:rPr>
          <w:rFonts w:hint="eastAsia" w:ascii="宋体" w:hAnsi="宋体" w:cs="宋体"/>
          <w:sz w:val="24"/>
        </w:rPr>
        <w:t>定时开展，频次由采购人确定，双休、节假日期间或遇到紧急情况需要，中标方即时响应处理。</w:t>
      </w:r>
    </w:p>
    <w:p>
      <w:pPr>
        <w:spacing w:line="360" w:lineRule="auto"/>
        <w:ind w:firstLine="480" w:firstLineChars="200"/>
        <w:rPr>
          <w:rFonts w:ascii="宋体" w:hAnsi="宋体"/>
          <w:sz w:val="24"/>
        </w:rPr>
      </w:pPr>
      <w:r>
        <w:rPr>
          <w:rFonts w:hint="eastAsia" w:ascii="宋体" w:hAnsi="宋体" w:cs="宋体"/>
          <w:sz w:val="24"/>
        </w:rPr>
        <w:t>2、日常维护：如人员注册、授权、系统配置、问题处理等，须在接到服务要求后即时响应。</w:t>
      </w:r>
    </w:p>
    <w:p>
      <w:pPr>
        <w:pStyle w:val="82"/>
        <w:rPr>
          <w:rFonts w:cs="宋体"/>
        </w:rPr>
      </w:pPr>
      <w:r>
        <w:rPr>
          <w:rFonts w:hint="eastAsia" w:cs="宋体"/>
        </w:rPr>
        <w:t>3、在服务期间，若发现超出服务能力范围的故障或问题，如网络设备</w:t>
      </w:r>
      <w:r>
        <w:rPr>
          <w:rFonts w:hint="eastAsia" w:cs="宋体"/>
          <w:lang w:eastAsia="zh-Hans"/>
        </w:rPr>
        <w:t>硬件</w:t>
      </w:r>
      <w:r>
        <w:rPr>
          <w:rFonts w:hint="eastAsia" w:cs="宋体"/>
        </w:rPr>
        <w:t>故障、需要采购人处理或应用系统本身存在缺陷等的，要求于发现当日及时告知采购人，并配合采购人及时处理。</w:t>
      </w:r>
    </w:p>
    <w:p>
      <w:pPr>
        <w:spacing w:line="360" w:lineRule="auto"/>
        <w:rPr>
          <w:rFonts w:ascii="宋体" w:hAnsi="宋体"/>
          <w:sz w:val="24"/>
        </w:rPr>
      </w:pPr>
      <w:r>
        <w:rPr>
          <w:rFonts w:hint="eastAsia" w:ascii="宋体" w:hAnsi="宋体" w:cs="宋体"/>
          <w:sz w:val="24"/>
        </w:rPr>
        <w:t>（七）保密要求</w:t>
      </w:r>
    </w:p>
    <w:p>
      <w:pPr>
        <w:spacing w:line="360" w:lineRule="auto"/>
        <w:ind w:firstLine="480" w:firstLineChars="200"/>
        <w:rPr>
          <w:rFonts w:ascii="宋体" w:hAnsi="宋体"/>
          <w:sz w:val="24"/>
        </w:rPr>
      </w:pPr>
      <w:r>
        <w:rPr>
          <w:rFonts w:hint="eastAsia" w:ascii="宋体" w:hAnsi="宋体" w:cs="宋体"/>
          <w:sz w:val="24"/>
        </w:rPr>
        <w:t>中标方须遵守有关保密规定，承诺且不限于以下保密要求：</w:t>
      </w:r>
    </w:p>
    <w:p>
      <w:pPr>
        <w:spacing w:line="360" w:lineRule="auto"/>
        <w:ind w:firstLine="480" w:firstLineChars="200"/>
        <w:rPr>
          <w:rFonts w:ascii="宋体" w:hAnsi="宋体"/>
          <w:sz w:val="24"/>
        </w:rPr>
      </w:pPr>
      <w:r>
        <w:rPr>
          <w:rFonts w:hint="eastAsia" w:ascii="宋体" w:hAnsi="宋体" w:cs="宋体"/>
          <w:sz w:val="24"/>
        </w:rPr>
        <w:t>1、中标方对本项目涉及和所产生的数据、资料、信息等负有保密责任，未经采购人同意不得提供给任何第三方，包括中标方的分支机构、子公司、委托顾问方或接受咨询方。</w:t>
      </w:r>
    </w:p>
    <w:p>
      <w:pPr>
        <w:spacing w:line="360" w:lineRule="auto"/>
        <w:ind w:firstLine="480" w:firstLineChars="200"/>
        <w:rPr>
          <w:rFonts w:ascii="宋体" w:hAnsi="宋体"/>
          <w:sz w:val="24"/>
        </w:rPr>
      </w:pPr>
      <w:r>
        <w:rPr>
          <w:rFonts w:hint="eastAsia" w:ascii="宋体" w:hAnsi="宋体" w:cs="宋体"/>
          <w:sz w:val="24"/>
        </w:rPr>
        <w:t>2、中标方应妥善保管有关的文件和资料，未经采购人许可，不对其复制、仿造等。</w:t>
      </w:r>
    </w:p>
    <w:p>
      <w:pPr>
        <w:spacing w:line="360" w:lineRule="auto"/>
        <w:ind w:firstLine="480" w:firstLineChars="200"/>
        <w:rPr>
          <w:rFonts w:ascii="宋体" w:hAnsi="宋体"/>
          <w:sz w:val="24"/>
        </w:rPr>
      </w:pPr>
      <w:r>
        <w:rPr>
          <w:rFonts w:hint="eastAsia" w:ascii="宋体" w:hAnsi="宋体" w:cs="宋体"/>
          <w:sz w:val="24"/>
        </w:rPr>
        <w:t>3、中标方应对有关人员进行有效管理，包括制定规章制度，以确保本承诺书的履行。</w:t>
      </w:r>
    </w:p>
    <w:p>
      <w:pPr>
        <w:spacing w:line="360" w:lineRule="auto"/>
        <w:ind w:firstLine="480" w:firstLineChars="200"/>
        <w:rPr>
          <w:rFonts w:ascii="宋体" w:hAnsi="宋体"/>
          <w:sz w:val="24"/>
        </w:rPr>
      </w:pPr>
      <w:r>
        <w:rPr>
          <w:rFonts w:hint="eastAsia" w:ascii="宋体" w:hAnsi="宋体" w:cs="宋体"/>
          <w:sz w:val="24"/>
        </w:rPr>
        <w:t>4、中标方若违反本承诺的约定，应赔偿采购人由此遭受的一切损失。</w:t>
      </w:r>
    </w:p>
    <w:p>
      <w:pPr>
        <w:spacing w:line="360" w:lineRule="auto"/>
        <w:ind w:firstLine="480" w:firstLineChars="200"/>
        <w:rPr>
          <w:rFonts w:ascii="宋体" w:hAnsi="宋体"/>
          <w:sz w:val="24"/>
        </w:rPr>
      </w:pPr>
      <w:r>
        <w:rPr>
          <w:rFonts w:hint="eastAsia" w:ascii="宋体" w:hAnsi="宋体" w:cs="宋体"/>
          <w:sz w:val="24"/>
        </w:rPr>
        <w:t>5、保密期限：中标方需对本项目的业务资料、技术信息等在软件生命周期内一直保密，直至采购人同意或该业务资料、技术信息在同行业中已成为公开信息后方可解除保密义务。</w:t>
      </w:r>
    </w:p>
    <w:p>
      <w:pPr>
        <w:pStyle w:val="82"/>
        <w:rPr>
          <w:rFonts w:cs="宋体"/>
        </w:rPr>
      </w:pPr>
      <w:r>
        <w:rPr>
          <w:rFonts w:hint="eastAsia" w:cs="宋体"/>
        </w:rPr>
        <w:t>6、中标方须签订保密协议。</w:t>
      </w:r>
    </w:p>
    <w:p>
      <w:pPr>
        <w:pStyle w:val="20"/>
        <w:spacing w:after="120" w:line="360" w:lineRule="auto"/>
        <w:ind w:firstLine="482" w:firstLineChars="200"/>
        <w:rPr>
          <w:rFonts w:ascii="宋体" w:hAnsi="宋体" w:cs="宋体"/>
          <w:b/>
          <w:bCs/>
          <w:sz w:val="24"/>
        </w:rPr>
      </w:pPr>
      <w:r>
        <w:rPr>
          <w:rFonts w:hint="eastAsia" w:ascii="宋体" w:hAnsi="宋体"/>
          <w:b/>
          <w:bCs/>
          <w:sz w:val="24"/>
        </w:rPr>
        <w:t>系统四：</w:t>
      </w:r>
      <w:r>
        <w:rPr>
          <w:rFonts w:hint="eastAsia" w:ascii="宋体" w:hAnsi="宋体" w:cs="宋体"/>
          <w:b/>
          <w:bCs/>
          <w:sz w:val="24"/>
        </w:rPr>
        <w:t>杭州市中医药数据驾驶舱运维服务</w:t>
      </w:r>
    </w:p>
    <w:p>
      <w:pPr>
        <w:pStyle w:val="20"/>
        <w:spacing w:after="120" w:line="360" w:lineRule="auto"/>
        <w:ind w:firstLine="480" w:firstLineChars="200"/>
        <w:rPr>
          <w:rFonts w:ascii="宋体" w:hAnsi="宋体" w:cs="宋体"/>
          <w:sz w:val="24"/>
        </w:rPr>
      </w:pPr>
      <w:r>
        <w:rPr>
          <w:rFonts w:hint="eastAsia" w:ascii="宋体" w:hAnsi="宋体"/>
          <w:sz w:val="24"/>
          <w:lang w:val="zh-CN"/>
        </w:rPr>
        <w:t>为了确保</w:t>
      </w:r>
      <w:r>
        <w:rPr>
          <w:rFonts w:hint="eastAsia" w:ascii="宋体" w:hAnsi="宋体" w:cs="宋体"/>
          <w:sz w:val="24"/>
        </w:rPr>
        <w:t>杭州市卫健更顺畅的使用杭州市中医药数据驾驶舱开展日常监管工作，提高工作效率，同时对软件系统进行良好的日常维护，保障系统安全稳定的运行。</w:t>
      </w:r>
    </w:p>
    <w:p>
      <w:pPr>
        <w:snapToGrid w:val="0"/>
        <w:spacing w:line="360" w:lineRule="auto"/>
        <w:ind w:left="105" w:leftChars="50" w:firstLine="480" w:firstLineChars="200"/>
        <w:outlineLvl w:val="2"/>
        <w:rPr>
          <w:rFonts w:ascii="宋体" w:hAnsi="宋体" w:cs="宋体"/>
          <w:sz w:val="24"/>
        </w:rPr>
      </w:pPr>
      <w:r>
        <w:rPr>
          <w:rFonts w:hint="eastAsia" w:ascii="宋体" w:hAnsi="宋体" w:cs="宋体"/>
          <w:sz w:val="24"/>
        </w:rPr>
        <w:t>本项目的运维服务内容为中医药驾驶舱和中医药一张图的系统运维服务。</w:t>
      </w:r>
    </w:p>
    <w:p>
      <w:pPr>
        <w:snapToGrid w:val="0"/>
        <w:spacing w:line="360" w:lineRule="auto"/>
        <w:ind w:left="105" w:leftChars="50" w:firstLine="480" w:firstLineChars="200"/>
        <w:outlineLvl w:val="2"/>
        <w:rPr>
          <w:rFonts w:ascii="宋体" w:hAnsi="宋体" w:cs="宋体"/>
          <w:sz w:val="24"/>
        </w:rPr>
      </w:pPr>
      <w:r>
        <w:rPr>
          <w:rFonts w:hint="eastAsia" w:ascii="宋体" w:hAnsi="宋体" w:cs="宋体"/>
          <w:sz w:val="24"/>
        </w:rPr>
        <w:t>软件维保服务清单：</w:t>
      </w:r>
    </w:p>
    <w:tbl>
      <w:tblPr>
        <w:tblStyle w:val="62"/>
        <w:tblpPr w:leftFromText="180" w:rightFromText="180" w:vertAnchor="text" w:horzAnchor="page" w:tblpX="1829" w:tblpY="290"/>
        <w:tblOverlap w:val="never"/>
        <w:tblW w:w="8213"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99"/>
        <w:gridCol w:w="1564"/>
        <w:gridCol w:w="1903"/>
        <w:gridCol w:w="394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84" w:hRule="atLeast"/>
        </w:trPr>
        <w:tc>
          <w:tcPr>
            <w:tcW w:w="799" w:type="dxa"/>
            <w:tcBorders>
              <w:bottom w:val="single" w:color="000000" w:sz="8" w:space="0"/>
            </w:tcBorders>
            <w:vAlign w:val="center"/>
          </w:tcPr>
          <w:p>
            <w:pPr>
              <w:pStyle w:val="954"/>
              <w:spacing w:before="2" w:line="360" w:lineRule="auto"/>
              <w:ind w:left="108"/>
              <w:rPr>
                <w:rFonts w:ascii="宋体" w:hAnsi="宋体" w:cs="仿宋"/>
                <w:b/>
                <w:sz w:val="24"/>
                <w:szCs w:val="24"/>
              </w:rPr>
            </w:pPr>
            <w:r>
              <w:rPr>
                <w:rFonts w:hint="eastAsia" w:ascii="宋体" w:hAnsi="宋体" w:cs="仿宋"/>
                <w:b/>
                <w:sz w:val="24"/>
                <w:szCs w:val="24"/>
              </w:rPr>
              <w:t>序号</w:t>
            </w:r>
          </w:p>
        </w:tc>
        <w:tc>
          <w:tcPr>
            <w:tcW w:w="1564" w:type="dxa"/>
            <w:tcBorders>
              <w:bottom w:val="single" w:color="000000" w:sz="8" w:space="0"/>
            </w:tcBorders>
            <w:vAlign w:val="center"/>
          </w:tcPr>
          <w:p>
            <w:pPr>
              <w:pStyle w:val="954"/>
              <w:spacing w:before="2" w:line="360" w:lineRule="auto"/>
              <w:ind w:left="108"/>
              <w:jc w:val="center"/>
              <w:rPr>
                <w:rFonts w:ascii="宋体" w:hAnsi="宋体" w:cs="仿宋"/>
                <w:b/>
                <w:sz w:val="24"/>
                <w:szCs w:val="24"/>
              </w:rPr>
            </w:pPr>
            <w:r>
              <w:rPr>
                <w:rFonts w:hint="eastAsia" w:ascii="宋体" w:hAnsi="宋体" w:cs="仿宋"/>
                <w:b/>
                <w:sz w:val="24"/>
                <w:szCs w:val="24"/>
              </w:rPr>
              <w:t>系统</w:t>
            </w:r>
          </w:p>
        </w:tc>
        <w:tc>
          <w:tcPr>
            <w:tcW w:w="1903" w:type="dxa"/>
            <w:vAlign w:val="center"/>
          </w:tcPr>
          <w:p>
            <w:pPr>
              <w:pStyle w:val="954"/>
              <w:spacing w:before="2" w:line="360" w:lineRule="auto"/>
              <w:ind w:left="107"/>
              <w:jc w:val="center"/>
              <w:rPr>
                <w:rFonts w:ascii="宋体" w:hAnsi="宋体" w:cs="仿宋"/>
                <w:b/>
                <w:sz w:val="24"/>
                <w:szCs w:val="24"/>
              </w:rPr>
            </w:pPr>
            <w:r>
              <w:rPr>
                <w:rFonts w:hint="eastAsia" w:ascii="宋体" w:hAnsi="宋体" w:cs="仿宋"/>
                <w:b/>
                <w:sz w:val="24"/>
                <w:szCs w:val="24"/>
              </w:rPr>
              <w:t>模块</w:t>
            </w:r>
          </w:p>
        </w:tc>
        <w:tc>
          <w:tcPr>
            <w:tcW w:w="3947" w:type="dxa"/>
            <w:tcBorders>
              <w:right w:val="single" w:color="000000" w:sz="4" w:space="0"/>
            </w:tcBorders>
            <w:vAlign w:val="center"/>
          </w:tcPr>
          <w:p>
            <w:pPr>
              <w:pStyle w:val="954"/>
              <w:spacing w:before="2" w:line="360" w:lineRule="auto"/>
              <w:ind w:left="107"/>
              <w:jc w:val="center"/>
              <w:rPr>
                <w:rFonts w:ascii="宋体" w:hAnsi="宋体" w:cs="仿宋"/>
                <w:b/>
                <w:sz w:val="24"/>
                <w:szCs w:val="24"/>
              </w:rPr>
            </w:pPr>
            <w:r>
              <w:rPr>
                <w:rFonts w:hint="eastAsia" w:ascii="宋体" w:hAnsi="宋体" w:cs="仿宋"/>
                <w:b/>
                <w:sz w:val="24"/>
                <w:szCs w:val="24"/>
              </w:rPr>
              <w:t>描述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2" w:hRule="atLeast"/>
        </w:trPr>
        <w:tc>
          <w:tcPr>
            <w:tcW w:w="799" w:type="dxa"/>
            <w:tcBorders>
              <w:bottom w:val="single" w:color="000000" w:sz="8" w:space="0"/>
            </w:tcBorders>
            <w:vAlign w:val="center"/>
          </w:tcPr>
          <w:p>
            <w:pPr>
              <w:pStyle w:val="954"/>
              <w:spacing w:line="360" w:lineRule="auto"/>
              <w:ind w:left="108"/>
              <w:jc w:val="center"/>
              <w:rPr>
                <w:rFonts w:ascii="宋体" w:hAnsi="宋体" w:cs="仿宋"/>
                <w:sz w:val="24"/>
                <w:szCs w:val="24"/>
              </w:rPr>
            </w:pPr>
            <w:r>
              <w:rPr>
                <w:rFonts w:hint="eastAsia" w:ascii="宋体" w:hAnsi="宋体" w:cs="仿宋"/>
                <w:w w:val="99"/>
                <w:sz w:val="24"/>
                <w:szCs w:val="24"/>
              </w:rPr>
              <w:t>1</w:t>
            </w:r>
          </w:p>
        </w:tc>
        <w:tc>
          <w:tcPr>
            <w:tcW w:w="1564" w:type="dxa"/>
            <w:vMerge w:val="restart"/>
            <w:tcBorders>
              <w:bottom w:val="single" w:color="000000" w:sz="8" w:space="0"/>
            </w:tcBorders>
            <w:vAlign w:val="center"/>
          </w:tcPr>
          <w:p>
            <w:pPr>
              <w:pStyle w:val="954"/>
              <w:spacing w:line="360" w:lineRule="auto"/>
              <w:ind w:right="88"/>
              <w:rPr>
                <w:rFonts w:ascii="宋体" w:hAnsi="宋体" w:cs="仿宋"/>
                <w:sz w:val="24"/>
                <w:szCs w:val="24"/>
                <w:lang w:eastAsia="zh-CN"/>
              </w:rPr>
            </w:pPr>
            <w:r>
              <w:rPr>
                <w:rFonts w:hint="eastAsia" w:ascii="宋体" w:hAnsi="宋体" w:cs="仿宋"/>
                <w:sz w:val="24"/>
                <w:szCs w:val="24"/>
                <w:lang w:eastAsia="zh-CN"/>
              </w:rPr>
              <w:t>杭州市中医药数据驾驶舱</w:t>
            </w:r>
          </w:p>
        </w:tc>
        <w:tc>
          <w:tcPr>
            <w:tcW w:w="1903" w:type="dxa"/>
            <w:vAlign w:val="center"/>
          </w:tcPr>
          <w:p>
            <w:pPr>
              <w:pStyle w:val="954"/>
              <w:spacing w:before="9" w:line="360" w:lineRule="auto"/>
              <w:rPr>
                <w:rFonts w:ascii="宋体" w:hAnsi="宋体" w:cs="仿宋"/>
                <w:sz w:val="24"/>
                <w:szCs w:val="24"/>
              </w:rPr>
            </w:pPr>
            <w:r>
              <w:rPr>
                <w:rFonts w:hint="eastAsia" w:ascii="宋体" w:hAnsi="宋体" w:cs="仿宋"/>
                <w:sz w:val="24"/>
                <w:szCs w:val="24"/>
              </w:rPr>
              <w:t>中医药驾驶舱</w:t>
            </w:r>
          </w:p>
        </w:tc>
        <w:tc>
          <w:tcPr>
            <w:tcW w:w="3947" w:type="dxa"/>
            <w:tcBorders>
              <w:right w:val="single" w:color="000000" w:sz="4" w:space="0"/>
            </w:tcBorders>
            <w:vAlign w:val="center"/>
          </w:tcPr>
          <w:p>
            <w:pPr>
              <w:pStyle w:val="954"/>
              <w:spacing w:line="360" w:lineRule="auto"/>
              <w:ind w:left="107"/>
              <w:rPr>
                <w:rFonts w:ascii="宋体" w:hAnsi="宋体" w:cs="仿宋"/>
                <w:sz w:val="24"/>
                <w:szCs w:val="24"/>
                <w:lang w:eastAsia="zh-CN"/>
              </w:rPr>
            </w:pPr>
            <w:r>
              <w:rPr>
                <w:rFonts w:hint="eastAsia" w:ascii="宋体" w:hAnsi="宋体" w:cs="仿宋"/>
                <w:sz w:val="24"/>
                <w:szCs w:val="24"/>
                <w:lang w:eastAsia="zh-CN"/>
              </w:rPr>
              <w:t>用于统计汇总并展示杭州市各中医医院的关键业务指标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799" w:type="dxa"/>
            <w:tcBorders>
              <w:top w:val="single" w:color="000000" w:sz="8" w:space="0"/>
            </w:tcBorders>
            <w:vAlign w:val="center"/>
          </w:tcPr>
          <w:p>
            <w:pPr>
              <w:pStyle w:val="954"/>
              <w:spacing w:line="360" w:lineRule="auto"/>
              <w:ind w:left="108"/>
              <w:jc w:val="center"/>
              <w:rPr>
                <w:rFonts w:ascii="宋体" w:hAnsi="宋体" w:cs="仿宋"/>
                <w:sz w:val="24"/>
                <w:szCs w:val="24"/>
              </w:rPr>
            </w:pPr>
            <w:r>
              <w:rPr>
                <w:rFonts w:hint="eastAsia" w:ascii="宋体" w:hAnsi="宋体" w:cs="仿宋"/>
                <w:w w:val="99"/>
                <w:sz w:val="24"/>
                <w:szCs w:val="24"/>
              </w:rPr>
              <w:t>2</w:t>
            </w:r>
          </w:p>
        </w:tc>
        <w:tc>
          <w:tcPr>
            <w:tcW w:w="1564" w:type="dxa"/>
            <w:vMerge w:val="continue"/>
            <w:tcBorders>
              <w:top w:val="nil"/>
              <w:bottom w:val="single" w:color="000000" w:sz="8" w:space="0"/>
            </w:tcBorders>
            <w:vAlign w:val="center"/>
          </w:tcPr>
          <w:p>
            <w:pPr>
              <w:spacing w:line="360" w:lineRule="auto"/>
              <w:rPr>
                <w:rFonts w:ascii="宋体" w:hAnsi="宋体" w:cs="仿宋"/>
                <w:sz w:val="24"/>
              </w:rPr>
            </w:pPr>
          </w:p>
        </w:tc>
        <w:tc>
          <w:tcPr>
            <w:tcW w:w="1903" w:type="dxa"/>
            <w:vAlign w:val="center"/>
          </w:tcPr>
          <w:p>
            <w:pPr>
              <w:pStyle w:val="954"/>
              <w:spacing w:line="360" w:lineRule="auto"/>
              <w:rPr>
                <w:rFonts w:ascii="宋体" w:hAnsi="宋体" w:cs="仿宋"/>
                <w:sz w:val="24"/>
                <w:szCs w:val="24"/>
              </w:rPr>
            </w:pPr>
            <w:r>
              <w:rPr>
                <w:rFonts w:hint="eastAsia" w:ascii="宋体" w:hAnsi="宋体" w:cs="仿宋"/>
                <w:sz w:val="24"/>
                <w:szCs w:val="24"/>
              </w:rPr>
              <w:t>中医药一张图</w:t>
            </w:r>
          </w:p>
        </w:tc>
        <w:tc>
          <w:tcPr>
            <w:tcW w:w="3947" w:type="dxa"/>
            <w:tcBorders>
              <w:right w:val="single" w:color="000000" w:sz="4" w:space="0"/>
            </w:tcBorders>
            <w:vAlign w:val="center"/>
          </w:tcPr>
          <w:p>
            <w:pPr>
              <w:pStyle w:val="954"/>
              <w:spacing w:line="360" w:lineRule="auto"/>
              <w:ind w:left="107"/>
              <w:rPr>
                <w:rFonts w:ascii="宋体" w:hAnsi="宋体" w:cs="仿宋"/>
                <w:sz w:val="24"/>
                <w:szCs w:val="24"/>
                <w:lang w:eastAsia="zh-CN"/>
              </w:rPr>
            </w:pPr>
            <w:r>
              <w:rPr>
                <w:rFonts w:hint="eastAsia" w:ascii="宋体" w:hAnsi="宋体" w:cs="仿宋"/>
                <w:sz w:val="24"/>
                <w:szCs w:val="24"/>
                <w:lang w:eastAsia="zh-CN"/>
              </w:rPr>
              <w:t>用于展示杭州市中医药事业及产业资源的分布情况</w:t>
            </w:r>
          </w:p>
        </w:tc>
      </w:tr>
    </w:tbl>
    <w:p>
      <w:pPr>
        <w:pStyle w:val="20"/>
        <w:spacing w:after="120" w:line="360" w:lineRule="auto"/>
        <w:ind w:firstLine="480" w:firstLineChars="200"/>
        <w:rPr>
          <w:rFonts w:ascii="宋体" w:hAnsi="宋体" w:cs="宋体"/>
          <w:sz w:val="24"/>
        </w:rPr>
      </w:pPr>
      <w:r>
        <w:rPr>
          <w:rFonts w:hint="eastAsia" w:ascii="宋体" w:hAnsi="宋体" w:cs="宋体"/>
          <w:sz w:val="24"/>
        </w:rPr>
        <w:t>（一）维保内容</w:t>
      </w:r>
    </w:p>
    <w:p>
      <w:pPr>
        <w:pStyle w:val="20"/>
        <w:spacing w:after="120" w:line="360" w:lineRule="auto"/>
        <w:ind w:firstLine="480" w:firstLineChars="200"/>
        <w:rPr>
          <w:rFonts w:ascii="宋体" w:hAnsi="宋体" w:cs="宋体"/>
          <w:sz w:val="24"/>
        </w:rPr>
      </w:pPr>
      <w:r>
        <w:rPr>
          <w:rFonts w:hint="eastAsia" w:ascii="宋体" w:hAnsi="宋体" w:cs="宋体"/>
          <w:sz w:val="24"/>
        </w:rPr>
        <w:t>对杭州市中医药数据驾驶舱进行日常维护、巡检、数据质量控制、监测各外连系统接口和模块状态、处理系统突发应急事件、数据库常规备份、对各医院相关工作人员的软件操作培训和问题应答、对各医院信息科和县卫生健康局信息中心相关系统管理维护人员的管理培训等。</w:t>
      </w:r>
    </w:p>
    <w:p>
      <w:pPr>
        <w:pStyle w:val="20"/>
        <w:spacing w:after="120" w:line="360" w:lineRule="auto"/>
        <w:ind w:firstLine="480" w:firstLineChars="200"/>
        <w:rPr>
          <w:rFonts w:ascii="宋体" w:hAnsi="宋体" w:cs="宋体"/>
          <w:b/>
          <w:bCs/>
          <w:sz w:val="24"/>
        </w:rPr>
      </w:pPr>
      <w:r>
        <w:rPr>
          <w:rFonts w:hint="eastAsia" w:ascii="宋体" w:hAnsi="宋体" w:cs="宋体"/>
          <w:sz w:val="24"/>
        </w:rPr>
        <w:t>（二）其他服务</w:t>
      </w:r>
      <w:r>
        <w:rPr>
          <w:rFonts w:ascii="宋体" w:hAnsi="宋体" w:cs="宋体"/>
          <w:b/>
          <w:bCs/>
          <w:sz w:val="24"/>
        </w:rPr>
        <w:tab/>
      </w:r>
    </w:p>
    <w:p>
      <w:pPr>
        <w:pStyle w:val="255"/>
        <w:numPr>
          <w:ilvl w:val="0"/>
          <w:numId w:val="10"/>
        </w:numPr>
        <w:snapToGrid w:val="0"/>
        <w:ind w:firstLineChars="0"/>
        <w:rPr>
          <w:rFonts w:ascii="宋体" w:hAnsi="宋体" w:eastAsia="宋体" w:cs="宋体"/>
        </w:rPr>
      </w:pPr>
      <w:r>
        <w:rPr>
          <w:rFonts w:hint="eastAsia" w:ascii="宋体" w:hAnsi="宋体" w:eastAsia="宋体" w:cs="宋体"/>
        </w:rPr>
        <w:t>软件系统的相关补丁升级和维护工作：</w:t>
      </w:r>
    </w:p>
    <w:p>
      <w:pPr>
        <w:pStyle w:val="255"/>
        <w:numPr>
          <w:ilvl w:val="0"/>
          <w:numId w:val="10"/>
        </w:numPr>
        <w:snapToGrid w:val="0"/>
        <w:ind w:firstLineChars="0"/>
        <w:rPr>
          <w:rFonts w:ascii="宋体" w:hAnsi="宋体" w:eastAsia="宋体" w:cs="宋体"/>
        </w:rPr>
      </w:pPr>
      <w:r>
        <w:rPr>
          <w:rFonts w:hint="eastAsia" w:ascii="宋体" w:hAnsi="宋体" w:eastAsia="宋体" w:cs="宋体"/>
        </w:rPr>
        <w:t>提供一年不少于四次的系统巡检服务和系统维护。每周对数据备份服务进行查看，确保数据安全。每月对数据库服务器、应用服务器进行巡检，查看并记录CPU、内存、磁盘、网络指标是否正常，每季度出具巡检报告；遇国家重要节假日（春节、国庆等）的须进行特别巡检，并出具系统巡检报告。</w:t>
      </w:r>
    </w:p>
    <w:p>
      <w:pPr>
        <w:pStyle w:val="255"/>
        <w:numPr>
          <w:ilvl w:val="0"/>
          <w:numId w:val="10"/>
        </w:numPr>
        <w:snapToGrid w:val="0"/>
        <w:ind w:firstLineChars="0"/>
        <w:rPr>
          <w:rFonts w:ascii="宋体" w:hAnsi="宋体" w:eastAsia="宋体" w:cs="宋体"/>
        </w:rPr>
      </w:pPr>
      <w:r>
        <w:rPr>
          <w:rFonts w:hint="eastAsia" w:ascii="宋体" w:hAnsi="宋体" w:eastAsia="宋体" w:cs="宋体"/>
        </w:rPr>
        <w:t>根据要求，提供对应的软件系统操作培训。</w:t>
      </w:r>
    </w:p>
    <w:p>
      <w:pPr>
        <w:pStyle w:val="20"/>
        <w:spacing w:after="120" w:line="360" w:lineRule="auto"/>
        <w:ind w:firstLine="480" w:firstLineChars="200"/>
        <w:rPr>
          <w:rFonts w:ascii="宋体" w:hAnsi="宋体" w:cs="宋体"/>
          <w:sz w:val="24"/>
        </w:rPr>
      </w:pPr>
      <w:r>
        <w:rPr>
          <w:rFonts w:hint="eastAsia" w:ascii="宋体" w:hAnsi="宋体" w:cs="宋体"/>
          <w:sz w:val="24"/>
        </w:rPr>
        <w:t>（三）维护期服务和备份方案</w:t>
      </w:r>
    </w:p>
    <w:p>
      <w:pPr>
        <w:snapToGrid w:val="0"/>
        <w:spacing w:line="360" w:lineRule="auto"/>
        <w:ind w:firstLine="480"/>
        <w:rPr>
          <w:rFonts w:ascii="宋体" w:hAnsi="宋体" w:cs="宋体"/>
          <w:sz w:val="24"/>
        </w:rPr>
      </w:pPr>
      <w:r>
        <w:rPr>
          <w:rFonts w:hint="eastAsia" w:ascii="宋体" w:hAnsi="宋体" w:cs="宋体"/>
          <w:sz w:val="24"/>
        </w:rPr>
        <w:t xml:space="preserve">由于医疗业务的特殊性，任何人为或自然因素所导致的系统或数据库中断，都会造成医院巨大的经济和名誉损伤及严重的后果。为了避免一些突发的意外情况造成对业务系统中断或者破坏，系统应该有快速灾难恢复的能力，同时，下面的数据库也不应该因上述故障导致本地数据丢失。可见，在某些不可抗拒的意外事件发生时，如何避免数据丢失，如何正常为用户提供服务，也是系统建设中一个必不可少的方面。  建立一个覆盖各中心全部操作平台的应用及数据库备份系统，实现在医院内部。备份的管理采用集中备份管理的方式，尽可能提高各主机数据的安全性和可管理性。 </w:t>
      </w:r>
    </w:p>
    <w:p>
      <w:pPr>
        <w:pStyle w:val="255"/>
        <w:numPr>
          <w:ilvl w:val="0"/>
          <w:numId w:val="11"/>
        </w:numPr>
        <w:snapToGrid w:val="0"/>
        <w:ind w:firstLineChars="0"/>
        <w:rPr>
          <w:rFonts w:ascii="宋体" w:hAnsi="宋体" w:eastAsia="宋体" w:cs="宋体"/>
        </w:rPr>
      </w:pPr>
      <w:r>
        <w:rPr>
          <w:rFonts w:hint="eastAsia" w:ascii="宋体" w:hAnsi="宋体" w:eastAsia="宋体" w:cs="宋体"/>
        </w:rPr>
        <w:t>备份内容应包括</w:t>
      </w:r>
    </w:p>
    <w:p>
      <w:pPr>
        <w:snapToGrid w:val="0"/>
        <w:spacing w:line="360" w:lineRule="auto"/>
        <w:ind w:firstLine="480"/>
        <w:rPr>
          <w:rFonts w:ascii="宋体" w:hAnsi="宋体" w:cs="宋体"/>
          <w:sz w:val="24"/>
        </w:rPr>
      </w:pPr>
      <w:r>
        <w:rPr>
          <w:rFonts w:hint="eastAsia" w:ascii="宋体" w:hAnsi="宋体" w:cs="宋体"/>
          <w:sz w:val="24"/>
        </w:rPr>
        <w:t xml:space="preserve"> ⑴应用数据库备份</w:t>
      </w:r>
    </w:p>
    <w:p>
      <w:pPr>
        <w:snapToGrid w:val="0"/>
        <w:spacing w:line="360" w:lineRule="auto"/>
        <w:ind w:firstLine="480"/>
        <w:rPr>
          <w:rFonts w:ascii="宋体" w:hAnsi="宋体" w:cs="宋体"/>
          <w:sz w:val="24"/>
        </w:rPr>
      </w:pPr>
      <w:r>
        <w:rPr>
          <w:rFonts w:hint="eastAsia" w:ascii="宋体" w:hAnsi="宋体" w:cs="宋体"/>
          <w:sz w:val="24"/>
        </w:rPr>
        <w:t xml:space="preserve"> ⑵应用程序备份</w:t>
      </w:r>
    </w:p>
    <w:p>
      <w:pPr>
        <w:pStyle w:val="255"/>
        <w:numPr>
          <w:ilvl w:val="0"/>
          <w:numId w:val="11"/>
        </w:numPr>
        <w:snapToGrid w:val="0"/>
        <w:ind w:firstLineChars="0"/>
        <w:rPr>
          <w:rFonts w:ascii="宋体" w:hAnsi="宋体" w:eastAsia="宋体" w:cs="宋体"/>
        </w:rPr>
      </w:pPr>
      <w:r>
        <w:rPr>
          <w:rFonts w:hint="eastAsia" w:ascii="宋体" w:hAnsi="宋体" w:eastAsia="宋体" w:cs="宋体"/>
        </w:rPr>
        <w:t xml:space="preserve">主要采用备份方案 </w:t>
      </w:r>
    </w:p>
    <w:p>
      <w:pPr>
        <w:snapToGrid w:val="0"/>
        <w:spacing w:line="360" w:lineRule="auto"/>
        <w:ind w:firstLine="480"/>
        <w:rPr>
          <w:rFonts w:ascii="宋体" w:hAnsi="宋体" w:cs="宋体"/>
          <w:sz w:val="24"/>
        </w:rPr>
      </w:pPr>
      <w:r>
        <w:rPr>
          <w:rFonts w:hint="eastAsia" w:ascii="宋体" w:hAnsi="宋体" w:cs="宋体"/>
          <w:sz w:val="24"/>
        </w:rPr>
        <w:t>⑴冷备份：针对应用程序包等一些不变更数据采用冷备份技术，方便数据损毁后的及时恢复。</w:t>
      </w:r>
    </w:p>
    <w:p>
      <w:pPr>
        <w:snapToGrid w:val="0"/>
        <w:spacing w:line="360" w:lineRule="auto"/>
        <w:ind w:firstLine="480"/>
        <w:rPr>
          <w:rFonts w:ascii="宋体" w:hAnsi="宋体" w:cs="宋体"/>
          <w:sz w:val="24"/>
        </w:rPr>
      </w:pPr>
      <w:r>
        <w:rPr>
          <w:rFonts w:hint="eastAsia" w:ascii="宋体" w:hAnsi="宋体" w:cs="宋体"/>
          <w:sz w:val="24"/>
        </w:rPr>
        <w:t xml:space="preserve">⑵热备份：将一些经常变更数据，比如数据库进行数据导出备份，最大限度地保证业务系统工作的连续性、可恢复性。 </w:t>
      </w:r>
    </w:p>
    <w:p>
      <w:pPr>
        <w:snapToGrid w:val="0"/>
        <w:spacing w:line="360" w:lineRule="auto"/>
        <w:ind w:firstLine="480"/>
        <w:rPr>
          <w:rFonts w:ascii="宋体" w:hAnsi="宋体" w:cs="宋体"/>
          <w:sz w:val="24"/>
        </w:rPr>
      </w:pPr>
      <w:r>
        <w:rPr>
          <w:rFonts w:hint="eastAsia" w:ascii="宋体" w:hAnsi="宋体" w:cs="宋体"/>
          <w:sz w:val="24"/>
        </w:rPr>
        <w:t>(3)数据备份按要求分为本地和异机备份。多处备份避免人为误操作、硬盘损坏、病毒及黑客造成关键数据的永久丢失，保证数据的可用性、一致性和完整性。</w:t>
      </w:r>
    </w:p>
    <w:p>
      <w:pPr>
        <w:snapToGrid w:val="0"/>
        <w:spacing w:line="360" w:lineRule="auto"/>
        <w:ind w:firstLine="480"/>
        <w:rPr>
          <w:rFonts w:ascii="宋体" w:hAnsi="宋体" w:cs="宋体"/>
          <w:sz w:val="24"/>
        </w:rPr>
      </w:pPr>
      <w:r>
        <w:rPr>
          <w:rFonts w:hint="eastAsia" w:ascii="宋体" w:hAnsi="宋体" w:cs="宋体"/>
          <w:sz w:val="24"/>
        </w:rPr>
        <w:t xml:space="preserve">·定时自动备份：通过定时的备份程序操作，将IT系统管理从繁重、单调的备份操作中解脱出来，从事更有价值的工作，从而也避免人为的误操作而导致的备份数据的丢失；  </w:t>
      </w:r>
    </w:p>
    <w:p>
      <w:pPr>
        <w:snapToGrid w:val="0"/>
        <w:spacing w:line="360" w:lineRule="auto"/>
        <w:ind w:firstLine="480"/>
        <w:rPr>
          <w:rFonts w:ascii="宋体" w:hAnsi="宋体" w:cs="宋体"/>
          <w:sz w:val="24"/>
        </w:rPr>
      </w:pPr>
      <w:r>
        <w:rPr>
          <w:rFonts w:hint="eastAsia" w:ascii="宋体" w:hAnsi="宋体" w:cs="宋体"/>
          <w:sz w:val="24"/>
        </w:rPr>
        <w:t>·通过数据库的代理程序，实现对数据库的在线备份；</w:t>
      </w:r>
    </w:p>
    <w:p>
      <w:pPr>
        <w:pStyle w:val="20"/>
        <w:spacing w:after="120" w:line="360" w:lineRule="auto"/>
        <w:ind w:firstLine="480" w:firstLineChars="200"/>
        <w:rPr>
          <w:rFonts w:ascii="宋体" w:hAnsi="宋体" w:cs="宋体"/>
          <w:sz w:val="24"/>
        </w:rPr>
      </w:pPr>
      <w:r>
        <w:rPr>
          <w:rFonts w:hint="eastAsia" w:ascii="宋体" w:hAnsi="宋体" w:cs="宋体"/>
          <w:sz w:val="24"/>
        </w:rPr>
        <w:t>·通过客户端的代理程序，能将其他平台上的数据拉到备份服务器上，实现跨平台的数据备份，所支持的平台包括了目前所有的驻留操作系统。</w:t>
      </w:r>
    </w:p>
    <w:p>
      <w:pPr>
        <w:pStyle w:val="20"/>
        <w:spacing w:after="120" w:line="360" w:lineRule="auto"/>
        <w:ind w:firstLine="480" w:firstLineChars="200"/>
        <w:rPr>
          <w:rFonts w:ascii="宋体" w:hAnsi="宋体" w:cs="宋体"/>
          <w:sz w:val="24"/>
        </w:rPr>
      </w:pPr>
      <w:r>
        <w:rPr>
          <w:rFonts w:hint="eastAsia" w:ascii="宋体" w:hAnsi="宋体" w:cs="宋体"/>
          <w:sz w:val="24"/>
        </w:rPr>
        <w:t>（四）售后服务方案</w:t>
      </w:r>
    </w:p>
    <w:p>
      <w:pPr>
        <w:adjustRightInd/>
        <w:snapToGrid w:val="0"/>
        <w:spacing w:line="360" w:lineRule="auto"/>
        <w:ind w:left="630" w:firstLine="200"/>
        <w:rPr>
          <w:rFonts w:ascii="宋体" w:hAnsi="宋体" w:cs="宋体"/>
          <w:sz w:val="24"/>
        </w:rPr>
      </w:pPr>
      <w:bookmarkStart w:id="33" w:name="_Toc43455540"/>
      <w:bookmarkStart w:id="34" w:name="_Toc32489"/>
      <w:bookmarkStart w:id="35" w:name="_Toc1867"/>
      <w:bookmarkStart w:id="36" w:name="_Toc9158"/>
      <w:bookmarkStart w:id="37" w:name="_Toc3213"/>
      <w:bookmarkStart w:id="38" w:name="_Toc43455416"/>
      <w:r>
        <w:rPr>
          <w:rFonts w:hint="eastAsia" w:ascii="宋体" w:hAnsi="宋体" w:cs="宋体"/>
          <w:sz w:val="24"/>
        </w:rPr>
        <w:t>1、电话支持</w:t>
      </w:r>
      <w:bookmarkEnd w:id="33"/>
      <w:bookmarkEnd w:id="34"/>
      <w:bookmarkEnd w:id="35"/>
      <w:bookmarkEnd w:id="36"/>
      <w:bookmarkEnd w:id="37"/>
      <w:bookmarkEnd w:id="38"/>
    </w:p>
    <w:p>
      <w:pPr>
        <w:snapToGrid w:val="0"/>
        <w:spacing w:line="360" w:lineRule="auto"/>
        <w:ind w:firstLine="480"/>
        <w:rPr>
          <w:rFonts w:ascii="宋体" w:hAnsi="宋体" w:cs="宋体"/>
          <w:sz w:val="24"/>
        </w:rPr>
      </w:pPr>
      <w:r>
        <w:rPr>
          <w:rFonts w:hint="eastAsia" w:ascii="宋体" w:hAnsi="宋体" w:cs="宋体"/>
          <w:sz w:val="24"/>
        </w:rPr>
        <w:t>电话支持主要是在使用产品时遇到疑难或者软件出现不正常状态，通过电话、传真、电子邮件寻求技术支持和帮助，公司在确认用户的服务请求后，将安排技术服务专员在规定的响应时间通过电话或远程MODEM帮助用户进行故障定位，并提出解决方案，最终指导或帮助用户排除软件故障。</w:t>
      </w:r>
    </w:p>
    <w:p>
      <w:pPr>
        <w:snapToGrid w:val="0"/>
        <w:spacing w:line="360" w:lineRule="auto"/>
        <w:ind w:firstLine="480"/>
        <w:rPr>
          <w:rFonts w:ascii="宋体" w:hAnsi="宋体" w:cs="仿宋"/>
          <w:sz w:val="24"/>
        </w:rPr>
      </w:pPr>
      <w:r>
        <w:rPr>
          <w:rFonts w:hint="eastAsia" w:ascii="宋体" w:hAnsi="宋体" w:cs="宋体"/>
          <w:sz w:val="24"/>
        </w:rPr>
        <w:t>用户在维护软件的过程中，软件系统出现技术故障的时候，应对故障现象进行仔细认真的调查与记录，然后通过服务热线、传真、电子邮件或FTP服务网络向客户服务中心提供软件故障的详细情况，服务请求时间，联系人、联系人电话等；</w:t>
      </w:r>
    </w:p>
    <w:p>
      <w:pPr>
        <w:adjustRightInd/>
        <w:snapToGrid w:val="0"/>
        <w:spacing w:line="360" w:lineRule="auto"/>
        <w:ind w:left="630"/>
        <w:rPr>
          <w:rFonts w:ascii="宋体" w:hAnsi="宋体" w:cs="宋体"/>
          <w:sz w:val="24"/>
        </w:rPr>
      </w:pPr>
      <w:bookmarkStart w:id="39" w:name="_Toc4983"/>
      <w:bookmarkStart w:id="40" w:name="_Toc1228"/>
      <w:bookmarkStart w:id="41" w:name="_Toc2749"/>
      <w:bookmarkStart w:id="42" w:name="_Toc43455541"/>
      <w:bookmarkStart w:id="43" w:name="_Toc12662"/>
      <w:bookmarkStart w:id="44" w:name="_Toc43455417"/>
      <w:r>
        <w:rPr>
          <w:rFonts w:hint="eastAsia" w:ascii="宋体" w:hAnsi="宋体" w:cs="宋体"/>
          <w:sz w:val="24"/>
        </w:rPr>
        <w:t>2、远程维护</w:t>
      </w:r>
      <w:bookmarkEnd w:id="39"/>
      <w:bookmarkEnd w:id="40"/>
      <w:bookmarkEnd w:id="41"/>
      <w:bookmarkEnd w:id="42"/>
      <w:bookmarkEnd w:id="43"/>
      <w:bookmarkEnd w:id="44"/>
    </w:p>
    <w:p>
      <w:pPr>
        <w:snapToGrid w:val="0"/>
        <w:spacing w:line="360" w:lineRule="auto"/>
        <w:ind w:firstLine="480"/>
        <w:rPr>
          <w:rFonts w:ascii="宋体" w:hAnsi="宋体" w:cs="宋体"/>
          <w:sz w:val="24"/>
        </w:rPr>
      </w:pPr>
      <w:r>
        <w:rPr>
          <w:rFonts w:hint="eastAsia" w:ascii="宋体" w:hAnsi="宋体" w:cs="宋体"/>
          <w:sz w:val="24"/>
        </w:rPr>
        <w:t>远程维护是指用户在使用软件时遇到疑难或软件不正常的情况下，公司请求服务支持，公司在确认用户的请求后，若需要连接客户端进行详细检查，公司的客户服务专员在征得用户的同意后，通过调制解调器进行电话拨入过程分析，以快速直接地面对软件运行中出现的故障问题，并对其进行诊断，给出解决方案，最终帮助用户排除软件运行出现的故障。</w:t>
      </w:r>
    </w:p>
    <w:p>
      <w:pPr>
        <w:snapToGrid w:val="0"/>
        <w:spacing w:line="360" w:lineRule="auto"/>
        <w:ind w:firstLine="480"/>
        <w:rPr>
          <w:rFonts w:ascii="宋体" w:hAnsi="宋体" w:cs="宋体"/>
          <w:sz w:val="24"/>
        </w:rPr>
      </w:pPr>
      <w:r>
        <w:rPr>
          <w:rFonts w:hint="eastAsia" w:ascii="宋体" w:hAnsi="宋体" w:cs="宋体"/>
          <w:sz w:val="24"/>
        </w:rPr>
        <w:t>原则上客户服务专员远程登录进行故障诊断时，只可以查看数据，寻找故障原因，需要对数据进行修改时，需经得用户的同意。对于由于排除故障的需要暂时中断软件系统，应事先向客户提出申请。</w:t>
      </w:r>
    </w:p>
    <w:p>
      <w:pPr>
        <w:snapToGrid w:val="0"/>
        <w:spacing w:line="360" w:lineRule="auto"/>
        <w:ind w:firstLine="480"/>
        <w:rPr>
          <w:rFonts w:ascii="宋体" w:hAnsi="宋体" w:cs="宋体"/>
          <w:sz w:val="24"/>
        </w:rPr>
      </w:pPr>
      <w:r>
        <w:rPr>
          <w:rFonts w:hint="eastAsia" w:ascii="宋体" w:hAnsi="宋体" w:cs="宋体"/>
          <w:sz w:val="24"/>
        </w:rPr>
        <w:t>由于客户服务专员在诊断中需要客户提供必要的配合和协调以及最后的需求反馈的确认工作，客户拨号接入远程维护专线后，客户必须在客户终端现场。</w:t>
      </w:r>
    </w:p>
    <w:p>
      <w:pPr>
        <w:snapToGrid w:val="0"/>
        <w:spacing w:line="360" w:lineRule="auto"/>
        <w:ind w:firstLine="480"/>
        <w:rPr>
          <w:rFonts w:ascii="宋体" w:hAnsi="宋体" w:cs="宋体"/>
          <w:sz w:val="24"/>
        </w:rPr>
      </w:pPr>
      <w:r>
        <w:rPr>
          <w:rFonts w:hint="eastAsia" w:ascii="宋体" w:hAnsi="宋体" w:cs="宋体"/>
          <w:sz w:val="24"/>
        </w:rPr>
        <w:t>客户应及时提出客户服务专员提供的解决方案的有效性，以便为您提供更有效的技术支持。</w:t>
      </w:r>
    </w:p>
    <w:p>
      <w:pPr>
        <w:adjustRightInd/>
        <w:snapToGrid w:val="0"/>
        <w:spacing w:line="360" w:lineRule="auto"/>
        <w:ind w:left="630"/>
        <w:rPr>
          <w:rFonts w:ascii="宋体" w:hAnsi="宋体" w:cs="宋体"/>
          <w:sz w:val="24"/>
        </w:rPr>
      </w:pPr>
      <w:bookmarkStart w:id="45" w:name="_Toc11392"/>
      <w:bookmarkStart w:id="46" w:name="_Toc43455542"/>
      <w:bookmarkStart w:id="47" w:name="_Toc43455418"/>
      <w:bookmarkStart w:id="48" w:name="_Toc15557"/>
      <w:bookmarkStart w:id="49" w:name="_Toc3771"/>
      <w:bookmarkStart w:id="50" w:name="_Toc4974"/>
      <w:r>
        <w:rPr>
          <w:rFonts w:hint="eastAsia" w:ascii="宋体" w:hAnsi="宋体" w:cs="宋体"/>
          <w:sz w:val="24"/>
        </w:rPr>
        <w:t>3、技术支持服务</w:t>
      </w:r>
      <w:bookmarkEnd w:id="45"/>
      <w:bookmarkEnd w:id="46"/>
      <w:bookmarkEnd w:id="47"/>
      <w:bookmarkEnd w:id="48"/>
      <w:bookmarkEnd w:id="49"/>
      <w:bookmarkEnd w:id="50"/>
    </w:p>
    <w:p>
      <w:pPr>
        <w:snapToGrid w:val="0"/>
        <w:spacing w:line="360" w:lineRule="auto"/>
        <w:ind w:firstLine="480"/>
        <w:rPr>
          <w:rFonts w:ascii="宋体" w:hAnsi="宋体" w:cs="宋体"/>
          <w:sz w:val="24"/>
        </w:rPr>
      </w:pPr>
      <w:r>
        <w:rPr>
          <w:rFonts w:hint="eastAsia" w:ascii="宋体" w:hAnsi="宋体" w:cs="宋体"/>
          <w:sz w:val="24"/>
        </w:rPr>
        <w:t>技术团队提供5*8小时技术支撑服务。服务方应按照用户要求成立服务项目组，并指定专人进行日常主要的信息系统运维服务，供应商应提供技术团队支持。技术团队人员需要具备有实施经验，熟悉医疗业务，能处理常见问题，并有较强的沟通能力。</w:t>
      </w:r>
    </w:p>
    <w:p>
      <w:pPr>
        <w:snapToGrid w:val="0"/>
        <w:spacing w:line="360" w:lineRule="auto"/>
        <w:ind w:firstLine="480"/>
        <w:rPr>
          <w:rFonts w:ascii="宋体" w:hAnsi="宋体" w:cs="宋体"/>
          <w:sz w:val="24"/>
        </w:rPr>
      </w:pPr>
      <w:r>
        <w:rPr>
          <w:rFonts w:hint="eastAsia" w:ascii="宋体" w:hAnsi="宋体" w:cs="宋体"/>
          <w:sz w:val="24"/>
        </w:rPr>
        <w:t>用户在使用软件时遇到疑难或者软件出现不正常状态，通过电话、传真、E-mail或FTP服务网络寻求技术支持和帮助，公司在确认用户的服务请求后，如果不能通过电话支持和远程维护解决软件的技术故障，在经过双方商议确定需要进行现场故障排除的情况下，将派客户服务专员赴现场分析故障原因，制定故障排除方案，并最终排除故障。</w:t>
      </w:r>
    </w:p>
    <w:p>
      <w:pPr>
        <w:snapToGrid w:val="0"/>
        <w:spacing w:line="360" w:lineRule="auto"/>
        <w:ind w:firstLine="480"/>
        <w:rPr>
          <w:rFonts w:ascii="宋体" w:hAnsi="宋体" w:cs="宋体"/>
          <w:sz w:val="24"/>
        </w:rPr>
      </w:pPr>
      <w:r>
        <w:rPr>
          <w:rFonts w:hint="eastAsia" w:ascii="宋体" w:hAnsi="宋体" w:cs="宋体"/>
          <w:sz w:val="24"/>
        </w:rPr>
        <w:t>提供的技术方案经过用户的批准后，由用户的技术人员具体实施，或者在用户的允许下，由客户服务专员进行具体实施。</w:t>
      </w:r>
    </w:p>
    <w:p>
      <w:pPr>
        <w:snapToGrid w:val="0"/>
        <w:spacing w:line="360" w:lineRule="auto"/>
        <w:ind w:firstLine="480"/>
        <w:rPr>
          <w:rFonts w:ascii="宋体" w:hAnsi="宋体" w:cs="宋体"/>
          <w:sz w:val="24"/>
        </w:rPr>
      </w:pPr>
      <w:r>
        <w:rPr>
          <w:rFonts w:hint="eastAsia" w:ascii="宋体" w:hAnsi="宋体" w:cs="宋体"/>
          <w:sz w:val="24"/>
        </w:rPr>
        <w:t>对于现场服务由于排除故障需要暂时中断软件系统，客户服务专员应该向客户提出申请。</w:t>
      </w:r>
    </w:p>
    <w:p>
      <w:pPr>
        <w:snapToGrid w:val="0"/>
        <w:spacing w:line="360" w:lineRule="auto"/>
        <w:ind w:firstLine="480"/>
        <w:rPr>
          <w:rFonts w:ascii="宋体" w:hAnsi="宋体" w:cs="宋体"/>
          <w:sz w:val="24"/>
        </w:rPr>
      </w:pPr>
      <w:r>
        <w:rPr>
          <w:rFonts w:hint="eastAsia" w:ascii="宋体" w:hAnsi="宋体" w:cs="宋体"/>
          <w:sz w:val="24"/>
        </w:rPr>
        <w:t>现场故障排除，软件正常运行后，客户服务专员应向用户提交一份故障解决的书面分析报告。</w:t>
      </w:r>
    </w:p>
    <w:p>
      <w:pPr>
        <w:snapToGrid w:val="0"/>
        <w:spacing w:line="360" w:lineRule="auto"/>
        <w:ind w:firstLine="480"/>
        <w:rPr>
          <w:rFonts w:ascii="宋体" w:hAnsi="宋体" w:cs="宋体"/>
          <w:sz w:val="24"/>
        </w:rPr>
      </w:pPr>
      <w:r>
        <w:rPr>
          <w:rFonts w:hint="eastAsia" w:ascii="宋体" w:hAnsi="宋体" w:cs="宋体"/>
          <w:sz w:val="24"/>
        </w:rPr>
        <w:t>对于不同级别的软件故障，服务响应时间及具体描述见下表（服务响应时间指：从公司确认用户服务请求到开始下一步操作的时间。下一步操作可能为：指导用户排除软件故障，更改软件排除故障或承诺在某一时间内到用户现场排除故障）。</w:t>
      </w:r>
    </w:p>
    <w:tbl>
      <w:tblPr>
        <w:tblStyle w:val="62"/>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8"/>
        <w:gridCol w:w="2174"/>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4838" w:type="dxa"/>
            <w:tcBorders>
              <w:top w:val="single" w:color="auto" w:sz="4" w:space="0"/>
              <w:left w:val="single" w:color="auto" w:sz="4" w:space="0"/>
              <w:bottom w:val="single" w:color="auto" w:sz="4" w:space="0"/>
              <w:right w:val="single" w:color="auto" w:sz="4" w:space="0"/>
            </w:tcBorders>
            <w:shd w:val="clear" w:color="auto" w:fill="99CCFF"/>
            <w:vAlign w:val="center"/>
          </w:tcPr>
          <w:p>
            <w:pPr>
              <w:spacing w:line="360" w:lineRule="auto"/>
              <w:jc w:val="center"/>
              <w:rPr>
                <w:rFonts w:ascii="宋体" w:hAnsi="宋体" w:cs="仿宋"/>
                <w:b/>
                <w:bCs/>
                <w:sz w:val="24"/>
              </w:rPr>
            </w:pPr>
            <w:r>
              <w:rPr>
                <w:rFonts w:hint="eastAsia" w:ascii="宋体" w:hAnsi="宋体" w:cs="仿宋"/>
                <w:b/>
                <w:bCs/>
                <w:sz w:val="24"/>
              </w:rPr>
              <w:t>故障级别</w:t>
            </w:r>
          </w:p>
        </w:tc>
        <w:tc>
          <w:tcPr>
            <w:tcW w:w="2174" w:type="dxa"/>
            <w:tcBorders>
              <w:top w:val="single" w:color="auto" w:sz="4" w:space="0"/>
              <w:left w:val="nil"/>
              <w:bottom w:val="single" w:color="auto" w:sz="4" w:space="0"/>
              <w:right w:val="single" w:color="auto" w:sz="4" w:space="0"/>
            </w:tcBorders>
            <w:shd w:val="clear" w:color="auto" w:fill="99CCFF"/>
            <w:vAlign w:val="center"/>
          </w:tcPr>
          <w:p>
            <w:pPr>
              <w:spacing w:line="360" w:lineRule="auto"/>
              <w:jc w:val="center"/>
              <w:rPr>
                <w:rFonts w:ascii="宋体" w:hAnsi="宋体" w:cs="仿宋"/>
                <w:b/>
                <w:bCs/>
                <w:sz w:val="24"/>
              </w:rPr>
            </w:pPr>
            <w:r>
              <w:rPr>
                <w:rFonts w:hint="eastAsia" w:ascii="宋体" w:hAnsi="宋体" w:cs="仿宋"/>
                <w:b/>
                <w:bCs/>
                <w:sz w:val="24"/>
              </w:rPr>
              <w:t>响应时间</w:t>
            </w:r>
          </w:p>
        </w:tc>
        <w:tc>
          <w:tcPr>
            <w:tcW w:w="1623" w:type="dxa"/>
            <w:tcBorders>
              <w:top w:val="single" w:color="auto" w:sz="4" w:space="0"/>
              <w:left w:val="nil"/>
              <w:bottom w:val="single" w:color="auto" w:sz="4" w:space="0"/>
              <w:right w:val="single" w:color="auto" w:sz="4" w:space="0"/>
            </w:tcBorders>
            <w:shd w:val="clear" w:color="auto" w:fill="99CCFF"/>
            <w:vAlign w:val="center"/>
          </w:tcPr>
          <w:p>
            <w:pPr>
              <w:spacing w:line="360" w:lineRule="auto"/>
              <w:jc w:val="center"/>
              <w:rPr>
                <w:rFonts w:ascii="宋体" w:hAnsi="宋体" w:cs="仿宋"/>
                <w:b/>
                <w:bCs/>
                <w:sz w:val="24"/>
              </w:rPr>
            </w:pPr>
            <w:r>
              <w:rPr>
                <w:rFonts w:hint="eastAsia" w:ascii="宋体" w:hAnsi="宋体" w:cs="仿宋"/>
                <w:b/>
                <w:bCs/>
                <w:sz w:val="24"/>
              </w:rPr>
              <w:t>解决时间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
                <w:sz w:val="24"/>
              </w:rPr>
            </w:pPr>
            <w:r>
              <w:rPr>
                <w:rFonts w:hint="eastAsia" w:ascii="宋体" w:hAnsi="宋体" w:cs="仿宋"/>
                <w:b/>
                <w:bCs/>
                <w:sz w:val="24"/>
              </w:rPr>
              <w:fldChar w:fldCharType="begin"/>
            </w:r>
            <w:r>
              <w:rPr>
                <w:rFonts w:hint="eastAsia" w:ascii="宋体" w:hAnsi="宋体" w:cs="仿宋"/>
                <w:b/>
                <w:bCs/>
                <w:sz w:val="24"/>
              </w:rPr>
              <w:instrText xml:space="preserve"> = 1 \* ROMAN \* MERGEFORMAT </w:instrText>
            </w:r>
            <w:r>
              <w:rPr>
                <w:rFonts w:hint="eastAsia" w:ascii="宋体" w:hAnsi="宋体" w:cs="仿宋"/>
                <w:b/>
                <w:bCs/>
                <w:sz w:val="24"/>
              </w:rPr>
              <w:fldChar w:fldCharType="separate"/>
            </w:r>
            <w:r>
              <w:rPr>
                <w:rFonts w:ascii="宋体" w:hAnsi="宋体"/>
                <w:b/>
                <w:bCs/>
                <w:sz w:val="24"/>
              </w:rPr>
              <w:t>I</w:t>
            </w:r>
            <w:r>
              <w:rPr>
                <w:rFonts w:hint="eastAsia" w:ascii="宋体" w:hAnsi="宋体" w:cs="仿宋"/>
                <w:b/>
                <w:bCs/>
                <w:sz w:val="24"/>
              </w:rPr>
              <w:fldChar w:fldCharType="end"/>
            </w:r>
            <w:r>
              <w:rPr>
                <w:rFonts w:hint="eastAsia" w:ascii="宋体" w:hAnsi="宋体" w:cs="仿宋"/>
                <w:b/>
                <w:bCs/>
                <w:sz w:val="24"/>
              </w:rPr>
              <w:t>级：</w:t>
            </w:r>
            <w:r>
              <w:rPr>
                <w:rFonts w:hint="eastAsia" w:ascii="宋体" w:hAnsi="宋体" w:cs="仿宋"/>
                <w:sz w:val="24"/>
              </w:rPr>
              <w:t>属于紧急问题；具体描述：系统崩溃导致业务停止、数据丢失</w:t>
            </w:r>
          </w:p>
        </w:tc>
        <w:tc>
          <w:tcPr>
            <w:tcW w:w="2174"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
                <w:sz w:val="24"/>
              </w:rPr>
            </w:pPr>
            <w:r>
              <w:rPr>
                <w:rFonts w:hint="eastAsia" w:ascii="宋体" w:hAnsi="宋体" w:cs="仿宋"/>
                <w:sz w:val="24"/>
              </w:rPr>
              <w:t>10分钟~30分钟内提交故障处理方案</w:t>
            </w:r>
          </w:p>
        </w:tc>
        <w:tc>
          <w:tcPr>
            <w:tcW w:w="1623"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
                <w:sz w:val="24"/>
              </w:rPr>
            </w:pPr>
            <w:r>
              <w:rPr>
                <w:rFonts w:hint="eastAsia" w:ascii="宋体" w:hAnsi="宋体" w:cs="仿宋"/>
                <w:sz w:val="24"/>
              </w:rPr>
              <w:t>3小时以内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
                <w:sz w:val="24"/>
              </w:rPr>
            </w:pPr>
            <w:r>
              <w:rPr>
                <w:rFonts w:hint="eastAsia" w:ascii="宋体" w:hAnsi="宋体" w:cs="仿宋"/>
                <w:b/>
                <w:bCs/>
                <w:sz w:val="24"/>
              </w:rPr>
              <w:fldChar w:fldCharType="begin"/>
            </w:r>
            <w:r>
              <w:rPr>
                <w:rFonts w:hint="eastAsia" w:ascii="宋体" w:hAnsi="宋体" w:cs="仿宋"/>
                <w:b/>
                <w:bCs/>
                <w:sz w:val="24"/>
              </w:rPr>
              <w:instrText xml:space="preserve"> = 2 \* ROMAN \* MERGEFORMAT </w:instrText>
            </w:r>
            <w:r>
              <w:rPr>
                <w:rFonts w:hint="eastAsia" w:ascii="宋体" w:hAnsi="宋体" w:cs="仿宋"/>
                <w:b/>
                <w:bCs/>
                <w:sz w:val="24"/>
              </w:rPr>
              <w:fldChar w:fldCharType="separate"/>
            </w:r>
            <w:r>
              <w:rPr>
                <w:rFonts w:ascii="宋体" w:hAnsi="宋体"/>
                <w:b/>
                <w:bCs/>
                <w:sz w:val="24"/>
              </w:rPr>
              <w:t>II</w:t>
            </w:r>
            <w:r>
              <w:rPr>
                <w:rFonts w:hint="eastAsia" w:ascii="宋体" w:hAnsi="宋体" w:cs="仿宋"/>
                <w:b/>
                <w:bCs/>
                <w:sz w:val="24"/>
              </w:rPr>
              <w:fldChar w:fldCharType="end"/>
            </w:r>
            <w:r>
              <w:rPr>
                <w:rFonts w:hint="eastAsia" w:ascii="宋体" w:hAnsi="宋体" w:cs="仿宋"/>
                <w:b/>
                <w:bCs/>
                <w:sz w:val="24"/>
              </w:rPr>
              <w:t>级：</w:t>
            </w:r>
            <w:r>
              <w:rPr>
                <w:rFonts w:hint="eastAsia" w:ascii="宋体" w:hAnsi="宋体" w:cs="仿宋"/>
                <w:sz w:val="24"/>
              </w:rPr>
              <w:t>属于严重问题；具体描述：出现部分组件失效、系统性能下降但能正常运行，不影响正常业务运作。</w:t>
            </w:r>
          </w:p>
        </w:tc>
        <w:tc>
          <w:tcPr>
            <w:tcW w:w="2174"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
                <w:sz w:val="24"/>
              </w:rPr>
            </w:pPr>
            <w:r>
              <w:rPr>
                <w:rFonts w:hint="eastAsia" w:ascii="宋体" w:hAnsi="宋体" w:cs="仿宋"/>
                <w:sz w:val="24"/>
              </w:rPr>
              <w:t>10分钟~30分钟内提交故障处理方案</w:t>
            </w:r>
          </w:p>
        </w:tc>
        <w:tc>
          <w:tcPr>
            <w:tcW w:w="1623"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
                <w:sz w:val="24"/>
              </w:rPr>
            </w:pPr>
            <w:r>
              <w:rPr>
                <w:rFonts w:hint="eastAsia" w:ascii="宋体" w:hAnsi="宋体" w:cs="仿宋"/>
                <w:sz w:val="24"/>
              </w:rPr>
              <w:t>6小时以内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
                <w:sz w:val="24"/>
              </w:rPr>
            </w:pPr>
            <w:r>
              <w:rPr>
                <w:rFonts w:hint="eastAsia" w:ascii="宋体" w:hAnsi="宋体" w:cs="仿宋"/>
                <w:b/>
                <w:bCs/>
                <w:sz w:val="24"/>
              </w:rPr>
              <w:fldChar w:fldCharType="begin"/>
            </w:r>
            <w:r>
              <w:rPr>
                <w:rFonts w:hint="eastAsia" w:ascii="宋体" w:hAnsi="宋体" w:cs="仿宋"/>
                <w:b/>
                <w:bCs/>
                <w:sz w:val="24"/>
              </w:rPr>
              <w:instrText xml:space="preserve"> = 3 \* ROMAN \* MERGEFORMAT </w:instrText>
            </w:r>
            <w:r>
              <w:rPr>
                <w:rFonts w:hint="eastAsia" w:ascii="宋体" w:hAnsi="宋体" w:cs="仿宋"/>
                <w:b/>
                <w:bCs/>
                <w:sz w:val="24"/>
              </w:rPr>
              <w:fldChar w:fldCharType="separate"/>
            </w:r>
            <w:r>
              <w:rPr>
                <w:rFonts w:ascii="宋体" w:hAnsi="宋体"/>
                <w:b/>
                <w:bCs/>
                <w:sz w:val="24"/>
              </w:rPr>
              <w:t>III</w:t>
            </w:r>
            <w:r>
              <w:rPr>
                <w:rFonts w:hint="eastAsia" w:ascii="宋体" w:hAnsi="宋体" w:cs="仿宋"/>
                <w:b/>
                <w:bCs/>
                <w:sz w:val="24"/>
              </w:rPr>
              <w:fldChar w:fldCharType="end"/>
            </w:r>
            <w:r>
              <w:rPr>
                <w:rFonts w:hint="eastAsia" w:ascii="宋体" w:hAnsi="宋体" w:cs="仿宋"/>
                <w:b/>
                <w:bCs/>
                <w:sz w:val="24"/>
              </w:rPr>
              <w:t>级：</w:t>
            </w:r>
            <w:r>
              <w:rPr>
                <w:rFonts w:hint="eastAsia" w:ascii="宋体" w:hAnsi="宋体" w:cs="仿宋"/>
                <w:sz w:val="24"/>
              </w:rPr>
              <w:t>属于较严重问题；具体描述：出现系统报错或警告，但业务系统能继续运行且性能不受影响。</w:t>
            </w:r>
          </w:p>
        </w:tc>
        <w:tc>
          <w:tcPr>
            <w:tcW w:w="2174"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
                <w:sz w:val="24"/>
              </w:rPr>
            </w:pPr>
            <w:r>
              <w:rPr>
                <w:rFonts w:hint="eastAsia" w:ascii="宋体" w:hAnsi="宋体" w:cs="仿宋"/>
                <w:sz w:val="24"/>
              </w:rPr>
              <w:t>10分钟~30分钟内提交故障处理方案</w:t>
            </w:r>
          </w:p>
        </w:tc>
        <w:tc>
          <w:tcPr>
            <w:tcW w:w="1623"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
                <w:sz w:val="24"/>
              </w:rPr>
            </w:pPr>
            <w:r>
              <w:rPr>
                <w:rFonts w:hint="eastAsia" w:ascii="宋体" w:hAnsi="宋体" w:cs="仿宋"/>
                <w:sz w:val="24"/>
              </w:rPr>
              <w:t>12小时以内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
                <w:sz w:val="24"/>
              </w:rPr>
            </w:pPr>
            <w:r>
              <w:rPr>
                <w:rFonts w:hint="eastAsia" w:ascii="宋体" w:hAnsi="宋体" w:cs="仿宋"/>
                <w:b/>
                <w:bCs/>
                <w:sz w:val="24"/>
              </w:rPr>
              <w:fldChar w:fldCharType="begin"/>
            </w:r>
            <w:r>
              <w:rPr>
                <w:rFonts w:hint="eastAsia" w:ascii="宋体" w:hAnsi="宋体" w:cs="仿宋"/>
                <w:b/>
                <w:bCs/>
                <w:sz w:val="24"/>
              </w:rPr>
              <w:instrText xml:space="preserve"> = 4 \* ROMAN \* MERGEFORMAT </w:instrText>
            </w:r>
            <w:r>
              <w:rPr>
                <w:rFonts w:hint="eastAsia" w:ascii="宋体" w:hAnsi="宋体" w:cs="仿宋"/>
                <w:b/>
                <w:bCs/>
                <w:sz w:val="24"/>
              </w:rPr>
              <w:fldChar w:fldCharType="separate"/>
            </w:r>
            <w:r>
              <w:rPr>
                <w:rFonts w:ascii="宋体" w:hAnsi="宋体"/>
                <w:b/>
                <w:bCs/>
                <w:sz w:val="24"/>
              </w:rPr>
              <w:t>IV</w:t>
            </w:r>
            <w:r>
              <w:rPr>
                <w:rFonts w:hint="eastAsia" w:ascii="宋体" w:hAnsi="宋体" w:cs="仿宋"/>
                <w:b/>
                <w:bCs/>
                <w:sz w:val="24"/>
              </w:rPr>
              <w:fldChar w:fldCharType="end"/>
            </w:r>
            <w:r>
              <w:rPr>
                <w:rFonts w:hint="eastAsia" w:ascii="宋体" w:hAnsi="宋体" w:cs="仿宋"/>
                <w:b/>
                <w:bCs/>
                <w:sz w:val="24"/>
              </w:rPr>
              <w:t>级：</w:t>
            </w:r>
            <w:r>
              <w:rPr>
                <w:rFonts w:hint="eastAsia" w:ascii="宋体" w:hAnsi="宋体" w:cs="仿宋"/>
                <w:sz w:val="24"/>
              </w:rPr>
              <w:t>属于普通问题；具体描述：系统技术功能、使用或配置咨询、或其他显然不影响业务的服务。</w:t>
            </w:r>
          </w:p>
        </w:tc>
        <w:tc>
          <w:tcPr>
            <w:tcW w:w="2174"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
                <w:sz w:val="24"/>
              </w:rPr>
            </w:pPr>
            <w:r>
              <w:rPr>
                <w:rFonts w:hint="eastAsia" w:ascii="宋体" w:hAnsi="宋体" w:cs="仿宋"/>
                <w:sz w:val="24"/>
              </w:rPr>
              <w:t>10分钟~30分钟内提交故障处理方案</w:t>
            </w:r>
          </w:p>
        </w:tc>
        <w:tc>
          <w:tcPr>
            <w:tcW w:w="1623"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
                <w:sz w:val="24"/>
              </w:rPr>
            </w:pPr>
            <w:r>
              <w:rPr>
                <w:rFonts w:hint="eastAsia" w:ascii="宋体" w:hAnsi="宋体" w:cs="仿宋"/>
                <w:sz w:val="24"/>
              </w:rPr>
              <w:t>24小时以内</w:t>
            </w:r>
          </w:p>
        </w:tc>
      </w:tr>
    </w:tbl>
    <w:p>
      <w:pPr>
        <w:pStyle w:val="20"/>
        <w:spacing w:after="120" w:line="360" w:lineRule="auto"/>
        <w:ind w:firstLine="482" w:firstLineChars="200"/>
        <w:rPr>
          <w:rFonts w:ascii="宋体" w:hAnsi="宋体" w:cs="宋体"/>
          <w:b/>
          <w:bCs/>
          <w:sz w:val="24"/>
        </w:rPr>
      </w:pPr>
      <w:r>
        <w:rPr>
          <w:rFonts w:hint="eastAsia" w:ascii="宋体" w:hAnsi="宋体" w:cs="宋体"/>
          <w:b/>
          <w:bCs/>
          <w:sz w:val="24"/>
        </w:rPr>
        <w:t>系统五：城市大脑运维保障服务</w:t>
      </w:r>
    </w:p>
    <w:p>
      <w:pPr>
        <w:pStyle w:val="20"/>
        <w:spacing w:after="120" w:line="360" w:lineRule="auto"/>
        <w:ind w:firstLine="504" w:firstLineChars="200"/>
        <w:rPr>
          <w:rFonts w:ascii="宋体" w:hAnsi="宋体" w:cs="宋体"/>
          <w:sz w:val="24"/>
        </w:rPr>
      </w:pPr>
      <w:r>
        <w:rPr>
          <w:rFonts w:hint="eastAsia" w:ascii="宋体" w:hAnsi="宋体" w:cs="宋体"/>
          <w:spacing w:val="6"/>
          <w:sz w:val="24"/>
        </w:rPr>
        <w:t>（一）建设内容</w:t>
      </w:r>
    </w:p>
    <w:p>
      <w:pPr>
        <w:snapToGrid w:val="0"/>
        <w:spacing w:line="360" w:lineRule="auto"/>
        <w:ind w:left="105" w:leftChars="50" w:firstLine="480" w:firstLineChars="200"/>
        <w:rPr>
          <w:rFonts w:ascii="宋体" w:hAnsi="宋体" w:cs="宋体"/>
          <w:sz w:val="24"/>
        </w:rPr>
      </w:pPr>
      <w:r>
        <w:rPr>
          <w:rFonts w:hint="eastAsia" w:ascii="宋体" w:hAnsi="宋体" w:cs="宋体"/>
          <w:sz w:val="24"/>
        </w:rPr>
        <w:t>1、提供城市大脑-舒心就医基础系统的运维保障工作。根据需要，提供具备相关技术能力的维护人员，提供远程维护和信息化技术咨询服务，保障整个舒心就医平台的平稳运行，以及实时数据展示的大屏和数据接口的正常使用。</w:t>
      </w:r>
    </w:p>
    <w:p>
      <w:pPr>
        <w:snapToGrid w:val="0"/>
        <w:spacing w:line="360" w:lineRule="auto"/>
        <w:ind w:left="105" w:leftChars="50" w:firstLine="480" w:firstLineChars="200"/>
        <w:rPr>
          <w:rFonts w:ascii="宋体" w:hAnsi="宋体" w:cs="宋体"/>
          <w:sz w:val="24"/>
        </w:rPr>
      </w:pPr>
      <w:r>
        <w:rPr>
          <w:rFonts w:hint="eastAsia" w:ascii="宋体" w:hAnsi="宋体" w:cs="宋体"/>
          <w:sz w:val="24"/>
        </w:rPr>
        <w:t>2、支持从第三方软件、系统小规模收集统计数据。舒心就医平台同时也以通道的形式，支持其他系统和平台传递数据，并对数据进行筛选、清洗、整理、归类码，根据采集数据的不同特性记录到不同的数据表，同时做好数据灾备，最终进行相关数据的统计展示，另外我们也提供此类数据的查询接口，并作为标准指标接入不同平台中，供相关部门和单位进行数据对接和使用。</w:t>
      </w:r>
    </w:p>
    <w:p>
      <w:pPr>
        <w:snapToGrid w:val="0"/>
        <w:spacing w:line="360" w:lineRule="auto"/>
        <w:ind w:left="105" w:leftChars="50" w:firstLine="480" w:firstLineChars="200"/>
        <w:rPr>
          <w:rFonts w:ascii="宋体" w:hAnsi="宋体" w:cs="宋体"/>
          <w:sz w:val="24"/>
        </w:rPr>
      </w:pPr>
      <w:r>
        <w:rPr>
          <w:rFonts w:ascii="宋体" w:hAnsi="宋体" w:cs="宋体"/>
          <w:sz w:val="24"/>
        </w:rPr>
        <w:t>3</w:t>
      </w:r>
      <w:r>
        <w:rPr>
          <w:rFonts w:hint="eastAsia" w:ascii="宋体" w:hAnsi="宋体" w:cs="宋体"/>
          <w:sz w:val="24"/>
        </w:rPr>
        <w:t>、为保障数据直观性，提供基础的舒心就医数据日、周和月度报表，同时根据上级需求，若是已经存在的数据及时提供相关数据支持，若为新需求，则新增其他数据统计报表的推送，制定快速而安全的开发方式，提供准确数据的同时保证数据的安全性。</w:t>
      </w:r>
    </w:p>
    <w:p>
      <w:pPr>
        <w:snapToGrid w:val="0"/>
        <w:spacing w:line="360" w:lineRule="auto"/>
        <w:ind w:left="105" w:leftChars="50" w:firstLine="480" w:firstLineChars="200"/>
        <w:rPr>
          <w:rFonts w:ascii="宋体" w:hAnsi="宋体" w:cs="宋体"/>
          <w:sz w:val="24"/>
        </w:rPr>
      </w:pPr>
      <w:r>
        <w:rPr>
          <w:rFonts w:hint="eastAsia" w:ascii="宋体" w:hAnsi="宋体" w:cs="宋体"/>
          <w:sz w:val="24"/>
        </w:rPr>
        <w:t>4、根据政府政策调整程序，积极参与配合数据、接口的迁移，推进相关程序迭代和进行各种小功能的开发，如接口从中枢平台迁移至公共数据平台、舒心就医数据统计展示页面在浙政钉等应用中的数据埋点、数据查询接口新增参数、一些数据指标统计逻辑的修改、舒心就医展示大屏UI调整等程序微调以及其余的小功能开发等。此外，支援数字社会相关建设，提供必要的接口咨询和舒心就医相关的接口指标服务，并额外提供对应内容的大屏开发。</w:t>
      </w:r>
    </w:p>
    <w:p>
      <w:pPr>
        <w:snapToGrid w:val="0"/>
        <w:spacing w:line="360" w:lineRule="auto"/>
        <w:ind w:left="105" w:leftChars="50" w:firstLine="480" w:firstLineChars="200"/>
        <w:rPr>
          <w:rFonts w:hint="eastAsia" w:ascii="宋体" w:hAnsi="宋体" w:eastAsia="宋体" w:cs="宋体"/>
          <w:sz w:val="24"/>
          <w:lang w:eastAsia="zh-CN"/>
        </w:rPr>
      </w:pPr>
      <w:r>
        <w:rPr>
          <w:rFonts w:hint="eastAsia" w:ascii="宋体" w:hAnsi="宋体" w:cs="宋体"/>
          <w:sz w:val="24"/>
        </w:rPr>
        <w:t>5、为满足各个医疗相关部门和系统查询、展示、统计等要求，提供大量舒心就医数据调阅接口，积极参与配合与其他平台接口对接，提供相关数据详细的接口文档、并积极配合其余平台调用和进行接口联调以及查错工作等。</w:t>
      </w:r>
    </w:p>
    <w:p>
      <w:pPr>
        <w:snapToGrid w:val="0"/>
        <w:spacing w:line="360" w:lineRule="auto"/>
        <w:ind w:left="105" w:leftChars="50" w:firstLine="480" w:firstLineChars="200"/>
        <w:rPr>
          <w:rFonts w:ascii="宋体" w:hAnsi="宋体" w:cs="宋体"/>
          <w:sz w:val="24"/>
        </w:rPr>
      </w:pPr>
      <w:r>
        <w:rPr>
          <w:rFonts w:ascii="宋体" w:hAnsi="宋体" w:cs="宋体"/>
          <w:sz w:val="24"/>
        </w:rPr>
        <w:t xml:space="preserve">    </w:t>
      </w:r>
      <w:r>
        <w:rPr>
          <w:rFonts w:hint="eastAsia" w:ascii="宋体" w:hAnsi="宋体" w:cs="宋体"/>
          <w:sz w:val="24"/>
        </w:rPr>
        <w:t>6、由于杭州区划变更，平台全盘统计维度按照新的区划进行调整，以适配新的统计需求。</w:t>
      </w:r>
    </w:p>
    <w:p>
      <w:pPr>
        <w:snapToGrid w:val="0"/>
        <w:spacing w:line="360" w:lineRule="auto"/>
        <w:ind w:left="105" w:leftChars="50" w:firstLine="480" w:firstLineChars="200"/>
        <w:rPr>
          <w:rFonts w:ascii="宋体" w:hAnsi="宋体" w:cs="宋体"/>
          <w:sz w:val="24"/>
        </w:rPr>
      </w:pPr>
      <w:r>
        <w:rPr>
          <w:rFonts w:hint="eastAsia" w:ascii="宋体" w:hAnsi="宋体" w:cs="宋体"/>
          <w:sz w:val="24"/>
        </w:rPr>
        <w:t>7</w:t>
      </w:r>
      <w:r>
        <w:rPr>
          <w:rFonts w:ascii="宋体" w:hAnsi="宋体" w:cs="宋体"/>
          <w:sz w:val="24"/>
        </w:rPr>
        <w:t>、</w:t>
      </w:r>
      <w:r>
        <w:rPr>
          <w:rFonts w:hint="eastAsia" w:ascii="宋体" w:hAnsi="宋体" w:cs="宋体"/>
          <w:sz w:val="24"/>
        </w:rPr>
        <w:t>新冠疫情配合杭州公安对发热人员的特殊监管需要，开发定时推送医疗机构发热就诊数据服务，通过接口形式定时将杭州各个医疗机构每日发热就诊数据上传到监管平台，满足相关部门对发热人员的监管需要，保障新冠疫情的防控工作。同时针对相应年度的新冠数据予以展示。</w:t>
      </w:r>
    </w:p>
    <w:p>
      <w:pPr>
        <w:snapToGrid w:val="0"/>
        <w:spacing w:line="360" w:lineRule="auto"/>
        <w:ind w:left="105" w:leftChars="50" w:firstLine="480" w:firstLineChars="200"/>
        <w:rPr>
          <w:rFonts w:ascii="宋体" w:hAnsi="宋体" w:cs="宋体"/>
          <w:sz w:val="24"/>
        </w:rPr>
      </w:pPr>
      <w:r>
        <w:rPr>
          <w:rFonts w:hint="eastAsia" w:ascii="宋体" w:hAnsi="宋体" w:cs="宋体"/>
          <w:sz w:val="24"/>
        </w:rPr>
        <w:t>8</w:t>
      </w:r>
      <w:r>
        <w:rPr>
          <w:rFonts w:ascii="宋体" w:hAnsi="宋体" w:cs="宋体"/>
          <w:sz w:val="24"/>
        </w:rPr>
        <w:t>、</w:t>
      </w:r>
      <w:r>
        <w:rPr>
          <w:rFonts w:hint="eastAsia" w:ascii="宋体" w:hAnsi="宋体" w:cs="宋体"/>
          <w:sz w:val="24"/>
        </w:rPr>
        <w:t>硬件资源供应商，提供全年的舒心就医软件网络信息安全保障服务，包括且不限制于重要时段网络信息安全专项保障，如亚运会、亚残运会等重要时段的网络信息安全加固、针对性安全排查、网络信息安全服务等。</w:t>
      </w:r>
    </w:p>
    <w:p>
      <w:pPr>
        <w:spacing w:line="360" w:lineRule="auto"/>
        <w:rPr>
          <w:rFonts w:ascii="宋体" w:hAnsi="宋体"/>
          <w:b/>
          <w:bCs/>
          <w:sz w:val="24"/>
        </w:rPr>
      </w:pPr>
      <w:r>
        <w:rPr>
          <w:rFonts w:hint="eastAsia" w:ascii="宋体" w:hAnsi="宋体"/>
          <w:b/>
          <w:bCs/>
          <w:sz w:val="24"/>
        </w:rPr>
        <w:t>三、投标人及人员要求</w:t>
      </w:r>
    </w:p>
    <w:p>
      <w:pPr>
        <w:pStyle w:val="2"/>
        <w:spacing w:line="360" w:lineRule="auto"/>
      </w:pPr>
      <w:r>
        <w:rPr>
          <w:rFonts w:hint="eastAsia"/>
        </w:rPr>
        <w:t>（1）</w:t>
      </w:r>
      <w:r>
        <w:rPr>
          <w:rFonts w:hint="eastAsia" w:cs="宋体"/>
          <w:kern w:val="0"/>
        </w:rPr>
        <w:t>投标单位具有有效期内ISO9001、ISO27001、ISO20000、ISO14001、</w:t>
      </w:r>
      <w:r>
        <w:rPr>
          <w:rStyle w:val="370"/>
          <w:rFonts w:hint="default" w:ascii="宋体" w:hAnsi="宋体" w:eastAsia="宋体" w:cs="宋体"/>
          <w:color w:val="auto"/>
          <w:sz w:val="24"/>
          <w:szCs w:val="24"/>
        </w:rPr>
        <w:t>ISO22301</w:t>
      </w:r>
      <w:r>
        <w:rPr>
          <w:rFonts w:hint="eastAsia" w:cs="宋体"/>
          <w:kern w:val="0"/>
        </w:rPr>
        <w:t>和ISO45001管理体系认证证书</w:t>
      </w:r>
      <w:r>
        <w:rPr>
          <w:rFonts w:hint="eastAsia"/>
        </w:rPr>
        <w:t>。</w:t>
      </w:r>
    </w:p>
    <w:p>
      <w:pPr>
        <w:spacing w:line="360" w:lineRule="auto"/>
        <w:ind w:firstLine="480" w:firstLineChars="200"/>
        <w:rPr>
          <w:rFonts w:ascii="宋体" w:hAnsi="宋体"/>
          <w:sz w:val="24"/>
        </w:rPr>
      </w:pPr>
      <w:r>
        <w:rPr>
          <w:rFonts w:hint="eastAsia" w:ascii="宋体" w:hAnsi="宋体"/>
          <w:sz w:val="24"/>
        </w:rPr>
        <w:t>（2）</w:t>
      </w:r>
      <w:r>
        <w:rPr>
          <w:rFonts w:hint="eastAsia" w:ascii="宋体" w:hAnsi="宋体" w:cs="宋体"/>
          <w:kern w:val="0"/>
          <w:sz w:val="24"/>
        </w:rPr>
        <w:t>投标人</w:t>
      </w:r>
      <w:r>
        <w:rPr>
          <w:rStyle w:val="370"/>
          <w:rFonts w:hint="default" w:ascii="宋体" w:hAnsi="宋体" w:eastAsia="宋体" w:cs="宋体"/>
          <w:color w:val="auto"/>
          <w:sz w:val="24"/>
          <w:szCs w:val="24"/>
        </w:rPr>
        <w:t>具有CCRC信息系统集成安全服务资质证书</w:t>
      </w:r>
      <w:r>
        <w:rPr>
          <w:rFonts w:hint="eastAsia" w:ascii="宋体" w:hAnsi="宋体"/>
          <w:sz w:val="24"/>
        </w:rPr>
        <w:t>。</w:t>
      </w:r>
    </w:p>
    <w:p>
      <w:pPr>
        <w:pStyle w:val="2"/>
        <w:spacing w:line="360" w:lineRule="auto"/>
      </w:pPr>
      <w:r>
        <w:rPr>
          <w:rFonts w:hint="eastAsia"/>
        </w:rPr>
        <w:t>（3）</w:t>
      </w:r>
      <w:r>
        <w:rPr>
          <w:rStyle w:val="370"/>
          <w:rFonts w:hint="default" w:ascii="宋体" w:hAnsi="宋体" w:eastAsia="宋体" w:cs="宋体"/>
          <w:color w:val="auto"/>
          <w:sz w:val="24"/>
          <w:szCs w:val="24"/>
        </w:rPr>
        <w:t>具有数据可视化平台相关软件著作权证书</w:t>
      </w:r>
      <w:r>
        <w:rPr>
          <w:rFonts w:hint="eastAsia"/>
        </w:rPr>
        <w:t>。</w:t>
      </w:r>
    </w:p>
    <w:p>
      <w:pPr>
        <w:spacing w:line="360" w:lineRule="auto"/>
        <w:ind w:firstLine="480" w:firstLineChars="200"/>
        <w:rPr>
          <w:rFonts w:ascii="宋体" w:hAnsi="宋体"/>
          <w:sz w:val="24"/>
        </w:rPr>
      </w:pPr>
      <w:r>
        <w:rPr>
          <w:rFonts w:hint="eastAsia" w:ascii="宋体" w:hAnsi="宋体"/>
          <w:sz w:val="24"/>
        </w:rPr>
        <w:t>（4）</w:t>
      </w:r>
      <w:r>
        <w:rPr>
          <w:rStyle w:val="370"/>
          <w:rFonts w:hint="default" w:ascii="宋体" w:hAnsi="宋体" w:eastAsia="宋体" w:cs="宋体"/>
          <w:color w:val="auto"/>
          <w:sz w:val="24"/>
          <w:szCs w:val="24"/>
        </w:rPr>
        <w:t>项目经理具备高级信息安全工程师和高级项目经理认证</w:t>
      </w:r>
      <w:r>
        <w:rPr>
          <w:rFonts w:hint="eastAsia" w:ascii="宋体" w:hAnsi="宋体"/>
          <w:sz w:val="24"/>
        </w:rPr>
        <w:t>。</w:t>
      </w:r>
    </w:p>
    <w:p>
      <w:pPr>
        <w:pStyle w:val="2"/>
        <w:spacing w:line="360" w:lineRule="auto"/>
      </w:pPr>
      <w:r>
        <w:rPr>
          <w:rFonts w:hint="eastAsia"/>
        </w:rPr>
        <w:t>（5）</w:t>
      </w:r>
      <w:r>
        <w:rPr>
          <w:rFonts w:hint="eastAsia" w:cs="宋体"/>
          <w:kern w:val="0"/>
        </w:rPr>
        <w:t>投标人技术团队中2名及以上人员具有CISP安全专家</w:t>
      </w:r>
      <w:r>
        <w:rPr>
          <w:rFonts w:hint="eastAsia"/>
        </w:rPr>
        <w:t>。</w:t>
      </w:r>
    </w:p>
    <w:p>
      <w:pPr>
        <w:spacing w:line="360" w:lineRule="auto"/>
        <w:ind w:firstLine="480" w:firstLineChars="200"/>
        <w:rPr>
          <w:rFonts w:ascii="宋体" w:hAnsi="宋体"/>
          <w:sz w:val="24"/>
        </w:rPr>
      </w:pPr>
      <w:r>
        <w:rPr>
          <w:rFonts w:hint="eastAsia" w:ascii="宋体" w:hAnsi="宋体"/>
          <w:sz w:val="24"/>
        </w:rPr>
        <w:t>（6）</w:t>
      </w:r>
      <w:r>
        <w:rPr>
          <w:rStyle w:val="370"/>
          <w:rFonts w:hint="default" w:ascii="宋体" w:hAnsi="宋体" w:eastAsia="宋体" w:cs="宋体"/>
          <w:color w:val="auto"/>
          <w:sz w:val="24"/>
          <w:szCs w:val="24"/>
        </w:rPr>
        <w:t>投标人技术团队中具有系统集成管理工程师证书</w:t>
      </w:r>
      <w:r>
        <w:rPr>
          <w:rFonts w:hint="eastAsia" w:ascii="宋体" w:hAnsi="宋体"/>
          <w:sz w:val="24"/>
        </w:rPr>
        <w:t>。</w:t>
      </w:r>
    </w:p>
    <w:p>
      <w:pPr>
        <w:spacing w:line="360" w:lineRule="auto"/>
        <w:ind w:firstLine="482"/>
        <w:rPr>
          <w:b/>
          <w:bCs/>
        </w:rPr>
      </w:pPr>
      <w:r>
        <w:rPr>
          <w:rFonts w:hint="eastAsia" w:ascii="宋体" w:hAnsi="宋体"/>
          <w:b/>
          <w:bCs/>
          <w:sz w:val="24"/>
        </w:rPr>
        <w:t>四、验收</w:t>
      </w:r>
    </w:p>
    <w:p>
      <w:pPr>
        <w:pStyle w:val="965"/>
        <w:ind w:firstLine="480"/>
        <w:rPr>
          <w:rFonts w:ascii="宋体" w:hAnsi="宋体" w:cs="仿宋"/>
        </w:rPr>
      </w:pPr>
      <w:bookmarkStart w:id="51" w:name="_Toc9028"/>
      <w:bookmarkStart w:id="52" w:name="_Hlk102914293"/>
      <w:r>
        <w:rPr>
          <w:rFonts w:ascii="宋体" w:hAnsi="宋体" w:cs="仿宋"/>
        </w:rPr>
        <w:t>1.</w:t>
      </w:r>
      <w:r>
        <w:rPr>
          <w:rFonts w:hint="eastAsia" w:ascii="宋体" w:hAnsi="宋体" w:cs="仿宋"/>
        </w:rPr>
        <w:t>验收组织和程序</w:t>
      </w:r>
      <w:bookmarkEnd w:id="51"/>
    </w:p>
    <w:p>
      <w:pPr>
        <w:pStyle w:val="965"/>
        <w:ind w:firstLine="480"/>
        <w:rPr>
          <w:rFonts w:ascii="宋体" w:hAnsi="宋体" w:cs="仿宋"/>
        </w:rPr>
      </w:pPr>
      <w:r>
        <w:rPr>
          <w:rFonts w:hint="eastAsia" w:ascii="宋体" w:hAnsi="宋体" w:cs="仿宋"/>
        </w:rPr>
        <w:t>（</w:t>
      </w:r>
      <w:r>
        <w:rPr>
          <w:rFonts w:ascii="宋体" w:hAnsi="宋体" w:cs="仿宋"/>
        </w:rPr>
        <w:t>1）根据《中华人民共和国政府采购法》、《中华人民共和国民法典》、《中华</w:t>
      </w:r>
      <w:r>
        <w:rPr>
          <w:rFonts w:hint="eastAsia" w:ascii="宋体" w:hAnsi="宋体" w:cs="仿宋"/>
        </w:rPr>
        <w:t>人民共和国政府采购法实施条例》、财政部《财政部关于进一步加强政府采购需求和履约验收管理的指导意见》（财库</w:t>
      </w:r>
      <w:r>
        <w:rPr>
          <w:rFonts w:ascii="宋体" w:hAnsi="宋体" w:cs="仿宋"/>
        </w:rPr>
        <w:t>[2016]205号）、杭州市财政局《杭州市政府采购履约验收暂行办法》（</w:t>
      </w:r>
      <w:r>
        <w:rPr>
          <w:rFonts w:hint="eastAsia" w:ascii="宋体" w:hAnsi="宋体" w:cs="仿宋"/>
        </w:rPr>
        <w:t>杭财采监</w:t>
      </w:r>
      <w:r>
        <w:rPr>
          <w:rFonts w:ascii="宋体" w:hAnsi="宋体" w:cs="仿宋"/>
        </w:rPr>
        <w:t>[2019]10号）等相关法律、法规、规范性文件要求组织验收。</w:t>
      </w:r>
    </w:p>
    <w:p>
      <w:pPr>
        <w:pStyle w:val="965"/>
        <w:ind w:firstLine="480"/>
        <w:rPr>
          <w:rFonts w:ascii="宋体" w:hAnsi="宋体" w:cs="仿宋"/>
        </w:rPr>
      </w:pPr>
      <w:r>
        <w:rPr>
          <w:rFonts w:hint="eastAsia" w:ascii="宋体" w:hAnsi="宋体" w:cs="仿宋"/>
        </w:rPr>
        <w:t>（</w:t>
      </w:r>
      <w:r>
        <w:rPr>
          <w:rFonts w:ascii="宋体" w:hAnsi="宋体" w:cs="仿宋"/>
        </w:rPr>
        <w:t>2）验收方法：验收小组验收。</w:t>
      </w:r>
    </w:p>
    <w:p>
      <w:pPr>
        <w:pStyle w:val="965"/>
        <w:ind w:firstLine="480"/>
        <w:rPr>
          <w:rFonts w:ascii="宋体" w:hAnsi="宋体" w:cs="仿宋"/>
        </w:rPr>
      </w:pPr>
      <w:r>
        <w:rPr>
          <w:rFonts w:hint="eastAsia" w:ascii="宋体" w:hAnsi="宋体" w:cs="仿宋"/>
        </w:rPr>
        <w:t>（</w:t>
      </w:r>
      <w:r>
        <w:rPr>
          <w:rFonts w:ascii="宋体" w:hAnsi="宋体" w:cs="仿宋"/>
        </w:rPr>
        <w:t>3）验收小组组建方式：</w:t>
      </w:r>
      <w:r>
        <w:rPr>
          <w:rFonts w:hint="eastAsia" w:ascii="宋体" w:hAnsi="宋体" w:cs="仿宋"/>
        </w:rPr>
        <w:t>项目验收负责人组织</w:t>
      </w:r>
      <w:r>
        <w:rPr>
          <w:rFonts w:ascii="宋体" w:hAnsi="宋体" w:cs="仿宋"/>
        </w:rPr>
        <w:t>验收小组，验收小组由</w:t>
      </w:r>
      <w:r>
        <w:rPr>
          <w:rFonts w:hint="eastAsia" w:ascii="宋体" w:hAnsi="宋体" w:cs="仿宋"/>
        </w:rPr>
        <w:t>相关</w:t>
      </w:r>
      <w:r>
        <w:rPr>
          <w:rFonts w:ascii="宋体" w:hAnsi="宋体" w:cs="仿宋"/>
        </w:rPr>
        <w:t>专家和用户代表</w:t>
      </w:r>
      <w:r>
        <w:rPr>
          <w:rFonts w:hint="eastAsia" w:ascii="宋体" w:hAnsi="宋体" w:cs="仿宋"/>
        </w:rPr>
        <w:t>按相关规定</w:t>
      </w:r>
      <w:r>
        <w:rPr>
          <w:rFonts w:ascii="宋体" w:hAnsi="宋体" w:cs="仿宋"/>
        </w:rPr>
        <w:t>组成。验收小组负责实施具体的验收活动。采购人可以邀请其他单位的相关专业人员参加验收小组。验收小组推选一名组长，主持验收小组的工作。</w:t>
      </w:r>
    </w:p>
    <w:p>
      <w:pPr>
        <w:pStyle w:val="965"/>
        <w:ind w:firstLine="480"/>
        <w:rPr>
          <w:rFonts w:ascii="宋体" w:hAnsi="宋体" w:cs="仿宋"/>
        </w:rPr>
      </w:pPr>
      <w:r>
        <w:rPr>
          <w:rFonts w:hint="eastAsia" w:ascii="宋体" w:hAnsi="宋体" w:cs="仿宋"/>
        </w:rPr>
        <w:t>（</w:t>
      </w:r>
      <w:r>
        <w:rPr>
          <w:rFonts w:ascii="宋体" w:hAnsi="宋体" w:cs="仿宋"/>
        </w:rPr>
        <w:t>4）验收流程：</w:t>
      </w:r>
    </w:p>
    <w:p>
      <w:pPr>
        <w:pStyle w:val="965"/>
        <w:ind w:firstLine="480"/>
        <w:rPr>
          <w:rFonts w:ascii="宋体" w:hAnsi="宋体" w:cs="仿宋"/>
        </w:rPr>
      </w:pPr>
      <w:r>
        <w:rPr>
          <w:rFonts w:ascii="宋体" w:hAnsi="宋体" w:cs="仿宋"/>
        </w:rPr>
        <w:t>1）</w:t>
      </w:r>
      <w:r>
        <w:rPr>
          <w:rFonts w:hint="eastAsia" w:ascii="宋体" w:hAnsi="宋体" w:cs="仿宋"/>
        </w:rPr>
        <w:t>项目验收负责人</w:t>
      </w:r>
      <w:r>
        <w:rPr>
          <w:rFonts w:ascii="宋体" w:hAnsi="宋体" w:cs="仿宋"/>
        </w:rPr>
        <w:t>根据验收方案组织验收小组现场验收，并准备验收材料并通知各验收参与方在指定时间指定地点联合验收，包括采购人、供应商、验收小组、其他验收参与方等。</w:t>
      </w:r>
    </w:p>
    <w:p>
      <w:pPr>
        <w:pStyle w:val="965"/>
        <w:ind w:firstLine="480"/>
        <w:rPr>
          <w:rFonts w:ascii="宋体" w:hAnsi="宋体" w:cs="仿宋"/>
        </w:rPr>
      </w:pPr>
      <w:r>
        <w:rPr>
          <w:rFonts w:ascii="宋体" w:hAnsi="宋体" w:cs="仿宋"/>
        </w:rPr>
        <w:t>2）验收小组应当按照验收方案独立开展验收，对供应商提供的服务按照采购文件、投标文件、政府采购合同进行核对、验收，并做好验收记录。在验收过程中，验收小组成员不得擅自公开验收信息。验收小组可以对验收方案进行必要的修改。验收小组对验收方案</w:t>
      </w:r>
      <w:r>
        <w:rPr>
          <w:rFonts w:hint="eastAsia" w:ascii="宋体" w:hAnsi="宋体" w:cs="仿宋"/>
        </w:rPr>
        <w:t>作出实质性修改的，应当报经采购人同意。</w:t>
      </w:r>
    </w:p>
    <w:p>
      <w:pPr>
        <w:pStyle w:val="965"/>
        <w:ind w:firstLine="480"/>
        <w:rPr>
          <w:rFonts w:ascii="宋体" w:hAnsi="宋体" w:cs="仿宋"/>
        </w:rPr>
      </w:pPr>
      <w:r>
        <w:rPr>
          <w:rFonts w:ascii="宋体" w:hAnsi="宋体" w:cs="仿宋"/>
        </w:rPr>
        <w:t>3）供应商配合验收工作，并就验收实施过程中的疑问进行解答和澄清。项目验收过程中，供应商不认可验收意见的，按照合同的约定的方式解决，合同未作约定的，按照《中华人民共和国民法典》等相关规定处理。</w:t>
      </w:r>
    </w:p>
    <w:p>
      <w:pPr>
        <w:pStyle w:val="965"/>
        <w:ind w:firstLine="480"/>
        <w:rPr>
          <w:rFonts w:ascii="宋体" w:hAnsi="宋体" w:cs="仿宋"/>
        </w:rPr>
      </w:pPr>
      <w:r>
        <w:rPr>
          <w:rFonts w:ascii="宋体" w:hAnsi="宋体" w:cs="仿宋"/>
        </w:rPr>
        <w:t>4）出具验收报告。验收结束后，验收小组应当出具验收报告，报告采购人。验收报告应当根据验收方案制作，以书面形式</w:t>
      </w:r>
      <w:r>
        <w:rPr>
          <w:rFonts w:hint="eastAsia" w:ascii="宋体" w:hAnsi="宋体" w:cs="仿宋"/>
        </w:rPr>
        <w:t>作出结论性意见，并经验收小组全体成员签字。验收小组成员对验收报告载明的结论有异议的，应当在验收报告上签署不同意并说明理由，否则视为同意验收结论。</w:t>
      </w:r>
    </w:p>
    <w:p>
      <w:pPr>
        <w:pStyle w:val="965"/>
        <w:ind w:firstLine="480"/>
        <w:rPr>
          <w:rFonts w:ascii="宋体" w:hAnsi="宋体" w:cs="仿宋"/>
        </w:rPr>
      </w:pPr>
      <w:r>
        <w:rPr>
          <w:rFonts w:ascii="宋体" w:hAnsi="宋体" w:cs="仿宋"/>
        </w:rPr>
        <w:t>5）验收不合格的，采购人应责令供应商采取补救措施，向供应商发出整改通知书，并依法及时处理。整改结束后，由供应商通知采购人或其委托的验收组织机构重新验收。</w:t>
      </w:r>
    </w:p>
    <w:p>
      <w:pPr>
        <w:pStyle w:val="2"/>
        <w:spacing w:line="360" w:lineRule="auto"/>
        <w:rPr>
          <w:rFonts w:cs="宋体"/>
        </w:rPr>
      </w:pPr>
      <w:bookmarkStart w:id="53" w:name="_Toc8526"/>
      <w:r>
        <w:rPr>
          <w:rFonts w:hint="eastAsia" w:cs="宋体"/>
        </w:rPr>
        <w:t>2</w:t>
      </w:r>
      <w:r>
        <w:rPr>
          <w:rFonts w:cs="宋体"/>
        </w:rPr>
        <w:t>.</w:t>
      </w:r>
      <w:r>
        <w:rPr>
          <w:rFonts w:hint="eastAsia" w:cs="宋体"/>
        </w:rPr>
        <w:t>履约验收内容</w:t>
      </w:r>
      <w:bookmarkEnd w:id="53"/>
    </w:p>
    <w:p>
      <w:pPr>
        <w:pStyle w:val="965"/>
        <w:ind w:firstLine="480"/>
        <w:rPr>
          <w:rFonts w:ascii="宋体" w:hAnsi="宋体" w:cs="仿宋"/>
        </w:rPr>
      </w:pPr>
      <w:bookmarkStart w:id="54" w:name="_Toc354"/>
      <w:r>
        <w:rPr>
          <w:rFonts w:hint="eastAsia" w:ascii="宋体" w:hAnsi="宋体" w:cs="仿宋"/>
        </w:rPr>
        <w:t>1</w:t>
      </w:r>
      <w:r>
        <w:rPr>
          <w:rFonts w:ascii="宋体" w:hAnsi="宋体" w:cs="仿宋"/>
        </w:rPr>
        <w:t>.</w:t>
      </w:r>
      <w:r>
        <w:rPr>
          <w:rFonts w:hint="eastAsia" w:ascii="宋体" w:hAnsi="宋体" w:cs="仿宋"/>
        </w:rPr>
        <w:t>技术履约内容</w:t>
      </w:r>
    </w:p>
    <w:p>
      <w:pPr>
        <w:pStyle w:val="2"/>
        <w:spacing w:after="120" w:line="360" w:lineRule="auto"/>
        <w:rPr>
          <w:rFonts w:cs="仿宋"/>
        </w:rPr>
      </w:pPr>
      <w:r>
        <w:rPr>
          <w:rFonts w:cs="仿宋"/>
        </w:rPr>
        <w:t>1</w:t>
      </w:r>
      <w:r>
        <w:rPr>
          <w:rFonts w:hint="eastAsia" w:cs="仿宋"/>
        </w:rPr>
        <w:t>）满足所有采购需求及响应文件承诺；</w:t>
      </w:r>
    </w:p>
    <w:p>
      <w:pPr>
        <w:pStyle w:val="2"/>
        <w:spacing w:line="360" w:lineRule="auto"/>
        <w:rPr>
          <w:rFonts w:cs="宋体"/>
        </w:rPr>
      </w:pPr>
      <w:r>
        <w:rPr>
          <w:rFonts w:hint="eastAsia" w:cs="仿宋"/>
        </w:rPr>
        <w:t>2</w:t>
      </w:r>
      <w:r>
        <w:rPr>
          <w:rFonts w:hint="eastAsia" w:cs="宋体"/>
        </w:rPr>
        <w:t>）</w:t>
      </w:r>
      <w:r>
        <w:rPr>
          <w:rFonts w:cs="宋体"/>
        </w:rPr>
        <w:t>拟投服务团队人员全部到位</w:t>
      </w:r>
      <w:r>
        <w:rPr>
          <w:rFonts w:hint="eastAsia" w:cs="宋体"/>
        </w:rPr>
        <w:t>。</w:t>
      </w:r>
    </w:p>
    <w:p>
      <w:pPr>
        <w:pStyle w:val="965"/>
        <w:ind w:firstLine="480"/>
        <w:rPr>
          <w:rFonts w:ascii="宋体" w:hAnsi="宋体" w:cs="仿宋"/>
        </w:rPr>
      </w:pPr>
      <w:r>
        <w:rPr>
          <w:rFonts w:hint="eastAsia" w:ascii="宋体" w:hAnsi="宋体" w:cs="仿宋"/>
        </w:rPr>
        <w:t>2.商务履约内容</w:t>
      </w:r>
    </w:p>
    <w:p>
      <w:pPr>
        <w:pStyle w:val="967"/>
        <w:spacing w:line="360" w:lineRule="auto"/>
        <w:ind w:firstLine="480"/>
        <w:rPr>
          <w:rFonts w:ascii="宋体" w:hAnsi="宋体" w:eastAsia="宋体" w:cs="仿宋"/>
          <w:sz w:val="24"/>
          <w:szCs w:val="24"/>
        </w:rPr>
      </w:pPr>
      <w:r>
        <w:rPr>
          <w:rFonts w:ascii="宋体" w:hAnsi="宋体" w:eastAsia="宋体" w:cs="仿宋"/>
          <w:sz w:val="24"/>
          <w:szCs w:val="24"/>
        </w:rPr>
        <w:t>1</w:t>
      </w:r>
      <w:r>
        <w:rPr>
          <w:rFonts w:hint="eastAsia" w:ascii="宋体" w:hAnsi="宋体" w:eastAsia="宋体" w:cs="仿宋"/>
          <w:sz w:val="24"/>
          <w:szCs w:val="24"/>
        </w:rPr>
        <w:t>）服务周期满足采购要求。</w:t>
      </w:r>
    </w:p>
    <w:p>
      <w:pPr>
        <w:pStyle w:val="967"/>
        <w:spacing w:after="120" w:line="360" w:lineRule="auto"/>
        <w:ind w:firstLine="480"/>
        <w:rPr>
          <w:rFonts w:ascii="宋体" w:hAnsi="宋体" w:eastAsia="宋体" w:cs="仿宋"/>
          <w:sz w:val="24"/>
          <w:szCs w:val="24"/>
        </w:rPr>
      </w:pPr>
      <w:r>
        <w:rPr>
          <w:rFonts w:ascii="宋体" w:hAnsi="宋体" w:eastAsia="宋体" w:cs="仿宋"/>
          <w:sz w:val="24"/>
          <w:szCs w:val="24"/>
        </w:rPr>
        <w:t>3.</w:t>
      </w:r>
      <w:r>
        <w:rPr>
          <w:rFonts w:hint="eastAsia" w:ascii="宋体" w:hAnsi="宋体" w:eastAsia="宋体" w:cs="仿宋"/>
          <w:sz w:val="24"/>
          <w:szCs w:val="24"/>
        </w:rPr>
        <w:t>验收标准</w:t>
      </w:r>
      <w:bookmarkEnd w:id="54"/>
    </w:p>
    <w:p>
      <w:pPr>
        <w:pStyle w:val="2"/>
        <w:spacing w:after="120" w:line="360" w:lineRule="auto"/>
        <w:rPr>
          <w:rFonts w:cs="仿宋"/>
        </w:rPr>
      </w:pPr>
      <w:r>
        <w:rPr>
          <w:rFonts w:cs="仿宋"/>
        </w:rPr>
        <w:t>1</w:t>
      </w:r>
      <w:r>
        <w:rPr>
          <w:rFonts w:hint="eastAsia" w:cs="仿宋"/>
        </w:rPr>
        <w:t>）满足所有采购需求及响应文件承诺；</w:t>
      </w:r>
    </w:p>
    <w:p>
      <w:pPr>
        <w:pStyle w:val="2"/>
        <w:spacing w:after="120" w:line="360" w:lineRule="auto"/>
        <w:rPr>
          <w:rFonts w:cs="仿宋"/>
        </w:rPr>
      </w:pPr>
      <w:r>
        <w:rPr>
          <w:rFonts w:hint="eastAsia" w:cs="仿宋"/>
        </w:rPr>
        <w:t>2）</w:t>
      </w:r>
      <w:r>
        <w:rPr>
          <w:rFonts w:cs="仿宋"/>
        </w:rPr>
        <w:t>拟投服务团队人员全部到位；</w:t>
      </w:r>
    </w:p>
    <w:p>
      <w:pPr>
        <w:pStyle w:val="2"/>
        <w:spacing w:after="120" w:line="360" w:lineRule="auto"/>
        <w:rPr>
          <w:rFonts w:cs="仿宋"/>
        </w:rPr>
      </w:pPr>
      <w:r>
        <w:rPr>
          <w:rFonts w:cs="仿宋"/>
        </w:rPr>
        <w:t>3</w:t>
      </w:r>
      <w:r>
        <w:rPr>
          <w:rFonts w:hint="eastAsia" w:cs="仿宋"/>
        </w:rPr>
        <w:t>）项目验收资料齐全；</w:t>
      </w:r>
    </w:p>
    <w:p>
      <w:pPr>
        <w:spacing w:line="360" w:lineRule="auto"/>
        <w:ind w:firstLine="480" w:firstLineChars="200"/>
        <w:jc w:val="left"/>
        <w:rPr>
          <w:rFonts w:ascii="宋体" w:hAnsi="宋体" w:cs="仿宋"/>
          <w:sz w:val="24"/>
        </w:rPr>
      </w:pPr>
      <w:bookmarkStart w:id="55" w:name="_Toc100838239"/>
      <w:bookmarkStart w:id="56" w:name="_Toc24191"/>
      <w:r>
        <w:rPr>
          <w:rFonts w:hint="eastAsia" w:ascii="宋体" w:hAnsi="宋体" w:cs="仿宋"/>
          <w:sz w:val="24"/>
        </w:rPr>
        <w:t>4</w:t>
      </w:r>
      <w:r>
        <w:rPr>
          <w:rFonts w:ascii="宋体" w:hAnsi="宋体" w:cs="仿宋"/>
          <w:sz w:val="24"/>
        </w:rPr>
        <w:t>.</w:t>
      </w:r>
      <w:r>
        <w:rPr>
          <w:rFonts w:hint="eastAsia" w:ascii="宋体" w:hAnsi="宋体" w:cs="仿宋"/>
          <w:sz w:val="24"/>
        </w:rPr>
        <w:t>履约验收其他事项</w:t>
      </w:r>
      <w:bookmarkEnd w:id="55"/>
      <w:bookmarkEnd w:id="56"/>
    </w:p>
    <w:p>
      <w:pPr>
        <w:pStyle w:val="967"/>
        <w:spacing w:after="120" w:line="360" w:lineRule="auto"/>
        <w:ind w:firstLine="480"/>
        <w:rPr>
          <w:rFonts w:ascii="宋体" w:hAnsi="宋体" w:eastAsia="宋体" w:cs="仿宋"/>
          <w:sz w:val="24"/>
          <w:szCs w:val="24"/>
        </w:rPr>
      </w:pPr>
      <w:r>
        <w:rPr>
          <w:rFonts w:hint="eastAsia" w:ascii="宋体" w:hAnsi="宋体" w:eastAsia="宋体" w:cs="仿宋"/>
          <w:sz w:val="24"/>
          <w:szCs w:val="24"/>
        </w:rPr>
        <w:t>（1）采购人在供应商提供相关服务的过程中，有权不定期对服务内容和质量进行考核。供应商提供相关服务过程中有违反合同约定、不达约定标准情况的，采购人有权要求供应商限期整改，供应商未按采购人</w:t>
      </w:r>
      <w:r>
        <w:rPr>
          <w:rFonts w:ascii="宋体" w:hAnsi="宋体" w:eastAsia="宋体" w:cs="仿宋"/>
          <w:sz w:val="24"/>
          <w:szCs w:val="24"/>
        </w:rPr>
        <w:t>要求整改的，采购人有权拒绝验收，供应商应承担相应的违约责任。</w:t>
      </w:r>
    </w:p>
    <w:p>
      <w:pPr>
        <w:pStyle w:val="967"/>
        <w:spacing w:after="120" w:line="360" w:lineRule="auto"/>
        <w:ind w:firstLine="480"/>
        <w:rPr>
          <w:rFonts w:ascii="宋体" w:hAnsi="宋体" w:eastAsia="宋体" w:cs="仿宋"/>
          <w:sz w:val="24"/>
          <w:szCs w:val="24"/>
        </w:rPr>
      </w:pPr>
      <w:r>
        <w:rPr>
          <w:rFonts w:hint="eastAsia" w:ascii="宋体" w:hAnsi="宋体" w:eastAsia="宋体" w:cs="仿宋"/>
          <w:sz w:val="24"/>
          <w:szCs w:val="24"/>
        </w:rPr>
        <w:t>（2）</w:t>
      </w:r>
      <w:r>
        <w:rPr>
          <w:rFonts w:ascii="宋体" w:hAnsi="宋体" w:eastAsia="宋体" w:cs="仿宋"/>
          <w:sz w:val="24"/>
          <w:szCs w:val="24"/>
        </w:rPr>
        <w:t>供应商服务成果未通过采购人验收，采购人有权要求供应商进行整改，相关费用</w:t>
      </w:r>
      <w:r>
        <w:rPr>
          <w:rFonts w:hint="eastAsia" w:ascii="宋体" w:hAnsi="宋体" w:eastAsia="宋体" w:cs="仿宋"/>
          <w:sz w:val="24"/>
          <w:szCs w:val="24"/>
        </w:rPr>
        <w:t>（包括但不限于重新组织验收等费用）</w:t>
      </w:r>
      <w:r>
        <w:rPr>
          <w:rFonts w:ascii="宋体" w:hAnsi="宋体" w:eastAsia="宋体" w:cs="仿宋"/>
          <w:sz w:val="24"/>
          <w:szCs w:val="24"/>
        </w:rPr>
        <w:t>由供应商承担；如供应商</w:t>
      </w:r>
      <w:r>
        <w:rPr>
          <w:rFonts w:hint="eastAsia" w:ascii="宋体" w:hAnsi="宋体" w:eastAsia="宋体" w:cs="仿宋"/>
          <w:sz w:val="24"/>
          <w:szCs w:val="24"/>
        </w:rPr>
        <w:t>未在采购人要求期限内整改或整改后仍不合格或已经无法整改的，采购人有权要求供应商承担相应的违约责任。</w:t>
      </w:r>
    </w:p>
    <w:bookmarkEnd w:id="52"/>
    <w:p>
      <w:pPr>
        <w:spacing w:before="120" w:beforeLines="50" w:after="120" w:afterLines="50" w:line="360" w:lineRule="auto"/>
        <w:rPr>
          <w:rFonts w:ascii="宋体" w:hAnsi="宋体" w:cs="宋体"/>
          <w:b/>
          <w:sz w:val="24"/>
        </w:rPr>
      </w:pPr>
      <w:r>
        <w:rPr>
          <w:rFonts w:hint="eastAsia" w:ascii="宋体" w:hAnsi="宋体" w:cs="宋体"/>
          <w:b/>
          <w:sz w:val="24"/>
        </w:rPr>
        <w:t>五、投标文件中需提供以下资料：</w:t>
      </w:r>
    </w:p>
    <w:p>
      <w:pPr>
        <w:widowControl/>
        <w:spacing w:line="360" w:lineRule="auto"/>
        <w:textAlignment w:val="center"/>
        <w:rPr>
          <w:rFonts w:ascii="宋体" w:hAnsi="宋体" w:cs="仿宋"/>
          <w:sz w:val="24"/>
        </w:rPr>
      </w:pPr>
      <w:r>
        <w:rPr>
          <w:rFonts w:hint="eastAsia" w:ascii="宋体" w:hAnsi="宋体" w:cs="仿宋"/>
          <w:sz w:val="24"/>
        </w:rPr>
        <w:t>（</w:t>
      </w:r>
      <w:r>
        <w:rPr>
          <w:rFonts w:ascii="宋体" w:hAnsi="宋体" w:cs="仿宋"/>
          <w:sz w:val="24"/>
        </w:rPr>
        <w:t>1）</w:t>
      </w:r>
      <w:r>
        <w:rPr>
          <w:rFonts w:hint="eastAsia" w:ascii="宋体" w:hAnsi="宋体" w:cs="仿宋"/>
          <w:sz w:val="24"/>
        </w:rPr>
        <w:t>维护服务组织方案；</w:t>
      </w:r>
    </w:p>
    <w:p>
      <w:pPr>
        <w:pStyle w:val="2"/>
        <w:spacing w:after="120" w:line="360" w:lineRule="auto"/>
        <w:ind w:firstLine="0" w:firstLineChars="0"/>
        <w:rPr>
          <w:rFonts w:cs="仿宋"/>
        </w:rPr>
      </w:pPr>
      <w:r>
        <w:rPr>
          <w:rFonts w:hint="eastAsia" w:cs="仿宋"/>
        </w:rPr>
        <w:t>（</w:t>
      </w:r>
      <w:r>
        <w:rPr>
          <w:rFonts w:cs="仿宋"/>
        </w:rPr>
        <w:t>2）</w:t>
      </w:r>
      <w:r>
        <w:rPr>
          <w:rFonts w:hint="eastAsia" w:cs="仿宋"/>
        </w:rPr>
        <w:t>售后服务。</w:t>
      </w:r>
    </w:p>
    <w:bookmarkEnd w:id="29"/>
    <w:p>
      <w:pPr>
        <w:spacing w:line="360" w:lineRule="auto"/>
        <w:ind w:firstLine="120" w:firstLineChars="50"/>
        <w:rPr>
          <w:rFonts w:ascii="宋体" w:hAnsi="宋体" w:cs="宋体"/>
          <w:b/>
          <w:sz w:val="24"/>
        </w:rPr>
      </w:pPr>
    </w:p>
    <w:p>
      <w:pPr>
        <w:pStyle w:val="4"/>
      </w:pPr>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57" w:name="_Toc184310300"/>
      <w:bookmarkEnd w:id="57"/>
      <w:bookmarkStart w:id="58" w:name="_Toc184313288"/>
      <w:bookmarkEnd w:id="58"/>
      <w:bookmarkStart w:id="59" w:name="_Toc184312070"/>
      <w:bookmarkEnd w:id="59"/>
      <w:bookmarkStart w:id="60" w:name="_Toc184314434"/>
      <w:bookmarkEnd w:id="60"/>
      <w:bookmarkStart w:id="61" w:name="_Toc184313239"/>
      <w:bookmarkEnd w:id="61"/>
      <w:bookmarkStart w:id="62" w:name="_Toc184314442"/>
      <w:bookmarkEnd w:id="62"/>
      <w:bookmarkStart w:id="63" w:name="_Toc184313259"/>
      <w:bookmarkEnd w:id="63"/>
      <w:bookmarkStart w:id="64" w:name="_Toc184312068"/>
      <w:bookmarkEnd w:id="64"/>
      <w:bookmarkStart w:id="65" w:name="_Toc184313253"/>
      <w:bookmarkEnd w:id="65"/>
      <w:bookmarkStart w:id="66" w:name="_Toc184308042"/>
      <w:bookmarkEnd w:id="66"/>
      <w:bookmarkStart w:id="67" w:name="_Toc184310296"/>
      <w:bookmarkEnd w:id="67"/>
      <w:bookmarkStart w:id="68" w:name="_Toc184310336"/>
      <w:bookmarkEnd w:id="68"/>
      <w:bookmarkStart w:id="69" w:name="_Toc184314425"/>
      <w:bookmarkEnd w:id="69"/>
      <w:bookmarkStart w:id="70" w:name="_Toc184313287"/>
      <w:bookmarkEnd w:id="70"/>
      <w:bookmarkStart w:id="71" w:name="_Toc184308106"/>
      <w:bookmarkEnd w:id="71"/>
      <w:bookmarkStart w:id="72" w:name="_Toc184310317"/>
      <w:bookmarkEnd w:id="72"/>
      <w:bookmarkStart w:id="73" w:name="_Toc184310322"/>
      <w:bookmarkEnd w:id="73"/>
      <w:bookmarkStart w:id="74" w:name="_Toc184313262"/>
      <w:bookmarkEnd w:id="74"/>
      <w:bookmarkStart w:id="75" w:name="_Toc184308092"/>
      <w:bookmarkEnd w:id="75"/>
      <w:bookmarkStart w:id="76" w:name="_Toc184310334"/>
      <w:bookmarkEnd w:id="76"/>
      <w:bookmarkStart w:id="77" w:name="_Toc184310328"/>
      <w:bookmarkEnd w:id="77"/>
      <w:bookmarkStart w:id="78" w:name="_Toc184313260"/>
      <w:bookmarkEnd w:id="78"/>
      <w:bookmarkStart w:id="79" w:name="_Toc184314427"/>
      <w:bookmarkEnd w:id="79"/>
      <w:bookmarkStart w:id="80" w:name="_Toc184314465"/>
      <w:bookmarkEnd w:id="80"/>
      <w:bookmarkStart w:id="81" w:name="_Toc184314432"/>
      <w:bookmarkEnd w:id="81"/>
      <w:bookmarkStart w:id="82" w:name="_Toc184310318"/>
      <w:bookmarkEnd w:id="82"/>
      <w:bookmarkStart w:id="83" w:name="_Toc184313240"/>
      <w:bookmarkEnd w:id="83"/>
      <w:bookmarkStart w:id="84" w:name="_Toc184313303"/>
      <w:bookmarkEnd w:id="84"/>
      <w:bookmarkStart w:id="85" w:name="_Toc184314428"/>
      <w:bookmarkEnd w:id="85"/>
      <w:bookmarkStart w:id="86" w:name="_Toc184312091"/>
      <w:bookmarkEnd w:id="86"/>
      <w:bookmarkStart w:id="87" w:name="_Toc184314481"/>
      <w:bookmarkEnd w:id="87"/>
      <w:bookmarkStart w:id="88" w:name="_Toc184313274"/>
      <w:bookmarkEnd w:id="88"/>
      <w:bookmarkStart w:id="89" w:name="_Toc184314449"/>
      <w:bookmarkEnd w:id="89"/>
      <w:bookmarkStart w:id="90" w:name="_Toc184312104"/>
      <w:bookmarkEnd w:id="90"/>
      <w:bookmarkStart w:id="91" w:name="_Toc184313265"/>
      <w:bookmarkEnd w:id="91"/>
      <w:bookmarkStart w:id="92" w:name="_Toc184313256"/>
      <w:bookmarkEnd w:id="92"/>
      <w:bookmarkStart w:id="93" w:name="_Toc184314451"/>
      <w:bookmarkEnd w:id="93"/>
      <w:bookmarkStart w:id="94" w:name="_Toc184313241"/>
      <w:bookmarkEnd w:id="94"/>
      <w:bookmarkStart w:id="95" w:name="_Toc184310335"/>
      <w:bookmarkEnd w:id="95"/>
      <w:bookmarkStart w:id="96" w:name="_Toc184308062"/>
      <w:bookmarkEnd w:id="96"/>
      <w:bookmarkStart w:id="97" w:name="_Toc184312122"/>
      <w:bookmarkEnd w:id="97"/>
      <w:bookmarkStart w:id="98" w:name="_Toc184310338"/>
      <w:bookmarkEnd w:id="98"/>
      <w:bookmarkStart w:id="99" w:name="_Toc184308041"/>
      <w:bookmarkEnd w:id="99"/>
      <w:bookmarkStart w:id="100" w:name="_Toc184312084"/>
      <w:bookmarkEnd w:id="100"/>
      <w:bookmarkStart w:id="101" w:name="_Toc184314457"/>
      <w:bookmarkEnd w:id="101"/>
      <w:bookmarkStart w:id="102" w:name="_Toc184308056"/>
      <w:bookmarkEnd w:id="102"/>
      <w:bookmarkStart w:id="103" w:name="_Toc184308064"/>
      <w:bookmarkEnd w:id="103"/>
      <w:bookmarkStart w:id="104" w:name="_Toc184312069"/>
      <w:bookmarkEnd w:id="104"/>
      <w:bookmarkStart w:id="105" w:name="_Toc184308081"/>
      <w:bookmarkEnd w:id="105"/>
      <w:bookmarkStart w:id="106" w:name="_Toc184310291"/>
      <w:bookmarkEnd w:id="106"/>
      <w:bookmarkStart w:id="107" w:name="_Toc184312125"/>
      <w:bookmarkEnd w:id="107"/>
      <w:bookmarkStart w:id="108" w:name="_Toc184314448"/>
      <w:bookmarkEnd w:id="108"/>
      <w:bookmarkStart w:id="109" w:name="_Toc184310272"/>
      <w:bookmarkEnd w:id="109"/>
      <w:bookmarkStart w:id="110" w:name="_Toc184308059"/>
      <w:bookmarkEnd w:id="110"/>
      <w:bookmarkStart w:id="111" w:name="_Toc184312101"/>
      <w:bookmarkEnd w:id="111"/>
      <w:bookmarkStart w:id="112" w:name="_Toc184313299"/>
      <w:bookmarkEnd w:id="112"/>
      <w:bookmarkStart w:id="113" w:name="_Toc184308100"/>
      <w:bookmarkEnd w:id="113"/>
      <w:bookmarkStart w:id="114" w:name="_Toc184313285"/>
      <w:bookmarkEnd w:id="114"/>
      <w:bookmarkStart w:id="115" w:name="_Toc184312076"/>
      <w:bookmarkEnd w:id="115"/>
      <w:bookmarkStart w:id="116" w:name="_Toc184313254"/>
      <w:bookmarkEnd w:id="116"/>
      <w:bookmarkStart w:id="117" w:name="_Toc184310299"/>
      <w:bookmarkEnd w:id="117"/>
      <w:bookmarkStart w:id="118" w:name="_Toc184314415"/>
      <w:bookmarkEnd w:id="118"/>
      <w:bookmarkStart w:id="119" w:name="_Toc184313293"/>
      <w:bookmarkEnd w:id="119"/>
      <w:bookmarkStart w:id="120" w:name="_Toc184314436"/>
      <w:bookmarkEnd w:id="120"/>
      <w:bookmarkStart w:id="121" w:name="_Toc184314445"/>
      <w:bookmarkEnd w:id="121"/>
      <w:bookmarkStart w:id="122" w:name="_Toc184308083"/>
      <w:bookmarkEnd w:id="122"/>
      <w:bookmarkStart w:id="123" w:name="_Toc184310330"/>
      <w:bookmarkEnd w:id="123"/>
      <w:bookmarkStart w:id="124" w:name="_Toc184308075"/>
      <w:bookmarkEnd w:id="124"/>
      <w:bookmarkStart w:id="125" w:name="_Toc184310285"/>
      <w:bookmarkEnd w:id="125"/>
      <w:bookmarkStart w:id="126" w:name="_Toc184314447"/>
      <w:bookmarkEnd w:id="126"/>
      <w:bookmarkStart w:id="127" w:name="_Toc184310323"/>
      <w:bookmarkEnd w:id="127"/>
      <w:bookmarkStart w:id="128" w:name="_Toc184313308"/>
      <w:bookmarkEnd w:id="128"/>
      <w:bookmarkStart w:id="129" w:name="_Toc184314417"/>
      <w:bookmarkEnd w:id="129"/>
      <w:bookmarkStart w:id="130" w:name="_Toc184314463"/>
      <w:bookmarkEnd w:id="130"/>
      <w:bookmarkStart w:id="131" w:name="_Toc184308107"/>
      <w:bookmarkEnd w:id="131"/>
      <w:bookmarkStart w:id="132" w:name="_Toc184310289"/>
      <w:bookmarkEnd w:id="132"/>
      <w:bookmarkStart w:id="133" w:name="_Toc184310278"/>
      <w:bookmarkEnd w:id="133"/>
      <w:bookmarkStart w:id="134" w:name="_Toc184312078"/>
      <w:bookmarkEnd w:id="134"/>
      <w:bookmarkStart w:id="135" w:name="_Toc184308051"/>
      <w:bookmarkEnd w:id="135"/>
      <w:bookmarkStart w:id="136" w:name="_Toc184313298"/>
      <w:bookmarkEnd w:id="136"/>
      <w:bookmarkStart w:id="137" w:name="_Toc184314421"/>
      <w:bookmarkEnd w:id="137"/>
      <w:bookmarkStart w:id="138" w:name="_Toc184314422"/>
      <w:bookmarkEnd w:id="138"/>
      <w:bookmarkStart w:id="139" w:name="_Toc184313244"/>
      <w:bookmarkEnd w:id="139"/>
      <w:bookmarkStart w:id="140" w:name="_Toc184312135"/>
      <w:bookmarkEnd w:id="140"/>
      <w:bookmarkStart w:id="141" w:name="_Toc184312113"/>
      <w:bookmarkEnd w:id="141"/>
      <w:bookmarkStart w:id="142" w:name="_Toc184310316"/>
      <w:bookmarkEnd w:id="142"/>
      <w:bookmarkStart w:id="143" w:name="_Toc184312123"/>
      <w:bookmarkEnd w:id="143"/>
      <w:bookmarkStart w:id="144" w:name="_Toc184308071"/>
      <w:bookmarkEnd w:id="144"/>
      <w:bookmarkStart w:id="145" w:name="_Toc184312098"/>
      <w:bookmarkEnd w:id="145"/>
      <w:bookmarkStart w:id="146" w:name="_Toc184314461"/>
      <w:bookmarkEnd w:id="146"/>
      <w:bookmarkStart w:id="147" w:name="_Toc184314480"/>
      <w:bookmarkEnd w:id="147"/>
      <w:bookmarkStart w:id="148" w:name="_Toc184313249"/>
      <w:bookmarkEnd w:id="148"/>
      <w:bookmarkStart w:id="149" w:name="_Toc184313300"/>
      <w:bookmarkEnd w:id="149"/>
      <w:bookmarkStart w:id="150" w:name="_Toc184314450"/>
      <w:bookmarkEnd w:id="150"/>
      <w:bookmarkStart w:id="151" w:name="_Toc184308077"/>
      <w:bookmarkEnd w:id="151"/>
      <w:bookmarkStart w:id="152" w:name="_Toc184312116"/>
      <w:bookmarkEnd w:id="152"/>
      <w:bookmarkStart w:id="153" w:name="_Toc184308101"/>
      <w:bookmarkEnd w:id="153"/>
      <w:bookmarkStart w:id="154" w:name="_Toc184312108"/>
      <w:bookmarkEnd w:id="154"/>
      <w:bookmarkStart w:id="155" w:name="_Toc184312124"/>
      <w:bookmarkEnd w:id="155"/>
      <w:bookmarkStart w:id="156" w:name="_Toc184310315"/>
      <w:bookmarkEnd w:id="156"/>
      <w:bookmarkStart w:id="157" w:name="_Toc184313251"/>
      <w:bookmarkEnd w:id="157"/>
      <w:bookmarkStart w:id="158" w:name="_Toc184308103"/>
      <w:bookmarkEnd w:id="158"/>
      <w:bookmarkStart w:id="159" w:name="_Toc184308095"/>
      <w:bookmarkEnd w:id="159"/>
      <w:bookmarkStart w:id="160" w:name="_Toc184310309"/>
      <w:bookmarkEnd w:id="160"/>
      <w:bookmarkStart w:id="161" w:name="_Toc184312090"/>
      <w:bookmarkEnd w:id="161"/>
      <w:bookmarkStart w:id="162" w:name="_Toc184310344"/>
      <w:bookmarkEnd w:id="162"/>
      <w:bookmarkStart w:id="163" w:name="_Toc184314479"/>
      <w:bookmarkEnd w:id="163"/>
      <w:bookmarkStart w:id="164" w:name="_Toc184313301"/>
      <w:bookmarkEnd w:id="164"/>
      <w:bookmarkStart w:id="165" w:name="_Toc184310333"/>
      <w:bookmarkEnd w:id="165"/>
      <w:bookmarkStart w:id="166" w:name="_Toc184312137"/>
      <w:bookmarkEnd w:id="166"/>
      <w:bookmarkStart w:id="167" w:name="_Toc184312099"/>
      <w:bookmarkEnd w:id="167"/>
      <w:bookmarkStart w:id="168" w:name="_Toc184310329"/>
      <w:bookmarkEnd w:id="168"/>
      <w:bookmarkStart w:id="169" w:name="_Toc184310325"/>
      <w:bookmarkEnd w:id="169"/>
      <w:bookmarkStart w:id="170" w:name="_Toc184308087"/>
      <w:bookmarkEnd w:id="170"/>
      <w:bookmarkStart w:id="171" w:name="_Toc184314411"/>
      <w:bookmarkEnd w:id="171"/>
      <w:bookmarkStart w:id="172" w:name="_Toc184312079"/>
      <w:bookmarkEnd w:id="172"/>
      <w:bookmarkStart w:id="173" w:name="_Toc184312094"/>
      <w:bookmarkEnd w:id="173"/>
      <w:bookmarkStart w:id="174" w:name="_Toc184308050"/>
      <w:bookmarkEnd w:id="174"/>
      <w:bookmarkStart w:id="175" w:name="_Toc184308070"/>
      <w:bookmarkEnd w:id="175"/>
      <w:bookmarkStart w:id="176" w:name="_Toc184312100"/>
      <w:bookmarkEnd w:id="176"/>
      <w:bookmarkStart w:id="177" w:name="_Toc184308044"/>
      <w:bookmarkEnd w:id="177"/>
      <w:bookmarkStart w:id="178" w:name="_Toc184313267"/>
      <w:bookmarkEnd w:id="178"/>
      <w:bookmarkStart w:id="179" w:name="_Toc184308084"/>
      <w:bookmarkEnd w:id="179"/>
      <w:bookmarkStart w:id="180" w:name="_Toc184308088"/>
      <w:bookmarkEnd w:id="180"/>
      <w:bookmarkStart w:id="181" w:name="_Toc184312112"/>
      <w:bookmarkEnd w:id="181"/>
      <w:bookmarkStart w:id="182" w:name="_Toc184312130"/>
      <w:bookmarkEnd w:id="182"/>
      <w:bookmarkStart w:id="183" w:name="_Toc184310274"/>
      <w:bookmarkEnd w:id="183"/>
      <w:bookmarkStart w:id="184" w:name="_Toc184314482"/>
      <w:bookmarkEnd w:id="184"/>
      <w:bookmarkStart w:id="185" w:name="_Toc184310314"/>
      <w:bookmarkEnd w:id="185"/>
      <w:bookmarkStart w:id="186" w:name="_Toc184314439"/>
      <w:bookmarkEnd w:id="186"/>
      <w:bookmarkStart w:id="187" w:name="_Toc184312086"/>
      <w:bookmarkEnd w:id="187"/>
      <w:bookmarkStart w:id="188" w:name="_Toc184308090"/>
      <w:bookmarkEnd w:id="188"/>
      <w:bookmarkStart w:id="189" w:name="_Toc184312081"/>
      <w:bookmarkEnd w:id="189"/>
      <w:bookmarkStart w:id="190" w:name="_Toc184313280"/>
      <w:bookmarkEnd w:id="190"/>
      <w:bookmarkStart w:id="191" w:name="_Toc184314462"/>
      <w:bookmarkEnd w:id="191"/>
      <w:bookmarkStart w:id="192" w:name="_Toc184312080"/>
      <w:bookmarkEnd w:id="192"/>
      <w:bookmarkStart w:id="193" w:name="_Toc184314455"/>
      <w:bookmarkEnd w:id="193"/>
      <w:bookmarkStart w:id="194" w:name="_Toc184313268"/>
      <w:bookmarkEnd w:id="194"/>
      <w:bookmarkStart w:id="195" w:name="_Toc184310321"/>
      <w:bookmarkEnd w:id="195"/>
      <w:bookmarkStart w:id="196" w:name="_Toc184310275"/>
      <w:bookmarkEnd w:id="196"/>
      <w:bookmarkStart w:id="197" w:name="_Toc184314471"/>
      <w:bookmarkEnd w:id="197"/>
      <w:bookmarkStart w:id="198" w:name="_Toc184312083"/>
      <w:bookmarkEnd w:id="198"/>
      <w:bookmarkStart w:id="199" w:name="_Toc184310284"/>
      <w:bookmarkEnd w:id="199"/>
      <w:bookmarkStart w:id="200" w:name="_Toc184312074"/>
      <w:bookmarkEnd w:id="200"/>
      <w:bookmarkStart w:id="201" w:name="_Toc184313282"/>
      <w:bookmarkEnd w:id="201"/>
      <w:bookmarkStart w:id="202" w:name="_Toc184314414"/>
      <w:bookmarkEnd w:id="202"/>
      <w:bookmarkStart w:id="203" w:name="_Toc184312117"/>
      <w:bookmarkEnd w:id="203"/>
      <w:bookmarkStart w:id="204" w:name="_Toc184313290"/>
      <w:bookmarkEnd w:id="204"/>
      <w:bookmarkStart w:id="205" w:name="_Toc184313242"/>
      <w:bookmarkEnd w:id="205"/>
      <w:bookmarkStart w:id="206" w:name="_Toc184314423"/>
      <w:bookmarkEnd w:id="206"/>
      <w:bookmarkStart w:id="207" w:name="_Toc184313295"/>
      <w:bookmarkEnd w:id="207"/>
      <w:bookmarkStart w:id="208" w:name="_Toc184314435"/>
      <w:bookmarkEnd w:id="208"/>
      <w:bookmarkStart w:id="209" w:name="_Toc184310308"/>
      <w:bookmarkEnd w:id="209"/>
      <w:bookmarkStart w:id="210" w:name="_Toc184308038"/>
      <w:bookmarkEnd w:id="210"/>
      <w:bookmarkStart w:id="211" w:name="_Toc184312136"/>
      <w:bookmarkEnd w:id="211"/>
      <w:bookmarkStart w:id="212" w:name="_Toc184312133"/>
      <w:bookmarkEnd w:id="212"/>
      <w:bookmarkStart w:id="213" w:name="_Toc184313310"/>
      <w:bookmarkEnd w:id="213"/>
      <w:bookmarkStart w:id="214" w:name="_Toc184308073"/>
      <w:bookmarkEnd w:id="214"/>
      <w:bookmarkStart w:id="215" w:name="_Toc184308105"/>
      <w:bookmarkEnd w:id="215"/>
      <w:bookmarkStart w:id="216" w:name="_Toc184308060"/>
      <w:bookmarkEnd w:id="216"/>
      <w:bookmarkStart w:id="217" w:name="_Toc184314472"/>
      <w:bookmarkEnd w:id="217"/>
      <w:bookmarkStart w:id="218" w:name="_Toc184314441"/>
      <w:bookmarkEnd w:id="218"/>
      <w:bookmarkStart w:id="219" w:name="_Toc184310294"/>
      <w:bookmarkEnd w:id="219"/>
      <w:bookmarkStart w:id="220" w:name="_Toc184310290"/>
      <w:bookmarkEnd w:id="220"/>
      <w:bookmarkStart w:id="221" w:name="_Toc184314433"/>
      <w:bookmarkEnd w:id="221"/>
      <w:bookmarkStart w:id="222" w:name="_Toc184312095"/>
      <w:bookmarkEnd w:id="222"/>
      <w:bookmarkStart w:id="223" w:name="_Toc184313281"/>
      <w:bookmarkEnd w:id="223"/>
      <w:bookmarkStart w:id="224" w:name="_Toc184313273"/>
      <w:bookmarkEnd w:id="224"/>
      <w:bookmarkStart w:id="225" w:name="_Toc184313296"/>
      <w:bookmarkEnd w:id="225"/>
      <w:bookmarkStart w:id="226" w:name="_Toc184310280"/>
      <w:bookmarkEnd w:id="226"/>
      <w:bookmarkStart w:id="227" w:name="_Toc184312114"/>
      <w:bookmarkEnd w:id="227"/>
      <w:bookmarkStart w:id="228" w:name="_Toc184313307"/>
      <w:bookmarkEnd w:id="228"/>
      <w:bookmarkStart w:id="229" w:name="_Toc184313305"/>
      <w:bookmarkEnd w:id="229"/>
      <w:bookmarkStart w:id="230" w:name="_Toc184312111"/>
      <w:bookmarkEnd w:id="230"/>
      <w:bookmarkStart w:id="231" w:name="_Toc184310340"/>
      <w:bookmarkEnd w:id="231"/>
      <w:bookmarkStart w:id="232" w:name="_Toc184312120"/>
      <w:bookmarkEnd w:id="232"/>
      <w:bookmarkStart w:id="233" w:name="_Toc184312075"/>
      <w:bookmarkEnd w:id="233"/>
      <w:bookmarkStart w:id="234" w:name="_Toc184308065"/>
      <w:bookmarkEnd w:id="234"/>
      <w:bookmarkStart w:id="235" w:name="_Toc184313258"/>
      <w:bookmarkEnd w:id="235"/>
      <w:bookmarkStart w:id="236" w:name="_Toc184310320"/>
      <w:bookmarkEnd w:id="236"/>
      <w:bookmarkStart w:id="237" w:name="_Toc184314429"/>
      <w:bookmarkEnd w:id="237"/>
      <w:bookmarkStart w:id="238" w:name="_Toc184308036"/>
      <w:bookmarkEnd w:id="238"/>
      <w:bookmarkStart w:id="239" w:name="_Toc184308085"/>
      <w:bookmarkEnd w:id="239"/>
      <w:bookmarkStart w:id="240" w:name="_Toc184314430"/>
      <w:bookmarkEnd w:id="240"/>
      <w:bookmarkStart w:id="241" w:name="_Toc184312132"/>
      <w:bookmarkEnd w:id="241"/>
      <w:bookmarkStart w:id="242" w:name="_Toc184314475"/>
      <w:bookmarkEnd w:id="242"/>
      <w:bookmarkStart w:id="243" w:name="_Toc184312134"/>
      <w:bookmarkEnd w:id="243"/>
      <w:bookmarkStart w:id="244" w:name="_Toc184310287"/>
      <w:bookmarkEnd w:id="244"/>
      <w:bookmarkStart w:id="245" w:name="_Toc184313255"/>
      <w:bookmarkEnd w:id="245"/>
      <w:bookmarkStart w:id="246" w:name="_Toc184313309"/>
      <w:bookmarkEnd w:id="246"/>
      <w:bookmarkStart w:id="247" w:name="_Toc184312088"/>
      <w:bookmarkEnd w:id="247"/>
      <w:bookmarkStart w:id="248" w:name="_Toc184310332"/>
      <w:bookmarkEnd w:id="248"/>
      <w:bookmarkStart w:id="249" w:name="_Toc184310324"/>
      <w:bookmarkEnd w:id="249"/>
      <w:bookmarkStart w:id="250" w:name="_Toc184310298"/>
      <w:bookmarkEnd w:id="250"/>
      <w:bookmarkStart w:id="251" w:name="_Toc184310306"/>
      <w:bookmarkEnd w:id="251"/>
      <w:bookmarkStart w:id="252" w:name="_Toc184314467"/>
      <w:bookmarkEnd w:id="252"/>
      <w:bookmarkStart w:id="253" w:name="_Toc184310293"/>
      <w:bookmarkEnd w:id="253"/>
      <w:bookmarkStart w:id="254" w:name="_Toc184308068"/>
      <w:bookmarkEnd w:id="254"/>
      <w:bookmarkStart w:id="255" w:name="_Toc184308072"/>
      <w:bookmarkEnd w:id="255"/>
      <w:bookmarkStart w:id="256" w:name="_Toc184314424"/>
      <w:bookmarkEnd w:id="256"/>
      <w:bookmarkStart w:id="257" w:name="_Toc184310277"/>
      <w:bookmarkEnd w:id="257"/>
      <w:bookmarkStart w:id="258" w:name="_Toc184314413"/>
      <w:bookmarkEnd w:id="258"/>
      <w:bookmarkStart w:id="259" w:name="_Toc184313277"/>
      <w:bookmarkEnd w:id="259"/>
      <w:bookmarkStart w:id="260" w:name="_Toc184314418"/>
      <w:bookmarkEnd w:id="260"/>
      <w:bookmarkStart w:id="261" w:name="_Toc184313263"/>
      <w:bookmarkEnd w:id="261"/>
      <w:bookmarkStart w:id="262" w:name="_Toc184314410"/>
      <w:bookmarkEnd w:id="262"/>
      <w:bookmarkStart w:id="263" w:name="_Toc184310319"/>
      <w:bookmarkEnd w:id="263"/>
      <w:bookmarkStart w:id="264" w:name="_Toc184310302"/>
      <w:bookmarkEnd w:id="264"/>
      <w:bookmarkStart w:id="265" w:name="_Toc184314469"/>
      <w:bookmarkEnd w:id="265"/>
      <w:bookmarkStart w:id="266" w:name="_Toc184314476"/>
      <w:bookmarkEnd w:id="266"/>
      <w:bookmarkStart w:id="267" w:name="_Toc184313246"/>
      <w:bookmarkEnd w:id="267"/>
      <w:bookmarkStart w:id="268" w:name="_Toc184308108"/>
      <w:bookmarkEnd w:id="268"/>
      <w:bookmarkStart w:id="269" w:name="_Toc184308098"/>
      <w:bookmarkEnd w:id="269"/>
      <w:bookmarkStart w:id="270" w:name="_Toc184314456"/>
      <w:bookmarkEnd w:id="270"/>
      <w:bookmarkStart w:id="271" w:name="_Toc184308089"/>
      <w:bookmarkEnd w:id="271"/>
      <w:bookmarkStart w:id="272" w:name="_Toc184312126"/>
      <w:bookmarkEnd w:id="272"/>
      <w:bookmarkStart w:id="273" w:name="_Toc184314454"/>
      <w:bookmarkEnd w:id="273"/>
      <w:bookmarkStart w:id="274" w:name="_Toc184310305"/>
      <w:bookmarkEnd w:id="274"/>
      <w:bookmarkStart w:id="275" w:name="_Toc184313291"/>
      <w:bookmarkEnd w:id="275"/>
      <w:bookmarkStart w:id="276" w:name="_Toc184313250"/>
      <w:bookmarkEnd w:id="276"/>
      <w:bookmarkStart w:id="277" w:name="_Toc184308039"/>
      <w:bookmarkEnd w:id="277"/>
      <w:bookmarkStart w:id="278" w:name="_Toc184310312"/>
      <w:bookmarkEnd w:id="278"/>
      <w:bookmarkStart w:id="279" w:name="_Toc184313269"/>
      <w:bookmarkEnd w:id="279"/>
      <w:bookmarkStart w:id="280" w:name="_Toc184314452"/>
      <w:bookmarkEnd w:id="280"/>
      <w:bookmarkStart w:id="281" w:name="_Toc184308096"/>
      <w:bookmarkEnd w:id="281"/>
      <w:bookmarkStart w:id="282" w:name="_Toc184313252"/>
      <w:bookmarkEnd w:id="282"/>
      <w:bookmarkStart w:id="283" w:name="_Toc184314444"/>
      <w:bookmarkEnd w:id="283"/>
      <w:bookmarkStart w:id="284" w:name="_Toc184313283"/>
      <w:bookmarkEnd w:id="284"/>
      <w:bookmarkStart w:id="285" w:name="_Toc184308104"/>
      <w:bookmarkEnd w:id="285"/>
      <w:bookmarkStart w:id="286" w:name="_Toc184312131"/>
      <w:bookmarkEnd w:id="286"/>
      <w:bookmarkStart w:id="287" w:name="_Toc184308046"/>
      <w:bookmarkEnd w:id="287"/>
      <w:bookmarkStart w:id="288" w:name="_Toc184308080"/>
      <w:bookmarkEnd w:id="288"/>
      <w:bookmarkStart w:id="289" w:name="_Toc184310282"/>
      <w:bookmarkEnd w:id="289"/>
      <w:bookmarkStart w:id="290" w:name="_Toc184308078"/>
      <w:bookmarkEnd w:id="290"/>
      <w:bookmarkStart w:id="291" w:name="_Toc184308049"/>
      <w:bookmarkEnd w:id="291"/>
      <w:bookmarkStart w:id="292" w:name="_Toc184313306"/>
      <w:bookmarkEnd w:id="292"/>
      <w:bookmarkStart w:id="293" w:name="_Toc184314460"/>
      <w:bookmarkEnd w:id="293"/>
      <w:bookmarkStart w:id="294" w:name="_Toc184310273"/>
      <w:bookmarkEnd w:id="294"/>
      <w:bookmarkStart w:id="295" w:name="_Toc184312067"/>
      <w:bookmarkEnd w:id="295"/>
      <w:bookmarkStart w:id="296" w:name="_Toc184310313"/>
      <w:bookmarkEnd w:id="296"/>
      <w:bookmarkStart w:id="297" w:name="_Toc184308074"/>
      <w:bookmarkEnd w:id="297"/>
      <w:bookmarkStart w:id="298" w:name="_Toc184310295"/>
      <w:bookmarkEnd w:id="298"/>
      <w:bookmarkStart w:id="299" w:name="_Toc184308063"/>
      <w:bookmarkEnd w:id="299"/>
      <w:bookmarkStart w:id="300" w:name="_Toc184313247"/>
      <w:bookmarkEnd w:id="300"/>
      <w:bookmarkStart w:id="301" w:name="_Toc184314478"/>
      <w:bookmarkEnd w:id="301"/>
      <w:bookmarkStart w:id="302" w:name="_Toc184310327"/>
      <w:bookmarkEnd w:id="302"/>
      <w:bookmarkStart w:id="303" w:name="_Toc184314426"/>
      <w:bookmarkEnd w:id="303"/>
      <w:bookmarkStart w:id="304" w:name="_Toc184310283"/>
      <w:bookmarkEnd w:id="304"/>
      <w:bookmarkStart w:id="305" w:name="_Toc184310310"/>
      <w:bookmarkEnd w:id="305"/>
      <w:bookmarkStart w:id="306" w:name="_Toc184314446"/>
      <w:bookmarkEnd w:id="306"/>
      <w:bookmarkStart w:id="307" w:name="_Toc184313271"/>
      <w:bookmarkEnd w:id="307"/>
      <w:bookmarkStart w:id="308" w:name="_Toc184308099"/>
      <w:bookmarkEnd w:id="308"/>
      <w:bookmarkStart w:id="309" w:name="_Toc184312119"/>
      <w:bookmarkEnd w:id="309"/>
      <w:bookmarkStart w:id="310" w:name="_Toc184310342"/>
      <w:bookmarkEnd w:id="310"/>
      <w:bookmarkStart w:id="311" w:name="_Toc184313286"/>
      <w:bookmarkEnd w:id="311"/>
      <w:bookmarkStart w:id="312" w:name="_Toc184313302"/>
      <w:bookmarkEnd w:id="312"/>
      <w:bookmarkStart w:id="313" w:name="_Toc184312093"/>
      <w:bookmarkEnd w:id="313"/>
      <w:bookmarkStart w:id="314" w:name="_Toc184313275"/>
      <w:bookmarkEnd w:id="314"/>
      <w:bookmarkStart w:id="315" w:name="_Toc184310337"/>
      <w:bookmarkEnd w:id="315"/>
      <w:bookmarkStart w:id="316" w:name="_Toc184308079"/>
      <w:bookmarkEnd w:id="316"/>
      <w:bookmarkStart w:id="317" w:name="_Toc184314437"/>
      <w:bookmarkEnd w:id="317"/>
      <w:bookmarkStart w:id="318" w:name="_Toc184308067"/>
      <w:bookmarkEnd w:id="318"/>
      <w:bookmarkStart w:id="319" w:name="_Toc184308047"/>
      <w:bookmarkEnd w:id="319"/>
      <w:bookmarkStart w:id="320" w:name="_Toc184312103"/>
      <w:bookmarkEnd w:id="320"/>
      <w:bookmarkStart w:id="321" w:name="_Toc184314468"/>
      <w:bookmarkEnd w:id="321"/>
      <w:bookmarkStart w:id="322" w:name="_Toc184313284"/>
      <w:bookmarkEnd w:id="322"/>
      <w:bookmarkStart w:id="323" w:name="_Toc184310301"/>
      <w:bookmarkEnd w:id="323"/>
      <w:bookmarkStart w:id="324" w:name="_Toc184310304"/>
      <w:bookmarkEnd w:id="324"/>
      <w:bookmarkStart w:id="325" w:name="_Toc184310307"/>
      <w:bookmarkEnd w:id="325"/>
      <w:bookmarkStart w:id="326" w:name="_Toc184314474"/>
      <w:bookmarkEnd w:id="326"/>
      <w:bookmarkStart w:id="327" w:name="_Toc184308082"/>
      <w:bookmarkEnd w:id="327"/>
      <w:bookmarkStart w:id="328" w:name="_Toc184310343"/>
      <w:bookmarkEnd w:id="328"/>
      <w:bookmarkStart w:id="329" w:name="_Toc184312127"/>
      <w:bookmarkEnd w:id="329"/>
      <w:bookmarkStart w:id="330" w:name="_Toc184314443"/>
      <w:bookmarkEnd w:id="330"/>
      <w:bookmarkStart w:id="331" w:name="_Toc184313292"/>
      <w:bookmarkEnd w:id="331"/>
      <w:bookmarkStart w:id="332" w:name="_Toc184314416"/>
      <w:bookmarkEnd w:id="332"/>
      <w:bookmarkStart w:id="333" w:name="_Toc184310303"/>
      <w:bookmarkEnd w:id="333"/>
      <w:bookmarkStart w:id="334" w:name="_Toc184314440"/>
      <w:bookmarkEnd w:id="334"/>
      <w:bookmarkStart w:id="335" w:name="_Toc184308094"/>
      <w:bookmarkEnd w:id="335"/>
      <w:bookmarkStart w:id="336" w:name="_Toc184308061"/>
      <w:bookmarkEnd w:id="336"/>
      <w:bookmarkStart w:id="337" w:name="_Toc184308055"/>
      <w:bookmarkEnd w:id="337"/>
      <w:bookmarkStart w:id="338" w:name="_Toc184308053"/>
      <w:bookmarkEnd w:id="338"/>
      <w:bookmarkStart w:id="339" w:name="_Toc184313304"/>
      <w:bookmarkEnd w:id="339"/>
      <w:bookmarkStart w:id="340" w:name="_Toc184314419"/>
      <w:bookmarkEnd w:id="340"/>
      <w:bookmarkStart w:id="341" w:name="_Toc184313238"/>
      <w:bookmarkEnd w:id="341"/>
      <w:bookmarkStart w:id="342" w:name="_Toc184312109"/>
      <w:bookmarkEnd w:id="342"/>
      <w:bookmarkStart w:id="343" w:name="_Toc184310331"/>
      <w:bookmarkEnd w:id="343"/>
      <w:bookmarkStart w:id="344" w:name="_Toc184313270"/>
      <w:bookmarkEnd w:id="344"/>
      <w:bookmarkStart w:id="345" w:name="_Toc184308076"/>
      <w:bookmarkEnd w:id="345"/>
      <w:bookmarkStart w:id="346" w:name="_Toc184312138"/>
      <w:bookmarkEnd w:id="346"/>
      <w:bookmarkStart w:id="347" w:name="_Toc184314420"/>
      <w:bookmarkEnd w:id="347"/>
      <w:bookmarkStart w:id="348" w:name="_Toc184313278"/>
      <w:bookmarkEnd w:id="348"/>
      <w:bookmarkStart w:id="349" w:name="_Toc184308052"/>
      <w:bookmarkEnd w:id="349"/>
      <w:bookmarkStart w:id="350" w:name="_Toc184308069"/>
      <w:bookmarkEnd w:id="350"/>
      <w:bookmarkStart w:id="351" w:name="_Toc184308058"/>
      <w:bookmarkEnd w:id="351"/>
      <w:bookmarkStart w:id="352" w:name="_Toc184310326"/>
      <w:bookmarkEnd w:id="352"/>
      <w:bookmarkStart w:id="353" w:name="_Toc184312092"/>
      <w:bookmarkEnd w:id="353"/>
      <w:bookmarkStart w:id="354" w:name="_Toc184308086"/>
      <w:bookmarkEnd w:id="354"/>
      <w:bookmarkStart w:id="355" w:name="_Toc184312077"/>
      <w:bookmarkEnd w:id="355"/>
      <w:bookmarkStart w:id="356" w:name="_Toc184308040"/>
      <w:bookmarkEnd w:id="356"/>
      <w:bookmarkStart w:id="357" w:name="_Toc184314466"/>
      <w:bookmarkEnd w:id="357"/>
      <w:bookmarkStart w:id="358" w:name="_Toc184314458"/>
      <w:bookmarkEnd w:id="358"/>
      <w:bookmarkStart w:id="359" w:name="_Toc184312115"/>
      <w:bookmarkEnd w:id="359"/>
      <w:bookmarkStart w:id="360" w:name="_Toc184310281"/>
      <w:bookmarkEnd w:id="360"/>
      <w:bookmarkStart w:id="361" w:name="_Toc184312087"/>
      <w:bookmarkEnd w:id="361"/>
      <w:bookmarkStart w:id="362" w:name="_Toc184313289"/>
      <w:bookmarkEnd w:id="362"/>
      <w:bookmarkStart w:id="363" w:name="_Toc184312118"/>
      <w:bookmarkEnd w:id="363"/>
      <w:bookmarkStart w:id="364" w:name="_Toc184312073"/>
      <w:bookmarkEnd w:id="364"/>
      <w:bookmarkStart w:id="365" w:name="_Toc184310279"/>
      <w:bookmarkEnd w:id="365"/>
      <w:bookmarkStart w:id="366" w:name="_Toc184310297"/>
      <w:bookmarkEnd w:id="366"/>
      <w:bookmarkStart w:id="367" w:name="_Toc184313248"/>
      <w:bookmarkEnd w:id="367"/>
      <w:bookmarkStart w:id="368" w:name="_Toc184308037"/>
      <w:bookmarkEnd w:id="368"/>
      <w:bookmarkStart w:id="369" w:name="_Toc184313294"/>
      <w:bookmarkEnd w:id="369"/>
      <w:bookmarkStart w:id="370" w:name="_Toc184312139"/>
      <w:bookmarkEnd w:id="370"/>
      <w:bookmarkStart w:id="371" w:name="_Toc184308048"/>
      <w:bookmarkEnd w:id="371"/>
      <w:bookmarkStart w:id="372" w:name="_Toc184312121"/>
      <w:bookmarkEnd w:id="372"/>
      <w:bookmarkStart w:id="373" w:name="_Toc184313276"/>
      <w:bookmarkEnd w:id="373"/>
      <w:bookmarkStart w:id="374" w:name="_Toc184314412"/>
      <w:bookmarkEnd w:id="374"/>
      <w:bookmarkStart w:id="375" w:name="_Toc184312071"/>
      <w:bookmarkEnd w:id="375"/>
      <w:bookmarkStart w:id="376" w:name="_Toc184312072"/>
      <w:bookmarkEnd w:id="376"/>
      <w:bookmarkStart w:id="377" w:name="_Toc184313266"/>
      <w:bookmarkEnd w:id="377"/>
      <w:bookmarkStart w:id="378" w:name="_Toc184312082"/>
      <w:bookmarkEnd w:id="378"/>
      <w:bookmarkStart w:id="379" w:name="_Toc184314431"/>
      <w:bookmarkEnd w:id="379"/>
      <w:bookmarkStart w:id="380" w:name="_Toc184314464"/>
      <w:bookmarkEnd w:id="380"/>
      <w:bookmarkStart w:id="381" w:name="_Toc184313261"/>
      <w:bookmarkEnd w:id="381"/>
      <w:bookmarkStart w:id="382" w:name="_Toc184308054"/>
      <w:bookmarkEnd w:id="382"/>
      <w:bookmarkStart w:id="383" w:name="_Toc184313245"/>
      <w:bookmarkEnd w:id="383"/>
      <w:bookmarkStart w:id="384" w:name="_Toc184308045"/>
      <w:bookmarkEnd w:id="384"/>
      <w:bookmarkStart w:id="385" w:name="_Toc184312129"/>
      <w:bookmarkEnd w:id="385"/>
      <w:bookmarkStart w:id="386" w:name="_Toc184308093"/>
      <w:bookmarkEnd w:id="386"/>
      <w:bookmarkStart w:id="387" w:name="_Toc184308091"/>
      <w:bookmarkEnd w:id="387"/>
      <w:bookmarkStart w:id="388" w:name="_Toc184313264"/>
      <w:bookmarkEnd w:id="388"/>
      <w:bookmarkStart w:id="389" w:name="_Toc184314438"/>
      <w:bookmarkEnd w:id="389"/>
      <w:bookmarkStart w:id="390" w:name="_Toc184313297"/>
      <w:bookmarkEnd w:id="390"/>
      <w:bookmarkStart w:id="391" w:name="_Toc184310292"/>
      <w:bookmarkEnd w:id="391"/>
      <w:bookmarkStart w:id="392" w:name="_Toc184314473"/>
      <w:bookmarkEnd w:id="392"/>
      <w:bookmarkStart w:id="393" w:name="_Toc184314470"/>
      <w:bookmarkEnd w:id="393"/>
      <w:bookmarkStart w:id="394" w:name="_Toc184310339"/>
      <w:bookmarkEnd w:id="394"/>
      <w:bookmarkStart w:id="395" w:name="_Toc184310288"/>
      <w:bookmarkEnd w:id="395"/>
      <w:bookmarkStart w:id="396" w:name="_Toc184312105"/>
      <w:bookmarkEnd w:id="396"/>
      <w:bookmarkStart w:id="397" w:name="_Toc184312110"/>
      <w:bookmarkEnd w:id="397"/>
      <w:bookmarkStart w:id="398" w:name="_Toc184313257"/>
      <w:bookmarkEnd w:id="398"/>
      <w:bookmarkStart w:id="399" w:name="_Toc184313272"/>
      <w:bookmarkEnd w:id="399"/>
      <w:bookmarkStart w:id="400" w:name="_Toc184312128"/>
      <w:bookmarkEnd w:id="400"/>
      <w:bookmarkStart w:id="401" w:name="_Toc184314453"/>
      <w:bookmarkEnd w:id="401"/>
      <w:bookmarkStart w:id="402" w:name="_Toc184312096"/>
      <w:bookmarkEnd w:id="402"/>
      <w:bookmarkStart w:id="403" w:name="_Toc184310286"/>
      <w:bookmarkEnd w:id="403"/>
      <w:bookmarkStart w:id="404" w:name="_Toc184314459"/>
      <w:bookmarkEnd w:id="404"/>
      <w:bookmarkStart w:id="405" w:name="_Toc184310341"/>
      <w:bookmarkEnd w:id="405"/>
      <w:bookmarkStart w:id="406" w:name="_Toc184314477"/>
      <w:bookmarkEnd w:id="406"/>
      <w:bookmarkStart w:id="407" w:name="_Toc184313279"/>
      <w:bookmarkEnd w:id="407"/>
      <w:bookmarkStart w:id="408" w:name="_Toc184313243"/>
      <w:bookmarkEnd w:id="408"/>
      <w:bookmarkStart w:id="409" w:name="_Toc184310311"/>
      <w:bookmarkEnd w:id="409"/>
      <w:bookmarkStart w:id="410" w:name="_Toc184308097"/>
      <w:bookmarkEnd w:id="410"/>
      <w:bookmarkStart w:id="411" w:name="_Toc184308066"/>
      <w:bookmarkEnd w:id="411"/>
      <w:bookmarkStart w:id="412" w:name="_Toc184312097"/>
      <w:bookmarkEnd w:id="412"/>
      <w:bookmarkStart w:id="413" w:name="_Toc184312085"/>
      <w:bookmarkEnd w:id="413"/>
      <w:bookmarkStart w:id="414" w:name="_Toc184310276"/>
      <w:bookmarkEnd w:id="414"/>
      <w:bookmarkStart w:id="415" w:name="_Toc184312102"/>
      <w:bookmarkEnd w:id="415"/>
      <w:bookmarkStart w:id="416" w:name="_Toc184308057"/>
      <w:bookmarkEnd w:id="416"/>
      <w:bookmarkStart w:id="417" w:name="_Toc184312089"/>
      <w:bookmarkEnd w:id="417"/>
      <w:bookmarkStart w:id="418" w:name="_Toc184312106"/>
      <w:bookmarkEnd w:id="418"/>
      <w:bookmarkStart w:id="419" w:name="_Toc184312107"/>
      <w:bookmarkEnd w:id="419"/>
      <w:bookmarkStart w:id="420" w:name="_Toc184308043"/>
      <w:bookmarkEnd w:id="420"/>
      <w:bookmarkStart w:id="421" w:name="_Toc184308102"/>
      <w:bookmarkEnd w:id="421"/>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W w:w="9082" w:type="dxa"/>
        <w:tblInd w:w="98" w:type="dxa"/>
        <w:tblLayout w:type="fixed"/>
        <w:tblCellMar>
          <w:top w:w="0" w:type="dxa"/>
          <w:left w:w="108" w:type="dxa"/>
          <w:bottom w:w="0" w:type="dxa"/>
          <w:right w:w="108" w:type="dxa"/>
        </w:tblCellMar>
      </w:tblPr>
      <w:tblGrid>
        <w:gridCol w:w="1453"/>
        <w:gridCol w:w="4653"/>
        <w:gridCol w:w="709"/>
        <w:gridCol w:w="992"/>
        <w:gridCol w:w="1275"/>
      </w:tblGrid>
      <w:tr>
        <w:tblPrEx>
          <w:tblCellMar>
            <w:top w:w="0" w:type="dxa"/>
            <w:left w:w="108" w:type="dxa"/>
            <w:bottom w:w="0" w:type="dxa"/>
            <w:right w:w="108" w:type="dxa"/>
          </w:tblCellMar>
        </w:tblPrEx>
        <w:trPr>
          <w:trHeight w:val="600" w:hRule="atLeast"/>
        </w:trPr>
        <w:tc>
          <w:tcPr>
            <w:tcW w:w="1453" w:type="dxa"/>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仿宋_GB2312"/>
                <w:sz w:val="24"/>
              </w:rPr>
              <w:t>序号</w:t>
            </w:r>
          </w:p>
        </w:tc>
        <w:tc>
          <w:tcPr>
            <w:tcW w:w="46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仿宋_GB2312"/>
                <w:sz w:val="24"/>
              </w:rPr>
              <w:t>评标标准</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仿宋_GB2312"/>
                <w:sz w:val="24"/>
              </w:rPr>
              <w:t>权重</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仿宋_GB2312"/>
                <w:bCs/>
                <w:sz w:val="24"/>
              </w:rPr>
              <w:t>主观分/客观分属性</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仿宋_GB2312"/>
                <w:bCs/>
                <w:sz w:val="24"/>
              </w:rPr>
              <w:t>投标文件中评标标准相应的商务技术资料目录*</w:t>
            </w:r>
          </w:p>
        </w:tc>
      </w:tr>
      <w:tr>
        <w:tblPrEx>
          <w:tblCellMar>
            <w:top w:w="0" w:type="dxa"/>
            <w:left w:w="108" w:type="dxa"/>
            <w:bottom w:w="0" w:type="dxa"/>
            <w:right w:w="108" w:type="dxa"/>
          </w:tblCellMar>
        </w:tblPrEx>
        <w:trPr>
          <w:trHeight w:val="600" w:hRule="atLeast"/>
        </w:trPr>
        <w:tc>
          <w:tcPr>
            <w:tcW w:w="1453" w:type="dxa"/>
            <w:vMerge w:val="restart"/>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w:t>
            </w:r>
            <w:r>
              <w:rPr>
                <w:rFonts w:ascii="宋体" w:hAnsi="宋体" w:cs="宋体"/>
                <w:kern w:val="0"/>
                <w:sz w:val="24"/>
              </w:rPr>
              <w:t>.</w:t>
            </w:r>
            <w:r>
              <w:rPr>
                <w:rFonts w:hint="eastAsia" w:ascii="宋体" w:hAnsi="宋体" w:cs="宋体"/>
                <w:kern w:val="0"/>
                <w:sz w:val="24"/>
              </w:rPr>
              <w:t>综合实力</w:t>
            </w:r>
          </w:p>
          <w:p>
            <w:pPr>
              <w:widowControl/>
              <w:spacing w:line="360" w:lineRule="auto"/>
              <w:jc w:val="center"/>
              <w:textAlignment w:val="center"/>
              <w:rPr>
                <w:rFonts w:ascii="宋体" w:hAnsi="宋体" w:cs="宋体"/>
                <w:kern w:val="0"/>
                <w:sz w:val="24"/>
              </w:rPr>
            </w:pPr>
            <w:r>
              <w:rPr>
                <w:rFonts w:hint="eastAsia" w:ascii="宋体" w:hAnsi="宋体" w:cs="宋体"/>
                <w:kern w:val="0"/>
                <w:sz w:val="24"/>
              </w:rPr>
              <w:t>（9分）</w:t>
            </w:r>
          </w:p>
        </w:tc>
        <w:tc>
          <w:tcPr>
            <w:tcW w:w="46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宋体" w:hAnsi="宋体" w:cs="宋体"/>
                <w:sz w:val="24"/>
              </w:rPr>
            </w:pPr>
            <w:r>
              <w:rPr>
                <w:rFonts w:hint="eastAsia" w:ascii="宋体" w:hAnsi="宋体" w:cs="宋体"/>
                <w:kern w:val="0"/>
                <w:sz w:val="24"/>
              </w:rPr>
              <w:t>投标单位具有有效期内ISO9001、ISO27001、ISO20000、ISO14001、</w:t>
            </w:r>
            <w:r>
              <w:rPr>
                <w:rStyle w:val="370"/>
                <w:rFonts w:hint="default" w:ascii="宋体" w:hAnsi="宋体" w:eastAsia="宋体" w:cs="宋体"/>
                <w:color w:val="auto"/>
                <w:sz w:val="24"/>
                <w:szCs w:val="24"/>
              </w:rPr>
              <w:t>ISO22301</w:t>
            </w:r>
            <w:r>
              <w:rPr>
                <w:rFonts w:hint="eastAsia" w:ascii="宋体" w:hAnsi="宋体" w:cs="宋体"/>
                <w:kern w:val="0"/>
                <w:sz w:val="24"/>
              </w:rPr>
              <w:t>和ISO45001管理体系认证证书。每提供一个证书得</w:t>
            </w:r>
            <w:r>
              <w:rPr>
                <w:rFonts w:ascii="宋体" w:hAnsi="宋体" w:cs="宋体"/>
                <w:kern w:val="0"/>
                <w:sz w:val="24"/>
              </w:rPr>
              <w:t>0.5</w:t>
            </w:r>
            <w:r>
              <w:rPr>
                <w:rFonts w:hint="eastAsia" w:ascii="宋体" w:hAnsi="宋体" w:cs="宋体"/>
                <w:kern w:val="0"/>
                <w:sz w:val="24"/>
              </w:rPr>
              <w:t>分，满分</w:t>
            </w:r>
            <w:r>
              <w:rPr>
                <w:rFonts w:ascii="宋体" w:hAnsi="宋体" w:cs="宋体"/>
                <w:kern w:val="0"/>
                <w:sz w:val="24"/>
              </w:rPr>
              <w:t>3</w:t>
            </w:r>
            <w:r>
              <w:rPr>
                <w:rFonts w:hint="eastAsia" w:ascii="宋体" w:hAnsi="宋体" w:cs="宋体"/>
                <w:kern w:val="0"/>
                <w:sz w:val="24"/>
              </w:rPr>
              <w:t>分。提供证书扫描件，加盖公章，不符合要求不得分。</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4"/>
              </w:rPr>
            </w:pPr>
            <w:r>
              <w:rPr>
                <w:rFonts w:ascii="宋体" w:hAnsi="宋体" w:cs="宋体"/>
                <w:kern w:val="0"/>
                <w:sz w:val="24"/>
              </w:rPr>
              <w:t>3</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客观分</w:t>
            </w:r>
          </w:p>
        </w:tc>
        <w:tc>
          <w:tcPr>
            <w:tcW w:w="1275"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600" w:hRule="atLeast"/>
        </w:trPr>
        <w:tc>
          <w:tcPr>
            <w:tcW w:w="1453" w:type="dxa"/>
            <w:vMerge w:val="continue"/>
            <w:tcBorders>
              <w:left w:val="single" w:color="000000" w:sz="4" w:space="0"/>
              <w:right w:val="single" w:color="000000" w:sz="4" w:space="0"/>
            </w:tcBorders>
            <w:vAlign w:val="center"/>
          </w:tcPr>
          <w:p>
            <w:pPr>
              <w:spacing w:line="360" w:lineRule="auto"/>
              <w:jc w:val="center"/>
              <w:rPr>
                <w:rFonts w:ascii="宋体" w:hAnsi="宋体" w:cs="宋体"/>
                <w:sz w:val="24"/>
              </w:rPr>
            </w:pPr>
          </w:p>
        </w:tc>
        <w:tc>
          <w:tcPr>
            <w:tcW w:w="46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宋体" w:hAnsi="宋体" w:cs="宋体"/>
                <w:sz w:val="24"/>
              </w:rPr>
            </w:pPr>
            <w:r>
              <w:rPr>
                <w:rFonts w:hint="eastAsia" w:ascii="宋体" w:hAnsi="宋体" w:cs="宋体"/>
                <w:kern w:val="0"/>
                <w:sz w:val="24"/>
              </w:rPr>
              <w:t>投标人</w:t>
            </w:r>
            <w:r>
              <w:rPr>
                <w:rStyle w:val="370"/>
                <w:rFonts w:hint="default" w:ascii="宋体" w:hAnsi="宋体" w:eastAsia="宋体" w:cs="宋体"/>
                <w:color w:val="auto"/>
                <w:sz w:val="24"/>
                <w:szCs w:val="24"/>
              </w:rPr>
              <w:t>具有CCRC信息系统集成安全服务资质证书，</w:t>
            </w:r>
            <w:r>
              <w:rPr>
                <w:rFonts w:hint="eastAsia" w:ascii="宋体" w:hAnsi="宋体" w:cs="宋体"/>
                <w:kern w:val="0"/>
                <w:sz w:val="24"/>
              </w:rPr>
              <w:t>提供证书扫描件，加盖公章，不符合要求不得分。</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3</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客观分</w:t>
            </w:r>
          </w:p>
        </w:tc>
        <w:tc>
          <w:tcPr>
            <w:tcW w:w="1275"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959" w:hRule="atLeast"/>
        </w:trPr>
        <w:tc>
          <w:tcPr>
            <w:tcW w:w="1453" w:type="dxa"/>
            <w:vMerge w:val="continue"/>
            <w:tcBorders>
              <w:left w:val="single" w:color="000000" w:sz="4" w:space="0"/>
              <w:right w:val="single" w:color="000000" w:sz="4" w:space="0"/>
            </w:tcBorders>
            <w:vAlign w:val="center"/>
          </w:tcPr>
          <w:p>
            <w:pPr>
              <w:spacing w:line="360" w:lineRule="auto"/>
              <w:jc w:val="center"/>
              <w:rPr>
                <w:rFonts w:ascii="宋体" w:hAnsi="宋体" w:cs="宋体"/>
                <w:sz w:val="24"/>
              </w:rPr>
            </w:pPr>
          </w:p>
        </w:tc>
        <w:tc>
          <w:tcPr>
            <w:tcW w:w="4653" w:type="dxa"/>
            <w:tcBorders>
              <w:top w:val="single" w:color="000000" w:sz="4" w:space="0"/>
              <w:left w:val="single" w:color="000000" w:sz="4" w:space="0"/>
              <w:right w:val="single" w:color="000000" w:sz="4" w:space="0"/>
            </w:tcBorders>
            <w:vAlign w:val="center"/>
          </w:tcPr>
          <w:p>
            <w:pPr>
              <w:widowControl/>
              <w:spacing w:line="360" w:lineRule="auto"/>
              <w:textAlignment w:val="center"/>
              <w:rPr>
                <w:rFonts w:ascii="宋体" w:hAnsi="宋体" w:cs="宋体"/>
                <w:kern w:val="0"/>
                <w:sz w:val="24"/>
              </w:rPr>
            </w:pPr>
            <w:r>
              <w:rPr>
                <w:rStyle w:val="370"/>
                <w:rFonts w:hint="default" w:ascii="宋体" w:hAnsi="宋体" w:eastAsia="宋体" w:cs="宋体"/>
                <w:color w:val="auto"/>
                <w:sz w:val="24"/>
                <w:szCs w:val="24"/>
              </w:rPr>
              <w:t>具有数据可视化平台相关软件著作权证书，</w:t>
            </w:r>
            <w:r>
              <w:rPr>
                <w:rFonts w:hint="eastAsia" w:ascii="宋体" w:hAnsi="宋体" w:cs="宋体"/>
                <w:kern w:val="0"/>
                <w:sz w:val="24"/>
              </w:rPr>
              <w:t>提供证书扫描件，加盖公章，不符合要求不得分。</w:t>
            </w:r>
          </w:p>
        </w:tc>
        <w:tc>
          <w:tcPr>
            <w:tcW w:w="709" w:type="dxa"/>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3</w:t>
            </w:r>
          </w:p>
        </w:tc>
        <w:tc>
          <w:tcPr>
            <w:tcW w:w="992" w:type="dxa"/>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客观分</w:t>
            </w:r>
          </w:p>
        </w:tc>
        <w:tc>
          <w:tcPr>
            <w:tcW w:w="1275" w:type="dxa"/>
            <w:tcBorders>
              <w:top w:val="single" w:color="000000" w:sz="4" w:space="0"/>
              <w:left w:val="single" w:color="000000" w:sz="4" w:space="0"/>
              <w:right w:val="single" w:color="000000" w:sz="4" w:space="0"/>
            </w:tcBorders>
          </w:tcPr>
          <w:p>
            <w:pPr>
              <w:widowControl/>
              <w:spacing w:line="360" w:lineRule="auto"/>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680" w:hRule="atLeast"/>
        </w:trPr>
        <w:tc>
          <w:tcPr>
            <w:tcW w:w="14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2、服务项目成功案例</w:t>
            </w:r>
          </w:p>
          <w:p>
            <w:pPr>
              <w:widowControl/>
              <w:spacing w:line="360" w:lineRule="auto"/>
              <w:jc w:val="center"/>
              <w:textAlignment w:val="center"/>
              <w:rPr>
                <w:rFonts w:ascii="宋体" w:hAnsi="宋体" w:cs="宋体"/>
                <w:kern w:val="0"/>
                <w:sz w:val="24"/>
              </w:rPr>
            </w:pPr>
            <w:r>
              <w:rPr>
                <w:rFonts w:hint="eastAsia" w:ascii="宋体" w:hAnsi="宋体" w:cs="宋体"/>
                <w:kern w:val="0"/>
                <w:sz w:val="24"/>
              </w:rPr>
              <w:t>（2分）</w:t>
            </w:r>
          </w:p>
        </w:tc>
        <w:tc>
          <w:tcPr>
            <w:tcW w:w="46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Style w:val="370"/>
                <w:rFonts w:hint="default" w:ascii="宋体" w:hAnsi="宋体" w:eastAsia="宋体" w:cs="宋体"/>
                <w:color w:val="auto"/>
                <w:sz w:val="24"/>
                <w:szCs w:val="24"/>
              </w:rPr>
            </w:pPr>
            <w:r>
              <w:rPr>
                <w:rStyle w:val="370"/>
                <w:rFonts w:hint="default" w:ascii="宋体" w:hAnsi="宋体" w:eastAsia="宋体" w:cs="宋体"/>
                <w:color w:val="auto"/>
                <w:sz w:val="24"/>
                <w:szCs w:val="24"/>
              </w:rPr>
              <w:t>投标人具有202</w:t>
            </w:r>
            <w:r>
              <w:rPr>
                <w:rStyle w:val="370"/>
                <w:rFonts w:hint="eastAsia" w:ascii="宋体" w:hAnsi="宋体" w:cs="宋体"/>
                <w:color w:val="auto"/>
                <w:sz w:val="24"/>
                <w:szCs w:val="24"/>
                <w:lang w:val="en-US" w:eastAsia="zh-CN"/>
              </w:rPr>
              <w:t>1</w:t>
            </w:r>
            <w:r>
              <w:rPr>
                <w:rStyle w:val="370"/>
                <w:rFonts w:hint="default" w:ascii="宋体" w:hAnsi="宋体" w:eastAsia="宋体" w:cs="宋体"/>
                <w:color w:val="auto"/>
                <w:sz w:val="24"/>
                <w:szCs w:val="24"/>
              </w:rPr>
              <w:t>年1月1日以来IT维保服务业绩：每个得1分，以合同签订时间为准，最高得1分；</w:t>
            </w:r>
          </w:p>
          <w:p>
            <w:pPr>
              <w:widowControl/>
              <w:spacing w:line="360" w:lineRule="auto"/>
              <w:textAlignment w:val="center"/>
              <w:rPr>
                <w:rStyle w:val="370"/>
                <w:rFonts w:hint="default" w:ascii="宋体" w:hAnsi="宋体" w:eastAsia="宋体" w:cs="宋体"/>
                <w:color w:val="auto"/>
                <w:sz w:val="24"/>
                <w:szCs w:val="24"/>
              </w:rPr>
            </w:pPr>
            <w:r>
              <w:rPr>
                <w:rStyle w:val="370"/>
                <w:rFonts w:hint="default" w:ascii="宋体" w:hAnsi="宋体" w:eastAsia="宋体" w:cs="宋体"/>
                <w:color w:val="auto"/>
                <w:sz w:val="24"/>
                <w:szCs w:val="24"/>
              </w:rPr>
              <w:t>投标人具有202</w:t>
            </w:r>
            <w:r>
              <w:rPr>
                <w:rStyle w:val="370"/>
                <w:rFonts w:hint="eastAsia" w:ascii="宋体" w:hAnsi="宋体" w:cs="宋体"/>
                <w:color w:val="auto"/>
                <w:sz w:val="24"/>
                <w:szCs w:val="24"/>
                <w:lang w:val="en-US" w:eastAsia="zh-CN"/>
              </w:rPr>
              <w:t>1</w:t>
            </w:r>
            <w:r>
              <w:rPr>
                <w:rStyle w:val="370"/>
                <w:rFonts w:hint="default" w:ascii="宋体" w:hAnsi="宋体" w:eastAsia="宋体" w:cs="宋体"/>
                <w:color w:val="auto"/>
                <w:sz w:val="24"/>
                <w:szCs w:val="24"/>
              </w:rPr>
              <w:t>年1月1日以来网络信息安全保障服务业绩或信息系统软件维保服务业绩：每个得1分，以合同签订时间为准，最高得1分。</w:t>
            </w:r>
          </w:p>
          <w:p>
            <w:pPr>
              <w:widowControl/>
              <w:spacing w:line="360" w:lineRule="auto"/>
              <w:textAlignment w:val="center"/>
              <w:rPr>
                <w:rStyle w:val="370"/>
                <w:rFonts w:hint="default" w:ascii="宋体" w:hAnsi="宋体" w:eastAsia="宋体" w:cs="宋体"/>
                <w:color w:val="auto"/>
                <w:sz w:val="24"/>
                <w:szCs w:val="24"/>
              </w:rPr>
            </w:pPr>
            <w:r>
              <w:rPr>
                <w:rStyle w:val="370"/>
                <w:rFonts w:hint="default" w:ascii="宋体" w:hAnsi="宋体" w:eastAsia="宋体" w:cs="宋体"/>
                <w:color w:val="auto"/>
                <w:sz w:val="24"/>
                <w:szCs w:val="24"/>
              </w:rPr>
              <w:t>提供合同扫描件，加盖公章，否则不得分。</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2</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客观分</w:t>
            </w:r>
          </w:p>
        </w:tc>
        <w:tc>
          <w:tcPr>
            <w:tcW w:w="1275"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600" w:hRule="atLeast"/>
        </w:trPr>
        <w:tc>
          <w:tcPr>
            <w:tcW w:w="1453" w:type="dxa"/>
            <w:vMerge w:val="restart"/>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3、投标人技术实力</w:t>
            </w:r>
          </w:p>
          <w:p>
            <w:pPr>
              <w:widowControl/>
              <w:spacing w:line="360" w:lineRule="auto"/>
              <w:jc w:val="center"/>
              <w:textAlignment w:val="center"/>
              <w:rPr>
                <w:rFonts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8分）</w:t>
            </w:r>
          </w:p>
        </w:tc>
        <w:tc>
          <w:tcPr>
            <w:tcW w:w="4653" w:type="dxa"/>
            <w:tcBorders>
              <w:top w:val="single" w:color="000000" w:sz="4" w:space="0"/>
              <w:left w:val="single" w:color="000000" w:sz="4" w:space="0"/>
              <w:bottom w:val="single" w:color="000000" w:sz="4" w:space="0"/>
              <w:right w:val="single" w:color="000000" w:sz="4" w:space="0"/>
            </w:tcBorders>
            <w:vAlign w:val="center"/>
          </w:tcPr>
          <w:p>
            <w:pPr>
              <w:pStyle w:val="481"/>
              <w:spacing w:after="120" w:line="360" w:lineRule="auto"/>
              <w:rPr>
                <w:rStyle w:val="370"/>
                <w:rFonts w:hint="default" w:ascii="宋体" w:hAnsi="宋体" w:eastAsia="宋体" w:cs="宋体"/>
                <w:color w:val="auto"/>
                <w:sz w:val="24"/>
                <w:szCs w:val="24"/>
                <w:lang w:eastAsia="zh-CN"/>
              </w:rPr>
            </w:pPr>
            <w:r>
              <w:rPr>
                <w:rStyle w:val="370"/>
                <w:rFonts w:hint="default" w:ascii="宋体" w:hAnsi="宋体" w:eastAsia="宋体" w:cs="宋体"/>
                <w:color w:val="auto"/>
                <w:sz w:val="24"/>
                <w:szCs w:val="24"/>
                <w:lang w:eastAsia="zh-CN"/>
              </w:rPr>
              <w:t>专门针对本项目组成有主要产品技术认证资质人员组成的维护技术团队，并明确固定联系人及联络方式，符合要求得3分，不符合要求不得分。</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4"/>
              </w:rPr>
            </w:pPr>
            <w:r>
              <w:rPr>
                <w:rFonts w:hint="eastAsia" w:ascii="宋体" w:hAnsi="宋体" w:cs="宋体"/>
                <w:sz w:val="24"/>
              </w:rPr>
              <w:t>3</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4"/>
              </w:rPr>
            </w:pPr>
            <w:r>
              <w:rPr>
                <w:rFonts w:hint="eastAsia" w:ascii="宋体" w:hAnsi="宋体" w:cs="宋体"/>
                <w:sz w:val="24"/>
              </w:rPr>
              <w:t>客观分</w:t>
            </w:r>
          </w:p>
        </w:tc>
        <w:tc>
          <w:tcPr>
            <w:tcW w:w="1275"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sz w:val="24"/>
              </w:rPr>
            </w:pPr>
          </w:p>
        </w:tc>
      </w:tr>
      <w:tr>
        <w:tblPrEx>
          <w:tblCellMar>
            <w:top w:w="0" w:type="dxa"/>
            <w:left w:w="108" w:type="dxa"/>
            <w:bottom w:w="0" w:type="dxa"/>
            <w:right w:w="108" w:type="dxa"/>
          </w:tblCellMar>
        </w:tblPrEx>
        <w:trPr>
          <w:trHeight w:val="534" w:hRule="atLeast"/>
        </w:trPr>
        <w:tc>
          <w:tcPr>
            <w:tcW w:w="1453" w:type="dxa"/>
            <w:vMerge w:val="continue"/>
            <w:tcBorders>
              <w:left w:val="single" w:color="000000" w:sz="4" w:space="0"/>
              <w:right w:val="single" w:color="000000" w:sz="4" w:space="0"/>
            </w:tcBorders>
            <w:vAlign w:val="center"/>
          </w:tcPr>
          <w:p>
            <w:pPr>
              <w:spacing w:line="360" w:lineRule="auto"/>
              <w:jc w:val="left"/>
              <w:rPr>
                <w:rFonts w:ascii="宋体" w:hAnsi="宋体" w:cs="宋体"/>
                <w:sz w:val="24"/>
              </w:rPr>
            </w:pPr>
          </w:p>
        </w:tc>
        <w:tc>
          <w:tcPr>
            <w:tcW w:w="46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Style w:val="370"/>
                <w:rFonts w:hint="default" w:ascii="宋体" w:hAnsi="宋体" w:eastAsia="宋体" w:cs="宋体"/>
                <w:color w:val="auto"/>
                <w:sz w:val="24"/>
                <w:szCs w:val="24"/>
              </w:rPr>
            </w:pPr>
            <w:r>
              <w:rPr>
                <w:rStyle w:val="370"/>
                <w:rFonts w:hint="default" w:ascii="宋体" w:hAnsi="宋体" w:eastAsia="宋体" w:cs="宋体"/>
                <w:color w:val="auto"/>
                <w:sz w:val="24"/>
                <w:szCs w:val="24"/>
              </w:rPr>
              <w:t>投标人提供的项目经理具备高级信息安全工程师和高级项目经理认证的，每项得2.5分，最高得5分，提供证书扫描件加盖公章，并提供近三个月内任意一个，投标人为其缴纳的社保证明（近一个月新成立的公司，提供说明），不符合要求不得分；</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5</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客观分</w:t>
            </w:r>
          </w:p>
        </w:tc>
        <w:tc>
          <w:tcPr>
            <w:tcW w:w="127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sz w:val="24"/>
              </w:rPr>
            </w:pPr>
          </w:p>
        </w:tc>
      </w:tr>
      <w:tr>
        <w:tblPrEx>
          <w:tblCellMar>
            <w:top w:w="0" w:type="dxa"/>
            <w:left w:w="108" w:type="dxa"/>
            <w:bottom w:w="0" w:type="dxa"/>
            <w:right w:w="108" w:type="dxa"/>
          </w:tblCellMar>
        </w:tblPrEx>
        <w:trPr>
          <w:trHeight w:val="2334" w:hRule="atLeast"/>
        </w:trPr>
        <w:tc>
          <w:tcPr>
            <w:tcW w:w="1453" w:type="dxa"/>
            <w:vMerge w:val="continue"/>
            <w:tcBorders>
              <w:left w:val="single" w:color="000000" w:sz="4" w:space="0"/>
              <w:right w:val="single" w:color="000000" w:sz="4" w:space="0"/>
            </w:tcBorders>
            <w:vAlign w:val="center"/>
          </w:tcPr>
          <w:p>
            <w:pPr>
              <w:spacing w:line="360" w:lineRule="auto"/>
              <w:jc w:val="left"/>
              <w:rPr>
                <w:rFonts w:ascii="宋体" w:hAnsi="宋体" w:cs="宋体"/>
                <w:sz w:val="24"/>
              </w:rPr>
            </w:pPr>
          </w:p>
        </w:tc>
        <w:tc>
          <w:tcPr>
            <w:tcW w:w="4653" w:type="dxa"/>
            <w:tcBorders>
              <w:top w:val="single" w:color="000000" w:sz="4" w:space="0"/>
              <w:left w:val="single" w:color="000000" w:sz="4" w:space="0"/>
              <w:right w:val="single" w:color="000000" w:sz="4" w:space="0"/>
            </w:tcBorders>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投标人技术团队中具有CISP安全专家的，每个得2.5分，最高得5分</w:t>
            </w:r>
            <w:r>
              <w:rPr>
                <w:rStyle w:val="370"/>
                <w:rFonts w:hint="default" w:ascii="宋体" w:hAnsi="宋体" w:eastAsia="宋体" w:cs="宋体"/>
                <w:color w:val="auto"/>
                <w:sz w:val="24"/>
                <w:szCs w:val="24"/>
              </w:rPr>
              <w:t>，提供证书扫描件加盖公章，并提供近三个月内任意一个，投标人为其缴纳的社保证明（近一个月新成立的公司，提供说明），不符合要求不得分；</w:t>
            </w:r>
          </w:p>
        </w:tc>
        <w:tc>
          <w:tcPr>
            <w:tcW w:w="709"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5</w:t>
            </w:r>
          </w:p>
        </w:tc>
        <w:tc>
          <w:tcPr>
            <w:tcW w:w="992"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客观分</w:t>
            </w:r>
          </w:p>
        </w:tc>
        <w:tc>
          <w:tcPr>
            <w:tcW w:w="1275" w:type="dxa"/>
            <w:tcBorders>
              <w:top w:val="single" w:color="000000" w:sz="4" w:space="0"/>
              <w:left w:val="single" w:color="000000" w:sz="4" w:space="0"/>
              <w:right w:val="single" w:color="000000" w:sz="4" w:space="0"/>
            </w:tcBorders>
          </w:tcPr>
          <w:p>
            <w:pPr>
              <w:spacing w:line="360" w:lineRule="auto"/>
              <w:jc w:val="center"/>
              <w:rPr>
                <w:rFonts w:ascii="宋体" w:hAnsi="宋体" w:cs="宋体"/>
                <w:sz w:val="24"/>
              </w:rPr>
            </w:pPr>
          </w:p>
        </w:tc>
      </w:tr>
      <w:tr>
        <w:tblPrEx>
          <w:tblCellMar>
            <w:top w:w="0" w:type="dxa"/>
            <w:left w:w="108" w:type="dxa"/>
            <w:bottom w:w="0" w:type="dxa"/>
            <w:right w:w="108" w:type="dxa"/>
          </w:tblCellMar>
        </w:tblPrEx>
        <w:trPr>
          <w:trHeight w:val="90" w:hRule="atLeast"/>
        </w:trPr>
        <w:tc>
          <w:tcPr>
            <w:tcW w:w="1453" w:type="dxa"/>
            <w:vMerge w:val="continue"/>
            <w:tcBorders>
              <w:left w:val="single" w:color="000000" w:sz="4" w:space="0"/>
              <w:right w:val="single" w:color="000000" w:sz="4" w:space="0"/>
            </w:tcBorders>
            <w:vAlign w:val="center"/>
          </w:tcPr>
          <w:p>
            <w:pPr>
              <w:spacing w:line="360" w:lineRule="auto"/>
              <w:jc w:val="left"/>
              <w:rPr>
                <w:rFonts w:ascii="宋体" w:hAnsi="宋体" w:cs="宋体"/>
                <w:sz w:val="24"/>
              </w:rPr>
            </w:pPr>
          </w:p>
        </w:tc>
        <w:tc>
          <w:tcPr>
            <w:tcW w:w="4653" w:type="dxa"/>
            <w:tcBorders>
              <w:top w:val="single" w:color="000000" w:sz="4" w:space="0"/>
              <w:left w:val="single" w:color="000000" w:sz="4" w:space="0"/>
              <w:right w:val="single" w:color="000000" w:sz="4" w:space="0"/>
            </w:tcBorders>
            <w:vAlign w:val="center"/>
          </w:tcPr>
          <w:p>
            <w:pPr>
              <w:widowControl/>
              <w:spacing w:line="360" w:lineRule="auto"/>
              <w:jc w:val="left"/>
              <w:textAlignment w:val="center"/>
              <w:rPr>
                <w:rFonts w:ascii="宋体" w:hAnsi="宋体" w:cs="宋体"/>
                <w:kern w:val="0"/>
                <w:sz w:val="24"/>
              </w:rPr>
            </w:pPr>
            <w:r>
              <w:rPr>
                <w:rStyle w:val="370"/>
                <w:rFonts w:hint="default" w:ascii="宋体" w:hAnsi="宋体" w:eastAsia="宋体" w:cs="宋体"/>
                <w:color w:val="auto"/>
                <w:sz w:val="24"/>
                <w:szCs w:val="24"/>
              </w:rPr>
              <w:t>投标人技术团队中具有系统集成管理工程师证书每个得2.5分，最高得5分，提供证书扫描件加盖公章，并提供近三个月内任意一个，投标人为其缴纳的社保证明（近一个月新成立的公司，提供说明），不符合要求不得分。</w:t>
            </w:r>
          </w:p>
        </w:tc>
        <w:tc>
          <w:tcPr>
            <w:tcW w:w="709"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5</w:t>
            </w:r>
          </w:p>
        </w:tc>
        <w:tc>
          <w:tcPr>
            <w:tcW w:w="992"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客观分</w:t>
            </w:r>
          </w:p>
        </w:tc>
        <w:tc>
          <w:tcPr>
            <w:tcW w:w="1275" w:type="dxa"/>
            <w:tcBorders>
              <w:top w:val="single" w:color="000000" w:sz="4" w:space="0"/>
              <w:left w:val="single" w:color="000000" w:sz="4" w:space="0"/>
              <w:right w:val="single" w:color="000000" w:sz="4" w:space="0"/>
            </w:tcBorders>
          </w:tcPr>
          <w:p>
            <w:pPr>
              <w:spacing w:line="360" w:lineRule="auto"/>
              <w:jc w:val="center"/>
              <w:rPr>
                <w:rFonts w:ascii="宋体" w:hAnsi="宋体" w:cs="宋体"/>
                <w:sz w:val="24"/>
              </w:rPr>
            </w:pPr>
          </w:p>
        </w:tc>
      </w:tr>
      <w:tr>
        <w:tblPrEx>
          <w:tblCellMar>
            <w:top w:w="0" w:type="dxa"/>
            <w:left w:w="108" w:type="dxa"/>
            <w:bottom w:w="0" w:type="dxa"/>
            <w:right w:w="108" w:type="dxa"/>
          </w:tblCellMar>
        </w:tblPrEx>
        <w:trPr>
          <w:trHeight w:val="680" w:hRule="atLeast"/>
        </w:trPr>
        <w:tc>
          <w:tcPr>
            <w:tcW w:w="1453" w:type="dxa"/>
            <w:vMerge w:val="restart"/>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4、维护服务组织方案</w:t>
            </w:r>
          </w:p>
          <w:p>
            <w:pPr>
              <w:widowControl/>
              <w:spacing w:line="360" w:lineRule="auto"/>
              <w:jc w:val="center"/>
              <w:textAlignment w:val="center"/>
              <w:rPr>
                <w:rFonts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5分）</w:t>
            </w:r>
          </w:p>
        </w:tc>
        <w:tc>
          <w:tcPr>
            <w:tcW w:w="46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宋体" w:hAnsi="宋体" w:cs="宋体"/>
                <w:kern w:val="0"/>
                <w:sz w:val="24"/>
              </w:rPr>
            </w:pPr>
            <w:r>
              <w:rPr>
                <w:rFonts w:hint="eastAsia" w:ascii="宋体" w:hAnsi="宋体" w:cs="宋体"/>
                <w:kern w:val="0"/>
                <w:sz w:val="24"/>
              </w:rPr>
              <w:t>项目需求和解决方案：</w:t>
            </w:r>
          </w:p>
          <w:p>
            <w:pPr>
              <w:widowControl/>
              <w:spacing w:line="360" w:lineRule="auto"/>
              <w:textAlignment w:val="center"/>
              <w:rPr>
                <w:rFonts w:ascii="宋体" w:hAnsi="宋体" w:cs="宋体"/>
                <w:kern w:val="0"/>
                <w:sz w:val="24"/>
              </w:rPr>
            </w:pPr>
            <w:r>
              <w:rPr>
                <w:rFonts w:hint="eastAsia" w:ascii="宋体" w:hAnsi="宋体" w:cs="宋体"/>
                <w:kern w:val="0"/>
                <w:sz w:val="24"/>
              </w:rPr>
              <w:t>投标人对项目需求的理解深刻、解决方案有独到的优势的，得5分；</w:t>
            </w:r>
          </w:p>
          <w:p>
            <w:pPr>
              <w:widowControl/>
              <w:spacing w:line="360" w:lineRule="auto"/>
              <w:textAlignment w:val="center"/>
              <w:rPr>
                <w:rFonts w:ascii="宋体" w:hAnsi="宋体" w:cs="宋体"/>
                <w:kern w:val="0"/>
                <w:sz w:val="24"/>
              </w:rPr>
            </w:pPr>
            <w:r>
              <w:rPr>
                <w:rFonts w:hint="eastAsia" w:ascii="宋体" w:hAnsi="宋体" w:cs="宋体"/>
                <w:kern w:val="0"/>
                <w:sz w:val="24"/>
              </w:rPr>
              <w:t>投标人对项目需求的理解较深、解决方案有一定特色优势的，得3分；</w:t>
            </w:r>
          </w:p>
          <w:p>
            <w:pPr>
              <w:widowControl/>
              <w:spacing w:line="360" w:lineRule="auto"/>
              <w:textAlignment w:val="center"/>
              <w:rPr>
                <w:rFonts w:ascii="宋体" w:hAnsi="宋体" w:cs="宋体"/>
                <w:kern w:val="0"/>
                <w:sz w:val="24"/>
              </w:rPr>
            </w:pPr>
            <w:r>
              <w:rPr>
                <w:rFonts w:hint="eastAsia" w:ascii="宋体" w:hAnsi="宋体" w:cs="宋体"/>
                <w:kern w:val="0"/>
                <w:sz w:val="24"/>
              </w:rPr>
              <w:t>投标人对项目需求的理解有一定偏差、解决方案有一定不足的，得</w:t>
            </w:r>
            <w:r>
              <w:rPr>
                <w:rFonts w:ascii="宋体" w:hAnsi="宋体" w:cs="宋体"/>
                <w:kern w:val="0"/>
                <w:sz w:val="24"/>
              </w:rPr>
              <w:t>1</w:t>
            </w:r>
            <w:r>
              <w:rPr>
                <w:rFonts w:hint="eastAsia" w:ascii="宋体" w:hAnsi="宋体" w:cs="宋体"/>
                <w:kern w:val="0"/>
                <w:sz w:val="24"/>
              </w:rPr>
              <w:t>分；</w:t>
            </w:r>
          </w:p>
          <w:p>
            <w:pPr>
              <w:widowControl/>
              <w:spacing w:line="360" w:lineRule="auto"/>
              <w:textAlignment w:val="center"/>
              <w:rPr>
                <w:rFonts w:ascii="宋体" w:hAnsi="宋体" w:cs="宋体"/>
                <w:kern w:val="0"/>
                <w:sz w:val="24"/>
              </w:rPr>
            </w:pPr>
            <w:r>
              <w:rPr>
                <w:rFonts w:hint="eastAsia" w:ascii="宋体" w:hAnsi="宋体" w:cs="宋体"/>
                <w:sz w:val="24"/>
              </w:rPr>
              <w:t>方案不合理或未提供方案不得分。</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5</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主观分</w:t>
            </w:r>
          </w:p>
        </w:tc>
        <w:tc>
          <w:tcPr>
            <w:tcW w:w="1275"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600" w:hRule="atLeast"/>
        </w:trPr>
        <w:tc>
          <w:tcPr>
            <w:tcW w:w="1453" w:type="dxa"/>
            <w:vMerge w:val="continue"/>
            <w:tcBorders>
              <w:left w:val="single" w:color="000000" w:sz="4" w:space="0"/>
              <w:right w:val="single" w:color="000000" w:sz="4" w:space="0"/>
            </w:tcBorders>
            <w:vAlign w:val="center"/>
          </w:tcPr>
          <w:p>
            <w:pPr>
              <w:spacing w:line="360" w:lineRule="auto"/>
              <w:jc w:val="center"/>
              <w:rPr>
                <w:rFonts w:ascii="宋体" w:hAnsi="宋体" w:cs="宋体"/>
                <w:sz w:val="24"/>
              </w:rPr>
            </w:pPr>
          </w:p>
        </w:tc>
        <w:tc>
          <w:tcPr>
            <w:tcW w:w="46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kern w:val="0"/>
                <w:sz w:val="24"/>
              </w:rPr>
            </w:pPr>
            <w:r>
              <w:rPr>
                <w:rFonts w:hint="eastAsia" w:ascii="宋体" w:hAnsi="宋体" w:cs="宋体"/>
                <w:kern w:val="0"/>
                <w:sz w:val="24"/>
              </w:rPr>
              <w:t>巡检方案、服务质量保证措施：</w:t>
            </w:r>
          </w:p>
          <w:p>
            <w:pPr>
              <w:widowControl/>
              <w:spacing w:line="360" w:lineRule="auto"/>
              <w:jc w:val="left"/>
              <w:textAlignment w:val="center"/>
              <w:rPr>
                <w:rFonts w:ascii="宋体" w:hAnsi="宋体" w:cs="宋体"/>
                <w:kern w:val="0"/>
                <w:sz w:val="24"/>
              </w:rPr>
            </w:pPr>
            <w:r>
              <w:rPr>
                <w:rFonts w:hint="eastAsia" w:ascii="宋体" w:hAnsi="宋体" w:cs="宋体"/>
                <w:kern w:val="0"/>
                <w:sz w:val="24"/>
              </w:rPr>
              <w:t>投标人的巡检方案能全面覆盖本项目对巡检的需求、对巡检结果有科学研判机制和手段、能高质量保证服务的，得5分；</w:t>
            </w:r>
          </w:p>
          <w:p>
            <w:pPr>
              <w:widowControl/>
              <w:spacing w:line="360" w:lineRule="auto"/>
              <w:jc w:val="left"/>
              <w:textAlignment w:val="center"/>
              <w:rPr>
                <w:rFonts w:ascii="宋体" w:hAnsi="宋体" w:cs="宋体"/>
                <w:kern w:val="0"/>
                <w:sz w:val="24"/>
              </w:rPr>
            </w:pPr>
            <w:r>
              <w:rPr>
                <w:rFonts w:hint="eastAsia" w:ascii="宋体" w:hAnsi="宋体" w:cs="宋体"/>
                <w:kern w:val="0"/>
                <w:sz w:val="24"/>
              </w:rPr>
              <w:t>投标人的巡检方案能较全面覆盖本项目对巡检的需求、对巡检结果有较好的科学研判机制和手段、能保证服务的，得3分；</w:t>
            </w:r>
          </w:p>
          <w:p>
            <w:pPr>
              <w:widowControl/>
              <w:spacing w:line="360" w:lineRule="auto"/>
              <w:jc w:val="left"/>
              <w:textAlignment w:val="center"/>
              <w:rPr>
                <w:rFonts w:ascii="宋体" w:hAnsi="宋体" w:cs="宋体"/>
                <w:kern w:val="0"/>
                <w:sz w:val="24"/>
              </w:rPr>
            </w:pPr>
            <w:r>
              <w:rPr>
                <w:rFonts w:hint="eastAsia" w:ascii="宋体" w:hAnsi="宋体" w:cs="宋体"/>
                <w:kern w:val="0"/>
                <w:sz w:val="24"/>
              </w:rPr>
              <w:t>投标人的巡检方案有一定偏离、对巡检结果科学研判机制和手段有一定不足的，得</w:t>
            </w:r>
            <w:r>
              <w:rPr>
                <w:rFonts w:ascii="宋体" w:hAnsi="宋体" w:cs="宋体"/>
                <w:kern w:val="0"/>
                <w:sz w:val="24"/>
              </w:rPr>
              <w:t>1</w:t>
            </w:r>
            <w:r>
              <w:rPr>
                <w:rFonts w:hint="eastAsia" w:ascii="宋体" w:hAnsi="宋体" w:cs="宋体"/>
                <w:kern w:val="0"/>
                <w:sz w:val="24"/>
              </w:rPr>
              <w:t>分；</w:t>
            </w:r>
          </w:p>
          <w:p>
            <w:pPr>
              <w:widowControl/>
              <w:spacing w:line="360" w:lineRule="auto"/>
              <w:jc w:val="left"/>
              <w:textAlignment w:val="center"/>
              <w:rPr>
                <w:rFonts w:ascii="宋体" w:hAnsi="宋体" w:cs="宋体"/>
                <w:sz w:val="24"/>
              </w:rPr>
            </w:pPr>
            <w:r>
              <w:rPr>
                <w:rFonts w:hint="eastAsia" w:ascii="宋体" w:hAnsi="宋体" w:cs="宋体"/>
                <w:sz w:val="24"/>
              </w:rPr>
              <w:t>方案不合理或未提供方案不得分。</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5</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主观分</w:t>
            </w:r>
          </w:p>
        </w:tc>
        <w:tc>
          <w:tcPr>
            <w:tcW w:w="1275"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558" w:hRule="atLeast"/>
        </w:trPr>
        <w:tc>
          <w:tcPr>
            <w:tcW w:w="1453" w:type="dxa"/>
            <w:vMerge w:val="continue"/>
            <w:tcBorders>
              <w:left w:val="single" w:color="000000" w:sz="4" w:space="0"/>
              <w:right w:val="single" w:color="000000" w:sz="4" w:space="0"/>
            </w:tcBorders>
            <w:vAlign w:val="center"/>
          </w:tcPr>
          <w:p>
            <w:pPr>
              <w:spacing w:line="360" w:lineRule="auto"/>
              <w:jc w:val="center"/>
              <w:rPr>
                <w:rFonts w:ascii="宋体" w:hAnsi="宋体" w:cs="宋体"/>
                <w:sz w:val="24"/>
              </w:rPr>
            </w:pPr>
          </w:p>
        </w:tc>
        <w:tc>
          <w:tcPr>
            <w:tcW w:w="46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kern w:val="0"/>
                <w:sz w:val="24"/>
              </w:rPr>
            </w:pPr>
            <w:r>
              <w:rPr>
                <w:rFonts w:hint="eastAsia" w:ascii="宋体" w:hAnsi="宋体" w:cs="宋体"/>
                <w:kern w:val="0"/>
                <w:sz w:val="24"/>
              </w:rPr>
              <w:t>重要时段网络信息安全保障</w:t>
            </w:r>
          </w:p>
          <w:p>
            <w:pPr>
              <w:widowControl/>
              <w:spacing w:line="360" w:lineRule="auto"/>
              <w:jc w:val="left"/>
              <w:textAlignment w:val="center"/>
              <w:rPr>
                <w:rFonts w:ascii="宋体" w:hAnsi="宋体" w:cs="宋体"/>
                <w:kern w:val="0"/>
                <w:sz w:val="24"/>
              </w:rPr>
            </w:pPr>
            <w:r>
              <w:rPr>
                <w:rFonts w:hint="eastAsia" w:ascii="宋体" w:hAnsi="宋体" w:cs="宋体"/>
                <w:kern w:val="0"/>
                <w:sz w:val="24"/>
              </w:rPr>
              <w:t>投标人对政府部门重要时段网络信息安全保障需求有精准分析研判能力，能准确把握住其中不同于一般社会团体的部分，并个性化提出合理技术保障方案的，得5分；</w:t>
            </w:r>
          </w:p>
          <w:p>
            <w:pPr>
              <w:widowControl/>
              <w:spacing w:line="360" w:lineRule="auto"/>
              <w:jc w:val="left"/>
              <w:textAlignment w:val="center"/>
              <w:rPr>
                <w:rFonts w:ascii="宋体" w:hAnsi="宋体" w:cs="宋体"/>
                <w:kern w:val="0"/>
                <w:sz w:val="24"/>
              </w:rPr>
            </w:pPr>
            <w:r>
              <w:rPr>
                <w:rFonts w:hint="eastAsia" w:ascii="宋体" w:hAnsi="宋体" w:cs="宋体"/>
                <w:kern w:val="0"/>
                <w:sz w:val="24"/>
              </w:rPr>
              <w:t>投标人对政府部门重要时段网络信息安全保障需求有一定分析研判能力，能较准确把握住其中不同于一般社会团体的部分，并提出技术保障方案的，得3分；投标人对政府部门重要时段网络信息安全保障需求分析研判能力有一定不足，提出的技术保障方案有一定偏离的，得</w:t>
            </w:r>
            <w:r>
              <w:rPr>
                <w:rFonts w:ascii="宋体" w:hAnsi="宋体" w:cs="宋体"/>
                <w:kern w:val="0"/>
                <w:sz w:val="24"/>
              </w:rPr>
              <w:t>1</w:t>
            </w:r>
            <w:r>
              <w:rPr>
                <w:rFonts w:hint="eastAsia" w:ascii="宋体" w:hAnsi="宋体" w:cs="宋体"/>
                <w:kern w:val="0"/>
                <w:sz w:val="24"/>
              </w:rPr>
              <w:t>分；</w:t>
            </w:r>
          </w:p>
          <w:p>
            <w:pPr>
              <w:widowControl/>
              <w:spacing w:line="360" w:lineRule="auto"/>
              <w:jc w:val="left"/>
              <w:textAlignment w:val="center"/>
              <w:rPr>
                <w:rFonts w:ascii="宋体" w:hAnsi="宋体" w:cs="宋体"/>
                <w:kern w:val="0"/>
                <w:sz w:val="24"/>
              </w:rPr>
            </w:pPr>
            <w:r>
              <w:rPr>
                <w:rFonts w:hint="eastAsia" w:ascii="宋体" w:hAnsi="宋体" w:cs="宋体"/>
                <w:sz w:val="24"/>
              </w:rPr>
              <w:t>方案不合理或未提供方案不得分。</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5</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主观分</w:t>
            </w:r>
          </w:p>
        </w:tc>
        <w:tc>
          <w:tcPr>
            <w:tcW w:w="1275"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3735" w:hRule="atLeast"/>
        </w:trPr>
        <w:tc>
          <w:tcPr>
            <w:tcW w:w="1453" w:type="dxa"/>
            <w:vMerge w:val="continue"/>
            <w:tcBorders>
              <w:left w:val="single" w:color="000000" w:sz="4" w:space="0"/>
              <w:right w:val="single" w:color="000000" w:sz="4" w:space="0"/>
            </w:tcBorders>
            <w:vAlign w:val="center"/>
          </w:tcPr>
          <w:p>
            <w:pPr>
              <w:spacing w:line="360" w:lineRule="auto"/>
              <w:jc w:val="center"/>
              <w:rPr>
                <w:rFonts w:ascii="宋体" w:hAnsi="宋体" w:cs="宋体"/>
                <w:sz w:val="24"/>
              </w:rPr>
            </w:pPr>
          </w:p>
        </w:tc>
        <w:tc>
          <w:tcPr>
            <w:tcW w:w="4653" w:type="dxa"/>
            <w:tcBorders>
              <w:top w:val="single" w:color="000000" w:sz="4" w:space="0"/>
              <w:left w:val="single" w:color="000000" w:sz="4" w:space="0"/>
              <w:right w:val="single" w:color="000000" w:sz="4" w:space="0"/>
            </w:tcBorders>
            <w:vAlign w:val="center"/>
          </w:tcPr>
          <w:p>
            <w:pPr>
              <w:widowControl/>
              <w:spacing w:line="360" w:lineRule="auto"/>
              <w:jc w:val="left"/>
              <w:textAlignment w:val="center"/>
              <w:rPr>
                <w:rFonts w:ascii="宋体" w:hAnsi="宋体" w:cs="宋体"/>
                <w:kern w:val="0"/>
                <w:sz w:val="24"/>
              </w:rPr>
            </w:pPr>
            <w:r>
              <w:rPr>
                <w:rFonts w:hint="eastAsia" w:ascii="宋体" w:hAnsi="宋体" w:cs="宋体"/>
                <w:kern w:val="0"/>
                <w:sz w:val="24"/>
              </w:rPr>
              <w:t>故障响应流程：</w:t>
            </w:r>
          </w:p>
          <w:p>
            <w:pPr>
              <w:widowControl/>
              <w:spacing w:line="360" w:lineRule="auto"/>
              <w:jc w:val="left"/>
              <w:textAlignment w:val="center"/>
              <w:rPr>
                <w:rFonts w:ascii="宋体" w:hAnsi="宋体" w:cs="宋体"/>
                <w:kern w:val="0"/>
                <w:sz w:val="24"/>
              </w:rPr>
            </w:pPr>
            <w:r>
              <w:rPr>
                <w:rFonts w:hint="eastAsia" w:ascii="宋体" w:hAnsi="宋体" w:cs="宋体"/>
                <w:kern w:val="0"/>
                <w:sz w:val="24"/>
              </w:rPr>
              <w:t>投标人的故障响应流程能切准采购人单位特点、有效保障故障快速排除的，得5分；</w:t>
            </w:r>
          </w:p>
          <w:p>
            <w:pPr>
              <w:widowControl/>
              <w:spacing w:line="360" w:lineRule="auto"/>
              <w:jc w:val="left"/>
              <w:textAlignment w:val="center"/>
              <w:rPr>
                <w:rFonts w:ascii="宋体" w:hAnsi="宋体" w:cs="宋体"/>
                <w:kern w:val="0"/>
                <w:sz w:val="24"/>
              </w:rPr>
            </w:pPr>
            <w:r>
              <w:rPr>
                <w:rFonts w:hint="eastAsia" w:ascii="宋体" w:hAnsi="宋体" w:cs="宋体"/>
                <w:kern w:val="0"/>
                <w:sz w:val="24"/>
              </w:rPr>
              <w:t>投标人的故障响应流程能较为准确符合采购人单位特点、基本满足故障排除需要的，得3分；</w:t>
            </w:r>
          </w:p>
          <w:p>
            <w:pPr>
              <w:widowControl/>
              <w:spacing w:line="360" w:lineRule="auto"/>
              <w:jc w:val="left"/>
              <w:textAlignment w:val="center"/>
              <w:rPr>
                <w:rFonts w:ascii="宋体" w:hAnsi="宋体" w:cs="宋体"/>
                <w:kern w:val="0"/>
                <w:sz w:val="24"/>
              </w:rPr>
            </w:pPr>
            <w:r>
              <w:rPr>
                <w:rFonts w:hint="eastAsia" w:ascii="宋体" w:hAnsi="宋体" w:cs="宋体"/>
                <w:kern w:val="0"/>
                <w:sz w:val="24"/>
              </w:rPr>
              <w:t>投标人的故障响应流程与采购人单位特点符合程度有一定不足的，得</w:t>
            </w:r>
            <w:r>
              <w:rPr>
                <w:rFonts w:ascii="宋体" w:hAnsi="宋体" w:cs="宋体"/>
                <w:kern w:val="0"/>
                <w:sz w:val="24"/>
              </w:rPr>
              <w:t>1</w:t>
            </w:r>
            <w:r>
              <w:rPr>
                <w:rFonts w:hint="eastAsia" w:ascii="宋体" w:hAnsi="宋体" w:cs="宋体"/>
                <w:kern w:val="0"/>
                <w:sz w:val="24"/>
              </w:rPr>
              <w:t>分；</w:t>
            </w:r>
          </w:p>
          <w:p>
            <w:pPr>
              <w:widowControl/>
              <w:spacing w:line="360" w:lineRule="auto"/>
              <w:jc w:val="left"/>
              <w:textAlignment w:val="center"/>
              <w:rPr>
                <w:rFonts w:ascii="宋体" w:hAnsi="宋体" w:cs="宋体"/>
                <w:kern w:val="0"/>
                <w:sz w:val="24"/>
              </w:rPr>
            </w:pPr>
            <w:r>
              <w:rPr>
                <w:rFonts w:hint="eastAsia" w:ascii="宋体" w:hAnsi="宋体" w:cs="宋体"/>
                <w:sz w:val="24"/>
              </w:rPr>
              <w:t>方案不合理或未提供方案不得分。</w:t>
            </w:r>
          </w:p>
        </w:tc>
        <w:tc>
          <w:tcPr>
            <w:tcW w:w="709" w:type="dxa"/>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5</w:t>
            </w:r>
          </w:p>
        </w:tc>
        <w:tc>
          <w:tcPr>
            <w:tcW w:w="992" w:type="dxa"/>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主观分</w:t>
            </w:r>
          </w:p>
        </w:tc>
        <w:tc>
          <w:tcPr>
            <w:tcW w:w="1275" w:type="dxa"/>
            <w:tcBorders>
              <w:top w:val="single" w:color="000000" w:sz="4" w:space="0"/>
              <w:left w:val="single" w:color="000000" w:sz="4" w:space="0"/>
              <w:right w:val="single" w:color="000000" w:sz="4" w:space="0"/>
            </w:tcBorders>
          </w:tcPr>
          <w:p>
            <w:pPr>
              <w:widowControl/>
              <w:spacing w:line="360" w:lineRule="auto"/>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365" w:hRule="atLeast"/>
        </w:trPr>
        <w:tc>
          <w:tcPr>
            <w:tcW w:w="1453" w:type="dxa"/>
            <w:vMerge w:val="continue"/>
            <w:tcBorders>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p>
        </w:tc>
        <w:tc>
          <w:tcPr>
            <w:tcW w:w="46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kern w:val="0"/>
                <w:sz w:val="24"/>
              </w:rPr>
            </w:pPr>
            <w:r>
              <w:rPr>
                <w:rFonts w:hint="eastAsia" w:ascii="宋体" w:hAnsi="宋体" w:cs="宋体"/>
                <w:kern w:val="0"/>
                <w:sz w:val="24"/>
              </w:rPr>
              <w:t>对“故障级别的响应时间及修复时间”（详见采购文件第三部分 《采购需求》）：</w:t>
            </w:r>
          </w:p>
          <w:p>
            <w:pPr>
              <w:widowControl/>
              <w:spacing w:line="360" w:lineRule="auto"/>
              <w:jc w:val="left"/>
              <w:textAlignment w:val="center"/>
              <w:rPr>
                <w:rFonts w:ascii="宋体" w:hAnsi="宋体" w:cs="宋体"/>
                <w:kern w:val="0"/>
                <w:sz w:val="24"/>
              </w:rPr>
            </w:pPr>
            <w:r>
              <w:rPr>
                <w:rFonts w:hint="eastAsia" w:ascii="宋体" w:hAnsi="宋体" w:cs="宋体"/>
                <w:kern w:val="0"/>
                <w:sz w:val="24"/>
              </w:rPr>
              <w:t>投标人符合要求的得5分，不符合要求不得分。</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5</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客观分</w:t>
            </w:r>
          </w:p>
        </w:tc>
        <w:tc>
          <w:tcPr>
            <w:tcW w:w="1275"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430" w:hRule="atLeast"/>
        </w:trPr>
        <w:tc>
          <w:tcPr>
            <w:tcW w:w="1453" w:type="dxa"/>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5、售后服务</w:t>
            </w:r>
          </w:p>
          <w:p>
            <w:pPr>
              <w:widowControl/>
              <w:spacing w:line="360" w:lineRule="auto"/>
              <w:jc w:val="center"/>
              <w:textAlignment w:val="center"/>
              <w:rPr>
                <w:rFonts w:ascii="宋体" w:hAnsi="宋体" w:cs="宋体"/>
                <w:kern w:val="0"/>
                <w:sz w:val="24"/>
              </w:rPr>
            </w:pPr>
            <w:r>
              <w:rPr>
                <w:rFonts w:hint="eastAsia" w:ascii="宋体" w:hAnsi="宋体" w:cs="宋体"/>
                <w:kern w:val="0"/>
                <w:sz w:val="24"/>
              </w:rPr>
              <w:t>（14分）</w:t>
            </w:r>
          </w:p>
        </w:tc>
        <w:tc>
          <w:tcPr>
            <w:tcW w:w="46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kern w:val="0"/>
                <w:sz w:val="24"/>
              </w:rPr>
            </w:pPr>
            <w:r>
              <w:rPr>
                <w:rFonts w:hint="eastAsia" w:ascii="宋体" w:hAnsi="宋体" w:cs="宋体"/>
                <w:kern w:val="0"/>
                <w:sz w:val="24"/>
              </w:rPr>
              <w:t>运行服务保障应急预案</w:t>
            </w:r>
          </w:p>
          <w:p>
            <w:pPr>
              <w:widowControl/>
              <w:spacing w:line="360" w:lineRule="auto"/>
              <w:jc w:val="left"/>
              <w:textAlignment w:val="center"/>
              <w:rPr>
                <w:rFonts w:ascii="宋体" w:hAnsi="宋体" w:cs="宋体"/>
                <w:kern w:val="0"/>
                <w:sz w:val="24"/>
              </w:rPr>
            </w:pPr>
            <w:r>
              <w:rPr>
                <w:rFonts w:hint="eastAsia" w:ascii="宋体" w:hAnsi="宋体" w:cs="宋体"/>
                <w:kern w:val="0"/>
                <w:sz w:val="24"/>
              </w:rPr>
              <w:t>投标人的运行服务保障应急预案对本项目运维实施可能遇到的问题及其应对措施的承诺情况能充分预判、确保采购人各项系统的正常运行和工作的正常开展的，得5分；</w:t>
            </w:r>
          </w:p>
          <w:p>
            <w:pPr>
              <w:widowControl/>
              <w:spacing w:line="360" w:lineRule="auto"/>
              <w:jc w:val="left"/>
              <w:textAlignment w:val="center"/>
              <w:rPr>
                <w:rFonts w:ascii="宋体" w:hAnsi="宋体" w:cs="宋体"/>
                <w:kern w:val="0"/>
                <w:sz w:val="24"/>
              </w:rPr>
            </w:pPr>
            <w:r>
              <w:rPr>
                <w:rFonts w:hint="eastAsia" w:ascii="宋体" w:hAnsi="宋体" w:cs="宋体"/>
                <w:kern w:val="0"/>
                <w:sz w:val="24"/>
              </w:rPr>
              <w:t>投标人的运行服务保障应急预案对本项目运维实施可能遇到的问题及其应对措施的承诺情况有一定预判、基本保证采购人各项系统的正常运行和工作的正常开展的，得3分；</w:t>
            </w:r>
          </w:p>
          <w:p>
            <w:pPr>
              <w:widowControl/>
              <w:spacing w:line="360" w:lineRule="auto"/>
              <w:jc w:val="left"/>
              <w:textAlignment w:val="center"/>
              <w:rPr>
                <w:rFonts w:ascii="宋体" w:hAnsi="宋体" w:cs="宋体"/>
                <w:kern w:val="0"/>
                <w:sz w:val="24"/>
              </w:rPr>
            </w:pPr>
            <w:r>
              <w:rPr>
                <w:rFonts w:hint="eastAsia" w:ascii="宋体" w:hAnsi="宋体" w:cs="宋体"/>
                <w:kern w:val="0"/>
                <w:sz w:val="24"/>
              </w:rPr>
              <w:t>投标人的运行服务保障应急预案对本项目运维实施可能遇到的问题及其应对措施预判有一定不足的，得</w:t>
            </w:r>
            <w:r>
              <w:rPr>
                <w:rFonts w:ascii="宋体" w:hAnsi="宋体" w:cs="宋体"/>
                <w:kern w:val="0"/>
                <w:sz w:val="24"/>
              </w:rPr>
              <w:t>1</w:t>
            </w:r>
            <w:r>
              <w:rPr>
                <w:rFonts w:hint="eastAsia" w:ascii="宋体" w:hAnsi="宋体" w:cs="宋体"/>
                <w:kern w:val="0"/>
                <w:sz w:val="24"/>
              </w:rPr>
              <w:t>分；</w:t>
            </w:r>
          </w:p>
          <w:p>
            <w:pPr>
              <w:widowControl/>
              <w:spacing w:line="360" w:lineRule="auto"/>
              <w:jc w:val="left"/>
              <w:textAlignment w:val="center"/>
              <w:rPr>
                <w:rFonts w:ascii="宋体" w:hAnsi="宋体" w:cs="宋体"/>
                <w:kern w:val="0"/>
                <w:sz w:val="24"/>
              </w:rPr>
            </w:pPr>
            <w:r>
              <w:rPr>
                <w:rFonts w:hint="eastAsia" w:ascii="宋体" w:hAnsi="宋体" w:cs="宋体"/>
                <w:sz w:val="24"/>
              </w:rPr>
              <w:t>方案不合理或未提供方案不得分。</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5</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主观分</w:t>
            </w:r>
          </w:p>
        </w:tc>
        <w:tc>
          <w:tcPr>
            <w:tcW w:w="1275"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427" w:hRule="atLeast"/>
        </w:trPr>
        <w:tc>
          <w:tcPr>
            <w:tcW w:w="1453" w:type="dxa"/>
            <w:vMerge w:val="restart"/>
            <w:tcBorders>
              <w:left w:val="single" w:color="000000" w:sz="4" w:space="0"/>
              <w:right w:val="single" w:color="000000" w:sz="4" w:space="0"/>
            </w:tcBorders>
            <w:vAlign w:val="center"/>
          </w:tcPr>
          <w:p>
            <w:pPr>
              <w:widowControl/>
              <w:spacing w:line="360" w:lineRule="auto"/>
              <w:jc w:val="center"/>
              <w:textAlignment w:val="center"/>
              <w:rPr>
                <w:rFonts w:ascii="宋体" w:hAnsi="宋体" w:cs="宋体"/>
                <w:sz w:val="24"/>
              </w:rPr>
            </w:pPr>
          </w:p>
        </w:tc>
        <w:tc>
          <w:tcPr>
            <w:tcW w:w="46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ascii="宋体" w:hAnsi="宋体" w:cs="宋体"/>
                <w:kern w:val="0"/>
                <w:sz w:val="24"/>
              </w:rPr>
            </w:pPr>
            <w:r>
              <w:rPr>
                <w:rFonts w:hint="eastAsia" w:ascii="宋体" w:hAnsi="宋体" w:cs="宋体"/>
                <w:kern w:val="0"/>
                <w:sz w:val="24"/>
              </w:rPr>
              <w:t>投标人在杭州市有售后服务网点（或承诺中标后10个工作日内新设售后服务网点），可以提供本地化技术支持服务，并设有常驻技术团队，得5分；</w:t>
            </w:r>
          </w:p>
          <w:p>
            <w:pPr>
              <w:widowControl/>
              <w:spacing w:line="360" w:lineRule="auto"/>
              <w:jc w:val="left"/>
              <w:textAlignment w:val="center"/>
              <w:rPr>
                <w:rFonts w:ascii="宋体" w:hAnsi="宋体" w:cs="宋体"/>
                <w:kern w:val="0"/>
                <w:sz w:val="24"/>
              </w:rPr>
            </w:pPr>
            <w:r>
              <w:rPr>
                <w:rFonts w:hint="eastAsia" w:ascii="宋体" w:hAnsi="宋体" w:cs="宋体"/>
                <w:kern w:val="0"/>
                <w:sz w:val="24"/>
              </w:rPr>
              <w:t>投标人在杭州市有售后服务网点，但委托第三方公司提供售后服务的，得2分；</w:t>
            </w:r>
          </w:p>
          <w:p>
            <w:pPr>
              <w:widowControl/>
              <w:spacing w:line="360" w:lineRule="auto"/>
              <w:jc w:val="left"/>
              <w:textAlignment w:val="center"/>
              <w:rPr>
                <w:rFonts w:ascii="宋体" w:hAnsi="宋体" w:cs="宋体"/>
                <w:kern w:val="0"/>
                <w:sz w:val="24"/>
              </w:rPr>
            </w:pPr>
            <w:r>
              <w:rPr>
                <w:rFonts w:hint="eastAsia" w:ascii="宋体" w:hAnsi="宋体" w:cs="宋体"/>
                <w:kern w:val="0"/>
                <w:sz w:val="24"/>
              </w:rPr>
              <w:t>投标人无本地服务网点且又不承诺中标后提供本地化服务的，不得分。</w:t>
            </w:r>
          </w:p>
          <w:p>
            <w:pPr>
              <w:widowControl/>
              <w:spacing w:line="360" w:lineRule="auto"/>
              <w:jc w:val="left"/>
              <w:textAlignment w:val="center"/>
              <w:rPr>
                <w:rFonts w:ascii="宋体" w:hAnsi="宋体" w:cs="宋体"/>
                <w:sz w:val="24"/>
              </w:rPr>
            </w:pPr>
            <w:r>
              <w:rPr>
                <w:rFonts w:hint="eastAsia" w:ascii="宋体" w:hAnsi="宋体" w:cs="宋体"/>
                <w:kern w:val="0"/>
                <w:sz w:val="24"/>
              </w:rPr>
              <w:t>备注：本地化服务网点需提供营业执照复印件（或新设售后服务机构的承诺函），如委托第三方公司提供售后服务，需另行提供委托协议，不符合要求不得分。</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4"/>
              </w:rPr>
            </w:pPr>
            <w:r>
              <w:rPr>
                <w:rFonts w:hint="eastAsia" w:ascii="宋体" w:hAnsi="宋体" w:cs="宋体"/>
                <w:sz w:val="24"/>
              </w:rPr>
              <w:t>5</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4"/>
              </w:rPr>
            </w:pPr>
            <w:r>
              <w:rPr>
                <w:rFonts w:hint="eastAsia" w:ascii="宋体" w:hAnsi="宋体" w:cs="宋体"/>
                <w:sz w:val="24"/>
              </w:rPr>
              <w:t>客观分</w:t>
            </w:r>
          </w:p>
        </w:tc>
        <w:tc>
          <w:tcPr>
            <w:tcW w:w="1275"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sz w:val="24"/>
              </w:rPr>
            </w:pPr>
          </w:p>
        </w:tc>
      </w:tr>
      <w:tr>
        <w:tblPrEx>
          <w:tblCellMar>
            <w:top w:w="0" w:type="dxa"/>
            <w:left w:w="108" w:type="dxa"/>
            <w:bottom w:w="0" w:type="dxa"/>
            <w:right w:w="108" w:type="dxa"/>
          </w:tblCellMar>
        </w:tblPrEx>
        <w:trPr>
          <w:trHeight w:val="961" w:hRule="atLeast"/>
        </w:trPr>
        <w:tc>
          <w:tcPr>
            <w:tcW w:w="1453" w:type="dxa"/>
            <w:vMerge w:val="continue"/>
            <w:tcBorders>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p>
        </w:tc>
        <w:tc>
          <w:tcPr>
            <w:tcW w:w="46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宋体" w:hAnsi="宋体" w:cs="宋体"/>
                <w:kern w:val="0"/>
                <w:sz w:val="24"/>
              </w:rPr>
            </w:pPr>
            <w:r>
              <w:rPr>
                <w:rFonts w:hint="eastAsia" w:ascii="宋体" w:hAnsi="宋体" w:cs="宋体"/>
                <w:kern w:val="0"/>
                <w:sz w:val="24"/>
              </w:rPr>
              <w:t>投标人具有售后报修的运维服务管理软件手机APP或服务公众号的得4分，没有不得分。</w:t>
            </w:r>
          </w:p>
          <w:p>
            <w:pPr>
              <w:widowControl/>
              <w:spacing w:line="360" w:lineRule="auto"/>
              <w:textAlignment w:val="center"/>
              <w:rPr>
                <w:rFonts w:ascii="宋体" w:hAnsi="宋体" w:cs="宋体"/>
                <w:sz w:val="24"/>
              </w:rPr>
            </w:pPr>
            <w:r>
              <w:rPr>
                <w:rFonts w:hint="eastAsia" w:ascii="宋体" w:hAnsi="宋体" w:cs="宋体"/>
                <w:kern w:val="0"/>
                <w:sz w:val="24"/>
              </w:rPr>
              <w:t>备注：提供截图证明。</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4</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客观分</w:t>
            </w:r>
          </w:p>
        </w:tc>
        <w:tc>
          <w:tcPr>
            <w:tcW w:w="127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sz w:val="24"/>
              </w:rPr>
            </w:pPr>
          </w:p>
        </w:tc>
      </w:tr>
      <w:tr>
        <w:tblPrEx>
          <w:tblCellMar>
            <w:top w:w="0" w:type="dxa"/>
            <w:left w:w="108" w:type="dxa"/>
            <w:bottom w:w="0" w:type="dxa"/>
            <w:right w:w="108" w:type="dxa"/>
          </w:tblCellMar>
        </w:tblPrEx>
        <w:trPr>
          <w:trHeight w:val="949" w:hRule="atLeast"/>
        </w:trPr>
        <w:tc>
          <w:tcPr>
            <w:tcW w:w="1453"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sz w:val="24"/>
              </w:rPr>
              <w:t>6、技术培训</w:t>
            </w:r>
          </w:p>
        </w:tc>
        <w:tc>
          <w:tcPr>
            <w:tcW w:w="4653" w:type="dxa"/>
            <w:tcBorders>
              <w:top w:val="single" w:color="000000" w:sz="4" w:space="0"/>
              <w:left w:val="single" w:color="000000" w:sz="4" w:space="0"/>
              <w:bottom w:val="single" w:color="auto" w:sz="4" w:space="0"/>
              <w:right w:val="single" w:color="000000" w:sz="4" w:space="0"/>
            </w:tcBorders>
            <w:vAlign w:val="center"/>
          </w:tcPr>
          <w:p>
            <w:pPr>
              <w:pStyle w:val="137"/>
              <w:spacing w:line="360" w:lineRule="auto"/>
              <w:rPr>
                <w:rFonts w:ascii="宋体" w:hAnsi="宋体" w:cs="宋体"/>
                <w:sz w:val="24"/>
                <w:szCs w:val="24"/>
              </w:rPr>
            </w:pPr>
            <w:r>
              <w:rPr>
                <w:rFonts w:hint="eastAsia" w:ascii="宋体" w:hAnsi="宋体" w:cs="宋体"/>
                <w:sz w:val="24"/>
                <w:szCs w:val="24"/>
              </w:rPr>
              <w:t>培训计划内容、培训范围，实施及针对性。</w:t>
            </w:r>
          </w:p>
          <w:p>
            <w:pPr>
              <w:widowControl/>
              <w:spacing w:line="360" w:lineRule="auto"/>
              <w:textAlignment w:val="center"/>
              <w:rPr>
                <w:rFonts w:ascii="宋体" w:hAnsi="宋体" w:cs="宋体"/>
                <w:kern w:val="0"/>
                <w:sz w:val="24"/>
              </w:rPr>
            </w:pPr>
            <w:r>
              <w:rPr>
                <w:rFonts w:hint="eastAsia" w:ascii="宋体" w:hAnsi="宋体" w:cs="宋体"/>
                <w:kern w:val="0"/>
                <w:sz w:val="24"/>
              </w:rPr>
              <w:t>方案完整全面的得</w:t>
            </w:r>
            <w:r>
              <w:rPr>
                <w:rFonts w:ascii="宋体" w:hAnsi="宋体" w:cs="宋体"/>
                <w:kern w:val="0"/>
                <w:sz w:val="24"/>
              </w:rPr>
              <w:t>2分，有欠缺的得1分，不满足不得分。</w:t>
            </w:r>
          </w:p>
        </w:tc>
        <w:tc>
          <w:tcPr>
            <w:tcW w:w="709"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2</w:t>
            </w:r>
          </w:p>
        </w:tc>
        <w:tc>
          <w:tcPr>
            <w:tcW w:w="992"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主观分</w:t>
            </w:r>
          </w:p>
        </w:tc>
        <w:tc>
          <w:tcPr>
            <w:tcW w:w="1275" w:type="dxa"/>
            <w:tcBorders>
              <w:top w:val="single" w:color="000000" w:sz="4" w:space="0"/>
              <w:left w:val="single" w:color="000000" w:sz="4" w:space="0"/>
              <w:bottom w:val="single" w:color="auto" w:sz="4" w:space="0"/>
              <w:right w:val="single" w:color="000000" w:sz="4" w:space="0"/>
            </w:tcBorders>
          </w:tcPr>
          <w:p>
            <w:pPr>
              <w:widowControl/>
              <w:spacing w:line="360" w:lineRule="auto"/>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949" w:hRule="atLeast"/>
        </w:trPr>
        <w:tc>
          <w:tcPr>
            <w:tcW w:w="14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7、其它</w:t>
            </w:r>
          </w:p>
          <w:p>
            <w:pPr>
              <w:widowControl/>
              <w:spacing w:line="360" w:lineRule="auto"/>
              <w:jc w:val="center"/>
              <w:textAlignment w:val="center"/>
              <w:rPr>
                <w:rFonts w:ascii="宋体" w:hAnsi="宋体" w:cs="宋体"/>
                <w:kern w:val="0"/>
                <w:sz w:val="24"/>
              </w:rPr>
            </w:pPr>
            <w:r>
              <w:rPr>
                <w:rFonts w:hint="eastAsia" w:ascii="宋体" w:hAnsi="宋体" w:cs="宋体"/>
                <w:kern w:val="0"/>
                <w:sz w:val="24"/>
              </w:rPr>
              <w:t>（</w:t>
            </w:r>
            <w:r>
              <w:rPr>
                <w:rFonts w:ascii="宋体" w:hAnsi="宋体" w:cs="宋体"/>
                <w:kern w:val="0"/>
                <w:sz w:val="24"/>
              </w:rPr>
              <w:t>10</w:t>
            </w:r>
            <w:r>
              <w:rPr>
                <w:rFonts w:hint="eastAsia" w:ascii="宋体" w:hAnsi="宋体" w:cs="宋体"/>
                <w:kern w:val="0"/>
                <w:sz w:val="24"/>
              </w:rPr>
              <w:t>分）</w:t>
            </w:r>
          </w:p>
        </w:tc>
        <w:tc>
          <w:tcPr>
            <w:tcW w:w="46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宋体" w:hAnsi="宋体" w:cs="宋体"/>
                <w:kern w:val="0"/>
                <w:sz w:val="24"/>
              </w:rPr>
            </w:pPr>
            <w:r>
              <w:rPr>
                <w:rFonts w:hint="eastAsia" w:ascii="宋体" w:hAnsi="宋体" w:cs="宋体"/>
                <w:kern w:val="0"/>
                <w:sz w:val="24"/>
              </w:rPr>
              <w:t xml:space="preserve">提供符合采购人要求的运维人员， </w:t>
            </w:r>
            <w:r>
              <w:rPr>
                <w:rFonts w:ascii="宋体" w:hAnsi="宋体" w:cs="宋体"/>
                <w:kern w:val="0"/>
                <w:sz w:val="24"/>
              </w:rPr>
              <w:t>5</w:t>
            </w:r>
            <w:r>
              <w:rPr>
                <w:rFonts w:hint="eastAsia" w:ascii="宋体" w:hAnsi="宋体" w:cs="宋体"/>
                <w:kern w:val="0"/>
                <w:sz w:val="24"/>
              </w:rPr>
              <w:t>人得</w:t>
            </w:r>
            <w:r>
              <w:rPr>
                <w:rFonts w:ascii="宋体" w:hAnsi="宋体" w:cs="宋体"/>
                <w:kern w:val="0"/>
                <w:sz w:val="24"/>
              </w:rPr>
              <w:t>3</w:t>
            </w:r>
            <w:r>
              <w:rPr>
                <w:rFonts w:hint="eastAsia" w:ascii="宋体" w:hAnsi="宋体" w:cs="宋体"/>
                <w:kern w:val="0"/>
                <w:sz w:val="24"/>
              </w:rPr>
              <w:t>分，每增加1人得</w:t>
            </w:r>
            <w:r>
              <w:rPr>
                <w:rFonts w:ascii="宋体" w:hAnsi="宋体" w:cs="宋体"/>
                <w:kern w:val="0"/>
                <w:sz w:val="24"/>
              </w:rPr>
              <w:t>1</w:t>
            </w:r>
            <w:r>
              <w:rPr>
                <w:rFonts w:hint="eastAsia" w:ascii="宋体" w:hAnsi="宋体" w:cs="宋体"/>
                <w:kern w:val="0"/>
                <w:sz w:val="24"/>
              </w:rPr>
              <w:t>分，本项最高得</w:t>
            </w:r>
            <w:r>
              <w:rPr>
                <w:rFonts w:ascii="宋体" w:hAnsi="宋体" w:cs="宋体"/>
                <w:kern w:val="0"/>
                <w:sz w:val="24"/>
              </w:rPr>
              <w:t>10</w:t>
            </w:r>
            <w:r>
              <w:rPr>
                <w:rFonts w:hint="eastAsia" w:ascii="宋体" w:hAnsi="宋体" w:cs="宋体"/>
                <w:kern w:val="0"/>
                <w:sz w:val="24"/>
              </w:rPr>
              <w:t>分，</w:t>
            </w:r>
            <w:r>
              <w:rPr>
                <w:rStyle w:val="370"/>
                <w:rFonts w:hint="default" w:ascii="宋体" w:hAnsi="宋体" w:eastAsia="宋体" w:cs="宋体"/>
                <w:color w:val="auto"/>
                <w:sz w:val="24"/>
                <w:szCs w:val="24"/>
              </w:rPr>
              <w:t>提供人员名单及简历，并提供近三个月内任意一个，投标人为其缴纳的社保证明（近一个月新成立的公司，提供说明），不符合要求不得分</w:t>
            </w:r>
            <w:r>
              <w:rPr>
                <w:rFonts w:hint="eastAsia" w:ascii="宋体" w:hAnsi="宋体" w:cs="宋体"/>
                <w:kern w:val="0"/>
                <w:sz w:val="24"/>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ascii="宋体" w:hAnsi="宋体" w:cs="宋体"/>
                <w:kern w:val="0"/>
                <w:sz w:val="24"/>
              </w:rPr>
              <w:t>10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客观分</w:t>
            </w:r>
          </w:p>
        </w:tc>
        <w:tc>
          <w:tcPr>
            <w:tcW w:w="1275"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kern w:val="0"/>
                <w:sz w:val="24"/>
              </w:rPr>
            </w:pPr>
          </w:p>
        </w:tc>
      </w:tr>
      <w:tr>
        <w:tblPrEx>
          <w:tblCellMar>
            <w:top w:w="0" w:type="dxa"/>
            <w:left w:w="108" w:type="dxa"/>
            <w:bottom w:w="0" w:type="dxa"/>
            <w:right w:w="108" w:type="dxa"/>
          </w:tblCellMar>
        </w:tblPrEx>
        <w:trPr>
          <w:trHeight w:val="949" w:hRule="atLeast"/>
        </w:trPr>
        <w:tc>
          <w:tcPr>
            <w:tcW w:w="1453"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textAlignment w:val="center"/>
              <w:rPr>
                <w:rFonts w:ascii="宋体" w:hAnsi="宋体" w:cs="仿宋_GB2312"/>
                <w:sz w:val="24"/>
              </w:rPr>
            </w:pPr>
            <w:r>
              <w:rPr>
                <w:rFonts w:ascii="宋体" w:hAnsi="宋体" w:cs="仿宋_GB2312"/>
                <w:sz w:val="24"/>
              </w:rPr>
              <w:t>8</w:t>
            </w:r>
            <w:r>
              <w:rPr>
                <w:rFonts w:hint="eastAsia" w:ascii="宋体" w:hAnsi="宋体" w:cs="仿宋_GB2312"/>
                <w:sz w:val="24"/>
              </w:rPr>
              <w:t>、报价</w:t>
            </w:r>
          </w:p>
          <w:p>
            <w:pPr>
              <w:pStyle w:val="2"/>
              <w:ind w:firstLine="187" w:firstLineChars="78"/>
            </w:pPr>
            <w:r>
              <w:rPr>
                <w:rFonts w:hint="eastAsia"/>
              </w:rPr>
              <w:t>（2</w:t>
            </w:r>
            <w:r>
              <w:t>0</w:t>
            </w:r>
            <w:r>
              <w:rPr>
                <w:rFonts w:hint="eastAsia"/>
              </w:rPr>
              <w:t>分）</w:t>
            </w:r>
          </w:p>
        </w:tc>
        <w:tc>
          <w:tcPr>
            <w:tcW w:w="4653" w:type="dxa"/>
            <w:tcBorders>
              <w:top w:val="single" w:color="000000" w:sz="4" w:space="0"/>
              <w:left w:val="single" w:color="000000" w:sz="4" w:space="0"/>
              <w:bottom w:val="single" w:color="auto" w:sz="4" w:space="0"/>
              <w:right w:val="single" w:color="000000" w:sz="4" w:space="0"/>
            </w:tcBorders>
            <w:vAlign w:val="center"/>
          </w:tcPr>
          <w:p>
            <w:pPr>
              <w:spacing w:line="360" w:lineRule="auto"/>
              <w:outlineLvl w:val="0"/>
              <w:rPr>
                <w:rFonts w:ascii="宋体" w:hAnsi="宋体" w:cs="仿宋_GB2312"/>
                <w:sz w:val="24"/>
              </w:rPr>
            </w:pPr>
            <w:r>
              <w:rPr>
                <w:rFonts w:hint="eastAsia" w:ascii="宋体" w:hAnsi="宋体" w:cs="仿宋_GB2312"/>
                <w:sz w:val="24"/>
              </w:rPr>
              <w:t>有效投标报价的最低价作为评标基准价，其最低报价为满分；按［投标报价得分</w:t>
            </w:r>
            <w:r>
              <w:rPr>
                <w:rFonts w:ascii="宋体" w:hAnsi="宋体" w:cs="仿宋_GB2312"/>
                <w:sz w:val="24"/>
              </w:rPr>
              <w:t>=（评标基准价/投标报价）*20］的计算公式计算。</w:t>
            </w:r>
          </w:p>
          <w:p>
            <w:pPr>
              <w:widowControl/>
              <w:shd w:val="clear" w:color="auto" w:fill="FFFFFF"/>
              <w:adjustRightInd/>
              <w:spacing w:after="225" w:line="360" w:lineRule="auto"/>
              <w:ind w:firstLine="420"/>
              <w:rPr>
                <w:rFonts w:ascii="宋体" w:hAnsi="宋体" w:cs="仿宋_GB2312"/>
                <w:sz w:val="24"/>
              </w:rPr>
            </w:pPr>
            <w:r>
              <w:rPr>
                <w:rFonts w:ascii="宋体" w:hAnsi="宋体" w:cs="仿宋_GB2312"/>
                <w:sz w:val="24"/>
              </w:rPr>
              <w:t>评标过程中，不得去掉报价中的最高报价和最低报价。</w:t>
            </w:r>
          </w:p>
          <w:p>
            <w:pPr>
              <w:widowControl/>
              <w:spacing w:line="360" w:lineRule="auto"/>
              <w:textAlignment w:val="center"/>
              <w:rPr>
                <w:rFonts w:ascii="宋体" w:hAnsi="宋体" w:cs="宋体"/>
                <w:b/>
                <w:bCs/>
                <w:kern w:val="0"/>
                <w:sz w:val="24"/>
              </w:rPr>
            </w:pPr>
            <w:r>
              <w:rPr>
                <w:rFonts w:hint="eastAsia" w:ascii="宋体" w:hAnsi="宋体" w:cs="仿宋_GB2312"/>
                <w:sz w:val="24"/>
              </w:rPr>
              <w:t>对于未预留份额专门面向中小企业的政府采购服务项目，以及预留份额政府采购服务项目中的非预留部分标项，对小型和微型企业的投标报价给予</w:t>
            </w:r>
            <w:r>
              <w:rPr>
                <w:rFonts w:ascii="宋体" w:hAnsi="宋体" w:cs="仿宋_GB2312"/>
                <w:sz w:val="24"/>
              </w:rPr>
              <w:t>10</w:t>
            </w:r>
            <w:r>
              <w:rPr>
                <w:rFonts w:hint="eastAsia" w:ascii="宋体" w:hAnsi="宋体" w:cs="仿宋_GB2312"/>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仿宋_GB2312"/>
                <w:sz w:val="24"/>
              </w:rPr>
              <w:t>4</w:t>
            </w:r>
            <w:r>
              <w:rPr>
                <w:rFonts w:hint="eastAsia" w:ascii="宋体" w:hAnsi="宋体" w:cs="仿宋_GB2312"/>
                <w:sz w:val="24"/>
              </w:rPr>
              <w:t>%的扣除，用扣除后的价格参加评审</w:t>
            </w:r>
            <w:r>
              <w:rPr>
                <w:rFonts w:ascii="宋体" w:hAnsi="宋体" w:cs="仿宋_GB2312"/>
                <w:sz w:val="24"/>
              </w:rPr>
              <w:t>。</w:t>
            </w:r>
          </w:p>
        </w:tc>
        <w:tc>
          <w:tcPr>
            <w:tcW w:w="709"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textAlignment w:val="center"/>
              <w:rPr>
                <w:rFonts w:ascii="宋体" w:hAnsi="宋体" w:cs="宋体"/>
                <w:b/>
                <w:bCs/>
                <w:kern w:val="0"/>
                <w:sz w:val="24"/>
              </w:rPr>
            </w:pPr>
            <w:r>
              <w:rPr>
                <w:rFonts w:ascii="宋体" w:hAnsi="宋体" w:cs="仿宋_GB2312"/>
                <w:sz w:val="24"/>
              </w:rPr>
              <w:t>20</w:t>
            </w:r>
          </w:p>
        </w:tc>
        <w:tc>
          <w:tcPr>
            <w:tcW w:w="992"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textAlignment w:val="center"/>
              <w:rPr>
                <w:rFonts w:ascii="宋体" w:hAnsi="宋体" w:cs="宋体"/>
                <w:b/>
                <w:bCs/>
                <w:kern w:val="0"/>
                <w:sz w:val="24"/>
              </w:rPr>
            </w:pPr>
            <w:r>
              <w:rPr>
                <w:rFonts w:hint="eastAsia" w:ascii="宋体" w:hAnsi="宋体" w:cs="仿宋_GB2312"/>
                <w:sz w:val="24"/>
              </w:rPr>
              <w:t>/</w:t>
            </w:r>
          </w:p>
        </w:tc>
        <w:tc>
          <w:tcPr>
            <w:tcW w:w="1275"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textAlignment w:val="center"/>
              <w:rPr>
                <w:rFonts w:ascii="宋体" w:hAnsi="宋体" w:cs="宋体"/>
                <w:b/>
                <w:bCs/>
                <w:kern w:val="0"/>
                <w:sz w:val="24"/>
              </w:rPr>
            </w:pPr>
            <w:r>
              <w:rPr>
                <w:rFonts w:ascii="宋体" w:hAnsi="宋体" w:cs="仿宋_GB2312"/>
                <w:sz w:val="24"/>
              </w:rPr>
              <w:t>/</w:t>
            </w:r>
          </w:p>
        </w:tc>
      </w:tr>
    </w:tbl>
    <w:p>
      <w:pPr>
        <w:rPr>
          <w:rFonts w:ascii="宋体" w:hAnsi="宋体"/>
        </w:rPr>
      </w:pPr>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
        <w:snapToGrid w:val="0"/>
        <w:spacing w:line="360" w:lineRule="auto"/>
        <w:rPr>
          <w:rFonts w:cs="宋体"/>
        </w:rPr>
      </w:pPr>
      <w:r>
        <w:rPr>
          <w:rFonts w:hint="eastAsia" w:cs="宋体"/>
        </w:rPr>
        <w:t>5.1符合专业条件的供应商或者对招标文件作实质响应的供应商不足3家的；</w:t>
      </w:r>
    </w:p>
    <w:p>
      <w:pPr>
        <w:pStyle w:val="2"/>
        <w:snapToGrid w:val="0"/>
        <w:spacing w:line="360" w:lineRule="auto"/>
        <w:rPr>
          <w:rFonts w:cs="宋体"/>
        </w:rPr>
      </w:pPr>
      <w:r>
        <w:rPr>
          <w:rFonts w:hint="eastAsia" w:cs="宋体"/>
        </w:rPr>
        <w:t>5.2出现影响采购公正的违法、违规行为的；</w:t>
      </w:r>
    </w:p>
    <w:p>
      <w:pPr>
        <w:pStyle w:val="2"/>
        <w:snapToGrid w:val="0"/>
        <w:spacing w:line="360" w:lineRule="auto"/>
        <w:rPr>
          <w:rFonts w:cs="宋体"/>
        </w:rPr>
      </w:pPr>
      <w:r>
        <w:rPr>
          <w:rFonts w:hint="eastAsia" w:cs="宋体"/>
        </w:rPr>
        <w:t>5.3投标人的报价均超过了采购预算，采购人不能支付的；</w:t>
      </w:r>
    </w:p>
    <w:p>
      <w:pPr>
        <w:pStyle w:val="2"/>
        <w:snapToGrid w:val="0"/>
        <w:spacing w:line="360" w:lineRule="auto"/>
        <w:rPr>
          <w:rFonts w:cs="宋体"/>
        </w:rPr>
      </w:pPr>
      <w:r>
        <w:rPr>
          <w:rFonts w:hint="eastAsia" w:cs="宋体"/>
        </w:rPr>
        <w:t>5.4因重大变故，采购任务取消的。</w:t>
      </w:r>
    </w:p>
    <w:p>
      <w:pPr>
        <w:pStyle w:val="2"/>
        <w:snapToGrid w:val="0"/>
        <w:spacing w:line="360" w:lineRule="auto"/>
        <w:rPr>
          <w:rFonts w:cs="宋体"/>
        </w:rPr>
      </w:pPr>
      <w:r>
        <w:rPr>
          <w:rFonts w:hint="eastAsia" w:cs="宋体"/>
        </w:rPr>
        <w:t>废标后，采购代理机构应当将废标理由通知所有投标人。</w:t>
      </w:r>
    </w:p>
    <w:p>
      <w:pPr>
        <w:pStyle w:val="2"/>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
        <w:snapToGrid w:val="0"/>
        <w:spacing w:line="360" w:lineRule="auto"/>
        <w:rPr>
          <w:rFonts w:cs="宋体"/>
        </w:rPr>
      </w:pPr>
      <w:r>
        <w:rPr>
          <w:rFonts w:hint="eastAsia" w:cs="宋体"/>
        </w:rPr>
        <w:t>7.1未确定中标供应商的，终止本次政府采购活动，重新开展政府采购活动。</w:t>
      </w:r>
    </w:p>
    <w:p>
      <w:pPr>
        <w:pStyle w:val="2"/>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cs="宋体"/>
        </w:rPr>
      </w:pPr>
      <w:r>
        <w:rPr>
          <w:rFonts w:hint="eastAsia" w:cs="宋体"/>
        </w:rPr>
        <w:t>7.4政府采购合同已经履行，给采购人、供应商造成损失的，由责任人承担赔偿责任。</w:t>
      </w:r>
    </w:p>
    <w:p>
      <w:pPr>
        <w:pStyle w:val="2"/>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
        <w:snapToGrid w:val="0"/>
        <w:spacing w:line="360" w:lineRule="auto"/>
        <w:ind w:firstLine="0" w:firstLineChars="0"/>
        <w:rPr>
          <w:rFonts w:cs="宋体"/>
        </w:rPr>
      </w:pPr>
    </w:p>
    <w:bookmarkEnd w:id="27"/>
    <w:p>
      <w:pPr>
        <w:spacing w:line="360" w:lineRule="auto"/>
        <w:ind w:left="720" w:leftChars="343" w:firstLine="1084" w:firstLineChars="300"/>
        <w:outlineLvl w:val="0"/>
        <w:rPr>
          <w:rFonts w:ascii="宋体" w:hAnsi="宋体" w:cs="宋体"/>
          <w:b/>
          <w:sz w:val="36"/>
          <w:szCs w:val="36"/>
        </w:rPr>
      </w:pPr>
      <w:bookmarkStart w:id="422" w:name="第五部分"/>
      <w:bookmarkStart w:id="423"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pStyle w:val="4"/>
        <w:rPr>
          <w:lang w:val="en-US"/>
        </w:rPr>
      </w:pPr>
    </w:p>
    <w:p/>
    <w:p>
      <w:pPr>
        <w:pStyle w:val="4"/>
        <w:rPr>
          <w:lang w:val="en-US"/>
        </w:rPr>
      </w:pPr>
    </w:p>
    <w:p/>
    <w:p>
      <w:pPr>
        <w:pStyle w:val="4"/>
        <w:rPr>
          <w:lang w:val="en-US"/>
        </w:rPr>
      </w:pPr>
    </w:p>
    <w:p/>
    <w:p>
      <w:pPr>
        <w:pStyle w:val="4"/>
        <w:rPr>
          <w:lang w:val="en-US"/>
        </w:rPr>
      </w:pPr>
    </w:p>
    <w:p/>
    <w:p>
      <w:pPr>
        <w:pStyle w:val="4"/>
        <w:rPr>
          <w:lang w:val="en-US"/>
        </w:rPr>
      </w:pPr>
    </w:p>
    <w:p/>
    <w:p>
      <w:pPr>
        <w:pStyle w:val="4"/>
        <w:rPr>
          <w:lang w:val="en-US"/>
        </w:rPr>
      </w:pPr>
    </w:p>
    <w:p/>
    <w:p>
      <w:pPr>
        <w:pStyle w:val="4"/>
        <w:rPr>
          <w:lang w:val="en-US"/>
        </w:rPr>
      </w:pPr>
    </w:p>
    <w:p/>
    <w:p>
      <w:pPr>
        <w:pStyle w:val="4"/>
        <w:rPr>
          <w:lang w:val="en-US"/>
        </w:rPr>
      </w:pPr>
    </w:p>
    <w:p>
      <w:pPr>
        <w:widowControl/>
        <w:numPr>
          <w:ilvl w:val="0"/>
          <w:numId w:val="12"/>
        </w:numPr>
        <w:adjustRightInd/>
        <w:jc w:val="center"/>
        <w:rPr>
          <w:rFonts w:ascii="宋体" w:hAnsi="宋体" w:cs="宋体"/>
          <w:b/>
          <w:sz w:val="36"/>
          <w:szCs w:val="36"/>
        </w:rPr>
      </w:pPr>
      <w:r>
        <w:rPr>
          <w:rFonts w:hint="eastAsia" w:ascii="宋体" w:hAnsi="宋体" w:cs="宋体"/>
          <w:b/>
          <w:sz w:val="36"/>
          <w:szCs w:val="36"/>
        </w:rPr>
        <w:t>拟签订的合同文本</w:t>
      </w:r>
    </w:p>
    <w:p>
      <w:pPr>
        <w:widowControl/>
        <w:numPr>
          <w:ilvl w:val="255"/>
          <w:numId w:val="0"/>
        </w:numPr>
        <w:adjustRightInd/>
        <w:jc w:val="left"/>
        <w:rPr>
          <w:rFonts w:ascii="宋体" w:hAnsi="宋体" w:cs="宋体"/>
          <w:b/>
          <w:sz w:val="36"/>
          <w:szCs w:val="36"/>
        </w:rPr>
      </w:pP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699"/>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4"/>
        <w:rPr>
          <w:rFonts w:ascii="宋体" w:hAnsi="宋体" w:eastAsia="宋体"/>
        </w:rPr>
      </w:pPr>
    </w:p>
    <w:p>
      <w:pPr>
        <w:spacing w:before="120" w:line="22" w:lineRule="atLeast"/>
        <w:ind w:left="960"/>
        <w:rPr>
          <w:rFonts w:ascii="宋体" w:hAnsi="宋体" w:cs="宋体"/>
          <w:sz w:val="24"/>
        </w:rPr>
      </w:pPr>
      <w:r>
        <w:rPr>
          <w:rFonts w:hint="eastAsia" w:ascii="宋体" w:hAnsi="宋体" w:cs="宋体"/>
          <w:sz w:val="24"/>
        </w:rPr>
        <w:t>项目名称：卫健数字化改革项目驾驶舱日常运维保障项目（2024年度）</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甲方：杭州市卫生健康事业发展中心</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rPr>
          <w:rFonts w:ascii="宋体" w:hAnsi="宋体" w:cs="宋体"/>
          <w:b/>
          <w:sz w:val="24"/>
        </w:rPr>
      </w:pPr>
    </w:p>
    <w:p>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杭州市卫生健康事业发展中心</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卫健数字化改革项目驾驶舱日常运维保障项目（2024年度）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杭州市卫生健康事业发展中心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424" w:name="_Toc28855"/>
      <w:bookmarkStart w:id="425" w:name="_Toc15367"/>
      <w:bookmarkStart w:id="426" w:name="_Toc19273"/>
      <w:bookmarkStart w:id="427" w:name="_Toc22967"/>
      <w:bookmarkStart w:id="428" w:name="_Toc20421"/>
      <w:r>
        <w:rPr>
          <w:rFonts w:ascii="宋体" w:hAnsi="宋体"/>
          <w:b/>
          <w:sz w:val="24"/>
        </w:rPr>
        <w:t xml:space="preserve">1.1 </w:t>
      </w:r>
      <w:r>
        <w:rPr>
          <w:rFonts w:hint="eastAsia" w:ascii="宋体" w:hAnsi="宋体"/>
          <w:b/>
          <w:sz w:val="24"/>
        </w:rPr>
        <w:t>合同组成部分</w:t>
      </w:r>
      <w:bookmarkEnd w:id="424"/>
      <w:bookmarkEnd w:id="425"/>
      <w:bookmarkEnd w:id="426"/>
      <w:bookmarkEnd w:id="427"/>
      <w:bookmarkEnd w:id="428"/>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429" w:name="_Toc6773"/>
      <w:bookmarkStart w:id="430" w:name="_Toc22185"/>
      <w:bookmarkStart w:id="431" w:name="_Toc2918"/>
      <w:bookmarkStart w:id="432" w:name="_Toc18585"/>
      <w:bookmarkStart w:id="433" w:name="_Toc6311"/>
      <w:r>
        <w:rPr>
          <w:rFonts w:ascii="宋体" w:hAnsi="宋体"/>
          <w:b/>
          <w:sz w:val="24"/>
        </w:rPr>
        <w:t xml:space="preserve">1.2 </w:t>
      </w:r>
      <w:r>
        <w:rPr>
          <w:rFonts w:hint="eastAsia" w:ascii="宋体" w:hAnsi="宋体"/>
          <w:b/>
          <w:sz w:val="24"/>
        </w:rPr>
        <w:t>标的</w:t>
      </w:r>
      <w:bookmarkEnd w:id="429"/>
      <w:bookmarkEnd w:id="430"/>
      <w:bookmarkEnd w:id="431"/>
      <w:bookmarkEnd w:id="432"/>
      <w:bookmarkEnd w:id="433"/>
    </w:p>
    <w:p>
      <w:pPr>
        <w:spacing w:line="360" w:lineRule="auto"/>
        <w:ind w:firstLine="42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hint="eastAsia" w:ascii="宋体" w:hAnsi="宋体"/>
          <w:sz w:val="24"/>
          <w:u w:val="single"/>
        </w:rPr>
        <w:t>购买系统维保服务，保障杭州市卫健委“平安卫健”系统、杭州市婴育数字化应用系统、杭州市健康应用、杭州市中医药数据驾驶舱、城市大脑运维保障等五个系统的正常运维。乙方承诺对甲方整个项目的运行和维护进行总包揽工作，并承担与本建设任务以外的子系统之间的协调解决的工作；</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957"/>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cs="仿宋"/>
        </w:rPr>
        <w:t>/</w:t>
      </w:r>
      <w:r>
        <w:rPr>
          <w:rFonts w:hint="eastAsia"/>
        </w:rPr>
        <w:t>否）涉及货物。若涉及货物的的，则：</w:t>
      </w:r>
    </w:p>
    <w:p>
      <w:pPr>
        <w:spacing w:line="560" w:lineRule="exact"/>
        <w:ind w:firstLine="480" w:firstLineChars="200"/>
        <w:rPr>
          <w:rFonts w:ascii="宋体" w:hAnsi="宋体" w:cs="宋体"/>
          <w:sz w:val="24"/>
          <w:u w:val="single"/>
        </w:rPr>
      </w:pPr>
      <w:bookmarkStart w:id="434" w:name="_Toc1386"/>
      <w:bookmarkStart w:id="435" w:name="_Toc13918"/>
      <w:bookmarkStart w:id="436" w:name="_Toc4929"/>
      <w:bookmarkStart w:id="437" w:name="_Toc5635"/>
      <w:bookmarkStart w:id="438" w:name="_Toc21124"/>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434"/>
      <w:bookmarkEnd w:id="435"/>
      <w:bookmarkEnd w:id="436"/>
      <w:bookmarkEnd w:id="437"/>
      <w:bookmarkEnd w:id="438"/>
    </w:p>
    <w:p>
      <w:pPr>
        <w:spacing w:line="560" w:lineRule="exact"/>
        <w:ind w:firstLine="480" w:firstLineChars="200"/>
        <w:rPr>
          <w:rFonts w:ascii="宋体" w:hAnsi="宋体"/>
          <w:sz w:val="24"/>
        </w:rPr>
      </w:pPr>
      <w:r>
        <w:rPr>
          <w:rFonts w:hint="eastAsia" w:ascii="宋体" w:hAnsi="宋体"/>
          <w:sz w:val="24"/>
        </w:rPr>
        <w:t>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pPr>
              <w:pStyle w:val="317"/>
              <w:spacing w:line="560" w:lineRule="exact"/>
              <w:jc w:val="center"/>
              <w:rPr>
                <w:rFonts w:hAnsi="宋体"/>
                <w:sz w:val="24"/>
                <w:szCs w:val="24"/>
              </w:rPr>
            </w:pPr>
            <w:r>
              <w:rPr>
                <w:rFonts w:hAnsi="宋体"/>
                <w:sz w:val="24"/>
                <w:szCs w:val="24"/>
              </w:rPr>
              <w:t>序号</w:t>
            </w:r>
          </w:p>
        </w:tc>
        <w:tc>
          <w:tcPr>
            <w:tcW w:w="3402" w:type="dxa"/>
            <w:vAlign w:val="center"/>
          </w:tcPr>
          <w:p>
            <w:pPr>
              <w:pStyle w:val="317"/>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317"/>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317"/>
              <w:spacing w:line="560" w:lineRule="exact"/>
              <w:ind w:firstLine="200"/>
              <w:jc w:val="center"/>
              <w:rPr>
                <w:rFonts w:hAnsi="宋体"/>
                <w:sz w:val="24"/>
                <w:szCs w:val="24"/>
              </w:rPr>
            </w:pPr>
          </w:p>
        </w:tc>
      </w:tr>
    </w:tbl>
    <w:p>
      <w:pPr>
        <w:pStyle w:val="957"/>
        <w:spacing w:before="0" w:beforeAutospacing="0" w:after="0" w:afterAutospacing="0" w:line="360" w:lineRule="auto"/>
        <w:ind w:firstLine="480"/>
        <w:rPr>
          <w:b/>
        </w:rPr>
      </w:pPr>
      <w:bookmarkStart w:id="439" w:name="_Toc22618"/>
      <w:bookmarkStart w:id="440" w:name="_Toc10340"/>
      <w:bookmarkStart w:id="441" w:name="_Toc1814"/>
      <w:bookmarkStart w:id="442" w:name="_Toc4760"/>
      <w:bookmarkStart w:id="443" w:name="_Toc8772"/>
      <w:bookmarkStart w:id="444" w:name="_Toc31421"/>
      <w:bookmarkStart w:id="445" w:name="_Toc11108"/>
      <w:bookmarkStart w:id="446" w:name="_Toc3625"/>
      <w:r>
        <w:rPr>
          <w:rFonts w:hint="eastAsia"/>
          <w:b/>
        </w:rPr>
        <w:t>1.4履约保证金</w:t>
      </w:r>
    </w:p>
    <w:p>
      <w:pPr>
        <w:pStyle w:val="957"/>
        <w:spacing w:before="0" w:beforeAutospacing="0" w:after="0" w:afterAutospacing="0" w:line="360" w:lineRule="auto"/>
        <w:ind w:firstLine="480"/>
      </w:pPr>
      <w:r>
        <w:rPr>
          <w:rFonts w:hint="eastAsia"/>
        </w:rPr>
        <w:t>乙方</w:t>
      </w:r>
      <w:r>
        <w:rPr>
          <w:rFonts w:hint="eastAsia"/>
          <w:u w:val="single"/>
        </w:rPr>
        <w:t xml:space="preserve"> 否  </w:t>
      </w:r>
      <w:r>
        <w:rPr>
          <w:rFonts w:hint="eastAsia"/>
        </w:rPr>
        <w:t>（是</w:t>
      </w:r>
      <w:r>
        <w:rPr>
          <w:rFonts w:hint="eastAsia"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4"/>
        <w:tabs>
          <w:tab w:val="left" w:pos="0"/>
        </w:tabs>
        <w:spacing w:line="560" w:lineRule="exact"/>
        <w:ind w:left="0" w:firstLine="480" w:firstLineChars="200"/>
        <w:rPr>
          <w:rFonts w:ascii="宋体" w:hAnsi="宋体"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39"/>
      <w:bookmarkEnd w:id="440"/>
      <w:bookmarkEnd w:id="441"/>
      <w:r>
        <w:rPr>
          <w:rFonts w:hint="eastAsia" w:ascii="宋体" w:hAnsi="宋体" w:cs="宋体"/>
          <w:b/>
          <w:sz w:val="24"/>
        </w:rPr>
        <w:t>预付款</w:t>
      </w:r>
    </w:p>
    <w:p>
      <w:pPr>
        <w:pStyle w:val="957"/>
        <w:spacing w:before="0" w:beforeAutospacing="0" w:after="0" w:afterAutospacing="0" w:line="360" w:lineRule="auto"/>
        <w:ind w:firstLine="480"/>
      </w:pPr>
      <w:r>
        <w:rPr>
          <w:rFonts w:hint="eastAsia"/>
        </w:rPr>
        <w:t>甲方</w:t>
      </w:r>
      <w:r>
        <w:rPr>
          <w:rFonts w:hint="eastAsia"/>
          <w:u w:val="single"/>
        </w:rPr>
        <w:t>是</w:t>
      </w:r>
      <w:r>
        <w:rPr>
          <w:rFonts w:hint="eastAsia"/>
        </w:rPr>
        <w:t>（是</w:t>
      </w:r>
      <w:r>
        <w:rPr>
          <w:rFonts w:hint="eastAsia"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b/>
          <w:bCs/>
        </w:rPr>
      </w:pPr>
      <w:r>
        <w:rPr>
          <w:rFonts w:hint="eastAsia"/>
          <w:b/>
          <w:bCs/>
        </w:rPr>
        <w:t>1.6资金支付</w:t>
      </w:r>
    </w:p>
    <w:p>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42"/>
      <w:bookmarkEnd w:id="443"/>
      <w:bookmarkEnd w:id="444"/>
      <w:bookmarkEnd w:id="445"/>
      <w:bookmarkEnd w:id="446"/>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447" w:name="_Toc2375"/>
      <w:bookmarkStart w:id="448" w:name="_Toc8586"/>
      <w:bookmarkStart w:id="449" w:name="_Toc3079"/>
      <w:bookmarkStart w:id="450" w:name="_Toc24662"/>
      <w:bookmarkStart w:id="451" w:name="_Toc5698"/>
      <w:r>
        <w:rPr>
          <w:rFonts w:hint="eastAsia" w:ascii="宋体" w:hAnsi="宋体"/>
          <w:bCs/>
          <w:sz w:val="24"/>
        </w:rPr>
        <w:t>1.7.4若服务涉及货物的，则货物的：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47"/>
      <w:bookmarkEnd w:id="448"/>
      <w:bookmarkEnd w:id="449"/>
      <w:bookmarkEnd w:id="450"/>
      <w:bookmarkEnd w:id="451"/>
    </w:p>
    <w:p>
      <w:pPr>
        <w:spacing w:line="560" w:lineRule="exact"/>
        <w:ind w:firstLine="480" w:firstLineChars="200"/>
        <w:rPr>
          <w:rFonts w:ascii="宋体" w:hAnsi="宋体"/>
          <w:sz w:val="24"/>
        </w:rPr>
      </w:pPr>
      <w:bookmarkStart w:id="452" w:name="_Hlk129533809"/>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453" w:name="_Toc26807"/>
      <w:bookmarkStart w:id="454" w:name="_Toc9497"/>
      <w:bookmarkStart w:id="455" w:name="_Toc32454"/>
      <w:bookmarkStart w:id="456" w:name="_Toc18683"/>
      <w:bookmarkStart w:id="457" w:name="_Toc30329"/>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bookmarkEnd w:id="452"/>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53"/>
    <w:bookmarkEnd w:id="454"/>
    <w:bookmarkEnd w:id="455"/>
    <w:bookmarkEnd w:id="456"/>
    <w:bookmarkEnd w:id="457"/>
    <w:p>
      <w:pPr>
        <w:spacing w:line="560" w:lineRule="exact"/>
        <w:ind w:firstLine="482" w:firstLineChars="200"/>
        <w:outlineLvl w:val="0"/>
        <w:rPr>
          <w:rFonts w:ascii="宋体" w:hAnsi="宋体" w:cs="宋体"/>
          <w:b/>
          <w:sz w:val="24"/>
        </w:rPr>
      </w:pPr>
      <w:bookmarkStart w:id="458" w:name="_Toc16021"/>
      <w:bookmarkStart w:id="459" w:name="_Toc28375"/>
      <w:bookmarkStart w:id="460" w:name="_Toc15583"/>
      <w:r>
        <w:rPr>
          <w:rFonts w:hint="eastAsia" w:ascii="宋体" w:hAnsi="宋体" w:cs="宋体"/>
          <w:b/>
          <w:sz w:val="24"/>
        </w:rPr>
        <w:t>1.9合同争议的解决</w:t>
      </w:r>
      <w:bookmarkEnd w:id="458"/>
      <w:bookmarkEnd w:id="459"/>
      <w:bookmarkEnd w:id="460"/>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w:t>
      </w:r>
      <w:bookmarkStart w:id="461" w:name="_Hlk129533857"/>
      <w:r>
        <w:rPr>
          <w:rFonts w:hint="eastAsia" w:ascii="宋体" w:hAnsi="宋体" w:cs="宋体"/>
          <w:sz w:val="24"/>
        </w:rPr>
        <w:t>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bookmarkEnd w:id="461"/>
    <w:p>
      <w:pPr>
        <w:spacing w:line="560" w:lineRule="exact"/>
        <w:ind w:firstLine="482" w:firstLineChars="200"/>
        <w:outlineLvl w:val="0"/>
        <w:rPr>
          <w:rFonts w:ascii="宋体" w:hAnsi="宋体" w:cs="宋体"/>
          <w:b/>
          <w:sz w:val="24"/>
        </w:rPr>
      </w:pPr>
      <w:bookmarkStart w:id="462" w:name="_Toc7245"/>
      <w:bookmarkStart w:id="463" w:name="_Toc11173"/>
      <w:bookmarkStart w:id="464" w:name="_Toc15322"/>
      <w:r>
        <w:rPr>
          <w:rFonts w:hint="eastAsia" w:ascii="宋体" w:hAnsi="宋体" w:cs="宋体"/>
          <w:b/>
          <w:sz w:val="24"/>
        </w:rPr>
        <w:t>2.0 合同生效</w:t>
      </w:r>
      <w:bookmarkEnd w:id="462"/>
      <w:bookmarkEnd w:id="463"/>
      <w:bookmarkEnd w:id="464"/>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699"/>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465" w:name="_Toc5228"/>
      <w:bookmarkStart w:id="466" w:name="_Toc19680"/>
      <w:bookmarkStart w:id="467" w:name="_Toc31297"/>
      <w:bookmarkStart w:id="468" w:name="_Toc14021"/>
      <w:bookmarkStart w:id="469" w:name="_Toc25079"/>
      <w:r>
        <w:rPr>
          <w:rFonts w:ascii="宋体" w:hAnsi="宋体"/>
          <w:b/>
          <w:sz w:val="24"/>
        </w:rPr>
        <w:t>2.1 定义</w:t>
      </w:r>
      <w:bookmarkEnd w:id="465"/>
      <w:bookmarkEnd w:id="466"/>
      <w:bookmarkEnd w:id="467"/>
      <w:bookmarkEnd w:id="468"/>
      <w:bookmarkEnd w:id="469"/>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70" w:name="_Toc3769"/>
      <w:bookmarkStart w:id="471" w:name="_Toc16752"/>
      <w:bookmarkStart w:id="472" w:name="_Toc31402"/>
      <w:bookmarkStart w:id="473" w:name="_Toc19539"/>
      <w:bookmarkStart w:id="474" w:name="_Toc23289"/>
      <w:r>
        <w:rPr>
          <w:rFonts w:ascii="宋体" w:hAnsi="宋体"/>
          <w:b/>
          <w:sz w:val="24"/>
        </w:rPr>
        <w:t>2.2 技术规范</w:t>
      </w:r>
      <w:bookmarkEnd w:id="470"/>
      <w:bookmarkEnd w:id="471"/>
      <w:bookmarkEnd w:id="472"/>
      <w:bookmarkEnd w:id="473"/>
      <w:bookmarkEnd w:id="474"/>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75" w:name="_Toc13673"/>
      <w:bookmarkStart w:id="476" w:name="_Toc27945"/>
      <w:bookmarkStart w:id="477" w:name="_Toc4133"/>
      <w:bookmarkStart w:id="478" w:name="_Toc9161"/>
      <w:bookmarkStart w:id="479" w:name="_Toc12412"/>
      <w:r>
        <w:rPr>
          <w:rFonts w:ascii="宋体" w:hAnsi="宋体"/>
          <w:b/>
          <w:sz w:val="24"/>
        </w:rPr>
        <w:t>2.3 知识产权</w:t>
      </w:r>
      <w:bookmarkEnd w:id="475"/>
      <w:bookmarkEnd w:id="476"/>
      <w:bookmarkEnd w:id="477"/>
      <w:bookmarkEnd w:id="478"/>
      <w:bookmarkEnd w:id="479"/>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80" w:name="_Toc22011"/>
      <w:bookmarkStart w:id="481" w:name="_Toc15447"/>
      <w:bookmarkStart w:id="482" w:name="_Toc26555"/>
      <w:bookmarkStart w:id="483" w:name="_Toc32670"/>
      <w:bookmarkStart w:id="484" w:name="_Toc31233"/>
      <w:r>
        <w:rPr>
          <w:rFonts w:ascii="宋体" w:hAnsi="宋体"/>
          <w:b/>
          <w:sz w:val="24"/>
        </w:rPr>
        <w:t>2.5 结算方式和付款条件</w:t>
      </w:r>
      <w:bookmarkEnd w:id="480"/>
      <w:bookmarkEnd w:id="481"/>
      <w:bookmarkEnd w:id="482"/>
      <w:bookmarkEnd w:id="483"/>
      <w:bookmarkEnd w:id="484"/>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85" w:name="_Toc30507"/>
      <w:bookmarkStart w:id="486" w:name="_Toc16163"/>
      <w:bookmarkStart w:id="487" w:name="_Toc13467"/>
      <w:bookmarkStart w:id="488" w:name="_Toc13154"/>
      <w:bookmarkStart w:id="489" w:name="_Toc18990"/>
      <w:r>
        <w:rPr>
          <w:rFonts w:ascii="宋体" w:hAnsi="宋体"/>
          <w:b/>
          <w:sz w:val="24"/>
        </w:rPr>
        <w:t>2.6 技术资料和保密义务</w:t>
      </w:r>
      <w:bookmarkEnd w:id="485"/>
      <w:bookmarkEnd w:id="486"/>
      <w:bookmarkEnd w:id="487"/>
      <w:bookmarkEnd w:id="488"/>
      <w:bookmarkEnd w:id="489"/>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90" w:name="_Toc19069"/>
      <w:r>
        <w:rPr>
          <w:rFonts w:ascii="宋体" w:hAnsi="宋体"/>
          <w:b/>
          <w:sz w:val="24"/>
        </w:rPr>
        <w:t xml:space="preserve">2.7 </w:t>
      </w:r>
      <w:r>
        <w:rPr>
          <w:rFonts w:hint="eastAsia" w:ascii="宋体" w:hAnsi="宋体"/>
          <w:b/>
          <w:sz w:val="24"/>
        </w:rPr>
        <w:t>质量保证</w:t>
      </w:r>
      <w:bookmarkEnd w:id="490"/>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91" w:name="_Toc22267"/>
      <w:r>
        <w:rPr>
          <w:rFonts w:ascii="宋体" w:hAnsi="宋体"/>
          <w:b/>
          <w:sz w:val="24"/>
        </w:rPr>
        <w:t xml:space="preserve">2.8 </w:t>
      </w:r>
      <w:r>
        <w:rPr>
          <w:rFonts w:hint="eastAsia" w:ascii="宋体" w:hAnsi="宋体"/>
          <w:b/>
          <w:sz w:val="24"/>
        </w:rPr>
        <w:t>延迟履行</w:t>
      </w:r>
      <w:bookmarkEnd w:id="491"/>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92" w:name="_Toc10611"/>
      <w:r>
        <w:rPr>
          <w:rFonts w:ascii="宋体" w:hAnsi="宋体"/>
          <w:b/>
          <w:sz w:val="24"/>
        </w:rPr>
        <w:t xml:space="preserve">2.9 </w:t>
      </w:r>
      <w:r>
        <w:rPr>
          <w:rFonts w:hint="eastAsia" w:ascii="宋体" w:hAnsi="宋体"/>
          <w:b/>
          <w:sz w:val="24"/>
        </w:rPr>
        <w:t>合同变更</w:t>
      </w:r>
      <w:bookmarkEnd w:id="492"/>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93" w:name="_Toc23368"/>
      <w:bookmarkStart w:id="494" w:name="_Toc42"/>
      <w:bookmarkStart w:id="495" w:name="_Toc10663"/>
      <w:bookmarkStart w:id="496" w:name="_Toc26689"/>
      <w:bookmarkStart w:id="497" w:name="_Toc21830"/>
      <w:r>
        <w:rPr>
          <w:rFonts w:ascii="宋体" w:hAnsi="宋体"/>
          <w:b/>
          <w:sz w:val="24"/>
        </w:rPr>
        <w:t>2.10 合同转让和分包</w:t>
      </w:r>
      <w:bookmarkEnd w:id="493"/>
      <w:bookmarkEnd w:id="494"/>
      <w:bookmarkEnd w:id="495"/>
      <w:bookmarkEnd w:id="496"/>
      <w:bookmarkEnd w:id="497"/>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98" w:name="_Toc32494"/>
      <w:bookmarkStart w:id="499" w:name="_Toc25571"/>
      <w:bookmarkStart w:id="500" w:name="_Toc14371"/>
      <w:bookmarkStart w:id="501" w:name="_Toc26633"/>
      <w:bookmarkStart w:id="502" w:name="_Toc4720"/>
      <w:r>
        <w:rPr>
          <w:rFonts w:ascii="宋体" w:hAnsi="宋体"/>
          <w:b/>
          <w:sz w:val="24"/>
        </w:rPr>
        <w:t>2.11 不可抗力</w:t>
      </w:r>
      <w:bookmarkEnd w:id="498"/>
      <w:bookmarkEnd w:id="499"/>
      <w:bookmarkEnd w:id="500"/>
      <w:bookmarkEnd w:id="501"/>
      <w:bookmarkEnd w:id="502"/>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503" w:name="_Toc3638"/>
      <w:bookmarkStart w:id="504" w:name="_Toc23854"/>
      <w:bookmarkStart w:id="505" w:name="_Toc24465"/>
      <w:bookmarkStart w:id="506" w:name="_Toc14115"/>
      <w:bookmarkStart w:id="507" w:name="_Toc25783"/>
      <w:r>
        <w:rPr>
          <w:rFonts w:ascii="宋体" w:hAnsi="宋体"/>
          <w:b/>
          <w:sz w:val="24"/>
        </w:rPr>
        <w:t>2.12 税费</w:t>
      </w:r>
      <w:bookmarkEnd w:id="503"/>
      <w:bookmarkEnd w:id="504"/>
      <w:bookmarkEnd w:id="505"/>
      <w:bookmarkEnd w:id="506"/>
      <w:bookmarkEnd w:id="507"/>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508" w:name="_Toc7315"/>
      <w:bookmarkStart w:id="509" w:name="_Toc30105"/>
      <w:bookmarkStart w:id="510" w:name="_Toc25525"/>
      <w:bookmarkStart w:id="511" w:name="_Toc14814"/>
      <w:bookmarkStart w:id="512" w:name="_Toc26883"/>
      <w:r>
        <w:rPr>
          <w:rFonts w:ascii="宋体" w:hAnsi="宋体"/>
          <w:b/>
          <w:sz w:val="24"/>
        </w:rPr>
        <w:t>2.13 乙方破产</w:t>
      </w:r>
      <w:bookmarkEnd w:id="508"/>
      <w:bookmarkEnd w:id="509"/>
      <w:bookmarkEnd w:id="510"/>
      <w:bookmarkEnd w:id="511"/>
      <w:bookmarkEnd w:id="512"/>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513" w:name="_Toc23323"/>
      <w:bookmarkStart w:id="514" w:name="_Toc2016"/>
      <w:bookmarkStart w:id="515" w:name="_Toc1123"/>
      <w:r>
        <w:rPr>
          <w:rFonts w:ascii="宋体" w:hAnsi="宋体"/>
          <w:b/>
          <w:sz w:val="24"/>
        </w:rPr>
        <w:t>2.14 合同中止、终止</w:t>
      </w:r>
      <w:bookmarkEnd w:id="513"/>
      <w:bookmarkEnd w:id="514"/>
      <w:bookmarkEnd w:id="515"/>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516" w:name="_Toc14525"/>
      <w:bookmarkStart w:id="517" w:name="_Toc17363"/>
      <w:bookmarkStart w:id="518" w:name="_Toc1969"/>
      <w:r>
        <w:rPr>
          <w:rFonts w:ascii="宋体" w:hAnsi="宋体"/>
          <w:b/>
          <w:sz w:val="24"/>
        </w:rPr>
        <w:t>2.15 检验和验收</w:t>
      </w:r>
      <w:bookmarkEnd w:id="516"/>
      <w:bookmarkEnd w:id="517"/>
      <w:bookmarkEnd w:id="518"/>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519" w:name="_Toc12666"/>
      <w:bookmarkStart w:id="520" w:name="_Toc9808"/>
      <w:bookmarkStart w:id="521" w:name="_Toc2308"/>
      <w:bookmarkStart w:id="522" w:name="_Toc31892"/>
      <w:bookmarkStart w:id="523" w:name="_Toc25198"/>
      <w:r>
        <w:rPr>
          <w:rFonts w:ascii="宋体" w:hAnsi="宋体"/>
          <w:b/>
          <w:sz w:val="24"/>
        </w:rPr>
        <w:t>2.16 通知和送达</w:t>
      </w:r>
      <w:bookmarkEnd w:id="519"/>
      <w:bookmarkEnd w:id="520"/>
      <w:bookmarkEnd w:id="521"/>
      <w:bookmarkEnd w:id="522"/>
      <w:bookmarkEnd w:id="523"/>
    </w:p>
    <w:p>
      <w:pPr>
        <w:spacing w:line="560" w:lineRule="exact"/>
        <w:ind w:firstLine="480" w:firstLineChars="200"/>
        <w:rPr>
          <w:rFonts w:ascii="宋体" w:hAnsi="宋体"/>
          <w:sz w:val="24"/>
        </w:rPr>
      </w:pPr>
      <w:bookmarkStart w:id="524" w:name="_Toc18401"/>
      <w:bookmarkStart w:id="525" w:name="_Toc27674"/>
      <w:r>
        <w:rPr>
          <w:rFonts w:ascii="宋体" w:hAnsi="宋体"/>
          <w:sz w:val="24"/>
        </w:rPr>
        <w:t>2.1</w:t>
      </w:r>
      <w:r>
        <w:rPr>
          <w:rFonts w:hint="eastAsia" w:ascii="宋体" w:hAnsi="宋体"/>
          <w:sz w:val="24"/>
        </w:rPr>
        <w:t>6</w:t>
      </w:r>
      <w:r>
        <w:rPr>
          <w:rFonts w:ascii="宋体" w:hAnsi="宋体"/>
          <w:sz w:val="24"/>
        </w:rPr>
        <w:t>.1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w:t>
      </w:r>
      <w:r>
        <w:rPr>
          <w:rFonts w:hint="eastAsia" w:ascii="宋体" w:hAnsi="宋体"/>
          <w:sz w:val="24"/>
        </w:rPr>
        <w:t>6</w:t>
      </w:r>
      <w:r>
        <w:rPr>
          <w:rFonts w:ascii="宋体" w:hAnsi="宋体"/>
          <w:sz w:val="24"/>
        </w:rPr>
        <w:t>.2以当面交付方式送达的，交付之时视为送达；以电子邮件方式送达的，发出电子邮件之时视为送达；以传真方式送达的，发出传真之时视为送达；以邮寄方式送达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24"/>
      <w:bookmarkEnd w:id="525"/>
    </w:p>
    <w:p>
      <w:pPr>
        <w:spacing w:line="560" w:lineRule="exact"/>
        <w:ind w:firstLine="482" w:firstLineChars="200"/>
        <w:outlineLvl w:val="0"/>
        <w:rPr>
          <w:rFonts w:ascii="宋体" w:hAnsi="宋体"/>
          <w:b/>
          <w:sz w:val="24"/>
        </w:rPr>
      </w:pPr>
      <w:bookmarkStart w:id="526" w:name="_Toc5063"/>
      <w:bookmarkStart w:id="527" w:name="_Toc20808"/>
      <w:bookmarkStart w:id="528" w:name="_Toc28906"/>
      <w:bookmarkStart w:id="529" w:name="_Toc27644"/>
      <w:bookmarkStart w:id="530" w:name="_Toc1225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26"/>
      <w:bookmarkEnd w:id="527"/>
      <w:bookmarkEnd w:id="528"/>
      <w:bookmarkEnd w:id="529"/>
      <w:bookmarkEnd w:id="530"/>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bookmarkStart w:id="531" w:name="_Toc18540"/>
      <w:bookmarkStart w:id="532" w:name="_Toc4355"/>
      <w:bookmarkStart w:id="533" w:name="_Toc30599"/>
      <w:r>
        <w:rPr>
          <w:rFonts w:hint="eastAsia" w:ascii="宋体" w:hAnsi="宋体" w:cs="宋体"/>
          <w:b/>
          <w:sz w:val="24"/>
        </w:rPr>
        <w:t>2.18 计量单位</w:t>
      </w:r>
      <w:bookmarkEnd w:id="531"/>
      <w:bookmarkEnd w:id="532"/>
      <w:bookmarkEnd w:id="533"/>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34" w:name="_Toc331685784"/>
      <w:r>
        <w:rPr>
          <w:rFonts w:hint="eastAsia" w:ascii="宋体" w:hAnsi="宋体" w:cs="宋体"/>
          <w:b/>
          <w:sz w:val="24"/>
        </w:rPr>
        <w:t xml:space="preserve"> </w:t>
      </w:r>
      <w:bookmarkEnd w:id="534"/>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86"/>
        <w:gridCol w:w="81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540"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460"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4460"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460"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460" w:type="pct"/>
            <w:vAlign w:val="center"/>
          </w:tcPr>
          <w:p>
            <w:pPr>
              <w:spacing w:line="360" w:lineRule="auto"/>
              <w:rPr>
                <w:rFonts w:ascii="宋体" w:hAnsi="宋体" w:cs="宋体"/>
                <w:sz w:val="24"/>
              </w:rPr>
            </w:pPr>
            <w:r>
              <w:rPr>
                <w:rFonts w:hint="eastAsia" w:ascii="宋体" w:hAnsi="宋体" w:cs="宋体"/>
                <w:kern w:val="0"/>
                <w:sz w:val="24"/>
              </w:rPr>
              <w:t>合同生效并具备实施条件财政资金到位的情况后5个工作日内，采购人向成交供应商支付2024年服务周期合同金额</w:t>
            </w:r>
            <w:r>
              <w:rPr>
                <w:rFonts w:ascii="宋体" w:hAnsi="宋体" w:cs="宋体"/>
                <w:kern w:val="0"/>
                <w:sz w:val="24"/>
              </w:rPr>
              <w:t>50</w:t>
            </w:r>
            <w:r>
              <w:rPr>
                <w:rFonts w:hint="eastAsia" w:ascii="宋体" w:hAnsi="宋体" w:cs="宋体"/>
                <w:kern w:val="0"/>
                <w:sz w:val="24"/>
              </w:rPr>
              <w:t>％作为预付款。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460"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460"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460" w:type="pct"/>
            <w:vAlign w:val="center"/>
          </w:tcPr>
          <w:p>
            <w:pPr>
              <w:widowControl/>
              <w:spacing w:line="360" w:lineRule="auto"/>
              <w:rPr>
                <w:rFonts w:ascii="宋体" w:hAnsi="宋体" w:cs="宋体"/>
                <w:kern w:val="0"/>
                <w:sz w:val="24"/>
              </w:rPr>
            </w:pPr>
            <w:r>
              <w:rPr>
                <w:rFonts w:hint="eastAsia" w:ascii="宋体" w:hAnsi="宋体" w:cs="宋体"/>
                <w:kern w:val="0"/>
                <w:sz w:val="24"/>
              </w:rPr>
              <w:t>1、服务款采用分期付款方式结算，共分两次支付，具体付款方式如下：</w:t>
            </w:r>
          </w:p>
          <w:p>
            <w:pPr>
              <w:widowControl/>
              <w:spacing w:line="360" w:lineRule="auto"/>
              <w:rPr>
                <w:rFonts w:ascii="宋体" w:hAnsi="宋体" w:cs="宋体"/>
                <w:kern w:val="0"/>
                <w:sz w:val="24"/>
              </w:rPr>
            </w:pPr>
            <w:r>
              <w:rPr>
                <w:rFonts w:hint="eastAsia" w:ascii="宋体" w:hAnsi="宋体" w:cs="宋体"/>
                <w:kern w:val="0"/>
                <w:sz w:val="24"/>
              </w:rPr>
              <w:t>（1）第一期:合同生效并具备实施条件财政资金到位的情况后5个工作日内，采购人向成交供应商支付2024年服务周期合同金额</w:t>
            </w:r>
            <w:r>
              <w:rPr>
                <w:rFonts w:ascii="宋体" w:hAnsi="宋体" w:cs="宋体"/>
                <w:kern w:val="0"/>
                <w:sz w:val="24"/>
              </w:rPr>
              <w:t>50</w:t>
            </w:r>
            <w:r>
              <w:rPr>
                <w:rFonts w:hint="eastAsia" w:ascii="宋体" w:hAnsi="宋体" w:cs="宋体"/>
                <w:kern w:val="0"/>
                <w:sz w:val="24"/>
              </w:rPr>
              <w:t>％作为预付款，</w:t>
            </w:r>
          </w:p>
          <w:p>
            <w:pPr>
              <w:widowControl/>
              <w:spacing w:line="360" w:lineRule="auto"/>
              <w:rPr>
                <w:rFonts w:ascii="宋体" w:hAnsi="宋体" w:cs="宋体"/>
                <w:kern w:val="0"/>
                <w:sz w:val="24"/>
              </w:rPr>
            </w:pPr>
            <w:r>
              <w:rPr>
                <w:rFonts w:hint="eastAsia" w:ascii="宋体" w:hAnsi="宋体" w:cs="宋体"/>
                <w:kern w:val="0"/>
                <w:sz w:val="24"/>
              </w:rPr>
              <w:t>（2）第二期:2024年11月3</w:t>
            </w:r>
            <w:r>
              <w:rPr>
                <w:rFonts w:ascii="宋体" w:hAnsi="宋体" w:cs="宋体"/>
                <w:kern w:val="0"/>
                <w:sz w:val="24"/>
              </w:rPr>
              <w:t>0</w:t>
            </w:r>
            <w:r>
              <w:rPr>
                <w:rFonts w:hint="eastAsia" w:ascii="宋体" w:hAnsi="宋体" w:cs="宋体"/>
                <w:kern w:val="0"/>
                <w:sz w:val="24"/>
              </w:rPr>
              <w:t>日前，中心对本项目服务按照《信息化维保服务质量考核表》进行考核，根据年度考核得分计算2024年服务周期剩余维护服务款(2024年服务周期合同金额30%和2024年服务周期合同金额20%的年度考核分数的百分比的金额总和)，乙方凭甲方签字盖章的支付通知书和全额发票向甲方办理2024年服务周期剩余维护服务款结算手续。</w:t>
            </w:r>
          </w:p>
          <w:p>
            <w:pPr>
              <w:widowControl/>
              <w:spacing w:line="360" w:lineRule="auto"/>
              <w:rPr>
                <w:rFonts w:ascii="宋体" w:hAnsi="宋体" w:cs="宋体"/>
                <w:kern w:val="0"/>
                <w:sz w:val="24"/>
              </w:rPr>
            </w:pPr>
            <w:r>
              <w:rPr>
                <w:rFonts w:hint="eastAsia" w:ascii="宋体" w:hAnsi="宋体" w:cs="宋体"/>
                <w:kern w:val="0"/>
                <w:sz w:val="24"/>
              </w:rPr>
              <w:t>2、合同生效后15个工作日内，乙方按照合同生效日期，和上一年度运维厂商进行逾期结算（如有）</w:t>
            </w:r>
          </w:p>
          <w:p>
            <w:pPr>
              <w:widowControl/>
              <w:spacing w:line="360" w:lineRule="auto"/>
              <w:rPr>
                <w:rFonts w:ascii="宋体" w:hAnsi="宋体" w:cs="宋体"/>
                <w:kern w:val="0"/>
                <w:sz w:val="24"/>
              </w:rPr>
            </w:pPr>
            <w:r>
              <w:rPr>
                <w:rFonts w:hint="eastAsia" w:ascii="宋体" w:hAnsi="宋体" w:cs="宋体"/>
                <w:kern w:val="0"/>
                <w:sz w:val="24"/>
              </w:rPr>
              <w:t>3、逾期结算及义务：如果成交供应商和上一年度运维厂商不是同一中标人，并且本合同签订日由于某些客观原因在上一年度运维期之后的，成交供应商按照上一年度运维合同金额，折算逾期运维费用，结算给上一年度运维厂商。如果本合同运维到期后，还未签订新的运维合同，成交供应商将无条件按照本合同继续履行运维工作，直到下一年度中标厂商和成交供应商进行逾期结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460" w:type="pct"/>
            <w:vAlign w:val="center"/>
          </w:tcPr>
          <w:p>
            <w:pPr>
              <w:spacing w:line="360" w:lineRule="auto"/>
              <w:rPr>
                <w:rFonts w:ascii="宋体" w:hAnsi="宋体" w:cs="宋体"/>
                <w:sz w:val="24"/>
              </w:rPr>
            </w:pPr>
            <w:r>
              <w:rPr>
                <w:rFonts w:hint="eastAsia" w:ascii="宋体" w:hAnsi="宋体" w:cs="宋体"/>
                <w:b/>
                <w:sz w:val="24"/>
              </w:rPr>
              <w:t>2024年</w:t>
            </w:r>
            <w:r>
              <w:rPr>
                <w:rFonts w:ascii="宋体" w:hAnsi="宋体" w:cs="宋体"/>
                <w:b/>
                <w:sz w:val="24"/>
              </w:rPr>
              <w:t>01</w:t>
            </w:r>
            <w:r>
              <w:rPr>
                <w:rFonts w:hint="eastAsia" w:ascii="宋体" w:hAnsi="宋体" w:cs="宋体"/>
                <w:b/>
                <w:sz w:val="24"/>
              </w:rPr>
              <w:t>月</w:t>
            </w:r>
            <w:r>
              <w:rPr>
                <w:rFonts w:ascii="宋体" w:hAnsi="宋体" w:cs="宋体"/>
                <w:b/>
                <w:sz w:val="24"/>
              </w:rPr>
              <w:t>01</w:t>
            </w:r>
            <w:r>
              <w:rPr>
                <w:rFonts w:hint="eastAsia" w:ascii="宋体" w:hAnsi="宋体" w:cs="宋体"/>
                <w:b/>
                <w:sz w:val="24"/>
              </w:rPr>
              <w:t>日至2024年1</w:t>
            </w:r>
            <w:r>
              <w:rPr>
                <w:rFonts w:ascii="宋体" w:hAnsi="宋体" w:cs="宋体"/>
                <w:b/>
                <w:sz w:val="24"/>
              </w:rPr>
              <w:t>2</w:t>
            </w:r>
            <w:r>
              <w:rPr>
                <w:rFonts w:hint="eastAsia" w:ascii="宋体" w:hAnsi="宋体" w:cs="宋体"/>
                <w:b/>
                <w:sz w:val="24"/>
              </w:rPr>
              <w:t>月3</w:t>
            </w:r>
            <w:r>
              <w:rPr>
                <w:rFonts w:ascii="宋体" w:hAnsi="宋体" w:cs="宋体"/>
                <w:b/>
                <w:sz w:val="24"/>
              </w:rPr>
              <w:t>1</w:t>
            </w:r>
            <w:r>
              <w:rPr>
                <w:rFonts w:hint="eastAsia" w:ascii="宋体" w:hAnsi="宋体" w:cs="宋体"/>
                <w:b/>
                <w:sz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pPr>
              <w:widowControl/>
              <w:spacing w:line="360" w:lineRule="auto"/>
              <w:rPr>
                <w:rFonts w:ascii="宋体" w:hAnsi="宋体" w:cs="宋体"/>
                <w:kern w:val="0"/>
                <w:sz w:val="24"/>
              </w:rPr>
            </w:pPr>
            <w:r>
              <w:rPr>
                <w:rFonts w:hint="eastAsia" w:ascii="宋体" w:hAnsi="宋体" w:cs="宋体"/>
                <w:kern w:val="0"/>
                <w:sz w:val="24"/>
              </w:rPr>
              <w:t>1.7.2</w:t>
            </w:r>
          </w:p>
        </w:tc>
        <w:tc>
          <w:tcPr>
            <w:tcW w:w="4460" w:type="pct"/>
            <w:vAlign w:val="center"/>
          </w:tcPr>
          <w:p>
            <w:pPr>
              <w:widowControl/>
              <w:spacing w:line="360" w:lineRule="auto"/>
              <w:rPr>
                <w:rFonts w:ascii="宋体" w:hAnsi="宋体" w:cs="宋体"/>
                <w:kern w:val="0"/>
                <w:sz w:val="24"/>
              </w:rPr>
            </w:pPr>
            <w:r>
              <w:rPr>
                <w:rFonts w:hint="eastAsia" w:ascii="宋体" w:hAnsi="宋体" w:cs="宋体"/>
                <w:kern w:val="0"/>
                <w:sz w:val="24"/>
              </w:rPr>
              <w:t>杭州市卫生健康事业发展中心及指定地点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460" w:type="pct"/>
            <w:vAlign w:val="center"/>
          </w:tcPr>
          <w:p>
            <w:pPr>
              <w:spacing w:line="360" w:lineRule="auto"/>
              <w:rPr>
                <w:rFonts w:ascii="宋体" w:hAnsi="宋体" w:cs="宋体"/>
                <w:sz w:val="24"/>
              </w:rPr>
            </w:pPr>
            <w:r>
              <w:rPr>
                <w:rFonts w:hint="eastAsia" w:ascii="宋体" w:hAnsi="宋体" w:cs="宋体"/>
                <w:sz w:val="24"/>
              </w:rPr>
              <w:t>现场服务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4460" w:type="pct"/>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4460" w:type="pct"/>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4460" w:type="pct"/>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4460"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4460"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4460" w:type="pct"/>
            <w:vAlign w:val="center"/>
          </w:tcPr>
          <w:p>
            <w:pPr>
              <w:spacing w:line="360" w:lineRule="auto"/>
              <w:rPr>
                <w:rFonts w:ascii="宋体" w:hAnsi="宋体" w:cs="宋体"/>
                <w:sz w:val="24"/>
              </w:rPr>
            </w:pPr>
            <w:bookmarkStart w:id="535" w:name="_Hlk124179938"/>
            <w:r>
              <w:rPr>
                <w:rFonts w:hint="eastAsia" w:ascii="宋体" w:hAnsi="宋体"/>
                <w:iCs/>
                <w:sz w:val="24"/>
              </w:rPr>
              <w:t>本合同履行过程中如发生争议的，双方应友好协商；协商不成的，任何一方均可向甲方所在地人民法院提起诉讼。</w:t>
            </w:r>
            <w:bookmarkEnd w:id="535"/>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460" w:type="pct"/>
            <w:vAlign w:val="center"/>
          </w:tcPr>
          <w:p>
            <w:pPr>
              <w:spacing w:line="360" w:lineRule="auto"/>
              <w:ind w:left="-420" w:leftChars="-200" w:right="-420" w:rightChars="-200" w:firstLine="480" w:firstLineChars="200"/>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0" w:type="pct"/>
            <w:vAlign w:val="center"/>
          </w:tcPr>
          <w:p>
            <w:pPr>
              <w:widowControl/>
              <w:spacing w:line="360" w:lineRule="auto"/>
              <w:rPr>
                <w:rFonts w:ascii="宋体" w:hAnsi="宋体" w:cs="宋体"/>
                <w:kern w:val="0"/>
                <w:sz w:val="24"/>
              </w:rPr>
            </w:pPr>
            <w:r>
              <w:rPr>
                <w:rFonts w:hint="eastAsia" w:ascii="宋体" w:hAnsi="宋体" w:cs="宋体"/>
                <w:kern w:val="0"/>
                <w:sz w:val="24"/>
              </w:rPr>
              <w:t>1、服务款采用分期付款方式结算，共分两次支付，具体付款方式如下：</w:t>
            </w:r>
          </w:p>
          <w:p>
            <w:pPr>
              <w:widowControl/>
              <w:spacing w:line="360" w:lineRule="auto"/>
              <w:rPr>
                <w:rFonts w:ascii="宋体" w:hAnsi="宋体" w:cs="宋体"/>
                <w:kern w:val="0"/>
                <w:sz w:val="24"/>
              </w:rPr>
            </w:pPr>
            <w:r>
              <w:rPr>
                <w:rFonts w:hint="eastAsia" w:ascii="宋体" w:hAnsi="宋体" w:cs="宋体"/>
                <w:kern w:val="0"/>
                <w:sz w:val="24"/>
              </w:rPr>
              <w:t>（1）第一期:合同生效并具备实施条件财政资金到位的情况后5个工作日内，采购人向成交供应商支付2024年服务周期合同金额</w:t>
            </w:r>
            <w:r>
              <w:rPr>
                <w:rFonts w:ascii="宋体" w:hAnsi="宋体" w:cs="宋体"/>
                <w:kern w:val="0"/>
                <w:sz w:val="24"/>
              </w:rPr>
              <w:t>50</w:t>
            </w:r>
            <w:r>
              <w:rPr>
                <w:rFonts w:hint="eastAsia" w:ascii="宋体" w:hAnsi="宋体" w:cs="宋体"/>
                <w:kern w:val="0"/>
                <w:sz w:val="24"/>
              </w:rPr>
              <w:t>％作为预付款，</w:t>
            </w:r>
          </w:p>
          <w:p>
            <w:pPr>
              <w:widowControl/>
              <w:spacing w:line="360" w:lineRule="auto"/>
              <w:rPr>
                <w:rFonts w:ascii="宋体" w:hAnsi="宋体" w:cs="宋体"/>
                <w:kern w:val="0"/>
                <w:sz w:val="24"/>
              </w:rPr>
            </w:pPr>
            <w:r>
              <w:rPr>
                <w:rFonts w:hint="eastAsia" w:ascii="宋体" w:hAnsi="宋体" w:cs="宋体"/>
                <w:kern w:val="0"/>
                <w:sz w:val="24"/>
              </w:rPr>
              <w:t>（2）第二期:2024年11月3</w:t>
            </w:r>
            <w:r>
              <w:rPr>
                <w:rFonts w:ascii="宋体" w:hAnsi="宋体" w:cs="宋体"/>
                <w:kern w:val="0"/>
                <w:sz w:val="24"/>
              </w:rPr>
              <w:t>0</w:t>
            </w:r>
            <w:r>
              <w:rPr>
                <w:rFonts w:hint="eastAsia" w:ascii="宋体" w:hAnsi="宋体" w:cs="宋体"/>
                <w:kern w:val="0"/>
                <w:sz w:val="24"/>
              </w:rPr>
              <w:t>日前，中心对本项目服务按照《信息化维保服务质量考核表》进行考核，根据年度考核得分计算2024年服务周期剩余维护服务款(2024年服务周期合同金额30%和2024年服务周期合同金额20%的年度考核分数的百分比的金额总和)，乙方凭甲方签字盖章的支付通知书和全额发票向甲方办理2024年服务周期剩余维护服务款结算手续。</w:t>
            </w:r>
          </w:p>
          <w:p>
            <w:pPr>
              <w:widowControl/>
              <w:spacing w:line="360" w:lineRule="auto"/>
              <w:rPr>
                <w:rFonts w:ascii="宋体" w:hAnsi="宋体" w:cs="宋体"/>
                <w:kern w:val="0"/>
                <w:sz w:val="24"/>
              </w:rPr>
            </w:pPr>
            <w:r>
              <w:rPr>
                <w:rFonts w:hint="eastAsia" w:ascii="宋体" w:hAnsi="宋体" w:cs="宋体"/>
                <w:kern w:val="0"/>
                <w:sz w:val="24"/>
              </w:rPr>
              <w:t>2、合同生效后15个工作日内，乙方按照合同生效日期，和上一年度运维厂商进行逾期结算（如有）</w:t>
            </w:r>
          </w:p>
          <w:p>
            <w:pPr>
              <w:spacing w:line="360" w:lineRule="auto"/>
              <w:rPr>
                <w:rFonts w:ascii="宋体" w:hAnsi="宋体"/>
                <w:iCs/>
                <w:sz w:val="24"/>
              </w:rPr>
            </w:pPr>
            <w:r>
              <w:rPr>
                <w:rFonts w:hint="eastAsia" w:ascii="宋体" w:hAnsi="宋体" w:cs="宋体"/>
                <w:kern w:val="0"/>
                <w:sz w:val="24"/>
              </w:rPr>
              <w:t>3、逾期结算及义务：如果成交供应商和上一年度运维厂商不是同一中标人，并且本合同签订日由于某些客观原因在上一年度运维期之后的，成交供应商按照上一年度运维合同金额，折算逾期运维费用，结算给上一年度运维厂商。如果本合同运维到期后，还未签订新的运维合同，成交供应商将无条件按照本合同继续履行运维工作，直到下一年度中标厂商和成交供应商进行逾期结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0" w:type="pct"/>
            <w:vAlign w:val="center"/>
          </w:tcPr>
          <w:p>
            <w:pPr>
              <w:spacing w:line="360" w:lineRule="auto"/>
              <w:rPr>
                <w:rFonts w:ascii="宋体" w:hAnsi="宋体"/>
                <w:iCs/>
                <w:sz w:val="24"/>
              </w:rPr>
            </w:pPr>
            <w:r>
              <w:rPr>
                <w:rFonts w:hint="eastAsia" w:ascii="宋体" w:hAnsi="宋体"/>
                <w:iCs/>
                <w:sz w:val="24"/>
              </w:rPr>
              <w:t>因不可抗力致使合同有变更必要的，双方当事人应在15日内以书面形式变更合同。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0" w:type="pct"/>
          </w:tcPr>
          <w:p>
            <w:pPr>
              <w:spacing w:line="360" w:lineRule="auto"/>
              <w:rPr>
                <w:rFonts w:ascii="宋体" w:hAnsi="宋体"/>
                <w:iCs/>
                <w:sz w:val="24"/>
              </w:rPr>
            </w:pPr>
            <w:r>
              <w:rPr>
                <w:rFonts w:hint="eastAsia" w:ascii="宋体" w:hAnsi="宋体"/>
                <w:iCs/>
                <w:sz w:val="24"/>
              </w:rPr>
              <w:t>受不可抗力影响的一方在不可抗力发生后，应在15日内以书面形式通知对方当事人，并在15日内，将有关部门出具的证明文件送达对方当事人。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0" w:type="pct"/>
            <w:vAlign w:val="center"/>
          </w:tcPr>
          <w:p>
            <w:pPr>
              <w:spacing w:line="360" w:lineRule="auto"/>
              <w:ind w:firstLine="480" w:firstLineChars="200"/>
              <w:rPr>
                <w:rFonts w:ascii="宋体" w:hAnsi="宋体"/>
                <w:iCs/>
                <w:sz w:val="24"/>
              </w:rPr>
            </w:pPr>
            <w:r>
              <w:rPr>
                <w:rFonts w:hint="eastAsia" w:ascii="宋体" w:hAnsi="宋体"/>
                <w:iCs/>
                <w:sz w:val="24"/>
              </w:rPr>
              <w:t>项目交付前，乙方应对服务的质量、数量等方面进行详细、全面的检验，并向甲方出具证明服务符合合同约定的文件，提供相关实施文档及用户评价，提出验收申请；甲方根据乙方的验收申请发起验收，并可依法邀请相关方参加，验收应出具验收书。</w:t>
            </w:r>
          </w:p>
          <w:p>
            <w:pPr>
              <w:spacing w:line="360" w:lineRule="auto"/>
              <w:ind w:firstLine="480" w:firstLineChars="200"/>
              <w:rPr>
                <w:rFonts w:ascii="宋体" w:hAnsi="宋体"/>
                <w:iCs/>
                <w:sz w:val="24"/>
              </w:rPr>
            </w:pPr>
            <w:r>
              <w:rPr>
                <w:rFonts w:hint="eastAsia" w:ascii="宋体" w:hAnsi="宋体"/>
                <w:iCs/>
                <w:sz w:val="24"/>
              </w:rPr>
              <w:t>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相应的违约责任。</w:t>
            </w:r>
          </w:p>
          <w:p>
            <w:pPr>
              <w:ind w:firstLine="480" w:firstLineChars="200"/>
            </w:pPr>
            <w:bookmarkStart w:id="536" w:name="_Hlk166052783"/>
            <w:r>
              <w:rPr>
                <w:rFonts w:hint="eastAsia" w:ascii="宋体" w:hAnsi="宋体" w:cs="Helvetica"/>
                <w:kern w:val="0"/>
                <w:sz w:val="24"/>
              </w:rPr>
              <w:t>运维期结束前，中心将对该运维项目服务进行考核，形成《</w:t>
            </w:r>
            <w:r>
              <w:rPr>
                <w:rFonts w:hint="eastAsia" w:ascii="宋体" w:hAnsi="宋体"/>
                <w:kern w:val="0"/>
                <w:sz w:val="24"/>
                <w:lang w:val="zh-CN"/>
              </w:rPr>
              <w:t>信息化维保服务质量考核表</w:t>
            </w:r>
            <w:r>
              <w:rPr>
                <w:rFonts w:hint="eastAsia" w:ascii="宋体" w:hAnsi="宋体" w:cs="Helvetica"/>
                <w:kern w:val="0"/>
                <w:sz w:val="24"/>
              </w:rPr>
              <w:t>》（见附件）</w:t>
            </w:r>
            <w:r>
              <w:rPr>
                <w:rFonts w:hint="eastAsia" w:ascii="宋体" w:hAnsi="宋体"/>
                <w:kern w:val="0"/>
                <w:sz w:val="24"/>
                <w:lang w:val="zh-CN"/>
              </w:rPr>
              <w:t>，根据考核总分对本项目划分等级，按照《杭州市卫生健康事业发展中心信息化项目全流程管理办法》 对应办法，调整下一年度该项目运维经费。</w:t>
            </w:r>
            <w:bookmarkEnd w:id="536"/>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40"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0" w:type="pct"/>
            <w:vAlign w:val="center"/>
          </w:tcPr>
          <w:p>
            <w:pPr>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）采用本行业通用标准；满足所有采购需求及投标文件承诺；项目验收资料齐全。</w:t>
            </w:r>
          </w:p>
          <w:p>
            <w:pPr>
              <w:pStyle w:val="61"/>
              <w:spacing w:line="360" w:lineRule="auto"/>
              <w:ind w:left="0" w:leftChars="0" w:firstLine="480" w:firstLineChars="0"/>
              <w:rPr>
                <w:sz w:val="24"/>
              </w:rPr>
            </w:pPr>
            <w:r>
              <w:rPr>
                <w:sz w:val="24"/>
              </w:rPr>
              <w:t>2</w:t>
            </w:r>
            <w:r>
              <w:rPr>
                <w:rFonts w:hint="eastAsia"/>
                <w:sz w:val="24"/>
              </w:rPr>
              <w:t>）采用一次性验收方式。</w:t>
            </w:r>
          </w:p>
          <w:p>
            <w:pPr>
              <w:spacing w:line="360" w:lineRule="auto"/>
              <w:ind w:firstLine="480" w:firstLineChars="200"/>
              <w:rPr>
                <w:rFonts w:ascii="宋体" w:hAnsi="宋体" w:cs="宋体"/>
                <w:sz w:val="24"/>
              </w:rPr>
            </w:pPr>
            <w:r>
              <w:rPr>
                <w:rFonts w:hint="eastAsia" w:ascii="宋体" w:hAnsi="宋体"/>
                <w:sz w:val="24"/>
              </w:rPr>
              <w:t>3）履约验收产生的费用，属于首次验收过程中产生的，由采购人承担；属于首次验收不合格，重新验收过程中产生的，如采购合同有约定按照约定执行，如无约定，由采购人承担。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40" w:type="pct"/>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4460" w:type="pct"/>
          </w:tcPr>
          <w:p>
            <w:pPr>
              <w:spacing w:line="360" w:lineRule="auto"/>
              <w:rPr>
                <w:rFonts w:ascii="宋体" w:hAnsi="宋体" w:cs="宋体"/>
                <w:sz w:val="24"/>
              </w:rPr>
            </w:pPr>
            <w:bookmarkStart w:id="537" w:name="_Hlk124179984"/>
            <w:r>
              <w:rPr>
                <w:rFonts w:hint="eastAsia" w:ascii="宋体" w:hAnsi="宋体" w:cs="仿宋"/>
                <w:sz w:val="24"/>
              </w:rPr>
              <w:t>本合同壹式四份，甲方执二份，乙方执二份。每份均具有同等法律效力。</w:t>
            </w:r>
            <w:bookmarkEnd w:id="537"/>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pStyle w:val="4"/>
        <w:rPr>
          <w:rFonts w:ascii="宋体" w:hAnsi="宋体" w:eastAsia="宋体"/>
          <w:lang w:val="en-US"/>
        </w:rPr>
      </w:pPr>
    </w:p>
    <w:p>
      <w:pPr>
        <w:rPr>
          <w:rFonts w:ascii="宋体" w:hAnsi="宋体"/>
        </w:rPr>
      </w:pPr>
    </w:p>
    <w:p>
      <w:pPr>
        <w:pStyle w:val="4"/>
        <w:rPr>
          <w:rFonts w:ascii="宋体" w:hAnsi="宋体" w:eastAsia="宋体"/>
          <w:lang w:val="en-US"/>
        </w:rPr>
      </w:pPr>
    </w:p>
    <w:p>
      <w:pPr>
        <w:rPr>
          <w:rFonts w:ascii="宋体" w:hAnsi="宋体"/>
        </w:rPr>
      </w:pPr>
    </w:p>
    <w:p>
      <w:pPr>
        <w:pStyle w:val="4"/>
        <w:rPr>
          <w:rFonts w:ascii="宋体" w:hAnsi="宋体" w:eastAsia="宋体"/>
          <w:lang w:val="en-US"/>
        </w:rPr>
      </w:pPr>
    </w:p>
    <w:p>
      <w:pPr>
        <w:rPr>
          <w:rFonts w:ascii="宋体" w:hAnsi="宋体"/>
        </w:rPr>
      </w:pPr>
    </w:p>
    <w:p>
      <w:pPr>
        <w:pStyle w:val="4"/>
        <w:rPr>
          <w:rFonts w:ascii="宋体" w:hAnsi="宋体" w:eastAsia="宋体"/>
          <w:lang w:val="en-US"/>
        </w:rPr>
      </w:pPr>
    </w:p>
    <w:p>
      <w:pPr>
        <w:rPr>
          <w:rFonts w:ascii="宋体" w:hAnsi="宋体"/>
        </w:rPr>
      </w:pPr>
    </w:p>
    <w:p>
      <w:pPr>
        <w:pStyle w:val="4"/>
        <w:rPr>
          <w:rFonts w:ascii="宋体" w:hAnsi="宋体" w:eastAsia="宋体"/>
          <w:lang w:val="en-US"/>
        </w:rPr>
      </w:pPr>
    </w:p>
    <w:p>
      <w:pPr>
        <w:rPr>
          <w:rFonts w:ascii="宋体" w:hAnsi="宋体"/>
        </w:rPr>
      </w:pPr>
    </w:p>
    <w:p>
      <w:pPr>
        <w:pStyle w:val="4"/>
        <w:rPr>
          <w:rFonts w:ascii="宋体" w:hAnsi="宋体" w:eastAsia="宋体"/>
          <w:lang w:val="en-US"/>
        </w:rPr>
      </w:pPr>
    </w:p>
    <w:p>
      <w:pPr>
        <w:rPr>
          <w:rFonts w:ascii="宋体" w:hAnsi="宋体"/>
        </w:rPr>
      </w:pPr>
    </w:p>
    <w:p>
      <w:pPr>
        <w:pStyle w:val="4"/>
        <w:rPr>
          <w:rFonts w:ascii="宋体" w:hAnsi="宋体" w:eastAsia="宋体"/>
          <w:lang w:val="en-US"/>
        </w:rPr>
      </w:pPr>
    </w:p>
    <w:p>
      <w:pPr>
        <w:rPr>
          <w:rFonts w:ascii="宋体" w:hAnsi="宋体"/>
        </w:rPr>
      </w:pPr>
    </w:p>
    <w:p>
      <w:pPr>
        <w:pStyle w:val="4"/>
        <w:rPr>
          <w:rFonts w:ascii="宋体" w:hAnsi="宋体" w:eastAsia="宋体"/>
          <w:lang w:val="en-US"/>
        </w:rPr>
      </w:pPr>
    </w:p>
    <w:p>
      <w:pPr>
        <w:rPr>
          <w:rFonts w:ascii="宋体" w:hAnsi="宋体"/>
        </w:rPr>
      </w:pPr>
    </w:p>
    <w:p>
      <w:pPr>
        <w:pStyle w:val="4"/>
        <w:rPr>
          <w:rFonts w:ascii="宋体" w:hAnsi="宋体" w:eastAsia="宋体"/>
          <w:lang w:val="en-US"/>
        </w:rPr>
      </w:pPr>
    </w:p>
    <w:p>
      <w:pPr>
        <w:rPr>
          <w:rFonts w:ascii="宋体" w:hAnsi="宋体"/>
        </w:rPr>
      </w:pPr>
    </w:p>
    <w:p>
      <w:pPr>
        <w:pStyle w:val="4"/>
        <w:rPr>
          <w:lang w:val="en-US"/>
        </w:rPr>
      </w:pPr>
    </w:p>
    <w:p>
      <w:pPr>
        <w:rPr>
          <w:rFonts w:ascii="宋体" w:hAnsi="宋体"/>
        </w:rPr>
      </w:pPr>
    </w:p>
    <w:p>
      <w:pPr>
        <w:rPr>
          <w:rFonts w:ascii="宋体" w:hAnsi="宋体"/>
        </w:rPr>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422"/>
      <w:r>
        <w:rPr>
          <w:rFonts w:hint="eastAsia" w:ascii="宋体" w:hAnsi="宋体" w:cs="宋体"/>
          <w:b/>
          <w:sz w:val="36"/>
          <w:szCs w:val="20"/>
        </w:rPr>
        <w:t xml:space="preserve"> </w:t>
      </w:r>
      <w:bookmarkEnd w:id="423"/>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杭州市卫生健康事业发展中心、</w:t>
      </w:r>
      <w:r>
        <w:rPr>
          <w:rFonts w:hint="eastAsia" w:ascii="宋体" w:hAnsi="宋体" w:cs="宋体"/>
          <w:sz w:val="24"/>
          <w:lang w:eastAsia="zh-CN"/>
        </w:rPr>
        <w:t>浙江中通通信有限公司</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我方参与卫健数字化改革项目驾驶舱日常运维保障项目（2024年度）【招标编号：</w:t>
      </w:r>
      <w:r>
        <w:rPr>
          <w:rFonts w:hint="eastAsia" w:ascii="宋体" w:hAnsi="宋体" w:cs="宋体"/>
          <w:sz w:val="24"/>
          <w:lang w:eastAsia="zh-CN"/>
        </w:rPr>
        <w:t>ZJZT-2024-12317</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tabs>
          <w:tab w:val="left" w:pos="3926"/>
        </w:tabs>
        <w:adjustRightInd/>
        <w:jc w:val="left"/>
        <w:rPr>
          <w:rFonts w:ascii="宋体" w:hAnsi="宋体" w:cs="宋体"/>
          <w:b/>
          <w:kern w:val="0"/>
          <w:sz w:val="32"/>
          <w:szCs w:val="32"/>
        </w:rPr>
      </w:pPr>
      <w:r>
        <w:rPr>
          <w:rFonts w:hint="eastAsia" w:ascii="宋体" w:hAnsi="宋体" w:cs="宋体"/>
          <w:b/>
          <w:kern w:val="0"/>
          <w:sz w:val="32"/>
          <w:szCs w:val="32"/>
        </w:rPr>
        <w:tab/>
      </w:r>
    </w:p>
    <w:p>
      <w:pPr>
        <w:pStyle w:val="4"/>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jc w:val="center"/>
        <w:rPr>
          <w:rFonts w:ascii="宋体" w:hAnsi="宋体" w:cs="宋体"/>
          <w:b/>
          <w:kern w:val="0"/>
          <w:sz w:val="32"/>
          <w:szCs w:val="32"/>
          <w:lang w:val="zh-CN"/>
        </w:rPr>
      </w:pPr>
      <w:r>
        <w:rPr>
          <w:rFonts w:hint="eastAsia" w:ascii="宋体" w:hAnsi="宋体" w:cs="宋体"/>
          <w:b/>
          <w:kern w:val="0"/>
          <w:sz w:val="32"/>
          <w:szCs w:val="32"/>
          <w:lang w:val="zh-CN"/>
        </w:rPr>
        <w:t xml:space="preserve">      </w:t>
      </w:r>
    </w:p>
    <w:p>
      <w:pPr>
        <w:jc w:val="center"/>
        <w:rPr>
          <w:rFonts w:ascii="宋体" w:hAnsi="宋体" w:cs="宋体"/>
          <w:b/>
          <w:kern w:val="0"/>
          <w:sz w:val="32"/>
          <w:szCs w:val="32"/>
          <w:lang w:val="zh-CN"/>
        </w:rPr>
      </w:pPr>
    </w:p>
    <w:p>
      <w:pPr>
        <w:jc w:val="center"/>
        <w:rPr>
          <w:rFonts w:ascii="宋体" w:hAnsi="宋体" w:cs="宋体"/>
          <w:b/>
          <w:kern w:val="0"/>
          <w:sz w:val="32"/>
          <w:szCs w:val="32"/>
        </w:rPr>
      </w:pP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杭州市卫生健康事业发展中心、</w:t>
      </w:r>
      <w:r>
        <w:rPr>
          <w:rFonts w:hint="eastAsia" w:ascii="宋体" w:hAnsi="宋体" w:cs="宋体"/>
          <w:sz w:val="24"/>
          <w:lang w:eastAsia="zh-CN"/>
        </w:rPr>
        <w:t>浙江中通通信有限公司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卫健数字化改革项目驾驶舱日常运维保障项目（2024年度）【招标编号：</w:t>
      </w:r>
      <w:r>
        <w:rPr>
          <w:rFonts w:hint="eastAsia" w:ascii="宋体" w:hAnsi="宋体" w:cs="宋体"/>
          <w:sz w:val="24"/>
          <w:lang w:eastAsia="zh-CN"/>
        </w:rPr>
        <w:t>ZJZT-2024-12317</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napToGrid w:val="0"/>
        <w:spacing w:before="50" w:after="50" w:line="360" w:lineRule="auto"/>
        <w:ind w:firstLine="470" w:firstLineChars="196"/>
        <w:jc w:val="left"/>
        <w:rPr>
          <w:rFonts w:ascii="宋体" w:hAnsi="宋体" w:cs="宋体"/>
          <w:sz w:val="24"/>
        </w:rPr>
      </w:pPr>
      <w:r>
        <w:rPr>
          <w:rFonts w:hint="eastAsia" w:ascii="宋体" w:hAnsi="宋体" w:cs="宋体"/>
          <w:sz w:val="24"/>
        </w:rPr>
        <w:t>本项目专门面向中小企业，服务全部由符合政策要求的中小企业（或小微企业）承接的，提供相应的中小企业声明函（附件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杭州市卫生健康事业发展中心</w:t>
      </w:r>
      <w:r>
        <w:rPr>
          <w:rFonts w:hint="eastAsia" w:ascii="宋体" w:hAnsi="宋体" w:cs="宋体"/>
          <w:sz w:val="24"/>
        </w:rPr>
        <w:t>的</w:t>
      </w:r>
      <w:r>
        <w:rPr>
          <w:rFonts w:hint="eastAsia" w:ascii="宋体" w:hAnsi="宋体" w:cs="宋体"/>
          <w:sz w:val="24"/>
          <w:u w:val="single"/>
        </w:rPr>
        <w:t xml:space="preserve"> 卫健数字化改革项目驾驶舱日常运维保障项目（2024年度）</w:t>
      </w:r>
      <w:r>
        <w:rPr>
          <w:rFonts w:hint="eastAsia" w:ascii="宋体" w:hAnsi="宋体" w:cs="宋体"/>
          <w:sz w:val="24"/>
        </w:rPr>
        <w:t>采购活动。相关企业（含联合体中的中小企业、签订分包意向协议的中小企业）的具体情况如下：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Arial"/>
          <w:b/>
          <w:bCs/>
          <w:kern w:val="0"/>
          <w:sz w:val="24"/>
          <w:u w:val="single"/>
        </w:rPr>
        <w:t>软件和信息技术服务业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Arial"/>
          <w:b/>
          <w:bCs/>
          <w:kern w:val="0"/>
          <w:sz w:val="24"/>
          <w:u w:val="single"/>
        </w:rPr>
        <w:t>软件和信息技术服务业</w:t>
      </w:r>
      <w:r>
        <w:rPr>
          <w:rFonts w:hint="eastAsia" w:ascii="宋体" w:hAnsi="宋体" w:cs="宋体"/>
          <w:sz w:val="24"/>
          <w:u w:val="single"/>
        </w:rPr>
        <w:t xml:space="preserve">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杭州市卫生健康事业发展中心、</w:t>
      </w:r>
      <w:r>
        <w:rPr>
          <w:rFonts w:hint="eastAsia" w:ascii="宋体" w:hAnsi="宋体" w:cs="宋体"/>
          <w:sz w:val="24"/>
          <w:lang w:eastAsia="zh-CN"/>
        </w:rPr>
        <w:t>浙江中通通信有限公司</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我方参加你方组织的卫健数字化改革项目驾驶舱日常运维保障项目（2024年度）【招标编号：</w:t>
      </w:r>
      <w:r>
        <w:rPr>
          <w:rFonts w:hint="eastAsia" w:ascii="宋体" w:hAnsi="宋体" w:cs="宋体"/>
          <w:sz w:val="24"/>
          <w:lang w:eastAsia="zh-CN"/>
        </w:rPr>
        <w:t>ZJZT-2024-12317</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38" w:name="_Hlk101257010"/>
      <w:r>
        <w:rPr>
          <w:rFonts w:hint="eastAsia" w:ascii="宋体" w:hAnsi="宋体" w:cs="宋体"/>
          <w:sz w:val="24"/>
        </w:rPr>
        <w:t>（如果有)</w:t>
      </w:r>
      <w:bookmarkEnd w:id="538"/>
      <w:r>
        <w:rPr>
          <w:rFonts w:hint="eastAsia" w:ascii="宋体" w:hAnsi="宋体" w:cs="宋体"/>
          <w:snapToGrid w:val="0"/>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4"/>
        <w:rPr>
          <w:rFonts w:ascii="宋体" w:hAnsi="宋体" w:eastAsia="宋体"/>
          <w:lang w:val="en-US"/>
        </w:rPr>
      </w:pPr>
    </w:p>
    <w:p>
      <w:pPr>
        <w:jc w:val="center"/>
        <w:rPr>
          <w:rFonts w:ascii="宋体" w:hAnsi="宋体" w:cs="宋体"/>
          <w:b/>
          <w:kern w:val="0"/>
          <w:sz w:val="32"/>
          <w:szCs w:val="32"/>
        </w:rPr>
      </w:pPr>
    </w:p>
    <w:p>
      <w:pPr>
        <w:pStyle w:val="4"/>
        <w:rPr>
          <w:rFonts w:ascii="宋体" w:hAnsi="宋体" w:eastAsia="宋体"/>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杭州市卫生健康事业发展中心、</w:t>
      </w:r>
      <w:r>
        <w:rPr>
          <w:rFonts w:hint="eastAsia" w:ascii="宋体" w:hAnsi="宋体" w:cs="宋体"/>
          <w:sz w:val="24"/>
          <w:lang w:eastAsia="zh-CN"/>
        </w:rPr>
        <w:t>浙江中通通信有限公司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卫健数字化改革项目驾驶舱日常运维保障项目（2024年度）【招标编号：</w:t>
      </w:r>
      <w:r>
        <w:rPr>
          <w:rFonts w:hint="eastAsia" w:ascii="宋体" w:hAnsi="宋体" w:cs="宋体"/>
          <w:sz w:val="24"/>
          <w:lang w:eastAsia="zh-CN"/>
        </w:rPr>
        <w:t>ZJZT-2024-12317</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杭州市卫生健康事业发展中心、</w:t>
      </w:r>
      <w:r>
        <w:rPr>
          <w:rFonts w:hint="eastAsia" w:ascii="宋体" w:hAnsi="宋体" w:cs="宋体"/>
          <w:sz w:val="24"/>
          <w:lang w:eastAsia="zh-CN"/>
        </w:rPr>
        <w:t>浙江中通通信有限公司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卫健数字化改革项目驾驶舱日常运维保障项目（2024年度）【招标编号：</w:t>
      </w:r>
      <w:r>
        <w:rPr>
          <w:rFonts w:hint="eastAsia" w:ascii="宋体" w:hAnsi="宋体" w:cs="宋体"/>
          <w:sz w:val="24"/>
          <w:lang w:eastAsia="zh-CN"/>
        </w:rPr>
        <w:t>ZJZT-2024-12317</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杭州市卫生健康事业发展中心、</w:t>
      </w:r>
      <w:r>
        <w:rPr>
          <w:rFonts w:hint="eastAsia" w:ascii="宋体" w:hAnsi="宋体" w:cs="宋体"/>
          <w:sz w:val="24"/>
          <w:lang w:eastAsia="zh-CN"/>
        </w:rPr>
        <w:t>浙江中通通信有限公司</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杭州市卫生健康事业发展中心、</w:t>
      </w:r>
      <w:r>
        <w:rPr>
          <w:rFonts w:hint="eastAsia" w:ascii="宋体" w:hAnsi="宋体" w:cs="宋体"/>
          <w:sz w:val="24"/>
          <w:lang w:eastAsia="zh-CN"/>
        </w:rPr>
        <w:t>浙江中通通信有限公司</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卫健数字化改革项目驾驶舱日常运维保障项目（2024年度）</w:t>
      </w:r>
      <w:r>
        <w:rPr>
          <w:rFonts w:hint="eastAsia" w:ascii="宋体" w:hAnsi="宋体" w:cs="宋体"/>
          <w:kern w:val="0"/>
          <w:sz w:val="24"/>
          <w:lang w:val="zh-CN"/>
        </w:rPr>
        <w:t>【招标编号：</w:t>
      </w:r>
      <w:r>
        <w:rPr>
          <w:rFonts w:hint="eastAsia" w:ascii="宋体" w:hAnsi="宋体" w:cs="宋体"/>
          <w:sz w:val="24"/>
          <w:lang w:eastAsia="zh-CN"/>
        </w:rPr>
        <w:t>ZJZT-2024-12317</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w:t>
            </w: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3"/>
        <w:keepNext w:val="0"/>
        <w:keepLines w:val="0"/>
        <w:pageBreakBefore/>
        <w:widowControl/>
        <w:spacing w:before="100" w:beforeAutospacing="1" w:after="100" w:afterAutospacing="1" w:line="360" w:lineRule="auto"/>
        <w:ind w:left="0" w:firstLine="0"/>
        <w:jc w:val="center"/>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39" w:name="OLE_LINK14"/>
      <w:bookmarkStart w:id="540" w:name="OLE_LINK13"/>
      <w:r>
        <w:rPr>
          <w:rFonts w:hint="eastAsia" w:ascii="宋体" w:hAnsi="宋体" w:cs="宋体"/>
          <w:b/>
          <w:spacing w:val="6"/>
          <w:sz w:val="32"/>
          <w:szCs w:val="32"/>
        </w:rPr>
        <w:t>残疾人福利性单位声明函</w:t>
      </w:r>
    </w:p>
    <w:bookmarkEnd w:id="539"/>
    <w:bookmarkEnd w:id="540"/>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(采购人)</w:t>
      </w:r>
      <w:r>
        <w:rPr>
          <w:rFonts w:hint="eastAsia" w:ascii="宋体" w:hAnsi="宋体" w:cs="宋体"/>
          <w:sz w:val="24"/>
        </w:rPr>
        <w:t>单位的</w:t>
      </w:r>
      <w:r>
        <w:rPr>
          <w:rFonts w:hint="eastAsia" w:ascii="宋体" w:hAnsi="宋体" w:cs="宋体"/>
          <w:sz w:val="24"/>
          <w:u w:val="single"/>
        </w:rPr>
        <w:t>卫健数字化改革项目驾驶舱日常运维保障项目（2024年度）</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杭州市卫生健康事业发展中心、</w:t>
      </w:r>
      <w:r>
        <w:rPr>
          <w:rFonts w:hint="eastAsia" w:ascii="宋体" w:hAnsi="宋体" w:cs="宋体"/>
          <w:sz w:val="24"/>
          <w:u w:val="single"/>
          <w:lang w:eastAsia="zh-CN"/>
        </w:rPr>
        <w:t>浙江中通通信有限公司</w:t>
      </w:r>
      <w:r>
        <w:rPr>
          <w:rFonts w:hint="eastAsia" w:ascii="宋体" w:hAnsi="宋体" w:cs="宋体"/>
          <w:sz w:val="24"/>
          <w:u w:val="single"/>
        </w:rPr>
        <w:t>：</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你方组织的卫健数字化改革项目驾驶舱日常运维保障项目（2024年度）【招标编号：</w:t>
      </w:r>
      <w:r>
        <w:rPr>
          <w:rFonts w:hint="eastAsia" w:ascii="宋体" w:hAnsi="宋体" w:cs="宋体"/>
          <w:sz w:val="24"/>
          <w:lang w:eastAsia="zh-CN"/>
        </w:rPr>
        <w:t>ZJZT-2024-12317</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卫健数字化改革项目驾驶舱日常运维保障项目（2024年度）【招标编号：</w:t>
      </w:r>
      <w:r>
        <w:rPr>
          <w:rFonts w:hint="eastAsia" w:ascii="宋体" w:hAnsi="宋体" w:cs="宋体"/>
          <w:sz w:val="24"/>
          <w:lang w:eastAsia="zh-CN"/>
        </w:rPr>
        <w:t>ZJZT-2024-12317</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41"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41"/>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42"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42"/>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4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43"/>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rPr>
          <w:rFonts w:ascii="宋体" w:hAnsi="宋体" w:cs="宋体"/>
          <w:b/>
          <w:spacing w:val="6"/>
          <w:sz w:val="32"/>
          <w:szCs w:val="32"/>
        </w:rPr>
      </w:pPr>
    </w:p>
    <w:p>
      <w:pPr>
        <w:snapToGrid w:val="0"/>
        <w:spacing w:line="360" w:lineRule="auto"/>
        <w:jc w:val="center"/>
        <w:rPr>
          <w:rFonts w:ascii="宋体" w:hAnsi="宋体" w:cs="宋体"/>
          <w:b/>
          <w:spacing w:val="6"/>
          <w:sz w:val="32"/>
          <w:szCs w:val="32"/>
        </w:rPr>
      </w:pPr>
    </w:p>
    <w:p>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卫健数字化改革项目驾驶舱日常运维保障项目（2024年度）【招标编号：</w:t>
      </w:r>
      <w:r>
        <w:rPr>
          <w:rFonts w:hint="eastAsia" w:ascii="宋体" w:hAnsi="宋体" w:cs="宋体"/>
          <w:sz w:val="24"/>
          <w:lang w:eastAsia="zh-CN"/>
        </w:rPr>
        <w:t>ZJZT-2024-12317</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rPr>
          <w:rFonts w:ascii="宋体" w:hAnsi="宋体"/>
        </w:rPr>
      </w:pPr>
      <w:r>
        <w:rPr>
          <w:rFonts w:hint="eastAsia" w:ascii="宋体" w:hAnsi="宋体"/>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杭州市卫生健康事业发展中心 </w:t>
      </w:r>
      <w:r>
        <w:rPr>
          <w:rFonts w:hint="eastAsia" w:ascii="宋体" w:hAnsi="宋体" w:cs="宋体"/>
          <w:sz w:val="24"/>
        </w:rPr>
        <w:t>的</w:t>
      </w:r>
      <w:r>
        <w:rPr>
          <w:rFonts w:hint="eastAsia" w:ascii="宋体" w:hAnsi="宋体" w:cs="宋体"/>
          <w:sz w:val="24"/>
          <w:u w:val="single"/>
        </w:rPr>
        <w:t xml:space="preserve"> 卫健数字化改革项目驾驶舱日常运维保障项目（2024年度）</w:t>
      </w:r>
      <w:r>
        <w:rPr>
          <w:rFonts w:hint="eastAsia" w:ascii="宋体" w:hAnsi="宋体" w:cs="宋体"/>
          <w:sz w:val="24"/>
        </w:rPr>
        <w:t>采购活动。相关企业（含联合体中的中小企业、签订分包意向协议的中小企业）的具体情况如下：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Arial"/>
          <w:b/>
          <w:bCs/>
          <w:kern w:val="0"/>
          <w:sz w:val="24"/>
          <w:u w:val="single"/>
        </w:rPr>
        <w:t>软件和信息技术服务业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Arial"/>
          <w:b/>
          <w:bCs/>
          <w:kern w:val="0"/>
          <w:sz w:val="24"/>
          <w:u w:val="single"/>
        </w:rPr>
        <w:t>软件和信息技术服务业</w:t>
      </w:r>
      <w:r>
        <w:rPr>
          <w:rFonts w:hint="eastAsia" w:ascii="宋体" w:hAnsi="宋体" w:cs="宋体"/>
          <w:sz w:val="24"/>
          <w:u w:val="single"/>
        </w:rPr>
        <w:t xml:space="preserve">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p>
      <w:pPr>
        <w:pStyle w:val="4"/>
        <w:rPr>
          <w:lang w:val="en-US"/>
        </w:rPr>
      </w:pPr>
    </w:p>
    <w:p/>
    <w:p>
      <w:pPr>
        <w:pStyle w:val="4"/>
        <w:rPr>
          <w:lang w:val="en-US"/>
        </w:rPr>
      </w:pPr>
    </w:p>
    <w:p/>
    <w:p>
      <w:pPr>
        <w:pStyle w:val="4"/>
        <w:rPr>
          <w:lang w:val="en-US"/>
        </w:rPr>
      </w:pPr>
    </w:p>
    <w:p/>
    <w:p>
      <w:pPr>
        <w:pStyle w:val="4"/>
        <w:rPr>
          <w:lang w:val="en-US"/>
        </w:rPr>
      </w:pPr>
    </w:p>
    <w:p/>
    <w:p>
      <w:pPr>
        <w:pStyle w:val="4"/>
        <w:rPr>
          <w:lang w:val="en-US"/>
        </w:rPr>
      </w:pPr>
    </w:p>
    <w:p/>
    <w:p>
      <w:pPr>
        <w:pStyle w:val="4"/>
        <w:rPr>
          <w:lang w:val="en-US"/>
        </w:rPr>
      </w:pPr>
    </w:p>
    <w:p/>
    <w:p>
      <w:pPr>
        <w:pStyle w:val="4"/>
        <w:rPr>
          <w:lang w:val="en-US"/>
        </w:rPr>
      </w:pPr>
    </w:p>
    <w:p/>
    <w:p>
      <w:pPr>
        <w:pStyle w:val="4"/>
        <w:rPr>
          <w:lang w:val="en-US"/>
        </w:rPr>
      </w:pPr>
    </w:p>
    <w:p/>
    <w:p>
      <w:pPr>
        <w:pStyle w:val="4"/>
        <w:rPr>
          <w:lang w:val="en-US"/>
        </w:rPr>
      </w:pPr>
    </w:p>
    <w:p/>
    <w:p>
      <w:pPr>
        <w:pStyle w:val="4"/>
        <w:rPr>
          <w:lang w:val="en-US"/>
        </w:rPr>
      </w:pPr>
    </w:p>
    <w:p/>
    <w:p>
      <w:pPr>
        <w:pStyle w:val="4"/>
        <w:rPr>
          <w:lang w:val="en-US"/>
        </w:rPr>
      </w:pPr>
    </w:p>
    <w:p/>
    <w:p>
      <w:pPr>
        <w:pStyle w:val="4"/>
        <w:rPr>
          <w:lang w:val="en-US"/>
        </w:rPr>
      </w:pPr>
    </w:p>
    <w:p/>
    <w:p>
      <w:pPr>
        <w:pStyle w:val="4"/>
        <w:rPr>
          <w:lang w:val="en-US"/>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tbl>
      <w:tblPr>
        <w:tblStyle w:val="62"/>
        <w:tblpPr w:leftFromText="180" w:rightFromText="180" w:vertAnchor="page" w:horzAnchor="page" w:tblpX="673" w:tblpY="1563"/>
        <w:tblW w:w="15559"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93"/>
        <w:gridCol w:w="887"/>
        <w:gridCol w:w="654"/>
        <w:gridCol w:w="2714"/>
        <w:gridCol w:w="3436"/>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559" w:type="dxa"/>
            <w:gridSpan w:val="6"/>
            <w:tcBorders>
              <w:top w:val="nil"/>
              <w:bottom w:val="single" w:color="auto" w:sz="4" w:space="0"/>
            </w:tcBorders>
            <w:shd w:val="clear" w:color="000000" w:fill="FFFFFF"/>
            <w:vAlign w:val="center"/>
          </w:tcPr>
          <w:p>
            <w:pPr>
              <w:rPr>
                <w:rFonts w:ascii="黑体" w:eastAsia="黑体"/>
                <w:b/>
                <w:sz w:val="28"/>
                <w:szCs w:val="28"/>
              </w:rPr>
            </w:pPr>
            <w:r>
              <w:rPr>
                <w:rFonts w:hint="eastAsia" w:ascii="宋体" w:hAnsi="宋体"/>
                <w:b/>
                <w:color w:val="000000"/>
                <w:sz w:val="30"/>
                <w:szCs w:val="30"/>
              </w:rPr>
              <w:t xml:space="preserve">附件： </w:t>
            </w:r>
            <w:r>
              <w:rPr>
                <w:rFonts w:ascii="宋体" w:hAnsi="宋体"/>
                <w:b/>
                <w:color w:val="000000"/>
                <w:sz w:val="30"/>
                <w:szCs w:val="30"/>
              </w:rPr>
              <w:t xml:space="preserve">                              </w:t>
            </w:r>
            <w:r>
              <w:rPr>
                <w:rFonts w:hint="eastAsia" w:ascii="黑体" w:eastAsia="黑体"/>
                <w:b/>
                <w:sz w:val="28"/>
                <w:szCs w:val="28"/>
              </w:rPr>
              <w:t>信息化维保项目服务质量考核表</w:t>
            </w:r>
          </w:p>
          <w:p>
            <w:pPr>
              <w:rPr>
                <w:rFonts w:ascii="黑体" w:eastAsia="黑体"/>
                <w:b/>
                <w:szCs w:val="21"/>
              </w:rPr>
            </w:pPr>
            <w:r>
              <w:rPr>
                <w:rFonts w:hint="eastAsia" w:ascii="黑体" w:eastAsia="黑体"/>
                <w:b/>
                <w:szCs w:val="21"/>
              </w:rPr>
              <w:t>项目名称：</w:t>
            </w:r>
            <w:r>
              <w:rPr>
                <w:rFonts w:ascii="黑体" w:eastAsia="黑体"/>
                <w:b/>
                <w:szCs w:val="21"/>
              </w:rPr>
              <w:t xml:space="preserve">                                              </w:t>
            </w:r>
            <w:r>
              <w:rPr>
                <w:rFonts w:hint="eastAsia" w:ascii="黑体" w:eastAsia="黑体"/>
                <w:b/>
                <w:szCs w:val="21"/>
              </w:rPr>
              <w:t>公司名称：</w:t>
            </w:r>
            <w:r>
              <w:rPr>
                <w:rFonts w:ascii="黑体" w:eastAsia="黑体"/>
                <w:b/>
                <w:szCs w:val="21"/>
              </w:rPr>
              <w:t xml:space="preserve">                                           </w:t>
            </w:r>
            <w:r>
              <w:rPr>
                <w:rFonts w:hint="eastAsia" w:ascii="黑体" w:eastAsia="黑体"/>
                <w:b/>
                <w:szCs w:val="21"/>
              </w:rPr>
              <w:t>考核时间：</w:t>
            </w:r>
            <w:r>
              <w:rPr>
                <w:rFonts w:ascii="黑体" w:eastAsia="黑体"/>
                <w:b/>
                <w:szCs w:val="21"/>
              </w:rPr>
              <w:t xml:space="preserve">   </w:t>
            </w:r>
            <w:r>
              <w:rPr>
                <w:rFonts w:hint="eastAsia" w:ascii="黑体" w:eastAsia="黑体"/>
                <w:b/>
                <w:szCs w:val="21"/>
              </w:rPr>
              <w:t xml:space="preserve"> </w:t>
            </w:r>
            <w:r>
              <w:rPr>
                <w:rFonts w:ascii="黑体" w:eastAsia="黑体"/>
                <w:b/>
                <w:szCs w:val="21"/>
              </w:rPr>
              <w:t xml:space="preserve">    </w:t>
            </w:r>
            <w:r>
              <w:rPr>
                <w:rFonts w:hint="eastAsia" w:ascii="黑体" w:eastAsia="黑体"/>
                <w:b/>
                <w:szCs w:val="21"/>
              </w:rPr>
              <w:t>年</w:t>
            </w:r>
            <w:r>
              <w:rPr>
                <w:rFonts w:ascii="黑体" w:eastAsia="黑体"/>
                <w:b/>
                <w:szCs w:val="21"/>
              </w:rPr>
              <w:t xml:space="preserve">      </w:t>
            </w:r>
            <w:r>
              <w:rPr>
                <w:rFonts w:hint="eastAsia" w:ascii="黑体" w:eastAsia="黑体"/>
                <w:b/>
                <w:szCs w:val="21"/>
              </w:rPr>
              <w:t>月</w:t>
            </w:r>
            <w:r>
              <w:rPr>
                <w:rFonts w:ascii="黑体" w:eastAsia="黑体"/>
                <w:b/>
                <w:szCs w:val="21"/>
              </w:rPr>
              <w:t xml:space="preserve">      </w:t>
            </w:r>
            <w:r>
              <w:rPr>
                <w:rFonts w:hint="eastAsia" w:ascii="黑体" w:eastAsia="黑体"/>
                <w:b/>
                <w:szCs w:val="21"/>
              </w:rPr>
              <w:t>日</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675" w:type="dxa"/>
            <w:tcBorders>
              <w:top w:val="single" w:color="auto" w:sz="4" w:space="0"/>
              <w:left w:val="single" w:color="auto" w:sz="4"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7193" w:type="dxa"/>
            <w:tcBorders>
              <w:top w:val="single" w:color="auto" w:sz="4"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考核内容</w:t>
            </w:r>
          </w:p>
        </w:tc>
        <w:tc>
          <w:tcPr>
            <w:tcW w:w="887" w:type="dxa"/>
            <w:tcBorders>
              <w:top w:val="single" w:color="auto" w:sz="4"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分值</w:t>
            </w:r>
          </w:p>
        </w:tc>
        <w:tc>
          <w:tcPr>
            <w:tcW w:w="654" w:type="dxa"/>
            <w:tcBorders>
              <w:top w:val="single" w:color="auto" w:sz="4"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得分</w:t>
            </w:r>
          </w:p>
        </w:tc>
        <w:tc>
          <w:tcPr>
            <w:tcW w:w="2714" w:type="dxa"/>
            <w:tcBorders>
              <w:top w:val="single" w:color="auto" w:sz="4"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扣分事由</w:t>
            </w:r>
          </w:p>
        </w:tc>
        <w:tc>
          <w:tcPr>
            <w:tcW w:w="3436" w:type="dxa"/>
            <w:tcBorders>
              <w:top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扣分说明</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75" w:type="dxa"/>
            <w:tcBorders>
              <w:top w:val="single" w:color="auto" w:sz="4" w:space="0"/>
              <w:left w:val="single" w:color="auto" w:sz="4" w:space="0"/>
            </w:tcBorders>
            <w:shd w:val="clear" w:color="auto" w:fill="FFFFFF"/>
            <w:noWrap/>
            <w:vAlign w:val="center"/>
          </w:tcPr>
          <w:p>
            <w:pPr>
              <w:widowControl/>
              <w:jc w:val="center"/>
              <w:rPr>
                <w:rFonts w:ascii="宋体"/>
                <w:color w:val="000000"/>
                <w:kern w:val="0"/>
                <w:szCs w:val="21"/>
              </w:rPr>
            </w:pPr>
            <w:r>
              <w:rPr>
                <w:rFonts w:ascii="宋体" w:hAnsi="宋体"/>
                <w:color w:val="000000"/>
                <w:kern w:val="0"/>
                <w:szCs w:val="21"/>
              </w:rPr>
              <w:t>1</w:t>
            </w:r>
          </w:p>
        </w:tc>
        <w:tc>
          <w:tcPr>
            <w:tcW w:w="7193" w:type="dxa"/>
            <w:tcBorders>
              <w:top w:val="single" w:color="auto" w:sz="4" w:space="0"/>
            </w:tcBorders>
            <w:shd w:val="clear" w:color="auto" w:fill="FFFFFF"/>
            <w:noWrap/>
            <w:vAlign w:val="center"/>
          </w:tcPr>
          <w:p>
            <w:pPr>
              <w:widowControl/>
              <w:rPr>
                <w:rFonts w:ascii="宋体" w:cs="宋体"/>
                <w:color w:val="000000"/>
                <w:kern w:val="0"/>
                <w:szCs w:val="21"/>
              </w:rPr>
            </w:pPr>
            <w:r>
              <w:rPr>
                <w:rFonts w:hint="eastAsia" w:ascii="宋体" w:cs="宋体"/>
                <w:color w:val="000000"/>
                <w:kern w:val="0"/>
                <w:szCs w:val="21"/>
              </w:rPr>
              <w:t>维保人员</w:t>
            </w:r>
            <w:r>
              <w:rPr>
                <w:rFonts w:hint="eastAsia" w:ascii="宋体"/>
                <w:color w:val="000000"/>
                <w:kern w:val="0"/>
                <w:szCs w:val="21"/>
              </w:rPr>
              <w:t>遵守中心和信息处各项规章制度，主动配合和</w:t>
            </w:r>
            <w:r>
              <w:rPr>
                <w:rFonts w:hint="eastAsia" w:ascii="宋体" w:cs="宋体"/>
                <w:color w:val="000000"/>
                <w:kern w:val="0"/>
                <w:szCs w:val="21"/>
              </w:rPr>
              <w:t>服从信息处统一安排。</w:t>
            </w:r>
          </w:p>
        </w:tc>
        <w:tc>
          <w:tcPr>
            <w:tcW w:w="887" w:type="dxa"/>
            <w:tcBorders>
              <w:top w:val="single" w:color="auto" w:sz="4" w:space="0"/>
            </w:tcBorders>
            <w:shd w:val="clear" w:color="auto" w:fill="FFFFFF"/>
            <w:noWrap/>
            <w:vAlign w:val="center"/>
          </w:tcPr>
          <w:p>
            <w:pPr>
              <w:widowControl/>
              <w:jc w:val="center"/>
              <w:rPr>
                <w:rFonts w:ascii="宋体" w:cs="宋体"/>
                <w:color w:val="000000"/>
                <w:kern w:val="0"/>
                <w:szCs w:val="21"/>
              </w:rPr>
            </w:pPr>
            <w:r>
              <w:rPr>
                <w:rFonts w:hint="eastAsia" w:ascii="宋体" w:cs="宋体"/>
                <w:color w:val="000000"/>
                <w:kern w:val="0"/>
                <w:szCs w:val="21"/>
              </w:rPr>
              <w:t>8</w:t>
            </w:r>
          </w:p>
        </w:tc>
        <w:tc>
          <w:tcPr>
            <w:tcW w:w="654" w:type="dxa"/>
            <w:tcBorders>
              <w:top w:val="single" w:color="auto" w:sz="4" w:space="0"/>
            </w:tcBorders>
            <w:shd w:val="clear" w:color="auto" w:fill="FFFFFF"/>
            <w:noWrap/>
            <w:vAlign w:val="center"/>
          </w:tcPr>
          <w:p>
            <w:pPr>
              <w:widowControl/>
              <w:jc w:val="center"/>
              <w:rPr>
                <w:rFonts w:ascii="宋体" w:cs="宋体"/>
                <w:color w:val="000000"/>
                <w:kern w:val="0"/>
                <w:szCs w:val="21"/>
              </w:rPr>
            </w:pPr>
          </w:p>
        </w:tc>
        <w:tc>
          <w:tcPr>
            <w:tcW w:w="2714" w:type="dxa"/>
            <w:tcBorders>
              <w:top w:val="single" w:color="auto" w:sz="4" w:space="0"/>
            </w:tcBorders>
            <w:shd w:val="clear" w:color="auto" w:fill="FFFFFF"/>
            <w:noWrap/>
            <w:vAlign w:val="center"/>
          </w:tcPr>
          <w:p>
            <w:pPr>
              <w:widowControl/>
              <w:jc w:val="center"/>
              <w:rPr>
                <w:rFonts w:ascii="宋体" w:cs="宋体"/>
                <w:color w:val="000000"/>
                <w:kern w:val="0"/>
                <w:szCs w:val="21"/>
              </w:rPr>
            </w:pPr>
          </w:p>
        </w:tc>
        <w:tc>
          <w:tcPr>
            <w:tcW w:w="3436" w:type="dxa"/>
            <w:tcBorders>
              <w:top w:val="single" w:color="auto" w:sz="4" w:space="0"/>
              <w:right w:val="single" w:color="auto" w:sz="4" w:space="0"/>
            </w:tcBorders>
            <w:shd w:val="clear" w:color="auto" w:fill="FFFFFF"/>
            <w:noWrap/>
            <w:vAlign w:val="center"/>
          </w:tcPr>
          <w:p>
            <w:pPr>
              <w:widowControl/>
              <w:rPr>
                <w:rFonts w:ascii="宋体" w:cs="宋体"/>
                <w:color w:val="000000"/>
                <w:kern w:val="0"/>
                <w:szCs w:val="21"/>
              </w:rPr>
            </w:pPr>
            <w:r>
              <w:rPr>
                <w:rFonts w:hint="eastAsia" w:ascii="宋体" w:cs="宋体"/>
                <w:color w:val="000000"/>
                <w:kern w:val="0"/>
                <w:szCs w:val="21"/>
              </w:rPr>
              <w:t>视情况扣1-8分。</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75" w:type="dxa"/>
            <w:tcBorders>
              <w:top w:val="single" w:color="auto" w:sz="4" w:space="0"/>
              <w:left w:val="single" w:color="auto" w:sz="4" w:space="0"/>
            </w:tcBorders>
            <w:shd w:val="clear" w:color="auto" w:fill="FFFFFF"/>
            <w:noWrap/>
            <w:vAlign w:val="center"/>
          </w:tcPr>
          <w:p>
            <w:pPr>
              <w:widowControl/>
              <w:jc w:val="center"/>
              <w:rPr>
                <w:rFonts w:ascii="宋体" w:hAnsi="宋体"/>
                <w:color w:val="000000"/>
                <w:kern w:val="0"/>
                <w:szCs w:val="21"/>
              </w:rPr>
            </w:pPr>
            <w:r>
              <w:rPr>
                <w:rFonts w:hint="eastAsia" w:ascii="宋体" w:hAnsi="宋体"/>
                <w:color w:val="000000"/>
                <w:kern w:val="0"/>
                <w:szCs w:val="21"/>
              </w:rPr>
              <w:t>2</w:t>
            </w:r>
          </w:p>
        </w:tc>
        <w:tc>
          <w:tcPr>
            <w:tcW w:w="7193" w:type="dxa"/>
            <w:tcBorders>
              <w:top w:val="single" w:color="auto" w:sz="4" w:space="0"/>
            </w:tcBorders>
            <w:shd w:val="clear" w:color="auto" w:fill="FFFFFF"/>
            <w:noWrap/>
            <w:vAlign w:val="center"/>
          </w:tcPr>
          <w:p>
            <w:pPr>
              <w:widowControl/>
              <w:rPr>
                <w:rFonts w:ascii="宋体" w:cs="宋体"/>
                <w:color w:val="000000"/>
                <w:kern w:val="0"/>
                <w:szCs w:val="21"/>
              </w:rPr>
            </w:pPr>
            <w:r>
              <w:rPr>
                <w:rFonts w:hint="eastAsia" w:ascii="宋体" w:cs="宋体"/>
                <w:color w:val="000000"/>
                <w:kern w:val="0"/>
                <w:szCs w:val="21"/>
              </w:rPr>
              <w:t>维保人员应具备维保工作所需的专业技术。（</w:t>
            </w:r>
            <w:r>
              <w:rPr>
                <w:rFonts w:hint="eastAsia" w:ascii="宋体"/>
                <w:color w:val="000000"/>
                <w:szCs w:val="21"/>
              </w:rPr>
              <w:t>未有专业资质该项不得分。</w:t>
            </w:r>
            <w:r>
              <w:rPr>
                <w:rFonts w:hint="eastAsia" w:ascii="宋体" w:cs="宋体"/>
                <w:color w:val="000000"/>
                <w:kern w:val="0"/>
                <w:szCs w:val="21"/>
              </w:rPr>
              <w:t>）</w:t>
            </w:r>
          </w:p>
        </w:tc>
        <w:tc>
          <w:tcPr>
            <w:tcW w:w="887" w:type="dxa"/>
            <w:tcBorders>
              <w:top w:val="single" w:color="auto" w:sz="4" w:space="0"/>
            </w:tcBorders>
            <w:shd w:val="clear" w:color="auto" w:fill="FFFFFF"/>
            <w:noWrap/>
            <w:vAlign w:val="center"/>
          </w:tcPr>
          <w:p>
            <w:pPr>
              <w:widowControl/>
              <w:jc w:val="center"/>
              <w:rPr>
                <w:rFonts w:ascii="宋体" w:cs="宋体"/>
                <w:color w:val="000000"/>
                <w:kern w:val="0"/>
                <w:szCs w:val="21"/>
              </w:rPr>
            </w:pPr>
            <w:r>
              <w:rPr>
                <w:rFonts w:hint="eastAsia" w:ascii="宋体" w:cs="宋体"/>
                <w:color w:val="000000"/>
                <w:kern w:val="0"/>
                <w:szCs w:val="21"/>
              </w:rPr>
              <w:t>8</w:t>
            </w:r>
          </w:p>
        </w:tc>
        <w:tc>
          <w:tcPr>
            <w:tcW w:w="654" w:type="dxa"/>
            <w:tcBorders>
              <w:top w:val="single" w:color="auto" w:sz="4" w:space="0"/>
            </w:tcBorders>
            <w:shd w:val="clear" w:color="auto" w:fill="FFFFFF"/>
            <w:noWrap/>
            <w:vAlign w:val="center"/>
          </w:tcPr>
          <w:p>
            <w:pPr>
              <w:widowControl/>
              <w:jc w:val="center"/>
              <w:rPr>
                <w:rFonts w:ascii="宋体" w:cs="宋体"/>
                <w:color w:val="000000"/>
                <w:kern w:val="0"/>
                <w:szCs w:val="21"/>
              </w:rPr>
            </w:pPr>
          </w:p>
        </w:tc>
        <w:tc>
          <w:tcPr>
            <w:tcW w:w="2714" w:type="dxa"/>
            <w:tcBorders>
              <w:top w:val="single" w:color="auto" w:sz="4" w:space="0"/>
            </w:tcBorders>
            <w:shd w:val="clear" w:color="auto" w:fill="FFFFFF"/>
            <w:noWrap/>
            <w:vAlign w:val="center"/>
          </w:tcPr>
          <w:p>
            <w:pPr>
              <w:widowControl/>
              <w:jc w:val="center"/>
              <w:rPr>
                <w:rFonts w:ascii="宋体" w:cs="宋体"/>
                <w:color w:val="000000"/>
                <w:kern w:val="0"/>
                <w:szCs w:val="21"/>
              </w:rPr>
            </w:pPr>
          </w:p>
        </w:tc>
        <w:tc>
          <w:tcPr>
            <w:tcW w:w="3436" w:type="dxa"/>
            <w:tcBorders>
              <w:top w:val="single" w:color="auto" w:sz="4" w:space="0"/>
              <w:right w:val="single" w:color="auto" w:sz="4" w:space="0"/>
            </w:tcBorders>
            <w:shd w:val="clear" w:color="auto" w:fill="FFFFFF"/>
            <w:noWrap/>
            <w:vAlign w:val="center"/>
          </w:tcPr>
          <w:p>
            <w:pPr>
              <w:rPr>
                <w:rFonts w:ascii="宋体"/>
                <w:color w:val="000000"/>
                <w:szCs w:val="21"/>
              </w:rPr>
            </w:pPr>
            <w:r>
              <w:rPr>
                <w:rFonts w:hint="eastAsia" w:ascii="宋体" w:cs="宋体"/>
                <w:color w:val="000000"/>
                <w:kern w:val="0"/>
                <w:szCs w:val="21"/>
              </w:rPr>
              <w:t>视情况扣1-8分，</w:t>
            </w:r>
            <w:r>
              <w:rPr>
                <w:rFonts w:ascii="宋体"/>
                <w:color w:val="000000"/>
                <w:szCs w:val="21"/>
              </w:rPr>
              <w:t xml:space="preserve"> </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75" w:type="dxa"/>
            <w:tcBorders>
              <w:top w:val="single" w:color="auto" w:sz="4" w:space="0"/>
              <w:left w:val="single" w:color="auto" w:sz="4" w:space="0"/>
            </w:tcBorders>
            <w:shd w:val="clear" w:color="auto" w:fill="FFFFFF"/>
            <w:noWrap/>
            <w:vAlign w:val="center"/>
          </w:tcPr>
          <w:p>
            <w:pPr>
              <w:widowControl/>
              <w:jc w:val="center"/>
              <w:rPr>
                <w:rFonts w:ascii="宋体"/>
                <w:color w:val="000000"/>
                <w:kern w:val="0"/>
                <w:szCs w:val="21"/>
              </w:rPr>
            </w:pPr>
            <w:r>
              <w:rPr>
                <w:rFonts w:hint="eastAsia" w:ascii="宋体" w:hAnsi="宋体"/>
                <w:color w:val="000000"/>
                <w:kern w:val="0"/>
                <w:szCs w:val="21"/>
              </w:rPr>
              <w:t>3</w:t>
            </w:r>
          </w:p>
        </w:tc>
        <w:tc>
          <w:tcPr>
            <w:tcW w:w="7193" w:type="dxa"/>
            <w:tcBorders>
              <w:top w:val="single" w:color="auto" w:sz="4" w:space="0"/>
            </w:tcBorders>
            <w:shd w:val="clear" w:color="auto" w:fill="FFFFFF"/>
            <w:noWrap/>
            <w:vAlign w:val="center"/>
          </w:tcPr>
          <w:p>
            <w:pPr>
              <w:widowControl/>
              <w:rPr>
                <w:rFonts w:ascii="宋体" w:cs="宋体"/>
                <w:color w:val="000000"/>
                <w:kern w:val="0"/>
                <w:szCs w:val="21"/>
              </w:rPr>
            </w:pPr>
            <w:r>
              <w:rPr>
                <w:rFonts w:hint="eastAsia" w:ascii="宋体"/>
                <w:color w:val="000000"/>
                <w:kern w:val="0"/>
                <w:szCs w:val="21"/>
              </w:rPr>
              <w:t>维保人员文明施工，施工期间，因违纪、不文明等行为造成有效投诉的。</w:t>
            </w:r>
          </w:p>
        </w:tc>
        <w:tc>
          <w:tcPr>
            <w:tcW w:w="887" w:type="dxa"/>
            <w:tcBorders>
              <w:top w:val="single" w:color="auto" w:sz="4" w:space="0"/>
            </w:tcBorders>
            <w:shd w:val="clear" w:color="auto" w:fill="FFFFFF"/>
            <w:noWrap/>
            <w:vAlign w:val="center"/>
          </w:tcPr>
          <w:p>
            <w:pPr>
              <w:widowControl/>
              <w:jc w:val="center"/>
              <w:rPr>
                <w:rFonts w:ascii="宋体" w:cs="宋体"/>
                <w:color w:val="000000"/>
                <w:kern w:val="0"/>
                <w:szCs w:val="21"/>
              </w:rPr>
            </w:pPr>
            <w:r>
              <w:rPr>
                <w:rFonts w:hint="eastAsia" w:ascii="宋体" w:cs="宋体"/>
                <w:color w:val="000000"/>
                <w:kern w:val="0"/>
                <w:szCs w:val="21"/>
              </w:rPr>
              <w:t>8</w:t>
            </w:r>
          </w:p>
        </w:tc>
        <w:tc>
          <w:tcPr>
            <w:tcW w:w="654" w:type="dxa"/>
            <w:tcBorders>
              <w:top w:val="single" w:color="auto" w:sz="4" w:space="0"/>
            </w:tcBorders>
            <w:shd w:val="clear" w:color="auto" w:fill="FFFFFF"/>
            <w:noWrap/>
            <w:vAlign w:val="center"/>
          </w:tcPr>
          <w:p>
            <w:pPr>
              <w:widowControl/>
              <w:jc w:val="center"/>
              <w:rPr>
                <w:rFonts w:ascii="宋体" w:cs="宋体"/>
                <w:color w:val="000000"/>
                <w:kern w:val="0"/>
                <w:szCs w:val="21"/>
              </w:rPr>
            </w:pPr>
          </w:p>
        </w:tc>
        <w:tc>
          <w:tcPr>
            <w:tcW w:w="2714" w:type="dxa"/>
            <w:tcBorders>
              <w:top w:val="single" w:color="auto" w:sz="4" w:space="0"/>
            </w:tcBorders>
            <w:shd w:val="clear" w:color="auto" w:fill="FFFFFF"/>
            <w:noWrap/>
            <w:vAlign w:val="center"/>
          </w:tcPr>
          <w:p>
            <w:pPr>
              <w:widowControl/>
              <w:jc w:val="center"/>
              <w:rPr>
                <w:rFonts w:ascii="宋体" w:cs="宋体"/>
                <w:color w:val="000000"/>
                <w:kern w:val="0"/>
                <w:szCs w:val="21"/>
              </w:rPr>
            </w:pPr>
          </w:p>
        </w:tc>
        <w:tc>
          <w:tcPr>
            <w:tcW w:w="3436" w:type="dxa"/>
            <w:tcBorders>
              <w:top w:val="single" w:color="auto" w:sz="4" w:space="0"/>
              <w:right w:val="single" w:color="auto" w:sz="4" w:space="0"/>
            </w:tcBorders>
            <w:shd w:val="clear" w:color="auto" w:fill="FFFFFF"/>
            <w:noWrap/>
            <w:vAlign w:val="center"/>
          </w:tcPr>
          <w:p>
            <w:pPr>
              <w:rPr>
                <w:rFonts w:ascii="宋体"/>
                <w:color w:val="000000"/>
                <w:szCs w:val="21"/>
              </w:rPr>
            </w:pPr>
            <w:r>
              <w:rPr>
                <w:rFonts w:hint="eastAsia" w:ascii="宋体"/>
                <w:color w:val="000000"/>
                <w:szCs w:val="21"/>
              </w:rPr>
              <w:t>投诉一次扣2分。</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75" w:type="dxa"/>
            <w:tcBorders>
              <w:top w:val="single" w:color="auto" w:sz="4" w:space="0"/>
              <w:left w:val="single" w:color="auto" w:sz="4" w:space="0"/>
            </w:tcBorders>
            <w:shd w:val="clear" w:color="auto" w:fill="FFFFFF"/>
            <w:noWrap/>
            <w:vAlign w:val="center"/>
          </w:tcPr>
          <w:p>
            <w:pPr>
              <w:widowControl/>
              <w:jc w:val="center"/>
              <w:rPr>
                <w:rFonts w:ascii="宋体"/>
                <w:color w:val="000000"/>
                <w:kern w:val="0"/>
                <w:szCs w:val="21"/>
              </w:rPr>
            </w:pPr>
            <w:r>
              <w:rPr>
                <w:rFonts w:hint="eastAsia" w:ascii="宋体"/>
                <w:color w:val="000000"/>
                <w:kern w:val="0"/>
                <w:szCs w:val="21"/>
              </w:rPr>
              <w:t>4</w:t>
            </w:r>
          </w:p>
        </w:tc>
        <w:tc>
          <w:tcPr>
            <w:tcW w:w="7193" w:type="dxa"/>
            <w:tcBorders>
              <w:top w:val="single" w:color="auto" w:sz="4" w:space="0"/>
            </w:tcBorders>
            <w:shd w:val="clear" w:color="auto" w:fill="FFFFFF"/>
            <w:vAlign w:val="center"/>
          </w:tcPr>
          <w:p>
            <w:pPr>
              <w:widowControl/>
              <w:rPr>
                <w:rFonts w:ascii="宋体"/>
                <w:color w:val="000000"/>
                <w:kern w:val="0"/>
                <w:szCs w:val="21"/>
              </w:rPr>
            </w:pPr>
            <w:r>
              <w:rPr>
                <w:rFonts w:hint="eastAsia" w:ascii="宋体"/>
                <w:color w:val="000000"/>
                <w:kern w:val="0"/>
                <w:szCs w:val="21"/>
              </w:rPr>
              <w:t>严格按合同要求执行维保计划，按期、按质、按量完成维保任务。</w:t>
            </w:r>
          </w:p>
        </w:tc>
        <w:tc>
          <w:tcPr>
            <w:tcW w:w="887" w:type="dxa"/>
            <w:tcBorders>
              <w:top w:val="single" w:color="auto" w:sz="4" w:space="0"/>
            </w:tcBorders>
            <w:shd w:val="clear" w:color="auto" w:fill="FFFFFF"/>
            <w:noWrap/>
            <w:vAlign w:val="center"/>
          </w:tcPr>
          <w:p>
            <w:pPr>
              <w:widowControl/>
              <w:jc w:val="center"/>
              <w:rPr>
                <w:rFonts w:ascii="宋体" w:cs="宋体"/>
                <w:color w:val="000000"/>
                <w:kern w:val="0"/>
                <w:szCs w:val="21"/>
              </w:rPr>
            </w:pPr>
            <w:r>
              <w:rPr>
                <w:rFonts w:hint="eastAsia" w:ascii="宋体" w:cs="宋体"/>
                <w:color w:val="000000"/>
                <w:kern w:val="0"/>
                <w:szCs w:val="21"/>
              </w:rPr>
              <w:t>8</w:t>
            </w:r>
          </w:p>
        </w:tc>
        <w:tc>
          <w:tcPr>
            <w:tcW w:w="654" w:type="dxa"/>
            <w:tcBorders>
              <w:top w:val="single" w:color="auto" w:sz="4" w:space="0"/>
            </w:tcBorders>
            <w:shd w:val="clear" w:color="auto" w:fill="FFFFFF"/>
            <w:noWrap/>
            <w:vAlign w:val="center"/>
          </w:tcPr>
          <w:p>
            <w:pPr>
              <w:widowControl/>
              <w:jc w:val="center"/>
              <w:rPr>
                <w:rFonts w:ascii="宋体" w:cs="宋体"/>
                <w:color w:val="000000"/>
                <w:kern w:val="0"/>
                <w:szCs w:val="21"/>
              </w:rPr>
            </w:pPr>
          </w:p>
        </w:tc>
        <w:tc>
          <w:tcPr>
            <w:tcW w:w="2714" w:type="dxa"/>
            <w:tcBorders>
              <w:top w:val="single" w:color="auto" w:sz="4" w:space="0"/>
            </w:tcBorders>
            <w:shd w:val="clear" w:color="auto" w:fill="FFFFFF"/>
            <w:noWrap/>
            <w:vAlign w:val="center"/>
          </w:tcPr>
          <w:p>
            <w:pPr>
              <w:widowControl/>
              <w:jc w:val="center"/>
              <w:rPr>
                <w:rFonts w:ascii="宋体" w:cs="宋体"/>
                <w:color w:val="000000"/>
                <w:kern w:val="0"/>
                <w:szCs w:val="21"/>
              </w:rPr>
            </w:pPr>
          </w:p>
        </w:tc>
        <w:tc>
          <w:tcPr>
            <w:tcW w:w="3436" w:type="dxa"/>
            <w:tcBorders>
              <w:top w:val="single" w:color="auto" w:sz="4" w:space="0"/>
              <w:right w:val="single" w:color="auto" w:sz="4" w:space="0"/>
            </w:tcBorders>
            <w:shd w:val="clear" w:color="auto" w:fill="FFFFFF"/>
            <w:noWrap/>
            <w:vAlign w:val="center"/>
          </w:tcPr>
          <w:p>
            <w:pPr>
              <w:rPr>
                <w:rFonts w:ascii="宋体"/>
                <w:color w:val="000000"/>
                <w:szCs w:val="21"/>
              </w:rPr>
            </w:pPr>
            <w:r>
              <w:rPr>
                <w:rFonts w:hint="eastAsia" w:ascii="宋体" w:cs="宋体"/>
                <w:color w:val="000000"/>
                <w:kern w:val="0"/>
                <w:szCs w:val="21"/>
              </w:rPr>
              <w:t>违规一次扣2分。</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tcBorders>
              <w:top w:val="single" w:color="auto" w:sz="4" w:space="0"/>
              <w:left w:val="single" w:color="auto" w:sz="4" w:space="0"/>
            </w:tcBorders>
            <w:shd w:val="clear" w:color="auto" w:fill="FFFFFF"/>
            <w:vAlign w:val="center"/>
          </w:tcPr>
          <w:p>
            <w:pPr>
              <w:widowControl/>
              <w:jc w:val="center"/>
              <w:rPr>
                <w:rFonts w:ascii="宋体"/>
                <w:color w:val="000000"/>
                <w:kern w:val="0"/>
                <w:szCs w:val="21"/>
              </w:rPr>
            </w:pPr>
            <w:r>
              <w:rPr>
                <w:rFonts w:hint="eastAsia" w:ascii="宋体" w:hAnsi="宋体"/>
                <w:color w:val="000000"/>
                <w:kern w:val="0"/>
                <w:szCs w:val="21"/>
              </w:rPr>
              <w:t>5</w:t>
            </w:r>
          </w:p>
        </w:tc>
        <w:tc>
          <w:tcPr>
            <w:tcW w:w="7193" w:type="dxa"/>
            <w:tcBorders>
              <w:top w:val="single" w:color="auto" w:sz="4" w:space="0"/>
            </w:tcBorders>
            <w:shd w:val="clear" w:color="auto" w:fill="FFFFFF"/>
            <w:noWrap/>
            <w:vAlign w:val="center"/>
          </w:tcPr>
          <w:p>
            <w:pPr>
              <w:widowControl/>
              <w:rPr>
                <w:rFonts w:ascii="宋体"/>
                <w:color w:val="000000"/>
                <w:kern w:val="0"/>
                <w:szCs w:val="21"/>
              </w:rPr>
            </w:pPr>
            <w:r>
              <w:rPr>
                <w:rFonts w:hint="eastAsia" w:ascii="宋体" w:hAnsi="宋体" w:cs="宋体"/>
                <w:color w:val="000000"/>
                <w:kern w:val="0"/>
                <w:szCs w:val="21"/>
              </w:rPr>
              <w:t>经过与维保单位沟通确定能改的项目需求，完成率应达100%。</w:t>
            </w:r>
          </w:p>
        </w:tc>
        <w:tc>
          <w:tcPr>
            <w:tcW w:w="887" w:type="dxa"/>
            <w:tcBorders>
              <w:top w:val="single" w:color="auto" w:sz="4" w:space="0"/>
            </w:tcBorders>
            <w:shd w:val="clear" w:color="auto" w:fill="FFFFFF"/>
            <w:vAlign w:val="center"/>
          </w:tcPr>
          <w:p>
            <w:pPr>
              <w:widowControl/>
              <w:jc w:val="center"/>
              <w:rPr>
                <w:rFonts w:ascii="宋体" w:cs="宋体"/>
                <w:color w:val="000000"/>
                <w:kern w:val="0"/>
                <w:szCs w:val="21"/>
              </w:rPr>
            </w:pPr>
            <w:r>
              <w:rPr>
                <w:rFonts w:hint="eastAsia" w:ascii="宋体" w:cs="宋体"/>
                <w:color w:val="000000"/>
                <w:kern w:val="0"/>
                <w:szCs w:val="21"/>
              </w:rPr>
              <w:t>8</w:t>
            </w:r>
          </w:p>
        </w:tc>
        <w:tc>
          <w:tcPr>
            <w:tcW w:w="654" w:type="dxa"/>
            <w:tcBorders>
              <w:top w:val="single" w:color="auto" w:sz="4" w:space="0"/>
            </w:tcBorders>
            <w:shd w:val="clear" w:color="auto" w:fill="FFFFFF"/>
            <w:vAlign w:val="center"/>
          </w:tcPr>
          <w:p>
            <w:pPr>
              <w:widowControl/>
              <w:jc w:val="center"/>
              <w:rPr>
                <w:rFonts w:ascii="宋体" w:cs="宋体"/>
                <w:color w:val="000000"/>
                <w:kern w:val="0"/>
                <w:szCs w:val="21"/>
              </w:rPr>
            </w:pPr>
          </w:p>
        </w:tc>
        <w:tc>
          <w:tcPr>
            <w:tcW w:w="2714" w:type="dxa"/>
            <w:tcBorders>
              <w:top w:val="single" w:color="auto" w:sz="4" w:space="0"/>
            </w:tcBorders>
            <w:shd w:val="clear" w:color="auto" w:fill="FFFFFF"/>
            <w:noWrap/>
            <w:vAlign w:val="center"/>
          </w:tcPr>
          <w:p>
            <w:pPr>
              <w:widowControl/>
              <w:jc w:val="center"/>
              <w:rPr>
                <w:rFonts w:ascii="宋体" w:cs="宋体"/>
                <w:color w:val="000000"/>
                <w:kern w:val="0"/>
                <w:szCs w:val="21"/>
              </w:rPr>
            </w:pPr>
          </w:p>
        </w:tc>
        <w:tc>
          <w:tcPr>
            <w:tcW w:w="3436" w:type="dxa"/>
            <w:tcBorders>
              <w:top w:val="single" w:color="auto" w:sz="4" w:space="0"/>
              <w:right w:val="single" w:color="auto" w:sz="4" w:space="0"/>
            </w:tcBorders>
            <w:shd w:val="clear" w:color="auto" w:fill="FFFFFF"/>
            <w:noWrap/>
            <w:vAlign w:val="center"/>
          </w:tcPr>
          <w:p>
            <w:pPr>
              <w:rPr>
                <w:rFonts w:ascii="宋体"/>
                <w:color w:val="000000"/>
                <w:szCs w:val="21"/>
              </w:rPr>
            </w:pPr>
            <w:r>
              <w:rPr>
                <w:rFonts w:hint="eastAsia" w:ascii="宋体" w:hAnsi="宋体" w:cs="宋体"/>
                <w:color w:val="000000"/>
                <w:kern w:val="0"/>
                <w:szCs w:val="21"/>
              </w:rPr>
              <w:t>小于60%不得分，区间内完成率得分，得分按8*完成率。</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75" w:type="dxa"/>
            <w:tcBorders>
              <w:top w:val="single" w:color="auto" w:sz="4" w:space="0"/>
              <w:left w:val="single" w:color="auto" w:sz="4" w:space="0"/>
            </w:tcBorders>
            <w:shd w:val="clear" w:color="auto" w:fill="FFFFFF"/>
            <w:noWrap/>
            <w:vAlign w:val="center"/>
          </w:tcPr>
          <w:p>
            <w:pPr>
              <w:widowControl/>
              <w:jc w:val="center"/>
              <w:rPr>
                <w:rFonts w:ascii="宋体" w:hAnsi="宋体"/>
                <w:color w:val="000000"/>
                <w:kern w:val="0"/>
                <w:szCs w:val="21"/>
              </w:rPr>
            </w:pPr>
            <w:r>
              <w:rPr>
                <w:rFonts w:hint="eastAsia" w:ascii="宋体" w:hAnsi="宋体"/>
                <w:color w:val="000000"/>
                <w:kern w:val="0"/>
                <w:szCs w:val="21"/>
              </w:rPr>
              <w:t>6</w:t>
            </w:r>
          </w:p>
        </w:tc>
        <w:tc>
          <w:tcPr>
            <w:tcW w:w="7193" w:type="dxa"/>
            <w:tcBorders>
              <w:top w:val="single" w:color="auto" w:sz="4" w:space="0"/>
            </w:tcBorders>
            <w:shd w:val="clear" w:color="auto" w:fill="FFFFFF"/>
            <w:vAlign w:val="center"/>
          </w:tcPr>
          <w:p>
            <w:pPr>
              <w:widowControl/>
              <w:rPr>
                <w:rFonts w:ascii="宋体" w:hAnsi="宋体" w:cs="宋体"/>
                <w:color w:val="000000"/>
                <w:kern w:val="0"/>
                <w:szCs w:val="21"/>
              </w:rPr>
            </w:pPr>
            <w:r>
              <w:rPr>
                <w:rFonts w:hint="eastAsia" w:ascii="宋体" w:hAnsi="宋体" w:cs="宋体"/>
                <w:color w:val="000000"/>
                <w:kern w:val="0"/>
                <w:szCs w:val="21"/>
              </w:rPr>
              <w:t>维保单位应按照维保期内的巡检周期主动联系信息处进行巡检工作，在规定的巡检周期内主动提交书面巡检报告。</w:t>
            </w:r>
          </w:p>
        </w:tc>
        <w:tc>
          <w:tcPr>
            <w:tcW w:w="887" w:type="dxa"/>
            <w:tcBorders>
              <w:top w:val="single" w:color="auto" w:sz="4" w:space="0"/>
            </w:tcBorders>
            <w:shd w:val="clear" w:color="auto" w:fill="FFFFFF"/>
            <w:noWrap/>
            <w:vAlign w:val="center"/>
          </w:tcPr>
          <w:p>
            <w:pPr>
              <w:widowControl/>
              <w:jc w:val="center"/>
              <w:rPr>
                <w:rFonts w:ascii="宋体" w:cs="宋体"/>
                <w:color w:val="000000"/>
                <w:kern w:val="0"/>
                <w:szCs w:val="21"/>
              </w:rPr>
            </w:pPr>
            <w:r>
              <w:rPr>
                <w:rFonts w:hint="eastAsia" w:ascii="宋体" w:cs="宋体"/>
                <w:color w:val="000000"/>
                <w:kern w:val="0"/>
                <w:szCs w:val="21"/>
              </w:rPr>
              <w:t>8</w:t>
            </w:r>
          </w:p>
        </w:tc>
        <w:tc>
          <w:tcPr>
            <w:tcW w:w="654" w:type="dxa"/>
            <w:tcBorders>
              <w:top w:val="single" w:color="auto" w:sz="4" w:space="0"/>
            </w:tcBorders>
            <w:shd w:val="clear" w:color="auto" w:fill="FFFFFF"/>
            <w:noWrap/>
            <w:vAlign w:val="center"/>
          </w:tcPr>
          <w:p>
            <w:pPr>
              <w:widowControl/>
              <w:jc w:val="center"/>
              <w:rPr>
                <w:rFonts w:ascii="宋体" w:cs="宋体"/>
                <w:color w:val="000000"/>
                <w:kern w:val="0"/>
                <w:szCs w:val="21"/>
              </w:rPr>
            </w:pPr>
          </w:p>
        </w:tc>
        <w:tc>
          <w:tcPr>
            <w:tcW w:w="2714" w:type="dxa"/>
            <w:tcBorders>
              <w:top w:val="single" w:color="auto" w:sz="4" w:space="0"/>
            </w:tcBorders>
            <w:shd w:val="clear" w:color="auto" w:fill="FFFFFF"/>
            <w:noWrap/>
            <w:vAlign w:val="center"/>
          </w:tcPr>
          <w:p>
            <w:pPr>
              <w:widowControl/>
              <w:jc w:val="center"/>
              <w:rPr>
                <w:rFonts w:ascii="宋体" w:cs="宋体"/>
                <w:color w:val="000000"/>
                <w:kern w:val="0"/>
                <w:szCs w:val="21"/>
              </w:rPr>
            </w:pPr>
          </w:p>
        </w:tc>
        <w:tc>
          <w:tcPr>
            <w:tcW w:w="3436" w:type="dxa"/>
            <w:tcBorders>
              <w:top w:val="single" w:color="auto" w:sz="4" w:space="0"/>
              <w:right w:val="single" w:color="auto" w:sz="4" w:space="0"/>
            </w:tcBorders>
            <w:shd w:val="clear" w:color="auto" w:fill="FFFFFF"/>
            <w:noWrap/>
            <w:vAlign w:val="center"/>
          </w:tcPr>
          <w:p>
            <w:pPr>
              <w:rPr>
                <w:rFonts w:ascii="宋体" w:cs="宋体"/>
                <w:color w:val="000000"/>
                <w:kern w:val="0"/>
                <w:szCs w:val="21"/>
              </w:rPr>
            </w:pPr>
            <w:r>
              <w:rPr>
                <w:rFonts w:hint="eastAsia" w:ascii="宋体"/>
                <w:color w:val="000000"/>
                <w:szCs w:val="21"/>
              </w:rPr>
              <w:t>延迟一次，扣</w:t>
            </w:r>
            <w:r>
              <w:rPr>
                <w:rFonts w:ascii="宋体"/>
                <w:color w:val="000000"/>
                <w:szCs w:val="21"/>
              </w:rPr>
              <w:t>2</w:t>
            </w:r>
            <w:r>
              <w:rPr>
                <w:rFonts w:hint="eastAsia" w:ascii="宋体"/>
                <w:color w:val="000000"/>
                <w:szCs w:val="21"/>
              </w:rPr>
              <w:t>分。</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tcBorders>
              <w:top w:val="single" w:color="auto" w:sz="4" w:space="0"/>
              <w:left w:val="single" w:color="auto" w:sz="4" w:space="0"/>
            </w:tcBorders>
            <w:shd w:val="clear" w:color="auto" w:fill="FFFFFF"/>
            <w:noWrap/>
            <w:vAlign w:val="center"/>
          </w:tcPr>
          <w:p>
            <w:pPr>
              <w:widowControl/>
              <w:jc w:val="center"/>
              <w:rPr>
                <w:rFonts w:ascii="宋体"/>
                <w:color w:val="000000"/>
                <w:kern w:val="0"/>
                <w:szCs w:val="21"/>
              </w:rPr>
            </w:pPr>
            <w:r>
              <w:rPr>
                <w:rFonts w:hint="eastAsia" w:ascii="宋体"/>
                <w:color w:val="000000"/>
                <w:kern w:val="0"/>
                <w:szCs w:val="21"/>
              </w:rPr>
              <w:t>7</w:t>
            </w:r>
          </w:p>
        </w:tc>
        <w:tc>
          <w:tcPr>
            <w:tcW w:w="7193" w:type="dxa"/>
            <w:tcBorders>
              <w:top w:val="single" w:color="auto" w:sz="4" w:space="0"/>
            </w:tcBorders>
            <w:shd w:val="clear" w:color="auto" w:fill="FFFFFF"/>
            <w:vAlign w:val="center"/>
          </w:tcPr>
          <w:p>
            <w:pPr>
              <w:widowControl/>
              <w:rPr>
                <w:rFonts w:ascii="宋体" w:hAnsi="宋体" w:cs="宋体"/>
                <w:color w:val="000000"/>
                <w:kern w:val="0"/>
                <w:szCs w:val="21"/>
              </w:rPr>
            </w:pPr>
            <w:r>
              <w:rPr>
                <w:rFonts w:hint="eastAsia" w:ascii="宋体" w:cs="宋体"/>
                <w:color w:val="000000"/>
                <w:kern w:val="0"/>
                <w:szCs w:val="21"/>
              </w:rPr>
              <w:t>维保单位根据巡检报告每月向信息部进行汇报，说明存在的风险、后期建议。</w:t>
            </w:r>
          </w:p>
        </w:tc>
        <w:tc>
          <w:tcPr>
            <w:tcW w:w="887" w:type="dxa"/>
            <w:tcBorders>
              <w:top w:val="single" w:color="auto" w:sz="4" w:space="0"/>
            </w:tcBorders>
            <w:shd w:val="clear" w:color="auto" w:fill="FFFFFF"/>
            <w:noWrap/>
            <w:vAlign w:val="center"/>
          </w:tcPr>
          <w:p>
            <w:pPr>
              <w:widowControl/>
              <w:jc w:val="center"/>
              <w:rPr>
                <w:rFonts w:ascii="宋体" w:cs="宋体"/>
                <w:color w:val="000000"/>
                <w:kern w:val="0"/>
                <w:szCs w:val="21"/>
              </w:rPr>
            </w:pPr>
            <w:r>
              <w:rPr>
                <w:rFonts w:hint="eastAsia" w:ascii="宋体" w:cs="宋体"/>
                <w:color w:val="000000"/>
                <w:kern w:val="0"/>
                <w:szCs w:val="21"/>
              </w:rPr>
              <w:t>8</w:t>
            </w:r>
          </w:p>
        </w:tc>
        <w:tc>
          <w:tcPr>
            <w:tcW w:w="654" w:type="dxa"/>
            <w:tcBorders>
              <w:top w:val="single" w:color="auto" w:sz="4" w:space="0"/>
            </w:tcBorders>
            <w:shd w:val="clear" w:color="auto" w:fill="FFFFFF"/>
            <w:noWrap/>
            <w:vAlign w:val="center"/>
          </w:tcPr>
          <w:p>
            <w:pPr>
              <w:widowControl/>
              <w:jc w:val="center"/>
              <w:rPr>
                <w:rFonts w:ascii="宋体" w:cs="宋体"/>
                <w:color w:val="000000"/>
                <w:kern w:val="0"/>
                <w:szCs w:val="21"/>
              </w:rPr>
            </w:pPr>
          </w:p>
        </w:tc>
        <w:tc>
          <w:tcPr>
            <w:tcW w:w="2714" w:type="dxa"/>
            <w:tcBorders>
              <w:top w:val="single" w:color="auto" w:sz="4" w:space="0"/>
            </w:tcBorders>
            <w:shd w:val="clear" w:color="auto" w:fill="FFFFFF"/>
            <w:noWrap/>
            <w:vAlign w:val="center"/>
          </w:tcPr>
          <w:p>
            <w:pPr>
              <w:widowControl/>
              <w:jc w:val="center"/>
              <w:rPr>
                <w:rFonts w:ascii="宋体" w:cs="宋体"/>
                <w:color w:val="000000"/>
                <w:kern w:val="0"/>
                <w:szCs w:val="21"/>
              </w:rPr>
            </w:pPr>
          </w:p>
        </w:tc>
        <w:tc>
          <w:tcPr>
            <w:tcW w:w="3436" w:type="dxa"/>
            <w:tcBorders>
              <w:top w:val="single" w:color="auto" w:sz="4" w:space="0"/>
              <w:right w:val="single" w:color="auto" w:sz="4" w:space="0"/>
            </w:tcBorders>
            <w:shd w:val="clear" w:color="auto" w:fill="FFFFFF"/>
            <w:noWrap/>
            <w:vAlign w:val="center"/>
          </w:tcPr>
          <w:p>
            <w:pPr>
              <w:rPr>
                <w:rFonts w:ascii="宋体"/>
                <w:color w:val="000000"/>
                <w:szCs w:val="21"/>
              </w:rPr>
            </w:pPr>
            <w:r>
              <w:rPr>
                <w:rFonts w:hint="eastAsia" w:ascii="宋体"/>
                <w:color w:val="000000"/>
                <w:szCs w:val="21"/>
              </w:rPr>
              <w:t>延迟一次，扣</w:t>
            </w:r>
            <w:r>
              <w:rPr>
                <w:rFonts w:ascii="宋体"/>
                <w:color w:val="000000"/>
                <w:szCs w:val="21"/>
              </w:rPr>
              <w:t>2</w:t>
            </w:r>
            <w:r>
              <w:rPr>
                <w:rFonts w:hint="eastAsia" w:ascii="宋体"/>
                <w:color w:val="000000"/>
                <w:szCs w:val="21"/>
              </w:rPr>
              <w:t>分。</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75" w:type="dxa"/>
            <w:tcBorders>
              <w:top w:val="single" w:color="auto" w:sz="4" w:space="0"/>
              <w:left w:val="single" w:color="auto" w:sz="4" w:space="0"/>
            </w:tcBorders>
            <w:shd w:val="clear" w:color="auto" w:fill="FFFFFF"/>
            <w:noWrap/>
            <w:vAlign w:val="center"/>
          </w:tcPr>
          <w:p>
            <w:pPr>
              <w:widowControl/>
              <w:jc w:val="center"/>
              <w:rPr>
                <w:rFonts w:ascii="宋体" w:hAnsi="宋体"/>
                <w:color w:val="000000"/>
                <w:kern w:val="0"/>
                <w:szCs w:val="21"/>
              </w:rPr>
            </w:pPr>
            <w:r>
              <w:rPr>
                <w:rFonts w:hint="eastAsia" w:ascii="宋体" w:hAnsi="宋体"/>
                <w:color w:val="000000"/>
                <w:kern w:val="0"/>
                <w:szCs w:val="21"/>
              </w:rPr>
              <w:t>8</w:t>
            </w:r>
          </w:p>
        </w:tc>
        <w:tc>
          <w:tcPr>
            <w:tcW w:w="7193" w:type="dxa"/>
            <w:tcBorders>
              <w:top w:val="single" w:color="auto" w:sz="4" w:space="0"/>
            </w:tcBorders>
            <w:shd w:val="clear" w:color="auto" w:fill="FFFFFF"/>
            <w:vAlign w:val="center"/>
          </w:tcPr>
          <w:p>
            <w:pPr>
              <w:widowControl/>
              <w:rPr>
                <w:rFonts w:ascii="宋体" w:cs="宋体"/>
                <w:color w:val="000000"/>
                <w:kern w:val="0"/>
                <w:szCs w:val="21"/>
              </w:rPr>
            </w:pPr>
            <w:r>
              <w:rPr>
                <w:rFonts w:hint="eastAsia" w:ascii="宋体" w:cs="宋体"/>
                <w:color w:val="000000"/>
                <w:kern w:val="0"/>
                <w:szCs w:val="21"/>
              </w:rPr>
              <w:t>维保单位在巡检报告中出现明显错误，影响信息处后期规划操作判断的。</w:t>
            </w:r>
          </w:p>
        </w:tc>
        <w:tc>
          <w:tcPr>
            <w:tcW w:w="887" w:type="dxa"/>
            <w:tcBorders>
              <w:top w:val="single" w:color="auto" w:sz="4" w:space="0"/>
            </w:tcBorders>
            <w:shd w:val="clear" w:color="auto" w:fill="FFFFFF"/>
            <w:noWrap/>
            <w:vAlign w:val="center"/>
          </w:tcPr>
          <w:p>
            <w:pPr>
              <w:widowControl/>
              <w:jc w:val="center"/>
              <w:rPr>
                <w:rFonts w:ascii="宋体" w:cs="宋体"/>
                <w:color w:val="000000"/>
                <w:kern w:val="0"/>
                <w:szCs w:val="21"/>
              </w:rPr>
            </w:pPr>
            <w:r>
              <w:rPr>
                <w:rFonts w:hint="eastAsia" w:ascii="宋体" w:cs="宋体"/>
                <w:color w:val="000000"/>
                <w:kern w:val="0"/>
                <w:szCs w:val="21"/>
              </w:rPr>
              <w:t>8</w:t>
            </w:r>
          </w:p>
        </w:tc>
        <w:tc>
          <w:tcPr>
            <w:tcW w:w="654" w:type="dxa"/>
            <w:tcBorders>
              <w:top w:val="single" w:color="auto" w:sz="4" w:space="0"/>
            </w:tcBorders>
            <w:shd w:val="clear" w:color="auto" w:fill="FFFFFF"/>
            <w:noWrap/>
            <w:vAlign w:val="center"/>
          </w:tcPr>
          <w:p>
            <w:pPr>
              <w:widowControl/>
              <w:jc w:val="center"/>
              <w:rPr>
                <w:rFonts w:ascii="宋体" w:cs="宋体"/>
                <w:color w:val="000000"/>
                <w:kern w:val="0"/>
                <w:szCs w:val="21"/>
              </w:rPr>
            </w:pPr>
          </w:p>
        </w:tc>
        <w:tc>
          <w:tcPr>
            <w:tcW w:w="2714" w:type="dxa"/>
            <w:tcBorders>
              <w:top w:val="single" w:color="auto" w:sz="4" w:space="0"/>
            </w:tcBorders>
            <w:shd w:val="clear" w:color="auto" w:fill="FFFFFF"/>
            <w:noWrap/>
            <w:vAlign w:val="center"/>
          </w:tcPr>
          <w:p>
            <w:pPr>
              <w:widowControl/>
              <w:jc w:val="center"/>
              <w:rPr>
                <w:rFonts w:ascii="宋体" w:cs="宋体"/>
                <w:color w:val="000000"/>
                <w:kern w:val="0"/>
                <w:szCs w:val="21"/>
              </w:rPr>
            </w:pPr>
          </w:p>
        </w:tc>
        <w:tc>
          <w:tcPr>
            <w:tcW w:w="3436" w:type="dxa"/>
            <w:tcBorders>
              <w:top w:val="single" w:color="auto" w:sz="4" w:space="0"/>
              <w:right w:val="single" w:color="auto" w:sz="4" w:space="0"/>
            </w:tcBorders>
            <w:shd w:val="clear" w:color="auto" w:fill="FFFFFF"/>
            <w:noWrap/>
            <w:vAlign w:val="center"/>
          </w:tcPr>
          <w:p>
            <w:pPr>
              <w:rPr>
                <w:rFonts w:ascii="宋体"/>
                <w:color w:val="000000"/>
                <w:szCs w:val="21"/>
              </w:rPr>
            </w:pPr>
            <w:r>
              <w:rPr>
                <w:rFonts w:hint="eastAsia" w:ascii="宋体"/>
                <w:color w:val="000000"/>
                <w:szCs w:val="21"/>
              </w:rPr>
              <w:t>出现一次，扣</w:t>
            </w:r>
            <w:r>
              <w:rPr>
                <w:rFonts w:ascii="宋体"/>
                <w:color w:val="000000"/>
                <w:szCs w:val="21"/>
              </w:rPr>
              <w:t>2</w:t>
            </w:r>
            <w:r>
              <w:rPr>
                <w:rFonts w:hint="eastAsia" w:ascii="宋体"/>
                <w:color w:val="000000"/>
                <w:szCs w:val="21"/>
              </w:rPr>
              <w:t>分。</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75" w:type="dxa"/>
            <w:tcBorders>
              <w:top w:val="single" w:color="auto" w:sz="4" w:space="0"/>
              <w:left w:val="single" w:color="auto" w:sz="4" w:space="0"/>
            </w:tcBorders>
            <w:shd w:val="clear" w:color="auto" w:fill="FFFFFF"/>
            <w:noWrap/>
            <w:vAlign w:val="center"/>
          </w:tcPr>
          <w:p>
            <w:pPr>
              <w:widowControl/>
              <w:jc w:val="center"/>
              <w:rPr>
                <w:rFonts w:ascii="宋体"/>
                <w:color w:val="000000"/>
                <w:kern w:val="0"/>
                <w:szCs w:val="21"/>
              </w:rPr>
            </w:pPr>
            <w:r>
              <w:rPr>
                <w:rFonts w:hint="eastAsia" w:ascii="宋体" w:hAnsi="宋体"/>
                <w:color w:val="000000"/>
                <w:kern w:val="0"/>
                <w:szCs w:val="21"/>
              </w:rPr>
              <w:t>9</w:t>
            </w:r>
          </w:p>
        </w:tc>
        <w:tc>
          <w:tcPr>
            <w:tcW w:w="7193" w:type="dxa"/>
            <w:tcBorders>
              <w:top w:val="single" w:color="auto" w:sz="4" w:space="0"/>
            </w:tcBorders>
            <w:shd w:val="clear" w:color="auto" w:fill="FFFFFF"/>
            <w:vAlign w:val="center"/>
          </w:tcPr>
          <w:p>
            <w:pPr>
              <w:widowControl/>
              <w:rPr>
                <w:rFonts w:ascii="宋体" w:cs="宋体"/>
                <w:color w:val="000000"/>
                <w:kern w:val="0"/>
                <w:szCs w:val="21"/>
              </w:rPr>
            </w:pPr>
            <w:r>
              <w:rPr>
                <w:rFonts w:hint="eastAsia" w:ascii="宋体" w:hAnsi="宋体" w:cs="宋体"/>
                <w:color w:val="000000"/>
                <w:kern w:val="0"/>
                <w:szCs w:val="21"/>
              </w:rPr>
              <w:t>当出现故障或遇紧急问题时，维保单位响应及时率应达100%。如需维保人员到现场维修的，需在要求的时间内到达现场。</w:t>
            </w:r>
          </w:p>
        </w:tc>
        <w:tc>
          <w:tcPr>
            <w:tcW w:w="887" w:type="dxa"/>
            <w:tcBorders>
              <w:top w:val="single" w:color="auto" w:sz="4" w:space="0"/>
            </w:tcBorders>
            <w:shd w:val="clear" w:color="auto" w:fill="FFFFFF"/>
            <w:noWrap/>
            <w:vAlign w:val="center"/>
          </w:tcPr>
          <w:p>
            <w:pPr>
              <w:widowControl/>
              <w:ind w:firstLine="210" w:firstLineChars="100"/>
              <w:rPr>
                <w:rFonts w:ascii="宋体" w:cs="宋体"/>
                <w:color w:val="000000"/>
                <w:kern w:val="0"/>
                <w:szCs w:val="21"/>
              </w:rPr>
            </w:pPr>
            <w:r>
              <w:rPr>
                <w:rFonts w:hint="eastAsia" w:ascii="宋体" w:hAnsi="宋体" w:cs="宋体"/>
                <w:color w:val="000000"/>
                <w:kern w:val="0"/>
                <w:szCs w:val="21"/>
              </w:rPr>
              <w:t>8</w:t>
            </w:r>
          </w:p>
        </w:tc>
        <w:tc>
          <w:tcPr>
            <w:tcW w:w="654" w:type="dxa"/>
            <w:tcBorders>
              <w:top w:val="single" w:color="auto" w:sz="4" w:space="0"/>
            </w:tcBorders>
            <w:shd w:val="clear" w:color="auto" w:fill="FFFFFF"/>
            <w:noWrap/>
            <w:vAlign w:val="center"/>
          </w:tcPr>
          <w:p>
            <w:pPr>
              <w:widowControl/>
              <w:jc w:val="center"/>
              <w:rPr>
                <w:rFonts w:ascii="宋体" w:cs="宋体"/>
                <w:color w:val="000000"/>
                <w:kern w:val="0"/>
                <w:szCs w:val="21"/>
              </w:rPr>
            </w:pPr>
          </w:p>
        </w:tc>
        <w:tc>
          <w:tcPr>
            <w:tcW w:w="2714" w:type="dxa"/>
            <w:tcBorders>
              <w:top w:val="single" w:color="auto" w:sz="4" w:space="0"/>
            </w:tcBorders>
            <w:shd w:val="clear" w:color="auto" w:fill="FFFFFF"/>
            <w:noWrap/>
            <w:vAlign w:val="center"/>
          </w:tcPr>
          <w:p>
            <w:pPr>
              <w:widowControl/>
              <w:jc w:val="center"/>
              <w:rPr>
                <w:rFonts w:ascii="宋体" w:cs="宋体"/>
                <w:color w:val="000000"/>
                <w:kern w:val="0"/>
                <w:szCs w:val="21"/>
              </w:rPr>
            </w:pPr>
          </w:p>
        </w:tc>
        <w:tc>
          <w:tcPr>
            <w:tcW w:w="3436" w:type="dxa"/>
            <w:tcBorders>
              <w:top w:val="single" w:color="auto" w:sz="4" w:space="0"/>
              <w:right w:val="single" w:color="auto" w:sz="4" w:space="0"/>
            </w:tcBorders>
            <w:shd w:val="clear" w:color="auto" w:fill="FFFFFF"/>
            <w:noWrap/>
            <w:vAlign w:val="center"/>
          </w:tcPr>
          <w:p>
            <w:pPr>
              <w:rPr>
                <w:rFonts w:ascii="宋体"/>
                <w:color w:val="000000"/>
                <w:szCs w:val="21"/>
              </w:rPr>
            </w:pPr>
            <w:r>
              <w:rPr>
                <w:rFonts w:hint="eastAsia" w:ascii="宋体"/>
                <w:color w:val="000000"/>
                <w:szCs w:val="21"/>
              </w:rPr>
              <w:t>出现一次，扣</w:t>
            </w:r>
            <w:r>
              <w:rPr>
                <w:rFonts w:ascii="宋体"/>
                <w:color w:val="000000"/>
                <w:szCs w:val="21"/>
              </w:rPr>
              <w:t>2</w:t>
            </w:r>
            <w:r>
              <w:rPr>
                <w:rFonts w:hint="eastAsia" w:ascii="宋体"/>
                <w:color w:val="000000"/>
                <w:szCs w:val="21"/>
              </w:rPr>
              <w:t>分。</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75" w:type="dxa"/>
            <w:tcBorders>
              <w:top w:val="single" w:color="auto" w:sz="4" w:space="0"/>
              <w:left w:val="single" w:color="auto" w:sz="4" w:space="0"/>
            </w:tcBorders>
            <w:shd w:val="clear" w:color="auto" w:fill="FFFFFF"/>
            <w:noWrap/>
            <w:vAlign w:val="center"/>
          </w:tcPr>
          <w:p>
            <w:pPr>
              <w:widowControl/>
              <w:jc w:val="center"/>
              <w:rPr>
                <w:rFonts w:ascii="宋体"/>
                <w:color w:val="000000"/>
                <w:kern w:val="0"/>
                <w:szCs w:val="21"/>
              </w:rPr>
            </w:pPr>
            <w:r>
              <w:rPr>
                <w:rFonts w:hint="eastAsia" w:ascii="宋体" w:hAnsi="宋体"/>
                <w:color w:val="000000"/>
                <w:kern w:val="0"/>
                <w:szCs w:val="21"/>
              </w:rPr>
              <w:t>10</w:t>
            </w:r>
          </w:p>
        </w:tc>
        <w:tc>
          <w:tcPr>
            <w:tcW w:w="7193" w:type="dxa"/>
            <w:tcBorders>
              <w:top w:val="single" w:color="auto" w:sz="4" w:space="0"/>
            </w:tcBorders>
            <w:shd w:val="clear" w:color="auto" w:fill="FFFFFF"/>
            <w:vAlign w:val="center"/>
          </w:tcPr>
          <w:p>
            <w:pPr>
              <w:widowControl/>
              <w:rPr>
                <w:rFonts w:ascii="宋体"/>
                <w:color w:val="000000"/>
                <w:kern w:val="0"/>
                <w:szCs w:val="21"/>
              </w:rPr>
            </w:pPr>
            <w:r>
              <w:rPr>
                <w:rFonts w:hint="eastAsia" w:ascii="宋体"/>
                <w:color w:val="000000"/>
                <w:kern w:val="0"/>
                <w:szCs w:val="21"/>
              </w:rPr>
              <w:t>所有维保问题处理，均要有问题处理书面结果反馈，超时未修复的问题均要主动书面说明原因，提供书面后续解决方案。</w:t>
            </w:r>
          </w:p>
        </w:tc>
        <w:tc>
          <w:tcPr>
            <w:tcW w:w="887" w:type="dxa"/>
            <w:tcBorders>
              <w:top w:val="single" w:color="auto" w:sz="4" w:space="0"/>
            </w:tcBorders>
            <w:shd w:val="clear" w:color="auto" w:fill="FFFFFF"/>
            <w:noWrap/>
            <w:vAlign w:val="center"/>
          </w:tcPr>
          <w:p>
            <w:pPr>
              <w:widowControl/>
              <w:jc w:val="center"/>
              <w:rPr>
                <w:rFonts w:ascii="宋体" w:cs="宋体"/>
                <w:color w:val="000000"/>
                <w:kern w:val="0"/>
                <w:szCs w:val="21"/>
              </w:rPr>
            </w:pPr>
            <w:r>
              <w:rPr>
                <w:rFonts w:hint="eastAsia" w:ascii="宋体" w:cs="宋体"/>
                <w:color w:val="000000"/>
                <w:kern w:val="0"/>
                <w:szCs w:val="21"/>
              </w:rPr>
              <w:t>8</w:t>
            </w:r>
          </w:p>
        </w:tc>
        <w:tc>
          <w:tcPr>
            <w:tcW w:w="654" w:type="dxa"/>
            <w:tcBorders>
              <w:top w:val="single" w:color="auto" w:sz="4" w:space="0"/>
            </w:tcBorders>
            <w:shd w:val="clear" w:color="auto" w:fill="FFFFFF"/>
            <w:noWrap/>
            <w:vAlign w:val="center"/>
          </w:tcPr>
          <w:p>
            <w:pPr>
              <w:widowControl/>
              <w:jc w:val="center"/>
              <w:rPr>
                <w:rFonts w:ascii="宋体" w:cs="宋体"/>
                <w:color w:val="000000"/>
                <w:kern w:val="0"/>
                <w:szCs w:val="21"/>
              </w:rPr>
            </w:pPr>
          </w:p>
        </w:tc>
        <w:tc>
          <w:tcPr>
            <w:tcW w:w="2714" w:type="dxa"/>
            <w:tcBorders>
              <w:top w:val="single" w:color="auto" w:sz="4" w:space="0"/>
            </w:tcBorders>
            <w:shd w:val="clear" w:color="auto" w:fill="FFFFFF"/>
            <w:noWrap/>
            <w:vAlign w:val="center"/>
          </w:tcPr>
          <w:p>
            <w:pPr>
              <w:widowControl/>
              <w:jc w:val="center"/>
              <w:rPr>
                <w:rFonts w:ascii="宋体" w:cs="宋体"/>
                <w:color w:val="000000"/>
                <w:kern w:val="0"/>
                <w:szCs w:val="21"/>
              </w:rPr>
            </w:pPr>
          </w:p>
        </w:tc>
        <w:tc>
          <w:tcPr>
            <w:tcW w:w="3436" w:type="dxa"/>
            <w:tcBorders>
              <w:top w:val="single" w:color="auto" w:sz="4" w:space="0"/>
              <w:right w:val="single" w:color="auto" w:sz="4" w:space="0"/>
            </w:tcBorders>
            <w:shd w:val="clear" w:color="auto" w:fill="FFFFFF"/>
            <w:noWrap/>
            <w:vAlign w:val="center"/>
          </w:tcPr>
          <w:p>
            <w:pPr>
              <w:rPr>
                <w:rFonts w:ascii="宋体" w:cs="宋体"/>
                <w:color w:val="000000"/>
                <w:kern w:val="0"/>
                <w:szCs w:val="21"/>
              </w:rPr>
            </w:pPr>
            <w:r>
              <w:rPr>
                <w:rFonts w:hint="eastAsia" w:ascii="宋体"/>
                <w:color w:val="000000"/>
                <w:szCs w:val="21"/>
              </w:rPr>
              <w:t>出现一次，扣</w:t>
            </w:r>
            <w:r>
              <w:rPr>
                <w:rFonts w:ascii="宋体"/>
                <w:color w:val="000000"/>
                <w:szCs w:val="21"/>
              </w:rPr>
              <w:t>2</w:t>
            </w:r>
            <w:r>
              <w:rPr>
                <w:rFonts w:hint="eastAsia" w:ascii="宋体"/>
                <w:color w:val="000000"/>
                <w:szCs w:val="21"/>
              </w:rPr>
              <w:t>分。</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75" w:type="dxa"/>
            <w:tcBorders>
              <w:top w:val="single" w:color="auto" w:sz="4" w:space="0"/>
              <w:left w:val="single" w:color="auto" w:sz="4" w:space="0"/>
            </w:tcBorders>
            <w:shd w:val="clear" w:color="auto" w:fill="FFFFFF"/>
            <w:noWrap/>
            <w:vAlign w:val="center"/>
          </w:tcPr>
          <w:p>
            <w:pPr>
              <w:widowControl/>
              <w:jc w:val="center"/>
              <w:rPr>
                <w:rFonts w:ascii="宋体"/>
                <w:color w:val="000000"/>
                <w:kern w:val="0"/>
                <w:szCs w:val="21"/>
              </w:rPr>
            </w:pPr>
            <w:r>
              <w:rPr>
                <w:rFonts w:hint="eastAsia" w:ascii="宋体" w:hAnsi="宋体"/>
                <w:color w:val="000000"/>
                <w:kern w:val="0"/>
                <w:szCs w:val="21"/>
              </w:rPr>
              <w:t>11</w:t>
            </w:r>
          </w:p>
        </w:tc>
        <w:tc>
          <w:tcPr>
            <w:tcW w:w="7193" w:type="dxa"/>
            <w:tcBorders>
              <w:top w:val="single" w:color="auto" w:sz="4" w:space="0"/>
            </w:tcBorders>
            <w:shd w:val="clear" w:color="auto" w:fill="FFFFFF"/>
            <w:vAlign w:val="center"/>
          </w:tcPr>
          <w:p>
            <w:pPr>
              <w:widowControl/>
              <w:rPr>
                <w:rFonts w:ascii="宋体" w:cs="宋体"/>
                <w:color w:val="000000"/>
                <w:kern w:val="0"/>
                <w:szCs w:val="21"/>
              </w:rPr>
            </w:pPr>
            <w:r>
              <w:rPr>
                <w:rFonts w:hint="eastAsia" w:ascii="宋体" w:cs="宋体"/>
                <w:color w:val="000000"/>
                <w:kern w:val="0"/>
                <w:szCs w:val="21"/>
              </w:rPr>
              <w:t>当出现故障或遇紧急问题时，维保单位应在信息处要求的规定时间内对问题修复完毕，如果超时未修复、排查问题不仔细，导致业务受影响的。</w:t>
            </w:r>
          </w:p>
        </w:tc>
        <w:tc>
          <w:tcPr>
            <w:tcW w:w="887" w:type="dxa"/>
            <w:tcBorders>
              <w:top w:val="single" w:color="auto" w:sz="4" w:space="0"/>
            </w:tcBorders>
            <w:shd w:val="clear" w:color="auto" w:fill="FFFFFF"/>
            <w:noWrap/>
            <w:vAlign w:val="center"/>
          </w:tcPr>
          <w:p>
            <w:pPr>
              <w:widowControl/>
              <w:jc w:val="center"/>
              <w:rPr>
                <w:rFonts w:ascii="宋体" w:cs="宋体"/>
                <w:color w:val="000000"/>
                <w:kern w:val="0"/>
                <w:szCs w:val="21"/>
              </w:rPr>
            </w:pPr>
            <w:r>
              <w:rPr>
                <w:rFonts w:hint="eastAsia" w:ascii="宋体" w:cs="宋体"/>
                <w:color w:val="000000"/>
                <w:kern w:val="0"/>
                <w:szCs w:val="21"/>
              </w:rPr>
              <w:t>10</w:t>
            </w:r>
          </w:p>
        </w:tc>
        <w:tc>
          <w:tcPr>
            <w:tcW w:w="654" w:type="dxa"/>
            <w:tcBorders>
              <w:top w:val="single" w:color="auto" w:sz="4" w:space="0"/>
            </w:tcBorders>
            <w:shd w:val="clear" w:color="auto" w:fill="FFFFFF"/>
            <w:noWrap/>
            <w:vAlign w:val="center"/>
          </w:tcPr>
          <w:p>
            <w:pPr>
              <w:widowControl/>
              <w:jc w:val="center"/>
              <w:rPr>
                <w:rFonts w:ascii="宋体" w:cs="宋体"/>
                <w:color w:val="000000"/>
                <w:kern w:val="0"/>
                <w:szCs w:val="21"/>
              </w:rPr>
            </w:pPr>
          </w:p>
        </w:tc>
        <w:tc>
          <w:tcPr>
            <w:tcW w:w="2714" w:type="dxa"/>
            <w:tcBorders>
              <w:top w:val="single" w:color="auto" w:sz="4" w:space="0"/>
            </w:tcBorders>
            <w:shd w:val="clear" w:color="auto" w:fill="FFFFFF"/>
            <w:noWrap/>
            <w:vAlign w:val="center"/>
          </w:tcPr>
          <w:p>
            <w:pPr>
              <w:widowControl/>
              <w:jc w:val="center"/>
              <w:rPr>
                <w:rFonts w:ascii="宋体" w:cs="宋体"/>
                <w:color w:val="000000"/>
                <w:kern w:val="0"/>
                <w:szCs w:val="21"/>
              </w:rPr>
            </w:pPr>
          </w:p>
        </w:tc>
        <w:tc>
          <w:tcPr>
            <w:tcW w:w="3436" w:type="dxa"/>
            <w:tcBorders>
              <w:top w:val="single" w:color="auto" w:sz="4" w:space="0"/>
              <w:right w:val="single" w:color="auto" w:sz="4" w:space="0"/>
            </w:tcBorders>
            <w:shd w:val="clear" w:color="auto" w:fill="FFFFFF"/>
            <w:noWrap/>
            <w:vAlign w:val="center"/>
          </w:tcPr>
          <w:p>
            <w:pPr>
              <w:rPr>
                <w:rFonts w:ascii="宋体" w:cs="宋体"/>
                <w:color w:val="000000"/>
                <w:kern w:val="0"/>
                <w:szCs w:val="21"/>
              </w:rPr>
            </w:pPr>
            <w:r>
              <w:rPr>
                <w:rFonts w:hint="eastAsia" w:ascii="宋体" w:cs="宋体"/>
                <w:color w:val="000000"/>
                <w:kern w:val="0"/>
                <w:szCs w:val="21"/>
              </w:rPr>
              <w:t>出现一次扣5分。</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75" w:type="dxa"/>
            <w:tcBorders>
              <w:top w:val="single" w:color="auto" w:sz="4" w:space="0"/>
              <w:left w:val="single" w:color="auto" w:sz="4" w:space="0"/>
            </w:tcBorders>
            <w:shd w:val="clear" w:color="auto" w:fill="FFFFFF"/>
            <w:noWrap/>
            <w:vAlign w:val="center"/>
          </w:tcPr>
          <w:p>
            <w:pPr>
              <w:widowControl/>
              <w:jc w:val="center"/>
              <w:rPr>
                <w:rFonts w:ascii="宋体" w:hAnsi="宋体"/>
                <w:color w:val="000000"/>
                <w:kern w:val="0"/>
                <w:szCs w:val="21"/>
              </w:rPr>
            </w:pPr>
            <w:r>
              <w:rPr>
                <w:rFonts w:hint="eastAsia" w:ascii="宋体" w:hAnsi="宋体"/>
                <w:color w:val="000000"/>
                <w:kern w:val="0"/>
                <w:szCs w:val="21"/>
              </w:rPr>
              <w:t>12</w:t>
            </w:r>
          </w:p>
        </w:tc>
        <w:tc>
          <w:tcPr>
            <w:tcW w:w="7193" w:type="dxa"/>
            <w:tcBorders>
              <w:top w:val="single" w:color="auto" w:sz="4" w:space="0"/>
            </w:tcBorders>
            <w:shd w:val="clear" w:color="auto" w:fill="FFFFFF"/>
            <w:vAlign w:val="center"/>
          </w:tcPr>
          <w:p>
            <w:pPr>
              <w:widowControl/>
              <w:rPr>
                <w:rFonts w:ascii="宋体"/>
                <w:color w:val="000000"/>
                <w:kern w:val="0"/>
                <w:szCs w:val="21"/>
              </w:rPr>
            </w:pPr>
            <w:r>
              <w:rPr>
                <w:rFonts w:hint="eastAsia" w:ascii="宋体"/>
                <w:color w:val="000000"/>
                <w:kern w:val="0"/>
                <w:szCs w:val="21"/>
              </w:rPr>
              <w:t>维保人员实施过程中，</w:t>
            </w:r>
            <w:r>
              <w:rPr>
                <w:rFonts w:hint="eastAsia" w:ascii="宋体" w:hAnsi="宋体" w:cs="宋体"/>
                <w:color w:val="000000"/>
                <w:kern w:val="0"/>
                <w:szCs w:val="21"/>
              </w:rPr>
              <w:t>应保证对应业务的网络及信息系统安全，如因维保人员</w:t>
            </w:r>
            <w:r>
              <w:rPr>
                <w:rFonts w:hint="eastAsia" w:ascii="宋体"/>
                <w:color w:val="000000"/>
                <w:kern w:val="0"/>
                <w:szCs w:val="21"/>
              </w:rPr>
              <w:t>态度懒散、工作粗心、不专业引起安全事故的，按情节轻重程度扣分。</w:t>
            </w:r>
          </w:p>
        </w:tc>
        <w:tc>
          <w:tcPr>
            <w:tcW w:w="887" w:type="dxa"/>
            <w:tcBorders>
              <w:top w:val="single" w:color="auto" w:sz="4" w:space="0"/>
            </w:tcBorders>
            <w:shd w:val="clear" w:color="auto" w:fill="FFFFFF"/>
            <w:noWrap/>
            <w:vAlign w:val="center"/>
          </w:tcPr>
          <w:p>
            <w:pPr>
              <w:widowControl/>
              <w:jc w:val="center"/>
              <w:rPr>
                <w:rFonts w:ascii="宋体" w:cs="宋体"/>
                <w:color w:val="000000"/>
                <w:kern w:val="0"/>
                <w:szCs w:val="21"/>
              </w:rPr>
            </w:pPr>
            <w:r>
              <w:rPr>
                <w:rFonts w:hint="eastAsia" w:ascii="宋体" w:cs="宋体"/>
                <w:color w:val="000000"/>
                <w:kern w:val="0"/>
                <w:szCs w:val="21"/>
              </w:rPr>
              <w:t>10</w:t>
            </w:r>
          </w:p>
        </w:tc>
        <w:tc>
          <w:tcPr>
            <w:tcW w:w="654" w:type="dxa"/>
            <w:tcBorders>
              <w:top w:val="single" w:color="auto" w:sz="4" w:space="0"/>
            </w:tcBorders>
            <w:shd w:val="clear" w:color="auto" w:fill="FFFFFF"/>
            <w:noWrap/>
            <w:vAlign w:val="center"/>
          </w:tcPr>
          <w:p>
            <w:pPr>
              <w:widowControl/>
              <w:jc w:val="center"/>
              <w:rPr>
                <w:rFonts w:ascii="宋体" w:cs="宋体"/>
                <w:color w:val="000000"/>
                <w:kern w:val="0"/>
                <w:szCs w:val="21"/>
              </w:rPr>
            </w:pPr>
          </w:p>
        </w:tc>
        <w:tc>
          <w:tcPr>
            <w:tcW w:w="2714" w:type="dxa"/>
            <w:tcBorders>
              <w:top w:val="single" w:color="auto" w:sz="4" w:space="0"/>
            </w:tcBorders>
            <w:shd w:val="clear" w:color="auto" w:fill="FFFFFF"/>
            <w:noWrap/>
            <w:vAlign w:val="center"/>
          </w:tcPr>
          <w:p>
            <w:pPr>
              <w:widowControl/>
              <w:jc w:val="center"/>
              <w:rPr>
                <w:rFonts w:ascii="宋体" w:cs="宋体"/>
                <w:color w:val="000000"/>
                <w:kern w:val="0"/>
                <w:szCs w:val="21"/>
              </w:rPr>
            </w:pPr>
          </w:p>
        </w:tc>
        <w:tc>
          <w:tcPr>
            <w:tcW w:w="3436" w:type="dxa"/>
            <w:tcBorders>
              <w:top w:val="single" w:color="auto" w:sz="4" w:space="0"/>
              <w:right w:val="single" w:color="auto" w:sz="4" w:space="0"/>
            </w:tcBorders>
            <w:shd w:val="clear" w:color="auto" w:fill="FFFFFF"/>
            <w:noWrap/>
            <w:vAlign w:val="center"/>
          </w:tcPr>
          <w:p>
            <w:pPr>
              <w:widowControl/>
              <w:rPr>
                <w:rFonts w:ascii="宋体" w:cs="宋体"/>
                <w:color w:val="000000"/>
                <w:kern w:val="0"/>
                <w:szCs w:val="21"/>
              </w:rPr>
            </w:pPr>
            <w:r>
              <w:rPr>
                <w:rFonts w:hint="eastAsia" w:ascii="宋体" w:cs="宋体"/>
                <w:color w:val="000000"/>
                <w:kern w:val="0"/>
                <w:szCs w:val="21"/>
              </w:rPr>
              <w:t>出现一次扣5分。</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75" w:type="dxa"/>
            <w:tcBorders>
              <w:top w:val="single" w:color="auto" w:sz="4" w:space="0"/>
              <w:left w:val="single" w:color="auto" w:sz="4" w:space="0"/>
            </w:tcBorders>
            <w:shd w:val="clear" w:color="auto" w:fill="FFFFFF"/>
            <w:noWrap/>
            <w:vAlign w:val="center"/>
          </w:tcPr>
          <w:p>
            <w:pPr>
              <w:widowControl/>
              <w:jc w:val="center"/>
              <w:rPr>
                <w:rFonts w:ascii="宋体"/>
                <w:color w:val="000000"/>
                <w:kern w:val="0"/>
                <w:szCs w:val="21"/>
              </w:rPr>
            </w:pPr>
            <w:r>
              <w:rPr>
                <w:rFonts w:hint="eastAsia" w:ascii="宋体" w:hAnsi="宋体"/>
                <w:color w:val="000000"/>
                <w:kern w:val="0"/>
                <w:szCs w:val="21"/>
              </w:rPr>
              <w:t>13</w:t>
            </w:r>
          </w:p>
        </w:tc>
        <w:tc>
          <w:tcPr>
            <w:tcW w:w="7193" w:type="dxa"/>
            <w:tcBorders>
              <w:top w:val="single" w:color="auto" w:sz="4" w:space="0"/>
            </w:tcBorders>
            <w:shd w:val="clear" w:color="auto" w:fill="FFFFFF"/>
            <w:vAlign w:val="center"/>
          </w:tcPr>
          <w:p>
            <w:pPr>
              <w:widowControl/>
              <w:rPr>
                <w:rFonts w:ascii="宋体"/>
                <w:color w:val="000000"/>
                <w:kern w:val="0"/>
                <w:szCs w:val="21"/>
              </w:rPr>
            </w:pPr>
            <w:r>
              <w:rPr>
                <w:rFonts w:hint="eastAsia" w:ascii="宋体"/>
                <w:color w:val="000000"/>
                <w:kern w:val="0"/>
                <w:szCs w:val="21"/>
              </w:rPr>
              <w:t>维保人员不得泄漏中心</w:t>
            </w:r>
            <w:r>
              <w:rPr>
                <w:rFonts w:hint="eastAsia" w:ascii="宋体" w:hAnsi="宋体" w:cs="宋体"/>
                <w:color w:val="000000"/>
                <w:kern w:val="0"/>
                <w:szCs w:val="21"/>
              </w:rPr>
              <w:t>要求的保密文件、数据信息等。</w:t>
            </w:r>
          </w:p>
        </w:tc>
        <w:tc>
          <w:tcPr>
            <w:tcW w:w="887" w:type="dxa"/>
            <w:tcBorders>
              <w:top w:val="single" w:color="auto" w:sz="4" w:space="0"/>
            </w:tcBorders>
            <w:shd w:val="clear" w:color="auto" w:fill="FFFFFF"/>
            <w:noWrap/>
            <w:vAlign w:val="center"/>
          </w:tcPr>
          <w:p>
            <w:pPr>
              <w:widowControl/>
              <w:jc w:val="center"/>
              <w:rPr>
                <w:rFonts w:ascii="宋体" w:cs="宋体"/>
                <w:color w:val="000000"/>
                <w:kern w:val="0"/>
                <w:szCs w:val="21"/>
              </w:rPr>
            </w:pPr>
            <w:r>
              <w:rPr>
                <w:rFonts w:hint="eastAsia" w:ascii="宋体" w:cs="宋体"/>
                <w:color w:val="000000"/>
                <w:kern w:val="0"/>
                <w:szCs w:val="21"/>
              </w:rPr>
              <w:t>倒扣分</w:t>
            </w:r>
          </w:p>
        </w:tc>
        <w:tc>
          <w:tcPr>
            <w:tcW w:w="654" w:type="dxa"/>
            <w:tcBorders>
              <w:top w:val="single" w:color="auto" w:sz="4" w:space="0"/>
            </w:tcBorders>
            <w:shd w:val="clear" w:color="auto" w:fill="FFFFFF"/>
            <w:noWrap/>
            <w:vAlign w:val="center"/>
          </w:tcPr>
          <w:p>
            <w:pPr>
              <w:widowControl/>
              <w:jc w:val="center"/>
              <w:rPr>
                <w:rFonts w:ascii="宋体" w:cs="宋体"/>
                <w:color w:val="000000"/>
                <w:kern w:val="0"/>
                <w:szCs w:val="21"/>
              </w:rPr>
            </w:pPr>
          </w:p>
        </w:tc>
        <w:tc>
          <w:tcPr>
            <w:tcW w:w="2714" w:type="dxa"/>
            <w:tcBorders>
              <w:top w:val="single" w:color="auto" w:sz="4" w:space="0"/>
            </w:tcBorders>
            <w:shd w:val="clear" w:color="auto" w:fill="FFFFFF"/>
            <w:noWrap/>
            <w:vAlign w:val="center"/>
          </w:tcPr>
          <w:p>
            <w:pPr>
              <w:widowControl/>
              <w:jc w:val="center"/>
              <w:rPr>
                <w:rFonts w:ascii="宋体" w:cs="宋体"/>
                <w:color w:val="000000"/>
                <w:kern w:val="0"/>
                <w:szCs w:val="21"/>
              </w:rPr>
            </w:pPr>
          </w:p>
        </w:tc>
        <w:tc>
          <w:tcPr>
            <w:tcW w:w="3436" w:type="dxa"/>
            <w:tcBorders>
              <w:top w:val="single" w:color="auto" w:sz="4" w:space="0"/>
              <w:right w:val="single" w:color="auto" w:sz="4" w:space="0"/>
            </w:tcBorders>
            <w:shd w:val="clear" w:color="auto" w:fill="FFFFFF"/>
            <w:noWrap/>
            <w:vAlign w:val="center"/>
          </w:tcPr>
          <w:p>
            <w:pPr>
              <w:rPr>
                <w:rFonts w:ascii="宋体"/>
                <w:color w:val="000000"/>
                <w:szCs w:val="21"/>
              </w:rPr>
            </w:pPr>
            <w:r>
              <w:rPr>
                <w:rFonts w:hint="eastAsia" w:ascii="宋体"/>
                <w:color w:val="000000"/>
                <w:szCs w:val="21"/>
              </w:rPr>
              <w:t>出现一次扣20分，若造成严重后果的，本次考核0分。</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75" w:type="dxa"/>
            <w:tcBorders>
              <w:top w:val="single" w:color="auto" w:sz="4" w:space="0"/>
              <w:left w:val="single" w:color="auto" w:sz="4" w:space="0"/>
              <w:bottom w:val="single" w:color="auto" w:sz="4" w:space="0"/>
            </w:tcBorders>
            <w:shd w:val="clear" w:color="auto" w:fill="FFFFFF"/>
            <w:noWrap/>
            <w:vAlign w:val="center"/>
          </w:tcPr>
          <w:p>
            <w:pPr>
              <w:widowControl/>
              <w:jc w:val="center"/>
              <w:rPr>
                <w:rFonts w:ascii="宋体"/>
                <w:color w:val="000000"/>
                <w:kern w:val="0"/>
                <w:szCs w:val="21"/>
              </w:rPr>
            </w:pPr>
          </w:p>
        </w:tc>
        <w:tc>
          <w:tcPr>
            <w:tcW w:w="8080" w:type="dxa"/>
            <w:gridSpan w:val="2"/>
            <w:tcBorders>
              <w:top w:val="single" w:color="auto" w:sz="4" w:space="0"/>
              <w:bottom w:val="single" w:color="auto" w:sz="4" w:space="0"/>
            </w:tcBorders>
            <w:shd w:val="clear" w:color="auto" w:fill="FFFFFF"/>
            <w:vAlign w:val="center"/>
          </w:tcPr>
          <w:p>
            <w:pPr>
              <w:widowControl/>
              <w:jc w:val="center"/>
              <w:rPr>
                <w:rFonts w:ascii="黑体" w:eastAsia="黑体" w:cs="宋体"/>
                <w:b/>
                <w:color w:val="000000"/>
                <w:kern w:val="0"/>
                <w:szCs w:val="21"/>
              </w:rPr>
            </w:pPr>
            <w:r>
              <w:rPr>
                <w:rFonts w:hint="eastAsia" w:ascii="黑体" w:eastAsia="黑体" w:cs="宋体"/>
                <w:b/>
                <w:color w:val="000000"/>
                <w:kern w:val="0"/>
                <w:szCs w:val="21"/>
              </w:rPr>
              <w:t>总    分</w:t>
            </w:r>
          </w:p>
        </w:tc>
        <w:tc>
          <w:tcPr>
            <w:tcW w:w="654" w:type="dxa"/>
            <w:tcBorders>
              <w:top w:val="single" w:color="auto" w:sz="4" w:space="0"/>
              <w:bottom w:val="single" w:color="auto" w:sz="4" w:space="0"/>
            </w:tcBorders>
            <w:shd w:val="clear" w:color="auto" w:fill="FFFFFF"/>
            <w:noWrap/>
            <w:vAlign w:val="center"/>
          </w:tcPr>
          <w:p>
            <w:pPr>
              <w:widowControl/>
              <w:jc w:val="center"/>
              <w:rPr>
                <w:rFonts w:ascii="黑体" w:eastAsia="黑体" w:cs="宋体"/>
                <w:b/>
                <w:color w:val="000000"/>
                <w:kern w:val="0"/>
                <w:szCs w:val="21"/>
              </w:rPr>
            </w:pPr>
          </w:p>
        </w:tc>
        <w:tc>
          <w:tcPr>
            <w:tcW w:w="2714" w:type="dxa"/>
            <w:tcBorders>
              <w:top w:val="single" w:color="auto" w:sz="4" w:space="0"/>
              <w:bottom w:val="single" w:color="auto" w:sz="4" w:space="0"/>
            </w:tcBorders>
            <w:shd w:val="clear" w:color="auto" w:fill="FFFFFF"/>
            <w:noWrap/>
            <w:vAlign w:val="center"/>
          </w:tcPr>
          <w:p>
            <w:pPr>
              <w:widowControl/>
              <w:jc w:val="center"/>
              <w:rPr>
                <w:rFonts w:ascii="黑体" w:eastAsia="黑体" w:cs="宋体"/>
                <w:b/>
                <w:color w:val="000000"/>
                <w:kern w:val="0"/>
                <w:szCs w:val="21"/>
              </w:rPr>
            </w:pPr>
          </w:p>
        </w:tc>
        <w:tc>
          <w:tcPr>
            <w:tcW w:w="3436" w:type="dxa"/>
            <w:tcBorders>
              <w:top w:val="single" w:color="auto" w:sz="4" w:space="0"/>
              <w:bottom w:val="single" w:color="auto" w:sz="4" w:space="0"/>
              <w:right w:val="single" w:color="auto" w:sz="4" w:space="0"/>
            </w:tcBorders>
            <w:shd w:val="clear" w:color="auto" w:fill="FFFFFF"/>
            <w:noWrap/>
            <w:vAlign w:val="center"/>
          </w:tcPr>
          <w:p>
            <w:pPr>
              <w:rPr>
                <w:rFonts w:ascii="宋体" w:cs="宋体"/>
                <w:color w:val="000000"/>
                <w:kern w:val="0"/>
                <w:szCs w:val="21"/>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5559" w:type="dxa"/>
            <w:gridSpan w:val="6"/>
            <w:tcBorders>
              <w:top w:val="single" w:color="auto" w:sz="4" w:space="0"/>
              <w:left w:val="single" w:color="auto" w:sz="4" w:space="0"/>
              <w:right w:val="single" w:color="auto" w:sz="4" w:space="0"/>
            </w:tcBorders>
            <w:shd w:val="clear" w:color="auto" w:fill="FFFFFF"/>
            <w:noWrap/>
            <w:vAlign w:val="center"/>
          </w:tcPr>
          <w:p>
            <w:pPr>
              <w:rPr>
                <w:rFonts w:ascii="宋体" w:cs="宋体"/>
                <w:b/>
                <w:bCs/>
                <w:kern w:val="0"/>
                <w:szCs w:val="21"/>
              </w:rPr>
            </w:pPr>
            <w:r>
              <w:rPr>
                <w:rFonts w:hint="eastAsia" w:ascii="宋体" w:cs="宋体"/>
                <w:b/>
                <w:bCs/>
                <w:kern w:val="0"/>
                <w:szCs w:val="21"/>
              </w:rPr>
              <w:t xml:space="preserve">考核人（签字）： </w:t>
            </w:r>
            <w:r>
              <w:rPr>
                <w:rFonts w:ascii="宋体" w:cs="宋体"/>
                <w:b/>
                <w:bCs/>
                <w:kern w:val="0"/>
                <w:szCs w:val="21"/>
              </w:rPr>
              <w:t xml:space="preserve">                                                                                                   </w:t>
            </w:r>
            <w:r>
              <w:rPr>
                <w:rFonts w:hint="eastAsia" w:ascii="宋体" w:cs="宋体"/>
                <w:b/>
                <w:bCs/>
                <w:kern w:val="0"/>
                <w:szCs w:val="21"/>
              </w:rPr>
              <w:t>杭州市卫生健康事业发展中心</w:t>
            </w:r>
          </w:p>
        </w:tc>
      </w:tr>
    </w:tbl>
    <w:p>
      <w:pPr>
        <w:pStyle w:val="4"/>
        <w:rPr>
          <w:lang w:val="en-US"/>
        </w:rPr>
      </w:pPr>
    </w:p>
    <w:p/>
    <w:p>
      <w:pPr>
        <w:pStyle w:val="4"/>
        <w:rPr>
          <w:rFonts w:hint="eastAsia"/>
          <w:lang w:val="en-US"/>
        </w:rPr>
      </w:pPr>
    </w:p>
    <w:sectPr>
      <w:pgSz w:w="16838" w:h="11906" w:orient="landscape"/>
      <w:pgMar w:top="1418" w:right="1276" w:bottom="1418"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86"/>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44" w:name="_Toc164085800"/>
    <w:bookmarkStart w:id="545" w:name="_Toc131845147"/>
    <w:bookmarkStart w:id="546" w:name="_Toc91899912"/>
    <w:bookmarkStart w:id="547" w:name="_Toc36110187"/>
    <w:r>
      <w:rPr>
        <w:rFonts w:hint="eastAsia" w:ascii="仿宋_GB2312" w:eastAsia="仿宋_GB2312"/>
        <w:kern w:val="0"/>
        <w:szCs w:val="21"/>
      </w:rPr>
      <w:t xml:space="preserve"> 页</w:t>
    </w:r>
    <w:bookmarkEnd w:id="544"/>
    <w:bookmarkEnd w:id="545"/>
    <w:bookmarkEnd w:id="546"/>
    <w:bookmarkEnd w:id="54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145D9"/>
    <w:multiLevelType w:val="singleLevel"/>
    <w:tmpl w:val="8DD145D9"/>
    <w:lvl w:ilvl="0" w:tentative="0">
      <w:start w:val="5"/>
      <w:numFmt w:val="chineseCounting"/>
      <w:suff w:val="space"/>
      <w:lvlText w:val="第%1部分"/>
      <w:lvlJc w:val="left"/>
      <w:rPr>
        <w:rFonts w:hint="eastAsia"/>
      </w:rPr>
    </w:lvl>
  </w:abstractNum>
  <w:abstractNum w:abstractNumId="1">
    <w:nsid w:val="02BD2E26"/>
    <w:multiLevelType w:val="multilevel"/>
    <w:tmpl w:val="02BD2E2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5B22900"/>
    <w:multiLevelType w:val="multilevel"/>
    <w:tmpl w:val="05B2290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DB2837"/>
    <w:multiLevelType w:val="multilevel"/>
    <w:tmpl w:val="11DB28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2F2092D"/>
    <w:multiLevelType w:val="multilevel"/>
    <w:tmpl w:val="12F2092D"/>
    <w:lvl w:ilvl="0" w:tentative="0">
      <w:start w:val="1"/>
      <w:numFmt w:val="decimal"/>
      <w:lvlText w:val="%1、"/>
      <w:lvlJc w:val="left"/>
      <w:pPr>
        <w:ind w:left="840" w:hanging="420"/>
      </w:pPr>
      <w:rPr>
        <w:rFonts w:hint="default"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210E60DC"/>
    <w:multiLevelType w:val="multilevel"/>
    <w:tmpl w:val="210E60DC"/>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1264E17"/>
    <w:multiLevelType w:val="multilevel"/>
    <w:tmpl w:val="31264E1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3E47735"/>
    <w:multiLevelType w:val="multilevel"/>
    <w:tmpl w:val="33E47735"/>
    <w:lvl w:ilvl="0" w:tentative="0">
      <w:start w:val="1"/>
      <w:numFmt w:val="decimal"/>
      <w:lvlText w:val="%1、"/>
      <w:lvlJc w:val="left"/>
      <w:pPr>
        <w:ind w:left="1005" w:hanging="420"/>
      </w:pPr>
      <w:rPr>
        <w:rFonts w:hint="default" w:ascii="宋体" w:hAnsi="宋体" w:eastAsia="宋体"/>
      </w:rPr>
    </w:lvl>
    <w:lvl w:ilvl="1" w:tentative="0">
      <w:start w:val="1"/>
      <w:numFmt w:val="lowerLetter"/>
      <w:lvlText w:val="%2)"/>
      <w:lvlJc w:val="left"/>
      <w:pPr>
        <w:ind w:left="1425" w:hanging="420"/>
      </w:pPr>
    </w:lvl>
    <w:lvl w:ilvl="2" w:tentative="0">
      <w:start w:val="1"/>
      <w:numFmt w:val="lowerRoman"/>
      <w:lvlText w:val="%3."/>
      <w:lvlJc w:val="right"/>
      <w:pPr>
        <w:ind w:left="1845" w:hanging="420"/>
      </w:pPr>
    </w:lvl>
    <w:lvl w:ilvl="3" w:tentative="0">
      <w:start w:val="1"/>
      <w:numFmt w:val="decimal"/>
      <w:lvlText w:val="%4."/>
      <w:lvlJc w:val="left"/>
      <w:pPr>
        <w:ind w:left="2265" w:hanging="420"/>
      </w:pPr>
    </w:lvl>
    <w:lvl w:ilvl="4" w:tentative="0">
      <w:start w:val="1"/>
      <w:numFmt w:val="lowerLetter"/>
      <w:lvlText w:val="%5)"/>
      <w:lvlJc w:val="left"/>
      <w:pPr>
        <w:ind w:left="2685" w:hanging="420"/>
      </w:pPr>
    </w:lvl>
    <w:lvl w:ilvl="5" w:tentative="0">
      <w:start w:val="1"/>
      <w:numFmt w:val="lowerRoman"/>
      <w:lvlText w:val="%6."/>
      <w:lvlJc w:val="right"/>
      <w:pPr>
        <w:ind w:left="3105" w:hanging="420"/>
      </w:pPr>
    </w:lvl>
    <w:lvl w:ilvl="6" w:tentative="0">
      <w:start w:val="1"/>
      <w:numFmt w:val="decimal"/>
      <w:lvlText w:val="%7."/>
      <w:lvlJc w:val="left"/>
      <w:pPr>
        <w:ind w:left="3525" w:hanging="420"/>
      </w:pPr>
    </w:lvl>
    <w:lvl w:ilvl="7" w:tentative="0">
      <w:start w:val="1"/>
      <w:numFmt w:val="lowerLetter"/>
      <w:lvlText w:val="%8)"/>
      <w:lvlJc w:val="left"/>
      <w:pPr>
        <w:ind w:left="3945" w:hanging="420"/>
      </w:pPr>
    </w:lvl>
    <w:lvl w:ilvl="8" w:tentative="0">
      <w:start w:val="1"/>
      <w:numFmt w:val="lowerRoman"/>
      <w:lvlText w:val="%9."/>
      <w:lvlJc w:val="right"/>
      <w:pPr>
        <w:ind w:left="4365" w:hanging="420"/>
      </w:pPr>
    </w:lvl>
  </w:abstractNum>
  <w:abstractNum w:abstractNumId="8">
    <w:nsid w:val="47A41440"/>
    <w:multiLevelType w:val="multilevel"/>
    <w:tmpl w:val="47A4144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E3C729D"/>
    <w:multiLevelType w:val="multilevel"/>
    <w:tmpl w:val="5E3C729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8CD1549"/>
    <w:multiLevelType w:val="multilevel"/>
    <w:tmpl w:val="78CD1549"/>
    <w:lvl w:ilvl="0" w:tentative="0">
      <w:start w:val="1"/>
      <w:numFmt w:val="decimal"/>
      <w:lvlText w:val="%1、"/>
      <w:lvlJc w:val="left"/>
      <w:pPr>
        <w:ind w:left="1200" w:hanging="360"/>
      </w:pPr>
      <w:rPr>
        <w:rFonts w:hint="default" w:ascii="宋体" w:hAnsi="宋体" w:eastAsia="宋体"/>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7F5FE485"/>
    <w:multiLevelType w:val="singleLevel"/>
    <w:tmpl w:val="7F5FE485"/>
    <w:lvl w:ilvl="0" w:tentative="0">
      <w:start w:val="1"/>
      <w:numFmt w:val="bullet"/>
      <w:lvlText w:val=""/>
      <w:lvlJc w:val="left"/>
      <w:pPr>
        <w:tabs>
          <w:tab w:val="left" w:pos="420"/>
        </w:tabs>
        <w:ind w:left="840" w:hanging="420"/>
      </w:pPr>
      <w:rPr>
        <w:rFonts w:hint="default" w:ascii="Wingdings" w:hAnsi="Wingdings"/>
      </w:rPr>
    </w:lvl>
  </w:abstractNum>
  <w:num w:numId="1">
    <w:abstractNumId w:val="5"/>
  </w:num>
  <w:num w:numId="2">
    <w:abstractNumId w:val="3"/>
  </w:num>
  <w:num w:numId="3">
    <w:abstractNumId w:val="1"/>
  </w:num>
  <w:num w:numId="4">
    <w:abstractNumId w:val="6"/>
  </w:num>
  <w:num w:numId="5">
    <w:abstractNumId w:val="10"/>
  </w:num>
  <w:num w:numId="6">
    <w:abstractNumId w:val="9"/>
  </w:num>
  <w:num w:numId="7">
    <w:abstractNumId w:val="2"/>
  </w:num>
  <w:num w:numId="8">
    <w:abstractNumId w:val="8"/>
  </w:num>
  <w:num w:numId="9">
    <w:abstractNumId w:val="11"/>
  </w:num>
  <w:num w:numId="10">
    <w:abstractNumId w:val="7"/>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kZDFlYjg2NzBiYzgxYWM0N2M2ZWFlYWYxYjY1NW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9E"/>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44"/>
    <w:rsid w:val="000C51AD"/>
    <w:rsid w:val="000C5374"/>
    <w:rsid w:val="000C5EC0"/>
    <w:rsid w:val="000C6162"/>
    <w:rsid w:val="000C64CC"/>
    <w:rsid w:val="000C6688"/>
    <w:rsid w:val="000C692E"/>
    <w:rsid w:val="000C6B28"/>
    <w:rsid w:val="000C7BEB"/>
    <w:rsid w:val="000D0124"/>
    <w:rsid w:val="000D056B"/>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5FF"/>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550"/>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0F51"/>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2F89"/>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B05"/>
    <w:rsid w:val="00204E9B"/>
    <w:rsid w:val="00205298"/>
    <w:rsid w:val="002055C0"/>
    <w:rsid w:val="0020569E"/>
    <w:rsid w:val="00206698"/>
    <w:rsid w:val="00206736"/>
    <w:rsid w:val="00206C88"/>
    <w:rsid w:val="00210A8B"/>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35E"/>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52E"/>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4D1"/>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B4F"/>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42C"/>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8BD"/>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002"/>
    <w:rsid w:val="002E12FA"/>
    <w:rsid w:val="002E13CF"/>
    <w:rsid w:val="002E201C"/>
    <w:rsid w:val="002E22CA"/>
    <w:rsid w:val="002E236F"/>
    <w:rsid w:val="002E30C6"/>
    <w:rsid w:val="002E37C5"/>
    <w:rsid w:val="002E3956"/>
    <w:rsid w:val="002E3C08"/>
    <w:rsid w:val="002E3CF2"/>
    <w:rsid w:val="002E469E"/>
    <w:rsid w:val="002E4AE8"/>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29F"/>
    <w:rsid w:val="00325FCC"/>
    <w:rsid w:val="00326106"/>
    <w:rsid w:val="00326805"/>
    <w:rsid w:val="003269B7"/>
    <w:rsid w:val="00326C0E"/>
    <w:rsid w:val="003272A3"/>
    <w:rsid w:val="003272E4"/>
    <w:rsid w:val="00327B71"/>
    <w:rsid w:val="00331461"/>
    <w:rsid w:val="00331618"/>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1BA8"/>
    <w:rsid w:val="0034257E"/>
    <w:rsid w:val="003429A1"/>
    <w:rsid w:val="003429FC"/>
    <w:rsid w:val="00343079"/>
    <w:rsid w:val="00343127"/>
    <w:rsid w:val="00343320"/>
    <w:rsid w:val="00344066"/>
    <w:rsid w:val="00344BBF"/>
    <w:rsid w:val="0034509B"/>
    <w:rsid w:val="00345644"/>
    <w:rsid w:val="00345D0E"/>
    <w:rsid w:val="00345D7A"/>
    <w:rsid w:val="0034607E"/>
    <w:rsid w:val="003468E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4F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3C9D"/>
    <w:rsid w:val="00374677"/>
    <w:rsid w:val="0037510C"/>
    <w:rsid w:val="00375850"/>
    <w:rsid w:val="0037632F"/>
    <w:rsid w:val="00377B26"/>
    <w:rsid w:val="00381014"/>
    <w:rsid w:val="00381604"/>
    <w:rsid w:val="00381C68"/>
    <w:rsid w:val="00381F60"/>
    <w:rsid w:val="00382FBE"/>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D7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6F87"/>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9FB"/>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6FFE"/>
    <w:rsid w:val="004672E3"/>
    <w:rsid w:val="0046775D"/>
    <w:rsid w:val="00467823"/>
    <w:rsid w:val="004703B6"/>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8D"/>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29D"/>
    <w:rsid w:val="004824A9"/>
    <w:rsid w:val="00483091"/>
    <w:rsid w:val="00483140"/>
    <w:rsid w:val="00483984"/>
    <w:rsid w:val="00483BC7"/>
    <w:rsid w:val="00483CF0"/>
    <w:rsid w:val="00483D8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BBD"/>
    <w:rsid w:val="004A4E3B"/>
    <w:rsid w:val="004A6110"/>
    <w:rsid w:val="004A61B8"/>
    <w:rsid w:val="004A6415"/>
    <w:rsid w:val="004A64F9"/>
    <w:rsid w:val="004A65F4"/>
    <w:rsid w:val="004A6D2C"/>
    <w:rsid w:val="004B026C"/>
    <w:rsid w:val="004B0271"/>
    <w:rsid w:val="004B0BE8"/>
    <w:rsid w:val="004B0E4A"/>
    <w:rsid w:val="004B18F4"/>
    <w:rsid w:val="004B1A98"/>
    <w:rsid w:val="004B1B70"/>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56E"/>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AE"/>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8EF"/>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1E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B04"/>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7C"/>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0ED"/>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07D"/>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5F7FE2"/>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3B3"/>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67AF"/>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AB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6E1"/>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08E"/>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3ADC"/>
    <w:rsid w:val="0072454E"/>
    <w:rsid w:val="007249D1"/>
    <w:rsid w:val="00724FE4"/>
    <w:rsid w:val="007253CE"/>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F5C"/>
    <w:rsid w:val="007C3590"/>
    <w:rsid w:val="007C387A"/>
    <w:rsid w:val="007C3A0D"/>
    <w:rsid w:val="007C3EB0"/>
    <w:rsid w:val="007C4026"/>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220"/>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18A"/>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6D7F"/>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46E6E"/>
    <w:rsid w:val="00850013"/>
    <w:rsid w:val="008500DD"/>
    <w:rsid w:val="00850A0A"/>
    <w:rsid w:val="00850A94"/>
    <w:rsid w:val="00851CEF"/>
    <w:rsid w:val="00851E96"/>
    <w:rsid w:val="00851F1C"/>
    <w:rsid w:val="0085237B"/>
    <w:rsid w:val="00852FA5"/>
    <w:rsid w:val="00853864"/>
    <w:rsid w:val="008539F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77D0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00D"/>
    <w:rsid w:val="00886112"/>
    <w:rsid w:val="008872B3"/>
    <w:rsid w:val="00887392"/>
    <w:rsid w:val="00890A64"/>
    <w:rsid w:val="00890C40"/>
    <w:rsid w:val="0089122E"/>
    <w:rsid w:val="008912A7"/>
    <w:rsid w:val="0089183A"/>
    <w:rsid w:val="008920B4"/>
    <w:rsid w:val="0089234C"/>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023"/>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3FD6"/>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1FBA"/>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6F1"/>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0D5C"/>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4EB8"/>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47BEA"/>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6EC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BE1"/>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6C5A"/>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EBF"/>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E56"/>
    <w:rsid w:val="00B03342"/>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8B5"/>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422"/>
    <w:rsid w:val="00B41938"/>
    <w:rsid w:val="00B41A04"/>
    <w:rsid w:val="00B42743"/>
    <w:rsid w:val="00B430E9"/>
    <w:rsid w:val="00B4311F"/>
    <w:rsid w:val="00B431AE"/>
    <w:rsid w:val="00B44288"/>
    <w:rsid w:val="00B448BF"/>
    <w:rsid w:val="00B45A59"/>
    <w:rsid w:val="00B45F9F"/>
    <w:rsid w:val="00B4627C"/>
    <w:rsid w:val="00B4641F"/>
    <w:rsid w:val="00B46638"/>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1C0F"/>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337"/>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741"/>
    <w:rsid w:val="00BC4828"/>
    <w:rsid w:val="00BC4C40"/>
    <w:rsid w:val="00BC5A29"/>
    <w:rsid w:val="00BC5AE3"/>
    <w:rsid w:val="00BC5BAD"/>
    <w:rsid w:val="00BC692A"/>
    <w:rsid w:val="00BC76C5"/>
    <w:rsid w:val="00BC7F94"/>
    <w:rsid w:val="00BD0E25"/>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2B96"/>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4BA"/>
    <w:rsid w:val="00C405C8"/>
    <w:rsid w:val="00C40C2F"/>
    <w:rsid w:val="00C415AC"/>
    <w:rsid w:val="00C4297A"/>
    <w:rsid w:val="00C42A31"/>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435"/>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0D7"/>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365"/>
    <w:rsid w:val="00CF475F"/>
    <w:rsid w:val="00CF5008"/>
    <w:rsid w:val="00CF5069"/>
    <w:rsid w:val="00CF5E34"/>
    <w:rsid w:val="00CF6707"/>
    <w:rsid w:val="00CF7101"/>
    <w:rsid w:val="00CF7327"/>
    <w:rsid w:val="00CF7385"/>
    <w:rsid w:val="00CF7539"/>
    <w:rsid w:val="00CF75C6"/>
    <w:rsid w:val="00CF7612"/>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A33"/>
    <w:rsid w:val="00D17C26"/>
    <w:rsid w:val="00D17E08"/>
    <w:rsid w:val="00D206F6"/>
    <w:rsid w:val="00D20FD1"/>
    <w:rsid w:val="00D21081"/>
    <w:rsid w:val="00D214D4"/>
    <w:rsid w:val="00D21AAA"/>
    <w:rsid w:val="00D21E6F"/>
    <w:rsid w:val="00D21EAD"/>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403"/>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2D1"/>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1603"/>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2F2"/>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07C5"/>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1936"/>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558"/>
    <w:rsid w:val="00E13D07"/>
    <w:rsid w:val="00E14356"/>
    <w:rsid w:val="00E14618"/>
    <w:rsid w:val="00E14961"/>
    <w:rsid w:val="00E14D76"/>
    <w:rsid w:val="00E15183"/>
    <w:rsid w:val="00E15D6C"/>
    <w:rsid w:val="00E1720B"/>
    <w:rsid w:val="00E203DE"/>
    <w:rsid w:val="00E20CE7"/>
    <w:rsid w:val="00E217B1"/>
    <w:rsid w:val="00E21B10"/>
    <w:rsid w:val="00E222FA"/>
    <w:rsid w:val="00E229CE"/>
    <w:rsid w:val="00E22B4A"/>
    <w:rsid w:val="00E2449B"/>
    <w:rsid w:val="00E24A62"/>
    <w:rsid w:val="00E24F52"/>
    <w:rsid w:val="00E255CC"/>
    <w:rsid w:val="00E25636"/>
    <w:rsid w:val="00E25755"/>
    <w:rsid w:val="00E25F90"/>
    <w:rsid w:val="00E26266"/>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0C3E"/>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BD2"/>
    <w:rsid w:val="00E70C55"/>
    <w:rsid w:val="00E70E34"/>
    <w:rsid w:val="00E71809"/>
    <w:rsid w:val="00E71D1E"/>
    <w:rsid w:val="00E725F7"/>
    <w:rsid w:val="00E726F2"/>
    <w:rsid w:val="00E728E2"/>
    <w:rsid w:val="00E73034"/>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91A"/>
    <w:rsid w:val="00EB7B67"/>
    <w:rsid w:val="00EC07F1"/>
    <w:rsid w:val="00EC09E7"/>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75C"/>
    <w:rsid w:val="00EC7894"/>
    <w:rsid w:val="00EC7A28"/>
    <w:rsid w:val="00EC7B48"/>
    <w:rsid w:val="00ED0151"/>
    <w:rsid w:val="00ED0257"/>
    <w:rsid w:val="00ED071B"/>
    <w:rsid w:val="00ED18B1"/>
    <w:rsid w:val="00ED1ADE"/>
    <w:rsid w:val="00ED3187"/>
    <w:rsid w:val="00ED3692"/>
    <w:rsid w:val="00ED44BD"/>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391B"/>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00"/>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0A3"/>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718"/>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3B10"/>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2C18"/>
    <w:rsid w:val="00F74103"/>
    <w:rsid w:val="00F7410A"/>
    <w:rsid w:val="00F745A4"/>
    <w:rsid w:val="00F74C0C"/>
    <w:rsid w:val="00F758E1"/>
    <w:rsid w:val="00F75BB5"/>
    <w:rsid w:val="00F75FD5"/>
    <w:rsid w:val="00F7604C"/>
    <w:rsid w:val="00F76D4E"/>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87EA4"/>
    <w:rsid w:val="00F90C1F"/>
    <w:rsid w:val="00F912D9"/>
    <w:rsid w:val="00F91A44"/>
    <w:rsid w:val="00F91BFA"/>
    <w:rsid w:val="00F91F8F"/>
    <w:rsid w:val="00F9217B"/>
    <w:rsid w:val="00F92918"/>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2B62"/>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6D24"/>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6A845BA"/>
    <w:rsid w:val="07013F3A"/>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7D09ED"/>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DC341D"/>
    <w:rsid w:val="141008D8"/>
    <w:rsid w:val="14125FE6"/>
    <w:rsid w:val="146D271E"/>
    <w:rsid w:val="14982588"/>
    <w:rsid w:val="149A5AD9"/>
    <w:rsid w:val="14A7619D"/>
    <w:rsid w:val="150536C3"/>
    <w:rsid w:val="150C1963"/>
    <w:rsid w:val="151447A0"/>
    <w:rsid w:val="154A6454"/>
    <w:rsid w:val="15762120"/>
    <w:rsid w:val="15AC242F"/>
    <w:rsid w:val="16A8729C"/>
    <w:rsid w:val="16B33777"/>
    <w:rsid w:val="16BC70A7"/>
    <w:rsid w:val="16C6339E"/>
    <w:rsid w:val="172F2D79"/>
    <w:rsid w:val="17557BEF"/>
    <w:rsid w:val="17D349C1"/>
    <w:rsid w:val="1830729E"/>
    <w:rsid w:val="183E4C75"/>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293D11"/>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F64816"/>
    <w:rsid w:val="258B00E2"/>
    <w:rsid w:val="25A917A6"/>
    <w:rsid w:val="25BE27CC"/>
    <w:rsid w:val="25E006E5"/>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EB287E"/>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1210B4"/>
    <w:rsid w:val="2F946CCB"/>
    <w:rsid w:val="2FD25781"/>
    <w:rsid w:val="2FDC745C"/>
    <w:rsid w:val="2FFD7934"/>
    <w:rsid w:val="30733ACD"/>
    <w:rsid w:val="308C3862"/>
    <w:rsid w:val="309379D8"/>
    <w:rsid w:val="30A270F7"/>
    <w:rsid w:val="30DF1478"/>
    <w:rsid w:val="30EC586F"/>
    <w:rsid w:val="314550B7"/>
    <w:rsid w:val="318B4309"/>
    <w:rsid w:val="319C6071"/>
    <w:rsid w:val="31AC537E"/>
    <w:rsid w:val="31E3679B"/>
    <w:rsid w:val="31E732FD"/>
    <w:rsid w:val="32517576"/>
    <w:rsid w:val="32B31CDC"/>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8EE2B03"/>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6604D0"/>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0712BA"/>
    <w:rsid w:val="4A16615C"/>
    <w:rsid w:val="4A4424D7"/>
    <w:rsid w:val="4A524540"/>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0A41BB"/>
    <w:rsid w:val="4E793892"/>
    <w:rsid w:val="4E800872"/>
    <w:rsid w:val="4EC569ED"/>
    <w:rsid w:val="4ED50EA1"/>
    <w:rsid w:val="4EEC050C"/>
    <w:rsid w:val="4F104EC3"/>
    <w:rsid w:val="4F47354A"/>
    <w:rsid w:val="4F911C54"/>
    <w:rsid w:val="4FE625E0"/>
    <w:rsid w:val="5021480F"/>
    <w:rsid w:val="50852918"/>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994F49"/>
    <w:rsid w:val="5DAD38EE"/>
    <w:rsid w:val="5DD6277E"/>
    <w:rsid w:val="5E006862"/>
    <w:rsid w:val="5E0207B9"/>
    <w:rsid w:val="5E026CC4"/>
    <w:rsid w:val="5E1834A1"/>
    <w:rsid w:val="5E261785"/>
    <w:rsid w:val="5E4A7017"/>
    <w:rsid w:val="5E552BBA"/>
    <w:rsid w:val="5E611C10"/>
    <w:rsid w:val="5E7A0F3F"/>
    <w:rsid w:val="5ECE5BB5"/>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A5E67"/>
    <w:rsid w:val="69FD55B8"/>
    <w:rsid w:val="6A0B1C62"/>
    <w:rsid w:val="6A2406C8"/>
    <w:rsid w:val="6ADE0BD1"/>
    <w:rsid w:val="6AE96859"/>
    <w:rsid w:val="6B147746"/>
    <w:rsid w:val="6B24787C"/>
    <w:rsid w:val="6B573233"/>
    <w:rsid w:val="6B5B6274"/>
    <w:rsid w:val="6B935D53"/>
    <w:rsid w:val="6C196F71"/>
    <w:rsid w:val="6C226FCB"/>
    <w:rsid w:val="6C31226F"/>
    <w:rsid w:val="6C433CB1"/>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3B6F45"/>
    <w:rsid w:val="765D347C"/>
    <w:rsid w:val="76826699"/>
    <w:rsid w:val="76C87133"/>
    <w:rsid w:val="76CD08D5"/>
    <w:rsid w:val="76DB4B92"/>
    <w:rsid w:val="76FD013A"/>
    <w:rsid w:val="77052AA4"/>
    <w:rsid w:val="77136511"/>
    <w:rsid w:val="77340A39"/>
    <w:rsid w:val="77351FD0"/>
    <w:rsid w:val="77472422"/>
    <w:rsid w:val="777F31F2"/>
    <w:rsid w:val="77D1700D"/>
    <w:rsid w:val="77EC04CC"/>
    <w:rsid w:val="78194988"/>
    <w:rsid w:val="78775729"/>
    <w:rsid w:val="78A42DB0"/>
    <w:rsid w:val="78A656AB"/>
    <w:rsid w:val="78B2245C"/>
    <w:rsid w:val="78E172CC"/>
    <w:rsid w:val="78EA1D1F"/>
    <w:rsid w:val="7904172F"/>
    <w:rsid w:val="790F7E27"/>
    <w:rsid w:val="792A231A"/>
    <w:rsid w:val="79316829"/>
    <w:rsid w:val="79546C70"/>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6966D8"/>
    <w:rsid w:val="7B7468F8"/>
    <w:rsid w:val="7BEE0103"/>
    <w:rsid w:val="7C0A0FE4"/>
    <w:rsid w:val="7C254906"/>
    <w:rsid w:val="7C590818"/>
    <w:rsid w:val="7C7C10F6"/>
    <w:rsid w:val="7C853BEA"/>
    <w:rsid w:val="7C881368"/>
    <w:rsid w:val="7CE27788"/>
    <w:rsid w:val="7D0C32F1"/>
    <w:rsid w:val="7D0F408D"/>
    <w:rsid w:val="7D43322A"/>
    <w:rsid w:val="7D491C6C"/>
    <w:rsid w:val="7D5429C0"/>
    <w:rsid w:val="7D6E6D43"/>
    <w:rsid w:val="7DB57A34"/>
    <w:rsid w:val="7DE60973"/>
    <w:rsid w:val="7DEF0916"/>
    <w:rsid w:val="7E1E5218"/>
    <w:rsid w:val="7E9A4E1F"/>
    <w:rsid w:val="7EA7723A"/>
    <w:rsid w:val="7EE674B0"/>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96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2"/>
    <w:qFormat/>
    <w:uiPriority w:val="0"/>
    <w:pPr>
      <w:spacing w:line="480" w:lineRule="exact"/>
      <w:ind w:firstLine="480" w:firstLineChars="200"/>
    </w:pPr>
    <w:rPr>
      <w:rFonts w:ascii="宋体" w:hAnsi="宋体"/>
      <w:sz w:val="24"/>
    </w:rPr>
  </w:style>
  <w:style w:type="paragraph" w:styleId="6">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0"/>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4"/>
    <w:link w:val="318"/>
    <w:qFormat/>
    <w:uiPriority w:val="0"/>
    <w:pPr>
      <w:ind w:firstLine="420"/>
    </w:pPr>
    <w:rPr>
      <w:rFonts w:hAnsi="Calibri" w:cs="Times New Roman"/>
      <w:snapToGrid/>
      <w:szCs w:val="20"/>
    </w:rPr>
  </w:style>
  <w:style w:type="paragraph" w:styleId="61">
    <w:name w:val="Body Text First Indent 2"/>
    <w:basedOn w:val="2"/>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0"/>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0"/>
    <w:qFormat/>
    <w:uiPriority w:val="0"/>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1"/>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未处理的提及2"/>
    <w:basedOn w:val="69"/>
    <w:semiHidden/>
    <w:unhideWhenUsed/>
    <w:qFormat/>
    <w:uiPriority w:val="99"/>
    <w:rPr>
      <w:color w:val="605E5C"/>
      <w:shd w:val="clear" w:color="auto" w:fill="E1DFDD"/>
    </w:rPr>
  </w:style>
  <w:style w:type="paragraph" w:customStyle="1" w:styleId="963">
    <w:name w:val="jd-正文1"/>
    <w:basedOn w:val="1"/>
    <w:qFormat/>
    <w:uiPriority w:val="0"/>
    <w:pPr>
      <w:widowControl/>
      <w:adjustRightInd/>
      <w:spacing w:line="360" w:lineRule="auto"/>
      <w:ind w:firstLine="482" w:firstLineChars="200"/>
    </w:pPr>
    <w:rPr>
      <w:rFonts w:ascii="宋体" w:hAnsi="宋体" w:cs="宋体"/>
      <w:sz w:val="24"/>
      <w:szCs w:val="20"/>
    </w:rPr>
  </w:style>
  <w:style w:type="character" w:customStyle="1" w:styleId="964">
    <w:name w:val="标题 2 字符1"/>
    <w:link w:val="4"/>
    <w:qFormat/>
    <w:uiPriority w:val="0"/>
    <w:rPr>
      <w:rFonts w:ascii="仿宋_GB2312" w:hAnsi="仿宋" w:eastAsia="仿宋_GB2312"/>
      <w:b/>
      <w:bCs/>
      <w:kern w:val="2"/>
      <w:sz w:val="32"/>
      <w:szCs w:val="32"/>
      <w:lang w:val="zh-CN"/>
    </w:rPr>
  </w:style>
  <w:style w:type="paragraph" w:customStyle="1" w:styleId="965">
    <w:name w:val="_正文"/>
    <w:basedOn w:val="1"/>
    <w:link w:val="966"/>
    <w:qFormat/>
    <w:uiPriority w:val="0"/>
    <w:pPr>
      <w:tabs>
        <w:tab w:val="left" w:pos="840"/>
      </w:tabs>
      <w:adjustRightInd/>
      <w:spacing w:line="360" w:lineRule="auto"/>
      <w:ind w:firstLine="200" w:firstLineChars="200"/>
    </w:pPr>
    <w:rPr>
      <w:sz w:val="24"/>
    </w:rPr>
  </w:style>
  <w:style w:type="character" w:customStyle="1" w:styleId="966">
    <w:name w:val="_正文 Char"/>
    <w:link w:val="965"/>
    <w:qFormat/>
    <w:uiPriority w:val="0"/>
    <w:rPr>
      <w:kern w:val="2"/>
      <w:sz w:val="24"/>
      <w:szCs w:val="24"/>
    </w:rPr>
  </w:style>
  <w:style w:type="paragraph" w:customStyle="1" w:styleId="967">
    <w:name w:val="正文（上会）"/>
    <w:basedOn w:val="1"/>
    <w:link w:val="968"/>
    <w:qFormat/>
    <w:uiPriority w:val="0"/>
    <w:pPr>
      <w:adjustRightInd/>
      <w:spacing w:line="336" w:lineRule="auto"/>
      <w:ind w:firstLine="200" w:firstLineChars="200"/>
    </w:pPr>
    <w:rPr>
      <w:rFonts w:ascii="仿宋_GB2312" w:hAnsi="仿宋_GB2312" w:eastAsia="仿宋_GB2312" w:cs="仿宋_GB2312"/>
      <w:sz w:val="32"/>
      <w:szCs w:val="32"/>
    </w:rPr>
  </w:style>
  <w:style w:type="character" w:customStyle="1" w:styleId="968">
    <w:name w:val="正文（上会） 字符"/>
    <w:link w:val="967"/>
    <w:qFormat/>
    <w:uiPriority w:val="0"/>
    <w:rPr>
      <w:rFonts w:ascii="仿宋_GB2312" w:hAnsi="仿宋_GB2312" w:eastAsia="仿宋_GB2312" w:cs="仿宋_GB2312"/>
      <w:kern w:val="2"/>
      <w:sz w:val="32"/>
      <w:szCs w:val="32"/>
    </w:rPr>
  </w:style>
  <w:style w:type="paragraph" w:customStyle="1" w:styleId="969">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970">
    <w:name w:val="未处理的提及3"/>
    <w:basedOn w:val="6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91</Pages>
  <Words>45444</Words>
  <Characters>48208</Characters>
  <Lines>398</Lines>
  <Paragraphs>112</Paragraphs>
  <TotalTime>20</TotalTime>
  <ScaleCrop>false</ScaleCrop>
  <LinksUpToDate>false</LinksUpToDate>
  <CharactersWithSpaces>53743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19150</cp:lastModifiedBy>
  <cp:lastPrinted>2023-03-10T09:43:00Z</cp:lastPrinted>
  <dcterms:modified xsi:type="dcterms:W3CDTF">2024-06-06T11:59:31Z</dcterms:modified>
  <dc:title>杭州市市民卡扩大发卡工程</dc:title>
  <cp:revision>374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0CC8D6A19E8E444CA0C4162814D7E36D_13</vt:lpwstr>
  </property>
</Properties>
</file>