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2024年钱塘区农村生活污水治理运维单位招标</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QTCG-GK-2024-107</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napToGrid w:val="0"/>
        <w:spacing w:line="360" w:lineRule="auto"/>
        <w:jc w:val="center"/>
        <w:rPr>
          <w:rFonts w:hint="eastAsia" w:ascii="宋体" w:hAnsi="宋体" w:eastAsia="宋体" w:cs="宋体"/>
          <w:bCs/>
          <w:sz w:val="32"/>
          <w:szCs w:val="32"/>
        </w:rPr>
      </w:pPr>
    </w:p>
    <w:p>
      <w:pPr>
        <w:spacing w:line="360" w:lineRule="auto"/>
        <w:jc w:val="center"/>
        <w:rPr>
          <w:rFonts w:hint="eastAsia" w:ascii="宋体" w:hAnsi="宋体" w:cs="宋体"/>
          <w:bCs/>
          <w:sz w:val="32"/>
          <w:szCs w:val="32"/>
          <w:highlight w:val="none"/>
        </w:rPr>
      </w:pPr>
      <w:r>
        <w:rPr>
          <w:rFonts w:hint="eastAsia" w:ascii="宋体" w:hAnsi="宋体" w:eastAsia="宋体" w:cs="宋体"/>
          <w:b w:val="0"/>
          <w:bCs/>
          <w:sz w:val="32"/>
          <w:szCs w:val="32"/>
        </w:rPr>
        <w:t>杭州</w:t>
      </w:r>
      <w:r>
        <w:rPr>
          <w:rFonts w:hint="eastAsia" w:ascii="宋体" w:hAnsi="宋体" w:eastAsia="宋体" w:cs="宋体"/>
          <w:b w:val="0"/>
          <w:bCs/>
          <w:sz w:val="32"/>
          <w:szCs w:val="32"/>
          <w:highlight w:val="none"/>
        </w:rPr>
        <w:t>市钱塘区住房和城乡建设局</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浙江建友工程咨询有限公司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highlight w:val="none"/>
        </w:rPr>
        <w:br w:type="page"/>
      </w:r>
    </w:p>
    <w:p>
      <w:pPr>
        <w:pStyle w:val="638"/>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r>
        <w:rPr>
          <w:rFonts w:hint="eastAsia" w:ascii="宋体" w:hAnsi="宋体" w:cs="宋体"/>
          <w:b/>
          <w:sz w:val="36"/>
          <w:szCs w:val="36"/>
        </w:rPr>
        <w:br w:type="page"/>
      </w: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2024年钱塘区农村生活污水治理运维单位招标</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8"/>
          <w:rFonts w:hint="eastAsia" w:ascii="宋体" w:hAnsi="宋体" w:eastAsia="宋体" w:cs="宋体"/>
          <w:snapToGrid/>
          <w:kern w:val="2"/>
          <w:sz w:val="24"/>
          <w:szCs w:val="24"/>
          <w:highlight w:val="none"/>
        </w:rPr>
        <w:t>https://www.zcygov.cn/）获取（下载）招标文件，并于202</w:t>
      </w:r>
      <w:r>
        <w:rPr>
          <w:rStyle w:val="78"/>
          <w:rFonts w:hint="eastAsia" w:ascii="宋体" w:hAnsi="宋体" w:cs="宋体"/>
          <w:snapToGrid/>
          <w:kern w:val="2"/>
          <w:sz w:val="24"/>
          <w:szCs w:val="24"/>
          <w:highlight w:val="none"/>
          <w:lang w:val="en-US" w:eastAsia="zh-CN"/>
        </w:rPr>
        <w:t>4</w:t>
      </w:r>
      <w:r>
        <w:rPr>
          <w:rStyle w:val="78"/>
          <w:rFonts w:hint="eastAsia" w:ascii="宋体" w:hAnsi="宋体" w:eastAsia="宋体" w:cs="宋体"/>
          <w:snapToGrid/>
          <w:kern w:val="2"/>
          <w:sz w:val="24"/>
          <w:szCs w:val="24"/>
          <w:highlight w:val="none"/>
        </w:rPr>
        <w:t>年</w:t>
      </w:r>
      <w:r>
        <w:rPr>
          <w:rStyle w:val="78"/>
          <w:rFonts w:hint="eastAsia" w:ascii="宋体" w:hAnsi="宋体" w:cs="宋体"/>
          <w:snapToGrid/>
          <w:kern w:val="2"/>
          <w:sz w:val="24"/>
          <w:szCs w:val="24"/>
          <w:highlight w:val="none"/>
          <w:lang w:val="en-US" w:eastAsia="zh-CN"/>
        </w:rPr>
        <w:t>6</w:t>
      </w:r>
      <w:r>
        <w:rPr>
          <w:rStyle w:val="78"/>
          <w:rFonts w:hint="eastAsia" w:ascii="宋体" w:hAnsi="宋体" w:eastAsia="宋体" w:cs="宋体"/>
          <w:snapToGrid/>
          <w:kern w:val="2"/>
          <w:sz w:val="24"/>
          <w:szCs w:val="24"/>
          <w:highlight w:val="none"/>
        </w:rPr>
        <w:t>月</w:t>
      </w:r>
      <w:r>
        <w:rPr>
          <w:rStyle w:val="78"/>
          <w:rFonts w:hint="eastAsia" w:ascii="宋体" w:hAnsi="宋体" w:cs="宋体"/>
          <w:snapToGrid/>
          <w:kern w:val="2"/>
          <w:sz w:val="24"/>
          <w:szCs w:val="24"/>
          <w:highlight w:val="none"/>
          <w:lang w:val="en-US" w:eastAsia="zh-CN"/>
        </w:rPr>
        <w:t>24</w:t>
      </w:r>
      <w:r>
        <w:rPr>
          <w:rStyle w:val="78"/>
          <w:rFonts w:hint="eastAsia" w:ascii="宋体" w:hAnsi="宋体" w:eastAsia="宋体" w:cs="宋体"/>
          <w:snapToGrid/>
          <w:kern w:val="2"/>
          <w:sz w:val="24"/>
          <w:szCs w:val="24"/>
          <w:highlight w:val="none"/>
        </w:rPr>
        <w:t>日</w:t>
      </w:r>
      <w:r>
        <w:rPr>
          <w:rStyle w:val="78"/>
          <w:rFonts w:hint="eastAsia" w:ascii="宋体" w:hAnsi="宋体" w:cs="宋体"/>
          <w:snapToGrid/>
          <w:kern w:val="2"/>
          <w:sz w:val="24"/>
          <w:szCs w:val="24"/>
          <w:highlight w:val="none"/>
          <w:lang w:val="en-US" w:eastAsia="zh-CN"/>
        </w:rPr>
        <w:t>9</w:t>
      </w:r>
      <w:r>
        <w:rPr>
          <w:rStyle w:val="78"/>
          <w:rFonts w:hint="eastAsia" w:ascii="宋体" w:hAnsi="宋体" w:eastAsia="宋体" w:cs="宋体"/>
          <w:snapToGrid/>
          <w:kern w:val="2"/>
          <w:sz w:val="24"/>
          <w:szCs w:val="24"/>
          <w:highlight w:val="none"/>
        </w:rPr>
        <w:t>点</w:t>
      </w:r>
      <w:r>
        <w:rPr>
          <w:rStyle w:val="78"/>
          <w:rFonts w:hint="eastAsia" w:ascii="宋体" w:hAnsi="宋体" w:cs="宋体"/>
          <w:snapToGrid/>
          <w:kern w:val="2"/>
          <w:sz w:val="24"/>
          <w:szCs w:val="24"/>
          <w:highlight w:val="none"/>
          <w:lang w:val="en-US" w:eastAsia="zh-CN"/>
        </w:rPr>
        <w:t>30</w:t>
      </w:r>
      <w:r>
        <w:rPr>
          <w:rStyle w:val="78"/>
          <w:rFonts w:hint="eastAsia" w:ascii="宋体" w:hAnsi="宋体" w:eastAsia="宋体" w:cs="宋体"/>
          <w:snapToGrid/>
          <w:kern w:val="2"/>
          <w:sz w:val="24"/>
          <w:szCs w:val="24"/>
          <w:highlight w:val="none"/>
        </w:rPr>
        <w:t>分</w:t>
      </w:r>
      <w:r>
        <w:rPr>
          <w:rStyle w:val="78"/>
          <w:rFonts w:hint="eastAsia" w:ascii="宋体" w:hAnsi="宋体" w:eastAsia="宋体" w:cs="宋体"/>
          <w:bCs/>
          <w:snapToGrid/>
          <w:kern w:val="2"/>
          <w:sz w:val="24"/>
          <w:szCs w:val="24"/>
          <w:highlight w:val="none"/>
        </w:rPr>
        <w:t>00秒</w:t>
      </w:r>
      <w:r>
        <w:rPr>
          <w:rStyle w:val="78"/>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bookmarkStart w:id="0" w:name="第二部分"/>
      <w:bookmarkStart w:id="1" w:name="_Toc91899870"/>
      <w:bookmarkStart w:id="2" w:name="_Toc91899871"/>
      <w:r>
        <w:rPr>
          <w:rFonts w:hint="eastAsia" w:ascii="宋体" w:hAnsi="宋体" w:cs="宋体"/>
          <w:b/>
          <w:sz w:val="24"/>
          <w:highlight w:val="none"/>
        </w:rPr>
        <w:t xml:space="preserve">一、项目基本情况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val="en-US" w:eastAsia="zh-CN"/>
        </w:rPr>
        <w:t>QTCG-GK-2024-107</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u w:val="single"/>
          <w:lang w:eastAsia="zh-CN"/>
        </w:rPr>
        <w:t>2024年钱塘区农村生活污水治理运维单位招标</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6300500</w:t>
      </w:r>
      <w:r>
        <w:rPr>
          <w:rFonts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 xml:space="preserve">6300500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sz w:val="24"/>
          <w:highlight w:val="none"/>
          <w:u w:val="single"/>
          <w:lang w:eastAsia="zh-CN"/>
        </w:rPr>
        <w:t>2024年钱塘区农村生活污水治理运维单位招标</w:t>
      </w:r>
      <w:r>
        <w:rPr>
          <w:rFonts w:hint="eastAsia" w:hAnsi="宋体" w:cs="宋体"/>
          <w:bCs/>
          <w:snapToGrid/>
          <w:color w:val="auto"/>
          <w:kern w:val="2"/>
          <w:sz w:val="24"/>
          <w:szCs w:val="24"/>
          <w:highlight w:val="none"/>
        </w:rPr>
        <w:t>主要内容：</w:t>
      </w:r>
      <w:r>
        <w:rPr>
          <w:rFonts w:hint="eastAsia" w:hAnsi="宋体" w:cs="宋体"/>
          <w:sz w:val="24"/>
          <w:highlight w:val="none"/>
          <w:u w:val="single"/>
          <w:lang w:eastAsia="zh-CN"/>
        </w:rPr>
        <w:t>2024年钱塘区农村生活污水治理运维单位招标</w:t>
      </w:r>
      <w:r>
        <w:rPr>
          <w:rFonts w:hint="eastAsia" w:hAnsi="宋体" w:cs="宋体"/>
          <w:bCs/>
          <w:snapToGrid/>
          <w:color w:val="0000FF"/>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2"/>
        <w:ind w:firstLine="482"/>
        <w:outlineLvl w:val="9"/>
        <w:rPr>
          <w:rFonts w:ascii="宋体" w:hAnsi="宋体" w:cs="宋体"/>
          <w:highlight w:val="none"/>
        </w:rPr>
      </w:pPr>
      <w:r>
        <w:rPr>
          <w:rFonts w:hint="eastAsia" w:ascii="宋体" w:hAnsi="宋体" w:cs="宋体"/>
          <w:b/>
          <w:highlight w:val="none"/>
        </w:rPr>
        <w:t>合同履约期限：</w:t>
      </w:r>
      <w:r>
        <w:rPr>
          <w:rFonts w:hint="eastAsia" w:ascii="宋体" w:hAnsi="宋体" w:cs="宋体"/>
          <w:b/>
          <w:highlight w:val="none"/>
          <w:lang w:val="en-US" w:eastAsia="zh-CN"/>
        </w:rPr>
        <w:t>12</w:t>
      </w:r>
      <w:r>
        <w:rPr>
          <w:rFonts w:hint="eastAsia" w:ascii="宋体" w:hAnsi="宋体" w:cs="宋体"/>
          <w:b/>
          <w:highlight w:val="none"/>
        </w:rPr>
        <w:t>个月</w:t>
      </w:r>
      <w:r>
        <w:rPr>
          <w:rFonts w:ascii="宋体" w:hAnsi="宋体" w:cs="宋体"/>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w:t>
      </w:r>
      <w:r>
        <w:rPr>
          <w:rFonts w:hint="eastAsia" w:ascii="宋体" w:hAnsi="宋体" w:cs="宋体"/>
          <w:snapToGrid w:val="0"/>
          <w:color w:val="auto"/>
          <w:kern w:val="28"/>
          <w:sz w:val="24"/>
          <w:szCs w:val="20"/>
          <w:highlight w:val="none"/>
        </w:rPr>
        <w:t>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杭州市钱塘区住房和城乡建设局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址：杭州市钱塘区青六北路499号钱塘中心4号楼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郑都</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89535593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吴</w:t>
      </w:r>
      <w:r>
        <w:rPr>
          <w:rFonts w:hint="eastAsia" w:ascii="宋体" w:hAnsi="宋体" w:eastAsia="宋体" w:cs="宋体"/>
          <w:color w:val="auto"/>
          <w:sz w:val="24"/>
          <w:highlight w:val="none"/>
          <w:lang w:val="en-US" w:eastAsia="zh-CN"/>
        </w:rPr>
        <w:t xml:space="preserve">  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仿宋_GB2312" w:hAnsi="仿宋" w:eastAsia="仿宋_GB2312"/>
          <w:color w:val="auto"/>
          <w:sz w:val="24"/>
          <w:highlight w:val="none"/>
        </w:rPr>
        <w:t>0571-</w:t>
      </w:r>
      <w:r>
        <w:rPr>
          <w:rFonts w:hint="eastAsia" w:ascii="仿宋_GB2312" w:hAnsi="仿宋" w:eastAsia="仿宋_GB2312"/>
          <w:color w:val="auto"/>
          <w:sz w:val="24"/>
          <w:highlight w:val="none"/>
          <w:lang w:val="en-US" w:eastAsia="zh-CN"/>
        </w:rPr>
        <w:t>89535592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浙江建友工程咨询有限公司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杭州市西湖区振华路西港发展中心7幢7楼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0571-56075170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eastAsia="宋体" w:cs="宋体"/>
          <w:color w:val="auto"/>
          <w:sz w:val="24"/>
          <w:highlight w:val="none"/>
          <w:lang w:val="en-US" w:eastAsia="zh-CN"/>
        </w:rPr>
        <w:t>舒</w:t>
      </w:r>
      <w:r>
        <w:rPr>
          <w:rFonts w:hint="eastAsia" w:ascii="宋体" w:hAnsi="宋体" w:eastAsia="宋体" w:cs="宋体"/>
          <w:color w:val="auto"/>
          <w:sz w:val="24"/>
          <w:highlight w:val="none"/>
        </w:rPr>
        <w:t xml:space="preserve">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18368830042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董工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0571-56075179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 杭州市钱塘区财政局、浙江省政府采购行政裁决服务中心(杭州)</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址：杭州市上城区四季青街道新业路市民之家G03办公室 (快递仅限ems或顺</w:t>
      </w:r>
      <w:r>
        <w:rPr>
          <w:rFonts w:hint="eastAsia" w:ascii="宋体" w:hAnsi="宋体" w:cs="宋体"/>
          <w:color w:val="auto"/>
          <w:sz w:val="24"/>
          <w:highlight w:val="none"/>
          <w:lang w:eastAsia="zh-CN"/>
        </w:rPr>
        <w:t>丰）</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0"/>
      <w:r>
        <w:rPr>
          <w:rFonts w:hint="eastAsia" w:ascii="宋体" w:hAnsi="宋体" w:cs="宋体"/>
          <w:b/>
          <w:color w:val="auto"/>
          <w:sz w:val="36"/>
          <w:szCs w:val="20"/>
          <w:highlight w:val="none"/>
        </w:rPr>
        <w:t xml:space="preserve"> 投标人须知</w:t>
      </w:r>
      <w:bookmarkEnd w:id="1"/>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rPr>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sz w:val="24"/>
                <w:highlight w:val="none"/>
                <w:u w:val="single"/>
                <w:lang w:eastAsia="zh-CN"/>
              </w:rPr>
              <w:t>2024年钱塘区农村生活污水治理运维单位招标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kern w:val="0"/>
                <w:sz w:val="24"/>
                <w:u w:val="single"/>
              </w:rPr>
              <w:t>其他未列明</w:t>
            </w:r>
            <w:r>
              <w:rPr>
                <w:rFonts w:hint="eastAsia" w:ascii="宋体" w:hAnsi="宋体" w:cs="宋体"/>
                <w:color w:val="auto"/>
                <w:kern w:val="0"/>
                <w:sz w:val="24"/>
                <w:highlight w:val="none"/>
              </w:rPr>
              <w:t>行业；</w:t>
            </w:r>
          </w:p>
          <w:p>
            <w:pPr>
              <w:numPr>
                <w:ilvl w:val="0"/>
                <w:numId w:val="0"/>
              </w:numPr>
              <w:snapToGrid w:val="0"/>
              <w:rPr>
                <w:lang w:val="en-US"/>
              </w:rPr>
            </w:pPr>
            <w:r>
              <w:rPr>
                <w:rFonts w:hint="eastAsia" w:ascii="宋体" w:hAnsi="宋体" w:cs="宋体"/>
                <w:kern w:val="0"/>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924730588"/>
                <w:showingPlcHdr/>
              </w:sdtPr>
              <w:sdtEndPr>
                <w:rPr>
                  <w:rFonts w:hint="eastAsia" w:ascii="宋体" w:hAnsi="宋体" w:eastAsia="宋体" w:cs="宋体"/>
                  <w:color w:val="auto"/>
                  <w:kern w:val="0"/>
                  <w:sz w:val="24"/>
                  <w:szCs w:val="24"/>
                  <w:highlight w:val="none"/>
                </w:rPr>
              </w:sdtEndP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cs="宋体"/>
                <w:color w:val="auto"/>
                <w:sz w:val="24"/>
                <w:szCs w:val="24"/>
                <w:highlight w:val="none"/>
                <w:u w:val="single"/>
                <w:lang w:val="en-US" w:eastAsia="zh-CN"/>
              </w:rPr>
              <w:t>劳务</w:t>
            </w:r>
            <w:r>
              <w:rPr>
                <w:rFonts w:hint="eastAsia" w:ascii="宋体" w:hAnsi="宋体" w:eastAsia="宋体" w:cs="宋体"/>
                <w:color w:val="auto"/>
                <w:sz w:val="24"/>
                <w:szCs w:val="24"/>
                <w:highlight w:val="none"/>
              </w:rPr>
              <w:t>工作分包。</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924730588"/>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同意</w:t>
            </w:r>
            <w:r>
              <w:rPr>
                <w:rFonts w:hint="eastAsia" w:ascii="宋体" w:hAnsi="宋体" w:cs="宋体"/>
                <w:color w:val="auto"/>
                <w:sz w:val="24"/>
                <w:szCs w:val="24"/>
                <w:highlight w:val="none"/>
                <w:lang w:eastAsia="zh-CN"/>
              </w:rPr>
              <w:t>大型企业向小微企业、</w:t>
            </w:r>
            <w:r>
              <w:rPr>
                <w:rFonts w:hint="eastAsia" w:ascii="宋体" w:hAnsi="宋体" w:eastAsia="宋体" w:cs="宋体"/>
                <w:color w:val="auto"/>
                <w:sz w:val="24"/>
                <w:szCs w:val="24"/>
                <w:highlight w:val="none"/>
                <w:lang w:val="en-US" w:eastAsia="zh-CN"/>
              </w:rPr>
              <w:t>中型企业向小微企业、小微企业向小微企业合理分包</w:t>
            </w:r>
            <w:r>
              <w:rPr>
                <w:rFonts w:hint="eastAsia" w:ascii="宋体" w:hAnsi="宋体" w:eastAsia="宋体" w:cs="宋体"/>
                <w:color w:val="auto"/>
                <w:sz w:val="24"/>
                <w:szCs w:val="24"/>
                <w:highlight w:val="none"/>
              </w:rPr>
              <w:t>。</w:t>
            </w:r>
          </w:p>
          <w:p>
            <w:pPr>
              <w:spacing w:line="360" w:lineRule="auto"/>
              <w:rPr>
                <w:rFonts w:ascii="宋体" w:hAnsi="宋体" w:cs="宋体"/>
                <w:color w:val="auto"/>
                <w:sz w:val="24"/>
                <w:highlight w:val="none"/>
              </w:rPr>
            </w:pPr>
            <w:sdt>
              <w:sdtPr>
                <w:rPr>
                  <w:rFonts w:hint="eastAsia" w:ascii="宋体" w:hAnsi="宋体" w:eastAsia="宋体" w:cs="宋体"/>
                  <w:color w:val="auto"/>
                  <w:kern w:val="0"/>
                  <w:sz w:val="24"/>
                  <w:szCs w:val="24"/>
                  <w:highlight w:val="none"/>
                </w:rPr>
                <w:id w:val="-1276331357"/>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szCs w:val="24"/>
                      <w:highlight w:val="none"/>
                    </w:rPr>
                    <w:id w:val="-924730588"/>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本项目采购节能产品、环境标志产品要求：</w:t>
            </w:r>
          </w:p>
          <w:p>
            <w:pPr>
              <w:pStyle w:val="62"/>
              <w:rPr>
                <w:color w:val="auto"/>
                <w:highlight w:val="none"/>
              </w:rPr>
            </w:pPr>
            <w:sdt>
              <w:sdtPr>
                <w:rPr>
                  <w:rFonts w:hint="eastAsia" w:ascii="宋体" w:hAnsi="宋体" w:eastAsia="宋体" w:cs="宋体"/>
                  <w:color w:val="auto"/>
                  <w:kern w:val="0"/>
                  <w:sz w:val="24"/>
                  <w:szCs w:val="24"/>
                  <w:highlight w:val="none"/>
                </w:rPr>
                <w:id w:val="11872786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784272173"/>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34047500"/>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备份投标文件送达地点：杭州市西湖区振华路西港发展中心7幢7楼；备份投标文件签收人员联系电话：舒工，</w:t>
            </w:r>
            <w:r>
              <w:rPr>
                <w:rFonts w:hint="eastAsia" w:ascii="宋体" w:hAnsi="宋体" w:eastAsia="宋体" w:cs="宋体"/>
                <w:color w:val="auto"/>
                <w:kern w:val="28"/>
                <w:sz w:val="24"/>
                <w:szCs w:val="24"/>
                <w:highlight w:val="none"/>
              </w:rPr>
              <w:t>18368830042。</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仿宋" w:cs="宋体"/>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1、代理费用由中标人支付。</w:t>
            </w:r>
          </w:p>
          <w:p>
            <w:pPr>
              <w:spacing w:line="360" w:lineRule="auto"/>
              <w:ind w:firstLine="480" w:firstLineChars="200"/>
              <w:rPr>
                <w:rFonts w:hint="eastAsia" w:hAnsi="宋体" w:cs="宋体"/>
                <w:color w:val="auto"/>
                <w:kern w:val="28"/>
                <w:sz w:val="24"/>
                <w:szCs w:val="24"/>
                <w:highlight w:val="none"/>
              </w:rPr>
            </w:pPr>
            <w:r>
              <w:rPr>
                <w:rFonts w:hint="eastAsia" w:ascii="宋体" w:hAnsi="宋体" w:eastAsia="宋体" w:cs="宋体"/>
                <w:snapToGrid w:val="0"/>
                <w:color w:val="auto"/>
                <w:kern w:val="28"/>
                <w:sz w:val="24"/>
                <w:highlight w:val="none"/>
              </w:rPr>
              <w:t>2、收费标准：代理费收费标准参照《招标代理服务收费管理暂行办法》（计价格[2002]1980号）收费标准的</w:t>
            </w:r>
            <w:r>
              <w:rPr>
                <w:rFonts w:hint="eastAsia" w:ascii="宋体" w:hAnsi="宋体" w:cs="宋体"/>
                <w:snapToGrid w:val="0"/>
                <w:color w:val="auto"/>
                <w:kern w:val="28"/>
                <w:sz w:val="24"/>
                <w:highlight w:val="none"/>
                <w:lang w:val="en-US" w:eastAsia="zh-CN"/>
              </w:rPr>
              <w:t>80</w:t>
            </w:r>
            <w:r>
              <w:rPr>
                <w:rFonts w:hint="eastAsia" w:ascii="宋体" w:hAnsi="宋体" w:eastAsia="宋体" w:cs="宋体"/>
                <w:snapToGrid w:val="0"/>
                <w:color w:val="auto"/>
                <w:kern w:val="28"/>
                <w:sz w:val="24"/>
                <w:highlight w:val="none"/>
              </w:rPr>
              <w:t>%计取，以成交价为基数。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_GB2312" w:hAnsi="仿宋" w:eastAsia="宋体" w:cs="仿宋_GB2312"/>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kern w:val="2"/>
                <w:sz w:val="24"/>
                <w:szCs w:val="24"/>
                <w:highlight w:val="none"/>
                <w:lang w:val="en-US" w:eastAsia="zh-CN" w:bidi="ar-SA"/>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w:t>
            </w:r>
            <w:r>
              <w:rPr>
                <w:rFonts w:hint="eastAsia" w:ascii="宋体" w:hAnsi="宋体" w:eastAsia="宋体" w:cs="宋体"/>
                <w:snapToGrid w:val="0"/>
                <w:color w:val="auto"/>
                <w:kern w:val="28"/>
                <w:sz w:val="24"/>
                <w:highlight w:val="none"/>
                <w:lang w:eastAsia="zh-CN"/>
              </w:rPr>
              <w:t>投标单位</w:t>
            </w:r>
            <w:r>
              <w:rPr>
                <w:rFonts w:hint="eastAsia" w:ascii="宋体" w:hAnsi="宋体" w:eastAsia="宋体" w:cs="宋体"/>
                <w:snapToGrid w:val="0"/>
                <w:color w:val="auto"/>
                <w:kern w:val="28"/>
                <w:sz w:val="24"/>
                <w:highlight w:val="none"/>
              </w:rPr>
              <w:t>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也可按《关于钱塘新区政府采购支持中小企业信用融资有关事项的通知》，</w:t>
            </w:r>
            <w:r>
              <w:rPr>
                <w:rFonts w:hint="eastAsia" w:ascii="宋体" w:hAnsi="宋体" w:eastAsia="宋体" w:cs="宋体"/>
                <w:snapToGrid w:val="0"/>
                <w:color w:val="auto"/>
                <w:kern w:val="28"/>
                <w:sz w:val="24"/>
                <w:highlight w:val="none"/>
                <w:lang w:eastAsia="zh-CN"/>
              </w:rPr>
              <w:t>投标单位</w:t>
            </w:r>
            <w:r>
              <w:rPr>
                <w:rFonts w:hint="eastAsia" w:ascii="宋体" w:hAnsi="宋体" w:eastAsia="宋体" w:cs="宋体"/>
                <w:snapToGrid w:val="0"/>
                <w:color w:val="auto"/>
                <w:kern w:val="28"/>
                <w:sz w:val="24"/>
                <w:highlight w:val="none"/>
              </w:rPr>
              <w:t>若有融资意向，详见本招标文件尾页《关于钱塘新区政府采购支持中小企业信用融资相关事项通知》，或登录</w:t>
            </w:r>
            <w:r>
              <w:rPr>
                <w:rFonts w:hint="eastAsia" w:ascii="宋体" w:hAnsi="宋体" w:eastAsia="宋体" w:cs="宋体"/>
                <w:snapToGrid w:val="0"/>
                <w:color w:val="auto"/>
                <w:kern w:val="28"/>
                <w:sz w:val="24"/>
                <w:highlight w:val="none"/>
                <w:lang w:eastAsia="zh-CN"/>
              </w:rPr>
              <w:t>杭州市钱塘区</w:t>
            </w:r>
            <w:r>
              <w:rPr>
                <w:rFonts w:hint="eastAsia" w:ascii="宋体" w:hAnsi="宋体" w:eastAsia="宋体" w:cs="宋体"/>
                <w:snapToGrid w:val="0"/>
                <w:color w:val="auto"/>
                <w:kern w:val="28"/>
                <w:sz w:val="24"/>
                <w:highlight w:val="none"/>
              </w:rPr>
              <w:t>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lang w:eastAsia="zh-CN"/>
              </w:rPr>
              <w:t>投标单位</w:t>
            </w:r>
            <w:r>
              <w:rPr>
                <w:rFonts w:hint="eastAsia" w:ascii="宋体" w:hAnsi="宋体" w:eastAsia="宋体" w:cs="宋体"/>
                <w:snapToGrid w:val="0"/>
                <w:color w:val="auto"/>
                <w:kern w:val="28"/>
                <w:sz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p>
      <w:pPr>
        <w:pStyle w:val="61"/>
        <w:rPr>
          <w:rFonts w:ascii="宋体" w:hAnsi="宋体" w:cs="宋体"/>
          <w:b/>
          <w:color w:val="auto"/>
          <w:sz w:val="32"/>
          <w:szCs w:val="20"/>
          <w:highlight w:val="none"/>
        </w:rPr>
      </w:pPr>
    </w:p>
    <w:p>
      <w:pPr>
        <w:pStyle w:val="61"/>
        <w:rPr>
          <w:rFonts w:ascii="宋体" w:hAnsi="宋体" w:cs="宋体"/>
          <w:b/>
          <w:color w:val="auto"/>
          <w:sz w:val="32"/>
          <w:szCs w:val="20"/>
          <w:highlight w:val="none"/>
        </w:rPr>
      </w:pPr>
    </w:p>
    <w:p>
      <w:pPr>
        <w:pStyle w:val="61"/>
        <w:rPr>
          <w:rFonts w:ascii="宋体" w:hAnsi="宋体" w:cs="宋体"/>
          <w:b/>
          <w:color w:val="auto"/>
          <w:sz w:val="32"/>
          <w:szCs w:val="20"/>
          <w:highlight w:val="none"/>
        </w:rPr>
      </w:pPr>
    </w:p>
    <w:bookmarkEnd w:id="2"/>
    <w:p>
      <w:pPr>
        <w:rPr>
          <w:rFonts w:hint="eastAsia" w:ascii="宋体" w:hAnsi="宋体" w:cs="宋体"/>
          <w:b/>
          <w:color w:val="auto"/>
          <w:sz w:val="32"/>
          <w:szCs w:val="20"/>
          <w:highlight w:val="none"/>
        </w:rPr>
      </w:pPr>
      <w:bookmarkStart w:id="3" w:name="_Toc164416483"/>
      <w:bookmarkStart w:id="4"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ind w:firstLine="480" w:firstLineChars="200"/>
        <w:outlineLvl w:val="9"/>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00"/>
        <w:contextualSpacing/>
        <w:rPr>
          <w:rFonts w:hint="eastAsia"/>
          <w:color w:val="auto"/>
          <w:highlight w:val="none"/>
        </w:rPr>
      </w:pP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2"/>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highlight w:val="none"/>
        </w:rPr>
      </w:pPr>
    </w:p>
    <w:p>
      <w:pPr>
        <w:pStyle w:val="132"/>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2"/>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6" w:name="_Hlk101184471"/>
      <w:r>
        <w:rPr>
          <w:rFonts w:hint="eastAsia" w:ascii="宋体" w:hAnsi="宋体" w:cs="宋体"/>
          <w:color w:val="auto"/>
          <w:sz w:val="24"/>
          <w:highlight w:val="none"/>
        </w:rPr>
        <w:t>资格审查情况、评审专家抽取规则、符合性审查情况、</w:t>
      </w:r>
      <w:bookmarkEnd w:id="6"/>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2"/>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1"/>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hint="eastAsia" w:ascii="宋体" w:hAnsi="宋体" w:eastAsia="宋体" w:cs="宋体"/>
          <w:b w:val="0"/>
          <w:bCs w:val="0"/>
          <w:snapToGrid/>
          <w:color w:val="auto"/>
          <w:kern w:val="2"/>
          <w:sz w:val="24"/>
          <w:highlight w:val="none"/>
        </w:rPr>
      </w:pPr>
      <w:r>
        <w:rPr>
          <w:rFonts w:hint="eastAsia" w:ascii="宋体" w:hAnsi="宋体" w:eastAsia="宋体" w:cs="宋体"/>
          <w:b w:val="0"/>
          <w:bCs w:val="0"/>
          <w:snapToGrid/>
          <w:color w:val="auto"/>
          <w:kern w:val="2"/>
          <w:sz w:val="24"/>
          <w:highlight w:val="none"/>
        </w:rPr>
        <w:t>供应商</w:t>
      </w:r>
      <w:r>
        <w:rPr>
          <w:rFonts w:hint="eastAsia" w:ascii="宋体" w:hAnsi="宋体" w:eastAsia="宋体" w:cs="宋体"/>
          <w:b w:val="0"/>
          <w:bCs w:val="0"/>
          <w:snapToGrid/>
          <w:color w:val="auto"/>
          <w:kern w:val="2"/>
          <w:sz w:val="24"/>
          <w:highlight w:val="none"/>
          <w:lang w:val="en-US"/>
        </w:rPr>
        <w:t>可</w:t>
      </w:r>
      <w:r>
        <w:rPr>
          <w:rFonts w:hint="eastAsia" w:ascii="宋体" w:hAnsi="宋体" w:eastAsia="宋体" w:cs="宋体"/>
          <w:b w:val="0"/>
          <w:bCs w:val="0"/>
          <w:snapToGrid/>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outlineLvl w:val="9"/>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1"/>
        <w:rPr>
          <w:color w:val="auto"/>
          <w:highlight w:val="none"/>
        </w:rPr>
      </w:pPr>
    </w:p>
    <w:bookmarkEnd w:id="5"/>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7" w:name="_Hlt75236011"/>
      <w:bookmarkEnd w:id="7"/>
      <w:bookmarkStart w:id="8" w:name="_Hlt68057669"/>
      <w:bookmarkEnd w:id="8"/>
      <w:bookmarkStart w:id="9" w:name="_Hlt75236290"/>
      <w:bookmarkEnd w:id="9"/>
      <w:bookmarkStart w:id="10" w:name="_Hlt75236101"/>
      <w:bookmarkEnd w:id="10"/>
      <w:bookmarkStart w:id="11" w:name="_Hlt74729768"/>
      <w:bookmarkEnd w:id="11"/>
      <w:bookmarkStart w:id="12" w:name="_Hlt68403820"/>
      <w:bookmarkEnd w:id="12"/>
      <w:bookmarkStart w:id="13" w:name="_Hlt74707468"/>
      <w:bookmarkEnd w:id="13"/>
      <w:bookmarkStart w:id="14" w:name="_Hlt68072990"/>
      <w:bookmarkEnd w:id="14"/>
      <w:bookmarkStart w:id="15" w:name="_Hlt68072998"/>
      <w:bookmarkEnd w:id="15"/>
      <w:bookmarkStart w:id="16" w:name="_Hlt68073093"/>
      <w:bookmarkEnd w:id="16"/>
      <w:bookmarkStart w:id="17" w:name="_Hlt74714665"/>
      <w:bookmarkEnd w:id="17"/>
      <w:bookmarkStart w:id="18" w:name="_Hlt74730295"/>
      <w:bookmarkEnd w:id="18"/>
    </w:p>
    <w:bookmarkEnd w:id="3"/>
    <w:bookmarkEnd w:id="4"/>
    <w:p>
      <w:pPr>
        <w:spacing w:line="360" w:lineRule="auto"/>
        <w:ind w:firstLine="0" w:firstLineChars="0"/>
        <w:jc w:val="center"/>
        <w:outlineLvl w:val="0"/>
        <w:rPr>
          <w:rFonts w:ascii="宋体" w:hAnsi="宋体" w:cs="宋体"/>
          <w:b/>
          <w:color w:val="auto"/>
          <w:sz w:val="36"/>
          <w:szCs w:val="36"/>
          <w:highlight w:val="none"/>
        </w:rPr>
      </w:pPr>
      <w:bookmarkStart w:id="19" w:name="第四部分"/>
      <w:r>
        <w:rPr>
          <w:rFonts w:hint="eastAsia" w:ascii="宋体" w:hAnsi="宋体" w:cs="宋体"/>
          <w:b/>
          <w:color w:val="auto"/>
          <w:sz w:val="36"/>
          <w:szCs w:val="36"/>
          <w:highlight w:val="none"/>
        </w:rPr>
        <w:t>第三部分   采购需求</w:t>
      </w:r>
    </w:p>
    <w:p>
      <w:pPr>
        <w:pStyle w:val="774"/>
        <w:snapToGrid w:val="0"/>
        <w:spacing w:line="400" w:lineRule="exact"/>
        <w:ind w:firstLine="562" w:firstLineChars="200"/>
        <w:rPr>
          <w:rFonts w:hint="eastAsia" w:ascii="宋体" w:hAnsi="宋体" w:eastAsia="宋体" w:cs="宋体"/>
          <w:b/>
          <w:color w:val="000000"/>
          <w:szCs w:val="24"/>
        </w:rPr>
      </w:pPr>
      <w:r>
        <w:rPr>
          <w:rFonts w:hint="eastAsia" w:ascii="宋体" w:hAnsi="宋体" w:eastAsia="宋体" w:cs="宋体"/>
          <w:b/>
          <w:color w:val="000000"/>
          <w:szCs w:val="24"/>
        </w:rPr>
        <w:t>一、项目概况</w:t>
      </w:r>
    </w:p>
    <w:p>
      <w:pPr>
        <w:spacing w:line="336"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杭州市钱塘区日常运行维护范围、标准要求：杭州市钱塘区日常运行维护包含：杭州市钱塘区的生活污水处理设施，维护要求参照《浙江省农村生活污水处理设施标准化运维评价导则》。</w:t>
      </w:r>
    </w:p>
    <w:p>
      <w:pPr>
        <w:spacing w:line="336" w:lineRule="auto"/>
        <w:ind w:firstLine="420" w:firstLineChars="200"/>
        <w:rPr>
          <w:rFonts w:hint="eastAsia" w:ascii="宋体" w:hAnsi="宋体" w:eastAsia="宋体" w:cs="宋体"/>
          <w:color w:val="000000"/>
          <w:kern w:val="0"/>
          <w:lang w:eastAsia="zh-CN"/>
        </w:rPr>
      </w:pPr>
      <w:r>
        <w:rPr>
          <w:rFonts w:hint="eastAsia" w:ascii="宋体" w:hAnsi="宋体" w:eastAsia="宋体" w:cs="宋体"/>
          <w:color w:val="000000"/>
          <w:kern w:val="0"/>
        </w:rPr>
        <w:t>日常运维费年预算：对辖区内农污治理设施进行运维，总服务农户约</w:t>
      </w:r>
      <w:r>
        <w:rPr>
          <w:rFonts w:hint="eastAsia" w:ascii="宋体" w:hAnsi="宋体" w:eastAsia="宋体" w:cs="宋体"/>
          <w:color w:val="000000"/>
          <w:kern w:val="0"/>
          <w:lang w:val="en-US" w:eastAsia="zh-CN"/>
        </w:rPr>
        <w:t>25202</w:t>
      </w:r>
      <w:r>
        <w:rPr>
          <w:rFonts w:hint="eastAsia" w:ascii="宋体" w:hAnsi="宋体" w:eastAsia="宋体" w:cs="宋体"/>
          <w:color w:val="000000"/>
          <w:kern w:val="0"/>
        </w:rPr>
        <w:t>户，招标单价每户每年运维费用约</w:t>
      </w:r>
      <w:r>
        <w:rPr>
          <w:rFonts w:hint="eastAsia" w:ascii="宋体" w:hAnsi="宋体" w:eastAsia="宋体" w:cs="宋体"/>
          <w:color w:val="000000"/>
          <w:kern w:val="0"/>
          <w:lang w:val="en-US" w:eastAsia="zh-CN"/>
        </w:rPr>
        <w:t>250</w:t>
      </w:r>
      <w:r>
        <w:rPr>
          <w:rFonts w:hint="eastAsia" w:ascii="宋体" w:hAnsi="宋体" w:eastAsia="宋体" w:cs="宋体"/>
          <w:color w:val="000000"/>
          <w:kern w:val="0"/>
        </w:rPr>
        <w:t>元，招标价格</w:t>
      </w:r>
      <w:r>
        <w:rPr>
          <w:rFonts w:hint="eastAsia" w:ascii="宋体" w:hAnsi="宋体" w:cs="宋体"/>
          <w:color w:val="000000"/>
          <w:kern w:val="0"/>
          <w:lang w:eastAsia="zh-CN"/>
        </w:rPr>
        <w:t>630.05</w:t>
      </w:r>
      <w:r>
        <w:rPr>
          <w:rFonts w:hint="eastAsia" w:ascii="宋体" w:hAnsi="宋体" w:eastAsia="宋体" w:cs="宋体"/>
          <w:color w:val="000000"/>
          <w:kern w:val="0"/>
        </w:rPr>
        <w:t>万元，服务期一年，中标后，再由各街道签订合同</w:t>
      </w:r>
      <w:r>
        <w:rPr>
          <w:rFonts w:hint="eastAsia" w:ascii="宋体" w:hAnsi="宋体" w:eastAsia="宋体" w:cs="宋体"/>
          <w:color w:val="000000"/>
          <w:kern w:val="0"/>
          <w:lang w:eastAsia="zh-CN"/>
        </w:rPr>
        <w:t>。</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二、招标服务标准</w:t>
      </w:r>
    </w:p>
    <w:p>
      <w:pPr>
        <w:spacing w:line="336"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维护要求参照《浙江省农村生活污水处理设施标准化运维评价导则》、《浙江省农村生活污水处理设施管理条例》</w:t>
      </w:r>
      <w:r>
        <w:rPr>
          <w:rFonts w:hint="eastAsia" w:ascii="宋体" w:hAnsi="宋体" w:eastAsia="宋体" w:cs="宋体"/>
          <w:color w:val="000000"/>
          <w:kern w:val="0"/>
          <w:lang w:eastAsia="zh-CN"/>
        </w:rPr>
        <w:t>等相关文件</w:t>
      </w:r>
      <w:r>
        <w:rPr>
          <w:rFonts w:hint="eastAsia" w:ascii="宋体" w:hAnsi="宋体" w:eastAsia="宋体" w:cs="宋体"/>
          <w:color w:val="000000"/>
          <w:kern w:val="0"/>
        </w:rPr>
        <w:t>执行。</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三、服务要求：</w:t>
      </w:r>
    </w:p>
    <w:p>
      <w:pPr>
        <w:spacing w:line="400" w:lineRule="exact"/>
        <w:ind w:firstLine="480"/>
        <w:rPr>
          <w:rFonts w:ascii="宋体" w:hAnsi="宋体" w:eastAsia="宋体" w:cs="宋体"/>
          <w:color w:val="000000"/>
        </w:rPr>
      </w:pPr>
      <w:r>
        <w:rPr>
          <w:rFonts w:hint="eastAsia" w:ascii="宋体" w:hAnsi="宋体" w:eastAsia="宋体" w:cs="宋体"/>
          <w:color w:val="000000"/>
        </w:rPr>
        <w:t>1、合同期限：</w:t>
      </w:r>
      <w:r>
        <w:rPr>
          <w:rFonts w:hint="eastAsia" w:ascii="宋体" w:hAnsi="宋体" w:eastAsia="宋体" w:cs="宋体"/>
          <w:color w:val="000000"/>
          <w:lang w:val="en-US" w:eastAsia="zh-CN"/>
        </w:rPr>
        <w:t>一年，</w:t>
      </w:r>
      <w:r>
        <w:rPr>
          <w:rFonts w:hint="eastAsia" w:ascii="宋体" w:hAnsi="宋体" w:eastAsia="宋体" w:cs="宋体"/>
          <w:color w:val="000000"/>
          <w:kern w:val="0"/>
        </w:rPr>
        <w:t>中标后，再由各街道签订合同</w:t>
      </w:r>
      <w:r>
        <w:rPr>
          <w:rFonts w:hint="eastAsia" w:ascii="宋体" w:hAnsi="宋体" w:eastAsia="宋体" w:cs="宋体"/>
          <w:color w:val="000000"/>
        </w:rPr>
        <w:t>。</w:t>
      </w:r>
    </w:p>
    <w:p>
      <w:pPr>
        <w:spacing w:line="400" w:lineRule="exact"/>
        <w:ind w:firstLine="480"/>
        <w:rPr>
          <w:rFonts w:hint="eastAsia" w:ascii="宋体" w:hAnsi="宋体" w:eastAsia="宋体" w:cs="宋体"/>
          <w:color w:val="000000"/>
        </w:rPr>
      </w:pPr>
      <w:r>
        <w:rPr>
          <w:rFonts w:hint="eastAsia" w:ascii="宋体" w:hAnsi="宋体" w:eastAsia="宋体" w:cs="宋体"/>
          <w:color w:val="000000"/>
        </w:rPr>
        <w:t>2、服务范围：负责</w:t>
      </w:r>
      <w:r>
        <w:rPr>
          <w:rFonts w:hint="eastAsia" w:ascii="宋体" w:hAnsi="宋体" w:eastAsia="宋体" w:cs="宋体"/>
          <w:color w:val="000000"/>
          <w:kern w:val="0"/>
        </w:rPr>
        <w:t>辖</w:t>
      </w:r>
      <w:r>
        <w:rPr>
          <w:rFonts w:hint="eastAsia" w:ascii="宋体" w:hAnsi="宋体" w:eastAsia="宋体" w:cs="宋体"/>
          <w:color w:val="000000"/>
        </w:rPr>
        <w:t>区</w:t>
      </w:r>
      <w:r>
        <w:rPr>
          <w:rFonts w:hint="eastAsia" w:ascii="宋体" w:hAnsi="宋体" w:eastAsia="宋体" w:cs="宋体"/>
          <w:color w:val="000000"/>
          <w:lang w:eastAsia="zh-CN"/>
        </w:rPr>
        <w:t>内</w:t>
      </w:r>
      <w:r>
        <w:rPr>
          <w:rFonts w:hint="eastAsia" w:ascii="宋体" w:hAnsi="宋体" w:eastAsia="宋体" w:cs="宋体"/>
          <w:color w:val="000000"/>
        </w:rPr>
        <w:t>所有农村生活污水治理设施运行维护工作。</w:t>
      </w:r>
    </w:p>
    <w:p>
      <w:pPr>
        <w:spacing w:line="400" w:lineRule="exact"/>
        <w:ind w:firstLine="210" w:firstLineChars="100"/>
        <w:rPr>
          <w:rFonts w:hint="eastAsia" w:ascii="宋体" w:hAnsi="宋体" w:eastAsia="宋体" w:cs="宋体"/>
          <w:color w:val="000000"/>
        </w:rPr>
      </w:pPr>
      <w:r>
        <w:rPr>
          <w:rFonts w:hint="eastAsia" w:ascii="宋体" w:hAnsi="宋体" w:eastAsia="宋体" w:cs="宋体"/>
          <w:color w:val="000000"/>
        </w:rPr>
        <w:t>▲3、投标人需在投标文件中明确拟派的项目负责人，中标单位不得私自更换拟派的项目负责人，如需更换，需经业主单位（各街道）同意。投标文件中必须提供拟派的项目负责人在本单位缴纳的社保凭证及农污运维养护员合格培训证复印件加盖单位公章。</w:t>
      </w:r>
    </w:p>
    <w:p>
      <w:pPr>
        <w:spacing w:line="400" w:lineRule="exact"/>
        <w:ind w:firstLine="480"/>
        <w:rPr>
          <w:rFonts w:hint="eastAsia" w:ascii="宋体" w:hAnsi="宋体" w:eastAsia="宋体" w:cs="宋体"/>
          <w:color w:val="000000"/>
        </w:rPr>
      </w:pPr>
      <w:r>
        <w:rPr>
          <w:rFonts w:hint="eastAsia" w:ascii="宋体" w:hAnsi="宋体" w:eastAsia="宋体" w:cs="宋体"/>
          <w:color w:val="000000"/>
        </w:rPr>
        <w:t>4、运维监管：负责农村污水处理设施正常运行的统一监督管理和考核，并对污水处理设施正常运行提供技术保障；承担统筹、协调农村环境综合整治工作的各项事宜。</w:t>
      </w:r>
    </w:p>
    <w:p>
      <w:pPr>
        <w:spacing w:line="400" w:lineRule="exact"/>
        <w:ind w:firstLine="480"/>
        <w:rPr>
          <w:rFonts w:hint="eastAsia" w:ascii="宋体" w:hAnsi="宋体" w:eastAsia="宋体" w:cs="宋体"/>
          <w:color w:val="000000"/>
        </w:rPr>
      </w:pPr>
      <w:r>
        <w:rPr>
          <w:rFonts w:hint="eastAsia" w:ascii="宋体" w:hAnsi="宋体" w:eastAsia="宋体" w:cs="宋体"/>
          <w:color w:val="000000"/>
        </w:rPr>
        <w:t>5、在服务期内，接到应急报修，中标供应商应全天候回应，回应时间小于1小时，中标供应商接到采购人通知后，应在24小时内到达故障现场，故障排除后应出具书面故障诊断报告备案。</w:t>
      </w:r>
    </w:p>
    <w:p>
      <w:pPr>
        <w:spacing w:line="400" w:lineRule="exact"/>
        <w:ind w:firstLine="480"/>
        <w:rPr>
          <w:rFonts w:hint="eastAsia" w:ascii="宋体" w:hAnsi="宋体" w:eastAsia="宋体" w:cs="宋体"/>
          <w:color w:val="000000"/>
        </w:rPr>
      </w:pPr>
      <w:r>
        <w:rPr>
          <w:rFonts w:hint="eastAsia" w:ascii="宋体" w:hAnsi="宋体" w:eastAsia="宋体" w:cs="宋体"/>
          <w:color w:val="000000"/>
        </w:rPr>
        <w:t>6、出现故障后，中标供应商如未按上述要求进行响应，采购人可以采取必要的补救措施，委托另外专业单位抢修，由此产生的费用由中标供应商承担。</w:t>
      </w:r>
    </w:p>
    <w:p>
      <w:pPr>
        <w:spacing w:line="400" w:lineRule="exact"/>
        <w:ind w:firstLine="480"/>
        <w:rPr>
          <w:rFonts w:hint="eastAsia" w:ascii="宋体" w:hAnsi="宋体" w:eastAsia="宋体" w:cs="宋体"/>
          <w:color w:val="000000"/>
        </w:rPr>
      </w:pPr>
      <w:r>
        <w:rPr>
          <w:rFonts w:hint="eastAsia" w:ascii="宋体" w:hAnsi="宋体" w:eastAsia="宋体" w:cs="宋体"/>
          <w:color w:val="000000"/>
        </w:rPr>
        <w:t>7、服务项目人员配备要求：人员配置必须符合采购单位及运维监管单位的要求，并设有项目负责人。</w:t>
      </w:r>
    </w:p>
    <w:p>
      <w:pPr>
        <w:spacing w:line="400" w:lineRule="exact"/>
        <w:ind w:firstLine="480"/>
        <w:rPr>
          <w:rFonts w:hint="eastAsia" w:ascii="宋体" w:hAnsi="宋体" w:eastAsia="宋体" w:cs="宋体"/>
          <w:b/>
          <w:bCs/>
          <w:color w:val="000000"/>
        </w:rPr>
      </w:pPr>
      <w:r>
        <w:rPr>
          <w:rFonts w:hint="eastAsia" w:ascii="宋体" w:hAnsi="宋体" w:eastAsia="宋体" w:cs="宋体"/>
          <w:color w:val="000000"/>
          <w:szCs w:val="21"/>
        </w:rPr>
        <w:t>▲8</w:t>
      </w:r>
      <w:r>
        <w:rPr>
          <w:rFonts w:hint="eastAsia" w:ascii="宋体" w:hAnsi="宋体" w:eastAsia="宋体" w:cs="宋体"/>
          <w:color w:val="000000"/>
        </w:rPr>
        <w:t>、安全：职工人员在作业中应注意自身安全，中标供应商须加强对职工人员的安全教育，在作业中发生的人员伤亡和一切意外事故，均由中标供应商负全责。</w:t>
      </w:r>
      <w:r>
        <w:rPr>
          <w:rFonts w:hint="eastAsia" w:ascii="宋体" w:hAnsi="宋体" w:eastAsia="宋体" w:cs="宋体"/>
          <w:b/>
          <w:bCs/>
          <w:color w:val="000000"/>
        </w:rPr>
        <w:t>需在投标文件中做出承诺。</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9、经过培训的常驻人员不得在其他区域兼职，项目负责人需常驻在本区域，发生应急抢修，需在一小时内回应。</w:t>
      </w:r>
    </w:p>
    <w:p>
      <w:pPr>
        <w:spacing w:line="400" w:lineRule="exact"/>
        <w:ind w:firstLine="480"/>
        <w:rPr>
          <w:rFonts w:hint="default" w:ascii="宋体" w:hAnsi="宋体" w:eastAsia="宋体" w:cs="宋体"/>
          <w:color w:val="000000"/>
          <w:lang w:val="en-US" w:eastAsia="zh-CN"/>
        </w:rPr>
      </w:pPr>
      <w:r>
        <w:rPr>
          <w:rFonts w:hint="eastAsia" w:ascii="宋体" w:hAnsi="宋体" w:eastAsia="宋体" w:cs="宋体"/>
          <w:color w:val="000000"/>
          <w:lang w:val="en-US" w:eastAsia="zh-CN"/>
        </w:rPr>
        <w:t>10、运维单位需在中标公示结束后7天内入场并交接相应程序，全部运维人员需到岗,现场运维人员和服务站站长需常驻本项目，不得兼任其他地区的同类型工作。</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11、运维单位在现场的管理人员的配备数量应当同投标时承诺的一致，不得擅自降低标准。项目负责人、技术负责人不得在同一项目的建设单位中兼职。</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12、付款手续和付款时间：详见合同有关条款。</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13、投标人有招标人要求以外的其他服务承诺等，可自行叙述。</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14、日常运维费用包括管网运维费用和终端池运维费用。</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15、中标人在遵守采购服务要求的基础上，每个街道设置不少于1个服务站；服务站基本要求：</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（1）按照半小时服务圈，办公面积需在40平方米以上（含仓库）；</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（2） 每个服务站需具有两年及以上运行服维护管理经验的负责人1人常驻；</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（3）养护小组巡检频次每个设施不少于2次/周；</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（4）经过专业技术培训的养护小组人员2人及以上；</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（5）拥有小型货车或皮卡车等1辆及以上；</w:t>
      </w:r>
    </w:p>
    <w:p>
      <w:pPr>
        <w:spacing w:line="400" w:lineRule="exact"/>
        <w:ind w:firstLine="480"/>
        <w:rPr>
          <w:rFonts w:hint="default" w:ascii="宋体" w:hAnsi="宋体" w:eastAsia="宋体" w:cs="宋体"/>
          <w:color w:val="000000"/>
          <w:lang w:val="en-US" w:eastAsia="zh-CN"/>
        </w:rPr>
      </w:pPr>
      <w:r>
        <w:rPr>
          <w:rFonts w:hint="eastAsia" w:ascii="宋体" w:hAnsi="宋体" w:eastAsia="宋体" w:cs="宋体"/>
          <w:color w:val="000000"/>
          <w:lang w:val="en-US" w:eastAsia="zh-CN"/>
        </w:rPr>
        <w:t>（6）巡查小组配备养护人员、电工及其他专业操作人员3人及以上。</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16、采购人将按照《浙江省农村生活污水治理设施运行维护管理工作考核办法（试行）》（浙建村【2018】41号）、《浙江省农村生活污水处理设施标准化运维评价导则》、《浙江省农村生活污水处理设施管理条例》、当年度的“省、市、区以及街道农村生活污水治理工作考核办法”等相关文件规定进行考核，如运维效果较差的（良好以下或者考核分在85%以下），会被本单位列入本年度考核不合格单位，有可能影响中标人下一年度的本地区投标。</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17、由于中标人产生的省级及以上媒体曝光、政府通报等重大负面影响事件的，直接取消中标人当年度的运维资格，采购人将重新招标。</w:t>
      </w:r>
    </w:p>
    <w:p>
      <w:pPr>
        <w:spacing w:line="400" w:lineRule="exact"/>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0" w:name="_Toc184308100"/>
      <w:bookmarkEnd w:id="20"/>
      <w:bookmarkStart w:id="21" w:name="_Toc184313281"/>
      <w:bookmarkEnd w:id="21"/>
      <w:bookmarkStart w:id="22" w:name="_Toc184310274"/>
      <w:bookmarkEnd w:id="22"/>
      <w:bookmarkStart w:id="23" w:name="_Toc184310285"/>
      <w:bookmarkEnd w:id="23"/>
      <w:bookmarkStart w:id="24" w:name="_Toc184313294"/>
      <w:bookmarkEnd w:id="24"/>
      <w:bookmarkStart w:id="25" w:name="_Toc184308073"/>
      <w:bookmarkEnd w:id="25"/>
      <w:bookmarkStart w:id="26" w:name="_Toc184312137"/>
      <w:bookmarkEnd w:id="26"/>
      <w:bookmarkStart w:id="27" w:name="_Toc184312077"/>
      <w:bookmarkEnd w:id="27"/>
      <w:bookmarkStart w:id="28" w:name="_Toc184310283"/>
      <w:bookmarkEnd w:id="28"/>
      <w:bookmarkStart w:id="29" w:name="_Toc184312072"/>
      <w:bookmarkEnd w:id="29"/>
      <w:bookmarkStart w:id="30" w:name="_Toc184312113"/>
      <w:bookmarkEnd w:id="30"/>
      <w:bookmarkStart w:id="31" w:name="_Toc184310341"/>
      <w:bookmarkEnd w:id="31"/>
      <w:bookmarkStart w:id="32" w:name="_Toc184310318"/>
      <w:bookmarkEnd w:id="32"/>
      <w:bookmarkStart w:id="33" w:name="_Toc184310308"/>
      <w:bookmarkEnd w:id="33"/>
      <w:bookmarkStart w:id="34" w:name="_Toc184314467"/>
      <w:bookmarkEnd w:id="34"/>
      <w:bookmarkStart w:id="35" w:name="_Toc184314464"/>
      <w:bookmarkEnd w:id="35"/>
      <w:bookmarkStart w:id="36" w:name="_Toc184314481"/>
      <w:bookmarkEnd w:id="36"/>
      <w:bookmarkStart w:id="37" w:name="_Toc184312080"/>
      <w:bookmarkEnd w:id="37"/>
      <w:bookmarkStart w:id="38" w:name="_Toc184313256"/>
      <w:bookmarkEnd w:id="38"/>
      <w:bookmarkStart w:id="39" w:name="_Toc184313301"/>
      <w:bookmarkEnd w:id="39"/>
      <w:bookmarkStart w:id="40" w:name="_Toc184308059"/>
      <w:bookmarkEnd w:id="40"/>
      <w:bookmarkStart w:id="41" w:name="_Toc184313240"/>
      <w:bookmarkEnd w:id="41"/>
      <w:bookmarkStart w:id="42" w:name="_Toc184312121"/>
      <w:bookmarkEnd w:id="42"/>
      <w:bookmarkStart w:id="43" w:name="_Toc184308036"/>
      <w:bookmarkEnd w:id="43"/>
      <w:bookmarkStart w:id="44" w:name="_Toc184308106"/>
      <w:bookmarkEnd w:id="44"/>
      <w:bookmarkStart w:id="45" w:name="_Toc184308099"/>
      <w:bookmarkEnd w:id="45"/>
      <w:bookmarkStart w:id="46" w:name="_Toc184310300"/>
      <w:bookmarkEnd w:id="46"/>
      <w:bookmarkStart w:id="47" w:name="_Toc184313260"/>
      <w:bookmarkEnd w:id="47"/>
      <w:bookmarkStart w:id="48" w:name="_Toc184312076"/>
      <w:bookmarkEnd w:id="48"/>
      <w:bookmarkStart w:id="49" w:name="_Toc184312068"/>
      <w:bookmarkEnd w:id="49"/>
      <w:bookmarkStart w:id="50" w:name="_Toc184312128"/>
      <w:bookmarkEnd w:id="50"/>
      <w:bookmarkStart w:id="51" w:name="_Toc184314461"/>
      <w:bookmarkEnd w:id="51"/>
      <w:bookmarkStart w:id="52" w:name="_Toc184314451"/>
      <w:bookmarkEnd w:id="52"/>
      <w:bookmarkStart w:id="53" w:name="_Toc184314433"/>
      <w:bookmarkEnd w:id="53"/>
      <w:bookmarkStart w:id="54" w:name="_Toc184310287"/>
      <w:bookmarkEnd w:id="54"/>
      <w:bookmarkStart w:id="55" w:name="_Toc184308058"/>
      <w:bookmarkEnd w:id="55"/>
      <w:bookmarkStart w:id="56" w:name="_Toc184314440"/>
      <w:bookmarkEnd w:id="56"/>
      <w:bookmarkStart w:id="57" w:name="_Toc184310309"/>
      <w:bookmarkEnd w:id="57"/>
      <w:bookmarkStart w:id="58" w:name="_Toc184313298"/>
      <w:bookmarkEnd w:id="58"/>
      <w:bookmarkStart w:id="59" w:name="_Toc184313248"/>
      <w:bookmarkEnd w:id="59"/>
      <w:bookmarkStart w:id="60" w:name="_Toc184314439"/>
      <w:bookmarkEnd w:id="60"/>
      <w:bookmarkStart w:id="61" w:name="_Toc184313289"/>
      <w:bookmarkEnd w:id="61"/>
      <w:bookmarkStart w:id="62" w:name="_Toc184310292"/>
      <w:bookmarkEnd w:id="62"/>
      <w:bookmarkStart w:id="63" w:name="_Toc184313283"/>
      <w:bookmarkEnd w:id="63"/>
      <w:bookmarkStart w:id="64" w:name="_Toc184313247"/>
      <w:bookmarkEnd w:id="64"/>
      <w:bookmarkStart w:id="65" w:name="_Toc184308048"/>
      <w:bookmarkEnd w:id="65"/>
      <w:bookmarkStart w:id="66" w:name="_Toc184310311"/>
      <w:bookmarkEnd w:id="66"/>
      <w:bookmarkStart w:id="67" w:name="_Toc184312105"/>
      <w:bookmarkEnd w:id="67"/>
      <w:bookmarkStart w:id="68" w:name="_Toc184312106"/>
      <w:bookmarkEnd w:id="68"/>
      <w:bookmarkStart w:id="69" w:name="_Toc184310304"/>
      <w:bookmarkEnd w:id="69"/>
      <w:bookmarkStart w:id="70" w:name="_Toc184308107"/>
      <w:bookmarkEnd w:id="70"/>
      <w:bookmarkStart w:id="71" w:name="_Toc184314455"/>
      <w:bookmarkEnd w:id="71"/>
      <w:bookmarkStart w:id="72" w:name="_Toc184313276"/>
      <w:bookmarkEnd w:id="72"/>
      <w:bookmarkStart w:id="73" w:name="_Toc184312100"/>
      <w:bookmarkEnd w:id="73"/>
      <w:bookmarkStart w:id="74" w:name="_Toc184308039"/>
      <w:bookmarkEnd w:id="74"/>
      <w:bookmarkStart w:id="75" w:name="_Toc184314476"/>
      <w:bookmarkEnd w:id="75"/>
      <w:bookmarkStart w:id="76" w:name="_Toc184308071"/>
      <w:bookmarkEnd w:id="76"/>
      <w:bookmarkStart w:id="77" w:name="_Toc184310272"/>
      <w:bookmarkEnd w:id="77"/>
      <w:bookmarkStart w:id="78" w:name="_Toc184310299"/>
      <w:bookmarkEnd w:id="78"/>
      <w:bookmarkStart w:id="79" w:name="_Toc184310302"/>
      <w:bookmarkEnd w:id="79"/>
      <w:bookmarkStart w:id="80" w:name="_Toc184308103"/>
      <w:bookmarkEnd w:id="80"/>
      <w:bookmarkStart w:id="81" w:name="_Toc184310281"/>
      <w:bookmarkEnd w:id="81"/>
      <w:bookmarkStart w:id="82" w:name="_Toc184313258"/>
      <w:bookmarkEnd w:id="82"/>
      <w:bookmarkStart w:id="83" w:name="_Toc184308052"/>
      <w:bookmarkEnd w:id="83"/>
      <w:bookmarkStart w:id="84" w:name="_Toc184312088"/>
      <w:bookmarkEnd w:id="84"/>
      <w:bookmarkStart w:id="85" w:name="_Toc184312126"/>
      <w:bookmarkEnd w:id="85"/>
      <w:bookmarkStart w:id="86" w:name="_Toc184308063"/>
      <w:bookmarkEnd w:id="86"/>
      <w:bookmarkStart w:id="87" w:name="_Toc184312082"/>
      <w:bookmarkEnd w:id="87"/>
      <w:bookmarkStart w:id="88" w:name="_Toc184312138"/>
      <w:bookmarkEnd w:id="88"/>
      <w:bookmarkStart w:id="89" w:name="_Toc184308053"/>
      <w:bookmarkEnd w:id="89"/>
      <w:bookmarkStart w:id="90" w:name="_Toc184312101"/>
      <w:bookmarkEnd w:id="90"/>
      <w:bookmarkStart w:id="91" w:name="_Toc184308096"/>
      <w:bookmarkEnd w:id="91"/>
      <w:bookmarkStart w:id="92" w:name="_Toc184312083"/>
      <w:bookmarkEnd w:id="92"/>
      <w:bookmarkStart w:id="93" w:name="_Toc184313310"/>
      <w:bookmarkEnd w:id="93"/>
      <w:bookmarkStart w:id="94" w:name="_Toc184312067"/>
      <w:bookmarkEnd w:id="94"/>
      <w:bookmarkStart w:id="95" w:name="_Toc184313291"/>
      <w:bookmarkEnd w:id="95"/>
      <w:bookmarkStart w:id="96" w:name="_Toc184314477"/>
      <w:bookmarkEnd w:id="96"/>
      <w:bookmarkStart w:id="97" w:name="_Toc184313282"/>
      <w:bookmarkEnd w:id="97"/>
      <w:bookmarkStart w:id="98" w:name="_Toc184314418"/>
      <w:bookmarkEnd w:id="98"/>
      <w:bookmarkStart w:id="99" w:name="_Toc184313255"/>
      <w:bookmarkEnd w:id="99"/>
      <w:bookmarkStart w:id="100" w:name="_Toc184313279"/>
      <w:bookmarkEnd w:id="100"/>
      <w:bookmarkStart w:id="101" w:name="_Toc184313275"/>
      <w:bookmarkEnd w:id="101"/>
      <w:bookmarkStart w:id="102" w:name="_Toc184314473"/>
      <w:bookmarkEnd w:id="102"/>
      <w:bookmarkStart w:id="103" w:name="_Toc184308056"/>
      <w:bookmarkEnd w:id="103"/>
      <w:bookmarkStart w:id="104" w:name="_Toc184308076"/>
      <w:bookmarkEnd w:id="104"/>
      <w:bookmarkStart w:id="105" w:name="_Toc184314444"/>
      <w:bookmarkEnd w:id="105"/>
      <w:bookmarkStart w:id="106" w:name="_Toc184310295"/>
      <w:bookmarkEnd w:id="106"/>
      <w:bookmarkStart w:id="107" w:name="_Toc184314471"/>
      <w:bookmarkEnd w:id="107"/>
      <w:bookmarkStart w:id="108" w:name="_Toc184314466"/>
      <w:bookmarkEnd w:id="108"/>
      <w:bookmarkStart w:id="109" w:name="_Toc184313284"/>
      <w:bookmarkEnd w:id="109"/>
      <w:bookmarkStart w:id="110" w:name="_Toc184313309"/>
      <w:bookmarkEnd w:id="110"/>
      <w:bookmarkStart w:id="111" w:name="_Toc184308042"/>
      <w:bookmarkEnd w:id="111"/>
      <w:bookmarkStart w:id="112" w:name="_Toc184314470"/>
      <w:bookmarkEnd w:id="112"/>
      <w:bookmarkStart w:id="113" w:name="_Toc184310305"/>
      <w:bookmarkEnd w:id="113"/>
      <w:bookmarkStart w:id="114" w:name="_Toc184308078"/>
      <w:bookmarkEnd w:id="114"/>
      <w:bookmarkStart w:id="115" w:name="_Toc184308085"/>
      <w:bookmarkEnd w:id="115"/>
      <w:bookmarkStart w:id="116" w:name="_Toc184310310"/>
      <w:bookmarkEnd w:id="116"/>
      <w:bookmarkStart w:id="117" w:name="_Toc184308082"/>
      <w:bookmarkEnd w:id="117"/>
      <w:bookmarkStart w:id="118" w:name="_Toc184310331"/>
      <w:bookmarkEnd w:id="118"/>
      <w:bookmarkStart w:id="119" w:name="_Toc184312135"/>
      <w:bookmarkEnd w:id="119"/>
      <w:bookmarkStart w:id="120" w:name="_Toc184312074"/>
      <w:bookmarkEnd w:id="120"/>
      <w:bookmarkStart w:id="121" w:name="_Toc184313246"/>
      <w:bookmarkEnd w:id="121"/>
      <w:bookmarkStart w:id="122" w:name="_Toc184308101"/>
      <w:bookmarkEnd w:id="122"/>
      <w:bookmarkStart w:id="123" w:name="_Toc184310282"/>
      <w:bookmarkEnd w:id="123"/>
      <w:bookmarkStart w:id="124" w:name="_Toc184308080"/>
      <w:bookmarkEnd w:id="124"/>
      <w:bookmarkStart w:id="125" w:name="_Toc184312133"/>
      <w:bookmarkEnd w:id="125"/>
      <w:bookmarkStart w:id="126" w:name="_Toc184312114"/>
      <w:bookmarkEnd w:id="126"/>
      <w:bookmarkStart w:id="127" w:name="_Toc184313271"/>
      <w:bookmarkEnd w:id="127"/>
      <w:bookmarkStart w:id="128" w:name="_Toc184314416"/>
      <w:bookmarkEnd w:id="128"/>
      <w:bookmarkStart w:id="129" w:name="_Toc184314411"/>
      <w:bookmarkEnd w:id="129"/>
      <w:bookmarkStart w:id="130" w:name="_Toc184313300"/>
      <w:bookmarkEnd w:id="130"/>
      <w:bookmarkStart w:id="131" w:name="_Toc184310296"/>
      <w:bookmarkEnd w:id="131"/>
      <w:bookmarkStart w:id="132" w:name="_Toc184310330"/>
      <w:bookmarkEnd w:id="132"/>
      <w:bookmarkStart w:id="133" w:name="_Toc184314468"/>
      <w:bookmarkEnd w:id="133"/>
      <w:bookmarkStart w:id="134" w:name="_Toc184310332"/>
      <w:bookmarkEnd w:id="134"/>
      <w:bookmarkStart w:id="135" w:name="_Toc184310337"/>
      <w:bookmarkEnd w:id="135"/>
      <w:bookmarkStart w:id="136" w:name="_Toc184310320"/>
      <w:bookmarkEnd w:id="136"/>
      <w:bookmarkStart w:id="137" w:name="_Toc184314480"/>
      <w:bookmarkEnd w:id="137"/>
      <w:bookmarkStart w:id="138" w:name="_Toc184308069"/>
      <w:bookmarkEnd w:id="138"/>
      <w:bookmarkStart w:id="139" w:name="_Toc184308067"/>
      <w:bookmarkEnd w:id="139"/>
      <w:bookmarkStart w:id="140" w:name="_Toc184312098"/>
      <w:bookmarkEnd w:id="140"/>
      <w:bookmarkStart w:id="141" w:name="_Toc184314465"/>
      <w:bookmarkEnd w:id="141"/>
      <w:bookmarkStart w:id="142" w:name="_Toc184310275"/>
      <w:bookmarkEnd w:id="142"/>
      <w:bookmarkStart w:id="143" w:name="_Toc184310322"/>
      <w:bookmarkEnd w:id="143"/>
      <w:bookmarkStart w:id="144" w:name="_Toc184313306"/>
      <w:bookmarkEnd w:id="144"/>
      <w:bookmarkStart w:id="145" w:name="_Toc184310278"/>
      <w:bookmarkEnd w:id="145"/>
      <w:bookmarkStart w:id="146" w:name="_Toc184313273"/>
      <w:bookmarkEnd w:id="146"/>
      <w:bookmarkStart w:id="147" w:name="_Toc184313299"/>
      <w:bookmarkEnd w:id="147"/>
      <w:bookmarkStart w:id="148" w:name="_Toc184312108"/>
      <w:bookmarkEnd w:id="148"/>
      <w:bookmarkStart w:id="149" w:name="_Toc184314469"/>
      <w:bookmarkEnd w:id="149"/>
      <w:bookmarkStart w:id="150" w:name="_Toc184312103"/>
      <w:bookmarkEnd w:id="150"/>
      <w:bookmarkStart w:id="151" w:name="_Toc184308043"/>
      <w:bookmarkEnd w:id="151"/>
      <w:bookmarkStart w:id="152" w:name="_Toc184314443"/>
      <w:bookmarkEnd w:id="152"/>
      <w:bookmarkStart w:id="153" w:name="_Toc184313277"/>
      <w:bookmarkEnd w:id="153"/>
      <w:bookmarkStart w:id="154" w:name="_Toc184314427"/>
      <w:bookmarkEnd w:id="154"/>
      <w:bookmarkStart w:id="155" w:name="_Toc184314412"/>
      <w:bookmarkEnd w:id="155"/>
      <w:bookmarkStart w:id="156" w:name="_Toc184313239"/>
      <w:bookmarkEnd w:id="156"/>
      <w:bookmarkStart w:id="157" w:name="_Toc184310276"/>
      <w:bookmarkEnd w:id="157"/>
      <w:bookmarkStart w:id="158" w:name="_Toc184314415"/>
      <w:bookmarkEnd w:id="158"/>
      <w:bookmarkStart w:id="159" w:name="_Toc184310289"/>
      <w:bookmarkEnd w:id="159"/>
      <w:bookmarkStart w:id="160" w:name="_Toc184308083"/>
      <w:bookmarkEnd w:id="160"/>
      <w:bookmarkStart w:id="161" w:name="_Toc184308064"/>
      <w:bookmarkEnd w:id="161"/>
      <w:bookmarkStart w:id="162" w:name="_Toc184308092"/>
      <w:bookmarkEnd w:id="162"/>
      <w:bookmarkStart w:id="163" w:name="_Toc184314426"/>
      <w:bookmarkEnd w:id="163"/>
      <w:bookmarkStart w:id="164" w:name="_Toc184313267"/>
      <w:bookmarkEnd w:id="164"/>
      <w:bookmarkStart w:id="165" w:name="_Toc184308093"/>
      <w:bookmarkEnd w:id="165"/>
      <w:bookmarkStart w:id="166" w:name="_Toc184313252"/>
      <w:bookmarkEnd w:id="166"/>
      <w:bookmarkStart w:id="167" w:name="_Toc184314459"/>
      <w:bookmarkEnd w:id="167"/>
      <w:bookmarkStart w:id="168" w:name="_Toc184312110"/>
      <w:bookmarkEnd w:id="168"/>
      <w:bookmarkStart w:id="169" w:name="_Toc184310307"/>
      <w:bookmarkEnd w:id="169"/>
      <w:bookmarkStart w:id="170" w:name="_Toc184312093"/>
      <w:bookmarkEnd w:id="170"/>
      <w:bookmarkStart w:id="171" w:name="_Toc184310319"/>
      <w:bookmarkEnd w:id="171"/>
      <w:bookmarkStart w:id="172" w:name="_Toc184314435"/>
      <w:bookmarkEnd w:id="172"/>
      <w:bookmarkStart w:id="173" w:name="_Toc184312112"/>
      <w:bookmarkEnd w:id="173"/>
      <w:bookmarkStart w:id="174" w:name="_Toc184312079"/>
      <w:bookmarkEnd w:id="174"/>
      <w:bookmarkStart w:id="175" w:name="_Toc184314432"/>
      <w:bookmarkEnd w:id="175"/>
      <w:bookmarkStart w:id="176" w:name="_Toc184308077"/>
      <w:bookmarkEnd w:id="176"/>
      <w:bookmarkStart w:id="177" w:name="_Toc184313305"/>
      <w:bookmarkEnd w:id="177"/>
      <w:bookmarkStart w:id="178" w:name="_Toc184314454"/>
      <w:bookmarkEnd w:id="178"/>
      <w:bookmarkStart w:id="179" w:name="_Toc184314463"/>
      <w:bookmarkEnd w:id="179"/>
      <w:bookmarkStart w:id="180" w:name="_Toc184312096"/>
      <w:bookmarkEnd w:id="180"/>
      <w:bookmarkStart w:id="181" w:name="_Toc184313242"/>
      <w:bookmarkEnd w:id="181"/>
      <w:bookmarkStart w:id="182" w:name="_Toc184313266"/>
      <w:bookmarkEnd w:id="182"/>
      <w:bookmarkStart w:id="183" w:name="_Toc184314425"/>
      <w:bookmarkEnd w:id="183"/>
      <w:bookmarkStart w:id="184" w:name="_Toc184310329"/>
      <w:bookmarkEnd w:id="184"/>
      <w:bookmarkStart w:id="185" w:name="_Toc184314446"/>
      <w:bookmarkEnd w:id="185"/>
      <w:bookmarkStart w:id="186" w:name="_Toc184308090"/>
      <w:bookmarkEnd w:id="186"/>
      <w:bookmarkStart w:id="187" w:name="_Toc184313262"/>
      <w:bookmarkEnd w:id="187"/>
      <w:bookmarkStart w:id="188" w:name="_Toc184313251"/>
      <w:bookmarkEnd w:id="188"/>
      <w:bookmarkStart w:id="189" w:name="_Toc184314452"/>
      <w:bookmarkEnd w:id="189"/>
      <w:bookmarkStart w:id="190" w:name="_Toc184313297"/>
      <w:bookmarkEnd w:id="190"/>
      <w:bookmarkStart w:id="191" w:name="_Toc184313292"/>
      <w:bookmarkEnd w:id="191"/>
      <w:bookmarkStart w:id="192" w:name="_Toc184312070"/>
      <w:bookmarkEnd w:id="192"/>
      <w:bookmarkStart w:id="193" w:name="_Toc184314437"/>
      <w:bookmarkEnd w:id="193"/>
      <w:bookmarkStart w:id="194" w:name="_Toc184310284"/>
      <w:bookmarkEnd w:id="194"/>
      <w:bookmarkStart w:id="195" w:name="_Toc184310298"/>
      <w:bookmarkEnd w:id="195"/>
      <w:bookmarkStart w:id="196" w:name="_Toc184312078"/>
      <w:bookmarkEnd w:id="196"/>
      <w:bookmarkStart w:id="197" w:name="_Toc184313290"/>
      <w:bookmarkEnd w:id="197"/>
      <w:bookmarkStart w:id="198" w:name="_Toc184310306"/>
      <w:bookmarkEnd w:id="198"/>
      <w:bookmarkStart w:id="199" w:name="_Toc184313238"/>
      <w:bookmarkEnd w:id="199"/>
      <w:bookmarkStart w:id="200" w:name="_Toc184308065"/>
      <w:bookmarkEnd w:id="200"/>
      <w:bookmarkStart w:id="201" w:name="_Toc184312134"/>
      <w:bookmarkEnd w:id="201"/>
      <w:bookmarkStart w:id="202" w:name="_Toc184312094"/>
      <w:bookmarkEnd w:id="202"/>
      <w:bookmarkStart w:id="203" w:name="_Toc184308054"/>
      <w:bookmarkEnd w:id="203"/>
      <w:bookmarkStart w:id="204" w:name="_Toc184313293"/>
      <w:bookmarkEnd w:id="204"/>
      <w:bookmarkStart w:id="205" w:name="_Toc184312129"/>
      <w:bookmarkEnd w:id="205"/>
      <w:bookmarkStart w:id="206" w:name="_Toc184312089"/>
      <w:bookmarkEnd w:id="206"/>
      <w:bookmarkStart w:id="207" w:name="_Toc184312104"/>
      <w:bookmarkEnd w:id="207"/>
      <w:bookmarkStart w:id="208" w:name="_Toc184308051"/>
      <w:bookmarkEnd w:id="208"/>
      <w:bookmarkStart w:id="209" w:name="_Toc184312131"/>
      <w:bookmarkEnd w:id="209"/>
      <w:bookmarkStart w:id="210" w:name="_Toc184314419"/>
      <w:bookmarkEnd w:id="210"/>
      <w:bookmarkStart w:id="211" w:name="_Toc184310294"/>
      <w:bookmarkEnd w:id="211"/>
      <w:bookmarkStart w:id="212" w:name="_Toc184308050"/>
      <w:bookmarkEnd w:id="212"/>
      <w:bookmarkStart w:id="213" w:name="_Toc184314423"/>
      <w:bookmarkEnd w:id="213"/>
      <w:bookmarkStart w:id="214" w:name="_Toc184313285"/>
      <w:bookmarkEnd w:id="214"/>
      <w:bookmarkStart w:id="215" w:name="_Toc184313287"/>
      <w:bookmarkEnd w:id="215"/>
      <w:bookmarkStart w:id="216" w:name="_Toc184312115"/>
      <w:bookmarkEnd w:id="216"/>
      <w:bookmarkStart w:id="217" w:name="_Toc184308060"/>
      <w:bookmarkEnd w:id="217"/>
      <w:bookmarkStart w:id="218" w:name="_Toc184313263"/>
      <w:bookmarkEnd w:id="218"/>
      <w:bookmarkStart w:id="219" w:name="_Toc184314462"/>
      <w:bookmarkEnd w:id="219"/>
      <w:bookmarkStart w:id="220" w:name="_Toc184312097"/>
      <w:bookmarkEnd w:id="220"/>
      <w:bookmarkStart w:id="221" w:name="_Toc184312087"/>
      <w:bookmarkEnd w:id="221"/>
      <w:bookmarkStart w:id="222" w:name="_Toc184312084"/>
      <w:bookmarkEnd w:id="222"/>
      <w:bookmarkStart w:id="223" w:name="_Toc184308074"/>
      <w:bookmarkEnd w:id="223"/>
      <w:bookmarkStart w:id="224" w:name="_Toc184314460"/>
      <w:bookmarkEnd w:id="224"/>
      <w:bookmarkStart w:id="225" w:name="_Toc184308097"/>
      <w:bookmarkEnd w:id="225"/>
      <w:bookmarkStart w:id="226" w:name="_Toc184310290"/>
      <w:bookmarkEnd w:id="226"/>
      <w:bookmarkStart w:id="227" w:name="_Toc184313303"/>
      <w:bookmarkEnd w:id="227"/>
      <w:bookmarkStart w:id="228" w:name="_Toc184314478"/>
      <w:bookmarkEnd w:id="228"/>
      <w:bookmarkStart w:id="229" w:name="_Toc184314422"/>
      <w:bookmarkEnd w:id="229"/>
      <w:bookmarkStart w:id="230" w:name="_Toc184314438"/>
      <w:bookmarkEnd w:id="230"/>
      <w:bookmarkStart w:id="231" w:name="_Toc184314413"/>
      <w:bookmarkEnd w:id="231"/>
      <w:bookmarkStart w:id="232" w:name="_Toc184310323"/>
      <w:bookmarkEnd w:id="232"/>
      <w:bookmarkStart w:id="233" w:name="_Toc184310280"/>
      <w:bookmarkEnd w:id="233"/>
      <w:bookmarkStart w:id="234" w:name="_Toc184313243"/>
      <w:bookmarkEnd w:id="234"/>
      <w:bookmarkStart w:id="235" w:name="_Toc184313304"/>
      <w:bookmarkEnd w:id="235"/>
      <w:bookmarkStart w:id="236" w:name="_Toc184313264"/>
      <w:bookmarkEnd w:id="236"/>
      <w:bookmarkStart w:id="237" w:name="_Toc184313259"/>
      <w:bookmarkEnd w:id="237"/>
      <w:bookmarkStart w:id="238" w:name="_Toc184312132"/>
      <w:bookmarkEnd w:id="238"/>
      <w:bookmarkStart w:id="239" w:name="_Toc184312117"/>
      <w:bookmarkEnd w:id="239"/>
      <w:bookmarkStart w:id="240" w:name="_Toc184312081"/>
      <w:bookmarkEnd w:id="240"/>
      <w:bookmarkStart w:id="241" w:name="_Toc184312107"/>
      <w:bookmarkEnd w:id="241"/>
      <w:bookmarkStart w:id="242" w:name="_Toc184310291"/>
      <w:bookmarkEnd w:id="242"/>
      <w:bookmarkStart w:id="243" w:name="_Toc184310338"/>
      <w:bookmarkEnd w:id="243"/>
      <w:bookmarkStart w:id="244" w:name="_Toc184308068"/>
      <w:bookmarkEnd w:id="244"/>
      <w:bookmarkStart w:id="245" w:name="_Toc184308046"/>
      <w:bookmarkEnd w:id="245"/>
      <w:bookmarkStart w:id="246" w:name="_Toc184308037"/>
      <w:bookmarkEnd w:id="246"/>
      <w:bookmarkStart w:id="247" w:name="_Toc184310335"/>
      <w:bookmarkEnd w:id="247"/>
      <w:bookmarkStart w:id="248" w:name="_Toc184314420"/>
      <w:bookmarkEnd w:id="248"/>
      <w:bookmarkStart w:id="249" w:name="_Toc184313296"/>
      <w:bookmarkEnd w:id="249"/>
      <w:bookmarkStart w:id="250" w:name="_Toc184308091"/>
      <w:bookmarkEnd w:id="250"/>
      <w:bookmarkStart w:id="251" w:name="_Toc184314482"/>
      <w:bookmarkEnd w:id="251"/>
      <w:bookmarkStart w:id="252" w:name="_Toc184308094"/>
      <w:bookmarkEnd w:id="252"/>
      <w:bookmarkStart w:id="253" w:name="_Toc184312130"/>
      <w:bookmarkEnd w:id="253"/>
      <w:bookmarkStart w:id="254" w:name="_Toc184313261"/>
      <w:bookmarkEnd w:id="254"/>
      <w:bookmarkStart w:id="255" w:name="_Toc184308049"/>
      <w:bookmarkEnd w:id="255"/>
      <w:bookmarkStart w:id="256" w:name="_Toc184313278"/>
      <w:bookmarkEnd w:id="256"/>
      <w:bookmarkStart w:id="257" w:name="_Toc184310301"/>
      <w:bookmarkEnd w:id="257"/>
      <w:bookmarkStart w:id="258" w:name="_Toc184308086"/>
      <w:bookmarkEnd w:id="258"/>
      <w:bookmarkStart w:id="259" w:name="_Toc184314434"/>
      <w:bookmarkEnd w:id="259"/>
      <w:bookmarkStart w:id="260" w:name="_Toc184310314"/>
      <w:bookmarkEnd w:id="260"/>
      <w:bookmarkStart w:id="261" w:name="_Toc184312086"/>
      <w:bookmarkEnd w:id="261"/>
      <w:bookmarkStart w:id="262" w:name="_Toc184310334"/>
      <w:bookmarkEnd w:id="262"/>
      <w:bookmarkStart w:id="263" w:name="_Toc184308108"/>
      <w:bookmarkEnd w:id="263"/>
      <w:bookmarkStart w:id="264" w:name="_Toc184314410"/>
      <w:bookmarkEnd w:id="264"/>
      <w:bookmarkStart w:id="265" w:name="_Toc184313254"/>
      <w:bookmarkEnd w:id="265"/>
      <w:bookmarkStart w:id="266" w:name="_Toc184313257"/>
      <w:bookmarkEnd w:id="266"/>
      <w:bookmarkStart w:id="267" w:name="_Toc184313244"/>
      <w:bookmarkEnd w:id="267"/>
      <w:bookmarkStart w:id="268" w:name="_Toc184312127"/>
      <w:bookmarkEnd w:id="268"/>
      <w:bookmarkStart w:id="269" w:name="_Toc184313272"/>
      <w:bookmarkEnd w:id="269"/>
      <w:bookmarkStart w:id="270" w:name="_Toc184314447"/>
      <w:bookmarkEnd w:id="270"/>
      <w:bookmarkStart w:id="271" w:name="_Toc184310343"/>
      <w:bookmarkEnd w:id="271"/>
      <w:bookmarkStart w:id="272" w:name="_Toc184310313"/>
      <w:bookmarkEnd w:id="272"/>
      <w:bookmarkStart w:id="273" w:name="_Toc184308047"/>
      <w:bookmarkEnd w:id="273"/>
      <w:bookmarkStart w:id="274" w:name="_Toc184313250"/>
      <w:bookmarkEnd w:id="274"/>
      <w:bookmarkStart w:id="275" w:name="_Toc184314429"/>
      <w:bookmarkEnd w:id="275"/>
      <w:bookmarkStart w:id="276" w:name="_Toc184310303"/>
      <w:bookmarkEnd w:id="276"/>
      <w:bookmarkStart w:id="277" w:name="_Toc184310316"/>
      <w:bookmarkEnd w:id="277"/>
      <w:bookmarkStart w:id="278" w:name="_Toc184310315"/>
      <w:bookmarkEnd w:id="278"/>
      <w:bookmarkStart w:id="279" w:name="_Toc184312116"/>
      <w:bookmarkEnd w:id="279"/>
      <w:bookmarkStart w:id="280" w:name="_Toc184313268"/>
      <w:bookmarkEnd w:id="280"/>
      <w:bookmarkStart w:id="281" w:name="_Toc184314445"/>
      <w:bookmarkEnd w:id="281"/>
      <w:bookmarkStart w:id="282" w:name="_Toc184313286"/>
      <w:bookmarkEnd w:id="282"/>
      <w:bookmarkStart w:id="283" w:name="_Toc184314436"/>
      <w:bookmarkEnd w:id="283"/>
      <w:bookmarkStart w:id="284" w:name="_Toc184308102"/>
      <w:bookmarkEnd w:id="284"/>
      <w:bookmarkStart w:id="285" w:name="_Toc184312092"/>
      <w:bookmarkEnd w:id="285"/>
      <w:bookmarkStart w:id="286" w:name="_Toc184312085"/>
      <w:bookmarkEnd w:id="286"/>
      <w:bookmarkStart w:id="287" w:name="_Toc184312111"/>
      <w:bookmarkEnd w:id="287"/>
      <w:bookmarkStart w:id="288" w:name="_Toc184312075"/>
      <w:bookmarkEnd w:id="288"/>
      <w:bookmarkStart w:id="289" w:name="_Toc184312118"/>
      <w:bookmarkEnd w:id="289"/>
      <w:bookmarkStart w:id="290" w:name="_Toc184310336"/>
      <w:bookmarkEnd w:id="290"/>
      <w:bookmarkStart w:id="291" w:name="_Toc184310339"/>
      <w:bookmarkEnd w:id="291"/>
      <w:bookmarkStart w:id="292" w:name="_Toc184314428"/>
      <w:bookmarkEnd w:id="292"/>
      <w:bookmarkStart w:id="293" w:name="_Toc184312123"/>
      <w:bookmarkEnd w:id="293"/>
      <w:bookmarkStart w:id="294" w:name="_Toc184310297"/>
      <w:bookmarkEnd w:id="294"/>
      <w:bookmarkStart w:id="295" w:name="_Toc184314475"/>
      <w:bookmarkEnd w:id="295"/>
      <w:bookmarkStart w:id="296" w:name="_Toc184314448"/>
      <w:bookmarkEnd w:id="296"/>
      <w:bookmarkStart w:id="297" w:name="_Toc184310324"/>
      <w:bookmarkEnd w:id="297"/>
      <w:bookmarkStart w:id="298" w:name="_Toc184310286"/>
      <w:bookmarkEnd w:id="298"/>
      <w:bookmarkStart w:id="299" w:name="_Toc184313302"/>
      <w:bookmarkEnd w:id="299"/>
      <w:bookmarkStart w:id="300" w:name="_Toc184308088"/>
      <w:bookmarkEnd w:id="300"/>
      <w:bookmarkStart w:id="301" w:name="_Toc184314442"/>
      <w:bookmarkEnd w:id="301"/>
      <w:bookmarkStart w:id="302" w:name="_Toc184313295"/>
      <w:bookmarkEnd w:id="302"/>
      <w:bookmarkStart w:id="303" w:name="_Toc184310340"/>
      <w:bookmarkEnd w:id="303"/>
      <w:bookmarkStart w:id="304" w:name="_Toc184310288"/>
      <w:bookmarkEnd w:id="304"/>
      <w:bookmarkStart w:id="305" w:name="_Toc184308057"/>
      <w:bookmarkEnd w:id="305"/>
      <w:bookmarkStart w:id="306" w:name="_Toc184314449"/>
      <w:bookmarkEnd w:id="306"/>
      <w:bookmarkStart w:id="307" w:name="_Toc184314417"/>
      <w:bookmarkEnd w:id="307"/>
      <w:bookmarkStart w:id="308" w:name="_Toc184314424"/>
      <w:bookmarkEnd w:id="308"/>
      <w:bookmarkStart w:id="309" w:name="_Toc184308087"/>
      <w:bookmarkEnd w:id="309"/>
      <w:bookmarkStart w:id="310" w:name="_Toc184310321"/>
      <w:bookmarkEnd w:id="310"/>
      <w:bookmarkStart w:id="311" w:name="_Toc184314431"/>
      <w:bookmarkEnd w:id="311"/>
      <w:bookmarkStart w:id="312" w:name="_Toc184314457"/>
      <w:bookmarkEnd w:id="312"/>
      <w:bookmarkStart w:id="313" w:name="_Toc184314441"/>
      <w:bookmarkEnd w:id="313"/>
      <w:bookmarkStart w:id="314" w:name="_Toc184314479"/>
      <w:bookmarkEnd w:id="314"/>
      <w:bookmarkStart w:id="315" w:name="_Toc184310327"/>
      <w:bookmarkEnd w:id="315"/>
      <w:bookmarkStart w:id="316" w:name="_Toc184312069"/>
      <w:bookmarkEnd w:id="316"/>
      <w:bookmarkStart w:id="317" w:name="_Toc184314474"/>
      <w:bookmarkEnd w:id="317"/>
      <w:bookmarkStart w:id="318" w:name="_Toc184313288"/>
      <w:bookmarkEnd w:id="318"/>
      <w:bookmarkStart w:id="319" w:name="_Toc184308081"/>
      <w:bookmarkEnd w:id="319"/>
      <w:bookmarkStart w:id="320" w:name="_Toc184310277"/>
      <w:bookmarkEnd w:id="320"/>
      <w:bookmarkStart w:id="321" w:name="_Toc184308061"/>
      <w:bookmarkEnd w:id="321"/>
      <w:bookmarkStart w:id="322" w:name="_Toc184312124"/>
      <w:bookmarkEnd w:id="322"/>
      <w:bookmarkStart w:id="323" w:name="_Toc184308075"/>
      <w:bookmarkEnd w:id="323"/>
      <w:bookmarkStart w:id="324" w:name="_Toc184312125"/>
      <w:bookmarkEnd w:id="324"/>
      <w:bookmarkStart w:id="325" w:name="_Toc184313245"/>
      <w:bookmarkEnd w:id="325"/>
      <w:bookmarkStart w:id="326" w:name="_Toc184310333"/>
      <w:bookmarkEnd w:id="326"/>
      <w:bookmarkStart w:id="327" w:name="_Toc184308044"/>
      <w:bookmarkEnd w:id="327"/>
      <w:bookmarkStart w:id="328" w:name="_Toc184308066"/>
      <w:bookmarkEnd w:id="328"/>
      <w:bookmarkStart w:id="329" w:name="_Toc184310342"/>
      <w:bookmarkEnd w:id="329"/>
      <w:bookmarkStart w:id="330" w:name="_Toc184308105"/>
      <w:bookmarkEnd w:id="330"/>
      <w:bookmarkStart w:id="331" w:name="_Toc184310273"/>
      <w:bookmarkEnd w:id="331"/>
      <w:bookmarkStart w:id="332" w:name="_Toc184313241"/>
      <w:bookmarkEnd w:id="332"/>
      <w:bookmarkStart w:id="333" w:name="_Toc184308072"/>
      <w:bookmarkEnd w:id="333"/>
      <w:bookmarkStart w:id="334" w:name="_Toc184312071"/>
      <w:bookmarkEnd w:id="334"/>
      <w:bookmarkStart w:id="335" w:name="_Toc184310328"/>
      <w:bookmarkEnd w:id="335"/>
      <w:bookmarkStart w:id="336" w:name="_Toc184308041"/>
      <w:bookmarkEnd w:id="336"/>
      <w:bookmarkStart w:id="337" w:name="_Toc184312090"/>
      <w:bookmarkEnd w:id="337"/>
      <w:bookmarkStart w:id="338" w:name="_Toc184310344"/>
      <w:bookmarkEnd w:id="338"/>
      <w:bookmarkStart w:id="339" w:name="_Toc184312099"/>
      <w:bookmarkEnd w:id="339"/>
      <w:bookmarkStart w:id="340" w:name="_Toc184313280"/>
      <w:bookmarkEnd w:id="340"/>
      <w:bookmarkStart w:id="341" w:name="_Toc184313270"/>
      <w:bookmarkEnd w:id="341"/>
      <w:bookmarkStart w:id="342" w:name="_Toc184312136"/>
      <w:bookmarkEnd w:id="342"/>
      <w:bookmarkStart w:id="343" w:name="_Toc184314472"/>
      <w:bookmarkEnd w:id="343"/>
      <w:bookmarkStart w:id="344" w:name="_Toc184310317"/>
      <w:bookmarkEnd w:id="344"/>
      <w:bookmarkStart w:id="345" w:name="_Toc184308040"/>
      <w:bookmarkEnd w:id="345"/>
      <w:bookmarkStart w:id="346" w:name="_Toc184308055"/>
      <w:bookmarkEnd w:id="346"/>
      <w:bookmarkStart w:id="347" w:name="_Toc184308084"/>
      <w:bookmarkEnd w:id="347"/>
      <w:bookmarkStart w:id="348" w:name="_Toc184313308"/>
      <w:bookmarkEnd w:id="348"/>
      <w:bookmarkStart w:id="349" w:name="_Toc184313253"/>
      <w:bookmarkEnd w:id="349"/>
      <w:bookmarkStart w:id="350" w:name="_Toc184308089"/>
      <w:bookmarkEnd w:id="350"/>
      <w:bookmarkStart w:id="351" w:name="_Toc184310293"/>
      <w:bookmarkEnd w:id="351"/>
      <w:bookmarkStart w:id="352" w:name="_Toc184314430"/>
      <w:bookmarkEnd w:id="352"/>
      <w:bookmarkStart w:id="353" w:name="_Toc184314450"/>
      <w:bookmarkEnd w:id="353"/>
      <w:bookmarkStart w:id="354" w:name="_Toc184308079"/>
      <w:bookmarkEnd w:id="354"/>
      <w:bookmarkStart w:id="355" w:name="_Toc184313265"/>
      <w:bookmarkEnd w:id="355"/>
      <w:bookmarkStart w:id="356" w:name="_Toc184312139"/>
      <w:bookmarkEnd w:id="356"/>
      <w:bookmarkStart w:id="357" w:name="_Toc184313307"/>
      <w:bookmarkEnd w:id="357"/>
      <w:bookmarkStart w:id="358" w:name="_Toc184312091"/>
      <w:bookmarkEnd w:id="358"/>
      <w:bookmarkStart w:id="359" w:name="_Toc184312119"/>
      <w:bookmarkEnd w:id="359"/>
      <w:bookmarkStart w:id="360" w:name="_Toc184310326"/>
      <w:bookmarkEnd w:id="360"/>
      <w:bookmarkStart w:id="361" w:name="_Toc184314458"/>
      <w:bookmarkEnd w:id="361"/>
      <w:bookmarkStart w:id="362" w:name="_Toc184310312"/>
      <w:bookmarkEnd w:id="362"/>
      <w:bookmarkStart w:id="363" w:name="_Toc184308038"/>
      <w:bookmarkEnd w:id="363"/>
      <w:bookmarkStart w:id="364" w:name="_Toc184308062"/>
      <w:bookmarkEnd w:id="364"/>
      <w:bookmarkStart w:id="365" w:name="_Toc184310279"/>
      <w:bookmarkEnd w:id="365"/>
      <w:bookmarkStart w:id="366" w:name="_Toc184308045"/>
      <w:bookmarkEnd w:id="366"/>
      <w:bookmarkStart w:id="367" w:name="_Toc184313249"/>
      <w:bookmarkEnd w:id="367"/>
      <w:bookmarkStart w:id="368" w:name="_Toc184312073"/>
      <w:bookmarkEnd w:id="368"/>
      <w:bookmarkStart w:id="369" w:name="_Toc184313269"/>
      <w:bookmarkEnd w:id="369"/>
      <w:bookmarkStart w:id="370" w:name="_Toc184314453"/>
      <w:bookmarkEnd w:id="370"/>
      <w:bookmarkStart w:id="371" w:name="_Toc184312102"/>
      <w:bookmarkEnd w:id="371"/>
      <w:bookmarkStart w:id="372" w:name="_Toc184308104"/>
      <w:bookmarkEnd w:id="372"/>
      <w:bookmarkStart w:id="373" w:name="_Toc184314414"/>
      <w:bookmarkEnd w:id="373"/>
      <w:bookmarkStart w:id="374" w:name="_Toc184312120"/>
      <w:bookmarkEnd w:id="374"/>
      <w:bookmarkStart w:id="375" w:name="_Toc184314456"/>
      <w:bookmarkEnd w:id="375"/>
      <w:bookmarkStart w:id="376" w:name="_Toc184314421"/>
      <w:bookmarkEnd w:id="376"/>
      <w:bookmarkStart w:id="377" w:name="_Toc184308095"/>
      <w:bookmarkEnd w:id="377"/>
      <w:bookmarkStart w:id="378" w:name="_Toc184312109"/>
      <w:bookmarkEnd w:id="378"/>
      <w:bookmarkStart w:id="379" w:name="_Toc184308070"/>
      <w:bookmarkEnd w:id="379"/>
      <w:bookmarkStart w:id="380" w:name="_Toc184312122"/>
      <w:bookmarkEnd w:id="380"/>
      <w:bookmarkStart w:id="381" w:name="_Toc184312095"/>
      <w:bookmarkEnd w:id="381"/>
      <w:bookmarkStart w:id="382" w:name="_Toc184310325"/>
      <w:bookmarkEnd w:id="382"/>
      <w:bookmarkStart w:id="383" w:name="_Toc184313274"/>
      <w:bookmarkEnd w:id="383"/>
      <w:bookmarkStart w:id="384" w:name="_Toc184308098"/>
      <w:bookmarkEnd w:id="384"/>
      <w:r>
        <w:rPr>
          <w:rFonts w:hint="eastAsia" w:ascii="宋体" w:hAnsi="宋体" w:cs="宋体"/>
          <w:b/>
          <w:color w:val="auto"/>
          <w:sz w:val="36"/>
          <w:szCs w:val="36"/>
          <w:highlight w:val="none"/>
        </w:rPr>
        <w:t>评标办法</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 w:val="24"/>
        </w:rPr>
      </w:pPr>
      <w:r>
        <w:rPr>
          <w:rFonts w:hint="eastAsia" w:ascii="宋体" w:hAnsi="宋体" w:eastAsia="宋体" w:cs="宋体"/>
          <w:b/>
          <w:sz w:val="24"/>
        </w:rPr>
        <w:t>评标细则如下：</w:t>
      </w:r>
      <w:r>
        <w:rPr>
          <w:rFonts w:hint="eastAsia" w:ascii="宋体" w:hAnsi="宋体" w:cs="宋体"/>
          <w:b/>
          <w:sz w:val="24"/>
        </w:rPr>
        <w:t>（技术商务</w:t>
      </w:r>
      <w:r>
        <w:rPr>
          <w:rFonts w:hint="eastAsia" w:ascii="宋体" w:hAnsi="宋体" w:cs="宋体"/>
          <w:b/>
          <w:sz w:val="24"/>
          <w:lang w:val="en-US" w:eastAsia="zh-CN"/>
        </w:rPr>
        <w:t>9</w:t>
      </w:r>
      <w:r>
        <w:rPr>
          <w:rFonts w:hint="eastAsia" w:ascii="宋体" w:hAnsi="宋体" w:cs="宋体"/>
          <w:b/>
          <w:color w:val="auto"/>
          <w:sz w:val="24"/>
          <w:lang w:val="en-US" w:eastAsia="zh-CN"/>
        </w:rPr>
        <w:t>0</w:t>
      </w:r>
      <w:r>
        <w:rPr>
          <w:rFonts w:hint="eastAsia" w:ascii="宋体" w:hAnsi="宋体" w:cs="宋体"/>
          <w:b/>
          <w:color w:val="auto"/>
          <w:sz w:val="24"/>
        </w:rPr>
        <w:t>分）</w:t>
      </w:r>
    </w:p>
    <w:tbl>
      <w:tblPr>
        <w:tblStyle w:val="64"/>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46"/>
        <w:gridCol w:w="629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序号</w:t>
            </w:r>
          </w:p>
        </w:tc>
        <w:tc>
          <w:tcPr>
            <w:tcW w:w="554"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评分项</w:t>
            </w:r>
          </w:p>
        </w:tc>
        <w:tc>
          <w:tcPr>
            <w:tcW w:w="369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评分细则</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554"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体系认证</w:t>
            </w:r>
          </w:p>
        </w:tc>
        <w:tc>
          <w:tcPr>
            <w:tcW w:w="3693" w:type="pct"/>
            <w:noWrap/>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投标人同时具有ISO9001质量管理体系认证证书、ISO14001的环境管理体系认证证书、</w:t>
            </w:r>
            <w:r>
              <w:rPr>
                <w:rFonts w:hint="eastAsia" w:ascii="宋体" w:hAnsi="宋体" w:eastAsia="宋体" w:cs="宋体"/>
                <w:color w:val="auto"/>
                <w:sz w:val="24"/>
                <w:szCs w:val="24"/>
                <w:lang w:val="en-US" w:eastAsia="zh-CN"/>
              </w:rPr>
              <w:t>ISO45001职业健康安全管理体系认证证书</w:t>
            </w:r>
            <w:r>
              <w:rPr>
                <w:rFonts w:hint="eastAsia" w:ascii="宋体" w:hAnsi="宋体" w:eastAsia="宋体" w:cs="宋体"/>
                <w:color w:val="auto"/>
                <w:sz w:val="24"/>
                <w:szCs w:val="24"/>
                <w:lang w:val="zh-CN"/>
              </w:rPr>
              <w:t>，每个得1分，最高得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（注：须提供有效期内的相关证书原件扫描件，且均需在国家认证认可监督管理委员会官网www.cnca.gov.cn可查询及提供网页截图，并加盖投标人公章，否则不得分。）</w:t>
            </w:r>
          </w:p>
        </w:tc>
        <w:tc>
          <w:tcPr>
            <w:tcW w:w="433" w:type="pct"/>
            <w:noWrap/>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554" w:type="pct"/>
            <w:noWrap/>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业绩</w:t>
            </w:r>
          </w:p>
        </w:tc>
        <w:tc>
          <w:tcPr>
            <w:tcW w:w="3693"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w:t>
            </w:r>
            <w:r>
              <w:rPr>
                <w:rFonts w:hint="eastAsia" w:ascii="宋体" w:hAnsi="宋体" w:eastAsia="宋体" w:cs="宋体"/>
                <w:color w:val="auto"/>
                <w:sz w:val="24"/>
                <w:szCs w:val="24"/>
                <w:highlight w:val="none"/>
              </w:rPr>
              <w:t>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承担过</w:t>
            </w:r>
            <w:r>
              <w:rPr>
                <w:rFonts w:hint="eastAsia" w:ascii="宋体" w:hAnsi="宋体" w:eastAsia="宋体" w:cs="宋体"/>
                <w:color w:val="auto"/>
                <w:sz w:val="24"/>
                <w:szCs w:val="24"/>
                <w:highlight w:val="none"/>
                <w:lang w:val="en-US" w:eastAsia="zh-CN"/>
              </w:rPr>
              <w:t>农村生活污水运维项目</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topLinePunct w:val="0"/>
              <w:bidi w:val="0"/>
              <w:spacing w:line="360" w:lineRule="auto"/>
              <w:jc w:val="left"/>
              <w:rPr>
                <w:rFonts w:hint="eastAsia" w:ascii="宋体" w:hAnsi="宋体" w:eastAsia="宋体" w:cs="宋体"/>
                <w:color w:val="auto"/>
                <w:sz w:val="24"/>
                <w:szCs w:val="24"/>
                <w:lang w:val="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注：须同时提供中标通知书、合同原件扫描件</w:t>
            </w:r>
            <w:r>
              <w:rPr>
                <w:rFonts w:hint="eastAsia" w:ascii="宋体" w:hAnsi="宋体" w:eastAsia="宋体" w:cs="宋体"/>
                <w:b/>
                <w:bCs/>
                <w:color w:val="auto"/>
                <w:sz w:val="24"/>
                <w:szCs w:val="24"/>
                <w:highlight w:val="none"/>
                <w:lang w:val="en-US" w:eastAsia="zh-CN"/>
              </w:rPr>
              <w:t>并加盖投标人公章</w:t>
            </w:r>
            <w:r>
              <w:rPr>
                <w:rFonts w:hint="eastAsia" w:ascii="宋体" w:hAnsi="宋体" w:eastAsia="宋体" w:cs="宋体"/>
                <w:b/>
                <w:bCs/>
                <w:color w:val="auto"/>
                <w:sz w:val="24"/>
                <w:szCs w:val="24"/>
                <w:highlight w:val="none"/>
              </w:rPr>
              <w:t>，两者缺一不可，否则不得分</w:t>
            </w:r>
            <w:r>
              <w:rPr>
                <w:rFonts w:hint="eastAsia" w:ascii="宋体" w:hAnsi="宋体" w:eastAsia="宋体" w:cs="宋体"/>
                <w:b/>
                <w:bCs/>
                <w:color w:val="auto"/>
                <w:sz w:val="24"/>
                <w:szCs w:val="24"/>
                <w:highlight w:val="none"/>
                <w:lang w:eastAsia="zh-CN"/>
              </w:rPr>
              <w:t>。）</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554"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项目组人员</w:t>
            </w:r>
          </w:p>
        </w:tc>
        <w:tc>
          <w:tcPr>
            <w:tcW w:w="3693" w:type="pct"/>
            <w:noWrap/>
            <w:vAlign w:val="center"/>
          </w:tcPr>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（一）拟派项目组人员配备（按照承接三类项目所需基本条件配备）：</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1）运维技术负责人具备工程类中级工程师及以上职称，年龄在60岁以下，1名；</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2）化验室负责人具备环境类或化学类的中级工程师及以上职称，1名；</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3）环境保护类中级工程师1名；</w:t>
            </w:r>
          </w:p>
          <w:p>
            <w:pPr>
              <w:pStyle w:val="6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4）机电专业或自动化专业中级及以上工程师1名；</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7）专业操作人员：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①经过专业培训的运维养护员10名；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②持证电工1名；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③经过专业培训的地下管道疏通养护员（管道工）2名上；</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④采样员经过专业培训的采样员1名；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⑤经过专业培训的化验员1名；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⑥台帐资料员1名；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⑦安全管理员1名；</w:t>
            </w:r>
          </w:p>
          <w:p>
            <w:pPr>
              <w:spacing w:line="360" w:lineRule="auto"/>
              <w:rPr>
                <w:rFonts w:hint="eastAsia" w:ascii="宋体" w:hAnsi="宋体" w:eastAsia="宋体" w:cs="宋体"/>
                <w:color w:val="auto"/>
                <w:sz w:val="24"/>
                <w:szCs w:val="24"/>
                <w:highlight w:val="yellow"/>
                <w:lang w:val="en-US" w:eastAsia="zh-CN"/>
              </w:rPr>
            </w:pPr>
            <w:r>
              <w:rPr>
                <w:rFonts w:hint="eastAsia" w:ascii="宋体" w:hAnsi="宋体" w:eastAsia="宋体" w:cs="宋体"/>
                <w:b/>
                <w:bCs/>
                <w:color w:val="auto"/>
                <w:sz w:val="24"/>
                <w:szCs w:val="24"/>
                <w:highlight w:val="none"/>
                <w:lang w:val="en-US" w:eastAsia="zh-CN"/>
              </w:rPr>
              <w:t>以上人员配备齐全的得6分，配备不齐全不得分。</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（二）在满足三类项目所需基本条件人员配备的基础上，增加以下人员</w:t>
            </w:r>
            <w:r>
              <w:rPr>
                <w:rFonts w:hint="eastAsia" w:ascii="宋体" w:hAnsi="宋体" w:cs="宋体"/>
                <w:b/>
                <w:bCs/>
                <w:color w:val="auto"/>
                <w:sz w:val="24"/>
                <w:szCs w:val="24"/>
                <w:highlight w:val="none"/>
                <w:lang w:val="en-US" w:eastAsia="zh-CN"/>
              </w:rPr>
              <w:t>（基础人员不齐全，本项不得分）</w:t>
            </w:r>
            <w:r>
              <w:rPr>
                <w:rFonts w:hint="eastAsia" w:ascii="宋体" w:hAnsi="宋体" w:eastAsia="宋体" w:cs="宋体"/>
                <w:b/>
                <w:bCs/>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1）信息中心负责人具备中级及以上工程师（计算机或信息化专业），1名得1分，否则不得分；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2）给排水专业高级工程师1名及以上得1分；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3）环境保护类高级工程师1名及以上得1分；</w:t>
            </w:r>
          </w:p>
          <w:p>
            <w:pPr>
              <w:pStyle w:val="62"/>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4）机电专业高级工程师1名及以上得1分；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5）风景园林专业中级工程师1名及以上得1分；</w:t>
            </w:r>
          </w:p>
          <w:p>
            <w:pPr>
              <w:pStyle w:val="6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auto"/>
                <w:sz w:val="24"/>
                <w:szCs w:val="24"/>
                <w:highlight w:val="none"/>
                <w:lang w:val="en-US" w:eastAsia="zh-CN"/>
              </w:rPr>
              <w:t>专业操作人员：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①经过专业培训的运维养护员10名及以上，得0.5分；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②持证电工1名及以上，得0.5分；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③经过专业培训的地下管道疏通养护员（管道工）3名及以上，得0.5分；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④采样员经过专业培训的采样员1名及以上，得0.5分；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⑤经过专业培训的化验员1名及以上，得0.5分；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⑥平台管理员1名及以上，得0.5分；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⑦安全管理员1名及以上，得0.5分；</w:t>
            </w:r>
          </w:p>
          <w:p>
            <w:pPr>
              <w:pStyle w:val="62"/>
              <w:spacing w:line="360" w:lineRule="auto"/>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⑧信息报送员1名及以上</w:t>
            </w:r>
            <w:r>
              <w:rPr>
                <w:rFonts w:hint="eastAsia" w:ascii="宋体" w:hAnsi="宋体" w:eastAsia="宋体" w:cs="宋体"/>
                <w:color w:val="auto"/>
                <w:sz w:val="24"/>
                <w:szCs w:val="24"/>
                <w:highlight w:val="none"/>
                <w:lang w:val="en-US" w:eastAsia="zh-CN"/>
              </w:rPr>
              <w:t>，得0.5分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kinsoku/>
              <w:wordWrap/>
              <w:topLinePunct w:val="0"/>
              <w:bidi w:val="0"/>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注：（</w:t>
            </w:r>
            <w:r>
              <w:rPr>
                <w:rFonts w:hint="eastAsia" w:ascii="宋体" w:hAnsi="宋体" w:eastAsia="宋体" w:cs="宋体"/>
                <w:sz w:val="24"/>
                <w:szCs w:val="24"/>
                <w:lang w:val="en-US" w:eastAsia="zh-CN"/>
              </w:rPr>
              <w:t>以上（一）（二）两项，</w:t>
            </w:r>
            <w:r>
              <w:rPr>
                <w:rFonts w:hint="eastAsia" w:ascii="宋体" w:hAnsi="宋体" w:eastAsia="宋体" w:cs="宋体"/>
                <w:color w:val="auto"/>
                <w:sz w:val="24"/>
                <w:szCs w:val="24"/>
              </w:rPr>
              <w:t>提供相关人员必须是在职在岗人员，同一人员有多本证书的按一个人计算，提供相关人员证书的扫描件、投标截止前连续</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个月以上的政务服务网查询打印的社会保险参保证明；缴费单位和投标人名称必须一致，不提供或提供不全不得分。）</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pStyle w:val="259"/>
              <w:keepNext w:val="0"/>
              <w:keepLines w:val="0"/>
              <w:pageBreakBefore w:val="0"/>
              <w:widowControl/>
              <w:kinsoku/>
              <w:wordWrap/>
              <w:topLinePunct w:val="0"/>
              <w:bidi w:val="0"/>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4" w:type="pct"/>
            <w:noWrap/>
            <w:vAlign w:val="center"/>
          </w:tcPr>
          <w:p>
            <w:pPr>
              <w:pStyle w:val="259"/>
              <w:keepNext w:val="0"/>
              <w:keepLines w:val="0"/>
              <w:pageBreakBefore w:val="0"/>
              <w:widowControl/>
              <w:kinsoku/>
              <w:wordWrap/>
              <w:topLinePunct w:val="0"/>
              <w:bidi w:val="0"/>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车辆设备配备</w:t>
            </w:r>
          </w:p>
        </w:tc>
        <w:tc>
          <w:tcPr>
            <w:tcW w:w="3693" w:type="pct"/>
            <w:noWrap/>
            <w:vAlign w:val="center"/>
          </w:tcPr>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（一）拟派</w:t>
            </w:r>
            <w:r>
              <w:rPr>
                <w:rFonts w:hint="eastAsia" w:ascii="宋体" w:hAnsi="宋体" w:cs="宋体"/>
                <w:b/>
                <w:bCs/>
                <w:color w:val="auto"/>
                <w:sz w:val="24"/>
                <w:szCs w:val="24"/>
                <w:highlight w:val="none"/>
                <w:lang w:val="en-US" w:eastAsia="zh-CN"/>
              </w:rPr>
              <w:t>入本项目车辆设备</w:t>
            </w:r>
            <w:r>
              <w:rPr>
                <w:rFonts w:hint="eastAsia" w:ascii="宋体" w:hAnsi="宋体" w:eastAsia="宋体" w:cs="宋体"/>
                <w:b/>
                <w:bCs/>
                <w:color w:val="auto"/>
                <w:sz w:val="24"/>
                <w:szCs w:val="24"/>
                <w:highlight w:val="none"/>
                <w:lang w:val="en-US" w:eastAsia="zh-CN"/>
              </w:rPr>
              <w:t>配备（按照承接三类项目所需基本条件配备）：</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1）巡查车辆（汽车）2辆；</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2）吸污车（或吸粪车）1辆；</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3）管道冲洗车1辆；</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4）CCTV管道检测仪1套；</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5）小型管道疏通车1辆；</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6）管道内窥镜1套；</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7）移动水质检测设备（至少具备检测化学需氧量，总磷、氨氮三项能力）1套；</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8）毒气检测仪1套；</w:t>
            </w:r>
          </w:p>
          <w:p>
            <w:pPr>
              <w:pStyle w:val="259"/>
              <w:keepNext w:val="0"/>
              <w:keepLines w:val="0"/>
              <w:pageBreakBefore w:val="0"/>
              <w:widowControl/>
              <w:kinsoku/>
              <w:wordWrap/>
              <w:topLinePunct w:val="0"/>
              <w:bidi w:val="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9）移动供电设备1套；</w:t>
            </w:r>
          </w:p>
          <w:p>
            <w:pPr>
              <w:spacing w:line="360" w:lineRule="auto"/>
              <w:rPr>
                <w:rFonts w:hint="eastAsia" w:ascii="宋体" w:hAnsi="宋体" w:eastAsia="宋体" w:cs="宋体"/>
                <w:color w:val="auto"/>
                <w:sz w:val="24"/>
                <w:szCs w:val="24"/>
                <w:highlight w:val="yellow"/>
                <w:lang w:val="en-US" w:eastAsia="zh-CN"/>
              </w:rPr>
            </w:pPr>
            <w:r>
              <w:rPr>
                <w:rFonts w:hint="eastAsia" w:ascii="宋体" w:hAnsi="宋体" w:eastAsia="宋体" w:cs="宋体"/>
                <w:b/>
                <w:bCs/>
                <w:color w:val="auto"/>
                <w:sz w:val="24"/>
                <w:szCs w:val="24"/>
                <w:highlight w:val="none"/>
                <w:lang w:val="en-US" w:eastAsia="zh-CN"/>
              </w:rPr>
              <w:t>以上</w:t>
            </w:r>
            <w:r>
              <w:rPr>
                <w:rFonts w:hint="eastAsia" w:ascii="宋体" w:hAnsi="宋体" w:cs="宋体"/>
                <w:b/>
                <w:bCs/>
                <w:color w:val="auto"/>
                <w:sz w:val="24"/>
                <w:szCs w:val="24"/>
                <w:highlight w:val="none"/>
                <w:lang w:val="en-US" w:eastAsia="zh-CN"/>
              </w:rPr>
              <w:t>车辆设备</w:t>
            </w:r>
            <w:r>
              <w:rPr>
                <w:rFonts w:hint="eastAsia" w:ascii="宋体" w:hAnsi="宋体" w:eastAsia="宋体" w:cs="宋体"/>
                <w:b/>
                <w:bCs/>
                <w:color w:val="auto"/>
                <w:sz w:val="24"/>
                <w:szCs w:val="24"/>
                <w:highlight w:val="none"/>
                <w:lang w:val="en-US" w:eastAsia="zh-CN"/>
              </w:rPr>
              <w:t>配备齐全的得</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分，配备不齐全不得分。</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（二）在满足三类项目所需基本条件</w:t>
            </w:r>
            <w:r>
              <w:rPr>
                <w:rFonts w:hint="eastAsia" w:ascii="宋体" w:hAnsi="宋体" w:cs="宋体"/>
                <w:b/>
                <w:bCs/>
                <w:color w:val="auto"/>
                <w:sz w:val="24"/>
                <w:szCs w:val="24"/>
                <w:highlight w:val="none"/>
                <w:lang w:val="en-US" w:eastAsia="zh-CN"/>
              </w:rPr>
              <w:t>车辆设备</w:t>
            </w:r>
            <w:r>
              <w:rPr>
                <w:rFonts w:hint="eastAsia" w:ascii="宋体" w:hAnsi="宋体" w:eastAsia="宋体" w:cs="宋体"/>
                <w:b/>
                <w:bCs/>
                <w:color w:val="auto"/>
                <w:sz w:val="24"/>
                <w:szCs w:val="24"/>
                <w:highlight w:val="none"/>
                <w:lang w:val="en-US" w:eastAsia="zh-CN"/>
              </w:rPr>
              <w:t>的基础上，增加以下</w:t>
            </w:r>
            <w:r>
              <w:rPr>
                <w:rFonts w:hint="eastAsia" w:ascii="宋体" w:hAnsi="宋体" w:cs="宋体"/>
                <w:b/>
                <w:bCs/>
                <w:color w:val="auto"/>
                <w:sz w:val="24"/>
                <w:szCs w:val="24"/>
                <w:highlight w:val="none"/>
                <w:lang w:val="en-US" w:eastAsia="zh-CN"/>
              </w:rPr>
              <w:t>车辆设备（基础车辆设备不齐全，本项不得分）</w:t>
            </w:r>
            <w:r>
              <w:rPr>
                <w:rFonts w:hint="eastAsia" w:ascii="宋体" w:hAnsi="宋体" w:eastAsia="宋体" w:cs="宋体"/>
                <w:b/>
                <w:bCs/>
                <w:color w:val="auto"/>
                <w:sz w:val="24"/>
                <w:szCs w:val="24"/>
                <w:highlight w:val="none"/>
                <w:lang w:val="en-US" w:eastAsia="zh-CN"/>
              </w:rPr>
              <w:t>：</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1）巡查车辆（汽车）</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辆</w:t>
            </w:r>
            <w:r>
              <w:rPr>
                <w:rFonts w:hint="eastAsia" w:ascii="宋体" w:hAnsi="宋体" w:cs="宋体"/>
                <w:sz w:val="24"/>
                <w:szCs w:val="24"/>
                <w:lang w:val="en-US" w:eastAsia="zh-CN"/>
              </w:rPr>
              <w:t>及以上得1分；</w:t>
            </w:r>
          </w:p>
          <w:p>
            <w:pPr>
              <w:pStyle w:val="259"/>
              <w:keepNext w:val="0"/>
              <w:keepLines w:val="0"/>
              <w:pageBreakBefore w:val="0"/>
              <w:widowControl/>
              <w:kinsoku/>
              <w:wordWrap/>
              <w:topLinePunct w:val="0"/>
              <w:bidi w:val="0"/>
              <w:spacing w:line="360" w:lineRule="auto"/>
              <w:ind w:firstLine="0" w:firstLineChars="0"/>
              <w:jc w:val="left"/>
              <w:rPr>
                <w:rFonts w:hint="default" w:ascii="宋体" w:hAnsi="宋体" w:cs="宋体"/>
                <w:sz w:val="24"/>
                <w:szCs w:val="24"/>
                <w:lang w:val="en-US" w:eastAsia="zh-CN"/>
              </w:rPr>
            </w:pPr>
            <w:r>
              <w:rPr>
                <w:rFonts w:hint="eastAsia" w:ascii="宋体" w:hAnsi="宋体" w:eastAsia="宋体" w:cs="宋体"/>
                <w:sz w:val="24"/>
                <w:szCs w:val="24"/>
                <w:lang w:val="en-US" w:eastAsia="zh-CN"/>
              </w:rPr>
              <w:t>2）吸污车（</w:t>
            </w:r>
            <w:r>
              <w:rPr>
                <w:rFonts w:hint="eastAsia" w:ascii="宋体" w:hAnsi="宋体" w:cs="宋体"/>
                <w:sz w:val="24"/>
                <w:szCs w:val="24"/>
                <w:lang w:val="en-US" w:eastAsia="zh-CN"/>
              </w:rPr>
              <w:t>至少1辆4吨以上</w:t>
            </w:r>
            <w:r>
              <w:rPr>
                <w:rFonts w:hint="eastAsia" w:ascii="宋体" w:hAnsi="宋体" w:eastAsia="宋体" w:cs="宋体"/>
                <w:sz w:val="24"/>
                <w:szCs w:val="24"/>
                <w:lang w:val="en-US" w:eastAsia="zh-CN"/>
              </w:rPr>
              <w:t>）1辆</w:t>
            </w:r>
            <w:r>
              <w:rPr>
                <w:rFonts w:hint="eastAsia" w:ascii="宋体" w:hAnsi="宋体" w:cs="宋体"/>
                <w:sz w:val="24"/>
                <w:szCs w:val="24"/>
                <w:lang w:val="en-US" w:eastAsia="zh-CN"/>
              </w:rPr>
              <w:t>及以上得1分；</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3）管道冲洗车1辆</w:t>
            </w:r>
            <w:r>
              <w:rPr>
                <w:rFonts w:hint="eastAsia" w:ascii="宋体" w:hAnsi="宋体" w:cs="宋体"/>
                <w:sz w:val="24"/>
                <w:szCs w:val="24"/>
                <w:lang w:val="en-US" w:eastAsia="zh-CN"/>
              </w:rPr>
              <w:t>及以上得1分</w:t>
            </w:r>
            <w:r>
              <w:rPr>
                <w:rFonts w:hint="eastAsia" w:ascii="宋体" w:hAnsi="宋体" w:eastAsia="宋体" w:cs="宋体"/>
                <w:sz w:val="24"/>
                <w:szCs w:val="24"/>
                <w:lang w:val="en-US" w:eastAsia="zh-CN"/>
              </w:rPr>
              <w:t>；</w:t>
            </w:r>
          </w:p>
          <w:p>
            <w:pPr>
              <w:pStyle w:val="259"/>
              <w:keepNext w:val="0"/>
              <w:keepLines w:val="0"/>
              <w:pageBreakBefore w:val="0"/>
              <w:widowControl/>
              <w:kinsoku/>
              <w:wordWrap/>
              <w:topLinePunct w:val="0"/>
              <w:bidi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4）毒气检测仪4套及以上</w:t>
            </w:r>
            <w:r>
              <w:rPr>
                <w:rFonts w:hint="eastAsia" w:ascii="宋体" w:hAnsi="宋体" w:cs="宋体"/>
                <w:sz w:val="24"/>
                <w:szCs w:val="24"/>
                <w:lang w:val="en-US" w:eastAsia="zh-CN"/>
              </w:rPr>
              <w:t>得1分</w:t>
            </w:r>
            <w:r>
              <w:rPr>
                <w:rFonts w:hint="eastAsia" w:ascii="宋体" w:hAnsi="宋体" w:eastAsia="宋体" w:cs="宋体"/>
                <w:sz w:val="24"/>
                <w:szCs w:val="24"/>
                <w:lang w:val="en-US" w:eastAsia="zh-CN"/>
              </w:rPr>
              <w:t>；</w:t>
            </w:r>
          </w:p>
          <w:p>
            <w:pPr>
              <w:pStyle w:val="259"/>
              <w:keepNext w:val="0"/>
              <w:keepLines w:val="0"/>
              <w:pageBreakBefore w:val="0"/>
              <w:widowControl/>
              <w:kinsoku/>
              <w:wordWrap/>
              <w:topLinePunct w:val="0"/>
              <w:bidi w:val="0"/>
              <w:spacing w:line="360" w:lineRule="auto"/>
              <w:ind w:firstLine="0" w:firstLineChars="0"/>
              <w:jc w:val="left"/>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注：以上（一）（二）两项，车辆可以自有或租赁，提供车辆登记证复印件、行驶证复印件、发票复印件、租赁合同等相关证明材料。</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auto"/>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pStyle w:val="516"/>
              <w:keepNext w:val="0"/>
              <w:keepLines w:val="0"/>
              <w:pageBreakBefore w:val="0"/>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55</w:t>
            </w:r>
          </w:p>
        </w:tc>
        <w:tc>
          <w:tcPr>
            <w:tcW w:w="554" w:type="pct"/>
            <w:noWrap/>
            <w:vAlign w:val="center"/>
          </w:tcPr>
          <w:p>
            <w:pPr>
              <w:pStyle w:val="516"/>
              <w:keepNext w:val="0"/>
              <w:keepLines w:val="0"/>
              <w:pageBreakBefore w:val="0"/>
              <w:kinsoku/>
              <w:wordWrap/>
              <w:topLinePunct w:val="0"/>
              <w:bidi w:val="0"/>
              <w:spacing w:line="36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化验室检测能力</w:t>
            </w:r>
          </w:p>
        </w:tc>
        <w:tc>
          <w:tcPr>
            <w:tcW w:w="3693" w:type="pct"/>
            <w:noWrap/>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sz w:val="24"/>
                <w:szCs w:val="24"/>
                <w:lang w:val="zh-CN"/>
              </w:rPr>
            </w:pPr>
            <w:r>
              <w:rPr>
                <w:rFonts w:hint="eastAsia" w:ascii="宋体" w:hAnsi="宋体" w:eastAsia="宋体" w:cs="宋体"/>
                <w:kern w:val="2"/>
                <w:sz w:val="24"/>
                <w:szCs w:val="24"/>
                <w:lang w:val="en-US" w:eastAsia="zh-CN"/>
              </w:rPr>
              <w:t>投标人自有水质实验室，</w:t>
            </w:r>
            <w:r>
              <w:rPr>
                <w:rFonts w:hint="eastAsia" w:ascii="宋体" w:hAnsi="宋体" w:eastAsia="宋体" w:cs="宋体"/>
                <w:kern w:val="2"/>
                <w:sz w:val="24"/>
                <w:szCs w:val="24"/>
                <w:lang w:val="zh-CN" w:eastAsia="zh-CN"/>
              </w:rPr>
              <w:t>具备检测pH，悬浮物（SS），化学需氧量（CODCR），总磷，总氮，氨氮（NH3-N），粪大肠杆菌</w:t>
            </w:r>
            <w:r>
              <w:rPr>
                <w:rFonts w:hint="eastAsia" w:ascii="宋体" w:hAnsi="宋体" w:eastAsia="宋体" w:cs="宋体"/>
                <w:kern w:val="2"/>
                <w:sz w:val="24"/>
                <w:szCs w:val="24"/>
                <w:lang w:val="en-US" w:eastAsia="zh-CN"/>
              </w:rPr>
              <w:t>和动植物油</w:t>
            </w:r>
            <w:r>
              <w:rPr>
                <w:rFonts w:hint="eastAsia" w:ascii="宋体" w:hAnsi="宋体" w:eastAsia="宋体" w:cs="宋体"/>
                <w:kern w:val="2"/>
                <w:sz w:val="24"/>
                <w:szCs w:val="24"/>
                <w:lang w:val="zh-CN" w:eastAsia="zh-CN"/>
              </w:rPr>
              <w:t>检测等项目的检测能力的，得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val="zh-CN" w:eastAsia="zh-CN"/>
              </w:rPr>
              <w:t>分，缺失任意一项则不得分。</w:t>
            </w:r>
          </w:p>
          <w:p>
            <w:pPr>
              <w:pStyle w:val="516"/>
              <w:keepNext w:val="0"/>
              <w:keepLines w:val="0"/>
              <w:pageBreakBefore w:val="0"/>
              <w:kinsoku/>
              <w:wordWrap/>
              <w:topLinePunct w:val="0"/>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提供实验室检测设备的发票复印件及照片等相关证明材料，不提供或提供不全不得分</w:t>
            </w:r>
            <w:r>
              <w:rPr>
                <w:rFonts w:hint="eastAsia" w:ascii="宋体" w:hAnsi="宋体" w:eastAsia="宋体" w:cs="宋体"/>
                <w:sz w:val="24"/>
                <w:szCs w:val="24"/>
                <w:lang w:val="zh-CN" w:eastAsia="zh-CN"/>
              </w:rPr>
              <w:t>）。</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54" w:type="pct"/>
            <w:noWrap/>
            <w:vAlign w:val="center"/>
          </w:tcPr>
          <w:p>
            <w:pPr>
              <w:keepNext w:val="0"/>
              <w:keepLines w:val="0"/>
              <w:pageBreakBefore w:val="0"/>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运维方案</w:t>
            </w:r>
          </w:p>
        </w:tc>
        <w:tc>
          <w:tcPr>
            <w:tcW w:w="3693" w:type="pct"/>
            <w:noWrap/>
            <w:vAlign w:val="center"/>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投标人针对本项目设置的运维方案的科学性、合理性、规范性和可操作性的阐述，</w:t>
            </w:r>
            <w:r>
              <w:rPr>
                <w:rFonts w:hint="eastAsia" w:ascii="宋体" w:hAnsi="宋体" w:cs="宋体"/>
                <w:sz w:val="24"/>
                <w:szCs w:val="24"/>
                <w:lang w:val="zh-CN"/>
              </w:rPr>
              <w:t>方案好的得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554" w:type="pct"/>
            <w:noWrap/>
            <w:vAlign w:val="center"/>
          </w:tcPr>
          <w:p>
            <w:pPr>
              <w:keepNext w:val="0"/>
              <w:keepLines w:val="0"/>
              <w:pageBreakBefore w:val="0"/>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管理措施及考核制度</w:t>
            </w:r>
          </w:p>
        </w:tc>
        <w:tc>
          <w:tcPr>
            <w:tcW w:w="3693" w:type="pct"/>
            <w:noWrap/>
            <w:vAlign w:val="center"/>
          </w:tcPr>
          <w:p>
            <w:pPr>
              <w:keepNext w:val="0"/>
              <w:keepLines w:val="0"/>
              <w:pageBreakBefore w:val="0"/>
              <w:kinsoku/>
              <w:wordWrap/>
              <w:topLinePunct w:val="0"/>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对投标供应商提供的针对本项目的运维管理措施及内部考核制度等内容进行打分</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制度</w:t>
            </w:r>
            <w:r>
              <w:rPr>
                <w:rFonts w:hint="eastAsia" w:ascii="宋体" w:hAnsi="宋体" w:cs="宋体"/>
                <w:sz w:val="24"/>
                <w:szCs w:val="24"/>
                <w:lang w:val="zh-CN"/>
              </w:rPr>
              <w:t>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554" w:type="pct"/>
            <w:noWrap/>
            <w:vAlign w:val="center"/>
          </w:tcPr>
          <w:p>
            <w:pPr>
              <w:keepNext w:val="0"/>
              <w:keepLines w:val="0"/>
              <w:pageBreakBefore w:val="0"/>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问题分析及解决措施</w:t>
            </w:r>
          </w:p>
        </w:tc>
        <w:tc>
          <w:tcPr>
            <w:tcW w:w="3693" w:type="pct"/>
            <w:noWrap/>
            <w:vAlign w:val="center"/>
          </w:tcPr>
          <w:p>
            <w:pPr>
              <w:keepNext w:val="0"/>
              <w:keepLines w:val="0"/>
              <w:pageBreakBefore w:val="0"/>
              <w:kinsoku/>
              <w:wordWrap/>
              <w:topLinePunct w:val="0"/>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投标人针对项目运维过程中设备及构筑物存在的问题原因分析及解决的措施阐述，</w:t>
            </w:r>
            <w:r>
              <w:rPr>
                <w:rFonts w:hint="eastAsia" w:ascii="宋体" w:hAnsi="宋体" w:cs="宋体"/>
                <w:sz w:val="24"/>
                <w:szCs w:val="24"/>
                <w:lang w:val="zh-CN"/>
              </w:rPr>
              <w:t>措施好的得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tabs>
                <w:tab w:val="left" w:pos="1080"/>
              </w:tabs>
              <w:kinsoku/>
              <w:wordWrap/>
              <w:topLinePunct w:val="0"/>
              <w:bidi w:val="0"/>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554" w:type="pct"/>
            <w:noWrap/>
            <w:vAlign w:val="center"/>
          </w:tcPr>
          <w:p>
            <w:pPr>
              <w:keepNext w:val="0"/>
              <w:keepLines w:val="0"/>
              <w:pageBreakBefore w:val="0"/>
              <w:tabs>
                <w:tab w:val="left" w:pos="1080"/>
              </w:tabs>
              <w:kinsoku/>
              <w:wordWrap/>
              <w:topLinePunct w:val="0"/>
              <w:bidi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重点、难点</w:t>
            </w:r>
          </w:p>
        </w:tc>
        <w:tc>
          <w:tcPr>
            <w:tcW w:w="3693" w:type="pct"/>
            <w:noWrap/>
            <w:vAlign w:val="center"/>
          </w:tcPr>
          <w:p>
            <w:pPr>
              <w:keepNext w:val="0"/>
              <w:keepLines w:val="0"/>
              <w:pageBreakBefore w:val="0"/>
              <w:tabs>
                <w:tab w:val="left" w:pos="1080"/>
              </w:tabs>
              <w:kinsoku/>
              <w:wordWrap/>
              <w:topLinePunct w:val="0"/>
              <w:bidi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rPr>
              <w:t>对本项目运行过程中重点、难点分析到位，对关键性技术问题的认识和应对措施表述明确</w:t>
            </w:r>
            <w:r>
              <w:rPr>
                <w:rFonts w:hint="eastAsia" w:ascii="宋体" w:hAnsi="宋体" w:eastAsia="宋体" w:cs="宋体"/>
                <w:sz w:val="24"/>
                <w:szCs w:val="24"/>
                <w:lang w:val="zh-CN"/>
              </w:rPr>
              <w:t>，</w:t>
            </w:r>
            <w:r>
              <w:rPr>
                <w:rFonts w:hint="eastAsia" w:ascii="宋体" w:hAnsi="宋体" w:cs="宋体"/>
                <w:sz w:val="24"/>
                <w:szCs w:val="24"/>
                <w:lang w:val="zh-CN"/>
              </w:rPr>
              <w:t>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p>
        </w:tc>
        <w:tc>
          <w:tcPr>
            <w:tcW w:w="554" w:type="pct"/>
            <w:noWrap/>
            <w:vAlign w:val="center"/>
          </w:tcPr>
          <w:p>
            <w:pPr>
              <w:keepNext w:val="0"/>
              <w:keepLines w:val="0"/>
              <w:pageBreakBefore w:val="0"/>
              <w:widowControl/>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突发应急事件</w:t>
            </w:r>
          </w:p>
        </w:tc>
        <w:tc>
          <w:tcPr>
            <w:tcW w:w="3693" w:type="pct"/>
            <w:noWrap/>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投标人针对本项目的突发应急事件（突然停水、停电情况治理、设备故障应急治理、水质超标紧急治理等）的治理预案是否合理、及时有效，</w:t>
            </w:r>
            <w:r>
              <w:rPr>
                <w:rFonts w:hint="eastAsia" w:ascii="宋体" w:hAnsi="宋体" w:cs="宋体"/>
                <w:sz w:val="24"/>
                <w:szCs w:val="24"/>
                <w:lang w:val="zh-CN"/>
              </w:rPr>
              <w:t>预案好的得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433" w:type="pct"/>
            <w:noWrap/>
            <w:vAlign w:val="center"/>
          </w:tcPr>
          <w:p>
            <w:pPr>
              <w:keepNext w:val="0"/>
              <w:keepLines w:val="0"/>
              <w:pageBreakBefore w:val="0"/>
              <w:kinsoku/>
              <w:wordWrap/>
              <w:topLinePunct w:val="0"/>
              <w:bidi w:val="0"/>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p>
        </w:tc>
        <w:tc>
          <w:tcPr>
            <w:tcW w:w="554" w:type="pct"/>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zh-CN"/>
              </w:rPr>
              <w:t>台账管理及操作规程</w:t>
            </w:r>
          </w:p>
        </w:tc>
        <w:tc>
          <w:tcPr>
            <w:tcW w:w="3693" w:type="pct"/>
            <w:noWrap/>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val="en-US"/>
              </w:rPr>
              <w:t>根据</w:t>
            </w:r>
            <w:r>
              <w:rPr>
                <w:rFonts w:hint="eastAsia" w:ascii="宋体" w:hAnsi="宋体" w:eastAsia="宋体" w:cs="宋体"/>
                <w:b w:val="0"/>
                <w:bCs w:val="0"/>
                <w:color w:val="auto"/>
                <w:sz w:val="24"/>
                <w:szCs w:val="24"/>
                <w:highlight w:val="none"/>
                <w:lang w:val="zh-CN"/>
              </w:rPr>
              <w:t>投标人针对项目运维过程中日常台账管理及操作规程、人员培训制度进行针对性描述（包括日常水质检测、化验、设备检修、安全培训等）的，</w:t>
            </w:r>
            <w:r>
              <w:rPr>
                <w:rFonts w:hint="eastAsia" w:ascii="宋体" w:hAnsi="宋体" w:cs="宋体"/>
                <w:sz w:val="24"/>
                <w:szCs w:val="24"/>
                <w:lang w:val="zh-CN"/>
              </w:rPr>
              <w:t>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b w:val="0"/>
                <w:bCs w:val="0"/>
                <w:color w:val="auto"/>
                <w:sz w:val="24"/>
                <w:szCs w:val="24"/>
                <w:highlight w:val="none"/>
                <w:lang w:val="zh-CN"/>
              </w:rPr>
              <w:t>最高得</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CN"/>
              </w:rPr>
              <w:t>分。</w:t>
            </w:r>
          </w:p>
        </w:tc>
        <w:tc>
          <w:tcPr>
            <w:tcW w:w="433" w:type="pct"/>
            <w:noWrap/>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554" w:type="pct"/>
            <w:noWrap/>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质量保证方案</w:t>
            </w:r>
          </w:p>
        </w:tc>
        <w:tc>
          <w:tcPr>
            <w:tcW w:w="3693" w:type="pct"/>
            <w:noWrap/>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CN"/>
              </w:rPr>
              <w:t>投标人针对运维项目的实施，制定明确、全面的质量保证方案，</w:t>
            </w:r>
            <w:r>
              <w:rPr>
                <w:rFonts w:hint="eastAsia" w:ascii="宋体" w:hAnsi="宋体" w:cs="宋体"/>
                <w:sz w:val="24"/>
                <w:szCs w:val="24"/>
                <w:lang w:val="zh-CN"/>
              </w:rPr>
              <w:t>方案好的得</w:t>
            </w:r>
            <w:r>
              <w:rPr>
                <w:rFonts w:hint="eastAsia" w:ascii="宋体" w:hAnsi="宋体" w:cs="宋体"/>
                <w:sz w:val="24"/>
                <w:szCs w:val="24"/>
                <w:lang w:val="en-US" w:eastAsia="zh-CN"/>
              </w:rPr>
              <w:t>7分，一般的得5，差的得3分，未涉及的不得分，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w:t>
            </w:r>
          </w:p>
        </w:tc>
        <w:tc>
          <w:tcPr>
            <w:tcW w:w="433" w:type="pct"/>
            <w:noWrap/>
            <w:vAlign w:val="center"/>
          </w:tcPr>
          <w:p>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kinsoku/>
              <w:wordWrap/>
              <w:topLinePunct w:val="0"/>
              <w:bidi w:val="0"/>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554" w:type="pct"/>
            <w:noWrap/>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kern w:val="2"/>
                <w:sz w:val="24"/>
                <w:szCs w:val="24"/>
                <w:lang w:val="zh-CN" w:eastAsia="zh-CN" w:bidi="ar-SA"/>
              </w:rPr>
            </w:pPr>
            <w:r>
              <w:rPr>
                <w:rFonts w:hint="eastAsia" w:ascii="宋体" w:hAnsi="宋体" w:cs="宋体"/>
                <w:sz w:val="24"/>
                <w:szCs w:val="24"/>
                <w:lang w:val="en-US" w:eastAsia="zh-CN"/>
              </w:rPr>
              <w:t>安全</w:t>
            </w:r>
            <w:r>
              <w:rPr>
                <w:rFonts w:hint="eastAsia" w:ascii="宋体" w:hAnsi="宋体" w:eastAsia="宋体" w:cs="宋体"/>
                <w:sz w:val="24"/>
                <w:szCs w:val="24"/>
                <w:lang w:val="zh-CN"/>
              </w:rPr>
              <w:t>保证方案</w:t>
            </w:r>
          </w:p>
        </w:tc>
        <w:tc>
          <w:tcPr>
            <w:tcW w:w="3693" w:type="pct"/>
            <w:noWrap/>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由评标委员会根据投标人对设施运行维护服务过程中对安全监管的措施、可靠性及管理安全的科学合理性是否合理，</w:t>
            </w:r>
            <w:r>
              <w:rPr>
                <w:rFonts w:hint="eastAsia" w:ascii="宋体" w:hAnsi="宋体" w:cs="宋体"/>
                <w:sz w:val="24"/>
                <w:szCs w:val="24"/>
                <w:lang w:val="zh-CN"/>
              </w:rPr>
              <w:t>方案好的得</w:t>
            </w:r>
            <w:r>
              <w:rPr>
                <w:rFonts w:hint="eastAsia" w:ascii="宋体" w:hAnsi="宋体" w:cs="宋体"/>
                <w:sz w:val="24"/>
                <w:szCs w:val="24"/>
                <w:lang w:val="en-US" w:eastAsia="zh-CN"/>
              </w:rPr>
              <w:t>6分，一般的得4，差的得2分，未涉及的不得分，</w:t>
            </w:r>
            <w:r>
              <w:rPr>
                <w:rFonts w:hint="eastAsia" w:ascii="宋体" w:hAnsi="宋体" w:eastAsia="宋体" w:cs="宋体"/>
                <w:sz w:val="24"/>
                <w:szCs w:val="24"/>
                <w:lang w:val="en-US" w:eastAsia="zh-CN"/>
              </w:rPr>
              <w:t>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w:t>
            </w:r>
          </w:p>
        </w:tc>
        <w:tc>
          <w:tcPr>
            <w:tcW w:w="433" w:type="pct"/>
            <w:noWrap/>
            <w:vAlign w:val="center"/>
          </w:tcPr>
          <w:p>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7" w:type="pct"/>
            <w:noWrap/>
            <w:vAlign w:val="center"/>
          </w:tcPr>
          <w:p>
            <w:pPr>
              <w:keepNext w:val="0"/>
              <w:keepLines w:val="0"/>
              <w:pageBreakBefore w:val="0"/>
              <w:widowControl/>
              <w:kinsoku/>
              <w:wordWrap/>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bookmarkStart w:id="397" w:name="_GoBack"/>
            <w:bookmarkEnd w:id="397"/>
          </w:p>
        </w:tc>
        <w:tc>
          <w:tcPr>
            <w:tcW w:w="554" w:type="pct"/>
            <w:noWrap/>
            <w:vAlign w:val="center"/>
          </w:tcPr>
          <w:p>
            <w:pPr>
              <w:widowControl/>
              <w:shd w:val="clear" w:color="auto" w:fill="FFFFFF"/>
              <w:adjustRightInd/>
              <w:spacing w:after="225"/>
              <w:jc w:val="center"/>
              <w:rPr>
                <w:rFonts w:hint="eastAsia" w:ascii="宋体" w:hAnsi="宋体" w:cs="宋体"/>
                <w:sz w:val="24"/>
                <w:szCs w:val="24"/>
                <w:lang w:val="en-US" w:eastAsia="zh-CN"/>
              </w:rPr>
            </w:pPr>
            <w:r>
              <w:rPr>
                <w:rFonts w:hint="eastAsia" w:ascii="宋体" w:hAnsi="宋体" w:cs="宋体"/>
                <w:color w:val="auto"/>
                <w:sz w:val="24"/>
              </w:rPr>
              <w:t>报价分</w:t>
            </w:r>
          </w:p>
        </w:tc>
        <w:tc>
          <w:tcPr>
            <w:tcW w:w="3693" w:type="pct"/>
            <w:noWrap/>
            <w:vAlign w:val="top"/>
          </w:tcPr>
          <w:p>
            <w:pPr>
              <w:jc w:val="left"/>
              <w:outlineLvl w:val="0"/>
              <w:rPr>
                <w:rFonts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pPr>
              <w:widowControl/>
              <w:shd w:val="clear" w:color="auto" w:fill="FFFFFF"/>
              <w:adjustRightInd/>
              <w:ind w:firstLine="420"/>
              <w:jc w:val="left"/>
              <w:rPr>
                <w:rFonts w:ascii="宋体" w:hAnsi="宋体" w:cs="宋体"/>
                <w:color w:val="auto"/>
                <w:sz w:val="24"/>
              </w:rPr>
            </w:pPr>
            <w:r>
              <w:rPr>
                <w:rFonts w:hint="eastAsia" w:ascii="宋体" w:hAnsi="宋体" w:cs="宋体"/>
                <w:color w:val="auto"/>
                <w:sz w:val="24"/>
              </w:rPr>
              <w:t>评标过程中，不得去掉报价中的最高报价和最低报价。</w:t>
            </w:r>
          </w:p>
          <w:p>
            <w:pPr>
              <w:widowControl/>
              <w:shd w:val="clear" w:color="auto" w:fill="FFFFFF"/>
              <w:adjustRightInd/>
              <w:ind w:firstLine="420" w:firstLineChars="0"/>
              <w:jc w:val="left"/>
              <w:rPr>
                <w:rFonts w:hint="eastAsia" w:ascii="宋体" w:hAnsi="宋体" w:eastAsia="宋体" w:cs="宋体"/>
                <w:sz w:val="24"/>
                <w:szCs w:val="24"/>
                <w:lang w:val="zh-CN"/>
              </w:rPr>
            </w:pPr>
            <w:r>
              <w:rPr>
                <w:rFonts w:hint="eastAsia" w:ascii="宋体" w:hAnsi="宋体" w:cs="宋体"/>
                <w:color w:val="auto"/>
                <w:sz w:val="24"/>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lang w:val="en-US" w:eastAsia="zh-CN"/>
              </w:rPr>
              <w:t>2</w:t>
            </w:r>
            <w:r>
              <w:rPr>
                <w:rFonts w:hint="eastAsia" w:ascii="宋体" w:hAnsi="宋体" w:cs="宋体"/>
                <w:color w:val="auto"/>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33" w:type="pct"/>
            <w:noWrap/>
            <w:vAlign w:val="center"/>
          </w:tcPr>
          <w:p>
            <w:pPr>
              <w:keepNext w:val="0"/>
              <w:keepLines w:val="0"/>
              <w:pageBreakBefore w:val="0"/>
              <w:widowControl/>
              <w:kinsoku/>
              <w:wordWrap/>
              <w:topLinePunct w:val="0"/>
              <w:bidi w:val="0"/>
              <w:adjustRightInd w:val="0"/>
              <w:snapToGrid w:val="0"/>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7"/>
        <w:snapToGrid w:val="0"/>
        <w:spacing w:line="360" w:lineRule="auto"/>
        <w:rPr>
          <w:rFonts w:cs="宋体"/>
          <w:color w:val="auto"/>
          <w:highlight w:val="none"/>
        </w:rPr>
      </w:pPr>
      <w:r>
        <w:rPr>
          <w:rFonts w:hint="eastAsia" w:cs="宋体"/>
          <w:color w:val="auto"/>
          <w:highlight w:val="none"/>
        </w:rPr>
        <w:t>5.4因重大变故，采购任务取消的。</w:t>
      </w:r>
    </w:p>
    <w:p>
      <w:pPr>
        <w:pStyle w:val="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7"/>
        <w:snapToGrid w:val="0"/>
        <w:spacing w:line="360" w:lineRule="auto"/>
        <w:ind w:firstLine="0" w:firstLineChars="0"/>
        <w:rPr>
          <w:rFonts w:cs="宋体"/>
          <w:color w:val="auto"/>
          <w:highlight w:val="none"/>
        </w:rPr>
      </w:pPr>
    </w:p>
    <w:bookmarkEnd w:id="19"/>
    <w:p>
      <w:pPr>
        <w:spacing w:line="240" w:lineRule="auto"/>
        <w:ind w:left="0" w:leftChars="0" w:firstLine="0" w:firstLineChars="0"/>
        <w:outlineLvl w:val="9"/>
        <w:rPr>
          <w:rFonts w:ascii="宋体" w:hAnsi="宋体" w:cs="宋体"/>
          <w:b/>
          <w:color w:val="auto"/>
          <w:sz w:val="36"/>
          <w:szCs w:val="36"/>
          <w:highlight w:val="none"/>
        </w:rPr>
      </w:pPr>
      <w:bookmarkStart w:id="385" w:name="第五部分"/>
      <w:bookmarkStart w:id="386" w:name="_Toc86217003"/>
      <w:r>
        <w:rPr>
          <w:rFonts w:ascii="宋体" w:hAnsi="宋体" w:cs="宋体"/>
          <w:b/>
          <w:color w:val="auto"/>
          <w:sz w:val="36"/>
          <w:szCs w:val="36"/>
          <w:highlight w:val="none"/>
        </w:rPr>
        <w:br w:type="page"/>
      </w:r>
    </w:p>
    <w:p>
      <w:pPr>
        <w:pStyle w:val="62"/>
        <w:rPr>
          <w:color w:val="auto"/>
          <w:highlight w:val="none"/>
        </w:rPr>
      </w:pPr>
    </w:p>
    <w:p>
      <w:pPr>
        <w:spacing w:line="360" w:lineRule="auto"/>
        <w:ind w:left="720" w:leftChars="343" w:firstLine="1084" w:firstLineChars="300"/>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9"/>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outlineLvl w:val="9"/>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0"/>
        <w:spacing w:before="120" w:line="22" w:lineRule="atLeast"/>
        <w:rPr>
          <w:rFonts w:ascii="宋体" w:hAnsi="宋体" w:eastAsia="宋体" w:cs="宋体"/>
          <w:color w:val="auto"/>
          <w:szCs w:val="24"/>
          <w:highlight w:val="none"/>
        </w:rPr>
      </w:pPr>
    </w:p>
    <w:p>
      <w:pPr>
        <w:pStyle w:val="60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说明：合同将由杭州市钱塘区建设局（以下简称甲方）与经评审最终确定的中标人（以下简称乙方）结合本项目具体情况协商后签订。</w:t>
      </w:r>
    </w:p>
    <w:p>
      <w:pPr>
        <w:spacing w:line="360" w:lineRule="auto"/>
        <w:ind w:firstLine="480"/>
        <w:rPr>
          <w:rFonts w:hint="eastAsia" w:ascii="宋体" w:hAnsi="宋体" w:eastAsia="宋体" w:cs="宋体"/>
          <w:color w:val="000000"/>
          <w:sz w:val="21"/>
          <w:szCs w:val="21"/>
        </w:rPr>
      </w:pPr>
    </w:p>
    <w:p>
      <w:pPr>
        <w:snapToGrid w:val="0"/>
        <w:spacing w:before="120" w:beforeLines="50" w:after="120" w:afterLines="50" w:line="440" w:lineRule="exact"/>
        <w:ind w:firstLine="480"/>
        <w:rPr>
          <w:rFonts w:hint="eastAsia" w:ascii="宋体" w:hAnsi="宋体" w:eastAsia="宋体"/>
          <w:color w:val="000000"/>
          <w:u w:val="single"/>
        </w:rPr>
      </w:pPr>
      <w:r>
        <w:rPr>
          <w:rFonts w:hint="eastAsia" w:ascii="宋体" w:hAnsi="宋体" w:eastAsia="宋体"/>
          <w:color w:val="000000"/>
        </w:rPr>
        <w:t>甲方：</w:t>
      </w:r>
    </w:p>
    <w:p>
      <w:pPr>
        <w:snapToGrid w:val="0"/>
        <w:spacing w:before="120" w:beforeLines="50" w:after="120" w:afterLines="50" w:line="440" w:lineRule="exact"/>
        <w:ind w:firstLine="480"/>
        <w:rPr>
          <w:rFonts w:hint="eastAsia" w:ascii="宋体" w:hAnsi="宋体" w:eastAsia="宋体"/>
          <w:color w:val="000000"/>
          <w:u w:val="single"/>
        </w:rPr>
      </w:pPr>
      <w:r>
        <w:rPr>
          <w:rFonts w:hint="eastAsia" w:ascii="宋体" w:hAnsi="宋体" w:eastAsia="宋体"/>
          <w:color w:val="000000"/>
        </w:rPr>
        <w:t>乙方：</w:t>
      </w:r>
    </w:p>
    <w:p>
      <w:pPr>
        <w:snapToGrid w:val="0"/>
        <w:spacing w:line="440" w:lineRule="exact"/>
        <w:ind w:firstLine="480"/>
        <w:rPr>
          <w:rFonts w:hint="eastAsia" w:ascii="宋体" w:hAnsi="宋体" w:eastAsia="宋体"/>
          <w:color w:val="000000"/>
        </w:rPr>
      </w:pPr>
      <w:r>
        <w:rPr>
          <w:rFonts w:hint="eastAsia" w:ascii="宋体" w:hAnsi="宋体" w:eastAsia="宋体"/>
          <w:color w:val="000000"/>
        </w:rPr>
        <w:t>甲、乙双方根据</w:t>
      </w:r>
      <w:r>
        <w:rPr>
          <w:rFonts w:hint="eastAsia" w:ascii="宋体" w:hAnsi="宋体" w:eastAsia="宋体"/>
          <w:color w:val="000000"/>
          <w:u w:val="single"/>
        </w:rPr>
        <w:t xml:space="preserve">                                </w:t>
      </w:r>
      <w:r>
        <w:rPr>
          <w:rFonts w:hint="eastAsia" w:ascii="宋体" w:hAnsi="宋体" w:eastAsia="宋体"/>
          <w:color w:val="000000"/>
        </w:rPr>
        <w:t>公开招标的结果，签署本合同。</w:t>
      </w:r>
    </w:p>
    <w:p>
      <w:pPr>
        <w:spacing w:line="500" w:lineRule="exact"/>
        <w:ind w:firstLine="480"/>
        <w:rPr>
          <w:rFonts w:hint="eastAsia" w:ascii="宋体" w:hAnsi="宋体" w:eastAsia="宋体"/>
          <w:b/>
          <w:color w:val="000000"/>
        </w:rPr>
      </w:pPr>
      <w:r>
        <w:rPr>
          <w:rFonts w:hint="eastAsia" w:ascii="宋体" w:hAnsi="宋体" w:eastAsia="宋体"/>
          <w:b/>
          <w:color w:val="000000"/>
        </w:rPr>
        <w:t>一、说明</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1.根据《中华人民共和国政府采购法》、《中华人民共和国民法典》等有关法律法规精神，杭州市钱塘区建设局（甲方）经过   采购方式确定     （乙方）为供货单位，双方经协商达成以下条款：</w:t>
      </w:r>
    </w:p>
    <w:p>
      <w:pPr>
        <w:spacing w:line="500" w:lineRule="exact"/>
        <w:ind w:firstLine="480"/>
        <w:rPr>
          <w:rFonts w:hint="eastAsia" w:ascii="宋体" w:hAnsi="宋体" w:eastAsia="宋体"/>
          <w:b/>
          <w:color w:val="000000"/>
        </w:rPr>
      </w:pPr>
      <w:r>
        <w:rPr>
          <w:rFonts w:hint="eastAsia" w:ascii="宋体" w:hAnsi="宋体" w:eastAsia="宋体"/>
          <w:b/>
          <w:color w:val="000000"/>
        </w:rPr>
        <w:t>二、运行维护管理的范围</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杭州市钱塘区农村生活污水治理运维</w:t>
      </w:r>
      <w:r>
        <w:rPr>
          <w:rFonts w:hint="eastAsia" w:ascii="宋体" w:hAnsi="宋体" w:eastAsia="宋体"/>
          <w:color w:val="000000"/>
          <w:lang w:val="en-US" w:eastAsia="zh-CN"/>
        </w:rPr>
        <w:t xml:space="preserve">   标段</w:t>
      </w:r>
      <w:r>
        <w:rPr>
          <w:rFonts w:hint="eastAsia" w:ascii="宋体" w:hAnsi="宋体" w:eastAsia="宋体"/>
          <w:color w:val="000000"/>
        </w:rPr>
        <w:t>，涉及农户暂计</w:t>
      </w:r>
      <w:r>
        <w:rPr>
          <w:rFonts w:hint="eastAsia" w:ascii="宋体" w:hAnsi="宋体" w:eastAsia="宋体"/>
          <w:color w:val="000000"/>
          <w:lang w:val="en-US" w:eastAsia="zh-CN"/>
        </w:rPr>
        <w:t xml:space="preserve">   </w:t>
      </w:r>
      <w:r>
        <w:rPr>
          <w:rFonts w:hint="eastAsia" w:ascii="宋体" w:hAnsi="宋体" w:eastAsia="宋体"/>
          <w:color w:val="000000"/>
        </w:rPr>
        <w:t>户；其中</w:t>
      </w:r>
      <w:r>
        <w:rPr>
          <w:rFonts w:hint="eastAsia" w:ascii="宋体" w:hAnsi="宋体" w:eastAsia="宋体"/>
          <w:color w:val="000000"/>
          <w:lang w:val="en-US" w:eastAsia="zh-CN"/>
        </w:rPr>
        <w:t xml:space="preserve">  </w:t>
      </w:r>
      <w:r>
        <w:rPr>
          <w:rFonts w:hint="eastAsia" w:ascii="宋体" w:hAnsi="宋体" w:eastAsia="宋体"/>
          <w:color w:val="000000"/>
          <w:lang w:val="zh-CN"/>
        </w:rPr>
        <w:t>街道</w:t>
      </w:r>
      <w:r>
        <w:rPr>
          <w:rFonts w:hint="eastAsia" w:ascii="宋体" w:hAnsi="宋体" w:eastAsia="宋体"/>
          <w:color w:val="000000"/>
        </w:rPr>
        <w:t xml:space="preserve">    户 </w:t>
      </w:r>
      <w:r>
        <w:rPr>
          <w:rFonts w:hint="eastAsia" w:ascii="宋体" w:hAnsi="宋体" w:eastAsia="宋体"/>
          <w:color w:val="000000"/>
          <w:lang w:eastAsia="zh-CN"/>
        </w:rPr>
        <w:t>、</w:t>
      </w:r>
      <w:r>
        <w:rPr>
          <w:rFonts w:hint="eastAsia" w:ascii="宋体" w:hAnsi="宋体" w:eastAsia="宋体"/>
          <w:color w:val="000000"/>
          <w:lang w:val="en-US" w:eastAsia="zh-CN"/>
        </w:rPr>
        <w:t xml:space="preserve">    </w:t>
      </w:r>
      <w:r>
        <w:rPr>
          <w:rFonts w:hint="eastAsia" w:ascii="宋体" w:hAnsi="宋体" w:eastAsia="宋体"/>
          <w:color w:val="000000"/>
        </w:rPr>
        <w:t xml:space="preserve">街道    户 </w:t>
      </w:r>
      <w:r>
        <w:rPr>
          <w:rFonts w:hint="eastAsia" w:ascii="宋体" w:hAnsi="宋体" w:eastAsia="宋体"/>
          <w:color w:val="000000"/>
          <w:lang w:eastAsia="zh-CN"/>
        </w:rPr>
        <w:t>、</w:t>
      </w:r>
      <w:r>
        <w:rPr>
          <w:rFonts w:hint="eastAsia" w:ascii="宋体" w:hAnsi="宋体" w:eastAsia="宋体"/>
          <w:color w:val="000000"/>
          <w:lang w:val="en-US" w:eastAsia="zh-CN"/>
        </w:rPr>
        <w:t xml:space="preserve">    街道    户</w:t>
      </w:r>
      <w:r>
        <w:rPr>
          <w:rFonts w:hint="eastAsia" w:ascii="宋体" w:hAnsi="宋体" w:eastAsia="宋体"/>
          <w:color w:val="000000"/>
        </w:rPr>
        <w:t>（最终以实际运维户数为准）的农村生活污水治理设施运行维护管理服务。</w:t>
      </w:r>
    </w:p>
    <w:p>
      <w:pPr>
        <w:spacing w:line="500" w:lineRule="exact"/>
        <w:ind w:firstLine="480"/>
        <w:rPr>
          <w:rFonts w:hint="eastAsia" w:ascii="宋体" w:hAnsi="宋体" w:eastAsia="宋体"/>
          <w:b/>
          <w:color w:val="000000"/>
        </w:rPr>
      </w:pPr>
      <w:r>
        <w:rPr>
          <w:rFonts w:hint="eastAsia" w:ascii="宋体" w:hAnsi="宋体" w:eastAsia="宋体"/>
          <w:b/>
          <w:color w:val="000000"/>
        </w:rPr>
        <w:t>三、运行维护管理的期限</w:t>
      </w:r>
    </w:p>
    <w:p>
      <w:pPr>
        <w:spacing w:line="500" w:lineRule="exact"/>
        <w:ind w:firstLine="480"/>
        <w:rPr>
          <w:rFonts w:hint="eastAsia" w:ascii="宋体" w:hAnsi="宋体" w:eastAsia="宋体"/>
          <w:color w:val="000000"/>
        </w:rPr>
      </w:pPr>
      <w:r>
        <w:rPr>
          <w:rFonts w:hint="eastAsia" w:ascii="宋体" w:hAnsi="宋体" w:eastAsia="宋体"/>
          <w:color w:val="000000"/>
        </w:rPr>
        <w:t>一年（202</w:t>
      </w:r>
      <w:r>
        <w:rPr>
          <w:rFonts w:hint="eastAsia" w:ascii="宋体" w:hAnsi="宋体" w:eastAsia="宋体"/>
          <w:color w:val="000000"/>
          <w:lang w:val="en-US" w:eastAsia="zh-CN"/>
        </w:rPr>
        <w:t>4</w:t>
      </w:r>
      <w:r>
        <w:rPr>
          <w:rFonts w:hint="eastAsia" w:ascii="宋体" w:hAnsi="宋体" w:eastAsia="宋体"/>
          <w:color w:val="000000"/>
        </w:rPr>
        <w:t>年   月   日至202</w:t>
      </w:r>
      <w:r>
        <w:rPr>
          <w:rFonts w:hint="eastAsia" w:ascii="宋体" w:hAnsi="宋体" w:eastAsia="宋体"/>
          <w:color w:val="000000"/>
          <w:lang w:val="en-US" w:eastAsia="zh-CN"/>
        </w:rPr>
        <w:t>5</w:t>
      </w:r>
      <w:r>
        <w:rPr>
          <w:rFonts w:hint="eastAsia" w:ascii="宋体" w:hAnsi="宋体" w:eastAsia="宋体"/>
          <w:color w:val="000000"/>
        </w:rPr>
        <w:t>年   月   日）。</w:t>
      </w:r>
    </w:p>
    <w:p>
      <w:pPr>
        <w:spacing w:line="500" w:lineRule="exact"/>
        <w:ind w:firstLine="480"/>
        <w:rPr>
          <w:rFonts w:hint="eastAsia" w:ascii="宋体" w:hAnsi="宋体" w:eastAsia="宋体"/>
          <w:b/>
          <w:color w:val="000000"/>
        </w:rPr>
      </w:pPr>
      <w:r>
        <w:rPr>
          <w:rFonts w:hint="eastAsia" w:ascii="宋体" w:hAnsi="宋体" w:eastAsia="宋体"/>
          <w:b/>
          <w:color w:val="000000"/>
        </w:rPr>
        <w:t>四、运维项目金额</w:t>
      </w:r>
    </w:p>
    <w:p>
      <w:pPr>
        <w:pStyle w:val="967"/>
        <w:numPr>
          <w:ilvl w:val="0"/>
          <w:numId w:val="0"/>
        </w:numPr>
        <w:spacing w:line="500" w:lineRule="exact"/>
        <w:ind w:firstLine="420" w:firstLineChars="200"/>
        <w:rPr>
          <w:rFonts w:hint="eastAsia" w:ascii="宋体" w:hAnsi="宋体" w:eastAsia="宋体"/>
          <w:color w:val="000000"/>
          <w:szCs w:val="24"/>
        </w:rPr>
      </w:pPr>
      <w:r>
        <w:rPr>
          <w:rFonts w:hint="eastAsia" w:ascii="宋体" w:hAnsi="宋体" w:eastAsia="宋体"/>
          <w:color w:val="000000"/>
          <w:szCs w:val="24"/>
        </w:rPr>
        <w:t>1、合同金额人民币</w:t>
      </w:r>
      <w:r>
        <w:rPr>
          <w:rFonts w:hint="eastAsia" w:ascii="宋体" w:hAnsi="宋体" w:eastAsia="宋体"/>
          <w:color w:val="000000"/>
          <w:szCs w:val="24"/>
          <w:u w:val="single"/>
        </w:rPr>
        <w:t xml:space="preserve">            </w:t>
      </w:r>
      <w:r>
        <w:rPr>
          <w:rFonts w:hint="eastAsia" w:ascii="宋体" w:hAnsi="宋体" w:eastAsia="宋体"/>
          <w:color w:val="000000"/>
          <w:szCs w:val="24"/>
        </w:rPr>
        <w:t>元整（暂定），小写：</w:t>
      </w:r>
      <w:r>
        <w:rPr>
          <w:rFonts w:hint="eastAsia" w:ascii="宋体" w:hAnsi="宋体" w:eastAsia="宋体"/>
          <w:color w:val="000000"/>
          <w:szCs w:val="24"/>
          <w:u w:val="single"/>
        </w:rPr>
        <w:t xml:space="preserve">         </w:t>
      </w:r>
      <w:r>
        <w:rPr>
          <w:rFonts w:hint="eastAsia" w:ascii="宋体" w:hAnsi="宋体" w:eastAsia="宋体"/>
          <w:color w:val="000000"/>
          <w:szCs w:val="24"/>
        </w:rPr>
        <w:t>元。</w:t>
      </w:r>
    </w:p>
    <w:tbl>
      <w:tblPr>
        <w:tblStyle w:val="64"/>
        <w:tblpPr w:leftFromText="180" w:rightFromText="180" w:vertAnchor="text" w:horzAnchor="page" w:tblpX="1198" w:tblpY="3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978"/>
        <w:gridCol w:w="1559"/>
        <w:gridCol w:w="2126"/>
        <w:gridCol w:w="99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序号</w:t>
            </w: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Cs/>
                <w:color w:val="000000"/>
                <w:sz w:val="21"/>
                <w:szCs w:val="21"/>
              </w:rPr>
            </w:pPr>
            <w:r>
              <w:rPr>
                <w:rFonts w:hint="eastAsia" w:ascii="宋体" w:hAnsi="宋体" w:eastAsia="宋体"/>
                <w:bCs/>
                <w:color w:val="000000"/>
                <w:sz w:val="21"/>
                <w:szCs w:val="21"/>
              </w:rPr>
              <w:t>项目内容</w:t>
            </w:r>
          </w:p>
        </w:tc>
        <w:tc>
          <w:tcPr>
            <w:tcW w:w="1559"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户数</w:t>
            </w:r>
          </w:p>
        </w:tc>
        <w:tc>
          <w:tcPr>
            <w:tcW w:w="2126"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运维单价（元/年·户）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bCs/>
                <w:color w:val="000000"/>
                <w:sz w:val="21"/>
                <w:szCs w:val="21"/>
              </w:rPr>
            </w:pPr>
            <w:r>
              <w:rPr>
                <w:rFonts w:hint="eastAsia" w:ascii="宋体" w:hAnsi="宋体" w:eastAsia="宋体"/>
                <w:bCs/>
                <w:color w:val="000000"/>
                <w:sz w:val="21"/>
                <w:szCs w:val="21"/>
              </w:rPr>
              <w:t>所属地区</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Cs/>
                <w:color w:val="000000"/>
                <w:sz w:val="21"/>
                <w:szCs w:val="21"/>
              </w:rPr>
            </w:pPr>
            <w:r>
              <w:rPr>
                <w:rFonts w:hint="eastAsia" w:ascii="宋体" w:hAnsi="宋体" w:eastAsia="宋体"/>
                <w:bCs/>
                <w:color w:val="000000"/>
                <w:sz w:val="21"/>
                <w:szCs w:val="21"/>
              </w:rPr>
              <w:t>一</w:t>
            </w: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bCs/>
                <w:color w:val="000000"/>
                <w:sz w:val="21"/>
                <w:szCs w:val="21"/>
              </w:rPr>
            </w:pPr>
            <w:r>
              <w:rPr>
                <w:rFonts w:hint="eastAsia" w:ascii="宋体" w:hAnsi="宋体" w:eastAsia="宋体"/>
                <w:bCs/>
                <w:color w:val="000000"/>
                <w:sz w:val="21"/>
                <w:szCs w:val="21"/>
                <w:lang w:eastAsia="zh-CN"/>
              </w:rPr>
              <w:t>2024年钱塘区农村生活污水治理运维费</w:t>
            </w:r>
          </w:p>
        </w:tc>
        <w:tc>
          <w:tcPr>
            <w:tcW w:w="155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bCs/>
                <w:color w:val="000000"/>
                <w:sz w:val="21"/>
                <w:szCs w:val="21"/>
              </w:rPr>
            </w:pPr>
          </w:p>
        </w:tc>
        <w:tc>
          <w:tcPr>
            <w:tcW w:w="212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bCs/>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Cs/>
                <w:color w:val="000000"/>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9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Cs/>
                <w:color w:val="000000"/>
                <w:sz w:val="21"/>
                <w:szCs w:val="21"/>
              </w:rPr>
            </w:pPr>
            <w:r>
              <w:rPr>
                <w:rFonts w:hint="eastAsia" w:ascii="宋体" w:hAnsi="宋体" w:eastAsia="宋体"/>
                <w:bCs/>
                <w:color w:val="000000"/>
                <w:sz w:val="21"/>
                <w:szCs w:val="21"/>
              </w:rPr>
              <w:t>合同总价</w:t>
            </w:r>
          </w:p>
        </w:tc>
        <w:tc>
          <w:tcPr>
            <w:tcW w:w="5670"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440" w:lineRule="exact"/>
              <w:rPr>
                <w:rFonts w:hint="eastAsia" w:ascii="宋体" w:hAnsi="宋体" w:eastAsia="宋体"/>
                <w:color w:val="000000"/>
                <w:sz w:val="21"/>
                <w:szCs w:val="21"/>
              </w:rPr>
            </w:pPr>
            <w:r>
              <w:rPr>
                <w:rFonts w:hint="eastAsia" w:ascii="宋体" w:hAnsi="宋体" w:eastAsia="宋体"/>
                <w:color w:val="000000"/>
                <w:sz w:val="21"/>
                <w:szCs w:val="21"/>
              </w:rPr>
              <w:t>大写金额：人民币</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元（¥：</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元。）</w:t>
            </w:r>
          </w:p>
        </w:tc>
      </w:tr>
    </w:tbl>
    <w:p>
      <w:pPr>
        <w:spacing w:line="500" w:lineRule="exact"/>
        <w:ind w:firstLine="315" w:firstLineChars="150"/>
        <w:rPr>
          <w:rFonts w:hint="eastAsia" w:ascii="宋体" w:hAnsi="宋体" w:eastAsia="宋体"/>
          <w:color w:val="000000"/>
        </w:rPr>
      </w:pPr>
      <w:r>
        <w:rPr>
          <w:rFonts w:hint="eastAsia" w:ascii="宋体" w:hAnsi="宋体" w:eastAsia="宋体"/>
          <w:color w:val="000000"/>
        </w:rPr>
        <w:t>最终结算合同价=运维单价×实际运维户数。</w:t>
      </w:r>
    </w:p>
    <w:p>
      <w:pPr>
        <w:numPr>
          <w:ilvl w:val="0"/>
          <w:numId w:val="3"/>
        </w:numPr>
        <w:spacing w:line="500" w:lineRule="exact"/>
        <w:ind w:firstLine="315" w:firstLineChars="150"/>
        <w:rPr>
          <w:rFonts w:hint="eastAsia" w:ascii="宋体" w:hAnsi="宋体" w:eastAsia="宋体"/>
          <w:color w:val="000000"/>
        </w:rPr>
      </w:pPr>
      <w:r>
        <w:rPr>
          <w:rFonts w:hint="eastAsia" w:ascii="宋体" w:hAnsi="宋体" w:eastAsia="宋体"/>
          <w:color w:val="000000"/>
        </w:rPr>
        <w:t>在运维期内保证各种设施设备正常运行，出水排放标准达到设计文件标准要求所需的所有费用、水质检测实验室建设和治理设施智能平台提升安装等所有费用。具体包括（但不限于）所需人工费、水电费、管理费、日常监测、巡查、用药、零部件更换、人员保险、设备维护、设备运行、维保（修）、建立运维智能监控系统（实现对终端及污水处理运行情况进行实时监控、含软件、硬件设施、软件版权使用费等）费用、办公场所(包括运行维护管理办公场所、监控中心、水质检测实验室)租用费、设备及手机流量费、自备专用车辆仪器工具使用费（含折旧费、油料费、保险费、人工费等）、劳保和安全用品使用费、相关协作单位配合、风险、安全文明、环境保护、运行项目接收前的工程验收费用、经营管理费、税费、利润等涉及的一切费用。其他详见招标文件。</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五、运维项目移交</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1、乙方应全面仔细审核已经业主竣工验收完毕的农村生活污水治理设施，接收运维所需的资料，实地踏勘工程现场，发现问题及时向业主单位反馈要求整改；</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2、乙方须参与在建工程竣工验收，并对验收过程中存在的相关问题提出整改意见；</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3、乙方对农村生活污水治理设施办理移交运维手续，签署移交单，并承担移交后的治理设施运维风险。</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4、农村生活污水治理设施移交运维工程量清单为本协议的附件。</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六、付款方式</w:t>
      </w:r>
    </w:p>
    <w:p>
      <w:pPr>
        <w:spacing w:line="500" w:lineRule="exact"/>
        <w:ind w:firstLine="315" w:firstLineChars="150"/>
        <w:rPr>
          <w:rFonts w:hint="eastAsia" w:ascii="宋体" w:hAnsi="宋体" w:eastAsia="宋体"/>
          <w:color w:val="000000"/>
          <w:highlight w:val="none"/>
        </w:rPr>
      </w:pPr>
      <w:r>
        <w:rPr>
          <w:rFonts w:hint="eastAsia" w:ascii="宋体" w:hAnsi="宋体" w:eastAsia="宋体"/>
          <w:color w:val="000000"/>
          <w:highlight w:val="none"/>
        </w:rPr>
        <w:t>合同签订后</w:t>
      </w:r>
      <w:r>
        <w:rPr>
          <w:rFonts w:hint="eastAsia" w:ascii="宋体" w:hAnsi="宋体"/>
          <w:color w:val="000000"/>
          <w:highlight w:val="none"/>
          <w:lang w:val="en-US" w:eastAsia="zh-CN"/>
        </w:rPr>
        <w:t>7个工作日内</w:t>
      </w:r>
      <w:r>
        <w:rPr>
          <w:rFonts w:hint="eastAsia" w:ascii="宋体" w:hAnsi="宋体" w:eastAsia="宋体"/>
          <w:color w:val="000000"/>
          <w:highlight w:val="none"/>
        </w:rPr>
        <w:t>支付合同价的</w:t>
      </w:r>
      <w:r>
        <w:rPr>
          <w:rFonts w:hint="eastAsia" w:ascii="宋体" w:hAnsi="宋体"/>
          <w:color w:val="000000"/>
          <w:highlight w:val="none"/>
          <w:lang w:val="en-US" w:eastAsia="zh-CN"/>
        </w:rPr>
        <w:t>4</w:t>
      </w:r>
      <w:r>
        <w:rPr>
          <w:rFonts w:hint="eastAsia" w:ascii="宋体" w:hAnsi="宋体" w:eastAsia="宋体"/>
          <w:color w:val="000000"/>
          <w:highlight w:val="none"/>
          <w:lang w:val="en-US" w:eastAsia="zh-CN"/>
        </w:rPr>
        <w:t>0</w:t>
      </w:r>
      <w:r>
        <w:rPr>
          <w:rFonts w:hint="eastAsia" w:ascii="宋体" w:hAnsi="宋体" w:eastAsia="宋体"/>
          <w:color w:val="000000"/>
          <w:highlight w:val="none"/>
        </w:rPr>
        <w:t>%，中标人在完成本项目的运行维护结束并验收合格后付清合同余款。</w:t>
      </w:r>
    </w:p>
    <w:p>
      <w:pPr>
        <w:spacing w:line="500" w:lineRule="exact"/>
        <w:ind w:firstLine="315" w:firstLineChars="150"/>
        <w:rPr>
          <w:rFonts w:hint="eastAsia" w:ascii="宋体" w:hAnsi="宋体" w:eastAsia="宋体"/>
          <w:color w:val="000000"/>
          <w:highlight w:val="none"/>
        </w:rPr>
      </w:pPr>
      <w:r>
        <w:rPr>
          <w:rFonts w:hint="eastAsia" w:ascii="宋体" w:hAnsi="宋体" w:eastAsia="宋体"/>
          <w:color w:val="000000"/>
          <w:highlight w:val="none"/>
        </w:rPr>
        <w:t>七、治理设施运行维护管理</w:t>
      </w:r>
    </w:p>
    <w:p>
      <w:pPr>
        <w:spacing w:line="500" w:lineRule="exact"/>
        <w:ind w:firstLine="315" w:firstLineChars="150"/>
        <w:rPr>
          <w:rFonts w:ascii="宋体" w:hAnsi="宋体" w:eastAsia="宋体"/>
          <w:color w:val="000000"/>
          <w:highlight w:val="none"/>
        </w:rPr>
      </w:pPr>
      <w:r>
        <w:rPr>
          <w:rFonts w:hint="eastAsia" w:ascii="宋体" w:hAnsi="宋体" w:eastAsia="宋体"/>
          <w:color w:val="000000"/>
          <w:highlight w:val="none"/>
        </w:rPr>
        <w:t>1、运行维护管理期间，乙方应严格按照按照相关标准及规范规定负责治理设施运行。</w:t>
      </w:r>
    </w:p>
    <w:p>
      <w:pPr>
        <w:spacing w:line="500" w:lineRule="exact"/>
        <w:ind w:firstLine="315" w:firstLineChars="150"/>
        <w:rPr>
          <w:rFonts w:ascii="宋体" w:hAnsi="宋体" w:eastAsia="宋体"/>
          <w:color w:val="000000"/>
          <w:highlight w:val="none"/>
        </w:rPr>
      </w:pPr>
      <w:r>
        <w:rPr>
          <w:rFonts w:hint="eastAsia" w:ascii="宋体" w:hAnsi="宋体" w:eastAsia="宋体"/>
          <w:color w:val="000000"/>
          <w:highlight w:val="none"/>
        </w:rPr>
        <w:t>2、运行维护管理期间，乙方应确保污水治理设施安全稳定运行和治理设施完好。</w:t>
      </w:r>
    </w:p>
    <w:p>
      <w:pPr>
        <w:spacing w:line="500" w:lineRule="exact"/>
        <w:ind w:firstLine="315" w:firstLineChars="150"/>
        <w:rPr>
          <w:rFonts w:ascii="宋体" w:hAnsi="宋体" w:eastAsia="宋体"/>
          <w:color w:val="000000"/>
        </w:rPr>
      </w:pPr>
      <w:r>
        <w:rPr>
          <w:rFonts w:hint="eastAsia" w:ascii="宋体" w:hAnsi="宋体" w:eastAsia="宋体"/>
          <w:color w:val="000000"/>
          <w:highlight w:val="none"/>
        </w:rPr>
        <w:t>3、运行维护管理期间，污水治理设</w:t>
      </w:r>
      <w:r>
        <w:rPr>
          <w:rFonts w:hint="eastAsia" w:ascii="宋体" w:hAnsi="宋体" w:eastAsia="宋体"/>
          <w:color w:val="000000"/>
        </w:rPr>
        <w:t>施的应急抢修由乙方组织实施，费用已包含在运维维护管理费用中。</w:t>
      </w:r>
    </w:p>
    <w:p>
      <w:pPr>
        <w:spacing w:line="500" w:lineRule="exact"/>
        <w:ind w:firstLine="315" w:firstLineChars="150"/>
        <w:rPr>
          <w:rFonts w:ascii="宋体" w:hAnsi="宋体" w:eastAsia="宋体"/>
          <w:color w:val="000000"/>
        </w:rPr>
      </w:pPr>
      <w:r>
        <w:rPr>
          <w:rFonts w:hint="eastAsia" w:ascii="宋体" w:hAnsi="宋体" w:eastAsia="宋体"/>
          <w:color w:val="000000"/>
        </w:rPr>
        <w:t>4、乙方在运行维护过程中，由于操作不当给甲方造成损失的，乙方负责赔偿。</w:t>
      </w:r>
    </w:p>
    <w:p>
      <w:pPr>
        <w:spacing w:line="500" w:lineRule="exact"/>
        <w:ind w:firstLine="315" w:firstLineChars="150"/>
        <w:rPr>
          <w:rFonts w:ascii="宋体" w:hAnsi="宋体" w:eastAsia="宋体"/>
          <w:color w:val="000000"/>
        </w:rPr>
      </w:pPr>
      <w:r>
        <w:rPr>
          <w:rFonts w:hint="eastAsia" w:ascii="宋体" w:hAnsi="宋体" w:eastAsia="宋体"/>
          <w:color w:val="000000"/>
        </w:rPr>
        <w:t>5、乙方应对提供的治理设施运行维护质量负责，如有问题无条件进行整改。</w:t>
      </w:r>
    </w:p>
    <w:p>
      <w:pPr>
        <w:spacing w:line="500" w:lineRule="exact"/>
        <w:ind w:firstLine="315" w:firstLineChars="150"/>
        <w:rPr>
          <w:rFonts w:ascii="宋体" w:hAnsi="宋体" w:eastAsia="宋体"/>
          <w:color w:val="000000"/>
        </w:rPr>
      </w:pPr>
      <w:r>
        <w:rPr>
          <w:rFonts w:hint="eastAsia" w:ascii="宋体" w:hAnsi="宋体" w:eastAsia="宋体"/>
          <w:color w:val="000000"/>
        </w:rPr>
        <w:t>6、 如有转让和未经甲方同意的分包行为，有权解除与乙方的协议，按乙方违约处理，所造成的损失全部由乙方负责。</w:t>
      </w:r>
    </w:p>
    <w:p>
      <w:pPr>
        <w:spacing w:line="500" w:lineRule="exact"/>
        <w:ind w:firstLine="315" w:firstLineChars="150"/>
        <w:rPr>
          <w:rFonts w:ascii="宋体" w:hAnsi="宋体" w:eastAsia="宋体"/>
          <w:color w:val="000000"/>
        </w:rPr>
      </w:pPr>
      <w:r>
        <w:rPr>
          <w:rFonts w:hint="eastAsia" w:ascii="宋体" w:hAnsi="宋体" w:eastAsia="宋体"/>
          <w:color w:val="000000"/>
        </w:rPr>
        <w:t>7、合同签订之日起对审核验收通过的污水治理工程设施接手运维，运维人员、运维设备按招标文件要求和投标文件中的承诺全部到位。</w:t>
      </w:r>
    </w:p>
    <w:p>
      <w:pPr>
        <w:spacing w:line="500" w:lineRule="exact"/>
        <w:ind w:firstLine="315" w:firstLineChars="150"/>
        <w:rPr>
          <w:rFonts w:ascii="宋体" w:hAnsi="宋体" w:eastAsia="宋体"/>
          <w:color w:val="000000"/>
        </w:rPr>
      </w:pPr>
      <w:r>
        <w:rPr>
          <w:rFonts w:hint="eastAsia" w:ascii="宋体" w:hAnsi="宋体" w:eastAsia="宋体"/>
          <w:color w:val="000000"/>
        </w:rPr>
        <w:t>8、甲方如发现乙方是以挂靠模式经营中标项目的，有权解除与乙方的协议，按乙方违约处理，所造成的损失全部由乙方负责。</w:t>
      </w:r>
    </w:p>
    <w:p>
      <w:pPr>
        <w:spacing w:line="500" w:lineRule="exact"/>
        <w:ind w:firstLine="315" w:firstLineChars="150"/>
        <w:rPr>
          <w:rFonts w:ascii="宋体" w:hAnsi="宋体" w:eastAsia="宋体"/>
          <w:color w:val="000000"/>
        </w:rPr>
      </w:pPr>
      <w:r>
        <w:rPr>
          <w:rFonts w:hint="eastAsia" w:ascii="宋体" w:hAnsi="宋体" w:eastAsia="宋体"/>
          <w:color w:val="000000"/>
        </w:rPr>
        <w:t>9、乙方签订合同后，未按招标文件的规定的内容及时间节点实施的，甲方有权单方解除合同，所造成的损失全部由乙方负责。</w:t>
      </w:r>
    </w:p>
    <w:p>
      <w:pPr>
        <w:spacing w:line="500" w:lineRule="exact"/>
        <w:ind w:firstLine="480"/>
        <w:rPr>
          <w:rFonts w:ascii="宋体" w:hAnsi="宋体" w:eastAsia="宋体"/>
          <w:color w:val="000000"/>
        </w:rPr>
      </w:pPr>
      <w:r>
        <w:rPr>
          <w:rFonts w:hint="eastAsia" w:ascii="宋体" w:hAnsi="宋体" w:eastAsia="宋体"/>
          <w:color w:val="000000"/>
        </w:rPr>
        <w:t>10、在运维期内，因乙方原因导致项目的运维管理出现问题并造成损失的，乙方必须赔偿相应损失，根据损失的数量及性质甲方有权终止合同，按乙方违约处理，并有权另行选择运维管理商进行项目的运营维护，并且乙方必须配合做好项目的移交工作。</w:t>
      </w:r>
    </w:p>
    <w:p>
      <w:pPr>
        <w:topLinePunct/>
        <w:spacing w:line="500" w:lineRule="exact"/>
        <w:ind w:firstLine="480"/>
        <w:jc w:val="left"/>
        <w:rPr>
          <w:rFonts w:hint="eastAsia" w:ascii="宋体" w:hAnsi="宋体" w:eastAsia="宋体"/>
          <w:b/>
          <w:color w:val="000000"/>
        </w:rPr>
      </w:pPr>
      <w:r>
        <w:rPr>
          <w:rFonts w:hint="eastAsia" w:ascii="宋体" w:hAnsi="宋体" w:eastAsia="宋体"/>
          <w:b/>
          <w:color w:val="000000"/>
        </w:rPr>
        <w:t>八 安全生产和保障措施</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乙方必须严格遵守国家和地方有关安全的法律、法规、规章、政策性文件以及行业相关技术标准；乙方作为安全生产第一责任人，必须建立实施安全管理责任制；应当按规定对治理设施定期巡查、检修和更新、定期检验，及时消除事故隐患</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乙方必须建立和完善安全生产责任制度，建立安全生产保障体系，确保治理设施稳定安全运行和服务，防止事故发生；出现应急事故和在事故处置期间，乙方应采取各种应急措施进行补救，尽量减少事故对社会公众的影响，同时乙方必须按照国家有关安全管理规定向甲方报告；乙方应加强安全巡检，消除安全隐患，对危及治理设施安全的行为应及时制止，并报告甲方，同时应进行宣传、解释、劝阻和书面告知违反规定的单位或个人进行整改，对逾期不改的，书面向甲方或行政执法部门报告。</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乙方应当制定应急抢修抢险救灾预案，并建立相应的组织、指挥、设备、物资等保障体系并保证在出现应急事故时，保障体系能够正常启动。乙方应当建立设施应急抢修队伍，建立值班制度，提供24小时服务，公开抢修、抢险组织体系及热线电话，并书面上报甲方。</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乙方应根据相关要求，对治理设施运行维护管理范围内的治理设施公共安全和安全使用宣传负责。在治理设施运行维护过程中向居民提供各种形式安全检查、宣传的服务，解答居民的咨询，提高公众对治理设施的保护意识和安全使用意识。</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5、治理设施运行维护期间相关操作人员必须持证上岗（持有相应的运营管理和运营操作岗位培训合格证书、上岗证等）。</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6、乙方承担因维护措施不当而引起他人安全事故的后果。</w:t>
      </w:r>
    </w:p>
    <w:p>
      <w:pPr>
        <w:topLinePunct/>
        <w:spacing w:line="500" w:lineRule="exact"/>
        <w:ind w:firstLine="480"/>
        <w:jc w:val="left"/>
        <w:rPr>
          <w:rFonts w:hint="eastAsia" w:ascii="宋体" w:hAnsi="宋体" w:eastAsia="宋体"/>
          <w:b/>
          <w:color w:val="000000"/>
        </w:rPr>
      </w:pPr>
      <w:r>
        <w:rPr>
          <w:rFonts w:hint="eastAsia" w:ascii="宋体" w:hAnsi="宋体" w:eastAsia="宋体"/>
          <w:b/>
          <w:color w:val="000000"/>
        </w:rPr>
        <w:t>九、权利和义务</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1、甲方权利</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（1）甲方依照国家相关法律、法规、规章、有关技术标准及本营协议所约定事项对乙方的经营活动进行监管；</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（2）对乙方的日常安全文明生产工作进行监督检查</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（3）监督乙方实施协议内容，并可对运行维护管理状况向乙方提出建议，或根据本协议作出相关决定；</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（4）受理用户对乙方的投诉，进行核实并依法处理；</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（5）法律、法规、规章规定的其它监管权利。</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2、甲方义务</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（1）确保协议在治理设施运行维护管理期间实施；</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（2）为乙方的运行维护提供必要的政策支持和扶持；</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w:t>
      </w:r>
      <w:r>
        <w:rPr>
          <w:rFonts w:hint="eastAsia" w:ascii="宋体" w:hAnsi="宋体" w:eastAsia="宋体"/>
          <w:color w:val="000000"/>
          <w:lang w:val="en-US" w:eastAsia="zh-CN"/>
        </w:rPr>
        <w:t>3</w:t>
      </w:r>
      <w:r>
        <w:rPr>
          <w:rFonts w:hint="eastAsia" w:ascii="宋体" w:hAnsi="宋体" w:eastAsia="宋体"/>
          <w:color w:val="000000"/>
        </w:rPr>
        <w:t>）组织召开维护作业技术交底会；</w:t>
      </w:r>
    </w:p>
    <w:p>
      <w:pPr>
        <w:autoSpaceDE w:val="0"/>
        <w:autoSpaceDN w:val="0"/>
        <w:adjustRightInd w:val="0"/>
        <w:spacing w:line="500" w:lineRule="exact"/>
        <w:ind w:firstLine="315" w:firstLineChars="150"/>
        <w:jc w:val="left"/>
        <w:rPr>
          <w:rFonts w:hint="eastAsia" w:ascii="宋体" w:hAnsi="宋体" w:eastAsia="宋体"/>
          <w:color w:val="000000"/>
        </w:rPr>
      </w:pPr>
      <w:r>
        <w:rPr>
          <w:rFonts w:hint="eastAsia" w:ascii="宋体" w:hAnsi="宋体" w:eastAsia="宋体"/>
          <w:color w:val="000000"/>
        </w:rPr>
        <w:t>（</w:t>
      </w:r>
      <w:r>
        <w:rPr>
          <w:rFonts w:hint="eastAsia" w:ascii="宋体" w:hAnsi="宋体" w:eastAsia="宋体"/>
          <w:color w:val="000000"/>
          <w:lang w:val="en-US" w:eastAsia="zh-CN"/>
        </w:rPr>
        <w:t>4</w:t>
      </w:r>
      <w:r>
        <w:rPr>
          <w:rFonts w:hint="eastAsia" w:ascii="宋体" w:hAnsi="宋体" w:eastAsia="宋体"/>
          <w:color w:val="000000"/>
        </w:rPr>
        <w:t>）甲方按本合同有关条款，支付相应运维服务费；</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w:t>
      </w:r>
      <w:r>
        <w:rPr>
          <w:rFonts w:hint="eastAsia" w:ascii="宋体" w:hAnsi="宋体" w:eastAsia="宋体"/>
          <w:color w:val="000000"/>
          <w:lang w:val="en-US" w:eastAsia="zh-CN"/>
        </w:rPr>
        <w:t>5</w:t>
      </w:r>
      <w:r>
        <w:rPr>
          <w:rFonts w:hint="eastAsia" w:ascii="宋体" w:hAnsi="宋体" w:eastAsia="宋体"/>
          <w:color w:val="000000"/>
        </w:rPr>
        <w:t>）法律、法规、规章及本协议约定的其他义务。</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3、乙方权利</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（1）运维期间按照协议约定维护治理设施安全运行；</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（2）法律、法规、规章及本协议规定的其他权利。</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4、乙方义务</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（1）按照协议规定确保治理设施稳定安全运行；</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（2）对治理设施定期进行日常巡查和安全检查。</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（3）乙方在治理设施运行维护管理期间保持治理设施的完好、正常使用，发生故障或者安全事故时，应迅速抢修和援救；</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（4）接受甲方的日常监督管理和社会公众的监督；提供各个分布地点、电话，开通24小时免费服务热线，统一受理污水治理设施故障报修和投诉建议</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（5）乙方有义务且必须就由于运行维护治理设施不当而造成的设施设备安全、环境污染、安全事故及因此而导致的任何损害，承担一切责任。</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（6）乙方在在治理设施运行维护管理期间按照协议约定的上报治理设施运行维护情况。</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7）没有甲方事先书面同意，乙方不得将由甲提供的有关合同或任何合同条文、规格、计划、图纸、样品或资料提供给与履行本合同无关的任何其他人。即使向履行本合同有关的人员提供，也应注意保密并限于履行合同的必需范围。</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（8）法律、法规及本协议规定的其他义务。</w:t>
      </w:r>
    </w:p>
    <w:p>
      <w:pPr>
        <w:topLinePunct/>
        <w:spacing w:line="500" w:lineRule="exact"/>
        <w:ind w:firstLine="480"/>
        <w:jc w:val="left"/>
        <w:rPr>
          <w:rFonts w:hint="eastAsia" w:ascii="宋体" w:hAnsi="宋体" w:eastAsia="宋体"/>
          <w:b/>
          <w:color w:val="000000"/>
        </w:rPr>
      </w:pPr>
      <w:r>
        <w:rPr>
          <w:rFonts w:hint="eastAsia" w:ascii="宋体" w:hAnsi="宋体" w:eastAsia="宋体"/>
          <w:b/>
          <w:color w:val="000000"/>
        </w:rPr>
        <w:t>十、缺失和违约</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1、乙方行为如有不符合本协议规定之处（第十条第4款除外），均属缺失。</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2、乙方如有缺失时，甲方有权要求限期改正，并以载明下列事项的书面缺失及改正通知知会乙方：</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（1）缺失的具体事实；</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（2）改正缺失的期限；</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 xml:space="preserve">（3）改正后应达到的标准； </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（4）届时未完成改正的处理措施。</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 缺失处理：</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（1）乙方应在书面通知中要求的期限内改正缺失，（除非本协议另有约定），如届时未完成改正，甲方有权再定期限要求乙方改正并处</w:t>
      </w:r>
      <w:r>
        <w:rPr>
          <w:rFonts w:hint="eastAsia" w:ascii="宋体" w:hAnsi="宋体" w:eastAsia="宋体"/>
          <w:b/>
          <w:bCs/>
          <w:color w:val="000000"/>
        </w:rPr>
        <w:t>违约金人民币</w:t>
      </w:r>
      <w:r>
        <w:rPr>
          <w:rFonts w:hint="eastAsia" w:ascii="宋体" w:hAnsi="宋体" w:eastAsia="宋体"/>
          <w:b/>
          <w:bCs/>
          <w:color w:val="000000"/>
          <w:lang w:val="en-US" w:eastAsia="zh-CN"/>
        </w:rPr>
        <w:t>伍</w:t>
      </w:r>
      <w:r>
        <w:rPr>
          <w:rFonts w:hint="eastAsia" w:ascii="宋体" w:hAnsi="宋体" w:eastAsia="宋体"/>
          <w:b/>
          <w:bCs/>
          <w:color w:val="000000"/>
        </w:rPr>
        <w:t>仟元【RMB:</w:t>
      </w:r>
      <w:r>
        <w:rPr>
          <w:rFonts w:hint="eastAsia" w:ascii="宋体" w:hAnsi="宋体" w:eastAsia="宋体"/>
          <w:b/>
          <w:bCs/>
          <w:color w:val="000000"/>
          <w:lang w:val="en-US" w:eastAsia="zh-CN"/>
        </w:rPr>
        <w:t>5</w:t>
      </w:r>
      <w:r>
        <w:rPr>
          <w:rFonts w:hint="eastAsia" w:ascii="宋体" w:hAnsi="宋体" w:eastAsia="宋体"/>
          <w:b/>
          <w:bCs/>
          <w:color w:val="000000"/>
        </w:rPr>
        <w:t>000】</w:t>
      </w:r>
      <w:r>
        <w:rPr>
          <w:rFonts w:hint="eastAsia" w:ascii="宋体" w:hAnsi="宋体" w:eastAsia="宋体"/>
          <w:color w:val="000000"/>
        </w:rPr>
        <w:t>。自甲方第一次书面缺失及改正通知所规定的改正期限终止之日的次日起，甲方有权按日处以乙方惩罚性违</w:t>
      </w:r>
      <w:r>
        <w:rPr>
          <w:rFonts w:hint="eastAsia" w:ascii="宋体" w:hAnsi="宋体" w:eastAsia="宋体"/>
          <w:b/>
          <w:bCs/>
          <w:color w:val="000000"/>
        </w:rPr>
        <w:t>约金</w:t>
      </w:r>
      <w:r>
        <w:rPr>
          <w:rFonts w:hint="eastAsia" w:ascii="宋体" w:hAnsi="宋体" w:eastAsia="宋体"/>
          <w:b/>
          <w:bCs/>
          <w:color w:val="000000"/>
          <w:lang w:val="en-US" w:eastAsia="zh-CN"/>
        </w:rPr>
        <w:t>合同签订总价的千分之二点五</w:t>
      </w:r>
      <w:r>
        <w:rPr>
          <w:rFonts w:hint="eastAsia" w:ascii="宋体" w:hAnsi="宋体" w:eastAsia="宋体"/>
          <w:color w:val="000000"/>
          <w:lang w:val="en-US" w:eastAsia="zh-CN"/>
        </w:rPr>
        <w:t>，</w:t>
      </w:r>
      <w:r>
        <w:rPr>
          <w:rFonts w:hint="eastAsia" w:ascii="宋体" w:hAnsi="宋体" w:eastAsia="宋体"/>
          <w:color w:val="000000"/>
        </w:rPr>
        <w:t>直至乙方改正为止。</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甲方在对乙方处以惩罚性违约金期间，如乙方逾期仍未完成改正，甲方有权代为改正或指定第三方代为改正或按本协议的规定按照违约处理。若甲方代为改正或指定第三方代为改正，由此产生的全部费用应由乙方承担。</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（3）甲方有权从支付的运维费用中扣除相应资金。</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（4）若缺失情形足以严重影响本项目的建设或运营时，甲方有权直接以乙方违约处理。</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 因可归责于乙方而有下列情况之一的，构成乙方违约：</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（1）因管理不善，发生重大质量、生产安全事故的；存在重大安全隐患且拒不整改，危及或者可能危及公共利益、公共安全的；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（2）因乙方原因而中止治理设施运行维护管理的；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（3）乙方破产、企业注销、被吊销营业执照、被责令关停的；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（4）在一个季度内，用户有效投诉达到二十起的；运维期间，因乙方原因12个月内发生二起及以上重大紧急安全事件的；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（5）乙方逾期未改正缺失或改正缺失不符合通知标准，甲方以违约处理；</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（6）乙方按本协议要求无法确保治理设施正常稳定运行的；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（7）擅自停业、歇业超过15天以上的；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(8)擅自将所经营的财产进行处置或者抵押的；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(9)6个月内出现三次1小时内未能到达应急抢修现场的；</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（10）其它严重影响本协议执行且情节严重的事件。</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5、违约处理：</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（1）发生上述第十条第4款情况，甲方有权依法终止协议，并实施临时接管，临时接管产生的费用应由乙方承担。</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（2）乙方违约造成的损失乙方承担，履约保证金不再退还乙方</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6、甲方违约：</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若甲方违反其基于本协议的义务且对乙方的治理设施运行维护管理工作造成了实质性的影响，经乙方限期要求改正而未改正持续超过二个月时，乙方有权提前一个月书面通知甲方终止本协议。</w:t>
      </w:r>
    </w:p>
    <w:p>
      <w:pPr>
        <w:spacing w:line="500" w:lineRule="exact"/>
        <w:ind w:firstLine="480"/>
        <w:rPr>
          <w:rFonts w:hint="eastAsia" w:ascii="宋体" w:hAnsi="宋体" w:eastAsia="宋体"/>
          <w:b/>
          <w:color w:val="000000"/>
        </w:rPr>
      </w:pPr>
      <w:r>
        <w:rPr>
          <w:rFonts w:hint="eastAsia" w:ascii="宋体" w:hAnsi="宋体" w:eastAsia="宋体"/>
          <w:b/>
          <w:color w:val="000000"/>
        </w:rPr>
        <w:t>十一、履约保证金</w:t>
      </w:r>
    </w:p>
    <w:p>
      <w:pPr>
        <w:spacing w:line="500" w:lineRule="exact"/>
        <w:ind w:firstLine="480"/>
        <w:rPr>
          <w:rFonts w:hint="eastAsia" w:ascii="宋体" w:hAnsi="宋体" w:eastAsia="宋体"/>
          <w:color w:val="000000"/>
        </w:rPr>
      </w:pPr>
      <w:r>
        <w:rPr>
          <w:rFonts w:hint="eastAsia" w:ascii="宋体" w:hAnsi="宋体" w:eastAsia="宋体"/>
          <w:color w:val="000000"/>
        </w:rPr>
        <w:t>1、乙方交纳人民币（大写）</w:t>
      </w:r>
      <w:r>
        <w:rPr>
          <w:rFonts w:hint="eastAsia" w:ascii="宋体" w:hAnsi="宋体" w:eastAsia="宋体"/>
          <w:color w:val="000000"/>
          <w:u w:val="single"/>
        </w:rPr>
        <w:t xml:space="preserve">     </w:t>
      </w:r>
      <w:r>
        <w:rPr>
          <w:rFonts w:hint="eastAsia" w:ascii="宋体" w:hAnsi="宋体" w:eastAsia="宋体"/>
          <w:color w:val="000000"/>
        </w:rPr>
        <w:t>元（￥</w:t>
      </w:r>
      <w:r>
        <w:rPr>
          <w:rFonts w:hint="eastAsia" w:ascii="宋体" w:hAnsi="宋体" w:eastAsia="宋体"/>
          <w:color w:val="000000"/>
          <w:u w:val="single"/>
        </w:rPr>
        <w:t xml:space="preserve">             </w:t>
      </w:r>
      <w:r>
        <w:rPr>
          <w:rFonts w:hint="eastAsia" w:ascii="宋体" w:hAnsi="宋体" w:eastAsia="宋体"/>
          <w:color w:val="000000"/>
        </w:rPr>
        <w:t>元）作为本协议的履约保证金。</w:t>
      </w:r>
    </w:p>
    <w:p>
      <w:pPr>
        <w:spacing w:line="500" w:lineRule="exact"/>
        <w:ind w:firstLine="480"/>
        <w:rPr>
          <w:rFonts w:hint="eastAsia" w:ascii="宋体" w:hAnsi="宋体" w:eastAsia="宋体"/>
          <w:color w:val="000000"/>
        </w:rPr>
      </w:pPr>
      <w:r>
        <w:rPr>
          <w:rFonts w:hint="eastAsia" w:ascii="宋体" w:hAnsi="宋体" w:eastAsia="宋体"/>
          <w:color w:val="000000"/>
        </w:rPr>
        <w:t>2、协议的终止不影响履约保证金的履约担保使用。</w:t>
      </w:r>
    </w:p>
    <w:p>
      <w:pPr>
        <w:spacing w:line="500" w:lineRule="exact"/>
        <w:ind w:firstLine="480"/>
        <w:rPr>
          <w:rFonts w:hint="eastAsia" w:ascii="宋体" w:hAnsi="宋体" w:eastAsia="宋体"/>
          <w:color w:val="000000"/>
        </w:rPr>
      </w:pPr>
      <w:r>
        <w:rPr>
          <w:rFonts w:hint="eastAsia" w:ascii="宋体" w:hAnsi="宋体" w:eastAsia="宋体"/>
          <w:color w:val="000000"/>
        </w:rPr>
        <w:t>3、履约保证金是乙方按协议约定履职的担保，乙方在违约时，甲方有权从履约保证金中扣除相应金额。</w:t>
      </w:r>
    </w:p>
    <w:p>
      <w:pPr>
        <w:spacing w:line="300" w:lineRule="auto"/>
        <w:ind w:firstLine="411" w:firstLineChars="196"/>
        <w:rPr>
          <w:rFonts w:hint="eastAsia" w:ascii="宋体" w:hAnsi="宋体" w:eastAsia="宋体"/>
          <w:color w:val="000000"/>
        </w:rPr>
      </w:pPr>
      <w:r>
        <w:rPr>
          <w:rFonts w:hint="eastAsia" w:ascii="宋体" w:hAnsi="宋体" w:eastAsia="宋体"/>
          <w:color w:val="000000"/>
        </w:rPr>
        <w:t>4、该履约保证金在合同服务期满,经验收（考核）合格并正式办理移交手续后退清。</w:t>
      </w:r>
    </w:p>
    <w:p>
      <w:pPr>
        <w:spacing w:line="500" w:lineRule="exact"/>
        <w:ind w:firstLine="480"/>
        <w:rPr>
          <w:rFonts w:hint="eastAsia" w:ascii="宋体" w:hAnsi="宋体" w:eastAsia="宋体"/>
          <w:b/>
          <w:color w:val="000000"/>
        </w:rPr>
      </w:pPr>
      <w:r>
        <w:rPr>
          <w:rFonts w:hint="eastAsia" w:ascii="宋体" w:hAnsi="宋体" w:eastAsia="宋体"/>
          <w:b/>
          <w:color w:val="000000"/>
        </w:rPr>
        <w:t>十二、协议生效及其他</w:t>
      </w:r>
    </w:p>
    <w:p>
      <w:pPr>
        <w:spacing w:line="500" w:lineRule="exact"/>
        <w:ind w:firstLine="480"/>
        <w:rPr>
          <w:rFonts w:hint="eastAsia" w:ascii="宋体" w:hAnsi="宋体" w:eastAsia="宋体"/>
          <w:color w:val="000000"/>
        </w:rPr>
      </w:pPr>
      <w:r>
        <w:rPr>
          <w:rFonts w:hint="eastAsia" w:ascii="宋体" w:hAnsi="宋体" w:eastAsia="宋体"/>
          <w:color w:val="000000"/>
        </w:rPr>
        <w:t>1、协议经双方法定代表人或授权代表签字并加盖单位公章后生效。本协议的补充协议以及附件是本协议的组成部分，与本协议具有同等效力。</w:t>
      </w:r>
    </w:p>
    <w:p>
      <w:pPr>
        <w:spacing w:line="500" w:lineRule="exact"/>
        <w:ind w:firstLine="480"/>
        <w:rPr>
          <w:rFonts w:hint="eastAsia" w:ascii="宋体" w:hAnsi="宋体" w:eastAsia="宋体"/>
          <w:color w:val="000000"/>
        </w:rPr>
      </w:pPr>
      <w:r>
        <w:rPr>
          <w:rFonts w:hint="eastAsia" w:ascii="宋体" w:hAnsi="宋体" w:eastAsia="宋体"/>
          <w:color w:val="000000"/>
        </w:rPr>
        <w:t>2、本协议条文如有未尽事宜、意义不明或因不可抗力事件的发生或因政策、法律、情事变更致本协议的履行依其原有效果显失公平，经双方同意后可予以修正或补充。本协议的修正或补充应以书面方式进行，并经双方签署后生效。</w:t>
      </w:r>
    </w:p>
    <w:p>
      <w:pPr>
        <w:autoSpaceDE w:val="0"/>
        <w:autoSpaceDN w:val="0"/>
        <w:adjustRightInd w:val="0"/>
        <w:spacing w:line="500" w:lineRule="exact"/>
        <w:ind w:firstLine="480"/>
        <w:jc w:val="left"/>
        <w:rPr>
          <w:rFonts w:hint="eastAsia" w:ascii="宋体" w:hAnsi="宋体" w:eastAsia="宋体"/>
          <w:color w:val="000000"/>
        </w:rPr>
      </w:pPr>
      <w:r>
        <w:rPr>
          <w:rFonts w:hint="eastAsia" w:ascii="宋体" w:hAnsi="宋体" w:eastAsia="宋体"/>
          <w:color w:val="000000"/>
        </w:rPr>
        <w:t>3、组成本协议的文件包括</w:t>
      </w:r>
    </w:p>
    <w:p>
      <w:pPr>
        <w:autoSpaceDE w:val="0"/>
        <w:autoSpaceDN w:val="0"/>
        <w:adjustRightInd w:val="0"/>
        <w:spacing w:line="500" w:lineRule="exact"/>
        <w:ind w:firstLine="315" w:firstLineChars="150"/>
        <w:jc w:val="left"/>
        <w:rPr>
          <w:rFonts w:hint="eastAsia" w:ascii="宋体" w:hAnsi="宋体" w:eastAsia="宋体"/>
          <w:color w:val="000000"/>
        </w:rPr>
      </w:pPr>
      <w:r>
        <w:rPr>
          <w:rFonts w:hint="eastAsia" w:ascii="宋体" w:hAnsi="宋体" w:eastAsia="宋体"/>
          <w:color w:val="000000"/>
        </w:rPr>
        <w:t>（1）本协议书及附件、各镇（街道）分协议书</w:t>
      </w:r>
    </w:p>
    <w:p>
      <w:pPr>
        <w:autoSpaceDE w:val="0"/>
        <w:autoSpaceDN w:val="0"/>
        <w:adjustRightInd w:val="0"/>
        <w:spacing w:line="500" w:lineRule="exact"/>
        <w:ind w:firstLine="315" w:firstLineChars="150"/>
        <w:jc w:val="left"/>
        <w:rPr>
          <w:rFonts w:hint="eastAsia" w:ascii="宋体" w:hAnsi="宋体" w:eastAsia="宋体"/>
          <w:color w:val="000000"/>
        </w:rPr>
      </w:pPr>
      <w:r>
        <w:rPr>
          <w:rFonts w:hint="eastAsia" w:ascii="宋体" w:hAnsi="宋体" w:eastAsia="宋体"/>
          <w:color w:val="000000"/>
        </w:rPr>
        <w:t>（2）中标通知书</w:t>
      </w:r>
    </w:p>
    <w:p>
      <w:pPr>
        <w:autoSpaceDE w:val="0"/>
        <w:autoSpaceDN w:val="0"/>
        <w:adjustRightInd w:val="0"/>
        <w:spacing w:line="500" w:lineRule="exact"/>
        <w:ind w:firstLine="315" w:firstLineChars="150"/>
        <w:jc w:val="left"/>
        <w:rPr>
          <w:rFonts w:hint="eastAsia" w:ascii="宋体" w:hAnsi="宋体" w:eastAsia="宋体"/>
          <w:color w:val="000000"/>
        </w:rPr>
      </w:pPr>
      <w:r>
        <w:rPr>
          <w:rFonts w:hint="eastAsia" w:ascii="宋体" w:hAnsi="宋体" w:eastAsia="宋体"/>
          <w:color w:val="000000"/>
        </w:rPr>
        <w:t>（3）招标文件（包括招标补充文件）</w:t>
      </w:r>
    </w:p>
    <w:p>
      <w:pPr>
        <w:autoSpaceDE w:val="0"/>
        <w:autoSpaceDN w:val="0"/>
        <w:adjustRightInd w:val="0"/>
        <w:spacing w:line="500" w:lineRule="exact"/>
        <w:ind w:firstLine="315" w:firstLineChars="150"/>
        <w:jc w:val="left"/>
        <w:rPr>
          <w:rFonts w:hint="eastAsia" w:ascii="宋体" w:hAnsi="宋体" w:eastAsia="宋体"/>
          <w:color w:val="000000"/>
        </w:rPr>
      </w:pPr>
      <w:r>
        <w:rPr>
          <w:rFonts w:hint="eastAsia" w:ascii="宋体" w:hAnsi="宋体" w:eastAsia="宋体"/>
          <w:color w:val="000000"/>
        </w:rPr>
        <w:t>（4）投标书及附件</w:t>
      </w:r>
    </w:p>
    <w:p>
      <w:pPr>
        <w:autoSpaceDE w:val="0"/>
        <w:autoSpaceDN w:val="0"/>
        <w:adjustRightInd w:val="0"/>
        <w:spacing w:line="500" w:lineRule="exact"/>
        <w:ind w:firstLine="315" w:firstLineChars="150"/>
        <w:jc w:val="left"/>
        <w:rPr>
          <w:rFonts w:hint="eastAsia" w:ascii="宋体" w:hAnsi="宋体" w:eastAsia="宋体"/>
          <w:color w:val="000000"/>
        </w:rPr>
      </w:pPr>
      <w:r>
        <w:rPr>
          <w:rFonts w:hint="eastAsia" w:ascii="宋体" w:hAnsi="宋体" w:eastAsia="宋体"/>
          <w:color w:val="000000"/>
        </w:rPr>
        <w:t>（5）项目技术文件（包括安装图纸、会议纪要、变更联系单等其他技术资料）等</w:t>
      </w:r>
    </w:p>
    <w:p>
      <w:pPr>
        <w:autoSpaceDE w:val="0"/>
        <w:autoSpaceDN w:val="0"/>
        <w:adjustRightInd w:val="0"/>
        <w:spacing w:line="500" w:lineRule="exact"/>
        <w:ind w:firstLine="480"/>
        <w:jc w:val="left"/>
        <w:rPr>
          <w:rFonts w:hint="eastAsia" w:ascii="宋体" w:hAnsi="宋体" w:eastAsia="宋体"/>
          <w:color w:val="000000"/>
        </w:rPr>
      </w:pPr>
      <w:r>
        <w:rPr>
          <w:rFonts w:hint="eastAsia" w:ascii="宋体" w:hAnsi="宋体" w:eastAsia="宋体"/>
          <w:color w:val="000000"/>
        </w:rPr>
        <w:t>若协议文件的内容不一致，依前项规定的顺序确定其适用的优先级别。</w:t>
      </w:r>
    </w:p>
    <w:p>
      <w:pPr>
        <w:autoSpaceDE w:val="0"/>
        <w:autoSpaceDN w:val="0"/>
        <w:adjustRightInd w:val="0"/>
        <w:spacing w:line="500" w:lineRule="exact"/>
        <w:ind w:firstLine="480"/>
        <w:jc w:val="left"/>
        <w:rPr>
          <w:rFonts w:hint="eastAsia" w:ascii="宋体" w:hAnsi="宋体" w:eastAsia="宋体"/>
          <w:color w:val="000000"/>
        </w:rPr>
      </w:pPr>
      <w:r>
        <w:rPr>
          <w:rFonts w:hint="eastAsia" w:ascii="宋体" w:hAnsi="宋体" w:eastAsia="宋体"/>
          <w:color w:val="000000"/>
        </w:rPr>
        <w:t>4、 双方有关维护工作的洽商、变更等书面协议或文件视为本协议的组成部分</w:t>
      </w:r>
      <w:r>
        <w:rPr>
          <w:rFonts w:hint="eastAsia" w:ascii="宋体" w:hAnsi="宋体" w:eastAsia="宋体" w:cs="宋体"/>
          <w:color w:val="000000"/>
          <w:kern w:val="0"/>
          <w:szCs w:val="21"/>
        </w:rPr>
        <w:t>。</w:t>
      </w:r>
    </w:p>
    <w:p>
      <w:pPr>
        <w:spacing w:line="500" w:lineRule="exact"/>
        <w:ind w:firstLine="480"/>
        <w:rPr>
          <w:rFonts w:hint="eastAsia" w:ascii="宋体" w:hAnsi="宋体" w:eastAsia="宋体"/>
          <w:color w:val="000000"/>
        </w:rPr>
      </w:pPr>
      <w:r>
        <w:rPr>
          <w:rFonts w:hint="eastAsia" w:ascii="宋体" w:hAnsi="宋体" w:eastAsia="宋体"/>
          <w:color w:val="000000"/>
        </w:rPr>
        <w:t>5、甲方和乙方签订主协议，乙方和各镇（街道）签订分协议，主分协议具有同等效力。</w:t>
      </w:r>
    </w:p>
    <w:p>
      <w:pPr>
        <w:spacing w:line="500" w:lineRule="exact"/>
        <w:ind w:firstLine="480"/>
        <w:rPr>
          <w:rFonts w:hint="eastAsia" w:ascii="宋体" w:hAnsi="宋体" w:eastAsia="宋体"/>
          <w:color w:val="000000"/>
        </w:rPr>
      </w:pPr>
      <w:r>
        <w:rPr>
          <w:rFonts w:hint="eastAsia" w:ascii="宋体" w:hAnsi="宋体" w:eastAsia="宋体"/>
          <w:color w:val="000000"/>
        </w:rPr>
        <w:t>6.本协议未尽事宜，遵照《合同法》有关条文执行。</w:t>
      </w:r>
    </w:p>
    <w:p>
      <w:pPr>
        <w:spacing w:line="500" w:lineRule="exact"/>
        <w:ind w:firstLine="315" w:firstLineChars="150"/>
        <w:rPr>
          <w:rFonts w:hint="eastAsia" w:ascii="宋体" w:hAnsi="宋体" w:eastAsia="宋体"/>
          <w:color w:val="000000"/>
        </w:rPr>
      </w:pPr>
      <w:r>
        <w:rPr>
          <w:rFonts w:hint="eastAsia" w:ascii="宋体" w:hAnsi="宋体" w:eastAsia="宋体"/>
          <w:color w:val="000000"/>
        </w:rPr>
        <w:t>7.本协议正本一式六份，具有同等法律效力，甲乙双方各执二份，其余分送有关部门。</w:t>
      </w:r>
    </w:p>
    <w:p>
      <w:pPr>
        <w:topLinePunct/>
        <w:spacing w:line="500" w:lineRule="exact"/>
        <w:ind w:firstLine="480"/>
        <w:rPr>
          <w:rFonts w:hint="eastAsia" w:ascii="宋体" w:hAnsi="宋体" w:eastAsia="宋体"/>
          <w:b/>
          <w:color w:val="000000"/>
        </w:rPr>
      </w:pPr>
      <w:r>
        <w:rPr>
          <w:rFonts w:hint="eastAsia" w:ascii="宋体" w:hAnsi="宋体" w:eastAsia="宋体"/>
          <w:b/>
          <w:color w:val="000000"/>
        </w:rPr>
        <w:t>十三、其他约定</w:t>
      </w:r>
    </w:p>
    <w:p>
      <w:pPr>
        <w:topLinePunct/>
        <w:spacing w:line="500" w:lineRule="exact"/>
        <w:ind w:firstLine="480"/>
        <w:jc w:val="left"/>
        <w:rPr>
          <w:rFonts w:hint="eastAsia" w:ascii="宋体" w:hAnsi="宋体" w:eastAsia="宋体"/>
          <w:color w:val="000000"/>
        </w:rPr>
      </w:pPr>
      <w:r>
        <w:rPr>
          <w:rFonts w:hint="eastAsia" w:ascii="宋体" w:hAnsi="宋体" w:eastAsia="宋体"/>
          <w:color w:val="000000"/>
        </w:rPr>
        <w:t>1、甲乙双方因重大事项进行工作交流时均以书面通知为准，并于送达对方时生效。重大事项包括但不限于本协议约定。</w:t>
      </w:r>
    </w:p>
    <w:p>
      <w:pPr>
        <w:spacing w:line="500" w:lineRule="exact"/>
        <w:ind w:firstLine="480"/>
        <w:rPr>
          <w:rFonts w:hint="eastAsia" w:ascii="宋体" w:hAnsi="宋体" w:eastAsia="宋体"/>
          <w:color w:val="000000"/>
        </w:rPr>
      </w:pP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0"/>
        <w:gridCol w:w="4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3" w:hRule="atLeast"/>
          <w:jc w:val="center"/>
        </w:trPr>
        <w:tc>
          <w:tcPr>
            <w:tcW w:w="4230" w:type="dxa"/>
            <w:tcBorders>
              <w:top w:val="single" w:color="000000" w:sz="4" w:space="0"/>
              <w:left w:val="single" w:color="000000" w:sz="4" w:space="0"/>
              <w:bottom w:val="single" w:color="000000" w:sz="4" w:space="0"/>
              <w:right w:val="single" w:color="000000" w:sz="4" w:space="0"/>
            </w:tcBorders>
            <w:noWrap w:val="0"/>
            <w:vAlign w:val="center"/>
          </w:tcPr>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szCs w:val="21"/>
              </w:rPr>
              <w:t xml:space="preserve"> </w:t>
            </w:r>
            <w:r>
              <w:rPr>
                <w:rFonts w:hint="eastAsia" w:ascii="宋体" w:hAnsi="宋体" w:eastAsia="宋体"/>
                <w:color w:val="000000"/>
              </w:rPr>
              <w:t>甲方：</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地址：</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法定（授权）代表人：</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联系方式：</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开户行：</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账号：</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 xml:space="preserve">签字日期：      年   月   日 </w:t>
            </w:r>
          </w:p>
        </w:tc>
        <w:tc>
          <w:tcPr>
            <w:tcW w:w="4637" w:type="dxa"/>
            <w:tcBorders>
              <w:top w:val="single" w:color="000000" w:sz="4" w:space="0"/>
              <w:left w:val="single" w:color="000000" w:sz="4" w:space="0"/>
              <w:bottom w:val="single" w:color="000000" w:sz="4" w:space="0"/>
              <w:right w:val="single" w:color="000000" w:sz="4" w:space="0"/>
            </w:tcBorders>
            <w:noWrap w:val="0"/>
            <w:vAlign w:val="center"/>
          </w:tcPr>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乙方：</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地址：</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法定（授权）代表人：</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联系方式：</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开户行：</w:t>
            </w:r>
          </w:p>
          <w:p>
            <w:pPr>
              <w:pStyle w:val="967"/>
              <w:numPr>
                <w:ilvl w:val="1"/>
                <w:numId w:val="0"/>
              </w:numPr>
              <w:spacing w:line="500" w:lineRule="exact"/>
              <w:ind w:leftChars="0"/>
              <w:jc w:val="left"/>
              <w:rPr>
                <w:rFonts w:hint="eastAsia" w:ascii="宋体" w:hAnsi="宋体" w:eastAsia="宋体"/>
                <w:color w:val="000000"/>
              </w:rPr>
            </w:pPr>
            <w:r>
              <w:rPr>
                <w:rFonts w:hint="eastAsia" w:ascii="宋体" w:hAnsi="宋体" w:eastAsia="宋体"/>
                <w:color w:val="000000"/>
              </w:rPr>
              <w:t>账号：</w:t>
            </w:r>
          </w:p>
          <w:p>
            <w:pPr>
              <w:pStyle w:val="967"/>
              <w:numPr>
                <w:ilvl w:val="1"/>
                <w:numId w:val="0"/>
              </w:numPr>
              <w:spacing w:line="500" w:lineRule="exact"/>
              <w:ind w:leftChars="0"/>
              <w:jc w:val="left"/>
              <w:rPr>
                <w:rFonts w:hint="eastAsia" w:ascii="宋体" w:hAnsi="宋体" w:eastAsia="宋体"/>
                <w:color w:val="000000"/>
                <w:szCs w:val="24"/>
              </w:rPr>
            </w:pPr>
            <w:r>
              <w:rPr>
                <w:rFonts w:hint="eastAsia" w:ascii="宋体" w:hAnsi="宋体" w:eastAsia="宋体"/>
                <w:color w:val="000000"/>
              </w:rPr>
              <w:t xml:space="preserve">签字日期：      年   月   日 </w:t>
            </w:r>
          </w:p>
        </w:tc>
      </w:tr>
    </w:tbl>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5"/>
      <w:r>
        <w:rPr>
          <w:rFonts w:hint="eastAsia" w:ascii="宋体" w:hAnsi="宋体" w:cs="宋体"/>
          <w:b/>
          <w:color w:val="auto"/>
          <w:sz w:val="36"/>
          <w:szCs w:val="20"/>
          <w:highlight w:val="none"/>
        </w:rPr>
        <w:t xml:space="preserve"> </w:t>
      </w:r>
      <w:bookmarkEnd w:id="386"/>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87" w:name="_Hlk101257010"/>
      <w:r>
        <w:rPr>
          <w:rFonts w:hint="eastAsia" w:ascii="宋体" w:hAnsi="宋体" w:cs="宋体"/>
          <w:color w:val="auto"/>
          <w:sz w:val="24"/>
          <w:highlight w:val="none"/>
        </w:rPr>
        <w:t>（如果有)</w:t>
      </w:r>
      <w:bookmarkEnd w:id="38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2.2.7拟派项目团队配备情况表；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outlineLvl w:val="9"/>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eastAsia="zh-CN"/>
        </w:rPr>
        <w:t>拟派项目团队配备情况表</w:t>
      </w:r>
    </w:p>
    <w:p>
      <w:pPr>
        <w:jc w:val="center"/>
        <w:rPr>
          <w:rFonts w:hint="eastAsia" w:ascii="宋体" w:hAnsi="宋体" w:cs="宋体"/>
          <w:b/>
          <w:color w:val="auto"/>
          <w:kern w:val="0"/>
          <w:sz w:val="32"/>
          <w:szCs w:val="32"/>
          <w:highlight w:val="none"/>
        </w:rPr>
      </w:pPr>
    </w:p>
    <w:tbl>
      <w:tblPr>
        <w:tblStyle w:val="64"/>
        <w:tblW w:w="4996" w:type="pct"/>
        <w:tblInd w:w="0" w:type="dxa"/>
        <w:tblLayout w:type="autofit"/>
        <w:tblCellMar>
          <w:top w:w="0" w:type="dxa"/>
          <w:left w:w="108" w:type="dxa"/>
          <w:bottom w:w="0" w:type="dxa"/>
          <w:right w:w="108" w:type="dxa"/>
        </w:tblCellMar>
      </w:tblPr>
      <w:tblGrid>
        <w:gridCol w:w="793"/>
        <w:gridCol w:w="847"/>
        <w:gridCol w:w="1098"/>
        <w:gridCol w:w="1333"/>
        <w:gridCol w:w="760"/>
        <w:gridCol w:w="689"/>
        <w:gridCol w:w="689"/>
        <w:gridCol w:w="689"/>
        <w:gridCol w:w="1291"/>
        <w:gridCol w:w="1090"/>
      </w:tblGrid>
      <w:tr>
        <w:tblPrEx>
          <w:tblCellMar>
            <w:top w:w="0" w:type="dxa"/>
            <w:left w:w="108" w:type="dxa"/>
            <w:bottom w:w="0" w:type="dxa"/>
            <w:right w:w="108" w:type="dxa"/>
          </w:tblCellMar>
        </w:tblPrEx>
        <w:trPr>
          <w:trHeight w:val="396" w:hRule="atLeast"/>
        </w:trPr>
        <w:tc>
          <w:tcPr>
            <w:tcW w:w="427" w:type="pct"/>
            <w:tcBorders>
              <w:top w:val="single" w:color="auto" w:sz="12" w:space="0"/>
              <w:left w:val="single" w:color="auto" w:sz="12"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姓名</w:t>
            </w:r>
          </w:p>
        </w:tc>
        <w:tc>
          <w:tcPr>
            <w:tcW w:w="591"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zh-CN"/>
              </w:rPr>
              <w:t>本项目拟任岗位</w:t>
            </w:r>
          </w:p>
        </w:tc>
        <w:tc>
          <w:tcPr>
            <w:tcW w:w="718"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lang w:eastAsia="zh-CN"/>
              </w:rPr>
            </w:pPr>
            <w:r>
              <w:rPr>
                <w:rFonts w:hint="eastAsia" w:ascii="宋体" w:hAnsi="宋体" w:cs="宋体"/>
                <w:b/>
                <w:color w:val="auto"/>
                <w:kern w:val="0"/>
                <w:sz w:val="22"/>
                <w:szCs w:val="22"/>
                <w:highlight w:val="none"/>
              </w:rPr>
              <w:t>身份证号</w:t>
            </w:r>
            <w:r>
              <w:rPr>
                <w:rFonts w:hint="eastAsia" w:ascii="宋体" w:hAnsi="宋体" w:cs="宋体"/>
                <w:b/>
                <w:color w:val="auto"/>
                <w:kern w:val="0"/>
                <w:sz w:val="22"/>
                <w:szCs w:val="22"/>
                <w:highlight w:val="none"/>
                <w:lang w:eastAsia="zh-CN"/>
              </w:rPr>
              <w:t>码</w:t>
            </w:r>
          </w:p>
        </w:tc>
        <w:tc>
          <w:tcPr>
            <w:tcW w:w="409"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zh-CN"/>
              </w:rPr>
              <w:t>年龄</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zh-CN"/>
              </w:rPr>
              <w:t>性别</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zh-CN"/>
              </w:rPr>
              <w:t>专业</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zh-CN"/>
              </w:rPr>
              <w:t>专业年限</w:t>
            </w:r>
          </w:p>
        </w:tc>
        <w:tc>
          <w:tcPr>
            <w:tcW w:w="695" w:type="pct"/>
            <w:tcBorders>
              <w:top w:val="single" w:color="auto" w:sz="12"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0"/>
            <w:vAlign w:val="center"/>
          </w:tcPr>
          <w:p>
            <w:pPr>
              <w:jc w:val="center"/>
              <w:rPr>
                <w:rFonts w:hint="eastAsia"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备注</w:t>
            </w:r>
          </w:p>
        </w:tc>
      </w:tr>
      <w:tr>
        <w:tblPrEx>
          <w:tblCellMar>
            <w:top w:w="0" w:type="dxa"/>
            <w:left w:w="108" w:type="dxa"/>
            <w:bottom w:w="0" w:type="dxa"/>
            <w:right w:w="108" w:type="dxa"/>
          </w:tblCellMar>
        </w:tblPrEx>
        <w:trPr>
          <w:trHeight w:val="408" w:hRule="atLeast"/>
        </w:trPr>
        <w:tc>
          <w:tcPr>
            <w:tcW w:w="427" w:type="pc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12"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56" w:type="pct"/>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cs="宋体"/>
                <w:b/>
                <w:color w:val="auto"/>
                <w:kern w:val="0"/>
                <w:sz w:val="32"/>
                <w:szCs w:val="32"/>
                <w:highlight w:val="none"/>
              </w:rPr>
            </w:pPr>
          </w:p>
        </w:tc>
        <w:tc>
          <w:tcPr>
            <w:tcW w:w="591"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718"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409"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695" w:type="pct"/>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b/>
                <w:color w:val="auto"/>
                <w:kern w:val="0"/>
                <w:sz w:val="32"/>
                <w:szCs w:val="32"/>
                <w:highlight w:val="none"/>
              </w:rPr>
            </w:pPr>
          </w:p>
        </w:tc>
        <w:tc>
          <w:tcPr>
            <w:tcW w:w="587" w:type="pct"/>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宋体" w:hAnsi="宋体" w:cs="宋体"/>
                <w:b/>
                <w:color w:val="auto"/>
                <w:kern w:val="0"/>
                <w:sz w:val="32"/>
                <w:szCs w:val="32"/>
                <w:highlight w:val="none"/>
              </w:rPr>
            </w:pPr>
          </w:p>
        </w:tc>
      </w:tr>
    </w:tbl>
    <w:p>
      <w:pPr>
        <w:jc w:val="left"/>
        <w:rPr>
          <w:rFonts w:hint="eastAsia" w:ascii="宋体" w:hAnsi="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注：后附相关材料。</w:t>
      </w:r>
    </w:p>
    <w:p>
      <w:pPr>
        <w:jc w:val="center"/>
        <w:rPr>
          <w:rFonts w:hint="eastAsia"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pPr>
        <w:numPr>
          <w:ilvl w:val="0"/>
          <w:numId w:val="4"/>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pPr>
        <w:pStyle w:val="81"/>
        <w:numPr>
          <w:ilvl w:val="0"/>
          <w:numId w:val="5"/>
        </w:numPr>
        <w:ind w:firstLine="0" w:firstLineChars="0"/>
        <w:jc w:val="center"/>
        <w:rPr>
          <w:rFonts w:hint="eastAsia" w:ascii="宋体" w:hAnsi="宋体" w:eastAsia="宋体" w:cs="宋体"/>
          <w:b/>
          <w:color w:val="auto"/>
          <w:kern w:val="0"/>
          <w:highlight w:val="none"/>
          <w:lang w:val="en-US" w:eastAsia="zh-CN"/>
        </w:rPr>
      </w:pPr>
      <w:r>
        <w:rPr>
          <w:rFonts w:hint="eastAsia" w:ascii="宋体" w:hAnsi="宋体" w:eastAsia="宋体" w:cs="宋体"/>
          <w:b/>
          <w:color w:val="auto"/>
          <w:kern w:val="0"/>
          <w:highlight w:val="none"/>
          <w:lang w:val="en-US" w:eastAsia="zh-CN"/>
        </w:rPr>
        <w:t>商务偏离表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240" w:lineRule="auto"/>
        <w:ind w:right="0"/>
        <w:rPr>
          <w:rFonts w:hint="eastAsia" w:ascii="宋体" w:hAnsi="宋体" w:cs="宋体"/>
          <w:color w:val="auto"/>
          <w:sz w:val="24"/>
          <w:highlight w:val="none"/>
        </w:rPr>
      </w:pPr>
      <w:r>
        <w:rPr>
          <w:rFonts w:hint="eastAsia" w:ascii="宋体" w:hAnsi="宋体" w:cs="宋体"/>
          <w:color w:val="auto"/>
          <w:sz w:val="24"/>
          <w:highlight w:val="none"/>
        </w:rPr>
        <w:br w:type="page"/>
      </w:r>
    </w:p>
    <w:p>
      <w:pPr>
        <w:pStyle w:val="81"/>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numPr>
          <w:ilvl w:val="0"/>
          <w:numId w:val="0"/>
        </w:num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（二）技术响应表</w:t>
      </w:r>
    </w:p>
    <w:p>
      <w:pPr>
        <w:pStyle w:val="62"/>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left"/>
        <w:textAlignment w:val="auto"/>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eastAsia="zh-CN"/>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eastAsia="zh-CN"/>
        </w:rPr>
        <w:t>项目编号：</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313"/>
        <w:gridCol w:w="2791"/>
        <w:gridCol w:w="2708"/>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序号</w:t>
            </w:r>
          </w:p>
        </w:tc>
        <w:tc>
          <w:tcPr>
            <w:tcW w:w="707"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名称或内容</w:t>
            </w:r>
          </w:p>
        </w:tc>
        <w:tc>
          <w:tcPr>
            <w:tcW w:w="1503"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招标要求</w:t>
            </w:r>
          </w:p>
        </w:tc>
        <w:tc>
          <w:tcPr>
            <w:tcW w:w="1458"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投标响应</w:t>
            </w:r>
          </w:p>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（逐一对应）</w:t>
            </w:r>
          </w:p>
        </w:tc>
        <w:tc>
          <w:tcPr>
            <w:tcW w:w="1000"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32"/>
                <w:szCs w:val="32"/>
                <w:highlight w:val="none"/>
                <w:vertAlign w:val="baseline"/>
              </w:rPr>
            </w:pPr>
          </w:p>
        </w:tc>
        <w:tc>
          <w:tcPr>
            <w:tcW w:w="707" w:type="pct"/>
          </w:tcPr>
          <w:p>
            <w:pPr>
              <w:rPr>
                <w:rFonts w:hint="eastAsia" w:ascii="仿宋_GB2312" w:hAnsi="仿宋" w:eastAsia="仿宋_GB2312" w:cs="仿宋_GB2312"/>
                <w:b/>
                <w:color w:val="auto"/>
                <w:kern w:val="0"/>
                <w:sz w:val="32"/>
                <w:szCs w:val="32"/>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keepNext w:val="0"/>
              <w:keepLines w:val="0"/>
              <w:widowControl/>
              <w:suppressLineNumbers w:val="0"/>
              <w:jc w:val="left"/>
              <w:rPr>
                <w:rFonts w:hint="eastAsia" w:ascii="仿宋_GB2312" w:hAnsi="仿宋" w:eastAsia="仿宋_GB2312" w:cs="仿宋_GB2312"/>
                <w:b/>
                <w:color w:val="auto"/>
                <w:kern w:val="0"/>
                <w:sz w:val="40"/>
                <w:szCs w:val="40"/>
                <w:highlight w:val="none"/>
                <w:vertAlign w:val="baseline"/>
              </w:rPr>
            </w:pPr>
            <w:r>
              <w:rPr>
                <w:rFonts w:ascii="仿宋" w:hAnsi="仿宋" w:eastAsia="仿宋" w:cs="仿宋"/>
                <w:b/>
                <w:bCs/>
                <w:color w:val="auto"/>
                <w:kern w:val="0"/>
                <w:sz w:val="24"/>
                <w:szCs w:val="24"/>
                <w:highlight w:val="none"/>
                <w:lang w:val="en-US" w:eastAsia="zh-CN" w:bidi="ar"/>
              </w:rPr>
              <w:t>严禁完全复制粘贴招标要求</w:t>
            </w: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bl>
    <w:p>
      <w:pPr>
        <w:widowControl/>
        <w:jc w:val="left"/>
        <w:rPr>
          <w:rFonts w:hint="eastAsia"/>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仿宋" w:hAnsi="仿宋" w:eastAsia="仿宋" w:cs="仿宋"/>
          <w:b/>
          <w:bCs/>
          <w:color w:val="auto"/>
          <w:kern w:val="0"/>
          <w:sz w:val="24"/>
          <w:szCs w:val="24"/>
          <w:highlight w:val="none"/>
          <w:lang w:val="en-US" w:eastAsia="zh-CN" w:bidi="ar"/>
        </w:rPr>
        <w:t>备注：1、对照《第三部分 采购需求书》如实填写上表，虚假应标一律按提供虚假材料处理；2、“偏离情况”栏填写：</w:t>
      </w:r>
      <w:r>
        <w:rPr>
          <w:rFonts w:hint="eastAsia" w:ascii="仿宋" w:hAnsi="仿宋" w:eastAsia="仿宋" w:cs="仿宋"/>
          <w:b/>
          <w:bCs/>
          <w:color w:val="auto"/>
          <w:kern w:val="0"/>
          <w:sz w:val="24"/>
          <w:szCs w:val="24"/>
          <w:highlight w:val="none"/>
          <w:lang w:val="en-US" w:eastAsia="zh-CN" w:bidi="ar"/>
        </w:rPr>
        <w:t>“响应”或“不响应”。3、后附相关说明材料（如有）</w:t>
      </w:r>
    </w:p>
    <w:p>
      <w:pPr>
        <w:widowControl/>
        <w:adjustRightInd/>
        <w:ind w:firstLine="0" w:firstLineChars="0"/>
        <w:jc w:val="center"/>
        <w:rPr>
          <w:rFonts w:ascii="宋体" w:hAnsi="宋体" w:cs="宋体"/>
          <w:b/>
          <w:kern w:val="0"/>
          <w:sz w:val="32"/>
          <w:szCs w:val="32"/>
        </w:rPr>
      </w:pPr>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numPr>
          <w:ilvl w:val="0"/>
          <w:numId w:val="6"/>
        </w:numPr>
        <w:snapToGrid w:val="0"/>
        <w:spacing w:line="360" w:lineRule="auto"/>
        <w:rPr>
          <w:rFonts w:hint="eastAsia"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pStyle w:val="81"/>
        <w:rPr>
          <w:rFonts w:hint="eastAsia"/>
        </w:rPr>
      </w:pPr>
    </w:p>
    <w:p>
      <w:pPr>
        <w:pStyle w:val="81"/>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hint="eastAsia" w:ascii="宋体" w:hAnsi="宋体" w:eastAsia="宋体" w:cs="宋体"/>
          <w:b/>
          <w:color w:val="auto"/>
          <w:kern w:val="0"/>
          <w:sz w:val="24"/>
          <w:highlight w:val="none"/>
          <w:lang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宋体" w:hAnsi="宋体" w:eastAsia="宋体" w:cs="宋体"/>
          <w:b/>
          <w:bCs/>
          <w:color w:val="auto"/>
          <w:sz w:val="24"/>
          <w:highlight w:val="none"/>
        </w:rPr>
        <w:t>供应商报价低于项目预算50%的，应当在报价文件中详细阐述不影响产品质量或者诚信履约的具体原因</w:t>
      </w:r>
      <w:r>
        <w:rPr>
          <w:rFonts w:hint="eastAsia" w:ascii="宋体" w:hAnsi="宋体" w:eastAsia="宋体" w:cs="宋体"/>
          <w:b/>
          <w:bCs/>
          <w:color w:val="auto"/>
          <w:sz w:val="24"/>
          <w:highlight w:val="none"/>
          <w:lang w:eastAsia="zh-CN"/>
        </w:rPr>
        <w:t>。</w:t>
      </w:r>
    </w:p>
    <w:p>
      <w:pPr>
        <w:pStyle w:val="694"/>
        <w:keepNext w:val="0"/>
        <w:pageBreakBefore/>
        <w:numPr>
          <w:ilvl w:val="-1"/>
          <w:numId w:val="0"/>
        </w:numPr>
        <w:tabs>
          <w:tab w:val="clear" w:pos="720"/>
        </w:tabs>
        <w:snapToGrid w:val="0"/>
        <w:spacing w:before="120" w:after="120"/>
        <w:ind w:firstLine="0"/>
        <w:jc w:val="center"/>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二、报价情况说明（如果有）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pPr>
        <w:pStyle w:val="694"/>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81"/>
        <w:rPr>
          <w:rFonts w:hint="eastAsia" w:ascii="宋体" w:hAnsi="宋体" w:cs="宋体"/>
          <w:b/>
          <w:color w:val="FF0000"/>
          <w:sz w:val="24"/>
        </w:rPr>
      </w:pPr>
    </w:p>
    <w:p>
      <w:pPr>
        <w:pStyle w:val="81"/>
        <w:rPr>
          <w:rFonts w:hint="eastAsia" w:ascii="宋体" w:hAnsi="宋体" w:cs="宋体"/>
          <w:b/>
          <w:color w:val="FF0000"/>
          <w:sz w:val="24"/>
        </w:rPr>
      </w:pP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81"/>
        <w:rPr>
          <w:rFonts w:hint="eastAsia" w:ascii="宋体" w:hAnsi="宋体" w:cs="宋体"/>
          <w:b/>
          <w:color w:val="FF0000"/>
          <w:sz w:val="24"/>
        </w:rPr>
      </w:pP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关于钱塘区政府采购支持中小企业信用融资相关事项通知</w:t>
      </w:r>
    </w:p>
    <w:p>
      <w:pPr>
        <w:spacing w:line="360" w:lineRule="auto"/>
        <w:jc w:val="center"/>
        <w:rPr>
          <w:rFonts w:hint="eastAsia" w:ascii="宋体" w:hAnsi="宋体" w:eastAsia="宋体" w:cs="宋体"/>
          <w:b/>
          <w:color w:val="auto"/>
          <w:szCs w:val="21"/>
          <w:highlight w:val="none"/>
        </w:rPr>
      </w:pP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4"/>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pPr>
        <w:spacing w:line="360" w:lineRule="auto"/>
        <w:ind w:left="5060" w:hanging="5060" w:hangingChars="2100"/>
        <w:rPr>
          <w:rFonts w:hint="eastAsia" w:ascii="宋体" w:hAnsi="宋体" w:eastAsia="宋体" w:cs="宋体"/>
          <w:b/>
          <w:bCs/>
          <w:color w:val="auto"/>
          <w:kern w:val="0"/>
          <w:sz w:val="24"/>
          <w:highlight w:val="none"/>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outlineLvl w:val="9"/>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88" w:name="OLE_LINK13"/>
      <w:bookmarkStart w:id="389" w:name="OLE_LINK14"/>
      <w:r>
        <w:rPr>
          <w:rFonts w:hint="eastAsia" w:ascii="宋体" w:hAnsi="宋体" w:cs="宋体"/>
          <w:b/>
          <w:spacing w:val="6"/>
          <w:sz w:val="32"/>
          <w:szCs w:val="32"/>
        </w:rPr>
        <w:t>残疾人福利性单位声明函</w:t>
      </w:r>
    </w:p>
    <w:bookmarkEnd w:id="388"/>
    <w:bookmarkEnd w:id="38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39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outlineLvl w:val="9"/>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9"/>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cs="宋体"/>
          <w:bCs/>
          <w:sz w:val="24"/>
        </w:rPr>
      </w:pPr>
      <w:r>
        <w:rPr>
          <w:rFonts w:hint="eastAsia" w:ascii="宋体" w:hAnsi="宋体" w:eastAsia="宋体" w:cs="宋体"/>
          <w:color w:val="auto"/>
          <w:highlight w:val="none"/>
          <w:lang w:val="en-US"/>
        </w:rPr>
        <w:drawing>
          <wp:inline distT="0" distB="0" distL="114300" distR="114300">
            <wp:extent cx="9091295" cy="5498465"/>
            <wp:effectExtent l="0" t="0" r="698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4"/>
      </w:rPr>
    </w:pPr>
    <w:r>
      <w:fldChar w:fldCharType="begin"/>
    </w:r>
    <w:r>
      <w:rPr>
        <w:rStyle w:val="74"/>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3" w:name="_Toc131845147"/>
    <w:bookmarkStart w:id="394" w:name="_Toc91899912"/>
    <w:bookmarkStart w:id="395" w:name="_Toc164085800"/>
    <w:bookmarkStart w:id="396" w:name="_Toc36110187"/>
    <w:r>
      <w:rPr>
        <w:rFonts w:hint="eastAsia" w:ascii="仿宋_GB2312" w:eastAsia="仿宋_GB2312"/>
        <w:kern w:val="0"/>
        <w:szCs w:val="21"/>
      </w:rPr>
      <w:t xml:space="preserve"> 页</w:t>
    </w:r>
    <w:bookmarkEnd w:id="393"/>
    <w:bookmarkEnd w:id="394"/>
    <w:bookmarkEnd w:id="395"/>
    <w:bookmarkEnd w:id="3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4"/>
      </w:rPr>
    </w:pPr>
    <w:r>
      <w:fldChar w:fldCharType="begin"/>
    </w:r>
    <w:r>
      <w:rPr>
        <w:rStyle w:val="7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3F66E"/>
    <w:multiLevelType w:val="singleLevel"/>
    <w:tmpl w:val="8843F66E"/>
    <w:lvl w:ilvl="0" w:tentative="0">
      <w:start w:val="1"/>
      <w:numFmt w:val="decimal"/>
      <w:suff w:val="nothing"/>
      <w:lvlText w:val="（%1）"/>
      <w:lvlJc w:val="left"/>
    </w:lvl>
  </w:abstractNum>
  <w:abstractNum w:abstractNumId="1">
    <w:nsid w:val="E68EF450"/>
    <w:multiLevelType w:val="singleLevel"/>
    <w:tmpl w:val="E68EF450"/>
    <w:lvl w:ilvl="0" w:tentative="0">
      <w:start w:val="2"/>
      <w:numFmt w:val="decimal"/>
      <w:suff w:val="nothing"/>
      <w:lvlText w:val="%1、"/>
      <w:lvlJc w:val="left"/>
    </w:lvl>
  </w:abstractNum>
  <w:abstractNum w:abstractNumId="2">
    <w:nsid w:val="EBEB1677"/>
    <w:multiLevelType w:val="singleLevel"/>
    <w:tmpl w:val="EBEB1677"/>
    <w:lvl w:ilvl="0" w:tentative="0">
      <w:start w:val="1"/>
      <w:numFmt w:val="chineseCounting"/>
      <w:suff w:val="nothing"/>
      <w:lvlText w:val="（%1）"/>
      <w:lvlJc w:val="left"/>
      <w:rPr>
        <w:rFonts w:hint="eastAsia"/>
      </w:rPr>
    </w:lvl>
  </w:abstractNum>
  <w:abstractNum w:abstractNumId="3">
    <w:nsid w:val="ED14E04C"/>
    <w:multiLevelType w:val="singleLevel"/>
    <w:tmpl w:val="ED14E04C"/>
    <w:lvl w:ilvl="0" w:tentative="0">
      <w:start w:val="8"/>
      <w:numFmt w:val="chineseCounting"/>
      <w:suff w:val="nothing"/>
      <w:lvlText w:val="%1、"/>
      <w:lvlJc w:val="left"/>
      <w:rPr>
        <w:rFonts w:hint="eastAsia"/>
      </w:rPr>
    </w:lvl>
  </w:abstractNum>
  <w:abstractNum w:abstractNumId="4">
    <w:nsid w:val="0000001A"/>
    <w:multiLevelType w:val="multilevel"/>
    <w:tmpl w:val="0000001A"/>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96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1892D21"/>
    <w:multiLevelType w:val="singleLevel"/>
    <w:tmpl w:val="41892D21"/>
    <w:lvl w:ilvl="0" w:tentative="0">
      <w:start w:val="1"/>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2I0NWQzMmVhNTNkM2UzMDQ4Y2UzOTk1ZmZjYTIifQ=="/>
    <w:docVar w:name="KSO_WPS_MARK_KEY" w:val="074d9da6-8150-45cf-99fe-0d294351cae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290F5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1500E"/>
    <w:rsid w:val="09E04166"/>
    <w:rsid w:val="0A1909AD"/>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64"/>
    <w:rsid w:val="0DA01C73"/>
    <w:rsid w:val="0DD63300"/>
    <w:rsid w:val="0DF50604"/>
    <w:rsid w:val="0DF702FE"/>
    <w:rsid w:val="0E060E51"/>
    <w:rsid w:val="0E5604B2"/>
    <w:rsid w:val="0E6D5D79"/>
    <w:rsid w:val="0E9D0089"/>
    <w:rsid w:val="0EB803EE"/>
    <w:rsid w:val="0EF94D4B"/>
    <w:rsid w:val="0F016A6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FE7E1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356A9"/>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8C7200"/>
    <w:rsid w:val="25A917A6"/>
    <w:rsid w:val="25BE27CC"/>
    <w:rsid w:val="25F74A5C"/>
    <w:rsid w:val="2628662C"/>
    <w:rsid w:val="262D45DE"/>
    <w:rsid w:val="26871DC8"/>
    <w:rsid w:val="26A53EF9"/>
    <w:rsid w:val="26A94201"/>
    <w:rsid w:val="26AA4AE3"/>
    <w:rsid w:val="26AC274F"/>
    <w:rsid w:val="27044A29"/>
    <w:rsid w:val="271D34C8"/>
    <w:rsid w:val="276142BF"/>
    <w:rsid w:val="27783712"/>
    <w:rsid w:val="27907362"/>
    <w:rsid w:val="27BD053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73EA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71C9D"/>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BF7186"/>
    <w:rsid w:val="33EB55CD"/>
    <w:rsid w:val="33EC4C02"/>
    <w:rsid w:val="340D2360"/>
    <w:rsid w:val="340F3DF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65DFE"/>
    <w:rsid w:val="3E1868B4"/>
    <w:rsid w:val="3E377251"/>
    <w:rsid w:val="3E42664B"/>
    <w:rsid w:val="3E5A7334"/>
    <w:rsid w:val="3E7B5D6B"/>
    <w:rsid w:val="3E843E66"/>
    <w:rsid w:val="3E8F51FE"/>
    <w:rsid w:val="3E926F87"/>
    <w:rsid w:val="3E9A59DE"/>
    <w:rsid w:val="3EAF4836"/>
    <w:rsid w:val="3EC33DFA"/>
    <w:rsid w:val="3EC42C2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E0B65"/>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FF686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C1F4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5BE8"/>
    <w:rsid w:val="58917D2F"/>
    <w:rsid w:val="5894085C"/>
    <w:rsid w:val="58AE4F0C"/>
    <w:rsid w:val="58B85899"/>
    <w:rsid w:val="58E363A9"/>
    <w:rsid w:val="593820A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917B3"/>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47FB6"/>
    <w:rsid w:val="648B6EEF"/>
    <w:rsid w:val="64C158BF"/>
    <w:rsid w:val="64CE2EAA"/>
    <w:rsid w:val="653C3090"/>
    <w:rsid w:val="65854376"/>
    <w:rsid w:val="658767BE"/>
    <w:rsid w:val="65892531"/>
    <w:rsid w:val="66195831"/>
    <w:rsid w:val="662E75B1"/>
    <w:rsid w:val="66342C2E"/>
    <w:rsid w:val="663E784C"/>
    <w:rsid w:val="668B6A45"/>
    <w:rsid w:val="66D55D63"/>
    <w:rsid w:val="67011F07"/>
    <w:rsid w:val="672F3F24"/>
    <w:rsid w:val="673E055F"/>
    <w:rsid w:val="67551CE3"/>
    <w:rsid w:val="67A22552"/>
    <w:rsid w:val="67B22DCC"/>
    <w:rsid w:val="67BE71AA"/>
    <w:rsid w:val="67D90273"/>
    <w:rsid w:val="67DE5875"/>
    <w:rsid w:val="67E55852"/>
    <w:rsid w:val="67EB1AB4"/>
    <w:rsid w:val="67FA1285"/>
    <w:rsid w:val="683C2DEC"/>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87DE1"/>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B2A8E"/>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B24CFD"/>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46EE4"/>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91F2F"/>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6"/>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cs="Arial"/>
      <w:sz w:val="24"/>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w:basedOn w:val="1"/>
    <w:next w:val="51"/>
    <w:link w:val="322"/>
    <w:autoRedefine/>
    <w:qFormat/>
    <w:uiPriority w:val="0"/>
    <w:pPr>
      <w:ind w:firstLine="420"/>
    </w:pPr>
    <w:rPr>
      <w:rFonts w:hAnsi="Calibri" w:cs="Times New Roman"/>
      <w:snapToGrid/>
      <w:szCs w:val="20"/>
    </w:rPr>
  </w:style>
  <w:style w:type="paragraph" w:styleId="62">
    <w:name w:val="Body Text First Indent 2"/>
    <w:basedOn w:val="7"/>
    <w:next w:val="63"/>
    <w:link w:val="122"/>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cs="Times New Roman" w:asciiTheme="minorHAnsi" w:hAnsiTheme="minorHAnsi" w:eastAsiaTheme="minorEastAsia"/>
      <w:b/>
      <w:bCs/>
      <w:kern w:val="0"/>
      <w:sz w:val="20"/>
      <w:szCs w:val="20"/>
      <w:lang w:val="en-US" w:eastAsia="zh-CN" w:bidi="ar-SA"/>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2"/>
    <w:next w:val="2"/>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宋体 首行缩进:  0.87 厘米"/>
    <w:basedOn w:val="1"/>
    <w:autoRedefine/>
    <w:qFormat/>
    <w:uiPriority w:val="0"/>
    <w:pPr>
      <w:spacing w:line="480" w:lineRule="exact"/>
      <w:ind w:firstLine="493" w:firstLineChars="0"/>
    </w:pPr>
    <w:rPr>
      <w:rFonts w:ascii="宋体" w:hAnsi="宋体" w:cs="宋体"/>
      <w:spacing w:val="6"/>
    </w:rPr>
  </w:style>
  <w:style w:type="paragraph" w:customStyle="1" w:styleId="967">
    <w:name w:val="_Style 2"/>
    <w:basedOn w:val="1"/>
    <w:autoRedefine/>
    <w:qFormat/>
    <w:uiPriority w:val="99"/>
    <w:pPr>
      <w:numPr>
        <w:ilvl w:val="1"/>
        <w:numId w:val="1"/>
      </w:numPr>
      <w:ind w:left="0"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35272</Words>
  <Characters>37044</Characters>
  <Lines>281</Lines>
  <Paragraphs>79</Paragraphs>
  <TotalTime>19</TotalTime>
  <ScaleCrop>false</ScaleCrop>
  <LinksUpToDate>false</LinksUpToDate>
  <CharactersWithSpaces>41587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波波</cp:lastModifiedBy>
  <cp:lastPrinted>2021-12-27T11:06:00Z</cp:lastPrinted>
  <dcterms:modified xsi:type="dcterms:W3CDTF">2024-06-03T02:33:11Z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6406BB32463B40B1A6BFBE00C79F7053_13</vt:lpwstr>
  </property>
</Properties>
</file>