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C7C89">
      <w:pPr>
        <w:pStyle w:val="4"/>
        <w:spacing w:line="360" w:lineRule="exact"/>
        <w:rPr>
          <w:rFonts w:hAnsi="宋体"/>
        </w:rPr>
      </w:pPr>
      <w:bookmarkStart w:id="0" w:name="_GoBack"/>
      <w:bookmarkEnd w:id="0"/>
      <w:r>
        <w:rPr>
          <w:rFonts w:hint="eastAsia" w:ascii="宋体" w:hAnsi="宋体"/>
          <w:sz w:val="20"/>
        </w:rPr>
        <mc:AlternateContent>
          <mc:Choice Requires="wps">
            <w:drawing>
              <wp:anchor distT="0" distB="0" distL="114300" distR="114300" simplePos="0" relativeHeight="251659264" behindDoc="0" locked="0" layoutInCell="1" allowOverlap="1">
                <wp:simplePos x="0" y="0"/>
                <wp:positionH relativeFrom="column">
                  <wp:posOffset>-896620</wp:posOffset>
                </wp:positionH>
                <wp:positionV relativeFrom="paragraph">
                  <wp:posOffset>-899795</wp:posOffset>
                </wp:positionV>
                <wp:extent cx="7561580" cy="10680065"/>
                <wp:effectExtent l="5080" t="4445" r="15240" b="2159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561580" cy="10680065"/>
                        </a:xfrm>
                        <a:prstGeom prst="rect">
                          <a:avLst/>
                        </a:prstGeom>
                        <a:solidFill>
                          <a:srgbClr val="FFFFFF"/>
                        </a:solidFill>
                        <a:ln w="9525">
                          <a:solidFill>
                            <a:srgbClr val="000000"/>
                          </a:solidFill>
                          <a:miter lim="800000"/>
                        </a:ln>
                      </wps:spPr>
                      <wps:txbx>
                        <w:txbxContent>
                          <w:p w14:paraId="45785C2E">
                            <w:pPr>
                              <w:jc w:val="right"/>
                              <w:rPr>
                                <w:highlight w:val="yellow"/>
                              </w:rPr>
                            </w:pPr>
                          </w:p>
                          <w:p w14:paraId="23FC8579">
                            <w:pPr>
                              <w:ind w:left="0" w:leftChars="0" w:firstLine="840" w:firstLineChars="400"/>
                              <w:jc w:val="right"/>
                              <w:rPr>
                                <w:highlight w:val="yellow"/>
                              </w:rPr>
                            </w:pPr>
                          </w:p>
                          <w:p w14:paraId="69BE7200">
                            <w:pPr>
                              <w:ind w:left="0" w:leftChars="0" w:firstLine="840" w:firstLineChars="400"/>
                              <w:jc w:val="right"/>
                              <w:rPr>
                                <w:highlight w:val="yellow"/>
                              </w:rPr>
                            </w:pPr>
                          </w:p>
                          <w:p w14:paraId="5727803A">
                            <w:pPr>
                              <w:ind w:left="0" w:leftChars="0" w:firstLine="840" w:firstLineChars="400"/>
                              <w:jc w:val="right"/>
                              <w:rPr>
                                <w:highlight w:val="yellow"/>
                              </w:rPr>
                            </w:pPr>
                          </w:p>
                          <w:p w14:paraId="019A3B62">
                            <w:pPr>
                              <w:ind w:left="0" w:leftChars="0" w:firstLine="840" w:firstLineChars="400"/>
                              <w:jc w:val="left"/>
                              <w:rPr>
                                <w:rFonts w:hint="eastAsia" w:eastAsia="宋体"/>
                                <w:highlight w:val="yellow"/>
                                <w:lang w:eastAsia="zh-CN"/>
                              </w:rPr>
                            </w:pPr>
                          </w:p>
                          <w:p w14:paraId="21EFED5E">
                            <w:pPr>
                              <w:ind w:left="0" w:leftChars="0" w:firstLine="840" w:firstLineChars="400"/>
                              <w:jc w:val="left"/>
                              <w:rPr>
                                <w:rFonts w:hint="eastAsia" w:eastAsia="宋体"/>
                                <w:highlight w:val="none"/>
                                <w:lang w:eastAsia="zh-CN"/>
                              </w:rPr>
                            </w:pPr>
                            <w:r>
                              <w:rPr>
                                <w:rFonts w:hint="eastAsia"/>
                                <w:highlight w:val="none"/>
                                <w:lang w:val="en-US" w:eastAsia="zh-CN"/>
                              </w:rPr>
                              <w:t xml:space="preserve">     </w:t>
                            </w:r>
                            <w:r>
                              <w:rPr>
                                <w:rFonts w:hint="eastAsia" w:eastAsia="宋体"/>
                                <w:highlight w:val="none"/>
                                <w:lang w:eastAsia="zh-CN"/>
                              </w:rPr>
                              <w:drawing>
                                <wp:inline distT="0" distB="0" distL="114300" distR="114300">
                                  <wp:extent cx="800100" cy="704850"/>
                                  <wp:effectExtent l="0" t="0" r="0" b="0"/>
                                  <wp:docPr id="3" name="图片 3" descr="6fbbdcded20938bdaa7f63e3941e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fbbdcded20938bdaa7f63e3941e744"/>
                                          <pic:cNvPicPr>
                                            <a:picLocks noChangeAspect="1"/>
                                          </pic:cNvPicPr>
                                        </pic:nvPicPr>
                                        <pic:blipFill>
                                          <a:blip r:embed="rId6"/>
                                          <a:stretch>
                                            <a:fillRect/>
                                          </a:stretch>
                                        </pic:blipFill>
                                        <pic:spPr>
                                          <a:xfrm>
                                            <a:off x="0" y="0"/>
                                            <a:ext cx="800100" cy="704850"/>
                                          </a:xfrm>
                                          <a:prstGeom prst="rect">
                                            <a:avLst/>
                                          </a:prstGeom>
                                        </pic:spPr>
                                      </pic:pic>
                                    </a:graphicData>
                                  </a:graphic>
                                </wp:inline>
                              </w:drawing>
                            </w:r>
                          </w:p>
                          <w:p w14:paraId="6243E5E4">
                            <w:pPr>
                              <w:wordWrap w:val="0"/>
                              <w:ind w:left="0" w:leftChars="0" w:firstLine="1108" w:firstLineChars="528"/>
                              <w:jc w:val="both"/>
                            </w:pPr>
                          </w:p>
                          <w:p w14:paraId="085542A4">
                            <w:pPr>
                              <w:wordWrap w:val="0"/>
                              <w:ind w:left="0" w:leftChars="0" w:firstLine="1108" w:firstLineChars="528"/>
                              <w:jc w:val="both"/>
                            </w:pPr>
                            <w:r>
                              <w:t xml:space="preserve">             </w:t>
                            </w:r>
                          </w:p>
                          <w:p w14:paraId="5BD2F939">
                            <w:pPr>
                              <w:ind w:left="0" w:leftChars="0" w:firstLine="1058" w:firstLineChars="378"/>
                              <w:rPr>
                                <w:rFonts w:hint="eastAsia" w:eastAsia="宋体"/>
                                <w:sz w:val="28"/>
                                <w:lang w:eastAsia="zh-CN"/>
                              </w:rPr>
                            </w:pPr>
                          </w:p>
                          <w:p w14:paraId="18921078">
                            <w:pPr>
                              <w:ind w:left="0" w:leftChars="0" w:firstLine="1478" w:firstLineChars="528"/>
                              <w:rPr>
                                <w:sz w:val="28"/>
                              </w:rPr>
                            </w:pPr>
                          </w:p>
                          <w:p w14:paraId="49B49944">
                            <w:pPr>
                              <w:jc w:val="center"/>
                              <w:rPr>
                                <w:sz w:val="28"/>
                              </w:rPr>
                            </w:pPr>
                          </w:p>
                          <w:p w14:paraId="59B1853C">
                            <w:pPr>
                              <w:jc w:val="center"/>
                              <w:rPr>
                                <w:rFonts w:eastAsia="方正大标宋简体"/>
                                <w:sz w:val="72"/>
                              </w:rPr>
                            </w:pPr>
                            <w:r>
                              <w:rPr>
                                <w:rFonts w:hint="eastAsia" w:ascii="华文行楷" w:hAnsi="华文行楷" w:eastAsia="华文行楷" w:cs="华文行楷"/>
                                <w:sz w:val="84"/>
                                <w:szCs w:val="84"/>
                              </w:rPr>
                              <w:t>工程造价咨询报告书</w:t>
                            </w:r>
                          </w:p>
                          <w:p w14:paraId="593EFE2B">
                            <w:pPr>
                              <w:jc w:val="center"/>
                              <w:rPr>
                                <w:sz w:val="28"/>
                              </w:rPr>
                            </w:pPr>
                          </w:p>
                          <w:p w14:paraId="58D7B851">
                            <w:pPr>
                              <w:jc w:val="center"/>
                              <w:rPr>
                                <w:sz w:val="28"/>
                              </w:rPr>
                            </w:pPr>
                          </w:p>
                          <w:p w14:paraId="7FEF3CF8">
                            <w:pPr>
                              <w:jc w:val="center"/>
                              <w:rPr>
                                <w:sz w:val="28"/>
                              </w:rPr>
                            </w:pPr>
                          </w:p>
                          <w:p w14:paraId="774D3F5F">
                            <w:pPr>
                              <w:keepNext w:val="0"/>
                              <w:keepLines w:val="0"/>
                              <w:pageBreakBefore w:val="0"/>
                              <w:widowControl w:val="0"/>
                              <w:kinsoku/>
                              <w:wordWrap/>
                              <w:overflowPunct/>
                              <w:topLinePunct w:val="0"/>
                              <w:autoSpaceDE/>
                              <w:autoSpaceDN/>
                              <w:bidi w:val="0"/>
                              <w:adjustRightInd/>
                              <w:snapToGrid/>
                              <w:spacing w:line="720" w:lineRule="auto"/>
                              <w:ind w:left="4202" w:leftChars="1064" w:hanging="1968" w:hangingChars="700"/>
                              <w:jc w:val="both"/>
                              <w:textAlignment w:val="auto"/>
                              <w:rPr>
                                <w:rFonts w:hint="default" w:ascii="仿宋" w:hAnsi="仿宋" w:eastAsia="仿宋" w:cs="仿宋"/>
                                <w:b/>
                                <w:bCs/>
                                <w:sz w:val="28"/>
                                <w:u w:val="single"/>
                                <w:lang w:val="en-US" w:eastAsia="zh-CN"/>
                              </w:rPr>
                            </w:pPr>
                            <w:r>
                              <w:rPr>
                                <w:rFonts w:hint="eastAsia" w:ascii="仿宋" w:hAnsi="仿宋" w:eastAsia="仿宋" w:cs="仿宋"/>
                                <w:b/>
                                <w:bCs/>
                                <w:sz w:val="28"/>
                              </w:rPr>
                              <w:t>咨询项目全称</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中国计量大学东校区行知楼修缮工程                         </w:t>
                            </w:r>
                          </w:p>
                          <w:p w14:paraId="5B5CFCF9">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仿宋" w:hAnsi="仿宋" w:eastAsia="仿宋" w:cs="仿宋"/>
                                <w:b/>
                                <w:bCs/>
                                <w:sz w:val="28"/>
                                <w:u w:val="single"/>
                              </w:rPr>
                            </w:pPr>
                            <w:r>
                              <w:rPr>
                                <w:rFonts w:hint="eastAsia" w:ascii="仿宋" w:hAnsi="仿宋" w:eastAsia="仿宋" w:cs="仿宋"/>
                                <w:b/>
                                <w:bCs/>
                                <w:sz w:val="28"/>
                              </w:rPr>
                              <w:t>咨询业务类别</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工程量清单编制                     </w:t>
                            </w:r>
                            <w:r>
                              <w:rPr>
                                <w:rFonts w:hint="eastAsia" w:ascii="仿宋" w:hAnsi="仿宋" w:eastAsia="仿宋" w:cs="仿宋"/>
                                <w:b/>
                                <w:bCs/>
                                <w:sz w:val="28"/>
                                <w:lang w:val="en-US" w:eastAsia="zh-CN"/>
                              </w:rPr>
                              <w:t xml:space="preserve">   </w:t>
                            </w:r>
                          </w:p>
                          <w:p w14:paraId="4D0BE54A">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default" w:ascii="仿宋" w:hAnsi="仿宋" w:eastAsia="仿宋" w:cs="仿宋"/>
                                <w:b/>
                                <w:bCs/>
                                <w:sz w:val="28"/>
                                <w:lang w:val="en-US" w:eastAsia="zh-CN"/>
                              </w:rPr>
                            </w:pPr>
                            <w:r>
                              <w:rPr>
                                <w:rFonts w:hint="eastAsia" w:ascii="仿宋" w:hAnsi="仿宋" w:eastAsia="仿宋" w:cs="仿宋"/>
                                <w:b/>
                                <w:bCs/>
                                <w:sz w:val="28"/>
                              </w:rPr>
                              <w:t>咨询报告日期</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2024年11月5日                   </w:t>
                            </w:r>
                            <w:r>
                              <w:rPr>
                                <w:rFonts w:hint="eastAsia" w:ascii="仿宋" w:hAnsi="仿宋" w:eastAsia="仿宋" w:cs="仿宋"/>
                                <w:b/>
                                <w:bCs/>
                                <w:sz w:val="28"/>
                                <w:lang w:val="en-US" w:eastAsia="zh-CN"/>
                              </w:rPr>
                              <w:t xml:space="preserve"> </w:t>
                            </w:r>
                          </w:p>
                          <w:p w14:paraId="3234ED41">
                            <w:pPr>
                              <w:jc w:val="center"/>
                              <w:rPr>
                                <w:sz w:val="28"/>
                              </w:rPr>
                            </w:pPr>
                          </w:p>
                          <w:p w14:paraId="72FFFE34">
                            <w:pPr>
                              <w:jc w:val="center"/>
                              <w:rPr>
                                <w:sz w:val="28"/>
                              </w:rPr>
                            </w:pPr>
                          </w:p>
                          <w:p w14:paraId="519E94C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华文行楷" w:hAnsi="华文行楷" w:eastAsia="华文行楷" w:cs="华文行楷"/>
                                <w:sz w:val="52"/>
                                <w:szCs w:val="52"/>
                              </w:rPr>
                            </w:pPr>
                            <w:r>
                              <w:rPr>
                                <w:rFonts w:hint="eastAsia" w:ascii="华文行楷" w:hAnsi="华文行楷" w:eastAsia="华文行楷" w:cs="华文行楷"/>
                                <w:sz w:val="52"/>
                                <w:szCs w:val="52"/>
                              </w:rPr>
                              <w:t>国信招标集团股份有限公司</w:t>
                            </w:r>
                          </w:p>
                          <w:p w14:paraId="7DBC1B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方正粗黑宋简体" w:hAnsi="方正粗黑宋简体" w:eastAsia="方正粗黑宋简体" w:cs="方正粗黑宋简体"/>
                                <w:b w:val="0"/>
                                <w:bCs w:val="0"/>
                                <w:sz w:val="32"/>
                                <w:szCs w:val="32"/>
                                <w:lang w:val="en-US" w:eastAsia="zh-CN"/>
                              </w:rPr>
                            </w:pPr>
                            <w:r>
                              <w:rPr>
                                <w:rFonts w:hint="eastAsia" w:ascii="方正粗黑宋简体" w:hAnsi="方正粗黑宋简体" w:eastAsia="方正粗黑宋简体" w:cs="方正粗黑宋简体"/>
                                <w:b w:val="0"/>
                                <w:bCs w:val="0"/>
                                <w:sz w:val="32"/>
                                <w:szCs w:val="32"/>
                                <w:lang w:val="en-US" w:eastAsia="zh-CN"/>
                              </w:rPr>
                              <w:t>GUOXIN TENDER GROUP CO. , LTD.</w:t>
                            </w:r>
                          </w:p>
                          <w:p w14:paraId="7B3E3ABC">
                            <w:pPr>
                              <w:jc w:val="center"/>
                              <w:rPr>
                                <w:sz w:val="28"/>
                              </w:rPr>
                            </w:pPr>
                          </w:p>
                          <w:p w14:paraId="7DCCB0FE"/>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0.6pt;margin-top:-70.85pt;height:840.95pt;width:595.4pt;z-index:251659264;mso-width-relative:page;mso-height-relative:page;" fillcolor="#FFFFFF" filled="t" stroked="t" coordsize="21600,21600" o:gfxdata="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Che9/XbAAAADwEAAA8AAAAAAAAAAQAg&#10;AAAAIgAAAGRycy9kb3ducmV2LnhtbFBLAQIUABQAAAAIAIdO4kBUMq0ERAIAAIkEAAAOAAAAAAAA&#10;AAEAIAAAACoBAABkcnMvZTJvRG9jLnhtbFBLBQYAAAAABgAGAFkBAADgBQAAAAA=&#10;">
                <v:fill on="t" focussize="0,0"/>
                <v:stroke color="#000000" miterlimit="8" joinstyle="miter"/>
                <v:imagedata o:title=""/>
                <o:lock v:ext="edit" aspectratio="f"/>
                <v:textbox>
                  <w:txbxContent>
                    <w:p w14:paraId="45785C2E">
                      <w:pPr>
                        <w:jc w:val="right"/>
                        <w:rPr>
                          <w:highlight w:val="yellow"/>
                        </w:rPr>
                      </w:pPr>
                    </w:p>
                    <w:p w14:paraId="23FC8579">
                      <w:pPr>
                        <w:ind w:left="0" w:leftChars="0" w:firstLine="840" w:firstLineChars="400"/>
                        <w:jc w:val="right"/>
                        <w:rPr>
                          <w:highlight w:val="yellow"/>
                        </w:rPr>
                      </w:pPr>
                    </w:p>
                    <w:p w14:paraId="69BE7200">
                      <w:pPr>
                        <w:ind w:left="0" w:leftChars="0" w:firstLine="840" w:firstLineChars="400"/>
                        <w:jc w:val="right"/>
                        <w:rPr>
                          <w:highlight w:val="yellow"/>
                        </w:rPr>
                      </w:pPr>
                    </w:p>
                    <w:p w14:paraId="5727803A">
                      <w:pPr>
                        <w:ind w:left="0" w:leftChars="0" w:firstLine="840" w:firstLineChars="400"/>
                        <w:jc w:val="right"/>
                        <w:rPr>
                          <w:highlight w:val="yellow"/>
                        </w:rPr>
                      </w:pPr>
                    </w:p>
                    <w:p w14:paraId="019A3B62">
                      <w:pPr>
                        <w:ind w:left="0" w:leftChars="0" w:firstLine="840" w:firstLineChars="400"/>
                        <w:jc w:val="left"/>
                        <w:rPr>
                          <w:rFonts w:hint="eastAsia" w:eastAsia="宋体"/>
                          <w:highlight w:val="yellow"/>
                          <w:lang w:eastAsia="zh-CN"/>
                        </w:rPr>
                      </w:pPr>
                    </w:p>
                    <w:p w14:paraId="21EFED5E">
                      <w:pPr>
                        <w:ind w:left="0" w:leftChars="0" w:firstLine="840" w:firstLineChars="400"/>
                        <w:jc w:val="left"/>
                        <w:rPr>
                          <w:rFonts w:hint="eastAsia" w:eastAsia="宋体"/>
                          <w:highlight w:val="none"/>
                          <w:lang w:eastAsia="zh-CN"/>
                        </w:rPr>
                      </w:pPr>
                      <w:r>
                        <w:rPr>
                          <w:rFonts w:hint="eastAsia"/>
                          <w:highlight w:val="none"/>
                          <w:lang w:val="en-US" w:eastAsia="zh-CN"/>
                        </w:rPr>
                        <w:t xml:space="preserve">     </w:t>
                      </w:r>
                      <w:r>
                        <w:rPr>
                          <w:rFonts w:hint="eastAsia" w:eastAsia="宋体"/>
                          <w:highlight w:val="none"/>
                          <w:lang w:eastAsia="zh-CN"/>
                        </w:rPr>
                        <w:drawing>
                          <wp:inline distT="0" distB="0" distL="114300" distR="114300">
                            <wp:extent cx="800100" cy="704850"/>
                            <wp:effectExtent l="0" t="0" r="0" b="0"/>
                            <wp:docPr id="3" name="图片 3" descr="6fbbdcded20938bdaa7f63e3941e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fbbdcded20938bdaa7f63e3941e744"/>
                                    <pic:cNvPicPr>
                                      <a:picLocks noChangeAspect="1"/>
                                    </pic:cNvPicPr>
                                  </pic:nvPicPr>
                                  <pic:blipFill>
                                    <a:blip r:embed="rId6"/>
                                    <a:stretch>
                                      <a:fillRect/>
                                    </a:stretch>
                                  </pic:blipFill>
                                  <pic:spPr>
                                    <a:xfrm>
                                      <a:off x="0" y="0"/>
                                      <a:ext cx="800100" cy="704850"/>
                                    </a:xfrm>
                                    <a:prstGeom prst="rect">
                                      <a:avLst/>
                                    </a:prstGeom>
                                  </pic:spPr>
                                </pic:pic>
                              </a:graphicData>
                            </a:graphic>
                          </wp:inline>
                        </w:drawing>
                      </w:r>
                    </w:p>
                    <w:p w14:paraId="6243E5E4">
                      <w:pPr>
                        <w:wordWrap w:val="0"/>
                        <w:ind w:left="0" w:leftChars="0" w:firstLine="1108" w:firstLineChars="528"/>
                        <w:jc w:val="both"/>
                      </w:pPr>
                    </w:p>
                    <w:p w14:paraId="085542A4">
                      <w:pPr>
                        <w:wordWrap w:val="0"/>
                        <w:ind w:left="0" w:leftChars="0" w:firstLine="1108" w:firstLineChars="528"/>
                        <w:jc w:val="both"/>
                      </w:pPr>
                      <w:r>
                        <w:t xml:space="preserve">             </w:t>
                      </w:r>
                    </w:p>
                    <w:p w14:paraId="5BD2F939">
                      <w:pPr>
                        <w:ind w:left="0" w:leftChars="0" w:firstLine="1058" w:firstLineChars="378"/>
                        <w:rPr>
                          <w:rFonts w:hint="eastAsia" w:eastAsia="宋体"/>
                          <w:sz w:val="28"/>
                          <w:lang w:eastAsia="zh-CN"/>
                        </w:rPr>
                      </w:pPr>
                    </w:p>
                    <w:p w14:paraId="18921078">
                      <w:pPr>
                        <w:ind w:left="0" w:leftChars="0" w:firstLine="1478" w:firstLineChars="528"/>
                        <w:rPr>
                          <w:sz w:val="28"/>
                        </w:rPr>
                      </w:pPr>
                    </w:p>
                    <w:p w14:paraId="49B49944">
                      <w:pPr>
                        <w:jc w:val="center"/>
                        <w:rPr>
                          <w:sz w:val="28"/>
                        </w:rPr>
                      </w:pPr>
                    </w:p>
                    <w:p w14:paraId="59B1853C">
                      <w:pPr>
                        <w:jc w:val="center"/>
                        <w:rPr>
                          <w:rFonts w:eastAsia="方正大标宋简体"/>
                          <w:sz w:val="72"/>
                        </w:rPr>
                      </w:pPr>
                      <w:r>
                        <w:rPr>
                          <w:rFonts w:hint="eastAsia" w:ascii="华文行楷" w:hAnsi="华文行楷" w:eastAsia="华文行楷" w:cs="华文行楷"/>
                          <w:sz w:val="84"/>
                          <w:szCs w:val="84"/>
                        </w:rPr>
                        <w:t>工程造价咨询报告书</w:t>
                      </w:r>
                    </w:p>
                    <w:p w14:paraId="593EFE2B">
                      <w:pPr>
                        <w:jc w:val="center"/>
                        <w:rPr>
                          <w:sz w:val="28"/>
                        </w:rPr>
                      </w:pPr>
                    </w:p>
                    <w:p w14:paraId="58D7B851">
                      <w:pPr>
                        <w:jc w:val="center"/>
                        <w:rPr>
                          <w:sz w:val="28"/>
                        </w:rPr>
                      </w:pPr>
                    </w:p>
                    <w:p w14:paraId="7FEF3CF8">
                      <w:pPr>
                        <w:jc w:val="center"/>
                        <w:rPr>
                          <w:sz w:val="28"/>
                        </w:rPr>
                      </w:pPr>
                    </w:p>
                    <w:p w14:paraId="774D3F5F">
                      <w:pPr>
                        <w:keepNext w:val="0"/>
                        <w:keepLines w:val="0"/>
                        <w:pageBreakBefore w:val="0"/>
                        <w:widowControl w:val="0"/>
                        <w:kinsoku/>
                        <w:wordWrap/>
                        <w:overflowPunct/>
                        <w:topLinePunct w:val="0"/>
                        <w:autoSpaceDE/>
                        <w:autoSpaceDN/>
                        <w:bidi w:val="0"/>
                        <w:adjustRightInd/>
                        <w:snapToGrid/>
                        <w:spacing w:line="720" w:lineRule="auto"/>
                        <w:ind w:left="4202" w:leftChars="1064" w:hanging="1968" w:hangingChars="700"/>
                        <w:jc w:val="both"/>
                        <w:textAlignment w:val="auto"/>
                        <w:rPr>
                          <w:rFonts w:hint="default" w:ascii="仿宋" w:hAnsi="仿宋" w:eastAsia="仿宋" w:cs="仿宋"/>
                          <w:b/>
                          <w:bCs/>
                          <w:sz w:val="28"/>
                          <w:u w:val="single"/>
                          <w:lang w:val="en-US" w:eastAsia="zh-CN"/>
                        </w:rPr>
                      </w:pPr>
                      <w:r>
                        <w:rPr>
                          <w:rFonts w:hint="eastAsia" w:ascii="仿宋" w:hAnsi="仿宋" w:eastAsia="仿宋" w:cs="仿宋"/>
                          <w:b/>
                          <w:bCs/>
                          <w:sz w:val="28"/>
                        </w:rPr>
                        <w:t>咨询项目全称</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中国计量大学东校区行知楼修缮工程                         </w:t>
                      </w:r>
                    </w:p>
                    <w:p w14:paraId="5B5CFCF9">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仿宋" w:hAnsi="仿宋" w:eastAsia="仿宋" w:cs="仿宋"/>
                          <w:b/>
                          <w:bCs/>
                          <w:sz w:val="28"/>
                          <w:u w:val="single"/>
                        </w:rPr>
                      </w:pPr>
                      <w:r>
                        <w:rPr>
                          <w:rFonts w:hint="eastAsia" w:ascii="仿宋" w:hAnsi="仿宋" w:eastAsia="仿宋" w:cs="仿宋"/>
                          <w:b/>
                          <w:bCs/>
                          <w:sz w:val="28"/>
                        </w:rPr>
                        <w:t>咨询业务类别</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工程量清单编制                     </w:t>
                      </w:r>
                      <w:r>
                        <w:rPr>
                          <w:rFonts w:hint="eastAsia" w:ascii="仿宋" w:hAnsi="仿宋" w:eastAsia="仿宋" w:cs="仿宋"/>
                          <w:b/>
                          <w:bCs/>
                          <w:sz w:val="28"/>
                          <w:lang w:val="en-US" w:eastAsia="zh-CN"/>
                        </w:rPr>
                        <w:t xml:space="preserve">   </w:t>
                      </w:r>
                    </w:p>
                    <w:p w14:paraId="4D0BE54A">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default" w:ascii="仿宋" w:hAnsi="仿宋" w:eastAsia="仿宋" w:cs="仿宋"/>
                          <w:b/>
                          <w:bCs/>
                          <w:sz w:val="28"/>
                          <w:lang w:val="en-US" w:eastAsia="zh-CN"/>
                        </w:rPr>
                      </w:pPr>
                      <w:r>
                        <w:rPr>
                          <w:rFonts w:hint="eastAsia" w:ascii="仿宋" w:hAnsi="仿宋" w:eastAsia="仿宋" w:cs="仿宋"/>
                          <w:b/>
                          <w:bCs/>
                          <w:sz w:val="28"/>
                        </w:rPr>
                        <w:t>咨询报告日期</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2024年11月5日                   </w:t>
                      </w:r>
                      <w:r>
                        <w:rPr>
                          <w:rFonts w:hint="eastAsia" w:ascii="仿宋" w:hAnsi="仿宋" w:eastAsia="仿宋" w:cs="仿宋"/>
                          <w:b/>
                          <w:bCs/>
                          <w:sz w:val="28"/>
                          <w:lang w:val="en-US" w:eastAsia="zh-CN"/>
                        </w:rPr>
                        <w:t xml:space="preserve"> </w:t>
                      </w:r>
                    </w:p>
                    <w:p w14:paraId="3234ED41">
                      <w:pPr>
                        <w:jc w:val="center"/>
                        <w:rPr>
                          <w:sz w:val="28"/>
                        </w:rPr>
                      </w:pPr>
                    </w:p>
                    <w:p w14:paraId="72FFFE34">
                      <w:pPr>
                        <w:jc w:val="center"/>
                        <w:rPr>
                          <w:sz w:val="28"/>
                        </w:rPr>
                      </w:pPr>
                    </w:p>
                    <w:p w14:paraId="519E94C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华文行楷" w:hAnsi="华文行楷" w:eastAsia="华文行楷" w:cs="华文行楷"/>
                          <w:sz w:val="52"/>
                          <w:szCs w:val="52"/>
                        </w:rPr>
                      </w:pPr>
                      <w:r>
                        <w:rPr>
                          <w:rFonts w:hint="eastAsia" w:ascii="华文行楷" w:hAnsi="华文行楷" w:eastAsia="华文行楷" w:cs="华文行楷"/>
                          <w:sz w:val="52"/>
                          <w:szCs w:val="52"/>
                        </w:rPr>
                        <w:t>国信招标集团股份有限公司</w:t>
                      </w:r>
                    </w:p>
                    <w:p w14:paraId="7DBC1B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方正粗黑宋简体" w:hAnsi="方正粗黑宋简体" w:eastAsia="方正粗黑宋简体" w:cs="方正粗黑宋简体"/>
                          <w:b w:val="0"/>
                          <w:bCs w:val="0"/>
                          <w:sz w:val="32"/>
                          <w:szCs w:val="32"/>
                          <w:lang w:val="en-US" w:eastAsia="zh-CN"/>
                        </w:rPr>
                      </w:pPr>
                      <w:r>
                        <w:rPr>
                          <w:rFonts w:hint="eastAsia" w:ascii="方正粗黑宋简体" w:hAnsi="方正粗黑宋简体" w:eastAsia="方正粗黑宋简体" w:cs="方正粗黑宋简体"/>
                          <w:b w:val="0"/>
                          <w:bCs w:val="0"/>
                          <w:sz w:val="32"/>
                          <w:szCs w:val="32"/>
                          <w:lang w:val="en-US" w:eastAsia="zh-CN"/>
                        </w:rPr>
                        <w:t>GUOXIN TENDER GROUP CO. , LTD.</w:t>
                      </w:r>
                    </w:p>
                    <w:p w14:paraId="7B3E3ABC">
                      <w:pPr>
                        <w:jc w:val="center"/>
                        <w:rPr>
                          <w:sz w:val="28"/>
                        </w:rPr>
                      </w:pPr>
                    </w:p>
                    <w:p w14:paraId="7DCCB0FE"/>
                  </w:txbxContent>
                </v:textbox>
              </v:shape>
            </w:pict>
          </mc:Fallback>
        </mc:AlternateContent>
      </w:r>
    </w:p>
    <w:p w14:paraId="4092546F">
      <w:pPr>
        <w:spacing w:line="360" w:lineRule="exact"/>
        <w:rPr>
          <w:rFonts w:ascii="宋体" w:hAnsi="宋体"/>
        </w:rPr>
      </w:pPr>
    </w:p>
    <w:p w14:paraId="388DFC09">
      <w:pPr>
        <w:spacing w:line="360" w:lineRule="exact"/>
        <w:rPr>
          <w:rFonts w:ascii="宋体" w:hAnsi="宋体"/>
        </w:rPr>
      </w:pPr>
    </w:p>
    <w:p w14:paraId="0FA59194">
      <w:pPr>
        <w:spacing w:line="360" w:lineRule="exact"/>
        <w:rPr>
          <w:rFonts w:ascii="宋体" w:hAnsi="宋体"/>
        </w:rPr>
      </w:pPr>
    </w:p>
    <w:p w14:paraId="63989C6F">
      <w:pPr>
        <w:spacing w:line="360" w:lineRule="exact"/>
        <w:rPr>
          <w:rFonts w:ascii="宋体" w:hAnsi="宋体"/>
        </w:rPr>
      </w:pPr>
    </w:p>
    <w:p w14:paraId="2844C9C3">
      <w:pPr>
        <w:spacing w:line="360" w:lineRule="exact"/>
        <w:rPr>
          <w:rFonts w:ascii="宋体" w:hAnsi="宋体"/>
        </w:rPr>
      </w:pPr>
    </w:p>
    <w:p w14:paraId="49F45046">
      <w:pPr>
        <w:spacing w:line="360" w:lineRule="exact"/>
        <w:rPr>
          <w:rFonts w:ascii="宋体" w:hAnsi="宋体"/>
        </w:rPr>
      </w:pPr>
    </w:p>
    <w:p w14:paraId="776E182A">
      <w:pPr>
        <w:spacing w:line="360" w:lineRule="exact"/>
        <w:rPr>
          <w:rFonts w:ascii="宋体" w:hAnsi="宋体"/>
        </w:rPr>
      </w:pPr>
    </w:p>
    <w:p w14:paraId="04B87960">
      <w:pPr>
        <w:spacing w:line="360" w:lineRule="exact"/>
        <w:rPr>
          <w:rFonts w:ascii="宋体" w:hAnsi="宋体"/>
        </w:rPr>
      </w:pPr>
    </w:p>
    <w:p w14:paraId="1B2D2DFB">
      <w:pPr>
        <w:spacing w:line="360" w:lineRule="exact"/>
        <w:rPr>
          <w:rFonts w:ascii="宋体" w:hAnsi="宋体"/>
        </w:rPr>
      </w:pPr>
    </w:p>
    <w:p w14:paraId="149C3901">
      <w:pPr>
        <w:spacing w:line="360" w:lineRule="exact"/>
        <w:rPr>
          <w:rFonts w:ascii="宋体" w:hAnsi="宋体"/>
        </w:rPr>
      </w:pPr>
    </w:p>
    <w:p w14:paraId="03856495">
      <w:pPr>
        <w:spacing w:line="360" w:lineRule="exact"/>
        <w:rPr>
          <w:rFonts w:ascii="宋体" w:hAnsi="宋体"/>
        </w:rPr>
      </w:pPr>
    </w:p>
    <w:p w14:paraId="27ABCADC">
      <w:pPr>
        <w:spacing w:line="360" w:lineRule="exact"/>
        <w:rPr>
          <w:rFonts w:ascii="宋体" w:hAnsi="宋体"/>
        </w:rPr>
      </w:pPr>
    </w:p>
    <w:p w14:paraId="5A8B7B9A">
      <w:pPr>
        <w:spacing w:line="360" w:lineRule="exact"/>
        <w:rPr>
          <w:rFonts w:ascii="宋体" w:hAnsi="宋体"/>
        </w:rPr>
      </w:pPr>
    </w:p>
    <w:p w14:paraId="27194956">
      <w:pPr>
        <w:spacing w:line="360" w:lineRule="exact"/>
        <w:rPr>
          <w:rFonts w:ascii="宋体" w:hAnsi="宋体"/>
        </w:rPr>
      </w:pPr>
    </w:p>
    <w:p w14:paraId="7F1D648C">
      <w:pPr>
        <w:spacing w:line="360" w:lineRule="exact"/>
        <w:rPr>
          <w:rFonts w:ascii="宋体" w:hAnsi="宋体"/>
        </w:rPr>
      </w:pPr>
    </w:p>
    <w:p w14:paraId="0766E4D4">
      <w:pPr>
        <w:spacing w:line="360" w:lineRule="exact"/>
        <w:rPr>
          <w:rFonts w:ascii="宋体" w:hAnsi="宋体"/>
        </w:rPr>
      </w:pPr>
    </w:p>
    <w:p w14:paraId="6CE08C5F">
      <w:pPr>
        <w:spacing w:line="360" w:lineRule="exact"/>
        <w:rPr>
          <w:rFonts w:ascii="宋体" w:hAnsi="宋体"/>
        </w:rPr>
      </w:pPr>
    </w:p>
    <w:p w14:paraId="2CE59C64">
      <w:pPr>
        <w:spacing w:line="360" w:lineRule="exact"/>
        <w:rPr>
          <w:rFonts w:ascii="宋体" w:hAnsi="宋体"/>
        </w:rPr>
      </w:pPr>
    </w:p>
    <w:p w14:paraId="34E357DA">
      <w:pPr>
        <w:spacing w:line="360" w:lineRule="exact"/>
        <w:rPr>
          <w:rFonts w:ascii="宋体" w:hAnsi="宋体"/>
        </w:rPr>
      </w:pPr>
    </w:p>
    <w:p w14:paraId="4B0709D9">
      <w:pPr>
        <w:spacing w:line="360" w:lineRule="exact"/>
        <w:rPr>
          <w:rFonts w:ascii="宋体" w:hAnsi="宋体"/>
        </w:rPr>
      </w:pPr>
    </w:p>
    <w:p w14:paraId="7A0C4901">
      <w:pPr>
        <w:spacing w:line="360" w:lineRule="exact"/>
        <w:rPr>
          <w:rFonts w:ascii="宋体" w:hAnsi="宋体"/>
        </w:rPr>
      </w:pPr>
    </w:p>
    <w:p w14:paraId="62D1C906">
      <w:pPr>
        <w:spacing w:line="360" w:lineRule="exact"/>
        <w:rPr>
          <w:rFonts w:ascii="宋体" w:hAnsi="宋体"/>
        </w:rPr>
      </w:pPr>
    </w:p>
    <w:p w14:paraId="7B34B89E">
      <w:pPr>
        <w:spacing w:line="360" w:lineRule="exact"/>
        <w:rPr>
          <w:rFonts w:ascii="宋体" w:hAnsi="宋体"/>
        </w:rPr>
      </w:pPr>
    </w:p>
    <w:p w14:paraId="46BA8E4E">
      <w:pPr>
        <w:spacing w:line="360" w:lineRule="exact"/>
        <w:rPr>
          <w:rFonts w:ascii="宋体" w:hAnsi="宋体"/>
        </w:rPr>
      </w:pPr>
    </w:p>
    <w:p w14:paraId="0769F447">
      <w:pPr>
        <w:spacing w:line="360" w:lineRule="exact"/>
        <w:rPr>
          <w:rFonts w:ascii="宋体" w:hAnsi="宋体"/>
        </w:rPr>
      </w:pPr>
    </w:p>
    <w:p w14:paraId="0859B5D9">
      <w:pPr>
        <w:spacing w:line="360" w:lineRule="exact"/>
        <w:rPr>
          <w:rFonts w:ascii="宋体" w:hAnsi="宋体"/>
        </w:rPr>
      </w:pPr>
    </w:p>
    <w:p w14:paraId="434A1034">
      <w:pPr>
        <w:spacing w:line="360" w:lineRule="exact"/>
        <w:rPr>
          <w:rFonts w:ascii="宋体" w:hAnsi="宋体"/>
        </w:rPr>
      </w:pPr>
    </w:p>
    <w:p w14:paraId="68632631">
      <w:pPr>
        <w:spacing w:line="360" w:lineRule="exact"/>
        <w:rPr>
          <w:rFonts w:ascii="宋体" w:hAnsi="宋体"/>
        </w:rPr>
      </w:pPr>
    </w:p>
    <w:p w14:paraId="513ECEB9">
      <w:pPr>
        <w:spacing w:line="360" w:lineRule="exact"/>
        <w:rPr>
          <w:rFonts w:ascii="宋体" w:hAnsi="宋体"/>
        </w:rPr>
      </w:pPr>
    </w:p>
    <w:p w14:paraId="6531042D">
      <w:pPr>
        <w:spacing w:line="360" w:lineRule="exact"/>
        <w:rPr>
          <w:rFonts w:ascii="宋体" w:hAnsi="宋体"/>
        </w:rPr>
      </w:pPr>
    </w:p>
    <w:p w14:paraId="2DD8D2F1">
      <w:pPr>
        <w:spacing w:line="360" w:lineRule="exact"/>
        <w:rPr>
          <w:rFonts w:ascii="宋体" w:hAnsi="宋体"/>
        </w:rPr>
      </w:pPr>
    </w:p>
    <w:p w14:paraId="56485597">
      <w:pPr>
        <w:spacing w:line="360" w:lineRule="exact"/>
        <w:rPr>
          <w:rFonts w:ascii="宋体" w:hAnsi="宋体"/>
        </w:rPr>
      </w:pPr>
    </w:p>
    <w:p w14:paraId="399262E9">
      <w:pPr>
        <w:spacing w:line="360" w:lineRule="exact"/>
        <w:rPr>
          <w:rFonts w:ascii="宋体" w:hAnsi="宋体"/>
        </w:rPr>
      </w:pPr>
    </w:p>
    <w:p w14:paraId="4D1FE778">
      <w:pPr>
        <w:spacing w:line="360" w:lineRule="exact"/>
        <w:rPr>
          <w:rFonts w:ascii="宋体" w:hAnsi="宋体"/>
        </w:rPr>
      </w:pPr>
    </w:p>
    <w:p w14:paraId="7E789C9E">
      <w:pPr>
        <w:spacing w:line="360" w:lineRule="exact"/>
        <w:rPr>
          <w:rFonts w:ascii="宋体" w:hAnsi="宋体"/>
        </w:rPr>
      </w:pPr>
    </w:p>
    <w:p w14:paraId="4DABD31F">
      <w:pPr>
        <w:spacing w:line="360" w:lineRule="exact"/>
        <w:rPr>
          <w:rFonts w:ascii="宋体" w:hAnsi="宋体"/>
        </w:rPr>
      </w:pPr>
    </w:p>
    <w:p w14:paraId="280B49E3">
      <w:pPr>
        <w:spacing w:line="360" w:lineRule="exact"/>
        <w:rPr>
          <w:rFonts w:ascii="宋体" w:hAnsi="宋体"/>
        </w:rPr>
      </w:pPr>
    </w:p>
    <w:p w14:paraId="5A8884C3">
      <w:pPr>
        <w:spacing w:line="360" w:lineRule="auto"/>
        <w:jc w:val="center"/>
        <w:rPr>
          <w:rFonts w:hint="eastAsia" w:ascii="宋体" w:hAnsi="宋体"/>
          <w:sz w:val="44"/>
        </w:rPr>
        <w:sectPr>
          <w:pgSz w:w="11906" w:h="16838"/>
          <w:pgMar w:top="1440" w:right="1406" w:bottom="1440" w:left="1406" w:header="851" w:footer="992" w:gutter="0"/>
          <w:cols w:space="425" w:num="1"/>
          <w:docGrid w:type="lines" w:linePitch="312" w:charSpace="0"/>
        </w:sect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4322"/>
        <w:gridCol w:w="1275"/>
        <w:gridCol w:w="709"/>
        <w:gridCol w:w="1843"/>
      </w:tblGrid>
      <w:tr w14:paraId="7A62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exact"/>
        </w:trPr>
        <w:tc>
          <w:tcPr>
            <w:tcW w:w="8789" w:type="dxa"/>
            <w:gridSpan w:val="5"/>
            <w:tcBorders>
              <w:top w:val="nil"/>
              <w:left w:val="nil"/>
              <w:bottom w:val="single" w:color="auto" w:sz="8" w:space="0"/>
              <w:right w:val="nil"/>
            </w:tcBorders>
            <w:vAlign w:val="center"/>
          </w:tcPr>
          <w:p w14:paraId="0DDF9A8D">
            <w:pPr>
              <w:spacing w:line="360" w:lineRule="auto"/>
              <w:jc w:val="center"/>
              <w:rPr>
                <w:rFonts w:ascii="宋体" w:hAnsi="宋体"/>
                <w:sz w:val="44"/>
              </w:rPr>
            </w:pPr>
            <w:r>
              <w:rPr>
                <w:rFonts w:hint="eastAsia" w:ascii="宋体" w:hAnsi="宋体"/>
                <w:sz w:val="44"/>
              </w:rPr>
              <w:t>咨 询 报 告 书 目 录</w:t>
            </w:r>
          </w:p>
          <w:p w14:paraId="79C7E246">
            <w:pPr>
              <w:spacing w:line="360" w:lineRule="exact"/>
              <w:jc w:val="center"/>
              <w:rPr>
                <w:rFonts w:ascii="宋体" w:hAnsi="宋体"/>
              </w:rPr>
            </w:pPr>
            <w:r>
              <w:rPr>
                <w:rFonts w:hint="eastAsia" w:ascii="宋体" w:hAnsi="宋体"/>
              </w:rPr>
              <w:t xml:space="preserve">                                                                    第    页</w:t>
            </w:r>
          </w:p>
        </w:tc>
      </w:tr>
      <w:tr w14:paraId="30AA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exact"/>
        </w:trPr>
        <w:tc>
          <w:tcPr>
            <w:tcW w:w="640" w:type="dxa"/>
            <w:tcBorders>
              <w:top w:val="single" w:color="auto" w:sz="8" w:space="0"/>
            </w:tcBorders>
            <w:vAlign w:val="center"/>
          </w:tcPr>
          <w:p w14:paraId="269A727E">
            <w:pPr>
              <w:spacing w:line="360" w:lineRule="exact"/>
              <w:jc w:val="center"/>
              <w:rPr>
                <w:rFonts w:ascii="宋体" w:hAnsi="宋体"/>
              </w:rPr>
            </w:pPr>
            <w:r>
              <w:rPr>
                <w:rFonts w:hint="eastAsia" w:ascii="宋体" w:hAnsi="宋体"/>
              </w:rPr>
              <w:t>序号</w:t>
            </w:r>
          </w:p>
        </w:tc>
        <w:tc>
          <w:tcPr>
            <w:tcW w:w="4322" w:type="dxa"/>
            <w:tcBorders>
              <w:top w:val="single" w:color="auto" w:sz="8" w:space="0"/>
            </w:tcBorders>
            <w:vAlign w:val="center"/>
          </w:tcPr>
          <w:p w14:paraId="671AFE8D">
            <w:pPr>
              <w:spacing w:line="360" w:lineRule="exact"/>
              <w:jc w:val="center"/>
              <w:rPr>
                <w:rFonts w:ascii="宋体" w:hAnsi="宋体"/>
              </w:rPr>
            </w:pPr>
            <w:r>
              <w:rPr>
                <w:rFonts w:hint="eastAsia" w:ascii="宋体" w:hAnsi="宋体"/>
              </w:rPr>
              <w:t>文 件 内 容</w:t>
            </w:r>
          </w:p>
        </w:tc>
        <w:tc>
          <w:tcPr>
            <w:tcW w:w="1275" w:type="dxa"/>
            <w:tcBorders>
              <w:top w:val="single" w:color="auto" w:sz="8" w:space="0"/>
            </w:tcBorders>
            <w:vAlign w:val="center"/>
          </w:tcPr>
          <w:p w14:paraId="49742D4F">
            <w:pPr>
              <w:spacing w:line="360" w:lineRule="exact"/>
              <w:jc w:val="center"/>
              <w:rPr>
                <w:rFonts w:ascii="宋体" w:hAnsi="宋体"/>
              </w:rPr>
            </w:pPr>
            <w:r>
              <w:rPr>
                <w:rFonts w:hint="eastAsia" w:ascii="宋体" w:hAnsi="宋体"/>
              </w:rPr>
              <w:t>文件作者</w:t>
            </w:r>
          </w:p>
        </w:tc>
        <w:tc>
          <w:tcPr>
            <w:tcW w:w="709" w:type="dxa"/>
            <w:tcBorders>
              <w:top w:val="single" w:color="auto" w:sz="8" w:space="0"/>
            </w:tcBorders>
            <w:vAlign w:val="center"/>
          </w:tcPr>
          <w:p w14:paraId="4E199CFA">
            <w:pPr>
              <w:spacing w:line="360" w:lineRule="exact"/>
              <w:jc w:val="center"/>
              <w:rPr>
                <w:rFonts w:ascii="宋体" w:hAnsi="宋体"/>
              </w:rPr>
            </w:pPr>
            <w:r>
              <w:rPr>
                <w:rFonts w:hint="eastAsia" w:ascii="宋体" w:hAnsi="宋体"/>
              </w:rPr>
              <w:t>页码</w:t>
            </w:r>
          </w:p>
        </w:tc>
        <w:tc>
          <w:tcPr>
            <w:tcW w:w="1843" w:type="dxa"/>
            <w:tcBorders>
              <w:top w:val="single" w:color="auto" w:sz="8" w:space="0"/>
            </w:tcBorders>
            <w:vAlign w:val="center"/>
          </w:tcPr>
          <w:p w14:paraId="38DBA518">
            <w:pPr>
              <w:spacing w:line="360" w:lineRule="exact"/>
              <w:jc w:val="center"/>
              <w:rPr>
                <w:rFonts w:ascii="宋体" w:hAnsi="宋体"/>
              </w:rPr>
            </w:pPr>
            <w:r>
              <w:rPr>
                <w:rFonts w:hint="eastAsia" w:ascii="宋体" w:hAnsi="宋体"/>
              </w:rPr>
              <w:t>备 注</w:t>
            </w:r>
          </w:p>
        </w:tc>
      </w:tr>
      <w:tr w14:paraId="5654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50CCB51">
            <w:pPr>
              <w:spacing w:line="360" w:lineRule="exact"/>
              <w:jc w:val="center"/>
              <w:rPr>
                <w:rFonts w:ascii="宋体" w:hAnsi="宋体"/>
              </w:rPr>
            </w:pPr>
            <w:r>
              <w:rPr>
                <w:rFonts w:hint="eastAsia" w:ascii="宋体" w:hAnsi="宋体"/>
              </w:rPr>
              <w:t>1</w:t>
            </w:r>
          </w:p>
        </w:tc>
        <w:tc>
          <w:tcPr>
            <w:tcW w:w="4322" w:type="dxa"/>
            <w:vAlign w:val="center"/>
          </w:tcPr>
          <w:p w14:paraId="54D6FC75">
            <w:pPr>
              <w:spacing w:line="360" w:lineRule="exact"/>
              <w:jc w:val="center"/>
              <w:rPr>
                <w:rFonts w:hint="default" w:ascii="宋体" w:hAnsi="宋体" w:eastAsia="宋体"/>
                <w:lang w:val="en-US" w:eastAsia="zh-CN"/>
              </w:rPr>
            </w:pPr>
            <w:r>
              <w:rPr>
                <w:rFonts w:hint="eastAsia" w:ascii="宋体" w:hAnsi="宋体"/>
                <w:lang w:val="en-US" w:eastAsia="zh-CN"/>
              </w:rPr>
              <w:t>工程量清单编制说明</w:t>
            </w:r>
          </w:p>
        </w:tc>
        <w:tc>
          <w:tcPr>
            <w:tcW w:w="1275" w:type="dxa"/>
            <w:vAlign w:val="center"/>
          </w:tcPr>
          <w:p w14:paraId="02E4EEEA">
            <w:pPr>
              <w:spacing w:line="360" w:lineRule="exact"/>
              <w:jc w:val="center"/>
              <w:rPr>
                <w:rFonts w:ascii="宋体" w:hAnsi="宋体"/>
              </w:rPr>
            </w:pPr>
          </w:p>
        </w:tc>
        <w:tc>
          <w:tcPr>
            <w:tcW w:w="709" w:type="dxa"/>
            <w:vAlign w:val="center"/>
          </w:tcPr>
          <w:p w14:paraId="4D672C19">
            <w:pPr>
              <w:spacing w:line="360" w:lineRule="exact"/>
              <w:jc w:val="center"/>
              <w:rPr>
                <w:rFonts w:ascii="宋体" w:hAnsi="宋体"/>
              </w:rPr>
            </w:pPr>
          </w:p>
        </w:tc>
        <w:tc>
          <w:tcPr>
            <w:tcW w:w="1843" w:type="dxa"/>
            <w:vAlign w:val="center"/>
          </w:tcPr>
          <w:p w14:paraId="60855C1C">
            <w:pPr>
              <w:spacing w:line="360" w:lineRule="exact"/>
              <w:jc w:val="center"/>
              <w:rPr>
                <w:rFonts w:ascii="宋体" w:hAnsi="宋体"/>
              </w:rPr>
            </w:pPr>
          </w:p>
        </w:tc>
      </w:tr>
      <w:tr w14:paraId="238D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71B993E">
            <w:pPr>
              <w:spacing w:line="360" w:lineRule="exact"/>
              <w:jc w:val="center"/>
              <w:rPr>
                <w:rFonts w:ascii="宋体" w:hAnsi="宋体"/>
              </w:rPr>
            </w:pPr>
            <w:r>
              <w:rPr>
                <w:rFonts w:hint="eastAsia" w:ascii="宋体" w:hAnsi="宋体"/>
              </w:rPr>
              <w:t>2</w:t>
            </w:r>
          </w:p>
        </w:tc>
        <w:tc>
          <w:tcPr>
            <w:tcW w:w="4322" w:type="dxa"/>
            <w:vAlign w:val="center"/>
          </w:tcPr>
          <w:p w14:paraId="390D06E1">
            <w:pPr>
              <w:spacing w:line="360" w:lineRule="exact"/>
              <w:jc w:val="center"/>
              <w:rPr>
                <w:rFonts w:hint="default" w:ascii="宋体" w:hAnsi="宋体" w:eastAsia="宋体"/>
                <w:lang w:val="en-US" w:eastAsia="zh-CN"/>
              </w:rPr>
            </w:pPr>
            <w:r>
              <w:rPr>
                <w:rFonts w:hint="eastAsia" w:ascii="宋体" w:hAnsi="宋体"/>
                <w:lang w:val="en-US" w:eastAsia="zh-CN"/>
              </w:rPr>
              <w:t>工程量清单</w:t>
            </w:r>
          </w:p>
        </w:tc>
        <w:tc>
          <w:tcPr>
            <w:tcW w:w="1275" w:type="dxa"/>
            <w:vAlign w:val="center"/>
          </w:tcPr>
          <w:p w14:paraId="245A2E12">
            <w:pPr>
              <w:spacing w:line="360" w:lineRule="exact"/>
              <w:jc w:val="center"/>
              <w:rPr>
                <w:rFonts w:ascii="宋体" w:hAnsi="宋体"/>
              </w:rPr>
            </w:pPr>
          </w:p>
        </w:tc>
        <w:tc>
          <w:tcPr>
            <w:tcW w:w="709" w:type="dxa"/>
            <w:vAlign w:val="center"/>
          </w:tcPr>
          <w:p w14:paraId="6F45AF82">
            <w:pPr>
              <w:spacing w:line="360" w:lineRule="exact"/>
              <w:jc w:val="center"/>
              <w:rPr>
                <w:rFonts w:ascii="宋体" w:hAnsi="宋体"/>
              </w:rPr>
            </w:pPr>
          </w:p>
        </w:tc>
        <w:tc>
          <w:tcPr>
            <w:tcW w:w="1843" w:type="dxa"/>
            <w:vAlign w:val="center"/>
          </w:tcPr>
          <w:p w14:paraId="1DBD0F76">
            <w:pPr>
              <w:spacing w:line="360" w:lineRule="exact"/>
              <w:jc w:val="center"/>
              <w:rPr>
                <w:rFonts w:ascii="宋体" w:hAnsi="宋体"/>
              </w:rPr>
            </w:pPr>
          </w:p>
        </w:tc>
      </w:tr>
      <w:tr w14:paraId="7032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324AE937">
            <w:pPr>
              <w:spacing w:line="360" w:lineRule="exact"/>
              <w:jc w:val="center"/>
              <w:rPr>
                <w:rFonts w:ascii="宋体" w:hAnsi="宋体"/>
              </w:rPr>
            </w:pPr>
          </w:p>
        </w:tc>
        <w:tc>
          <w:tcPr>
            <w:tcW w:w="4322" w:type="dxa"/>
            <w:vAlign w:val="center"/>
          </w:tcPr>
          <w:p w14:paraId="26542CB8">
            <w:pPr>
              <w:spacing w:line="360" w:lineRule="exact"/>
              <w:jc w:val="center"/>
              <w:rPr>
                <w:rFonts w:ascii="宋体" w:hAnsi="宋体"/>
              </w:rPr>
            </w:pPr>
          </w:p>
        </w:tc>
        <w:tc>
          <w:tcPr>
            <w:tcW w:w="1275" w:type="dxa"/>
            <w:vAlign w:val="center"/>
          </w:tcPr>
          <w:p w14:paraId="104C61A1">
            <w:pPr>
              <w:spacing w:line="360" w:lineRule="exact"/>
              <w:jc w:val="center"/>
              <w:rPr>
                <w:rFonts w:ascii="宋体" w:hAnsi="宋体"/>
              </w:rPr>
            </w:pPr>
          </w:p>
        </w:tc>
        <w:tc>
          <w:tcPr>
            <w:tcW w:w="709" w:type="dxa"/>
            <w:vAlign w:val="center"/>
          </w:tcPr>
          <w:p w14:paraId="1A6195CA">
            <w:pPr>
              <w:spacing w:line="360" w:lineRule="exact"/>
              <w:jc w:val="center"/>
              <w:rPr>
                <w:rFonts w:ascii="宋体" w:hAnsi="宋体"/>
              </w:rPr>
            </w:pPr>
          </w:p>
        </w:tc>
        <w:tc>
          <w:tcPr>
            <w:tcW w:w="1843" w:type="dxa"/>
            <w:vAlign w:val="center"/>
          </w:tcPr>
          <w:p w14:paraId="15041980">
            <w:pPr>
              <w:spacing w:line="360" w:lineRule="exact"/>
              <w:jc w:val="center"/>
              <w:rPr>
                <w:rFonts w:ascii="宋体" w:hAnsi="宋体"/>
              </w:rPr>
            </w:pPr>
          </w:p>
        </w:tc>
      </w:tr>
      <w:tr w14:paraId="1BCA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65DBF307">
            <w:pPr>
              <w:spacing w:line="360" w:lineRule="exact"/>
              <w:jc w:val="center"/>
              <w:rPr>
                <w:rFonts w:ascii="宋体" w:hAnsi="宋体"/>
              </w:rPr>
            </w:pPr>
          </w:p>
        </w:tc>
        <w:tc>
          <w:tcPr>
            <w:tcW w:w="4322" w:type="dxa"/>
            <w:vAlign w:val="center"/>
          </w:tcPr>
          <w:p w14:paraId="34EC54F4">
            <w:pPr>
              <w:spacing w:line="360" w:lineRule="exact"/>
              <w:jc w:val="center"/>
              <w:rPr>
                <w:rFonts w:ascii="宋体" w:hAnsi="宋体"/>
              </w:rPr>
            </w:pPr>
          </w:p>
        </w:tc>
        <w:tc>
          <w:tcPr>
            <w:tcW w:w="1275" w:type="dxa"/>
            <w:vAlign w:val="center"/>
          </w:tcPr>
          <w:p w14:paraId="72468915">
            <w:pPr>
              <w:spacing w:line="360" w:lineRule="exact"/>
              <w:jc w:val="center"/>
              <w:rPr>
                <w:rFonts w:ascii="宋体" w:hAnsi="宋体"/>
              </w:rPr>
            </w:pPr>
          </w:p>
        </w:tc>
        <w:tc>
          <w:tcPr>
            <w:tcW w:w="709" w:type="dxa"/>
            <w:vAlign w:val="center"/>
          </w:tcPr>
          <w:p w14:paraId="54C08786">
            <w:pPr>
              <w:spacing w:line="360" w:lineRule="exact"/>
              <w:jc w:val="center"/>
              <w:rPr>
                <w:rFonts w:ascii="宋体" w:hAnsi="宋体"/>
              </w:rPr>
            </w:pPr>
          </w:p>
        </w:tc>
        <w:tc>
          <w:tcPr>
            <w:tcW w:w="1843" w:type="dxa"/>
            <w:vAlign w:val="center"/>
          </w:tcPr>
          <w:p w14:paraId="3D7DB02F">
            <w:pPr>
              <w:spacing w:line="360" w:lineRule="exact"/>
              <w:jc w:val="center"/>
              <w:rPr>
                <w:rFonts w:ascii="宋体" w:hAnsi="宋体"/>
              </w:rPr>
            </w:pPr>
          </w:p>
        </w:tc>
      </w:tr>
      <w:tr w14:paraId="0C7B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3A6F27F5">
            <w:pPr>
              <w:spacing w:line="360" w:lineRule="exact"/>
              <w:jc w:val="center"/>
              <w:rPr>
                <w:rFonts w:ascii="宋体" w:hAnsi="宋体"/>
              </w:rPr>
            </w:pPr>
          </w:p>
        </w:tc>
        <w:tc>
          <w:tcPr>
            <w:tcW w:w="4322" w:type="dxa"/>
            <w:vAlign w:val="center"/>
          </w:tcPr>
          <w:p w14:paraId="2FF75A31">
            <w:pPr>
              <w:spacing w:line="360" w:lineRule="exact"/>
              <w:jc w:val="center"/>
              <w:rPr>
                <w:rFonts w:ascii="宋体" w:hAnsi="宋体"/>
              </w:rPr>
            </w:pPr>
          </w:p>
        </w:tc>
        <w:tc>
          <w:tcPr>
            <w:tcW w:w="1275" w:type="dxa"/>
            <w:vAlign w:val="center"/>
          </w:tcPr>
          <w:p w14:paraId="1638C90E">
            <w:pPr>
              <w:spacing w:line="360" w:lineRule="exact"/>
              <w:jc w:val="center"/>
              <w:rPr>
                <w:rFonts w:ascii="宋体" w:hAnsi="宋体"/>
              </w:rPr>
            </w:pPr>
          </w:p>
        </w:tc>
        <w:tc>
          <w:tcPr>
            <w:tcW w:w="709" w:type="dxa"/>
            <w:vAlign w:val="center"/>
          </w:tcPr>
          <w:p w14:paraId="0405EC1C">
            <w:pPr>
              <w:spacing w:line="360" w:lineRule="exact"/>
              <w:jc w:val="center"/>
              <w:rPr>
                <w:rFonts w:ascii="宋体" w:hAnsi="宋体"/>
              </w:rPr>
            </w:pPr>
          </w:p>
        </w:tc>
        <w:tc>
          <w:tcPr>
            <w:tcW w:w="1843" w:type="dxa"/>
            <w:vAlign w:val="center"/>
          </w:tcPr>
          <w:p w14:paraId="48100052">
            <w:pPr>
              <w:spacing w:line="360" w:lineRule="exact"/>
              <w:jc w:val="center"/>
              <w:rPr>
                <w:rFonts w:ascii="宋体" w:hAnsi="宋体"/>
              </w:rPr>
            </w:pPr>
          </w:p>
        </w:tc>
      </w:tr>
      <w:tr w14:paraId="26E1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4027E523">
            <w:pPr>
              <w:spacing w:line="360" w:lineRule="exact"/>
              <w:jc w:val="center"/>
              <w:rPr>
                <w:rFonts w:ascii="宋体" w:hAnsi="宋体"/>
              </w:rPr>
            </w:pPr>
          </w:p>
        </w:tc>
        <w:tc>
          <w:tcPr>
            <w:tcW w:w="4322" w:type="dxa"/>
            <w:vAlign w:val="center"/>
          </w:tcPr>
          <w:p w14:paraId="12A9D3F5">
            <w:pPr>
              <w:spacing w:line="360" w:lineRule="exact"/>
              <w:jc w:val="center"/>
              <w:rPr>
                <w:rFonts w:ascii="宋体" w:hAnsi="宋体"/>
              </w:rPr>
            </w:pPr>
          </w:p>
        </w:tc>
        <w:tc>
          <w:tcPr>
            <w:tcW w:w="1275" w:type="dxa"/>
            <w:vAlign w:val="center"/>
          </w:tcPr>
          <w:p w14:paraId="5ED2FDC5">
            <w:pPr>
              <w:spacing w:line="360" w:lineRule="exact"/>
              <w:jc w:val="center"/>
              <w:rPr>
                <w:rFonts w:ascii="宋体" w:hAnsi="宋体"/>
              </w:rPr>
            </w:pPr>
          </w:p>
        </w:tc>
        <w:tc>
          <w:tcPr>
            <w:tcW w:w="709" w:type="dxa"/>
            <w:vAlign w:val="center"/>
          </w:tcPr>
          <w:p w14:paraId="27A60E0F">
            <w:pPr>
              <w:spacing w:line="360" w:lineRule="exact"/>
              <w:jc w:val="center"/>
              <w:rPr>
                <w:rFonts w:ascii="宋体" w:hAnsi="宋体"/>
              </w:rPr>
            </w:pPr>
          </w:p>
        </w:tc>
        <w:tc>
          <w:tcPr>
            <w:tcW w:w="1843" w:type="dxa"/>
            <w:vAlign w:val="center"/>
          </w:tcPr>
          <w:p w14:paraId="2FCFC1CF">
            <w:pPr>
              <w:spacing w:line="360" w:lineRule="exact"/>
              <w:jc w:val="center"/>
              <w:rPr>
                <w:rFonts w:ascii="宋体" w:hAnsi="宋体"/>
              </w:rPr>
            </w:pPr>
          </w:p>
        </w:tc>
      </w:tr>
      <w:tr w14:paraId="48CD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04EDF35">
            <w:pPr>
              <w:spacing w:line="360" w:lineRule="exact"/>
              <w:jc w:val="center"/>
              <w:rPr>
                <w:rFonts w:ascii="宋体" w:hAnsi="宋体"/>
              </w:rPr>
            </w:pPr>
          </w:p>
        </w:tc>
        <w:tc>
          <w:tcPr>
            <w:tcW w:w="4322" w:type="dxa"/>
            <w:vAlign w:val="center"/>
          </w:tcPr>
          <w:p w14:paraId="790E5CBA">
            <w:pPr>
              <w:spacing w:line="360" w:lineRule="exact"/>
              <w:jc w:val="center"/>
              <w:rPr>
                <w:rFonts w:ascii="宋体" w:hAnsi="宋体"/>
              </w:rPr>
            </w:pPr>
          </w:p>
        </w:tc>
        <w:tc>
          <w:tcPr>
            <w:tcW w:w="1275" w:type="dxa"/>
            <w:vAlign w:val="center"/>
          </w:tcPr>
          <w:p w14:paraId="7AFFD3BD">
            <w:pPr>
              <w:spacing w:line="360" w:lineRule="exact"/>
              <w:jc w:val="center"/>
              <w:rPr>
                <w:rFonts w:ascii="宋体" w:hAnsi="宋体"/>
              </w:rPr>
            </w:pPr>
          </w:p>
        </w:tc>
        <w:tc>
          <w:tcPr>
            <w:tcW w:w="709" w:type="dxa"/>
            <w:vAlign w:val="center"/>
          </w:tcPr>
          <w:p w14:paraId="359A024B">
            <w:pPr>
              <w:spacing w:line="360" w:lineRule="exact"/>
              <w:jc w:val="center"/>
              <w:rPr>
                <w:rFonts w:ascii="宋体" w:hAnsi="宋体"/>
              </w:rPr>
            </w:pPr>
          </w:p>
        </w:tc>
        <w:tc>
          <w:tcPr>
            <w:tcW w:w="1843" w:type="dxa"/>
            <w:vAlign w:val="center"/>
          </w:tcPr>
          <w:p w14:paraId="1A8DB877">
            <w:pPr>
              <w:spacing w:line="360" w:lineRule="exact"/>
              <w:jc w:val="center"/>
              <w:rPr>
                <w:rFonts w:ascii="宋体" w:hAnsi="宋体"/>
              </w:rPr>
            </w:pPr>
          </w:p>
        </w:tc>
      </w:tr>
      <w:tr w14:paraId="1EE3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4294804">
            <w:pPr>
              <w:spacing w:line="360" w:lineRule="exact"/>
              <w:jc w:val="center"/>
              <w:rPr>
                <w:rFonts w:ascii="宋体" w:hAnsi="宋体"/>
              </w:rPr>
            </w:pPr>
          </w:p>
        </w:tc>
        <w:tc>
          <w:tcPr>
            <w:tcW w:w="4322" w:type="dxa"/>
            <w:vAlign w:val="center"/>
          </w:tcPr>
          <w:p w14:paraId="1EB614C2">
            <w:pPr>
              <w:spacing w:line="360" w:lineRule="exact"/>
              <w:jc w:val="center"/>
              <w:rPr>
                <w:rFonts w:ascii="宋体" w:hAnsi="宋体"/>
              </w:rPr>
            </w:pPr>
          </w:p>
        </w:tc>
        <w:tc>
          <w:tcPr>
            <w:tcW w:w="1275" w:type="dxa"/>
            <w:vAlign w:val="center"/>
          </w:tcPr>
          <w:p w14:paraId="28AC53B2">
            <w:pPr>
              <w:spacing w:line="360" w:lineRule="exact"/>
              <w:jc w:val="center"/>
              <w:rPr>
                <w:rFonts w:ascii="宋体" w:hAnsi="宋体"/>
              </w:rPr>
            </w:pPr>
          </w:p>
        </w:tc>
        <w:tc>
          <w:tcPr>
            <w:tcW w:w="709" w:type="dxa"/>
            <w:vAlign w:val="center"/>
          </w:tcPr>
          <w:p w14:paraId="3D1EBF5A">
            <w:pPr>
              <w:spacing w:line="360" w:lineRule="exact"/>
              <w:jc w:val="center"/>
              <w:rPr>
                <w:rFonts w:ascii="宋体" w:hAnsi="宋体"/>
              </w:rPr>
            </w:pPr>
          </w:p>
        </w:tc>
        <w:tc>
          <w:tcPr>
            <w:tcW w:w="1843" w:type="dxa"/>
            <w:vAlign w:val="center"/>
          </w:tcPr>
          <w:p w14:paraId="2A42F1E9">
            <w:pPr>
              <w:spacing w:line="360" w:lineRule="exact"/>
              <w:jc w:val="center"/>
              <w:rPr>
                <w:rFonts w:ascii="宋体" w:hAnsi="宋体"/>
              </w:rPr>
            </w:pPr>
          </w:p>
        </w:tc>
      </w:tr>
      <w:tr w14:paraId="49802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08C41749">
            <w:pPr>
              <w:spacing w:line="360" w:lineRule="exact"/>
              <w:jc w:val="center"/>
              <w:rPr>
                <w:rFonts w:ascii="宋体" w:hAnsi="宋体"/>
              </w:rPr>
            </w:pPr>
          </w:p>
        </w:tc>
        <w:tc>
          <w:tcPr>
            <w:tcW w:w="4322" w:type="dxa"/>
            <w:vAlign w:val="center"/>
          </w:tcPr>
          <w:p w14:paraId="11B349AB">
            <w:pPr>
              <w:spacing w:line="360" w:lineRule="exact"/>
              <w:jc w:val="center"/>
              <w:rPr>
                <w:rFonts w:ascii="宋体" w:hAnsi="宋体"/>
              </w:rPr>
            </w:pPr>
          </w:p>
        </w:tc>
        <w:tc>
          <w:tcPr>
            <w:tcW w:w="1275" w:type="dxa"/>
            <w:vAlign w:val="center"/>
          </w:tcPr>
          <w:p w14:paraId="29367A2F">
            <w:pPr>
              <w:spacing w:line="360" w:lineRule="exact"/>
              <w:jc w:val="center"/>
              <w:rPr>
                <w:rFonts w:ascii="宋体" w:hAnsi="宋体"/>
              </w:rPr>
            </w:pPr>
          </w:p>
        </w:tc>
        <w:tc>
          <w:tcPr>
            <w:tcW w:w="709" w:type="dxa"/>
            <w:vAlign w:val="center"/>
          </w:tcPr>
          <w:p w14:paraId="5B95F347">
            <w:pPr>
              <w:spacing w:line="360" w:lineRule="exact"/>
              <w:jc w:val="center"/>
              <w:rPr>
                <w:rFonts w:ascii="宋体" w:hAnsi="宋体"/>
              </w:rPr>
            </w:pPr>
          </w:p>
        </w:tc>
        <w:tc>
          <w:tcPr>
            <w:tcW w:w="1843" w:type="dxa"/>
            <w:vAlign w:val="center"/>
          </w:tcPr>
          <w:p w14:paraId="16277C97">
            <w:pPr>
              <w:spacing w:line="360" w:lineRule="exact"/>
              <w:jc w:val="center"/>
              <w:rPr>
                <w:rFonts w:ascii="宋体" w:hAnsi="宋体"/>
              </w:rPr>
            </w:pPr>
          </w:p>
        </w:tc>
      </w:tr>
      <w:tr w14:paraId="588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trPr>
        <w:tc>
          <w:tcPr>
            <w:tcW w:w="640" w:type="dxa"/>
            <w:vAlign w:val="center"/>
          </w:tcPr>
          <w:p w14:paraId="7CF87248">
            <w:pPr>
              <w:spacing w:line="360" w:lineRule="exact"/>
              <w:jc w:val="center"/>
              <w:rPr>
                <w:rFonts w:ascii="宋体" w:hAnsi="宋体"/>
              </w:rPr>
            </w:pPr>
          </w:p>
        </w:tc>
        <w:tc>
          <w:tcPr>
            <w:tcW w:w="4322" w:type="dxa"/>
            <w:vAlign w:val="center"/>
          </w:tcPr>
          <w:p w14:paraId="6ADA71C2">
            <w:pPr>
              <w:spacing w:line="360" w:lineRule="exact"/>
              <w:jc w:val="center"/>
              <w:rPr>
                <w:rFonts w:ascii="宋体" w:hAnsi="宋体"/>
              </w:rPr>
            </w:pPr>
          </w:p>
        </w:tc>
        <w:tc>
          <w:tcPr>
            <w:tcW w:w="1275" w:type="dxa"/>
            <w:vAlign w:val="center"/>
          </w:tcPr>
          <w:p w14:paraId="7848098C">
            <w:pPr>
              <w:spacing w:line="360" w:lineRule="exact"/>
              <w:jc w:val="center"/>
              <w:rPr>
                <w:rFonts w:ascii="宋体" w:hAnsi="宋体"/>
              </w:rPr>
            </w:pPr>
          </w:p>
        </w:tc>
        <w:tc>
          <w:tcPr>
            <w:tcW w:w="709" w:type="dxa"/>
            <w:vAlign w:val="center"/>
          </w:tcPr>
          <w:p w14:paraId="58E1D812">
            <w:pPr>
              <w:spacing w:line="360" w:lineRule="exact"/>
              <w:jc w:val="center"/>
              <w:rPr>
                <w:rFonts w:ascii="宋体" w:hAnsi="宋体"/>
              </w:rPr>
            </w:pPr>
          </w:p>
        </w:tc>
        <w:tc>
          <w:tcPr>
            <w:tcW w:w="1843" w:type="dxa"/>
            <w:vAlign w:val="center"/>
          </w:tcPr>
          <w:p w14:paraId="07DC495E">
            <w:pPr>
              <w:spacing w:line="360" w:lineRule="exact"/>
              <w:jc w:val="center"/>
              <w:rPr>
                <w:rFonts w:ascii="宋体" w:hAnsi="宋体"/>
              </w:rPr>
            </w:pPr>
          </w:p>
        </w:tc>
      </w:tr>
      <w:tr w14:paraId="37E4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7FFAE409">
            <w:pPr>
              <w:spacing w:line="360" w:lineRule="exact"/>
              <w:jc w:val="center"/>
              <w:rPr>
                <w:rFonts w:ascii="宋体" w:hAnsi="宋体"/>
              </w:rPr>
            </w:pPr>
          </w:p>
        </w:tc>
        <w:tc>
          <w:tcPr>
            <w:tcW w:w="4322" w:type="dxa"/>
            <w:vAlign w:val="center"/>
          </w:tcPr>
          <w:p w14:paraId="54CC58BA">
            <w:pPr>
              <w:spacing w:line="360" w:lineRule="exact"/>
              <w:jc w:val="center"/>
              <w:rPr>
                <w:rFonts w:ascii="宋体" w:hAnsi="宋体"/>
              </w:rPr>
            </w:pPr>
          </w:p>
        </w:tc>
        <w:tc>
          <w:tcPr>
            <w:tcW w:w="1275" w:type="dxa"/>
            <w:vAlign w:val="center"/>
          </w:tcPr>
          <w:p w14:paraId="1023F364">
            <w:pPr>
              <w:spacing w:line="360" w:lineRule="exact"/>
              <w:jc w:val="center"/>
              <w:rPr>
                <w:rFonts w:ascii="宋体" w:hAnsi="宋体"/>
              </w:rPr>
            </w:pPr>
          </w:p>
        </w:tc>
        <w:tc>
          <w:tcPr>
            <w:tcW w:w="709" w:type="dxa"/>
            <w:vAlign w:val="center"/>
          </w:tcPr>
          <w:p w14:paraId="54C5B9D7">
            <w:pPr>
              <w:spacing w:line="360" w:lineRule="exact"/>
              <w:jc w:val="center"/>
              <w:rPr>
                <w:rFonts w:ascii="宋体" w:hAnsi="宋体"/>
              </w:rPr>
            </w:pPr>
          </w:p>
        </w:tc>
        <w:tc>
          <w:tcPr>
            <w:tcW w:w="1843" w:type="dxa"/>
            <w:vAlign w:val="center"/>
          </w:tcPr>
          <w:p w14:paraId="5EB53743">
            <w:pPr>
              <w:spacing w:line="360" w:lineRule="exact"/>
              <w:jc w:val="center"/>
              <w:rPr>
                <w:rFonts w:ascii="宋体" w:hAnsi="宋体"/>
              </w:rPr>
            </w:pPr>
          </w:p>
        </w:tc>
      </w:tr>
      <w:tr w14:paraId="32FD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45915C56">
            <w:pPr>
              <w:spacing w:line="360" w:lineRule="exact"/>
              <w:jc w:val="center"/>
              <w:rPr>
                <w:rFonts w:ascii="宋体" w:hAnsi="宋体"/>
              </w:rPr>
            </w:pPr>
          </w:p>
        </w:tc>
        <w:tc>
          <w:tcPr>
            <w:tcW w:w="4322" w:type="dxa"/>
            <w:vAlign w:val="center"/>
          </w:tcPr>
          <w:p w14:paraId="5F8EB9F1">
            <w:pPr>
              <w:spacing w:line="360" w:lineRule="exact"/>
              <w:jc w:val="center"/>
              <w:rPr>
                <w:rFonts w:ascii="宋体" w:hAnsi="宋体"/>
              </w:rPr>
            </w:pPr>
          </w:p>
        </w:tc>
        <w:tc>
          <w:tcPr>
            <w:tcW w:w="1275" w:type="dxa"/>
            <w:vAlign w:val="center"/>
          </w:tcPr>
          <w:p w14:paraId="0DCBFCFF">
            <w:pPr>
              <w:spacing w:line="360" w:lineRule="exact"/>
              <w:jc w:val="center"/>
              <w:rPr>
                <w:rFonts w:ascii="宋体" w:hAnsi="宋体"/>
              </w:rPr>
            </w:pPr>
          </w:p>
        </w:tc>
        <w:tc>
          <w:tcPr>
            <w:tcW w:w="709" w:type="dxa"/>
            <w:vAlign w:val="center"/>
          </w:tcPr>
          <w:p w14:paraId="48A6C776">
            <w:pPr>
              <w:spacing w:line="360" w:lineRule="exact"/>
              <w:jc w:val="center"/>
              <w:rPr>
                <w:rFonts w:ascii="宋体" w:hAnsi="宋体"/>
              </w:rPr>
            </w:pPr>
          </w:p>
        </w:tc>
        <w:tc>
          <w:tcPr>
            <w:tcW w:w="1843" w:type="dxa"/>
            <w:vAlign w:val="center"/>
          </w:tcPr>
          <w:p w14:paraId="2B23D617">
            <w:pPr>
              <w:spacing w:line="360" w:lineRule="exact"/>
              <w:jc w:val="center"/>
              <w:rPr>
                <w:rFonts w:ascii="宋体" w:hAnsi="宋体"/>
              </w:rPr>
            </w:pPr>
          </w:p>
        </w:tc>
      </w:tr>
      <w:tr w14:paraId="4F370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92657B4">
            <w:pPr>
              <w:spacing w:line="360" w:lineRule="exact"/>
              <w:jc w:val="center"/>
              <w:rPr>
                <w:rFonts w:ascii="宋体" w:hAnsi="宋体"/>
              </w:rPr>
            </w:pPr>
          </w:p>
        </w:tc>
        <w:tc>
          <w:tcPr>
            <w:tcW w:w="4322" w:type="dxa"/>
            <w:vAlign w:val="center"/>
          </w:tcPr>
          <w:p w14:paraId="100DFB45">
            <w:pPr>
              <w:spacing w:line="360" w:lineRule="exact"/>
              <w:jc w:val="center"/>
              <w:rPr>
                <w:rFonts w:ascii="宋体" w:hAnsi="宋体"/>
              </w:rPr>
            </w:pPr>
          </w:p>
        </w:tc>
        <w:tc>
          <w:tcPr>
            <w:tcW w:w="1275" w:type="dxa"/>
            <w:vAlign w:val="center"/>
          </w:tcPr>
          <w:p w14:paraId="7CC5D99C">
            <w:pPr>
              <w:spacing w:line="360" w:lineRule="exact"/>
              <w:jc w:val="center"/>
              <w:rPr>
                <w:rFonts w:ascii="宋体" w:hAnsi="宋体"/>
              </w:rPr>
            </w:pPr>
          </w:p>
        </w:tc>
        <w:tc>
          <w:tcPr>
            <w:tcW w:w="709" w:type="dxa"/>
            <w:vAlign w:val="center"/>
          </w:tcPr>
          <w:p w14:paraId="28252B23">
            <w:pPr>
              <w:spacing w:line="360" w:lineRule="exact"/>
              <w:jc w:val="center"/>
              <w:rPr>
                <w:rFonts w:ascii="宋体" w:hAnsi="宋体"/>
              </w:rPr>
            </w:pPr>
          </w:p>
        </w:tc>
        <w:tc>
          <w:tcPr>
            <w:tcW w:w="1843" w:type="dxa"/>
            <w:vAlign w:val="center"/>
          </w:tcPr>
          <w:p w14:paraId="70A500ED">
            <w:pPr>
              <w:spacing w:line="360" w:lineRule="exact"/>
              <w:jc w:val="center"/>
              <w:rPr>
                <w:rFonts w:ascii="宋体" w:hAnsi="宋体"/>
              </w:rPr>
            </w:pPr>
          </w:p>
        </w:tc>
      </w:tr>
      <w:tr w14:paraId="71EA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42AED27">
            <w:pPr>
              <w:spacing w:line="360" w:lineRule="exact"/>
              <w:jc w:val="center"/>
              <w:rPr>
                <w:rFonts w:ascii="宋体" w:hAnsi="宋体"/>
              </w:rPr>
            </w:pPr>
          </w:p>
        </w:tc>
        <w:tc>
          <w:tcPr>
            <w:tcW w:w="4322" w:type="dxa"/>
            <w:vAlign w:val="center"/>
          </w:tcPr>
          <w:p w14:paraId="504D2E0B">
            <w:pPr>
              <w:spacing w:line="360" w:lineRule="exact"/>
              <w:jc w:val="center"/>
              <w:rPr>
                <w:rFonts w:ascii="宋体" w:hAnsi="宋体"/>
              </w:rPr>
            </w:pPr>
          </w:p>
        </w:tc>
        <w:tc>
          <w:tcPr>
            <w:tcW w:w="1275" w:type="dxa"/>
            <w:vAlign w:val="center"/>
          </w:tcPr>
          <w:p w14:paraId="29FB7B71">
            <w:pPr>
              <w:spacing w:line="360" w:lineRule="exact"/>
              <w:jc w:val="center"/>
              <w:rPr>
                <w:rFonts w:ascii="宋体" w:hAnsi="宋体"/>
              </w:rPr>
            </w:pPr>
          </w:p>
        </w:tc>
        <w:tc>
          <w:tcPr>
            <w:tcW w:w="709" w:type="dxa"/>
            <w:vAlign w:val="center"/>
          </w:tcPr>
          <w:p w14:paraId="1978004D">
            <w:pPr>
              <w:spacing w:line="360" w:lineRule="exact"/>
              <w:jc w:val="center"/>
              <w:rPr>
                <w:rFonts w:ascii="宋体" w:hAnsi="宋体"/>
              </w:rPr>
            </w:pPr>
          </w:p>
        </w:tc>
        <w:tc>
          <w:tcPr>
            <w:tcW w:w="1843" w:type="dxa"/>
            <w:vAlign w:val="center"/>
          </w:tcPr>
          <w:p w14:paraId="44AE5E4E">
            <w:pPr>
              <w:spacing w:line="360" w:lineRule="exact"/>
              <w:jc w:val="center"/>
              <w:rPr>
                <w:rFonts w:ascii="宋体" w:hAnsi="宋体"/>
              </w:rPr>
            </w:pPr>
          </w:p>
        </w:tc>
      </w:tr>
      <w:tr w14:paraId="7EAE1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0BB5BEEB">
            <w:pPr>
              <w:spacing w:line="360" w:lineRule="exact"/>
              <w:jc w:val="center"/>
              <w:rPr>
                <w:rFonts w:ascii="宋体" w:hAnsi="宋体"/>
              </w:rPr>
            </w:pPr>
          </w:p>
        </w:tc>
        <w:tc>
          <w:tcPr>
            <w:tcW w:w="4322" w:type="dxa"/>
            <w:vAlign w:val="center"/>
          </w:tcPr>
          <w:p w14:paraId="5B0FD076">
            <w:pPr>
              <w:spacing w:line="360" w:lineRule="exact"/>
              <w:jc w:val="center"/>
              <w:rPr>
                <w:rFonts w:ascii="宋体" w:hAnsi="宋体"/>
              </w:rPr>
            </w:pPr>
          </w:p>
        </w:tc>
        <w:tc>
          <w:tcPr>
            <w:tcW w:w="1275" w:type="dxa"/>
            <w:vAlign w:val="center"/>
          </w:tcPr>
          <w:p w14:paraId="14370FCC">
            <w:pPr>
              <w:spacing w:line="360" w:lineRule="exact"/>
              <w:jc w:val="center"/>
              <w:rPr>
                <w:rFonts w:ascii="宋体" w:hAnsi="宋体"/>
              </w:rPr>
            </w:pPr>
          </w:p>
        </w:tc>
        <w:tc>
          <w:tcPr>
            <w:tcW w:w="709" w:type="dxa"/>
            <w:vAlign w:val="center"/>
          </w:tcPr>
          <w:p w14:paraId="5830BA0E">
            <w:pPr>
              <w:spacing w:line="360" w:lineRule="exact"/>
              <w:jc w:val="center"/>
              <w:rPr>
                <w:rFonts w:ascii="宋体" w:hAnsi="宋体"/>
              </w:rPr>
            </w:pPr>
          </w:p>
        </w:tc>
        <w:tc>
          <w:tcPr>
            <w:tcW w:w="1843" w:type="dxa"/>
            <w:vAlign w:val="center"/>
          </w:tcPr>
          <w:p w14:paraId="38765D92">
            <w:pPr>
              <w:spacing w:line="360" w:lineRule="exact"/>
              <w:jc w:val="center"/>
              <w:rPr>
                <w:rFonts w:ascii="宋体" w:hAnsi="宋体"/>
              </w:rPr>
            </w:pPr>
          </w:p>
        </w:tc>
      </w:tr>
      <w:tr w14:paraId="6025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3E7535A">
            <w:pPr>
              <w:spacing w:line="360" w:lineRule="exact"/>
              <w:jc w:val="center"/>
              <w:rPr>
                <w:rFonts w:ascii="宋体" w:hAnsi="宋体"/>
              </w:rPr>
            </w:pPr>
          </w:p>
        </w:tc>
        <w:tc>
          <w:tcPr>
            <w:tcW w:w="4322" w:type="dxa"/>
            <w:vAlign w:val="center"/>
          </w:tcPr>
          <w:p w14:paraId="57F6BDB8">
            <w:pPr>
              <w:spacing w:line="360" w:lineRule="exact"/>
              <w:jc w:val="center"/>
              <w:rPr>
                <w:rFonts w:ascii="宋体" w:hAnsi="宋体"/>
              </w:rPr>
            </w:pPr>
          </w:p>
        </w:tc>
        <w:tc>
          <w:tcPr>
            <w:tcW w:w="1275" w:type="dxa"/>
            <w:vAlign w:val="center"/>
          </w:tcPr>
          <w:p w14:paraId="160F999E">
            <w:pPr>
              <w:spacing w:line="360" w:lineRule="exact"/>
              <w:jc w:val="center"/>
              <w:rPr>
                <w:rFonts w:ascii="宋体" w:hAnsi="宋体"/>
              </w:rPr>
            </w:pPr>
          </w:p>
        </w:tc>
        <w:tc>
          <w:tcPr>
            <w:tcW w:w="709" w:type="dxa"/>
            <w:vAlign w:val="center"/>
          </w:tcPr>
          <w:p w14:paraId="5B046263">
            <w:pPr>
              <w:spacing w:line="360" w:lineRule="exact"/>
              <w:jc w:val="center"/>
              <w:rPr>
                <w:rFonts w:ascii="宋体" w:hAnsi="宋体"/>
              </w:rPr>
            </w:pPr>
          </w:p>
        </w:tc>
        <w:tc>
          <w:tcPr>
            <w:tcW w:w="1843" w:type="dxa"/>
            <w:vAlign w:val="center"/>
          </w:tcPr>
          <w:p w14:paraId="02261CD5">
            <w:pPr>
              <w:spacing w:line="360" w:lineRule="exact"/>
              <w:jc w:val="center"/>
              <w:rPr>
                <w:rFonts w:ascii="宋体" w:hAnsi="宋体"/>
              </w:rPr>
            </w:pPr>
          </w:p>
        </w:tc>
      </w:tr>
      <w:tr w14:paraId="683A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7330B640">
            <w:pPr>
              <w:spacing w:line="360" w:lineRule="exact"/>
              <w:jc w:val="center"/>
              <w:rPr>
                <w:rFonts w:ascii="宋体" w:hAnsi="宋体"/>
              </w:rPr>
            </w:pPr>
          </w:p>
        </w:tc>
        <w:tc>
          <w:tcPr>
            <w:tcW w:w="4322" w:type="dxa"/>
            <w:vAlign w:val="center"/>
          </w:tcPr>
          <w:p w14:paraId="1E3A2200">
            <w:pPr>
              <w:spacing w:line="360" w:lineRule="exact"/>
              <w:jc w:val="center"/>
              <w:rPr>
                <w:rFonts w:ascii="宋体" w:hAnsi="宋体"/>
              </w:rPr>
            </w:pPr>
          </w:p>
          <w:p w14:paraId="2EBEFB38">
            <w:pPr>
              <w:spacing w:line="360" w:lineRule="exact"/>
              <w:jc w:val="center"/>
              <w:rPr>
                <w:rFonts w:ascii="宋体" w:hAnsi="宋体"/>
              </w:rPr>
            </w:pPr>
          </w:p>
          <w:p w14:paraId="1FDDD983">
            <w:pPr>
              <w:spacing w:line="360" w:lineRule="exact"/>
              <w:jc w:val="center"/>
              <w:rPr>
                <w:rFonts w:ascii="宋体" w:hAnsi="宋体"/>
              </w:rPr>
            </w:pPr>
          </w:p>
        </w:tc>
        <w:tc>
          <w:tcPr>
            <w:tcW w:w="1275" w:type="dxa"/>
            <w:vAlign w:val="center"/>
          </w:tcPr>
          <w:p w14:paraId="4C981C38">
            <w:pPr>
              <w:spacing w:line="360" w:lineRule="exact"/>
              <w:jc w:val="center"/>
              <w:rPr>
                <w:rFonts w:ascii="宋体" w:hAnsi="宋体"/>
              </w:rPr>
            </w:pPr>
          </w:p>
        </w:tc>
        <w:tc>
          <w:tcPr>
            <w:tcW w:w="709" w:type="dxa"/>
            <w:vAlign w:val="center"/>
          </w:tcPr>
          <w:p w14:paraId="25D6E68F">
            <w:pPr>
              <w:spacing w:line="360" w:lineRule="exact"/>
              <w:jc w:val="center"/>
              <w:rPr>
                <w:rFonts w:ascii="宋体" w:hAnsi="宋体"/>
              </w:rPr>
            </w:pPr>
          </w:p>
        </w:tc>
        <w:tc>
          <w:tcPr>
            <w:tcW w:w="1843" w:type="dxa"/>
            <w:vAlign w:val="center"/>
          </w:tcPr>
          <w:p w14:paraId="1109D615">
            <w:pPr>
              <w:spacing w:line="360" w:lineRule="exact"/>
              <w:jc w:val="center"/>
              <w:rPr>
                <w:rFonts w:ascii="宋体" w:hAnsi="宋体"/>
              </w:rPr>
            </w:pPr>
          </w:p>
        </w:tc>
      </w:tr>
      <w:tr w14:paraId="400D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2CFF968D">
            <w:pPr>
              <w:spacing w:line="360" w:lineRule="exact"/>
              <w:jc w:val="center"/>
              <w:rPr>
                <w:rFonts w:ascii="宋体" w:hAnsi="宋体"/>
              </w:rPr>
            </w:pPr>
          </w:p>
          <w:p w14:paraId="5DBB1EBF">
            <w:pPr>
              <w:spacing w:line="360" w:lineRule="exact"/>
              <w:jc w:val="center"/>
              <w:rPr>
                <w:rFonts w:ascii="宋体" w:hAnsi="宋体"/>
              </w:rPr>
            </w:pPr>
          </w:p>
        </w:tc>
        <w:tc>
          <w:tcPr>
            <w:tcW w:w="4322" w:type="dxa"/>
            <w:vAlign w:val="center"/>
          </w:tcPr>
          <w:p w14:paraId="575FF388">
            <w:pPr>
              <w:spacing w:line="360" w:lineRule="exact"/>
              <w:jc w:val="center"/>
              <w:rPr>
                <w:rFonts w:ascii="宋体" w:hAnsi="宋体"/>
              </w:rPr>
            </w:pPr>
          </w:p>
        </w:tc>
        <w:tc>
          <w:tcPr>
            <w:tcW w:w="1275" w:type="dxa"/>
            <w:vAlign w:val="center"/>
          </w:tcPr>
          <w:p w14:paraId="7B1EF853">
            <w:pPr>
              <w:spacing w:line="360" w:lineRule="exact"/>
              <w:jc w:val="center"/>
              <w:rPr>
                <w:rFonts w:ascii="宋体" w:hAnsi="宋体"/>
              </w:rPr>
            </w:pPr>
          </w:p>
        </w:tc>
        <w:tc>
          <w:tcPr>
            <w:tcW w:w="709" w:type="dxa"/>
            <w:vAlign w:val="center"/>
          </w:tcPr>
          <w:p w14:paraId="5147F671">
            <w:pPr>
              <w:spacing w:line="360" w:lineRule="exact"/>
              <w:jc w:val="center"/>
              <w:rPr>
                <w:rFonts w:ascii="宋体" w:hAnsi="宋体"/>
              </w:rPr>
            </w:pPr>
          </w:p>
        </w:tc>
        <w:tc>
          <w:tcPr>
            <w:tcW w:w="1843" w:type="dxa"/>
            <w:vAlign w:val="center"/>
          </w:tcPr>
          <w:p w14:paraId="3514CF74">
            <w:pPr>
              <w:spacing w:line="360" w:lineRule="exact"/>
              <w:jc w:val="center"/>
              <w:rPr>
                <w:rFonts w:ascii="宋体" w:hAnsi="宋体"/>
              </w:rPr>
            </w:pPr>
          </w:p>
        </w:tc>
      </w:tr>
      <w:tr w14:paraId="436D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9B62B03">
            <w:pPr>
              <w:spacing w:line="360" w:lineRule="exact"/>
              <w:jc w:val="center"/>
              <w:rPr>
                <w:rFonts w:ascii="宋体" w:hAnsi="宋体"/>
              </w:rPr>
            </w:pPr>
          </w:p>
        </w:tc>
        <w:tc>
          <w:tcPr>
            <w:tcW w:w="4322" w:type="dxa"/>
            <w:vAlign w:val="center"/>
          </w:tcPr>
          <w:p w14:paraId="550AB651">
            <w:pPr>
              <w:spacing w:line="360" w:lineRule="exact"/>
              <w:jc w:val="center"/>
              <w:rPr>
                <w:rFonts w:ascii="宋体" w:hAnsi="宋体"/>
              </w:rPr>
            </w:pPr>
          </w:p>
        </w:tc>
        <w:tc>
          <w:tcPr>
            <w:tcW w:w="1275" w:type="dxa"/>
            <w:vAlign w:val="center"/>
          </w:tcPr>
          <w:p w14:paraId="32BA906D">
            <w:pPr>
              <w:spacing w:line="360" w:lineRule="exact"/>
              <w:jc w:val="center"/>
              <w:rPr>
                <w:rFonts w:ascii="宋体" w:hAnsi="宋体"/>
              </w:rPr>
            </w:pPr>
          </w:p>
        </w:tc>
        <w:tc>
          <w:tcPr>
            <w:tcW w:w="709" w:type="dxa"/>
            <w:vAlign w:val="center"/>
          </w:tcPr>
          <w:p w14:paraId="6C1E387B">
            <w:pPr>
              <w:spacing w:line="360" w:lineRule="exact"/>
              <w:jc w:val="center"/>
              <w:rPr>
                <w:rFonts w:ascii="宋体" w:hAnsi="宋体"/>
              </w:rPr>
            </w:pPr>
          </w:p>
        </w:tc>
        <w:tc>
          <w:tcPr>
            <w:tcW w:w="1843" w:type="dxa"/>
            <w:vAlign w:val="center"/>
          </w:tcPr>
          <w:p w14:paraId="048FCFAC">
            <w:pPr>
              <w:spacing w:line="360" w:lineRule="exact"/>
              <w:jc w:val="center"/>
              <w:rPr>
                <w:rFonts w:ascii="宋体" w:hAnsi="宋体"/>
              </w:rPr>
            </w:pPr>
          </w:p>
        </w:tc>
      </w:tr>
    </w:tbl>
    <w:p w14:paraId="0396B8BB">
      <w:pPr>
        <w:pStyle w:val="4"/>
        <w:spacing w:line="360" w:lineRule="exact"/>
        <w:rPr>
          <w:rFonts w:hAnsi="宋体"/>
        </w:rPr>
      </w:pPr>
    </w:p>
    <w:p w14:paraId="42AFC58D"/>
    <w:p w14:paraId="7D1E9B2E"/>
    <w:p w14:paraId="43E8CEA5">
      <w:pPr>
        <w:pStyle w:val="8"/>
        <w:spacing w:line="360" w:lineRule="auto"/>
        <w:jc w:val="center"/>
        <w:rPr>
          <w:rFonts w:hint="eastAsia"/>
          <w:b/>
          <w:sz w:val="44"/>
          <w:szCs w:val="44"/>
        </w:rPr>
        <w:sectPr>
          <w:footerReference r:id="rId3" w:type="default"/>
          <w:pgSz w:w="11906" w:h="16838"/>
          <w:pgMar w:top="1440" w:right="1406" w:bottom="1440" w:left="1406" w:header="851" w:footer="992" w:gutter="0"/>
          <w:pgNumType w:start="1"/>
          <w:cols w:space="425" w:num="1"/>
          <w:docGrid w:type="lines" w:linePitch="312" w:charSpace="0"/>
        </w:sectPr>
      </w:pPr>
    </w:p>
    <w:tbl>
      <w:tblPr>
        <w:tblStyle w:val="9"/>
        <w:tblW w:w="0" w:type="auto"/>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3"/>
      </w:tblGrid>
      <w:tr w14:paraId="32F0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blHeader/>
        </w:trPr>
        <w:tc>
          <w:tcPr>
            <w:tcW w:w="9543" w:type="dxa"/>
            <w:tcBorders>
              <w:top w:val="nil"/>
              <w:left w:val="nil"/>
              <w:bottom w:val="nil"/>
              <w:right w:val="nil"/>
            </w:tcBorders>
            <w:noWrap w:val="0"/>
            <w:vAlign w:val="top"/>
          </w:tcPr>
          <w:p w14:paraId="67A77CEC">
            <w:pPr>
              <w:pStyle w:val="8"/>
              <w:spacing w:line="360" w:lineRule="auto"/>
              <w:jc w:val="center"/>
              <w:rPr>
                <w:rFonts w:hint="eastAsia" w:ascii="ˎ̥" w:hAnsi="ˎ̥"/>
                <w:b/>
                <w:sz w:val="44"/>
                <w:szCs w:val="44"/>
              </w:rPr>
            </w:pPr>
            <w:r>
              <w:rPr>
                <w:rFonts w:hint="eastAsia"/>
                <w:b/>
                <w:sz w:val="44"/>
                <w:szCs w:val="44"/>
              </w:rPr>
              <w:t>工程量清单编制说明</w:t>
            </w:r>
          </w:p>
        </w:tc>
      </w:tr>
      <w:tr w14:paraId="6F03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blHeader/>
        </w:trPr>
        <w:tc>
          <w:tcPr>
            <w:tcW w:w="9543" w:type="dxa"/>
            <w:tcBorders>
              <w:top w:val="nil"/>
              <w:left w:val="nil"/>
              <w:bottom w:val="single" w:color="auto" w:sz="4" w:space="0"/>
              <w:right w:val="nil"/>
            </w:tcBorders>
            <w:noWrap w:val="0"/>
            <w:vAlign w:val="top"/>
          </w:tcPr>
          <w:p w14:paraId="0A3DD507">
            <w:pPr>
              <w:pStyle w:val="8"/>
              <w:spacing w:before="0" w:after="0"/>
              <w:rPr>
                <w:rFonts w:hint="eastAsia" w:hAnsi="宋体" w:cs="宋体"/>
              </w:rPr>
            </w:pPr>
            <w:r>
              <w:rPr>
                <w:rFonts w:hint="eastAsia" w:hAnsi="宋体" w:cs="宋体"/>
                <w:sz w:val="21"/>
                <w:szCs w:val="21"/>
              </w:rPr>
              <w:t>工程名称：</w:t>
            </w:r>
            <w:r>
              <w:rPr>
                <w:rFonts w:hint="eastAsia" w:hAnsi="宋体" w:cs="宋体"/>
                <w:sz w:val="21"/>
                <w:szCs w:val="21"/>
                <w:lang w:val="en-US" w:eastAsia="zh-CN"/>
              </w:rPr>
              <w:t>中国计量大学东校区行知楼修缮工程</w:t>
            </w:r>
          </w:p>
        </w:tc>
      </w:tr>
      <w:tr w14:paraId="5CC3D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8" w:hRule="atLeast"/>
        </w:trPr>
        <w:tc>
          <w:tcPr>
            <w:tcW w:w="9543" w:type="dxa"/>
            <w:tcBorders>
              <w:top w:val="single" w:color="auto" w:sz="4" w:space="0"/>
              <w:left w:val="single" w:color="auto" w:sz="4" w:space="0"/>
              <w:bottom w:val="single" w:color="auto" w:sz="4" w:space="0"/>
              <w:right w:val="single" w:color="auto" w:sz="4" w:space="0"/>
            </w:tcBorders>
            <w:noWrap w:val="0"/>
            <w:vAlign w:val="top"/>
          </w:tcPr>
          <w:p w14:paraId="6C2A472E">
            <w:pPr>
              <w:spacing w:line="360" w:lineRule="auto"/>
              <w:ind w:firstLine="420" w:firstLineChars="200"/>
              <w:rPr>
                <w:rFonts w:hint="eastAsia" w:ascii="宋体" w:hAnsi="宋体" w:cs="宋体"/>
                <w:szCs w:val="20"/>
                <w:highlight w:val="none"/>
              </w:rPr>
            </w:pPr>
          </w:p>
          <w:p w14:paraId="02E2B7D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工程概况</w:t>
            </w:r>
          </w:p>
          <w:p w14:paraId="482342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eastAsia="宋体" w:cs="宋体"/>
                <w:b w:val="0"/>
                <w:bCs/>
                <w:szCs w:val="20"/>
                <w:highlight w:val="none"/>
                <w:lang w:val="en-US" w:eastAsia="zh-CN"/>
              </w:rPr>
            </w:pPr>
            <w:r>
              <w:rPr>
                <w:rFonts w:hint="eastAsia" w:ascii="宋体" w:hAnsi="宋体" w:cs="宋体"/>
                <w:b w:val="0"/>
                <w:bCs/>
                <w:szCs w:val="20"/>
                <w:highlight w:val="none"/>
                <w:lang w:val="en-US" w:eastAsia="zh-CN"/>
              </w:rPr>
              <w:t>本项目为中国计量大学东校区行知楼修缮工程,工程地点位于杭州市原建筑结构为框架结构。</w:t>
            </w:r>
          </w:p>
          <w:p w14:paraId="6034EA7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工程量清单编制范围</w:t>
            </w:r>
          </w:p>
          <w:p w14:paraId="48DFAC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eastAsia="宋体" w:cs="宋体"/>
                <w:b w:val="0"/>
                <w:bCs/>
                <w:szCs w:val="20"/>
                <w:highlight w:val="none"/>
                <w:lang w:val="en-US" w:eastAsia="zh-CN"/>
              </w:rPr>
            </w:pPr>
            <w:r>
              <w:rPr>
                <w:rFonts w:hint="eastAsia" w:ascii="宋体" w:hAnsi="宋体" w:cs="宋体"/>
                <w:b w:val="0"/>
                <w:bCs/>
                <w:szCs w:val="20"/>
                <w:highlight w:val="none"/>
                <w:lang w:val="en-US" w:eastAsia="zh-CN"/>
              </w:rPr>
              <w:t>设计图（含设计单位对设计图疑问的回复）中明确的改造工程、装修工程、安装工程。</w:t>
            </w:r>
          </w:p>
          <w:p w14:paraId="354C118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工程量清单编制依据</w:t>
            </w:r>
          </w:p>
          <w:p w14:paraId="3C3AE707">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《建设工程工程量清单计价规范》（GB50500-2013）、《房屋建筑与装饰工程工程量计算规范》（GB50854－2013）、《通用安装工程工程量计算规范》（GB50856-2013）</w:t>
            </w:r>
            <w:r>
              <w:rPr>
                <w:rFonts w:hint="eastAsia" w:ascii="宋体" w:hAnsi="宋体" w:cs="宋体"/>
                <w:szCs w:val="20"/>
                <w:highlight w:val="none"/>
                <w:lang w:eastAsia="zh-CN"/>
              </w:rPr>
              <w:t>、《</w:t>
            </w:r>
            <w:r>
              <w:rPr>
                <w:rFonts w:hint="eastAsia" w:ascii="宋体" w:hAnsi="宋体" w:cs="宋体"/>
                <w:szCs w:val="20"/>
                <w:highlight w:val="none"/>
              </w:rPr>
              <w:t>关于印发建设工程工程量计算规范（2013）浙江省补充规定的通知</w:t>
            </w:r>
            <w:r>
              <w:rPr>
                <w:rFonts w:hint="eastAsia" w:ascii="宋体" w:hAnsi="宋体" w:cs="宋体"/>
                <w:szCs w:val="20"/>
                <w:highlight w:val="none"/>
                <w:lang w:eastAsia="zh-CN"/>
              </w:rPr>
              <w:t>》（浙建站计﹝2013﹞63号）、《</w:t>
            </w:r>
            <w:r>
              <w:rPr>
                <w:rFonts w:hint="eastAsia" w:ascii="宋体" w:hAnsi="宋体" w:cs="宋体"/>
                <w:szCs w:val="20"/>
                <w:highlight w:val="none"/>
              </w:rPr>
              <w:t>关于印发</w:t>
            </w:r>
            <w:r>
              <w:rPr>
                <w:rFonts w:hint="eastAsia" w:ascii="宋体" w:hAnsi="宋体" w:cs="宋体"/>
                <w:szCs w:val="20"/>
                <w:highlight w:val="none"/>
                <w:lang w:eastAsia="zh-CN"/>
              </w:rPr>
              <w:t>建设工程工程量清单计算规范（2013）浙江省补充规定（二）</w:t>
            </w:r>
            <w:r>
              <w:rPr>
                <w:rFonts w:hint="eastAsia" w:ascii="宋体" w:hAnsi="宋体" w:cs="宋体"/>
                <w:szCs w:val="20"/>
                <w:highlight w:val="none"/>
                <w:lang w:val="en-US" w:eastAsia="zh-CN"/>
              </w:rPr>
              <w:t>的通知</w:t>
            </w:r>
            <w:r>
              <w:rPr>
                <w:rFonts w:hint="eastAsia" w:ascii="宋体" w:hAnsi="宋体" w:cs="宋体"/>
                <w:szCs w:val="20"/>
                <w:highlight w:val="none"/>
                <w:lang w:eastAsia="zh-CN"/>
              </w:rPr>
              <w:t>》（浙建站计﹝2014﹞31号）</w:t>
            </w:r>
            <w:r>
              <w:rPr>
                <w:rFonts w:hint="eastAsia" w:ascii="宋体" w:hAnsi="宋体" w:cs="宋体"/>
                <w:szCs w:val="20"/>
                <w:highlight w:val="none"/>
              </w:rPr>
              <w:t>。</w:t>
            </w:r>
          </w:p>
          <w:p w14:paraId="079C0BCF">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《浙江省建设工程计价规则》（2018版）及相关文件。</w:t>
            </w:r>
          </w:p>
          <w:p w14:paraId="23EB991B">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lang w:val="en-US" w:eastAsia="zh-CN"/>
              </w:rPr>
              <w:t>省市</w:t>
            </w:r>
            <w:r>
              <w:rPr>
                <w:rFonts w:hint="eastAsia" w:ascii="宋体" w:hAnsi="宋体" w:cs="宋体"/>
                <w:szCs w:val="20"/>
                <w:highlight w:val="none"/>
              </w:rPr>
              <w:t>相关文件</w:t>
            </w:r>
          </w:p>
          <w:p w14:paraId="0CF09949">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《关于颁发浙江省建设工程计价依据（2018版）的通知》</w:t>
            </w:r>
            <w:r>
              <w:rPr>
                <w:rFonts w:hint="eastAsia" w:ascii="宋体" w:hAnsi="宋体" w:cs="宋体"/>
                <w:szCs w:val="20"/>
                <w:highlight w:val="none"/>
                <w:lang w:eastAsia="zh-CN"/>
              </w:rPr>
              <w:t>（</w:t>
            </w:r>
            <w:r>
              <w:rPr>
                <w:rFonts w:hint="eastAsia" w:ascii="宋体" w:hAnsi="宋体" w:cs="宋体"/>
                <w:szCs w:val="20"/>
                <w:highlight w:val="none"/>
              </w:rPr>
              <w:t>浙建建〔2018〕61号</w:t>
            </w:r>
            <w:r>
              <w:rPr>
                <w:rFonts w:hint="eastAsia" w:ascii="宋体" w:hAnsi="宋体" w:cs="宋体"/>
                <w:szCs w:val="20"/>
                <w:highlight w:val="none"/>
                <w:lang w:eastAsia="zh-CN"/>
              </w:rPr>
              <w:t>）</w:t>
            </w:r>
            <w:r>
              <w:rPr>
                <w:rFonts w:hint="eastAsia" w:ascii="宋体" w:hAnsi="宋体" w:cs="宋体"/>
                <w:szCs w:val="20"/>
                <w:highlight w:val="none"/>
              </w:rPr>
              <w:t>。</w:t>
            </w:r>
          </w:p>
          <w:p w14:paraId="5644E8EC">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《关于增值税调整后我省建设工程计价依据增值税税率及有关计价调整的通知》</w:t>
            </w:r>
            <w:r>
              <w:rPr>
                <w:rFonts w:hint="eastAsia" w:ascii="宋体" w:hAnsi="宋体" w:cs="宋体"/>
                <w:szCs w:val="20"/>
                <w:highlight w:val="none"/>
                <w:lang w:eastAsia="zh-CN"/>
              </w:rPr>
              <w:t>（浙建建发〔2019〕92号）</w:t>
            </w:r>
            <w:r>
              <w:rPr>
                <w:rFonts w:hint="eastAsia" w:ascii="宋体" w:hAnsi="宋体" w:cs="宋体"/>
                <w:szCs w:val="20"/>
                <w:highlight w:val="none"/>
              </w:rPr>
              <w:t>。</w:t>
            </w:r>
          </w:p>
          <w:p w14:paraId="246B6AA0">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lang w:eastAsia="zh-CN"/>
              </w:rPr>
              <w:t>《</w:t>
            </w:r>
            <w:r>
              <w:rPr>
                <w:rFonts w:hint="eastAsia" w:ascii="宋体" w:hAnsi="宋体" w:cs="宋体"/>
                <w:szCs w:val="20"/>
                <w:highlight w:val="none"/>
              </w:rPr>
              <w:t>关于明确杭州市建筑施工领域安全生产责任保险费用计取的通知</w:t>
            </w:r>
            <w:r>
              <w:rPr>
                <w:rFonts w:hint="eastAsia" w:ascii="宋体" w:hAnsi="宋体" w:cs="宋体"/>
                <w:szCs w:val="20"/>
                <w:highlight w:val="none"/>
                <w:lang w:eastAsia="zh-CN"/>
              </w:rPr>
              <w:t>》（杭建招标造价中心〔2021〕84号）</w:t>
            </w:r>
            <w:r>
              <w:rPr>
                <w:rFonts w:hint="eastAsia" w:ascii="宋体" w:hAnsi="宋体" w:cs="宋体"/>
                <w:szCs w:val="20"/>
                <w:highlight w:val="none"/>
              </w:rPr>
              <w:t>。</w:t>
            </w:r>
          </w:p>
          <w:p w14:paraId="0F5AC268">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lang w:eastAsia="zh-CN"/>
              </w:rPr>
              <w:t>《</w:t>
            </w:r>
            <w:r>
              <w:rPr>
                <w:rFonts w:hint="eastAsia" w:ascii="宋体" w:hAnsi="宋体" w:cs="宋体"/>
                <w:szCs w:val="20"/>
                <w:highlight w:val="none"/>
              </w:rPr>
              <w:t>省建设厅关于调整建筑工程安全文明施工费的通知</w:t>
            </w:r>
            <w:r>
              <w:rPr>
                <w:rFonts w:hint="eastAsia" w:ascii="宋体" w:hAnsi="宋体" w:cs="宋体"/>
                <w:szCs w:val="20"/>
                <w:highlight w:val="none"/>
                <w:lang w:eastAsia="zh-CN"/>
              </w:rPr>
              <w:t>》（浙建建发〔2022〕37号文）</w:t>
            </w:r>
            <w:r>
              <w:rPr>
                <w:rFonts w:hint="eastAsia" w:ascii="宋体" w:hAnsi="宋体" w:cs="宋体"/>
                <w:szCs w:val="20"/>
                <w:highlight w:val="none"/>
              </w:rPr>
              <w:t>。</w:t>
            </w:r>
          </w:p>
          <w:p w14:paraId="2E049795">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《关于进一步推进我省安全生产责任保险规范化工作的通知》（浙应急法规〔2020〕9号）。</w:t>
            </w:r>
          </w:p>
          <w:p w14:paraId="33ADF5A4">
            <w:pPr>
              <w:numPr>
                <w:ilvl w:val="0"/>
                <w:numId w:val="2"/>
              </w:numPr>
              <w:spacing w:beforeLines="0" w:afterLines="0" w:line="360" w:lineRule="auto"/>
              <w:ind w:firstLine="420" w:firstLineChars="200"/>
              <w:rPr>
                <w:rFonts w:hint="eastAsia" w:ascii="宋体" w:hAnsi="宋体" w:cs="宋体"/>
                <w:szCs w:val="20"/>
                <w:highlight w:val="none"/>
              </w:rPr>
            </w:pPr>
            <w:r>
              <w:rPr>
                <w:rFonts w:hint="eastAsia" w:ascii="宋体" w:hAnsi="宋体" w:eastAsia="宋体" w:cs="宋体"/>
                <w:sz w:val="21"/>
                <w:szCs w:val="24"/>
                <w:highlight w:val="none"/>
              </w:rPr>
              <w:t>招标人提供的本工程</w:t>
            </w:r>
            <w:r>
              <w:rPr>
                <w:rFonts w:hint="eastAsia" w:ascii="宋体" w:hAnsi="宋体" w:cs="宋体"/>
                <w:sz w:val="21"/>
                <w:szCs w:val="24"/>
                <w:highlight w:val="none"/>
                <w:lang w:val="en-US" w:eastAsia="zh-CN"/>
              </w:rPr>
              <w:t>设计</w:t>
            </w:r>
            <w:r>
              <w:rPr>
                <w:rFonts w:hint="eastAsia" w:ascii="宋体" w:hAnsi="宋体" w:eastAsia="宋体" w:cs="宋体"/>
                <w:sz w:val="21"/>
                <w:szCs w:val="24"/>
                <w:highlight w:val="none"/>
              </w:rPr>
              <w:t>图纸、设计单位对图纸疑问的回复意见及设计单位的相关修改意见、招标人对工程清单编制相关意见等。</w:t>
            </w:r>
          </w:p>
          <w:p w14:paraId="68FB0ED1">
            <w:pPr>
              <w:numPr>
                <w:ilvl w:val="0"/>
                <w:numId w:val="1"/>
              </w:numPr>
              <w:spacing w:beforeLines="0" w:afterLines="0" w:line="360" w:lineRule="auto"/>
              <w:ind w:firstLine="422" w:firstLineChars="200"/>
              <w:rPr>
                <w:rFonts w:hint="eastAsia" w:ascii="宋体" w:hAnsi="宋体" w:cs="宋体"/>
                <w:b/>
                <w:szCs w:val="20"/>
                <w:highlight w:val="none"/>
              </w:rPr>
            </w:pPr>
            <w:r>
              <w:rPr>
                <w:rFonts w:hint="eastAsia" w:ascii="宋体" w:hAnsi="宋体" w:cs="宋体"/>
                <w:b/>
                <w:szCs w:val="20"/>
                <w:highlight w:val="none"/>
              </w:rPr>
              <w:t>工程质量、工期、材料、施工等要求</w:t>
            </w:r>
          </w:p>
          <w:p w14:paraId="43F3E250">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 xml:space="preserve">工程质量：根据招标文件要求。  </w:t>
            </w:r>
          </w:p>
          <w:p w14:paraId="549E717A">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工期：根据招标文件要求。</w:t>
            </w:r>
          </w:p>
          <w:p w14:paraId="3A696620">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施工要求</w:t>
            </w:r>
            <w:r>
              <w:rPr>
                <w:rFonts w:hint="eastAsia" w:ascii="宋体" w:hAnsi="宋体" w:cs="宋体"/>
                <w:szCs w:val="20"/>
                <w:highlight w:val="none"/>
                <w:lang w:eastAsia="zh-CN"/>
              </w:rPr>
              <w:t>：</w:t>
            </w:r>
            <w:r>
              <w:rPr>
                <w:rFonts w:hint="eastAsia" w:ascii="宋体" w:hAnsi="宋体" w:cs="宋体"/>
                <w:szCs w:val="20"/>
                <w:highlight w:val="none"/>
              </w:rPr>
              <w:t>详见施工图及技术规范。</w:t>
            </w:r>
          </w:p>
          <w:p w14:paraId="4B525E6E">
            <w:pPr>
              <w:numPr>
                <w:ilvl w:val="0"/>
                <w:numId w:val="1"/>
              </w:numPr>
              <w:spacing w:beforeLines="0" w:afterLines="0" w:line="360" w:lineRule="auto"/>
              <w:ind w:firstLine="422" w:firstLineChars="200"/>
              <w:rPr>
                <w:rFonts w:hint="eastAsia" w:ascii="宋体" w:hAnsi="宋体" w:cs="宋体"/>
                <w:szCs w:val="20"/>
                <w:highlight w:val="none"/>
              </w:rPr>
            </w:pPr>
            <w:r>
              <w:rPr>
                <w:rFonts w:hint="eastAsia" w:ascii="宋体" w:hAnsi="宋体" w:cs="宋体"/>
                <w:b/>
                <w:bCs w:val="0"/>
                <w:szCs w:val="20"/>
                <w:highlight w:val="none"/>
              </w:rPr>
              <w:t>安全文明施工措施、标化工地、规费、税金、企业管理费、暂列金额等要求</w:t>
            </w:r>
          </w:p>
          <w:p w14:paraId="720C63D2">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安全文明施工基本费</w:t>
            </w:r>
            <w:r>
              <w:rPr>
                <w:rFonts w:hint="eastAsia" w:ascii="宋体" w:hAnsi="宋体" w:cs="宋体"/>
                <w:szCs w:val="20"/>
                <w:highlight w:val="none"/>
                <w:lang w:val="en-US" w:eastAsia="zh-CN"/>
              </w:rPr>
              <w:t xml:space="preserve"> </w:t>
            </w:r>
          </w:p>
          <w:p w14:paraId="03C3432D">
            <w:pPr>
              <w:numPr>
                <w:ilvl w:val="0"/>
                <w:numId w:val="0"/>
              </w:numPr>
              <w:spacing w:line="360" w:lineRule="auto"/>
              <w:ind w:leftChars="0" w:firstLine="420" w:firstLineChars="200"/>
              <w:rPr>
                <w:rFonts w:hint="eastAsia" w:ascii="宋体" w:hAnsi="宋体" w:cs="宋体"/>
                <w:szCs w:val="20"/>
                <w:highlight w:val="none"/>
              </w:rPr>
            </w:pPr>
            <w:r>
              <w:rPr>
                <w:rFonts w:hint="eastAsia" w:ascii="宋体" w:hAnsi="宋体" w:cs="宋体"/>
                <w:szCs w:val="20"/>
                <w:highlight w:val="none"/>
              </w:rPr>
              <w:t>安全文明施工费由文明施工费、环境保护费、临时设施费、安全施工费组成。根据“《浙江省建设工程计价规则（2018版）》”及“《省建设厅关于调整建筑工程安全文明施工费的通知》（浙建建发〔2022〕37号）”的相关规定，须以“分部分项工程量清单和技术措施项目清单”计价中的定额人工费+定额机械费之和为计算基础，装修工程费率不低于5.91%，通用安装工程费率不低于7.35%。安全文明施工费中已包括施工现场消防要求及扬尘处理等发生的费用。</w:t>
            </w:r>
          </w:p>
          <w:p w14:paraId="6FC832AC">
            <w:pPr>
              <w:numPr>
                <w:ilvl w:val="0"/>
                <w:numId w:val="0"/>
              </w:numPr>
              <w:spacing w:line="360" w:lineRule="auto"/>
              <w:ind w:leftChars="0" w:firstLine="420" w:firstLineChars="200"/>
              <w:rPr>
                <w:rFonts w:hint="eastAsia" w:ascii="宋体" w:hAnsi="宋体" w:cs="宋体"/>
                <w:szCs w:val="20"/>
                <w:highlight w:val="none"/>
              </w:rPr>
            </w:pPr>
            <w:r>
              <w:rPr>
                <w:rFonts w:hint="eastAsia" w:ascii="宋体" w:hAnsi="宋体" w:cs="宋体"/>
                <w:szCs w:val="20"/>
                <w:highlight w:val="none"/>
              </w:rPr>
              <w:t>2022年4月1日起，根据《省建设厅关于调整建筑工程安全文明施工费的通知》（浙建建发〔2022〕37号）的要求，安全文明施工费中增加智慧工地和疫情常态化防控费，投标人报价时应根据相关文件的要求进行报价，结算时不另行调整。</w:t>
            </w:r>
          </w:p>
          <w:p w14:paraId="550F2B07">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标化工地增加费：无</w:t>
            </w:r>
          </w:p>
          <w:p w14:paraId="7E013A86">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规费</w:t>
            </w:r>
          </w:p>
          <w:p w14:paraId="3E37038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lang w:val="en-US" w:eastAsia="zh-CN"/>
              </w:rPr>
              <w:t>规费包含</w:t>
            </w:r>
            <w:r>
              <w:rPr>
                <w:rFonts w:hint="eastAsia" w:ascii="宋体" w:hAnsi="宋体" w:cs="宋体"/>
                <w:szCs w:val="20"/>
                <w:highlight w:val="none"/>
              </w:rPr>
              <w:t>养老保险费、失业保险费、医疗保险费、生育保险费、工伤保险费）</w:t>
            </w:r>
            <w:r>
              <w:rPr>
                <w:rFonts w:hint="eastAsia" w:ascii="宋体" w:hAnsi="宋体" w:cs="宋体"/>
                <w:szCs w:val="20"/>
                <w:highlight w:val="none"/>
                <w:lang w:eastAsia="zh-CN"/>
              </w:rPr>
              <w:t>、</w:t>
            </w:r>
            <w:r>
              <w:rPr>
                <w:rFonts w:hint="eastAsia" w:ascii="宋体" w:hAnsi="宋体" w:cs="宋体"/>
                <w:szCs w:val="20"/>
                <w:highlight w:val="none"/>
              </w:rPr>
              <w:t>住房公积金。根据《浙江省建设工程计价规则》（2018版）规定，规费以分部分项工程费和技术措施项目费计价中的</w:t>
            </w:r>
            <w:r>
              <w:rPr>
                <w:rFonts w:hint="eastAsia" w:ascii="宋体" w:hAnsi="宋体" w:cs="宋体"/>
                <w:szCs w:val="20"/>
                <w:highlight w:val="none"/>
                <w:lang w:eastAsia="zh-CN"/>
              </w:rPr>
              <w:t>“</w:t>
            </w:r>
            <w:r>
              <w:rPr>
                <w:rFonts w:hint="eastAsia" w:ascii="宋体" w:hAnsi="宋体" w:cs="宋体"/>
                <w:szCs w:val="20"/>
                <w:highlight w:val="none"/>
              </w:rPr>
              <w:t>人工费+机械费</w:t>
            </w:r>
            <w:r>
              <w:rPr>
                <w:rFonts w:hint="eastAsia" w:ascii="宋体" w:hAnsi="宋体" w:cs="宋体"/>
                <w:szCs w:val="20"/>
                <w:highlight w:val="none"/>
                <w:lang w:eastAsia="zh-CN"/>
              </w:rPr>
              <w:t>”</w:t>
            </w:r>
            <w:r>
              <w:rPr>
                <w:rFonts w:hint="eastAsia" w:ascii="宋体" w:hAnsi="宋体" w:cs="宋体"/>
                <w:szCs w:val="20"/>
                <w:highlight w:val="none"/>
              </w:rPr>
              <w:t>为计算基数，根据《关于颁发浙江省建设工程计价依据（2018版）的通知》</w:t>
            </w:r>
            <w:r>
              <w:rPr>
                <w:rFonts w:hint="eastAsia" w:ascii="宋体" w:hAnsi="宋体" w:cs="宋体"/>
                <w:szCs w:val="20"/>
                <w:highlight w:val="none"/>
                <w:lang w:eastAsia="zh-CN"/>
              </w:rPr>
              <w:t>（浙建建〔2018〕61号）</w:t>
            </w:r>
            <w:r>
              <w:rPr>
                <w:rFonts w:hint="eastAsia" w:ascii="宋体" w:hAnsi="宋体" w:cs="宋体"/>
                <w:szCs w:val="20"/>
                <w:highlight w:val="none"/>
              </w:rPr>
              <w:t>，在规费政策平稳过渡期内不得低于标准费率的3</w:t>
            </w:r>
            <w:r>
              <w:rPr>
                <w:rFonts w:ascii="宋体" w:hAnsi="宋体" w:cs="宋体"/>
                <w:szCs w:val="20"/>
                <w:highlight w:val="none"/>
              </w:rPr>
              <w:t>0</w:t>
            </w:r>
            <w:r>
              <w:rPr>
                <w:rFonts w:hint="eastAsia" w:ascii="宋体" w:hAnsi="宋体" w:cs="宋体"/>
                <w:szCs w:val="20"/>
                <w:highlight w:val="none"/>
              </w:rPr>
              <w:t>%，</w:t>
            </w:r>
            <w:r>
              <w:rPr>
                <w:rFonts w:ascii="宋体" w:hAnsi="宋体" w:cs="宋体"/>
                <w:szCs w:val="20"/>
                <w:highlight w:val="none"/>
              </w:rPr>
              <w:t>即</w:t>
            </w:r>
            <w:r>
              <w:rPr>
                <w:rFonts w:hint="eastAsia" w:ascii="宋体" w:hAnsi="宋体" w:cs="宋体"/>
                <w:szCs w:val="20"/>
                <w:highlight w:val="none"/>
              </w:rPr>
              <w:t>：装修工程不得低于8.376</w:t>
            </w:r>
            <w:r>
              <w:rPr>
                <w:rFonts w:ascii="宋体" w:hAnsi="宋体" w:cs="宋体"/>
                <w:szCs w:val="20"/>
                <w:highlight w:val="none"/>
              </w:rPr>
              <w:t>%</w:t>
            </w:r>
            <w:r>
              <w:rPr>
                <w:rFonts w:hint="eastAsia" w:ascii="宋体" w:hAnsi="宋体" w:cs="宋体"/>
                <w:szCs w:val="20"/>
                <w:highlight w:val="none"/>
              </w:rPr>
              <w:t>，通用安装工程不得低于9.189</w:t>
            </w:r>
            <w:r>
              <w:rPr>
                <w:rFonts w:ascii="宋体" w:hAnsi="宋体" w:cs="宋体"/>
                <w:szCs w:val="20"/>
                <w:highlight w:val="none"/>
              </w:rPr>
              <w:t>%</w:t>
            </w:r>
            <w:r>
              <w:rPr>
                <w:rFonts w:hint="eastAsia" w:ascii="宋体" w:hAnsi="宋体" w:cs="宋体"/>
                <w:szCs w:val="20"/>
                <w:highlight w:val="none"/>
              </w:rPr>
              <w:t>。</w:t>
            </w:r>
          </w:p>
          <w:p w14:paraId="017375EA">
            <w:pPr>
              <w:numPr>
                <w:ilvl w:val="0"/>
                <w:numId w:val="5"/>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税金</w:t>
            </w:r>
          </w:p>
          <w:p w14:paraId="61A63FFD">
            <w:pPr>
              <w:numPr>
                <w:ilvl w:val="0"/>
                <w:numId w:val="0"/>
              </w:numPr>
              <w:spacing w:line="360" w:lineRule="auto"/>
              <w:ind w:leftChars="0" w:firstLine="420" w:firstLineChars="200"/>
              <w:rPr>
                <w:rFonts w:hint="eastAsia" w:ascii="宋体" w:hAnsi="宋体" w:eastAsia="宋体" w:cs="宋体"/>
                <w:sz w:val="21"/>
                <w:szCs w:val="24"/>
                <w:highlight w:val="none"/>
              </w:rPr>
            </w:pPr>
            <w:r>
              <w:rPr>
                <w:rFonts w:hint="eastAsia" w:ascii="宋体" w:hAnsi="宋体" w:cs="宋体"/>
                <w:szCs w:val="20"/>
                <w:highlight w:val="none"/>
              </w:rPr>
              <w:t>根据《关于增值税调整后我省建设工程计价依据增值税税率及有关计价调整的通知》</w:t>
            </w:r>
            <w:r>
              <w:rPr>
                <w:rFonts w:hint="eastAsia" w:ascii="宋体" w:hAnsi="宋体" w:cs="宋体"/>
                <w:szCs w:val="20"/>
                <w:highlight w:val="none"/>
                <w:lang w:eastAsia="zh-CN"/>
              </w:rPr>
              <w:t>（</w:t>
            </w:r>
            <w:r>
              <w:rPr>
                <w:rFonts w:hint="eastAsia" w:ascii="宋体" w:hAnsi="宋体" w:cs="宋体"/>
                <w:szCs w:val="20"/>
                <w:highlight w:val="none"/>
              </w:rPr>
              <w:t>浙建建发〔2019〕92号</w:t>
            </w:r>
            <w:r>
              <w:rPr>
                <w:rFonts w:hint="eastAsia" w:ascii="宋体" w:hAnsi="宋体" w:cs="宋体"/>
                <w:szCs w:val="20"/>
                <w:highlight w:val="none"/>
                <w:lang w:eastAsia="zh-CN"/>
              </w:rPr>
              <w:t>）</w:t>
            </w:r>
            <w:r>
              <w:rPr>
                <w:rFonts w:hint="eastAsia" w:ascii="宋体" w:hAnsi="宋体" w:cs="宋体"/>
                <w:szCs w:val="20"/>
                <w:highlight w:val="none"/>
              </w:rPr>
              <w:t>规定，税金以税前“分部分项工程费+措施项目费+其他项目费+规费”为计算基数，</w:t>
            </w:r>
            <w:r>
              <w:rPr>
                <w:rFonts w:hint="eastAsia" w:ascii="宋体" w:hAnsi="宋体" w:cs="宋体"/>
                <w:szCs w:val="20"/>
                <w:highlight w:val="none"/>
                <w:lang w:val="en-US" w:eastAsia="zh-CN"/>
              </w:rPr>
              <w:t>请投标人</w:t>
            </w:r>
            <w:r>
              <w:rPr>
                <w:rFonts w:hint="eastAsia" w:ascii="宋体" w:hAnsi="宋体" w:cs="宋体"/>
                <w:szCs w:val="20"/>
                <w:highlight w:val="none"/>
              </w:rPr>
              <w:t>按9%</w:t>
            </w:r>
            <w:r>
              <w:rPr>
                <w:rFonts w:hint="eastAsia" w:ascii="宋体" w:hAnsi="宋体" w:cs="宋体"/>
                <w:szCs w:val="20"/>
                <w:highlight w:val="none"/>
                <w:lang w:val="en-US" w:eastAsia="zh-CN"/>
              </w:rPr>
              <w:t>税</w:t>
            </w:r>
            <w:r>
              <w:rPr>
                <w:rFonts w:hint="eastAsia" w:ascii="宋体" w:hAnsi="宋体" w:cs="宋体"/>
                <w:szCs w:val="20"/>
                <w:highlight w:val="none"/>
              </w:rPr>
              <w:t xml:space="preserve">率报价。    </w:t>
            </w:r>
          </w:p>
          <w:p w14:paraId="438A3630">
            <w:pPr>
              <w:numPr>
                <w:ilvl w:val="0"/>
                <w:numId w:val="5"/>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企业管理费</w:t>
            </w:r>
          </w:p>
          <w:p w14:paraId="727284BA">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按照《浙江省建设工程计价规则》（2018版），企业管理费包含管理人员工资、办公费、差旅交通费、固定资产使用费、工具用具使用费、劳动保险费、检验试验费、夜间施工增加费、已完工程及设备保护费、工程定位复测费、工会经费、职工教育经费、财产保险费、财务费、税费及其他。</w:t>
            </w:r>
          </w:p>
          <w:p w14:paraId="07D48EC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印发&lt;杭州市建设工程工程量清单计价实施细则&gt;（2018年修订）的通知》（杭建市发〔2018〕578号）文件的要求，企业管理费中还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否则其费用视为包含在相关项目综合单价中。</w:t>
            </w:r>
          </w:p>
          <w:p w14:paraId="392BF89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开展建筑工程扬尘在线监测设施安装工作的通知》（杭建工[2019]103号）文的要求及《关于明确杭州市建筑工程扬尘在线监测设施补贴标准的通知》（杭建工[2020]45号）文的规定，投标人投标报价时应综合考虑扬尘在线监测设施安装及运维所产生的相关费用，结算时不再另行计算。</w:t>
            </w:r>
          </w:p>
          <w:p w14:paraId="025331B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明确杭州市建筑施工领域安全生产责任保险费用计取的通知》（杭建招标造价中心〔2021〕84号）文的要求，投标人投标报价时，应结合工程实际和企业信用状况将安责险列入企业管理费中进行自主报价，结算时不再另行计算。</w:t>
            </w:r>
          </w:p>
          <w:p w14:paraId="39105EAE">
            <w:pPr>
              <w:numPr>
                <w:ilvl w:val="0"/>
                <w:numId w:val="5"/>
              </w:numPr>
              <w:spacing w:beforeLines="0" w:afterLines="0" w:line="360" w:lineRule="auto"/>
              <w:ind w:firstLine="422" w:firstLineChars="200"/>
              <w:rPr>
                <w:rFonts w:hint="eastAsia" w:ascii="宋体" w:hAnsi="宋体" w:eastAsia="宋体" w:cs="宋体"/>
                <w:b/>
                <w:bCs/>
                <w:kern w:val="2"/>
                <w:sz w:val="21"/>
                <w:szCs w:val="21"/>
                <w:highlight w:val="none"/>
              </w:rPr>
            </w:pPr>
            <w:r>
              <w:rPr>
                <w:rFonts w:hint="eastAsia" w:ascii="宋体" w:hAnsi="宋体" w:cs="宋体"/>
                <w:b/>
                <w:bCs/>
                <w:szCs w:val="20"/>
                <w:highlight w:val="none"/>
              </w:rPr>
              <w:t>暂列金额：</w:t>
            </w:r>
            <w:r>
              <w:rPr>
                <w:rFonts w:hint="eastAsia" w:ascii="宋体" w:hAnsi="宋体" w:cs="宋体"/>
                <w:b/>
                <w:bCs/>
                <w:szCs w:val="20"/>
                <w:highlight w:val="none"/>
                <w:lang w:val="en-US" w:eastAsia="zh-CN"/>
              </w:rPr>
              <w:t>无</w:t>
            </w:r>
            <w:r>
              <w:rPr>
                <w:rFonts w:hint="eastAsia" w:ascii="宋体" w:hAnsi="宋体" w:cs="宋体"/>
                <w:b/>
                <w:bCs/>
                <w:szCs w:val="20"/>
                <w:highlight w:val="none"/>
              </w:rPr>
              <w:t>。</w:t>
            </w:r>
          </w:p>
          <w:p w14:paraId="79FA8591">
            <w:pPr>
              <w:numPr>
                <w:ilvl w:val="0"/>
                <w:numId w:val="1"/>
              </w:numPr>
              <w:spacing w:beforeLines="0" w:afterLines="0" w:line="360" w:lineRule="auto"/>
              <w:ind w:firstLine="422" w:firstLineChars="200"/>
              <w:rPr>
                <w:rFonts w:hint="eastAsia" w:ascii="宋体" w:hAnsi="宋体" w:cs="宋体"/>
                <w:szCs w:val="20"/>
                <w:highlight w:val="none"/>
              </w:rPr>
            </w:pPr>
            <w:r>
              <w:rPr>
                <w:rFonts w:hint="eastAsia" w:ascii="宋体" w:hAnsi="宋体" w:cs="宋体"/>
                <w:b/>
                <w:szCs w:val="20"/>
                <w:highlight w:val="none"/>
              </w:rPr>
              <w:t>工程量清单编制说明及其他需要说明的问题</w:t>
            </w:r>
            <w:r>
              <w:rPr>
                <w:rFonts w:hint="eastAsia" w:ascii="宋体" w:hAnsi="宋体" w:cs="宋体"/>
                <w:szCs w:val="20"/>
                <w:highlight w:val="none"/>
              </w:rPr>
              <w:t xml:space="preserve">    </w:t>
            </w:r>
          </w:p>
          <w:p w14:paraId="0F235637">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本工程量清单，其项目特征仅是对清单相应工作的概要描述，应与招标文件中的投标人须知、通用合同条款、专用合同条款、技术标准和要求及图纸等一起阅读和理解</w:t>
            </w:r>
            <w:r>
              <w:rPr>
                <w:rFonts w:hint="eastAsia" w:ascii="宋体" w:hAnsi="宋体" w:cs="宋体"/>
                <w:szCs w:val="20"/>
                <w:highlight w:val="none"/>
                <w:lang w:eastAsia="zh-CN"/>
              </w:rPr>
              <w:t>。</w:t>
            </w:r>
          </w:p>
          <w:p w14:paraId="01F93780">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lang w:val="en-US" w:eastAsia="zh-CN"/>
              </w:rPr>
              <w:t>本</w:t>
            </w:r>
            <w:r>
              <w:rPr>
                <w:rFonts w:hint="eastAsia" w:ascii="宋体" w:hAnsi="宋体" w:cs="宋体"/>
                <w:szCs w:val="20"/>
                <w:highlight w:val="none"/>
              </w:rPr>
              <w:t>工程量清单是根据招标文件中包括的、有合同约束力的图纸以及有关工程量清单的国家标准、行业标准、合同条款中约定的工程量计算规则编制。</w:t>
            </w:r>
          </w:p>
          <w:p w14:paraId="13F5601E">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约定计量规则中没有的子目，其工程量按照有合同约束力的图纸所标示尺寸的理论净量计算，计量采用中华人民共和国法定计量单位。</w:t>
            </w:r>
          </w:p>
          <w:p w14:paraId="569C6575">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本条与上述第1条和第2条的说明内容是构成合同文件的已标价工程量清单的组成部分。</w:t>
            </w:r>
          </w:p>
          <w:p w14:paraId="766A52EE">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投标报价应是完成招标范围及工期的全部。工程量清单中的每个子目须填入单价或合价，每一项目应当有且仅有唯一报价，任何有选择的报价将不予接受。投标人对列有数量的项目，如未填报单价或者合价，则其费用视为已经含在其他列有单价或合价的项目之中，在工程实施期间不再另行支付。工程实施过程，综合单价不因施工方案变动而调整。</w:t>
            </w:r>
          </w:p>
          <w:p w14:paraId="4B3EF321">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工程量清单中标价的单价或金额，均应包括为实施和完成合同工程所需的人工费、施工机械使用费、材料费、检测、质检、缺陷修复、保险、其他（运杂费、安装费、采保费，以及合同明示或暗示的风险、责任和义务等）、管理费、利润等，并考虑风险因素。投标人用于本合同工程的各类装备的提供、运输、拆卸、拼装等支付的费用，已包括在工程量清单的单价与合价之中。</w:t>
            </w:r>
          </w:p>
          <w:p w14:paraId="16B0BE0F">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投标人的投标报价，应是完成招标范围及工期的全部，不得以任何理由予以重复。</w:t>
            </w:r>
          </w:p>
          <w:p w14:paraId="1F98F442">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投标人在编制报价前，综合考虑图纸及技术规范中所涉及的材料规格、质量以及施工工序等方面的所有要求和标准，并将所有的费用包括在有关的项目中。</w:t>
            </w:r>
          </w:p>
          <w:p w14:paraId="3F6D5334">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除另有说明外，工程量不包括任何重叠量。任何须有不同程度重叠搭接要求的材料，报价中须包含此等重叠、搭接的费用。</w:t>
            </w:r>
          </w:p>
          <w:p w14:paraId="5E28BB21">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 xml:space="preserve"> 投标报价中包含本工程前期工程中的协调管理及配合等相关工作内容所发生的费用。</w:t>
            </w:r>
          </w:p>
          <w:p w14:paraId="42F0460D">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投标人应充分考虑招标人因管线搬迁、接电等工作未能及时完成而造成工程现场使用延时，投标人应积极配合解决工程实施的矛盾，对工程进度及时进行合理调整，由此产生的费用在本工程投标报价中综合考虑。</w:t>
            </w:r>
          </w:p>
          <w:p w14:paraId="119ABC30">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投标人应先到工地踏勘以充分了解工地位置、情况、道路、储存空间、装卸限制及任何其它足以影响报价的情况，任何因忽视或误解工地情况而导致的索赔或工期延长申请将不获批准。</w:t>
            </w:r>
          </w:p>
          <w:p w14:paraId="2C670B1A">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对于本工程的所有节点做法，本清单只描述了主要要素，投标单位需根据设计图纸、施工规范及施工现场需要自行深化，该部分费用包含在投标报价中。</w:t>
            </w:r>
          </w:p>
          <w:p w14:paraId="636169C3">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工程量清单报价应根据招标人编制的工程量清单的项目特征进行报价，投标人的工程量清单报价内容包括但不限于《建设工程工程量清单计价规范》(GB50500 -2013)、《房屋建筑与装饰工程工程量计算规范》(GB50854-2013)、《通用安装工程工程量计算规范》(GB50856-2013)、《市政工程工程量计算规范》(GB50857-2013)等计价规范所描述的工作内容。</w:t>
            </w:r>
          </w:p>
          <w:p w14:paraId="2D385B6C">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因施工机械进场施工而进行的必要的场地处理费用投标</w:t>
            </w:r>
            <w:r>
              <w:rPr>
                <w:rFonts w:hint="eastAsia" w:ascii="宋体" w:hAnsi="宋体" w:cs="宋体"/>
                <w:szCs w:val="20"/>
                <w:highlight w:val="none"/>
                <w:lang w:val="en-US" w:eastAsia="zh-CN"/>
              </w:rPr>
              <w:t>人</w:t>
            </w:r>
            <w:r>
              <w:rPr>
                <w:rFonts w:hint="eastAsia" w:ascii="宋体" w:hAnsi="宋体" w:cs="宋体"/>
                <w:szCs w:val="20"/>
                <w:highlight w:val="none"/>
              </w:rPr>
              <w:t>自行考虑并包含在投标报价中。</w:t>
            </w:r>
          </w:p>
          <w:p w14:paraId="0200174C">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 xml:space="preserve">除非项目计价条款特别规定，工程实体项目计量规则的“尺寸”均指构成永久结构工程以净尺寸为准。 </w:t>
            </w:r>
          </w:p>
          <w:p w14:paraId="26F1C5B1">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综合单价应包含施工过程的自检、互检、交接检，以及请建设工程有关部门莅临指导的各项费用。</w:t>
            </w:r>
          </w:p>
          <w:p w14:paraId="2FAE3266">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当工程量清单与工程量计算规则相冲突时，以工程量清单为准。</w:t>
            </w:r>
          </w:p>
          <w:p w14:paraId="60DD604F">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本工程量清单措施项目是按通常项目列出，投标人根据招标文件、工程量清单、施工图纸、现场情况及自行编制的施工方案或施工组织设计，如需要其他措施费用的请在投标报价中考虑，结算不再增加其他措施费用。</w:t>
            </w:r>
          </w:p>
          <w:p w14:paraId="0E67F063">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22" w:firstLineChars="200"/>
              <w:textAlignment w:val="auto"/>
              <w:rPr>
                <w:rFonts w:hint="eastAsia" w:ascii="宋体" w:hAnsi="宋体" w:cs="宋体"/>
                <w:szCs w:val="20"/>
                <w:highlight w:val="none"/>
              </w:rPr>
            </w:pPr>
            <w:r>
              <w:rPr>
                <w:rFonts w:hint="eastAsia"/>
                <w:b/>
                <w:bCs/>
                <w:szCs w:val="20"/>
                <w:lang w:val="en-US" w:eastAsia="zh-CN"/>
              </w:rPr>
              <w:t>需要特殊说明的其他问题</w:t>
            </w:r>
          </w:p>
          <w:p w14:paraId="76897610">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Cs w:val="20"/>
                <w:highlight w:val="none"/>
                <w:lang w:val="en-US" w:eastAsia="zh-CN"/>
              </w:rPr>
            </w:pPr>
            <w:r>
              <w:rPr>
                <w:rFonts w:hint="eastAsia"/>
                <w:b/>
                <w:bCs/>
                <w:szCs w:val="20"/>
                <w:lang w:val="en-US" w:eastAsia="zh-CN"/>
              </w:rPr>
              <w:t>装修工程</w:t>
            </w:r>
          </w:p>
          <w:p w14:paraId="37CCDB28">
            <w:pPr>
              <w:numPr>
                <w:ilvl w:val="0"/>
                <w:numId w:val="8"/>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lang w:val="en-US" w:eastAsia="zh-CN"/>
              </w:rPr>
              <w:t>垂直运输为材料需要考虑到的运输费用，具体的运输方式请投标单位自行考虑报价，按项包干。</w:t>
            </w:r>
          </w:p>
          <w:p w14:paraId="5BE879D1">
            <w:pPr>
              <w:numPr>
                <w:ilvl w:val="0"/>
                <w:numId w:val="8"/>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lang w:val="en-US" w:eastAsia="zh-CN"/>
              </w:rPr>
              <w:t>已完工程保护措施需投标单位自行考虑报价，如有损坏原有设施照价赔偿，此项费用按项包干结算时不作调整。</w:t>
            </w:r>
          </w:p>
          <w:p w14:paraId="66C4617C">
            <w:pPr>
              <w:numPr>
                <w:ilvl w:val="0"/>
                <w:numId w:val="8"/>
              </w:numPr>
              <w:spacing w:line="360" w:lineRule="auto"/>
              <w:ind w:left="0" w:leftChars="0" w:firstLine="420" w:firstLineChars="200"/>
              <w:rPr>
                <w:rFonts w:hint="eastAsia" w:ascii="宋体" w:hAnsi="宋体" w:cs="宋体"/>
                <w:szCs w:val="20"/>
                <w:highlight w:val="none"/>
              </w:rPr>
            </w:pPr>
            <w:r>
              <w:rPr>
                <w:rFonts w:hint="eastAsia"/>
              </w:rPr>
              <w:t>建筑垃圾外运及消纳处置费用</w:t>
            </w:r>
            <w:r>
              <w:rPr>
                <w:rFonts w:hint="eastAsia"/>
                <w:lang w:eastAsia="zh-CN"/>
              </w:rPr>
              <w:t>，</w:t>
            </w:r>
            <w:r>
              <w:rPr>
                <w:rFonts w:hint="eastAsia"/>
                <w:lang w:val="en-US" w:eastAsia="zh-CN"/>
              </w:rPr>
              <w:t>由施工单位自行综合报价，</w:t>
            </w:r>
            <w:r>
              <w:rPr>
                <w:rFonts w:hint="eastAsia" w:ascii="宋体" w:hAnsi="宋体" w:cs="宋体"/>
                <w:szCs w:val="20"/>
                <w:highlight w:val="none"/>
                <w:lang w:val="en-US" w:eastAsia="zh-CN"/>
              </w:rPr>
              <w:t>此项费用按项包干结算时不作调整。</w:t>
            </w:r>
          </w:p>
          <w:p w14:paraId="0B165DA8">
            <w:pPr>
              <w:pStyle w:val="2"/>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420" w:firstLineChars="200"/>
              <w:textAlignment w:val="auto"/>
              <w:rPr>
                <w:rFonts w:hint="eastAsia"/>
              </w:rPr>
            </w:pPr>
            <w:r>
              <w:rPr>
                <w:rFonts w:hint="eastAsia" w:ascii="Times New Roman" w:hAnsi="Times New Roman" w:eastAsia="宋体" w:cs="Times New Roman"/>
                <w:kern w:val="2"/>
                <w:sz w:val="21"/>
                <w:szCs w:val="24"/>
                <w:lang w:val="en-US" w:eastAsia="zh-CN" w:bidi="ar-SA"/>
              </w:rPr>
              <w:t>列出的措施“垂直运输”“已完工程保护措施”为整个项目的费用。</w:t>
            </w:r>
          </w:p>
          <w:p w14:paraId="5576A340">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2" w:firstLineChars="200"/>
              <w:textAlignment w:val="auto"/>
              <w:rPr>
                <w:rFonts w:hint="eastAsia"/>
                <w:b/>
                <w:bCs/>
                <w:szCs w:val="20"/>
                <w:lang w:val="en-US" w:eastAsia="zh-CN"/>
              </w:rPr>
            </w:pPr>
            <w:r>
              <w:rPr>
                <w:rFonts w:hint="eastAsia"/>
                <w:b/>
                <w:bCs/>
                <w:szCs w:val="20"/>
                <w:lang w:val="en-US" w:eastAsia="zh-CN"/>
              </w:rPr>
              <w:t>安装工程</w:t>
            </w:r>
          </w:p>
          <w:p w14:paraId="37DCB319">
            <w:pPr>
              <w:pStyle w:val="2"/>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420" w:firstLineChars="200"/>
              <w:textAlignment w:val="auto"/>
              <w:rPr>
                <w:rFonts w:hint="eastAsia"/>
                <w:color w:val="auto"/>
              </w:rPr>
            </w:pPr>
            <w:r>
              <w:rPr>
                <w:rFonts w:hint="eastAsia" w:ascii="Times New Roman" w:hAnsi="Times New Roman" w:eastAsia="宋体" w:cs="Times New Roman"/>
                <w:color w:val="auto"/>
                <w:kern w:val="2"/>
                <w:sz w:val="21"/>
                <w:szCs w:val="24"/>
                <w:lang w:val="en-US" w:eastAsia="zh-CN" w:bidi="ar-SA"/>
              </w:rPr>
              <w:t>空调内外机设备、空调控制开关等暂不计入，仅计入管线，管线计算至空调内外机点位</w:t>
            </w:r>
            <w:r>
              <w:rPr>
                <w:rFonts w:hint="eastAsia" w:ascii="Times New Roman" w:hAnsi="Times New Roman" w:cs="Times New Roman"/>
                <w:color w:val="auto"/>
                <w:kern w:val="2"/>
                <w:sz w:val="21"/>
                <w:szCs w:val="24"/>
                <w:lang w:val="en-US" w:eastAsia="zh-CN" w:bidi="ar-SA"/>
              </w:rPr>
              <w:t>。</w:t>
            </w:r>
          </w:p>
          <w:p w14:paraId="1860CFE4">
            <w:pPr>
              <w:pStyle w:val="2"/>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420" w:firstLineChars="200"/>
              <w:textAlignment w:val="auto"/>
              <w:rPr>
                <w:rFonts w:hint="default" w:eastAsia="宋体"/>
                <w:color w:val="auto"/>
                <w:lang w:val="en-US" w:eastAsia="zh-CN"/>
              </w:rPr>
            </w:pPr>
            <w:r>
              <w:rPr>
                <w:rFonts w:hint="eastAsia" w:ascii="Times New Roman" w:hAnsi="Times New Roman" w:eastAsia="宋体" w:cs="Times New Roman"/>
                <w:color w:val="auto"/>
                <w:kern w:val="2"/>
                <w:sz w:val="21"/>
                <w:szCs w:val="24"/>
                <w:lang w:val="en-US" w:eastAsia="zh-CN" w:bidi="ar-SA"/>
              </w:rPr>
              <w:t>经业主确认，五层2~4/D~E轴房间内采用吸顶式空调。其余房间吸顶式空调改为采用柜式空调，柜式空调插座留设在靠窗处，留86型底盒和6平方电源线，做好绝缘保护</w:t>
            </w:r>
            <w:r>
              <w:rPr>
                <w:rFonts w:hint="eastAsia" w:ascii="Times New Roman" w:hAnsi="Times New Roman" w:cs="Times New Roman"/>
                <w:color w:val="auto"/>
                <w:kern w:val="2"/>
                <w:sz w:val="21"/>
                <w:szCs w:val="24"/>
                <w:lang w:val="en-US" w:eastAsia="zh-CN" w:bidi="ar-SA"/>
              </w:rPr>
              <w:t>。</w:t>
            </w:r>
          </w:p>
          <w:p w14:paraId="1240AC4B">
            <w:pPr>
              <w:pStyle w:val="2"/>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420" w:firstLineChars="200"/>
              <w:textAlignment w:val="auto"/>
              <w:rPr>
                <w:rFonts w:hint="eastAsia"/>
                <w:color w:val="auto"/>
              </w:rPr>
            </w:pPr>
            <w:r>
              <w:rPr>
                <w:rFonts w:hint="eastAsia" w:ascii="宋体" w:hAnsi="宋体" w:cs="宋体"/>
                <w:color w:val="auto"/>
                <w:szCs w:val="20"/>
                <w:highlight w:val="none"/>
                <w:lang w:val="en-US" w:eastAsia="zh-CN"/>
              </w:rPr>
              <w:t>根据设计单位回复意见，</w:t>
            </w:r>
            <w:r>
              <w:rPr>
                <w:rFonts w:hint="eastAsia"/>
                <w:color w:val="auto"/>
                <w:kern w:val="2"/>
                <w:sz w:val="21"/>
              </w:rPr>
              <w:t>五层</w:t>
            </w:r>
            <w:r>
              <w:rPr>
                <w:rFonts w:hint="eastAsia" w:ascii="Times New Roman" w:hAnsi="Times New Roman" w:eastAsia="宋体" w:cs="Times New Roman"/>
                <w:color w:val="auto"/>
                <w:kern w:val="2"/>
                <w:sz w:val="21"/>
                <w:szCs w:val="24"/>
                <w:lang w:val="en-US" w:eastAsia="zh-CN" w:bidi="ar-SA"/>
              </w:rPr>
              <w:t>2~4/D~E轴</w:t>
            </w:r>
            <w:r>
              <w:rPr>
                <w:rFonts w:hint="eastAsia"/>
                <w:color w:val="auto"/>
                <w:kern w:val="2"/>
                <w:sz w:val="21"/>
              </w:rPr>
              <w:t>房间为机房，从五层东侧弱电间新</w:t>
            </w:r>
            <w:r>
              <w:rPr>
                <w:rFonts w:hint="eastAsia" w:ascii="Times New Roman" w:hAnsi="Times New Roman" w:eastAsia="宋体" w:cs="Times New Roman"/>
                <w:color w:val="auto"/>
                <w:kern w:val="2"/>
                <w:sz w:val="21"/>
                <w:szCs w:val="24"/>
                <w:lang w:val="en-US" w:eastAsia="zh-CN" w:bidi="ar-SA"/>
              </w:rPr>
              <w:t>拉1根6芯单</w:t>
            </w:r>
            <w:r>
              <w:rPr>
                <w:rFonts w:hint="eastAsia"/>
                <w:color w:val="auto"/>
                <w:kern w:val="2"/>
                <w:sz w:val="21"/>
              </w:rPr>
              <w:t>模光纤到此房间内，入户后多留</w:t>
            </w:r>
            <w:r>
              <w:rPr>
                <w:rFonts w:hint="eastAsia" w:ascii="宋体" w:hAnsi="宋体" w:cs="宋体"/>
                <w:color w:val="auto"/>
                <w:szCs w:val="20"/>
                <w:highlight w:val="none"/>
                <w:lang w:val="en-US" w:eastAsia="zh-CN"/>
              </w:rPr>
              <w:t>10m放在静电</w:t>
            </w:r>
            <w:r>
              <w:rPr>
                <w:rFonts w:hint="eastAsia"/>
                <w:color w:val="auto"/>
                <w:kern w:val="2"/>
                <w:sz w:val="21"/>
              </w:rPr>
              <w:t>地板下</w:t>
            </w:r>
            <w:r>
              <w:rPr>
                <w:rFonts w:hint="eastAsia" w:ascii="Times New Roman" w:hAnsi="Times New Roman" w:cs="Times New Roman"/>
                <w:color w:val="auto"/>
                <w:kern w:val="2"/>
                <w:sz w:val="21"/>
                <w:szCs w:val="24"/>
                <w:lang w:val="en-US" w:eastAsia="zh-CN" w:bidi="ar-SA"/>
              </w:rPr>
              <w:t>。</w:t>
            </w:r>
          </w:p>
          <w:p w14:paraId="2897B7FE">
            <w:pPr>
              <w:pStyle w:val="2"/>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420" w:firstLineChars="200"/>
              <w:textAlignment w:val="auto"/>
              <w:rPr>
                <w:rFonts w:hint="eastAsia"/>
                <w:color w:val="auto"/>
              </w:rPr>
            </w:pPr>
            <w:r>
              <w:rPr>
                <w:rFonts w:hint="eastAsia" w:ascii="宋体" w:hAnsi="宋体" w:cs="宋体"/>
                <w:color w:val="auto"/>
                <w:szCs w:val="20"/>
                <w:highlight w:val="none"/>
                <w:lang w:val="en-US" w:eastAsia="zh-CN"/>
              </w:rPr>
              <w:t>根据设计单位回复意见</w:t>
            </w:r>
            <w:r>
              <w:rPr>
                <w:rFonts w:hint="eastAsia" w:ascii="Times New Roman" w:hAnsi="Times New Roman" w:eastAsia="宋体" w:cs="Times New Roman"/>
                <w:color w:val="auto"/>
                <w:kern w:val="2"/>
                <w:sz w:val="21"/>
                <w:szCs w:val="24"/>
                <w:lang w:val="en-US" w:eastAsia="zh-CN" w:bidi="ar-SA"/>
              </w:rPr>
              <w:t>，</w:t>
            </w:r>
            <w:r>
              <w:rPr>
                <w:rFonts w:hint="eastAsia" w:ascii="Times New Roman" w:hAnsi="Times New Roman" w:cs="Times New Roman"/>
                <w:color w:val="auto"/>
                <w:kern w:val="2"/>
                <w:sz w:val="21"/>
                <w:szCs w:val="24"/>
                <w:lang w:val="en-US" w:eastAsia="zh-CN" w:bidi="ar-SA"/>
              </w:rPr>
              <w:t>新增进水管材质为PPR。</w:t>
            </w:r>
          </w:p>
          <w:p w14:paraId="0F8CCB60">
            <w:pPr>
              <w:rPr>
                <w:rFonts w:hint="eastAsia"/>
              </w:rPr>
            </w:pPr>
          </w:p>
          <w:p w14:paraId="31DFBD0F">
            <w:pPr>
              <w:pStyle w:val="2"/>
              <w:bidi w:val="0"/>
              <w:rPr>
                <w:rFonts w:hint="default"/>
                <w:lang w:val="en-US" w:eastAsia="zh-CN"/>
              </w:rPr>
            </w:pPr>
          </w:p>
          <w:p w14:paraId="23490734">
            <w:pPr>
              <w:rPr>
                <w:rFonts w:hint="eastAsia"/>
                <w:color w:val="000000" w:themeColor="text1"/>
                <w:lang w:val="en-US" w:eastAsia="zh-CN"/>
                <w14:textFill>
                  <w14:solidFill>
                    <w14:schemeClr w14:val="tx1"/>
                  </w14:solidFill>
                </w14:textFill>
              </w:rPr>
            </w:pPr>
          </w:p>
          <w:p w14:paraId="43E5EB87">
            <w:pPr>
              <w:pStyle w:val="2"/>
              <w:rPr>
                <w:rFonts w:hint="default"/>
                <w:lang w:val="en-US" w:eastAsia="zh-CN"/>
              </w:rPr>
            </w:pPr>
          </w:p>
          <w:p w14:paraId="06C30D60">
            <w:pPr>
              <w:pStyle w:val="2"/>
              <w:rPr>
                <w:rFonts w:hint="eastAsia"/>
                <w:lang w:val="en-US" w:eastAsia="zh-CN"/>
              </w:rPr>
            </w:pPr>
          </w:p>
          <w:p w14:paraId="525D9A76">
            <w:pPr>
              <w:pStyle w:val="2"/>
              <w:rPr>
                <w:rFonts w:hint="default"/>
                <w:lang w:val="en-US" w:eastAsia="zh-CN"/>
              </w:rPr>
            </w:pPr>
            <w:r>
              <w:rPr>
                <w:rFonts w:hint="eastAsia"/>
                <w:lang w:val="en-US" w:eastAsia="zh-CN"/>
              </w:rPr>
              <w:t xml:space="preserve">    </w:t>
            </w:r>
          </w:p>
          <w:p w14:paraId="0C709B19">
            <w:pPr>
              <w:keepNext w:val="0"/>
              <w:keepLines w:val="0"/>
              <w:pageBreakBefore w:val="0"/>
              <w:kinsoku/>
              <w:wordWrap/>
              <w:overflowPunct/>
              <w:topLinePunct w:val="0"/>
              <w:autoSpaceDE/>
              <w:autoSpaceDN/>
              <w:bidi w:val="0"/>
              <w:adjustRightInd/>
              <w:snapToGrid/>
              <w:spacing w:line="360" w:lineRule="auto"/>
              <w:jc w:val="left"/>
              <w:textAlignment w:val="auto"/>
              <w:rPr>
                <w:rFonts w:ascii="宋体" w:hAnsi="宋体"/>
                <w:b/>
                <w:szCs w:val="21"/>
                <w:highlight w:val="none"/>
              </w:rPr>
            </w:pPr>
          </w:p>
        </w:tc>
      </w:tr>
    </w:tbl>
    <w:p w14:paraId="583898EB"/>
    <w:sectPr>
      <w:footerReference r:id="rId4" w:type="default"/>
      <w:pgSz w:w="11906" w:h="16838"/>
      <w:pgMar w:top="1440" w:right="1406" w:bottom="1440" w:left="1406"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altName w:val="微软雅黑"/>
    <w:panose1 w:val="00000000000000000000"/>
    <w:charset w:val="86"/>
    <w:family w:val="auto"/>
    <w:pitch w:val="default"/>
    <w:sig w:usb0="00000000" w:usb1="0000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黑宋简体">
    <w:altName w:val="宋体"/>
    <w:panose1 w:val="02000000000000000000"/>
    <w:charset w:val="86"/>
    <w:family w:val="auto"/>
    <w:pitch w:val="default"/>
    <w:sig w:usb0="00000000" w:usb1="00000000" w:usb2="00000012" w:usb3="00000000" w:csb0="00040001" w:csb1="00000000"/>
  </w:font>
  <w:font w:name="ˎ̥">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F2472">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9504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5F8E6B">
                          <w:pPr>
                            <w:pStyle w:val="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55F8E6B">
                    <w:pPr>
                      <w:pStyle w:val="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BACC76"/>
    <w:multiLevelType w:val="multilevel"/>
    <w:tmpl w:val="8BBACC76"/>
    <w:lvl w:ilvl="0" w:tentative="0">
      <w:start w:val="1"/>
      <w:numFmt w:val="decimal"/>
      <w:suff w:val="nothing"/>
      <w:lvlText w:val="%1．"/>
      <w:lvlJc w:val="left"/>
      <w:pPr>
        <w:ind w:left="0" w:firstLine="400"/>
      </w:pPr>
      <w:rPr>
        <w:rFonts w:hint="default"/>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99ED434D"/>
    <w:multiLevelType w:val="singleLevel"/>
    <w:tmpl w:val="99ED434D"/>
    <w:lvl w:ilvl="0" w:tentative="0">
      <w:start w:val="1"/>
      <w:numFmt w:val="decimalEnclosedCircleChinese"/>
      <w:suff w:val="nothing"/>
      <w:lvlText w:val="%1　"/>
      <w:lvlJc w:val="left"/>
      <w:pPr>
        <w:ind w:left="0" w:firstLine="400"/>
      </w:pPr>
      <w:rPr>
        <w:rFonts w:hint="eastAsia"/>
      </w:rPr>
    </w:lvl>
  </w:abstractNum>
  <w:abstractNum w:abstractNumId="2">
    <w:nsid w:val="A1D051AF"/>
    <w:multiLevelType w:val="singleLevel"/>
    <w:tmpl w:val="A1D051AF"/>
    <w:lvl w:ilvl="0" w:tentative="0">
      <w:start w:val="1"/>
      <w:numFmt w:val="decimalEnclosedCircleChinese"/>
      <w:suff w:val="nothing"/>
      <w:lvlText w:val="%1　"/>
      <w:lvlJc w:val="left"/>
      <w:pPr>
        <w:ind w:left="0" w:firstLine="400"/>
      </w:pPr>
      <w:rPr>
        <w:rFonts w:hint="eastAsia"/>
      </w:rPr>
    </w:lvl>
  </w:abstractNum>
  <w:abstractNum w:abstractNumId="3">
    <w:nsid w:val="EC1BFC82"/>
    <w:multiLevelType w:val="singleLevel"/>
    <w:tmpl w:val="EC1BFC82"/>
    <w:lvl w:ilvl="0" w:tentative="0">
      <w:start w:val="1"/>
      <w:numFmt w:val="decimal"/>
      <w:lvlText w:val="(%1)"/>
      <w:lvlJc w:val="left"/>
      <w:pPr>
        <w:ind w:left="425" w:hanging="425"/>
      </w:pPr>
      <w:rPr>
        <w:rFonts w:hint="default"/>
      </w:rPr>
    </w:lvl>
  </w:abstractNum>
  <w:abstractNum w:abstractNumId="4">
    <w:nsid w:val="FD5D8BC6"/>
    <w:multiLevelType w:val="singleLevel"/>
    <w:tmpl w:val="FD5D8BC6"/>
    <w:lvl w:ilvl="0" w:tentative="0">
      <w:start w:val="1"/>
      <w:numFmt w:val="decimal"/>
      <w:lvlText w:val="%1."/>
      <w:lvlJc w:val="left"/>
      <w:pPr>
        <w:ind w:left="425" w:hanging="425"/>
      </w:pPr>
      <w:rPr>
        <w:rFonts w:hint="default"/>
      </w:rPr>
    </w:lvl>
  </w:abstractNum>
  <w:abstractNum w:abstractNumId="5">
    <w:nsid w:val="125D502D"/>
    <w:multiLevelType w:val="multilevel"/>
    <w:tmpl w:val="125D502D"/>
    <w:lvl w:ilvl="0" w:tentative="0">
      <w:start w:val="1"/>
      <w:numFmt w:val="decimal"/>
      <w:suff w:val="nothing"/>
      <w:lvlText w:val="%1．"/>
      <w:lvlJc w:val="left"/>
      <w:pPr>
        <w:ind w:left="0" w:firstLine="400"/>
      </w:pPr>
      <w:rPr>
        <w:rFonts w:hint="default"/>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6">
    <w:nsid w:val="262F30D6"/>
    <w:multiLevelType w:val="multilevel"/>
    <w:tmpl w:val="262F30D6"/>
    <w:lvl w:ilvl="0" w:tentative="0">
      <w:start w:val="1"/>
      <w:numFmt w:val="chineseCounting"/>
      <w:suff w:val="nothing"/>
      <w:lvlText w:val="%1、"/>
      <w:lvlJc w:val="left"/>
      <w:pPr>
        <w:ind w:left="0" w:firstLine="420"/>
      </w:pPr>
      <w:rPr>
        <w:rFonts w:hint="eastAsia" w:ascii="宋体" w:hAnsi="宋体" w:eastAsia="宋体" w:cs="宋体"/>
        <w:b/>
        <w:bCs/>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7">
    <w:nsid w:val="5B246556"/>
    <w:multiLevelType w:val="singleLevel"/>
    <w:tmpl w:val="5B246556"/>
    <w:lvl w:ilvl="0" w:tentative="0">
      <w:start w:val="1"/>
      <w:numFmt w:val="decimal"/>
      <w:suff w:val="nothing"/>
      <w:lvlText w:val="%1．"/>
      <w:lvlJc w:val="left"/>
      <w:pPr>
        <w:ind w:left="0" w:firstLine="400"/>
      </w:pPr>
      <w:rPr>
        <w:rFonts w:hint="default"/>
      </w:rPr>
    </w:lvl>
  </w:abstractNum>
  <w:abstractNum w:abstractNumId="8">
    <w:nsid w:val="70B8177D"/>
    <w:multiLevelType w:val="singleLevel"/>
    <w:tmpl w:val="70B8177D"/>
    <w:lvl w:ilvl="0" w:tentative="0">
      <w:start w:val="1"/>
      <w:numFmt w:val="decimalEnclosedCircleChinese"/>
      <w:suff w:val="nothing"/>
      <w:lvlText w:val="%1　"/>
      <w:lvlJc w:val="left"/>
      <w:pPr>
        <w:ind w:left="0" w:firstLine="400"/>
      </w:pPr>
      <w:rPr>
        <w:rFonts w:hint="eastAsia"/>
      </w:rPr>
    </w:lvl>
  </w:abstractNum>
  <w:num w:numId="1">
    <w:abstractNumId w:val="6"/>
  </w:num>
  <w:num w:numId="2">
    <w:abstractNumId w:val="0"/>
  </w:num>
  <w:num w:numId="3">
    <w:abstractNumId w:val="8"/>
  </w:num>
  <w:num w:numId="4">
    <w:abstractNumId w:val="4"/>
  </w:num>
  <w:num w:numId="5">
    <w:abstractNumId w:val="5"/>
  </w:num>
  <w:num w:numId="6">
    <w:abstractNumId w:val="7"/>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c1YTFhYjRlZWJjZWU2MTY4YzBiYWMzODkwZTM5MmMifQ=="/>
  </w:docVars>
  <w:rsids>
    <w:rsidRoot w:val="003858D6"/>
    <w:rsid w:val="000B46FA"/>
    <w:rsid w:val="00156FD8"/>
    <w:rsid w:val="001F7153"/>
    <w:rsid w:val="00223131"/>
    <w:rsid w:val="002617BD"/>
    <w:rsid w:val="00375436"/>
    <w:rsid w:val="003858D6"/>
    <w:rsid w:val="00410D6E"/>
    <w:rsid w:val="004742B5"/>
    <w:rsid w:val="004C559D"/>
    <w:rsid w:val="005438E2"/>
    <w:rsid w:val="006732FF"/>
    <w:rsid w:val="0072581B"/>
    <w:rsid w:val="00732B2D"/>
    <w:rsid w:val="007B6AD5"/>
    <w:rsid w:val="007F623F"/>
    <w:rsid w:val="00856C87"/>
    <w:rsid w:val="00874A3F"/>
    <w:rsid w:val="008D4403"/>
    <w:rsid w:val="00AA5E9C"/>
    <w:rsid w:val="00AE1452"/>
    <w:rsid w:val="00D85D8D"/>
    <w:rsid w:val="00DD1772"/>
    <w:rsid w:val="00E25685"/>
    <w:rsid w:val="00E32A62"/>
    <w:rsid w:val="00F306E6"/>
    <w:rsid w:val="00F46E48"/>
    <w:rsid w:val="00F95A42"/>
    <w:rsid w:val="0159709B"/>
    <w:rsid w:val="03F95652"/>
    <w:rsid w:val="049342C1"/>
    <w:rsid w:val="05585DEA"/>
    <w:rsid w:val="057E408C"/>
    <w:rsid w:val="066C7362"/>
    <w:rsid w:val="06D53CC1"/>
    <w:rsid w:val="07857010"/>
    <w:rsid w:val="08C42FDB"/>
    <w:rsid w:val="09733206"/>
    <w:rsid w:val="09AA0475"/>
    <w:rsid w:val="09EF276F"/>
    <w:rsid w:val="0A5C7F02"/>
    <w:rsid w:val="0ACB6BE6"/>
    <w:rsid w:val="0F380589"/>
    <w:rsid w:val="10457A2A"/>
    <w:rsid w:val="11C0272D"/>
    <w:rsid w:val="12154F0D"/>
    <w:rsid w:val="12503FC7"/>
    <w:rsid w:val="12E36BE9"/>
    <w:rsid w:val="1377469A"/>
    <w:rsid w:val="13E42AE9"/>
    <w:rsid w:val="13E663E4"/>
    <w:rsid w:val="145E0C1D"/>
    <w:rsid w:val="157306F8"/>
    <w:rsid w:val="16314110"/>
    <w:rsid w:val="16BF796D"/>
    <w:rsid w:val="173F30D0"/>
    <w:rsid w:val="17C52D61"/>
    <w:rsid w:val="18ED7E2F"/>
    <w:rsid w:val="1A290BFD"/>
    <w:rsid w:val="1B57544B"/>
    <w:rsid w:val="1BEE7DC5"/>
    <w:rsid w:val="1C16658D"/>
    <w:rsid w:val="1C2A3745"/>
    <w:rsid w:val="1C6A04D0"/>
    <w:rsid w:val="1C986258"/>
    <w:rsid w:val="1DED6B6E"/>
    <w:rsid w:val="1E890F8D"/>
    <w:rsid w:val="1E9D74CE"/>
    <w:rsid w:val="1ECC1FE0"/>
    <w:rsid w:val="1EFC274B"/>
    <w:rsid w:val="1F1C1CCB"/>
    <w:rsid w:val="1F3C4F99"/>
    <w:rsid w:val="1F7917E5"/>
    <w:rsid w:val="208C2A54"/>
    <w:rsid w:val="215C7313"/>
    <w:rsid w:val="22400872"/>
    <w:rsid w:val="224A6DE1"/>
    <w:rsid w:val="230A2AC4"/>
    <w:rsid w:val="261D7FF3"/>
    <w:rsid w:val="26B05A2A"/>
    <w:rsid w:val="26C2328E"/>
    <w:rsid w:val="287426E6"/>
    <w:rsid w:val="29052806"/>
    <w:rsid w:val="29F31EA0"/>
    <w:rsid w:val="2B3B028B"/>
    <w:rsid w:val="2D666463"/>
    <w:rsid w:val="2E16672E"/>
    <w:rsid w:val="2E3514B0"/>
    <w:rsid w:val="2FF97655"/>
    <w:rsid w:val="31D55C17"/>
    <w:rsid w:val="32C25DD7"/>
    <w:rsid w:val="32FA5B5D"/>
    <w:rsid w:val="335979E8"/>
    <w:rsid w:val="350C55EE"/>
    <w:rsid w:val="363C5356"/>
    <w:rsid w:val="367B0144"/>
    <w:rsid w:val="36A82FF9"/>
    <w:rsid w:val="37546F04"/>
    <w:rsid w:val="37652B55"/>
    <w:rsid w:val="38433657"/>
    <w:rsid w:val="3C855059"/>
    <w:rsid w:val="3D0E16F8"/>
    <w:rsid w:val="3D1837B0"/>
    <w:rsid w:val="3D3717C0"/>
    <w:rsid w:val="3E416D36"/>
    <w:rsid w:val="40074FC2"/>
    <w:rsid w:val="401217B3"/>
    <w:rsid w:val="413B5CBF"/>
    <w:rsid w:val="41F62E0C"/>
    <w:rsid w:val="42480AD2"/>
    <w:rsid w:val="442C01BF"/>
    <w:rsid w:val="472F14D5"/>
    <w:rsid w:val="48CB2EBC"/>
    <w:rsid w:val="49720735"/>
    <w:rsid w:val="4B0A13C0"/>
    <w:rsid w:val="4C7B4735"/>
    <w:rsid w:val="516215DB"/>
    <w:rsid w:val="52F81465"/>
    <w:rsid w:val="52FB6CC7"/>
    <w:rsid w:val="53373430"/>
    <w:rsid w:val="539C3D0D"/>
    <w:rsid w:val="53F768A4"/>
    <w:rsid w:val="54BE4BBF"/>
    <w:rsid w:val="54CC5781"/>
    <w:rsid w:val="55555BA8"/>
    <w:rsid w:val="55707E2C"/>
    <w:rsid w:val="57CE5446"/>
    <w:rsid w:val="595C6022"/>
    <w:rsid w:val="59C34D12"/>
    <w:rsid w:val="59C74222"/>
    <w:rsid w:val="5BF412EC"/>
    <w:rsid w:val="5D3C393C"/>
    <w:rsid w:val="5E1B2CA8"/>
    <w:rsid w:val="5E7423B8"/>
    <w:rsid w:val="5E9A264D"/>
    <w:rsid w:val="5EEA373D"/>
    <w:rsid w:val="5F3005FC"/>
    <w:rsid w:val="603158D4"/>
    <w:rsid w:val="60336BFF"/>
    <w:rsid w:val="61426E42"/>
    <w:rsid w:val="63BB69D5"/>
    <w:rsid w:val="63E60605"/>
    <w:rsid w:val="65120A02"/>
    <w:rsid w:val="654505FB"/>
    <w:rsid w:val="657A3992"/>
    <w:rsid w:val="66491C0F"/>
    <w:rsid w:val="69131CBD"/>
    <w:rsid w:val="695A7739"/>
    <w:rsid w:val="69812498"/>
    <w:rsid w:val="6AB31EA3"/>
    <w:rsid w:val="6C011415"/>
    <w:rsid w:val="6CFA6318"/>
    <w:rsid w:val="6DB9234D"/>
    <w:rsid w:val="6DD2496C"/>
    <w:rsid w:val="6EBD6178"/>
    <w:rsid w:val="70347F2B"/>
    <w:rsid w:val="71D40D4C"/>
    <w:rsid w:val="72987FCC"/>
    <w:rsid w:val="73A15C81"/>
    <w:rsid w:val="75B110E2"/>
    <w:rsid w:val="78433F84"/>
    <w:rsid w:val="78D02D84"/>
    <w:rsid w:val="79907FC1"/>
    <w:rsid w:val="79FE3071"/>
    <w:rsid w:val="7A123D90"/>
    <w:rsid w:val="7BD05DB6"/>
    <w:rsid w:val="7C1135C8"/>
    <w:rsid w:val="7E0D3C75"/>
    <w:rsid w:val="7EEB5927"/>
    <w:rsid w:val="7EF24F07"/>
    <w:rsid w:val="7F79337B"/>
    <w:rsid w:val="7F8A0095"/>
    <w:rsid w:val="7F8C2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99"/>
    <w:rPr>
      <w:rFonts w:ascii="Arial" w:hAnsi="Arial"/>
      <w:szCs w:val="22"/>
    </w:rPr>
  </w:style>
  <w:style w:type="paragraph" w:styleId="3">
    <w:name w:val="annotation text"/>
    <w:basedOn w:val="1"/>
    <w:autoRedefine/>
    <w:semiHidden/>
    <w:unhideWhenUsed/>
    <w:qFormat/>
    <w:uiPriority w:val="99"/>
    <w:pPr>
      <w:jc w:val="left"/>
    </w:pPr>
  </w:style>
  <w:style w:type="paragraph" w:styleId="4">
    <w:name w:val="Plain Text"/>
    <w:basedOn w:val="1"/>
    <w:link w:val="15"/>
    <w:autoRedefine/>
    <w:qFormat/>
    <w:uiPriority w:val="0"/>
    <w:rPr>
      <w:rFonts w:ascii="宋体" w:hAnsi="Courier New" w:cs="Courier New"/>
      <w:szCs w:val="21"/>
    </w:rPr>
  </w:style>
  <w:style w:type="paragraph" w:styleId="5">
    <w:name w:val="Balloon Text"/>
    <w:basedOn w:val="1"/>
    <w:link w:val="14"/>
    <w:autoRedefine/>
    <w:semiHidden/>
    <w:unhideWhenUsed/>
    <w:qFormat/>
    <w:uiPriority w:val="99"/>
    <w:rPr>
      <w:sz w:val="18"/>
      <w:szCs w:val="18"/>
    </w:rPr>
  </w:style>
  <w:style w:type="paragraph" w:styleId="6">
    <w:name w:val="footer"/>
    <w:basedOn w:val="1"/>
    <w:link w:val="13"/>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Times New Roman" w:eastAsia="宋体" w:cs="Times New Roman"/>
      <w:color w:val="000000"/>
      <w:kern w:val="0"/>
      <w:sz w:val="24"/>
      <w:szCs w:val="24"/>
      <w:lang w:val="en-US" w:eastAsia="zh-CN" w:bidi="ar-SA"/>
    </w:rPr>
  </w:style>
  <w:style w:type="character" w:styleId="11">
    <w:name w:val="page number"/>
    <w:autoRedefine/>
    <w:qFormat/>
    <w:uiPriority w:val="0"/>
  </w:style>
  <w:style w:type="character" w:customStyle="1" w:styleId="12">
    <w:name w:val="页眉 Char"/>
    <w:basedOn w:val="10"/>
    <w:link w:val="7"/>
    <w:autoRedefine/>
    <w:qFormat/>
    <w:uiPriority w:val="99"/>
    <w:rPr>
      <w:sz w:val="18"/>
      <w:szCs w:val="18"/>
    </w:rPr>
  </w:style>
  <w:style w:type="character" w:customStyle="1" w:styleId="13">
    <w:name w:val="页脚 Char"/>
    <w:basedOn w:val="10"/>
    <w:link w:val="6"/>
    <w:autoRedefine/>
    <w:qFormat/>
    <w:uiPriority w:val="99"/>
    <w:rPr>
      <w:sz w:val="18"/>
      <w:szCs w:val="18"/>
    </w:rPr>
  </w:style>
  <w:style w:type="character" w:customStyle="1" w:styleId="14">
    <w:name w:val="批注框文本 Char"/>
    <w:basedOn w:val="10"/>
    <w:link w:val="5"/>
    <w:autoRedefine/>
    <w:semiHidden/>
    <w:qFormat/>
    <w:uiPriority w:val="99"/>
    <w:rPr>
      <w:sz w:val="18"/>
      <w:szCs w:val="18"/>
    </w:rPr>
  </w:style>
  <w:style w:type="character" w:customStyle="1" w:styleId="15">
    <w:name w:val="纯文本 Char"/>
    <w:basedOn w:val="10"/>
    <w:link w:val="4"/>
    <w:autoRedefine/>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3678</Words>
  <Characters>3897</Characters>
  <Lines>4</Lines>
  <Paragraphs>1</Paragraphs>
  <TotalTime>3</TotalTime>
  <ScaleCrop>false</ScaleCrop>
  <LinksUpToDate>false</LinksUpToDate>
  <CharactersWithSpaces>3997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2016-06-15T12:44:00Z</dcterms:created>
  <dc:creator>User</dc:creator>
  <cp:lastModifiedBy>dell</cp:lastModifiedBy>
  <cp:lastPrinted>2016-08-04T03:10:00Z</cp:lastPrinted>
  <dcterms:modified xsi:type="dcterms:W3CDTF">2024-11-18T05:36:25Z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1E388691DBD04612848C671FCBF30C73_13</vt:lpwstr>
  </property>
  <property fmtid="{D5CDD505-2E9C-101B-9397-08002B2CF9AE}" pid="4" name="KSOSaveFontToCloudKey">
    <vt:lpwstr>437552407_btnclosed</vt:lpwstr>
  </property>
</Properties>
</file>