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BF4BC">
      <w:pPr>
        <w:rPr>
          <w:rFonts w:ascii="宋体" w:hAnsi="宋体"/>
        </w:rPr>
      </w:pPr>
    </w:p>
    <w:p w14:paraId="669E60B2">
      <w:pPr>
        <w:ind w:right="-105" w:rightChars="-50"/>
        <w:jc w:val="center"/>
        <w:rPr>
          <w:rFonts w:ascii="宋体" w:hAnsi="宋体"/>
          <w:spacing w:val="-12"/>
          <w:szCs w:val="21"/>
        </w:rPr>
      </w:pPr>
    </w:p>
    <w:p w14:paraId="61D82823">
      <w:pPr>
        <w:pStyle w:val="11"/>
        <w:jc w:val="center"/>
        <w:rPr>
          <w:rFonts w:hint="eastAsia" w:asciiTheme="majorEastAsia" w:hAnsiTheme="majorEastAsia" w:eastAsiaTheme="majorEastAsia" w:cstheme="majorEastAsia"/>
          <w:b/>
          <w:bCs/>
          <w:sz w:val="52"/>
          <w:szCs w:val="52"/>
          <w:lang w:eastAsia="zh-CN"/>
        </w:rPr>
      </w:pPr>
      <w:bookmarkStart w:id="0" w:name="OLE_LINK5"/>
      <w:r>
        <w:rPr>
          <w:rFonts w:hint="eastAsia" w:asciiTheme="majorEastAsia" w:hAnsiTheme="majorEastAsia" w:eastAsiaTheme="majorEastAsia" w:cstheme="majorEastAsia"/>
          <w:b/>
          <w:bCs/>
          <w:sz w:val="52"/>
          <w:szCs w:val="52"/>
          <w:lang w:eastAsia="zh-CN"/>
        </w:rPr>
        <w:t>舟山医院</w:t>
      </w:r>
      <w:r>
        <w:rPr>
          <w:rFonts w:hint="eastAsia" w:asciiTheme="majorEastAsia" w:hAnsiTheme="majorEastAsia" w:eastAsiaTheme="majorEastAsia" w:cstheme="majorEastAsia"/>
          <w:b/>
          <w:bCs/>
          <w:sz w:val="52"/>
          <w:szCs w:val="52"/>
          <w:lang w:val="en-US" w:eastAsia="zh-CN"/>
        </w:rPr>
        <w:t>监控安防</w:t>
      </w:r>
      <w:r>
        <w:rPr>
          <w:rFonts w:hint="eastAsia" w:asciiTheme="majorEastAsia" w:hAnsiTheme="majorEastAsia" w:eastAsiaTheme="majorEastAsia" w:cstheme="majorEastAsia"/>
          <w:b/>
          <w:bCs/>
          <w:sz w:val="52"/>
          <w:szCs w:val="52"/>
          <w:lang w:eastAsia="zh-CN"/>
        </w:rPr>
        <w:t>云存储租赁服务项目</w:t>
      </w:r>
    </w:p>
    <w:bookmarkEnd w:id="0"/>
    <w:p w14:paraId="5C713610">
      <w:pPr>
        <w:pStyle w:val="27"/>
        <w:ind w:firstLine="210"/>
        <w:jc w:val="center"/>
      </w:pPr>
    </w:p>
    <w:p w14:paraId="1EE54FED">
      <w:pPr>
        <w:ind w:right="-105" w:rightChars="-50"/>
        <w:jc w:val="center"/>
        <w:rPr>
          <w:rFonts w:hint="eastAsia" w:ascii="宋体" w:hAnsi="宋体"/>
          <w:sz w:val="72"/>
          <w:szCs w:val="72"/>
        </w:rPr>
      </w:pPr>
    </w:p>
    <w:p w14:paraId="4332EB34">
      <w:pPr>
        <w:ind w:right="-105" w:rightChars="-50"/>
        <w:jc w:val="center"/>
        <w:rPr>
          <w:rFonts w:hint="eastAsia" w:ascii="宋体" w:hAnsi="宋体"/>
          <w:sz w:val="72"/>
          <w:szCs w:val="72"/>
        </w:rPr>
      </w:pPr>
    </w:p>
    <w:p w14:paraId="352DECA2">
      <w:pPr>
        <w:ind w:right="-105" w:rightChars="-50"/>
        <w:jc w:val="center"/>
        <w:rPr>
          <w:rFonts w:ascii="宋体" w:hAnsi="宋体"/>
          <w:sz w:val="72"/>
          <w:szCs w:val="72"/>
        </w:rPr>
      </w:pPr>
      <w:r>
        <w:rPr>
          <w:rFonts w:hint="eastAsia" w:ascii="宋体" w:hAnsi="宋体"/>
          <w:sz w:val="72"/>
          <w:szCs w:val="72"/>
        </w:rPr>
        <w:t>竞争性磋商文件</w:t>
      </w:r>
    </w:p>
    <w:p w14:paraId="41753EAC">
      <w:pPr>
        <w:ind w:right="-105" w:rightChars="-50"/>
        <w:jc w:val="center"/>
        <w:rPr>
          <w:rFonts w:ascii="宋体" w:hAnsi="宋体"/>
          <w:sz w:val="28"/>
          <w:szCs w:val="28"/>
        </w:rPr>
      </w:pPr>
    </w:p>
    <w:p w14:paraId="0B5DD51D">
      <w:pPr>
        <w:pStyle w:val="3"/>
        <w:rPr>
          <w:rFonts w:ascii="宋体" w:hAnsi="宋体" w:eastAsia="宋体"/>
        </w:rPr>
      </w:pPr>
    </w:p>
    <w:p w14:paraId="3A3D6A58">
      <w:pPr>
        <w:ind w:right="-105" w:rightChars="-50"/>
        <w:jc w:val="center"/>
        <w:rPr>
          <w:rFonts w:ascii="宋体" w:hAnsi="宋体"/>
          <w:sz w:val="28"/>
          <w:szCs w:val="28"/>
        </w:rPr>
      </w:pPr>
    </w:p>
    <w:p w14:paraId="04209AC8">
      <w:pPr>
        <w:ind w:right="-105" w:rightChars="-50"/>
        <w:jc w:val="center"/>
        <w:rPr>
          <w:rFonts w:ascii="宋体" w:hAnsi="宋体"/>
          <w:sz w:val="28"/>
          <w:szCs w:val="28"/>
        </w:rPr>
      </w:pPr>
    </w:p>
    <w:p w14:paraId="0DA43C6F">
      <w:pPr>
        <w:pStyle w:val="11"/>
      </w:pPr>
    </w:p>
    <w:p w14:paraId="763A0747">
      <w:pPr>
        <w:spacing w:line="600" w:lineRule="auto"/>
        <w:ind w:left="1275" w:leftChars="607" w:right="-424" w:rightChars="-202" w:firstLine="1"/>
        <w:rPr>
          <w:rFonts w:hint="eastAsia" w:ascii="宋体" w:hAnsi="宋体"/>
          <w:sz w:val="30"/>
          <w:szCs w:val="30"/>
        </w:rPr>
      </w:pPr>
    </w:p>
    <w:p w14:paraId="3F3E275F">
      <w:pPr>
        <w:spacing w:line="600" w:lineRule="auto"/>
        <w:ind w:left="1275" w:leftChars="607" w:right="-424" w:rightChars="-202" w:firstLine="1"/>
        <w:rPr>
          <w:rFonts w:hint="eastAsia" w:ascii="宋体" w:hAnsi="宋体"/>
          <w:sz w:val="30"/>
          <w:szCs w:val="30"/>
        </w:rPr>
      </w:pPr>
    </w:p>
    <w:p w14:paraId="7599AA5C">
      <w:pPr>
        <w:spacing w:line="600" w:lineRule="auto"/>
        <w:ind w:left="1275" w:leftChars="607" w:right="-424" w:rightChars="-202" w:firstLine="1"/>
        <w:rPr>
          <w:rFonts w:hint="eastAsia" w:ascii="宋体" w:hAnsi="宋体"/>
          <w:sz w:val="30"/>
          <w:szCs w:val="30"/>
        </w:rPr>
      </w:pPr>
    </w:p>
    <w:p w14:paraId="572082A2">
      <w:pPr>
        <w:spacing w:line="600" w:lineRule="auto"/>
        <w:ind w:left="1275" w:leftChars="607" w:right="-424" w:rightChars="-202" w:firstLine="1"/>
        <w:rPr>
          <w:rFonts w:hint="eastAsia" w:ascii="宋体" w:hAnsi="宋体"/>
          <w:sz w:val="30"/>
          <w:szCs w:val="30"/>
          <w:lang w:val="en-US" w:eastAsia="zh-CN"/>
        </w:rPr>
      </w:pPr>
      <w:r>
        <w:rPr>
          <w:rFonts w:hint="eastAsia" w:ascii="宋体" w:hAnsi="宋体"/>
          <w:sz w:val="30"/>
          <w:szCs w:val="30"/>
        </w:rPr>
        <w:t>项目编号：</w:t>
      </w:r>
      <w:r>
        <w:rPr>
          <w:rFonts w:hint="eastAsia" w:ascii="宋体" w:hAnsi="宋体"/>
          <w:sz w:val="30"/>
          <w:szCs w:val="30"/>
          <w:lang w:val="en-US" w:eastAsia="zh-CN"/>
        </w:rPr>
        <w:t>ZYCG-Q.F.G-2024-128</w:t>
      </w:r>
    </w:p>
    <w:p w14:paraId="5B3F0D92">
      <w:pPr>
        <w:spacing w:line="600" w:lineRule="auto"/>
        <w:ind w:left="1275" w:leftChars="607" w:right="-424" w:rightChars="-202" w:firstLine="1"/>
        <w:rPr>
          <w:rFonts w:hint="eastAsia" w:ascii="宋体" w:hAnsi="宋体"/>
          <w:sz w:val="28"/>
          <w:szCs w:val="28"/>
          <w:lang w:eastAsia="zh-CN"/>
        </w:rPr>
      </w:pPr>
      <w:r>
        <w:rPr>
          <w:rFonts w:hint="eastAsia" w:ascii="宋体" w:hAnsi="宋体"/>
          <w:sz w:val="28"/>
          <w:szCs w:val="28"/>
        </w:rPr>
        <w:t>项目名称：</w:t>
      </w:r>
      <w:r>
        <w:rPr>
          <w:rFonts w:hint="eastAsia" w:ascii="宋体" w:hAnsi="宋体"/>
          <w:sz w:val="28"/>
          <w:szCs w:val="28"/>
          <w:lang w:eastAsia="zh-CN"/>
        </w:rPr>
        <w:t>舟山医院</w:t>
      </w:r>
      <w:r>
        <w:rPr>
          <w:rFonts w:hint="eastAsia" w:ascii="宋体" w:hAnsi="宋体"/>
          <w:sz w:val="28"/>
          <w:szCs w:val="28"/>
          <w:lang w:val="en-US" w:eastAsia="zh-CN"/>
        </w:rPr>
        <w:t>监控安防</w:t>
      </w:r>
      <w:r>
        <w:rPr>
          <w:rFonts w:hint="eastAsia" w:ascii="宋体" w:hAnsi="宋体"/>
          <w:sz w:val="28"/>
          <w:szCs w:val="28"/>
          <w:lang w:eastAsia="zh-CN"/>
        </w:rPr>
        <w:t>云存储租赁服务项目</w:t>
      </w:r>
    </w:p>
    <w:p w14:paraId="0F9FDB7D">
      <w:pPr>
        <w:spacing w:line="600" w:lineRule="auto"/>
        <w:ind w:left="1275" w:leftChars="607" w:right="-424" w:rightChars="-202" w:firstLine="1"/>
        <w:rPr>
          <w:rFonts w:hint="eastAsia" w:ascii="宋体" w:hAnsi="宋体"/>
          <w:sz w:val="30"/>
          <w:szCs w:val="30"/>
          <w:lang w:eastAsia="zh-CN"/>
        </w:rPr>
      </w:pPr>
      <w:r>
        <w:rPr>
          <w:rFonts w:hint="eastAsia" w:ascii="宋体" w:hAnsi="宋体"/>
          <w:sz w:val="30"/>
          <w:szCs w:val="30"/>
          <w:lang w:val="en-US" w:eastAsia="zh-CN"/>
        </w:rPr>
        <w:t>采购</w:t>
      </w:r>
      <w:r>
        <w:rPr>
          <w:rFonts w:hint="eastAsia" w:ascii="宋体" w:hAnsi="宋体"/>
          <w:sz w:val="30"/>
          <w:szCs w:val="30"/>
        </w:rPr>
        <w:t>单位：</w:t>
      </w:r>
      <w:r>
        <w:rPr>
          <w:rFonts w:hint="eastAsia" w:ascii="宋体" w:hAnsi="宋体"/>
          <w:sz w:val="30"/>
          <w:szCs w:val="30"/>
          <w:lang w:eastAsia="zh-CN"/>
        </w:rPr>
        <w:t>舟山医院</w:t>
      </w:r>
    </w:p>
    <w:p w14:paraId="29AE395B">
      <w:pPr>
        <w:spacing w:line="600" w:lineRule="auto"/>
        <w:ind w:left="1275" w:leftChars="607" w:right="-424" w:rightChars="-202" w:firstLine="1"/>
        <w:jc w:val="both"/>
        <w:rPr>
          <w:rFonts w:hint="eastAsia" w:ascii="宋体" w:hAnsi="宋体"/>
          <w:sz w:val="30"/>
          <w:szCs w:val="30"/>
          <w:lang w:val="en-US" w:eastAsia="zh-CN"/>
        </w:rPr>
      </w:pPr>
      <w:r>
        <w:rPr>
          <w:rFonts w:hint="eastAsia" w:ascii="宋体" w:hAnsi="宋体"/>
          <w:sz w:val="30"/>
          <w:szCs w:val="30"/>
          <w:lang w:val="en-US" w:eastAsia="zh-CN"/>
        </w:rPr>
        <w:t>招标代理单位：浙江省成套工程有限公司</w:t>
      </w:r>
    </w:p>
    <w:p w14:paraId="786D7B9A">
      <w:pPr>
        <w:spacing w:line="600" w:lineRule="auto"/>
        <w:ind w:left="1275" w:leftChars="607" w:right="-424" w:rightChars="-202" w:firstLine="1"/>
        <w:jc w:val="both"/>
        <w:rPr>
          <w:rFonts w:hint="eastAsia" w:ascii="宋体" w:hAnsi="宋体"/>
          <w:sz w:val="30"/>
          <w:szCs w:val="30"/>
          <w:lang w:val="en-US" w:eastAsia="zh-CN"/>
        </w:rPr>
      </w:pPr>
    </w:p>
    <w:p w14:paraId="0725105D">
      <w:pPr>
        <w:spacing w:line="600" w:lineRule="auto"/>
        <w:ind w:left="1275" w:leftChars="607" w:right="-424" w:rightChars="-202" w:firstLine="1767" w:firstLineChars="400"/>
        <w:jc w:val="both"/>
        <w:rPr>
          <w:rStyle w:val="58"/>
          <w:b/>
          <w:bCs/>
        </w:rPr>
      </w:pPr>
      <w:r>
        <w:rPr>
          <w:rStyle w:val="58"/>
          <w:rFonts w:hint="eastAsia"/>
          <w:b/>
          <w:bCs/>
        </w:rPr>
        <w:t>目录</w:t>
      </w:r>
    </w:p>
    <w:p w14:paraId="233E9E1F">
      <w:pPr>
        <w:spacing w:before="120" w:line="360" w:lineRule="auto"/>
        <w:rPr>
          <w:rFonts w:ascii="宋体" w:hAnsi="宋体" w:cs="宋体"/>
          <w:sz w:val="32"/>
          <w:szCs w:val="32"/>
        </w:rPr>
      </w:pPr>
      <w:r>
        <w:rPr>
          <w:rFonts w:hint="eastAsia" w:ascii="宋体" w:hAnsi="宋体" w:cs="宋体"/>
          <w:sz w:val="32"/>
          <w:szCs w:val="32"/>
        </w:rPr>
        <w:t>第一章竞争性磋商公告</w:t>
      </w:r>
    </w:p>
    <w:p w14:paraId="77C5BBA9">
      <w:pPr>
        <w:tabs>
          <w:tab w:val="left" w:pos="7248"/>
        </w:tabs>
        <w:spacing w:before="120" w:line="360" w:lineRule="auto"/>
        <w:rPr>
          <w:rFonts w:ascii="宋体" w:hAnsi="宋体" w:cs="宋体"/>
          <w:sz w:val="32"/>
          <w:szCs w:val="32"/>
        </w:rPr>
      </w:pPr>
      <w:r>
        <w:rPr>
          <w:rFonts w:hint="eastAsia" w:ascii="宋体" w:hAnsi="宋体" w:cs="宋体"/>
          <w:sz w:val="32"/>
          <w:szCs w:val="32"/>
        </w:rPr>
        <w:t>第二章采购需求</w:t>
      </w:r>
      <w:r>
        <w:rPr>
          <w:rFonts w:ascii="宋体" w:hAnsi="宋体" w:cs="宋体"/>
          <w:sz w:val="32"/>
          <w:szCs w:val="32"/>
        </w:rPr>
        <w:tab/>
      </w:r>
    </w:p>
    <w:p w14:paraId="60F66821">
      <w:pPr>
        <w:spacing w:before="120" w:line="360" w:lineRule="auto"/>
        <w:rPr>
          <w:rFonts w:ascii="宋体" w:hAnsi="宋体" w:cs="宋体"/>
          <w:sz w:val="32"/>
          <w:szCs w:val="32"/>
        </w:rPr>
      </w:pPr>
      <w:r>
        <w:rPr>
          <w:rFonts w:hint="eastAsia" w:ascii="宋体" w:hAnsi="宋体" w:cs="宋体"/>
          <w:sz w:val="32"/>
          <w:szCs w:val="32"/>
        </w:rPr>
        <w:t>第三章响应人须知</w:t>
      </w:r>
    </w:p>
    <w:p w14:paraId="5778D2B9">
      <w:pPr>
        <w:spacing w:before="120" w:line="360" w:lineRule="auto"/>
        <w:rPr>
          <w:rFonts w:hint="eastAsia" w:ascii="宋体" w:hAnsi="宋体" w:eastAsia="宋体" w:cs="宋体"/>
          <w:sz w:val="32"/>
          <w:szCs w:val="32"/>
          <w:lang w:eastAsia="zh-CN"/>
        </w:rPr>
      </w:pPr>
      <w:r>
        <w:rPr>
          <w:rFonts w:hint="eastAsia" w:ascii="宋体" w:hAnsi="宋体" w:cs="宋体"/>
          <w:sz w:val="32"/>
          <w:szCs w:val="32"/>
        </w:rPr>
        <w:t>前附表</w:t>
      </w:r>
    </w:p>
    <w:p w14:paraId="6230E584">
      <w:pPr>
        <w:spacing w:before="120" w:line="360" w:lineRule="auto"/>
        <w:rPr>
          <w:rFonts w:ascii="宋体" w:hAnsi="宋体" w:cs="宋体"/>
          <w:sz w:val="32"/>
          <w:szCs w:val="32"/>
        </w:rPr>
      </w:pPr>
      <w:r>
        <w:rPr>
          <w:rFonts w:hint="eastAsia" w:ascii="宋体" w:hAnsi="宋体" w:cs="宋体"/>
          <w:sz w:val="32"/>
          <w:szCs w:val="32"/>
        </w:rPr>
        <w:t>一、总则</w:t>
      </w:r>
    </w:p>
    <w:p w14:paraId="387E0E7A">
      <w:pPr>
        <w:spacing w:before="120" w:line="360" w:lineRule="auto"/>
        <w:rPr>
          <w:rFonts w:ascii="宋体" w:hAnsi="宋体" w:cs="宋体"/>
          <w:sz w:val="32"/>
          <w:szCs w:val="32"/>
        </w:rPr>
      </w:pPr>
      <w:r>
        <w:rPr>
          <w:rFonts w:hint="eastAsia" w:ascii="宋体" w:hAnsi="宋体" w:cs="宋体"/>
          <w:sz w:val="32"/>
          <w:szCs w:val="32"/>
        </w:rPr>
        <w:t>二、竞争性磋商文件</w:t>
      </w:r>
    </w:p>
    <w:p w14:paraId="686B816B">
      <w:pPr>
        <w:spacing w:before="120" w:line="360" w:lineRule="auto"/>
        <w:rPr>
          <w:rFonts w:ascii="宋体" w:hAnsi="宋体" w:cs="宋体"/>
          <w:sz w:val="32"/>
          <w:szCs w:val="32"/>
        </w:rPr>
      </w:pPr>
      <w:r>
        <w:rPr>
          <w:rFonts w:hint="eastAsia" w:ascii="宋体" w:hAnsi="宋体" w:cs="宋体"/>
          <w:sz w:val="32"/>
          <w:szCs w:val="32"/>
        </w:rPr>
        <w:t>三、响应文件的编制</w:t>
      </w:r>
    </w:p>
    <w:p w14:paraId="476B6B0A">
      <w:pPr>
        <w:spacing w:before="120" w:line="360" w:lineRule="auto"/>
        <w:rPr>
          <w:rFonts w:ascii="宋体" w:hAnsi="宋体" w:cs="宋体"/>
          <w:sz w:val="32"/>
          <w:szCs w:val="32"/>
        </w:rPr>
      </w:pPr>
      <w:r>
        <w:rPr>
          <w:rFonts w:hint="eastAsia" w:ascii="宋体" w:hAnsi="宋体" w:cs="宋体"/>
          <w:sz w:val="32"/>
          <w:szCs w:val="32"/>
        </w:rPr>
        <w:t>四、开标</w:t>
      </w:r>
    </w:p>
    <w:p w14:paraId="20907937">
      <w:pPr>
        <w:spacing w:before="120" w:line="360" w:lineRule="auto"/>
        <w:rPr>
          <w:rFonts w:ascii="宋体" w:hAnsi="宋体" w:cs="宋体"/>
          <w:sz w:val="32"/>
          <w:szCs w:val="32"/>
        </w:rPr>
      </w:pPr>
      <w:r>
        <w:rPr>
          <w:rFonts w:hint="eastAsia" w:ascii="宋体" w:hAnsi="宋体" w:cs="宋体"/>
          <w:sz w:val="32"/>
          <w:szCs w:val="32"/>
        </w:rPr>
        <w:t>五、评标</w:t>
      </w:r>
    </w:p>
    <w:p w14:paraId="6B916186">
      <w:pPr>
        <w:spacing w:before="120" w:line="360" w:lineRule="auto"/>
        <w:rPr>
          <w:rFonts w:ascii="宋体" w:hAnsi="宋体" w:cs="宋体"/>
          <w:sz w:val="32"/>
          <w:szCs w:val="32"/>
        </w:rPr>
      </w:pPr>
      <w:r>
        <w:rPr>
          <w:rFonts w:hint="eastAsia" w:ascii="宋体" w:hAnsi="宋体" w:cs="宋体"/>
          <w:sz w:val="32"/>
          <w:szCs w:val="32"/>
        </w:rPr>
        <w:t>六、定标</w:t>
      </w:r>
    </w:p>
    <w:p w14:paraId="1B8C48DA">
      <w:pPr>
        <w:spacing w:before="120" w:line="360" w:lineRule="auto"/>
        <w:rPr>
          <w:rFonts w:ascii="宋体" w:hAnsi="宋体" w:cs="宋体"/>
          <w:sz w:val="32"/>
          <w:szCs w:val="32"/>
        </w:rPr>
      </w:pPr>
      <w:r>
        <w:rPr>
          <w:rFonts w:hint="eastAsia" w:ascii="宋体" w:hAnsi="宋体" w:cs="宋体"/>
          <w:sz w:val="32"/>
          <w:szCs w:val="32"/>
        </w:rPr>
        <w:t>七、合同授予</w:t>
      </w:r>
    </w:p>
    <w:p w14:paraId="18B073C4">
      <w:pPr>
        <w:spacing w:before="120" w:line="360" w:lineRule="auto"/>
        <w:rPr>
          <w:rFonts w:ascii="宋体" w:hAnsi="宋体" w:cs="宋体"/>
          <w:sz w:val="32"/>
          <w:szCs w:val="32"/>
        </w:rPr>
      </w:pPr>
      <w:r>
        <w:rPr>
          <w:rFonts w:hint="eastAsia" w:ascii="宋体" w:hAnsi="宋体" w:cs="宋体"/>
          <w:sz w:val="32"/>
          <w:szCs w:val="32"/>
        </w:rPr>
        <w:t>第四章磋商办法及标准</w:t>
      </w:r>
    </w:p>
    <w:p w14:paraId="65CFEA51">
      <w:pPr>
        <w:spacing w:before="120" w:line="360" w:lineRule="auto"/>
        <w:rPr>
          <w:rFonts w:ascii="宋体" w:hAnsi="宋体" w:cs="宋体"/>
          <w:sz w:val="32"/>
          <w:szCs w:val="32"/>
        </w:rPr>
      </w:pPr>
      <w:r>
        <w:rPr>
          <w:rFonts w:hint="eastAsia" w:ascii="宋体" w:hAnsi="宋体" w:cs="宋体"/>
          <w:sz w:val="32"/>
          <w:szCs w:val="32"/>
        </w:rPr>
        <w:t>第五章合同主要条款</w:t>
      </w:r>
    </w:p>
    <w:p w14:paraId="6DC8C8EE">
      <w:pPr>
        <w:spacing w:before="120" w:line="360" w:lineRule="auto"/>
        <w:rPr>
          <w:rFonts w:ascii="宋体" w:hAnsi="宋体" w:cs="宋体"/>
          <w:sz w:val="32"/>
          <w:szCs w:val="32"/>
        </w:rPr>
      </w:pPr>
      <w:r>
        <w:rPr>
          <w:rFonts w:hint="eastAsia" w:ascii="宋体" w:hAnsi="宋体" w:cs="宋体"/>
          <w:sz w:val="32"/>
          <w:szCs w:val="32"/>
        </w:rPr>
        <w:t>第六章响应文件格式</w:t>
      </w:r>
    </w:p>
    <w:p w14:paraId="74A036AB">
      <w:pPr>
        <w:jc w:val="center"/>
        <w:rPr>
          <w:rFonts w:ascii="宋体" w:hAnsi="宋体" w:cs="宋体"/>
          <w:b/>
          <w:sz w:val="30"/>
        </w:rPr>
      </w:pPr>
      <w:r>
        <w:rPr>
          <w:rFonts w:ascii="宋体" w:hAnsi="宋体" w:cs="宋体"/>
          <w:b/>
          <w:sz w:val="30"/>
          <w:szCs w:val="30"/>
        </w:rPr>
        <w:br w:type="page"/>
      </w:r>
      <w:bookmarkStart w:id="1" w:name="OLE_LINK1"/>
      <w:r>
        <w:rPr>
          <w:rFonts w:hint="eastAsia" w:ascii="宋体" w:hAnsi="宋体" w:cs="宋体"/>
          <w:b/>
          <w:sz w:val="30"/>
        </w:rPr>
        <w:t>第一章</w:t>
      </w:r>
      <w:bookmarkStart w:id="2" w:name="OLE_LINK3"/>
      <w:bookmarkStart w:id="3" w:name="OLE_LINK2"/>
      <w:bookmarkStart w:id="4" w:name="OLE_LINK4"/>
      <w:r>
        <w:rPr>
          <w:rFonts w:hint="eastAsia" w:ascii="宋体" w:hAnsi="宋体" w:cs="宋体"/>
          <w:b/>
          <w:sz w:val="30"/>
        </w:rPr>
        <w:t>竞争性磋商公告</w:t>
      </w:r>
    </w:p>
    <w:bookmarkEnd w:id="1"/>
    <w:bookmarkEnd w:id="2"/>
    <w:bookmarkEnd w:id="3"/>
    <w:bookmarkEnd w:id="4"/>
    <w:p w14:paraId="3686EEE8">
      <w:pPr>
        <w:widowControl/>
        <w:spacing w:line="360" w:lineRule="exact"/>
        <w:jc w:val="left"/>
        <w:rPr>
          <w:rFonts w:ascii="宋体" w:hAnsi="宋体" w:cs="宋体"/>
          <w:kern w:val="0"/>
          <w:szCs w:val="21"/>
        </w:rPr>
      </w:pPr>
    </w:p>
    <w:tbl>
      <w:tblPr>
        <w:tblStyle w:val="29"/>
        <w:tblW w:w="87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14:paraId="5A28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tcPr>
          <w:p w14:paraId="100C6413">
            <w:pPr>
              <w:widowControl/>
              <w:spacing w:line="360" w:lineRule="exact"/>
              <w:jc w:val="center"/>
              <w:rPr>
                <w:rFonts w:ascii="宋体" w:hAnsi="宋体" w:cs="宋体"/>
                <w:kern w:val="0"/>
                <w:szCs w:val="21"/>
              </w:rPr>
            </w:pPr>
            <w:r>
              <w:rPr>
                <w:rFonts w:hint="eastAsia" w:ascii="宋体" w:hAnsi="宋体" w:cs="宋体"/>
                <w:kern w:val="0"/>
                <w:szCs w:val="21"/>
              </w:rPr>
              <w:t>项目概况</w:t>
            </w:r>
          </w:p>
          <w:p w14:paraId="6E04A8C3">
            <w:pPr>
              <w:widowControl/>
              <w:adjustRightInd w:val="0"/>
              <w:snapToGrid w:val="0"/>
              <w:spacing w:line="360" w:lineRule="exact"/>
              <w:ind w:firstLine="420" w:firstLineChars="200"/>
            </w:pPr>
            <w:r>
              <w:rPr>
                <w:rFonts w:hint="eastAsia" w:ascii="宋体" w:hAnsi="宋体" w:cs="宋体"/>
                <w:kern w:val="0"/>
                <w:szCs w:val="21"/>
                <w:lang w:eastAsia="zh-CN"/>
              </w:rPr>
              <w:t>舟山医院</w:t>
            </w:r>
            <w:r>
              <w:rPr>
                <w:rFonts w:hint="eastAsia" w:ascii="宋体" w:hAnsi="宋体" w:cs="宋体"/>
                <w:kern w:val="0"/>
                <w:szCs w:val="21"/>
                <w:lang w:val="en-US" w:eastAsia="zh-CN"/>
              </w:rPr>
              <w:t>监控安防</w:t>
            </w:r>
            <w:r>
              <w:rPr>
                <w:rFonts w:hint="eastAsia" w:ascii="宋体" w:hAnsi="宋体" w:cs="宋体"/>
                <w:kern w:val="0"/>
                <w:szCs w:val="21"/>
                <w:lang w:eastAsia="zh-CN"/>
              </w:rPr>
              <w:t>云存储租赁服务项目</w:t>
            </w:r>
            <w:r>
              <w:rPr>
                <w:rFonts w:hint="eastAsia" w:ascii="宋体" w:hAnsi="宋体" w:cs="宋体"/>
                <w:kern w:val="0"/>
                <w:szCs w:val="21"/>
              </w:rPr>
              <w:t>的潜在供应商应在浙江政府采购网http://zfcg.czt.zj.gov.cn/（用“政采云”注册账号、密码登录系统后获取招标文件）获取（下载）采购文件，并于2024年</w:t>
            </w:r>
            <w:r>
              <w:rPr>
                <w:rFonts w:hint="eastAsia" w:ascii="宋体" w:hAnsi="宋体" w:cs="宋体"/>
                <w:kern w:val="0"/>
                <w:szCs w:val="21"/>
                <w:lang w:val="en-US" w:eastAsia="zh-CN"/>
              </w:rPr>
              <w:t xml:space="preserve"> 12 </w:t>
            </w:r>
            <w:r>
              <w:rPr>
                <w:rFonts w:hint="eastAsia" w:ascii="宋体" w:hAnsi="宋体" w:cs="宋体"/>
                <w:kern w:val="0"/>
                <w:szCs w:val="21"/>
              </w:rPr>
              <w:t>月</w:t>
            </w:r>
            <w:r>
              <w:rPr>
                <w:rFonts w:hint="eastAsia" w:ascii="宋体" w:hAnsi="宋体" w:cs="宋体"/>
                <w:kern w:val="0"/>
                <w:szCs w:val="21"/>
                <w:lang w:val="en-US" w:eastAsia="zh-CN"/>
              </w:rPr>
              <w:t xml:space="preserve"> 30  </w:t>
            </w:r>
            <w:r>
              <w:rPr>
                <w:rFonts w:hint="eastAsia" w:ascii="宋体" w:hAnsi="宋体" w:cs="宋体"/>
                <w:kern w:val="0"/>
                <w:szCs w:val="21"/>
              </w:rPr>
              <w:t>日</w:t>
            </w:r>
            <w:r>
              <w:rPr>
                <w:rFonts w:hint="eastAsia" w:ascii="宋体" w:hAnsi="宋体" w:cs="宋体"/>
                <w:kern w:val="0"/>
                <w:szCs w:val="21"/>
                <w:highlight w:val="none"/>
                <w:lang w:val="en-US" w:eastAsia="zh-CN"/>
              </w:rPr>
              <w:t>09</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rPr>
              <w:t>（北京时间）前提交（上传）响应文件。</w:t>
            </w:r>
          </w:p>
        </w:tc>
      </w:tr>
    </w:tbl>
    <w:p w14:paraId="5CEBC8AF">
      <w:pPr>
        <w:widowControl/>
        <w:spacing w:line="360" w:lineRule="exact"/>
        <w:jc w:val="left"/>
        <w:rPr>
          <w:rFonts w:ascii="宋体" w:hAnsi="宋体" w:cs="宋体"/>
          <w:kern w:val="0"/>
          <w:szCs w:val="21"/>
        </w:rPr>
      </w:pPr>
    </w:p>
    <w:p w14:paraId="6744BA67">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b/>
          <w:bCs/>
          <w:kern w:val="0"/>
          <w:szCs w:val="21"/>
        </w:rPr>
        <w:t>一、项目基本情况</w:t>
      </w:r>
    </w:p>
    <w:p w14:paraId="0B4B7F6A">
      <w:pPr>
        <w:widowControl/>
        <w:adjustRightInd w:val="0"/>
        <w:snapToGrid w:val="0"/>
        <w:spacing w:line="360" w:lineRule="exact"/>
        <w:rPr>
          <w:rFonts w:hint="eastAsia" w:ascii="宋体" w:hAnsi="宋体" w:cs="宋体"/>
          <w:kern w:val="0"/>
          <w:szCs w:val="21"/>
          <w:lang w:val="en-US" w:eastAsia="zh-CN"/>
        </w:rPr>
      </w:pPr>
      <w:r>
        <w:rPr>
          <w:rFonts w:hint="eastAsia" w:ascii="宋体" w:hAnsi="宋体" w:cs="宋体"/>
          <w:kern w:val="0"/>
          <w:szCs w:val="21"/>
        </w:rPr>
        <w:t>项目编号：</w:t>
      </w:r>
      <w:r>
        <w:rPr>
          <w:rFonts w:hint="eastAsia" w:ascii="宋体" w:hAnsi="宋体" w:cs="宋体"/>
          <w:kern w:val="0"/>
          <w:szCs w:val="21"/>
          <w:lang w:val="en-US" w:eastAsia="zh-CN"/>
        </w:rPr>
        <w:t>ZYCG-Q.F.G-2024-128</w:t>
      </w:r>
    </w:p>
    <w:p w14:paraId="26A4112A">
      <w:pPr>
        <w:widowControl/>
        <w:adjustRightInd w:val="0"/>
        <w:snapToGrid w:val="0"/>
        <w:spacing w:line="360" w:lineRule="exact"/>
        <w:rPr>
          <w:rFonts w:hint="eastAsia" w:ascii="宋体" w:hAnsi="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舟山医院</w:t>
      </w:r>
      <w:r>
        <w:rPr>
          <w:rFonts w:hint="eastAsia" w:ascii="宋体" w:hAnsi="宋体" w:cs="宋体"/>
          <w:kern w:val="0"/>
          <w:szCs w:val="21"/>
          <w:lang w:val="en-US" w:eastAsia="zh-CN"/>
        </w:rPr>
        <w:t>监控安防</w:t>
      </w:r>
      <w:r>
        <w:rPr>
          <w:rFonts w:hint="eastAsia" w:ascii="宋体" w:hAnsi="宋体" w:cs="宋体"/>
          <w:kern w:val="0"/>
          <w:szCs w:val="21"/>
          <w:lang w:eastAsia="zh-CN"/>
        </w:rPr>
        <w:t>云存储租赁服务项目</w:t>
      </w:r>
    </w:p>
    <w:p w14:paraId="33596F46">
      <w:pPr>
        <w:widowControl/>
        <w:adjustRightInd w:val="0"/>
        <w:snapToGrid w:val="0"/>
        <w:spacing w:line="360" w:lineRule="exact"/>
        <w:rPr>
          <w:rFonts w:ascii="宋体" w:hAnsi="宋体" w:cs="宋体"/>
          <w:kern w:val="0"/>
          <w:szCs w:val="21"/>
        </w:rPr>
      </w:pPr>
      <w:r>
        <w:rPr>
          <w:rFonts w:hint="eastAsia" w:ascii="宋体" w:hAnsi="宋体" w:cs="宋体"/>
          <w:kern w:val="0"/>
          <w:szCs w:val="21"/>
        </w:rPr>
        <w:t>采购方式：竞争性磋商</w:t>
      </w:r>
    </w:p>
    <w:p w14:paraId="0EA7EB95">
      <w:pPr>
        <w:widowControl/>
        <w:adjustRightInd w:val="0"/>
        <w:snapToGrid w:val="0"/>
        <w:spacing w:line="360" w:lineRule="exact"/>
        <w:rPr>
          <w:rFonts w:hint="eastAsia" w:ascii="宋体" w:hAnsi="宋体" w:cs="宋体"/>
          <w:kern w:val="0"/>
          <w:szCs w:val="21"/>
          <w:lang w:val="en-US" w:eastAsia="zh-CN"/>
        </w:rPr>
      </w:pPr>
      <w:r>
        <w:rPr>
          <w:rFonts w:hint="eastAsia" w:ascii="宋体" w:hAnsi="宋体" w:cs="宋体"/>
          <w:kern w:val="0"/>
          <w:szCs w:val="21"/>
        </w:rPr>
        <w:t>预算金额（元）：</w:t>
      </w:r>
      <w:r>
        <w:rPr>
          <w:rFonts w:hint="eastAsia" w:ascii="宋体" w:hAnsi="宋体" w:cs="宋体"/>
          <w:kern w:val="0"/>
          <w:szCs w:val="21"/>
          <w:lang w:val="en-US" w:eastAsia="zh-CN"/>
        </w:rPr>
        <w:t>2500000</w:t>
      </w:r>
    </w:p>
    <w:p w14:paraId="3964F228">
      <w:pPr>
        <w:widowControl/>
        <w:adjustRightInd w:val="0"/>
        <w:snapToGrid w:val="0"/>
        <w:spacing w:line="360" w:lineRule="exact"/>
        <w:rPr>
          <w:rFonts w:hint="eastAsia" w:ascii="宋体" w:hAnsi="宋体" w:eastAsia="宋体" w:cs="Calibri"/>
          <w:kern w:val="0"/>
          <w:szCs w:val="21"/>
          <w:lang w:eastAsia="zh-CN"/>
        </w:rPr>
      </w:pPr>
      <w:r>
        <w:rPr>
          <w:rFonts w:hint="eastAsia" w:ascii="宋体" w:hAnsi="宋体" w:cs="宋体"/>
          <w:kern w:val="0"/>
          <w:szCs w:val="21"/>
        </w:rPr>
        <w:t>最高限价（元）：</w:t>
      </w:r>
      <w:r>
        <w:rPr>
          <w:rFonts w:hint="eastAsia" w:ascii="宋体" w:hAnsi="宋体" w:cs="宋体"/>
          <w:kern w:val="0"/>
          <w:szCs w:val="21"/>
          <w:lang w:val="en-US" w:eastAsia="zh-CN"/>
        </w:rPr>
        <w:t>2500000</w:t>
      </w:r>
    </w:p>
    <w:p w14:paraId="5136DBED">
      <w:pPr>
        <w:widowControl/>
        <w:adjustRightInd w:val="0"/>
        <w:snapToGrid w:val="0"/>
        <w:spacing w:line="360" w:lineRule="exact"/>
        <w:rPr>
          <w:rFonts w:ascii="宋体" w:hAnsi="宋体" w:cs="宋体"/>
          <w:kern w:val="0"/>
          <w:szCs w:val="21"/>
        </w:rPr>
      </w:pPr>
      <w:r>
        <w:rPr>
          <w:rFonts w:hint="eastAsia" w:ascii="宋体" w:hAnsi="宋体" w:cs="宋体"/>
          <w:kern w:val="0"/>
          <w:szCs w:val="21"/>
        </w:rPr>
        <w:t>数量:/</w:t>
      </w:r>
    </w:p>
    <w:p w14:paraId="414CE4AE">
      <w:pPr>
        <w:widowControl/>
        <w:adjustRightInd w:val="0"/>
        <w:snapToGrid w:val="0"/>
        <w:spacing w:line="360" w:lineRule="exact"/>
        <w:rPr>
          <w:rFonts w:hint="eastAsia" w:ascii="宋体" w:hAnsi="宋体" w:eastAsia="宋体" w:cs="Calibri"/>
          <w:kern w:val="0"/>
          <w:szCs w:val="21"/>
          <w:lang w:eastAsia="zh-CN"/>
        </w:rPr>
      </w:pPr>
      <w:r>
        <w:rPr>
          <w:rFonts w:hint="eastAsia" w:ascii="宋体" w:hAnsi="宋体" w:cs="宋体"/>
          <w:kern w:val="0"/>
          <w:szCs w:val="21"/>
        </w:rPr>
        <w:t>预算金额（元）：</w:t>
      </w:r>
      <w:r>
        <w:rPr>
          <w:rFonts w:hint="eastAsia" w:ascii="宋体" w:hAnsi="宋体" w:cs="宋体"/>
          <w:kern w:val="0"/>
          <w:szCs w:val="21"/>
          <w:lang w:val="en-US" w:eastAsia="zh-CN"/>
        </w:rPr>
        <w:t>2500000</w:t>
      </w:r>
    </w:p>
    <w:p w14:paraId="1B7F2EB1">
      <w:pPr>
        <w:widowControl/>
        <w:adjustRightInd w:val="0"/>
        <w:snapToGrid w:val="0"/>
        <w:spacing w:line="360" w:lineRule="exact"/>
        <w:rPr>
          <w:rFonts w:ascii="宋体" w:hAnsi="宋体" w:cs="宋体"/>
          <w:kern w:val="0"/>
          <w:szCs w:val="21"/>
        </w:rPr>
      </w:pPr>
      <w:r>
        <w:rPr>
          <w:rFonts w:hint="eastAsia" w:ascii="宋体" w:hAnsi="宋体" w:cs="宋体"/>
          <w:kern w:val="0"/>
          <w:szCs w:val="21"/>
        </w:rPr>
        <w:t>单位：项</w:t>
      </w:r>
    </w:p>
    <w:p w14:paraId="1C9D54DA">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简要规格描述：</w:t>
      </w:r>
      <w:r>
        <w:rPr>
          <w:rFonts w:hint="eastAsia" w:ascii="宋体" w:hAnsi="宋体" w:cs="宋体"/>
          <w:kern w:val="0"/>
          <w:szCs w:val="21"/>
          <w:lang w:val="en-US" w:eastAsia="zh-CN"/>
        </w:rPr>
        <w:t>舟山医院监控安防云存储租赁服务项目，</w:t>
      </w:r>
      <w:r>
        <w:rPr>
          <w:rFonts w:hint="eastAsia" w:ascii="宋体" w:hAnsi="宋体" w:cs="宋体"/>
          <w:kern w:val="0"/>
          <w:szCs w:val="21"/>
        </w:rPr>
        <w:t>详见采购需求</w:t>
      </w:r>
      <w:r>
        <w:rPr>
          <w:rFonts w:hint="eastAsia" w:ascii="宋体" w:hAnsi="宋体" w:cs="宋体"/>
          <w:kern w:val="0"/>
          <w:szCs w:val="21"/>
          <w:lang w:eastAsia="zh-CN"/>
        </w:rPr>
        <w:t>。</w:t>
      </w:r>
    </w:p>
    <w:p w14:paraId="496EC191">
      <w:pPr>
        <w:widowControl/>
        <w:adjustRightInd w:val="0"/>
        <w:snapToGrid w:val="0"/>
        <w:spacing w:line="360" w:lineRule="exac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Calibri"/>
          <w:kern w:val="0"/>
          <w:szCs w:val="21"/>
          <w:lang w:val="en-US" w:eastAsia="zh-CN"/>
        </w:rPr>
        <w:t>/</w:t>
      </w:r>
    </w:p>
    <w:p w14:paraId="7B77BC08">
      <w:pPr>
        <w:widowControl/>
        <w:adjustRightInd w:val="0"/>
        <w:snapToGrid w:val="0"/>
        <w:spacing w:line="360" w:lineRule="exact"/>
        <w:rPr>
          <w:rFonts w:hint="eastAsia" w:ascii="宋体" w:hAnsi="宋体" w:cs="宋体"/>
          <w:kern w:val="0"/>
          <w:szCs w:val="21"/>
          <w:highlight w:val="none"/>
          <w:lang w:val="en-US" w:eastAsia="zh-CN"/>
        </w:rPr>
      </w:pPr>
      <w:r>
        <w:rPr>
          <w:rFonts w:hint="eastAsia" w:ascii="宋体" w:hAnsi="宋体" w:cs="宋体"/>
          <w:kern w:val="0"/>
          <w:szCs w:val="21"/>
          <w:highlight w:val="none"/>
        </w:rPr>
        <w:t>合同履约期限：</w:t>
      </w:r>
      <w:r>
        <w:rPr>
          <w:rFonts w:hint="eastAsia" w:ascii="宋体" w:hAnsi="宋体" w:cs="宋体"/>
          <w:kern w:val="0"/>
          <w:szCs w:val="21"/>
          <w:highlight w:val="none"/>
          <w:lang w:val="en-US" w:eastAsia="zh-CN"/>
        </w:rPr>
        <w:t>合同签订后一个月内完成系统安装部署，并通过验收；自系统安装部署验收通过后租赁服务期3年。</w:t>
      </w:r>
    </w:p>
    <w:p w14:paraId="36402D5B">
      <w:pPr>
        <w:widowControl/>
        <w:adjustRightInd w:val="0"/>
        <w:snapToGrid w:val="0"/>
        <w:spacing w:line="360" w:lineRule="exact"/>
        <w:rPr>
          <w:rFonts w:ascii="宋体" w:hAnsi="宋体" w:cs="宋体"/>
          <w:kern w:val="0"/>
          <w:szCs w:val="21"/>
        </w:rPr>
      </w:pPr>
      <w:r>
        <w:rPr>
          <w:rFonts w:hint="eastAsia" w:ascii="宋体" w:hAnsi="宋体" w:cs="宋体"/>
          <w:kern w:val="0"/>
          <w:szCs w:val="21"/>
        </w:rPr>
        <w:t>本项目（否）接受联合体投标。</w:t>
      </w:r>
    </w:p>
    <w:p w14:paraId="4C9B6522">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二、申请人的资格要求：</w:t>
      </w:r>
    </w:p>
    <w:p w14:paraId="4707E8B1">
      <w:pPr>
        <w:widowControl/>
        <w:adjustRightInd w:val="0"/>
        <w:snapToGrid w:val="0"/>
        <w:spacing w:line="360" w:lineRule="exact"/>
        <w:rPr>
          <w:rFonts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EEEADD3">
      <w:pPr>
        <w:widowControl/>
        <w:adjustRightInd w:val="0"/>
        <w:snapToGrid w:val="0"/>
        <w:spacing w:line="360" w:lineRule="exact"/>
        <w:rPr>
          <w:rFonts w:hint="eastAsia"/>
          <w:color w:val="auto"/>
          <w:szCs w:val="21"/>
          <w:highlight w:val="none"/>
        </w:rPr>
      </w:pPr>
      <w:r>
        <w:rPr>
          <w:rFonts w:hint="eastAsia" w:ascii="宋体" w:hAnsi="宋体" w:cs="宋体"/>
          <w:kern w:val="0"/>
          <w:szCs w:val="21"/>
        </w:rPr>
        <w:t>2.落实政府采购政策需满足的资格要求：</w:t>
      </w:r>
      <w:r>
        <w:rPr>
          <w:rFonts w:hint="eastAsia"/>
          <w:color w:val="auto"/>
          <w:szCs w:val="21"/>
          <w:highlight w:val="none"/>
        </w:rPr>
        <w:t>本项目不专门面向中小企业。（按照本办法规定预留采购份额无法确保充分供应、充分竞争，或者存在可能影响政府采购目标实现的情形）</w:t>
      </w:r>
    </w:p>
    <w:p w14:paraId="74493ABA">
      <w:pPr>
        <w:widowControl/>
        <w:adjustRightInd w:val="0"/>
        <w:snapToGrid w:val="0"/>
        <w:spacing w:line="360" w:lineRule="exact"/>
        <w:rPr>
          <w:szCs w:val="21"/>
        </w:rPr>
      </w:pPr>
      <w:r>
        <w:rPr>
          <w:rFonts w:hint="eastAsia" w:ascii="宋体" w:hAnsi="宋体" w:cs="宋体"/>
          <w:kern w:val="0"/>
          <w:szCs w:val="21"/>
        </w:rPr>
        <w:t>3.本项目的特定资格要求：/</w:t>
      </w:r>
      <w:r>
        <w:rPr>
          <w:rFonts w:hint="eastAsia"/>
          <w:szCs w:val="21"/>
        </w:rPr>
        <w:t>。</w:t>
      </w:r>
    </w:p>
    <w:p w14:paraId="00DD1056">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三、获取（下载）采购文件</w:t>
      </w:r>
      <w:r>
        <w:rPr>
          <w:rFonts w:hint="eastAsia" w:ascii="宋体" w:hAnsi="宋体" w:cs="Calibri"/>
          <w:kern w:val="0"/>
          <w:szCs w:val="21"/>
        </w:rPr>
        <w:t> </w:t>
      </w:r>
    </w:p>
    <w:p w14:paraId="39794A1F">
      <w:pPr>
        <w:widowControl/>
        <w:adjustRightInd w:val="0"/>
        <w:snapToGrid w:val="0"/>
        <w:spacing w:line="360" w:lineRule="exact"/>
        <w:rPr>
          <w:rFonts w:ascii="宋体" w:hAnsi="宋体" w:cs="宋体"/>
          <w:kern w:val="0"/>
          <w:szCs w:val="21"/>
        </w:rPr>
      </w:pPr>
      <w:r>
        <w:rPr>
          <w:rFonts w:hint="eastAsia" w:ascii="宋体" w:hAnsi="宋体" w:cs="宋体"/>
          <w:kern w:val="0"/>
          <w:szCs w:val="21"/>
        </w:rPr>
        <w:t>时间</w:t>
      </w:r>
      <w:r>
        <w:rPr>
          <w:rFonts w:hint="eastAsia" w:ascii="宋体" w:hAnsi="宋体" w:cs="宋体"/>
          <w:kern w:val="0"/>
          <w:szCs w:val="21"/>
          <w:highlight w:val="none"/>
        </w:rPr>
        <w:t>：</w:t>
      </w:r>
      <w:r>
        <w:rPr>
          <w:rFonts w:hint="eastAsia" w:ascii="宋体" w:hAnsi="宋体" w:cs="宋体"/>
          <w:kern w:val="0"/>
          <w:szCs w:val="21"/>
          <w:highlight w:val="none"/>
          <w:lang w:val="en-US" w:eastAsia="zh-CN"/>
        </w:rPr>
        <w:t>/</w:t>
      </w:r>
      <w:r>
        <w:rPr>
          <w:rFonts w:hint="eastAsia" w:ascii="宋体" w:hAnsi="宋体" w:cs="宋体"/>
          <w:kern w:val="0"/>
          <w:szCs w:val="21"/>
          <w:highlight w:val="none"/>
        </w:rPr>
        <w:t>至2024年</w:t>
      </w:r>
      <w:r>
        <w:rPr>
          <w:rFonts w:hint="eastAsia" w:ascii="宋体" w:hAnsi="宋体" w:cs="宋体"/>
          <w:kern w:val="0"/>
          <w:szCs w:val="21"/>
          <w:highlight w:val="none"/>
          <w:lang w:val="en-US" w:eastAsia="zh-CN"/>
        </w:rPr>
        <w:t xml:space="preserve"> 12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30 </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09</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highlight w:val="none"/>
        </w:rPr>
        <w:t>，</w:t>
      </w:r>
      <w:r>
        <w:rPr>
          <w:rFonts w:hint="eastAsia" w:ascii="宋体" w:hAnsi="宋体" w:cs="宋体"/>
          <w:kern w:val="0"/>
          <w:szCs w:val="21"/>
        </w:rPr>
        <w:t>每天上午00:00至12:00，下午12:00至23:59（北京时间，线上获取法定节假日均可，线下获取文件法定节假日除外）</w:t>
      </w:r>
    </w:p>
    <w:p w14:paraId="45599F30">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Style w:val="35"/>
          <w:rFonts w:hint="eastAsia" w:ascii="宋体" w:hAnsi="宋体" w:cs="宋体"/>
          <w:color w:val="auto"/>
          <w:kern w:val="0"/>
        </w:rPr>
        <w:t>https://www.zcygov.cn/</w:t>
      </w:r>
      <w:r>
        <w:rPr>
          <w:rStyle w:val="35"/>
          <w:rFonts w:hint="eastAsia" w:ascii="宋体" w:hAnsi="宋体" w:cs="宋体"/>
          <w:color w:val="auto"/>
          <w:kern w:val="0"/>
        </w:rPr>
        <w:fldChar w:fldCharType="end"/>
      </w:r>
      <w:r>
        <w:rPr>
          <w:rFonts w:hint="eastAsia" w:ascii="宋体" w:hAnsi="宋体" w:cs="宋体"/>
          <w:kern w:val="0"/>
          <w:szCs w:val="21"/>
        </w:rPr>
        <w:t>）</w:t>
      </w:r>
    </w:p>
    <w:p w14:paraId="55468BF4">
      <w:pPr>
        <w:widowControl/>
        <w:adjustRightInd w:val="0"/>
        <w:snapToGrid w:val="0"/>
        <w:spacing w:line="360" w:lineRule="exact"/>
        <w:rPr>
          <w:rFonts w:ascii="宋体" w:hAnsi="宋体" w:cs="宋体"/>
          <w:kern w:val="0"/>
          <w:szCs w:val="21"/>
        </w:rPr>
      </w:pPr>
      <w:r>
        <w:rPr>
          <w:rFonts w:hint="eastAsia" w:ascii="宋体" w:hAnsi="宋体" w:cs="宋体"/>
          <w:kern w:val="0"/>
          <w:szCs w:val="21"/>
        </w:rPr>
        <w:t>方式：供应商登录政采云平台https://www.zcygov.cn/在线申请获取采购文件（进入“项目采购”应用，在获取采购文件菜单中选择项目，申请获取采购文件）</w:t>
      </w:r>
    </w:p>
    <w:p w14:paraId="6713ACE4">
      <w:pPr>
        <w:widowControl/>
        <w:adjustRightInd w:val="0"/>
        <w:snapToGrid w:val="0"/>
        <w:spacing w:line="360" w:lineRule="exact"/>
        <w:rPr>
          <w:rFonts w:ascii="宋体" w:hAnsi="宋体" w:cs="宋体"/>
          <w:kern w:val="0"/>
          <w:szCs w:val="21"/>
        </w:rPr>
      </w:pPr>
      <w:r>
        <w:rPr>
          <w:rFonts w:hint="eastAsia" w:ascii="宋体" w:hAnsi="宋体" w:cs="宋体"/>
          <w:kern w:val="0"/>
          <w:szCs w:val="21"/>
        </w:rPr>
        <w:t>售价（元）：0</w:t>
      </w:r>
      <w:r>
        <w:rPr>
          <w:rFonts w:hint="eastAsia" w:ascii="宋体" w:hAnsi="宋体" w:cs="Calibri"/>
          <w:kern w:val="0"/>
          <w:szCs w:val="21"/>
        </w:rPr>
        <w:t> </w:t>
      </w:r>
    </w:p>
    <w:p w14:paraId="32C9BFFB">
      <w:pPr>
        <w:widowControl/>
        <w:adjustRightInd w:val="0"/>
        <w:snapToGrid w:val="0"/>
        <w:spacing w:line="360" w:lineRule="exact"/>
        <w:rPr>
          <w:rFonts w:hint="eastAsia" w:ascii="宋体" w:hAnsi="宋体" w:eastAsia="宋体" w:cs="宋体"/>
          <w:b/>
          <w:bCs/>
          <w:kern w:val="0"/>
          <w:szCs w:val="21"/>
          <w:lang w:eastAsia="zh-CN"/>
        </w:rPr>
      </w:pPr>
      <w:r>
        <w:rPr>
          <w:rFonts w:hint="eastAsia" w:ascii="宋体" w:hAnsi="宋体" w:cs="宋体"/>
          <w:b/>
          <w:bCs/>
          <w:kern w:val="0"/>
          <w:szCs w:val="21"/>
        </w:rPr>
        <w:t>四、响应文件提交（上传）</w:t>
      </w:r>
    </w:p>
    <w:p w14:paraId="75FCF857">
      <w:pPr>
        <w:widowControl/>
        <w:adjustRightInd w:val="0"/>
        <w:snapToGrid w:val="0"/>
        <w:spacing w:line="360" w:lineRule="exact"/>
        <w:rPr>
          <w:rFonts w:ascii="宋体" w:hAnsi="宋体" w:cs="宋体"/>
          <w:kern w:val="0"/>
          <w:szCs w:val="21"/>
          <w:highlight w:val="none"/>
        </w:rPr>
      </w:pPr>
      <w:r>
        <w:rPr>
          <w:rFonts w:hint="eastAsia" w:ascii="宋体" w:hAnsi="宋体" w:cs="宋体"/>
          <w:kern w:val="0"/>
          <w:szCs w:val="21"/>
        </w:rPr>
        <w:t>截止时间</w:t>
      </w: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 xml:space="preserve"> 12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30 </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09</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highlight w:val="none"/>
        </w:rPr>
        <w:t>（北京时间）</w:t>
      </w:r>
    </w:p>
    <w:p w14:paraId="2E5BA08B">
      <w:pPr>
        <w:widowControl/>
        <w:adjustRightInd w:val="0"/>
        <w:snapToGrid w:val="0"/>
        <w:spacing w:line="360" w:lineRule="exact"/>
        <w:rPr>
          <w:rFonts w:ascii="宋体" w:hAnsi="宋体" w:cs="宋体"/>
          <w:kern w:val="0"/>
          <w:szCs w:val="21"/>
        </w:rPr>
      </w:pPr>
      <w:r>
        <w:rPr>
          <w:rFonts w:hint="eastAsia" w:ascii="宋体" w:hAnsi="宋体" w:cs="宋体"/>
          <w:kern w:val="0"/>
          <w:szCs w:val="21"/>
        </w:rPr>
        <w:t>地点（网址）：请登录政采云投标客户端投标</w:t>
      </w:r>
    </w:p>
    <w:p w14:paraId="6CB99A41">
      <w:pPr>
        <w:widowControl/>
        <w:adjustRightInd w:val="0"/>
        <w:snapToGrid w:val="0"/>
        <w:spacing w:line="360" w:lineRule="exact"/>
        <w:rPr>
          <w:rFonts w:hint="eastAsia" w:ascii="宋体" w:hAnsi="宋体" w:eastAsia="宋体" w:cs="宋体"/>
          <w:b/>
          <w:bCs/>
          <w:kern w:val="0"/>
          <w:szCs w:val="21"/>
          <w:lang w:eastAsia="zh-CN"/>
        </w:rPr>
      </w:pPr>
      <w:r>
        <w:rPr>
          <w:rFonts w:hint="eastAsia" w:ascii="宋体" w:hAnsi="宋体" w:cs="宋体"/>
          <w:b/>
          <w:bCs/>
          <w:kern w:val="0"/>
          <w:szCs w:val="21"/>
        </w:rPr>
        <w:t>五、响应文件开启</w:t>
      </w:r>
    </w:p>
    <w:p w14:paraId="16FEDFB0">
      <w:pPr>
        <w:widowControl/>
        <w:adjustRightInd w:val="0"/>
        <w:snapToGrid w:val="0"/>
        <w:spacing w:line="360" w:lineRule="exact"/>
        <w:rPr>
          <w:rFonts w:ascii="宋体" w:hAnsi="宋体" w:cs="宋体"/>
          <w:kern w:val="0"/>
          <w:szCs w:val="21"/>
        </w:rPr>
      </w:pPr>
      <w:r>
        <w:rPr>
          <w:rFonts w:hint="eastAsia" w:ascii="宋体" w:hAnsi="宋体" w:cs="宋体"/>
          <w:kern w:val="0"/>
          <w:szCs w:val="21"/>
        </w:rPr>
        <w:t>开启时间：2024年</w:t>
      </w:r>
      <w:r>
        <w:rPr>
          <w:rFonts w:hint="eastAsia" w:ascii="宋体" w:hAnsi="宋体" w:cs="宋体"/>
          <w:kern w:val="0"/>
          <w:szCs w:val="21"/>
          <w:lang w:val="en-US" w:eastAsia="zh-CN"/>
        </w:rPr>
        <w:t xml:space="preserve"> 12 </w:t>
      </w:r>
      <w:r>
        <w:rPr>
          <w:rFonts w:hint="eastAsia" w:ascii="宋体" w:hAnsi="宋体" w:cs="宋体"/>
          <w:kern w:val="0"/>
          <w:szCs w:val="21"/>
        </w:rPr>
        <w:t>月</w:t>
      </w:r>
      <w:r>
        <w:rPr>
          <w:rFonts w:hint="eastAsia" w:ascii="宋体" w:hAnsi="宋体" w:cs="宋体"/>
          <w:kern w:val="0"/>
          <w:szCs w:val="21"/>
          <w:lang w:val="en-US" w:eastAsia="zh-CN"/>
        </w:rPr>
        <w:t xml:space="preserve"> 30 </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09</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highlight w:val="none"/>
        </w:rPr>
        <w:t>（</w:t>
      </w:r>
      <w:r>
        <w:rPr>
          <w:rFonts w:hint="eastAsia" w:ascii="宋体" w:hAnsi="宋体" w:cs="宋体"/>
          <w:kern w:val="0"/>
          <w:szCs w:val="21"/>
        </w:rPr>
        <w:t>北京时间）</w:t>
      </w:r>
    </w:p>
    <w:p w14:paraId="3E30C903">
      <w:pPr>
        <w:widowControl/>
        <w:adjustRightInd w:val="0"/>
        <w:snapToGrid w:val="0"/>
        <w:spacing w:line="360" w:lineRule="exact"/>
        <w:rPr>
          <w:rFonts w:ascii="宋体" w:hAnsi="宋体" w:cs="宋体"/>
          <w:kern w:val="0"/>
          <w:szCs w:val="21"/>
        </w:rPr>
      </w:pPr>
      <w:r>
        <w:rPr>
          <w:rFonts w:hint="eastAsia" w:ascii="宋体" w:hAnsi="宋体" w:cs="宋体"/>
          <w:kern w:val="0"/>
          <w:szCs w:val="21"/>
        </w:rPr>
        <w:t>地点（网址）：政府采购云平台（www.zcygov.cn）</w:t>
      </w:r>
    </w:p>
    <w:p w14:paraId="5C2D43D0">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六、公告期限</w:t>
      </w:r>
    </w:p>
    <w:p w14:paraId="76109CA4">
      <w:pPr>
        <w:widowControl/>
        <w:adjustRightInd w:val="0"/>
        <w:snapToGrid w:val="0"/>
        <w:spacing w:line="360" w:lineRule="exact"/>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3</w:t>
      </w:r>
      <w:bookmarkStart w:id="31" w:name="_GoBack"/>
      <w:bookmarkEnd w:id="31"/>
      <w:r>
        <w:rPr>
          <w:rFonts w:hint="eastAsia" w:ascii="宋体" w:hAnsi="宋体" w:cs="宋体"/>
          <w:kern w:val="0"/>
          <w:szCs w:val="21"/>
        </w:rPr>
        <w:t>个工作日。</w:t>
      </w:r>
    </w:p>
    <w:p w14:paraId="208576D7">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七、其他补充事宜</w:t>
      </w:r>
    </w:p>
    <w:p w14:paraId="5C5BD6A4">
      <w:pPr>
        <w:widowControl/>
        <w:spacing w:line="360" w:lineRule="exact"/>
        <w:jc w:val="left"/>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784B60F">
      <w:pPr>
        <w:widowControl/>
        <w:spacing w:line="360" w:lineRule="exact"/>
        <w:jc w:val="left"/>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05444A">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5DB7A7">
      <w:pPr>
        <w:widowControl/>
        <w:spacing w:line="360" w:lineRule="exact"/>
        <w:jc w:val="left"/>
        <w:rPr>
          <w:rFonts w:ascii="宋体" w:hAnsi="宋体" w:cs="宋体"/>
          <w:kern w:val="0"/>
          <w:szCs w:val="21"/>
        </w:rPr>
      </w:pPr>
      <w:r>
        <w:rPr>
          <w:rFonts w:hint="eastAsia" w:ascii="宋体" w:hAnsi="宋体" w:cs="宋体"/>
          <w:kern w:val="0"/>
          <w:szCs w:val="21"/>
        </w:rPr>
        <w:t>4.其他事项：（1）响应人应在合同签订前成为浙江政府采购网正式注册供应商。（2）供应商须在线获取CA数字证书（完成CA数字证书办理预计一周左右，建议各响应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5AFC9060">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八、对本次采购提出询问、质疑、投诉，请按以下方式联系</w:t>
      </w:r>
    </w:p>
    <w:p w14:paraId="1113DE6E">
      <w:pPr>
        <w:widowControl/>
        <w:adjustRightInd w:val="0"/>
        <w:snapToGrid w:val="0"/>
        <w:spacing w:line="360" w:lineRule="exact"/>
        <w:rPr>
          <w:rFonts w:ascii="宋体" w:hAnsi="宋体" w:cs="宋体"/>
          <w:kern w:val="0"/>
          <w:szCs w:val="21"/>
        </w:rPr>
      </w:pPr>
      <w:r>
        <w:rPr>
          <w:rFonts w:hint="eastAsia" w:ascii="宋体" w:hAnsi="宋体" w:cs="宋体"/>
          <w:kern w:val="0"/>
          <w:szCs w:val="21"/>
        </w:rPr>
        <w:t>1.采购人信息</w:t>
      </w:r>
    </w:p>
    <w:p w14:paraId="7BDFE266">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宋体"/>
          <w:kern w:val="0"/>
          <w:szCs w:val="21"/>
          <w:lang w:eastAsia="zh-CN"/>
        </w:rPr>
        <w:t>舟山医院</w:t>
      </w:r>
    </w:p>
    <w:p w14:paraId="564A9B29">
      <w:pPr>
        <w:widowControl/>
        <w:adjustRightInd w:val="0"/>
        <w:snapToGrid w:val="0"/>
        <w:spacing w:line="360" w:lineRule="exact"/>
        <w:rPr>
          <w:rFonts w:hint="default" w:ascii="宋体" w:hAnsi="宋体" w:eastAsia="宋体" w:cs="宋体"/>
          <w:kern w:val="0"/>
          <w:szCs w:val="21"/>
          <w:lang w:val="en-US" w:eastAsia="zh-CN"/>
        </w:rPr>
      </w:pPr>
      <w:r>
        <w:rPr>
          <w:rFonts w:hint="eastAsia" w:ascii="宋体" w:hAnsi="宋体" w:cs="宋体"/>
          <w:kern w:val="0"/>
          <w:szCs w:val="21"/>
        </w:rPr>
        <w:t>地址：</w:t>
      </w:r>
      <w:r>
        <w:rPr>
          <w:rFonts w:hint="eastAsia" w:ascii="宋体" w:hAnsi="宋体" w:cs="宋体"/>
          <w:kern w:val="0"/>
          <w:szCs w:val="21"/>
          <w:lang w:val="en-US" w:eastAsia="zh-CN"/>
        </w:rPr>
        <w:t>浙江省舟山市定海区千岛街道定沈路739号</w:t>
      </w:r>
    </w:p>
    <w:p w14:paraId="2FC69BB7">
      <w:pPr>
        <w:widowControl/>
        <w:adjustRightInd w:val="0"/>
        <w:snapToGrid w:val="0"/>
        <w:spacing w:line="360" w:lineRule="exact"/>
        <w:rPr>
          <w:rFonts w:ascii="宋体" w:hAnsi="宋体" w:cs="宋体"/>
          <w:kern w:val="0"/>
          <w:szCs w:val="21"/>
        </w:rPr>
      </w:pPr>
      <w:r>
        <w:rPr>
          <w:rFonts w:hint="eastAsia" w:ascii="宋体" w:hAnsi="宋体" w:cs="宋体"/>
          <w:kern w:val="0"/>
          <w:szCs w:val="21"/>
        </w:rPr>
        <w:t>传真：/</w:t>
      </w:r>
    </w:p>
    <w:p w14:paraId="7652951A">
      <w:pPr>
        <w:widowControl/>
        <w:adjustRightInd w:val="0"/>
        <w:snapToGrid w:val="0"/>
        <w:spacing w:line="360" w:lineRule="exac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项目联系人（询问）：</w:t>
      </w:r>
      <w:r>
        <w:rPr>
          <w:rFonts w:hint="eastAsia" w:ascii="宋体" w:hAnsi="宋体" w:cs="宋体"/>
          <w:kern w:val="0"/>
          <w:szCs w:val="21"/>
          <w:highlight w:val="none"/>
          <w:lang w:val="en-US" w:eastAsia="zh-CN"/>
        </w:rPr>
        <w:t>徐女士</w:t>
      </w:r>
    </w:p>
    <w:p w14:paraId="62A5356D">
      <w:pPr>
        <w:widowControl/>
        <w:adjustRightInd w:val="0"/>
        <w:snapToGrid w:val="0"/>
        <w:spacing w:line="360" w:lineRule="exact"/>
        <w:rPr>
          <w:rFonts w:hint="eastAsia" w:ascii="宋体" w:hAnsi="宋体" w:cs="宋体"/>
          <w:kern w:val="0"/>
          <w:szCs w:val="21"/>
          <w:highlight w:val="none"/>
          <w:lang w:val="en-US" w:eastAsia="zh-CN"/>
        </w:rPr>
      </w:pPr>
      <w:r>
        <w:rPr>
          <w:rFonts w:hint="eastAsia" w:ascii="宋体" w:hAnsi="宋体" w:cs="宋体"/>
          <w:kern w:val="0"/>
          <w:szCs w:val="21"/>
          <w:highlight w:val="none"/>
        </w:rPr>
        <w:t>项目联系方式（询问）：</w:t>
      </w:r>
      <w:r>
        <w:rPr>
          <w:rFonts w:hint="eastAsia" w:ascii="宋体" w:hAnsi="宋体" w:cs="宋体"/>
          <w:kern w:val="0"/>
          <w:szCs w:val="21"/>
          <w:highlight w:val="none"/>
          <w:lang w:val="en-US" w:eastAsia="zh-CN"/>
        </w:rPr>
        <w:t>0580-2292568</w:t>
      </w:r>
    </w:p>
    <w:p w14:paraId="14F624AC">
      <w:pPr>
        <w:widowControl/>
        <w:adjustRightInd w:val="0"/>
        <w:snapToGrid w:val="0"/>
        <w:spacing w:line="360" w:lineRule="exac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质疑联系人：</w:t>
      </w:r>
      <w:r>
        <w:rPr>
          <w:rFonts w:hint="eastAsia" w:ascii="宋体" w:hAnsi="宋体" w:cs="宋体"/>
          <w:kern w:val="0"/>
          <w:szCs w:val="21"/>
          <w:highlight w:val="none"/>
          <w:lang w:val="en-US" w:eastAsia="zh-CN"/>
        </w:rPr>
        <w:t>顾先生</w:t>
      </w:r>
    </w:p>
    <w:p w14:paraId="3237C4EC">
      <w:pPr>
        <w:widowControl/>
        <w:adjustRightInd w:val="0"/>
        <w:snapToGrid w:val="0"/>
        <w:spacing w:line="360" w:lineRule="exact"/>
        <w:rPr>
          <w:rFonts w:hint="default" w:ascii="宋体" w:hAnsi="宋体" w:cs="宋体"/>
          <w:kern w:val="0"/>
          <w:szCs w:val="21"/>
          <w:highlight w:val="none"/>
          <w:lang w:val="en-US" w:eastAsia="zh-CN"/>
        </w:rPr>
      </w:pPr>
      <w:r>
        <w:rPr>
          <w:rFonts w:hint="eastAsia" w:ascii="宋体" w:hAnsi="宋体" w:cs="宋体"/>
          <w:kern w:val="0"/>
          <w:szCs w:val="21"/>
          <w:highlight w:val="none"/>
        </w:rPr>
        <w:t>质疑联系方式：</w:t>
      </w:r>
      <w:r>
        <w:rPr>
          <w:rFonts w:hint="eastAsia" w:ascii="宋体" w:hAnsi="宋体" w:cs="宋体"/>
          <w:kern w:val="0"/>
          <w:szCs w:val="21"/>
          <w:highlight w:val="none"/>
          <w:lang w:val="en-US" w:eastAsia="zh-CN"/>
        </w:rPr>
        <w:t>0580-2292568</w:t>
      </w:r>
    </w:p>
    <w:p w14:paraId="48FCD2D9">
      <w:pPr>
        <w:widowControl/>
        <w:adjustRightInd w:val="0"/>
        <w:snapToGrid w:val="0"/>
        <w:spacing w:line="360" w:lineRule="exact"/>
        <w:rPr>
          <w:rFonts w:hint="default" w:ascii="宋体" w:hAnsi="宋体" w:cs="宋体"/>
          <w:kern w:val="0"/>
          <w:szCs w:val="21"/>
          <w:highlight w:val="none"/>
          <w:lang w:val="en-US" w:eastAsia="zh-CN"/>
        </w:rPr>
      </w:pPr>
    </w:p>
    <w:p w14:paraId="4A15411E">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2.采购代理机构信息</w:t>
      </w:r>
    </w:p>
    <w:p w14:paraId="6FF3672D">
      <w:pPr>
        <w:widowControl/>
        <w:spacing w:line="360" w:lineRule="exact"/>
        <w:jc w:val="left"/>
        <w:rPr>
          <w:rFonts w:hint="eastAsia" w:ascii="宋体" w:hAnsi="宋体" w:cs="宋体"/>
          <w:kern w:val="0"/>
          <w:szCs w:val="21"/>
          <w:lang w:eastAsia="zh-CN"/>
        </w:rPr>
      </w:pPr>
      <w:r>
        <w:rPr>
          <w:rFonts w:hint="eastAsia" w:ascii="宋体" w:hAnsi="宋体" w:cs="宋体"/>
          <w:kern w:val="0"/>
          <w:szCs w:val="21"/>
        </w:rPr>
        <w:t>名称：</w:t>
      </w:r>
      <w:r>
        <w:rPr>
          <w:rFonts w:hint="eastAsia" w:ascii="宋体" w:hAnsi="宋体" w:cs="宋体"/>
          <w:kern w:val="0"/>
          <w:szCs w:val="21"/>
          <w:lang w:eastAsia="zh-CN"/>
        </w:rPr>
        <w:t>浙江省成套工程有限公司</w:t>
      </w:r>
    </w:p>
    <w:p w14:paraId="3DAEBB91">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地址：</w:t>
      </w:r>
      <w:r>
        <w:rPr>
          <w:rFonts w:hint="eastAsia" w:ascii="宋体" w:hAnsi="宋体" w:cs="宋体"/>
          <w:kern w:val="0"/>
          <w:szCs w:val="21"/>
          <w:lang w:val="en-US" w:eastAsia="zh-CN"/>
        </w:rPr>
        <w:t>舟山市普陀区东港街道海莲路97号</w:t>
      </w:r>
    </w:p>
    <w:p w14:paraId="3AEE8BDA">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传真：</w:t>
      </w:r>
      <w:r>
        <w:rPr>
          <w:rFonts w:hint="eastAsia" w:ascii="宋体" w:hAnsi="宋体" w:cs="宋体"/>
          <w:kern w:val="0"/>
          <w:szCs w:val="21"/>
          <w:lang w:val="en-US" w:eastAsia="zh-CN"/>
        </w:rPr>
        <w:t>/</w:t>
      </w:r>
    </w:p>
    <w:p w14:paraId="126547AA">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项目联系人（询问）：</w:t>
      </w:r>
      <w:r>
        <w:rPr>
          <w:rFonts w:hint="eastAsia" w:ascii="宋体" w:hAnsi="宋体" w:cs="宋体"/>
          <w:kern w:val="0"/>
          <w:szCs w:val="21"/>
          <w:lang w:val="en-US" w:eastAsia="zh-CN"/>
        </w:rPr>
        <w:t>林凤凤</w:t>
      </w:r>
    </w:p>
    <w:p w14:paraId="3283439D">
      <w:pPr>
        <w:widowControl/>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项目联系方式（询问）：0580-</w:t>
      </w:r>
      <w:r>
        <w:rPr>
          <w:rFonts w:hint="eastAsia" w:ascii="宋体" w:hAnsi="宋体" w:cs="宋体"/>
          <w:kern w:val="0"/>
          <w:szCs w:val="21"/>
          <w:lang w:val="en-US" w:eastAsia="zh-CN"/>
        </w:rPr>
        <w:t>30026696</w:t>
      </w:r>
    </w:p>
    <w:p w14:paraId="7D2659DB">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小章</w:t>
      </w:r>
    </w:p>
    <w:p w14:paraId="6D0B1B32">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质疑联系方式：0580-</w:t>
      </w:r>
      <w:r>
        <w:rPr>
          <w:rFonts w:hint="eastAsia" w:ascii="宋体" w:hAnsi="宋体" w:cs="宋体"/>
          <w:kern w:val="0"/>
          <w:szCs w:val="21"/>
          <w:lang w:val="en-US" w:eastAsia="zh-CN"/>
        </w:rPr>
        <w:t>3026696</w:t>
      </w:r>
    </w:p>
    <w:p w14:paraId="67510A6B">
      <w:pPr>
        <w:widowControl/>
        <w:spacing w:line="360" w:lineRule="exact"/>
        <w:jc w:val="left"/>
        <w:rPr>
          <w:rFonts w:hint="eastAsia" w:ascii="宋体" w:hAnsi="宋体" w:cs="宋体"/>
          <w:kern w:val="0"/>
          <w:szCs w:val="21"/>
          <w:lang w:val="en-US" w:eastAsia="zh-CN"/>
        </w:rPr>
      </w:pPr>
    </w:p>
    <w:p w14:paraId="21B8F4C1">
      <w:pPr>
        <w:widowControl/>
        <w:spacing w:line="360" w:lineRule="exact"/>
        <w:jc w:val="left"/>
        <w:rPr>
          <w:rFonts w:hint="default" w:ascii="宋体" w:hAnsi="宋体" w:cs="宋体"/>
          <w:kern w:val="0"/>
          <w:szCs w:val="21"/>
          <w:lang w:val="en-US" w:eastAsia="zh-CN"/>
        </w:rPr>
      </w:pPr>
    </w:p>
    <w:p w14:paraId="7C9CBA6D">
      <w:pPr>
        <w:widowControl/>
        <w:adjustRightInd w:val="0"/>
        <w:snapToGrid w:val="0"/>
        <w:spacing w:line="360" w:lineRule="exact"/>
        <w:rPr>
          <w:rFonts w:ascii="宋体" w:hAnsi="宋体" w:cs="宋体"/>
          <w:kern w:val="0"/>
          <w:szCs w:val="21"/>
        </w:rPr>
      </w:pPr>
      <w:r>
        <w:rPr>
          <w:rFonts w:hint="eastAsia" w:ascii="宋体" w:hAnsi="宋体" w:cs="宋体"/>
          <w:kern w:val="0"/>
          <w:szCs w:val="21"/>
        </w:rPr>
        <w:t>  </w:t>
      </w:r>
    </w:p>
    <w:p w14:paraId="124B51CE">
      <w:pPr>
        <w:widowControl/>
        <w:spacing w:line="420" w:lineRule="exact"/>
        <w:jc w:val="left"/>
        <w:rPr>
          <w:rFonts w:ascii="宋体" w:hAnsi="宋体" w:cs="宋体"/>
          <w:kern w:val="0"/>
          <w:szCs w:val="21"/>
        </w:rPr>
      </w:pPr>
      <w:r>
        <w:rPr>
          <w:rFonts w:hint="eastAsia" w:ascii="宋体" w:hAnsi="宋体" w:cs="宋体"/>
          <w:kern w:val="0"/>
          <w:szCs w:val="21"/>
        </w:rPr>
        <w:t>3.同级政府采购监督管理部门 </w:t>
      </w:r>
    </w:p>
    <w:p w14:paraId="3F1690BD">
      <w:pPr>
        <w:widowControl/>
        <w:spacing w:line="360" w:lineRule="exact"/>
        <w:jc w:val="left"/>
        <w:rPr>
          <w:rFonts w:ascii="宋体" w:hAnsi="宋体" w:cs="宋体"/>
          <w:kern w:val="0"/>
          <w:szCs w:val="21"/>
          <w:highlight w:val="none"/>
        </w:rPr>
      </w:pPr>
      <w:r>
        <w:rPr>
          <w:rFonts w:ascii="宋体" w:hAnsi="宋体" w:cs="宋体"/>
          <w:kern w:val="0"/>
          <w:szCs w:val="21"/>
          <w:highlight w:val="none"/>
        </w:rPr>
        <w:t>名称：</w:t>
      </w:r>
      <w:r>
        <w:rPr>
          <w:rFonts w:hint="eastAsia" w:ascii="宋体" w:hAnsi="宋体" w:cs="宋体"/>
          <w:kern w:val="0"/>
          <w:szCs w:val="21"/>
          <w:highlight w:val="none"/>
        </w:rPr>
        <w:t>舟山市财政局政府采购监管处</w:t>
      </w:r>
    </w:p>
    <w:p w14:paraId="28A0A0D8">
      <w:pPr>
        <w:widowControl/>
        <w:spacing w:line="360" w:lineRule="exact"/>
        <w:jc w:val="left"/>
        <w:rPr>
          <w:rFonts w:ascii="宋体" w:hAnsi="宋体" w:cs="宋体"/>
          <w:kern w:val="0"/>
          <w:szCs w:val="21"/>
          <w:highlight w:val="none"/>
        </w:rPr>
      </w:pPr>
      <w:r>
        <w:rPr>
          <w:rFonts w:ascii="宋体" w:hAnsi="宋体" w:cs="宋体"/>
          <w:kern w:val="0"/>
          <w:szCs w:val="21"/>
          <w:highlight w:val="none"/>
        </w:rPr>
        <w:t>地址：</w:t>
      </w:r>
      <w:r>
        <w:rPr>
          <w:rFonts w:hint="eastAsia" w:ascii="宋体" w:hAnsi="宋体" w:cs="宋体"/>
          <w:kern w:val="0"/>
          <w:szCs w:val="21"/>
          <w:highlight w:val="none"/>
        </w:rPr>
        <w:t>舟山市财政局</w:t>
      </w:r>
    </w:p>
    <w:p w14:paraId="6B94044B">
      <w:pPr>
        <w:widowControl/>
        <w:spacing w:line="360" w:lineRule="exact"/>
        <w:jc w:val="left"/>
        <w:rPr>
          <w:rFonts w:ascii="宋体" w:hAnsi="宋体" w:cs="宋体"/>
          <w:kern w:val="0"/>
          <w:szCs w:val="21"/>
          <w:highlight w:val="none"/>
        </w:rPr>
      </w:pPr>
      <w:r>
        <w:rPr>
          <w:rFonts w:ascii="宋体" w:hAnsi="宋体" w:cs="宋体"/>
          <w:kern w:val="0"/>
          <w:szCs w:val="21"/>
          <w:highlight w:val="none"/>
        </w:rPr>
        <w:t>传真：/</w:t>
      </w:r>
    </w:p>
    <w:p w14:paraId="2C6EFE44">
      <w:pPr>
        <w:widowControl/>
        <w:spacing w:line="360" w:lineRule="exact"/>
        <w:jc w:val="left"/>
        <w:rPr>
          <w:rFonts w:hint="eastAsia" w:ascii="宋体" w:hAnsi="宋体" w:cs="宋体"/>
          <w:kern w:val="0"/>
          <w:szCs w:val="21"/>
          <w:highlight w:val="none"/>
        </w:rPr>
      </w:pPr>
      <w:r>
        <w:rPr>
          <w:rFonts w:ascii="宋体" w:hAnsi="宋体" w:cs="宋体"/>
          <w:kern w:val="0"/>
          <w:szCs w:val="21"/>
          <w:highlight w:val="none"/>
        </w:rPr>
        <w:t>联系人：</w:t>
      </w:r>
      <w:r>
        <w:rPr>
          <w:rFonts w:hint="eastAsia" w:ascii="宋体" w:hAnsi="宋体" w:cs="宋体"/>
          <w:kern w:val="0"/>
          <w:szCs w:val="21"/>
          <w:highlight w:val="none"/>
        </w:rPr>
        <w:t>王女士</w:t>
      </w:r>
    </w:p>
    <w:p w14:paraId="64A5BB57">
      <w:pPr>
        <w:widowControl/>
        <w:spacing w:line="360" w:lineRule="exact"/>
        <w:jc w:val="left"/>
        <w:rPr>
          <w:rFonts w:ascii="宋体" w:hAnsi="宋体" w:cs="宋体"/>
          <w:kern w:val="0"/>
          <w:szCs w:val="21"/>
          <w:highlight w:val="none"/>
        </w:rPr>
      </w:pPr>
      <w:r>
        <w:rPr>
          <w:rFonts w:ascii="宋体" w:hAnsi="宋体" w:cs="宋体"/>
          <w:kern w:val="0"/>
          <w:szCs w:val="21"/>
          <w:highlight w:val="none"/>
        </w:rPr>
        <w:t>监督投诉电话：</w:t>
      </w:r>
      <w:r>
        <w:rPr>
          <w:rFonts w:hint="eastAsia" w:ascii="宋体" w:hAnsi="宋体" w:cs="宋体"/>
          <w:kern w:val="0"/>
          <w:szCs w:val="21"/>
          <w:highlight w:val="none"/>
        </w:rPr>
        <w:t>0580-2282591</w:t>
      </w:r>
    </w:p>
    <w:p w14:paraId="52CDBEB5">
      <w:pPr>
        <w:adjustRightInd w:val="0"/>
        <w:snapToGrid w:val="0"/>
        <w:spacing w:line="360" w:lineRule="exact"/>
        <w:ind w:firstLine="422" w:firstLineChars="200"/>
        <w:rPr>
          <w:rFonts w:ascii="宋体" w:hAnsi="宋体" w:cs="宋体"/>
          <w:b/>
          <w:kern w:val="0"/>
          <w:szCs w:val="21"/>
        </w:rPr>
      </w:pPr>
    </w:p>
    <w:p w14:paraId="633FF5C2">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14:paraId="1746D56B">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CA问题联系电话（人工）：汇信CA400-888-4636；天谷CA400-087-8198。</w:t>
      </w:r>
    </w:p>
    <w:p w14:paraId="1F43EC9B">
      <w:pPr>
        <w:pStyle w:val="14"/>
        <w:rPr>
          <w:rFonts w:hAnsi="宋体" w:eastAsia="宋体"/>
        </w:rPr>
      </w:pPr>
    </w:p>
    <w:p w14:paraId="60FF81C1">
      <w:pPr>
        <w:snapToGrid w:val="0"/>
        <w:spacing w:line="360" w:lineRule="auto"/>
        <w:jc w:val="center"/>
      </w:pPr>
      <w:r>
        <w:rPr>
          <w:rFonts w:hint="eastAsia" w:ascii="宋体" w:hAnsi="宋体" w:cs="宋体"/>
          <w:b/>
          <w:sz w:val="30"/>
        </w:rPr>
        <w:br w:type="page"/>
      </w:r>
      <w:r>
        <w:rPr>
          <w:rFonts w:hint="eastAsia" w:ascii="宋体" w:hAnsi="宋体" w:cs="宋体"/>
          <w:b/>
          <w:sz w:val="30"/>
        </w:rPr>
        <w:t>第二章</w:t>
      </w:r>
      <w:bookmarkStart w:id="5" w:name="_Hlk72315489"/>
      <w:r>
        <w:rPr>
          <w:rFonts w:hint="eastAsia" w:ascii="宋体" w:hAnsi="宋体" w:cs="宋体"/>
          <w:b/>
          <w:sz w:val="30"/>
        </w:rPr>
        <w:t>采购需求</w:t>
      </w:r>
    </w:p>
    <w:p w14:paraId="46EBF5BB">
      <w:pPr>
        <w:snapToGrid w:val="0"/>
        <w:spacing w:line="360" w:lineRule="auto"/>
        <w:jc w:val="center"/>
      </w:pPr>
      <w:r>
        <w:rPr>
          <w:rFonts w:hint="eastAsia" w:ascii="宋体" w:hAnsi="宋体"/>
          <w:b/>
          <w:bCs/>
          <w:color w:val="000000"/>
          <w:szCs w:val="21"/>
        </w:rPr>
        <w:t>备注：标有“▲”的为实质性响应要求，负偏离或未响应将导致投标无效。标有“★”的为重要指标要求或性能要求，负偏离将导致扣分。</w:t>
      </w:r>
    </w:p>
    <w:bookmarkEnd w:id="5"/>
    <w:p w14:paraId="2D86373E">
      <w:pPr>
        <w:widowControl/>
        <w:adjustRightInd w:val="0"/>
        <w:snapToGrid w:val="0"/>
        <w:spacing w:line="360" w:lineRule="exact"/>
        <w:rPr>
          <w:rFonts w:hint="eastAsia" w:ascii="宋体" w:hAnsi="宋体" w:cs="宋体"/>
          <w:b/>
          <w:bCs/>
          <w:kern w:val="0"/>
          <w:szCs w:val="21"/>
          <w:lang w:val="en-US" w:eastAsia="zh-CN"/>
        </w:rPr>
      </w:pPr>
      <w:r>
        <w:rPr>
          <w:rFonts w:hint="eastAsia" w:ascii="宋体" w:hAnsi="宋体" w:cs="宋体"/>
          <w:b/>
          <w:bCs/>
          <w:kern w:val="0"/>
          <w:szCs w:val="21"/>
          <w:lang w:val="en-US" w:eastAsia="zh-CN"/>
        </w:rPr>
        <w:t>一、项目背景</w:t>
      </w:r>
    </w:p>
    <w:p w14:paraId="6B783B5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随着医院监控安防需求和医院高质量发展，医院对现有的监控平台和监控视频存储服务因服务周期到期，需继续采购相关监控平台和视频存储服务</w:t>
      </w:r>
      <w:r>
        <w:rPr>
          <w:rFonts w:hint="eastAsia" w:ascii="宋体" w:hAnsi="宋体" w:cs="宋体"/>
          <w:kern w:val="0"/>
          <w:szCs w:val="21"/>
          <w:lang w:eastAsia="zh-CN"/>
        </w:rPr>
        <w:t>，</w:t>
      </w:r>
      <w:r>
        <w:rPr>
          <w:rFonts w:hint="eastAsia" w:ascii="宋体" w:hAnsi="宋体" w:cs="宋体"/>
          <w:kern w:val="0"/>
          <w:szCs w:val="21"/>
        </w:rPr>
        <w:t>进行安防服务配套。</w:t>
      </w:r>
    </w:p>
    <w:p w14:paraId="5196555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根据本院前端摄像机目前接入情况，同时为满足医院后期3年内新增、更换、升级等涉及的各类监控视频需要。本次项目配套采购支持国产化适配的监控管理平台及监控云存储服务，满足</w:t>
      </w:r>
      <w:r>
        <w:rPr>
          <w:rFonts w:hint="eastAsia" w:ascii="宋体" w:hAnsi="宋体" w:cs="宋体"/>
          <w:kern w:val="0"/>
          <w:szCs w:val="21"/>
          <w:highlight w:val="none"/>
        </w:rPr>
        <w:t>17</w:t>
      </w:r>
      <w:r>
        <w:rPr>
          <w:rFonts w:hint="eastAsia" w:ascii="宋体" w:hAnsi="宋体" w:cs="宋体"/>
          <w:kern w:val="0"/>
          <w:szCs w:val="21"/>
          <w:highlight w:val="none"/>
          <w:lang w:val="en-US" w:eastAsia="zh-CN"/>
        </w:rPr>
        <w:t>7</w:t>
      </w:r>
      <w:r>
        <w:rPr>
          <w:rFonts w:hint="eastAsia" w:ascii="宋体" w:hAnsi="宋体" w:cs="宋体"/>
          <w:kern w:val="0"/>
          <w:szCs w:val="21"/>
          <w:highlight w:val="none"/>
        </w:rPr>
        <w:t>0个2M码流的摄像机存储90天，</w:t>
      </w:r>
      <w:r>
        <w:rPr>
          <w:rFonts w:hint="eastAsia" w:ascii="宋体" w:hAnsi="宋体" w:cs="宋体"/>
          <w:kern w:val="0"/>
          <w:szCs w:val="21"/>
          <w:highlight w:val="none"/>
          <w:lang w:val="en-US" w:eastAsia="zh-CN"/>
        </w:rPr>
        <w:t>30</w:t>
      </w:r>
      <w:r>
        <w:rPr>
          <w:rFonts w:hint="eastAsia" w:ascii="宋体" w:hAnsi="宋体" w:cs="宋体"/>
          <w:kern w:val="0"/>
          <w:szCs w:val="21"/>
          <w:highlight w:val="none"/>
        </w:rPr>
        <w:t>个2M码流的摄像机存储180天的要求（本院目前共计1429个摄</w:t>
      </w:r>
      <w:r>
        <w:rPr>
          <w:rFonts w:hint="eastAsia" w:ascii="宋体" w:hAnsi="宋体" w:cs="宋体"/>
          <w:kern w:val="0"/>
          <w:szCs w:val="21"/>
        </w:rPr>
        <w:t>像机</w:t>
      </w:r>
      <w:r>
        <w:rPr>
          <w:rFonts w:hint="eastAsia" w:ascii="宋体" w:hAnsi="宋体" w:cs="宋体"/>
          <w:kern w:val="0"/>
          <w:szCs w:val="21"/>
          <w:lang w:eastAsia="zh-CN"/>
        </w:rPr>
        <w:t>，</w:t>
      </w:r>
      <w:r>
        <w:rPr>
          <w:rFonts w:hint="eastAsia" w:ascii="宋体" w:hAnsi="宋体" w:cs="宋体"/>
          <w:kern w:val="0"/>
          <w:szCs w:val="21"/>
        </w:rPr>
        <w:t>多预留了371个摄像机），包含配套的机柜托管、专线对接、日常维护等服务，以满足项目院内监控安防的正常运行需求。</w:t>
      </w:r>
    </w:p>
    <w:p w14:paraId="74E38A37">
      <w:pPr>
        <w:widowControl/>
        <w:adjustRightInd w:val="0"/>
        <w:snapToGrid w:val="0"/>
        <w:spacing w:line="240" w:lineRule="auto"/>
        <w:ind w:firstLine="420" w:firstLineChars="200"/>
        <w:rPr>
          <w:rFonts w:hint="eastAsia" w:ascii="宋体" w:hAnsi="宋体" w:cs="宋体"/>
          <w:kern w:val="0"/>
          <w:szCs w:val="21"/>
        </w:rPr>
      </w:pPr>
    </w:p>
    <w:p w14:paraId="7BAC284F">
      <w:pPr>
        <w:widowControl/>
        <w:adjustRightInd w:val="0"/>
        <w:snapToGrid w:val="0"/>
        <w:spacing w:line="24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二、项目名称</w:t>
      </w:r>
    </w:p>
    <w:p w14:paraId="5CC31D67">
      <w:pPr>
        <w:widowControl/>
        <w:adjustRightInd w:val="0"/>
        <w:snapToGrid w:val="0"/>
        <w:spacing w:line="240" w:lineRule="auto"/>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舟山医院监控安防云存储租赁服务项目</w:t>
      </w:r>
    </w:p>
    <w:p w14:paraId="0FDD6D52">
      <w:pPr>
        <w:widowControl/>
        <w:adjustRightInd w:val="0"/>
        <w:snapToGrid w:val="0"/>
        <w:spacing w:line="240" w:lineRule="auto"/>
        <w:ind w:firstLine="420" w:firstLineChars="200"/>
        <w:rPr>
          <w:rFonts w:hint="eastAsia" w:ascii="宋体" w:hAnsi="宋体" w:cs="宋体"/>
          <w:kern w:val="0"/>
          <w:szCs w:val="21"/>
          <w:lang w:val="en-US" w:eastAsia="zh-CN"/>
        </w:rPr>
      </w:pPr>
    </w:p>
    <w:p w14:paraId="07296C55">
      <w:pPr>
        <w:widowControl/>
        <w:adjustRightInd w:val="0"/>
        <w:snapToGrid w:val="0"/>
        <w:spacing w:line="240" w:lineRule="auto"/>
        <w:rPr>
          <w:rFonts w:hint="default" w:ascii="宋体" w:hAnsi="宋体" w:cs="宋体"/>
          <w:b/>
          <w:bCs/>
          <w:kern w:val="0"/>
          <w:szCs w:val="21"/>
          <w:lang w:val="en-US" w:eastAsia="zh-CN"/>
        </w:rPr>
      </w:pPr>
      <w:r>
        <w:rPr>
          <w:rFonts w:hint="eastAsia" w:ascii="宋体" w:hAnsi="宋体" w:cs="宋体"/>
          <w:b/>
          <w:bCs/>
          <w:kern w:val="0"/>
          <w:szCs w:val="21"/>
          <w:lang w:val="en-US" w:eastAsia="zh-CN"/>
        </w:rPr>
        <w:t>三、履约期限</w:t>
      </w:r>
    </w:p>
    <w:p w14:paraId="1DE86949">
      <w:pPr>
        <w:widowControl/>
        <w:adjustRightInd w:val="0"/>
        <w:snapToGrid w:val="0"/>
        <w:spacing w:line="24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合同签订后一个月内完成系统安装部署，并通过验收；自系统安装部署验收通过后租赁服务期3年。</w:t>
      </w:r>
    </w:p>
    <w:p w14:paraId="2DD7DD60">
      <w:pPr>
        <w:widowControl/>
        <w:numPr>
          <w:ilvl w:val="0"/>
          <w:numId w:val="2"/>
        </w:numPr>
        <w:adjustRightInd w:val="0"/>
        <w:snapToGrid w:val="0"/>
        <w:spacing w:line="360" w:lineRule="exact"/>
        <w:rPr>
          <w:rFonts w:hint="default" w:ascii="宋体" w:hAnsi="宋体" w:cs="宋体"/>
          <w:b/>
          <w:bCs/>
          <w:kern w:val="0"/>
          <w:szCs w:val="21"/>
          <w:lang w:val="en-US" w:eastAsia="zh-CN"/>
        </w:rPr>
      </w:pPr>
      <w:r>
        <w:rPr>
          <w:rFonts w:hint="eastAsia" w:ascii="宋体" w:hAnsi="宋体" w:cs="宋体"/>
          <w:b/>
          <w:bCs/>
          <w:kern w:val="0"/>
          <w:szCs w:val="21"/>
          <w:lang w:val="en-US" w:eastAsia="zh-CN"/>
        </w:rPr>
        <w:t>工作内容</w:t>
      </w:r>
    </w:p>
    <w:p w14:paraId="5EFE3406">
      <w:pPr>
        <w:widowControl/>
        <w:numPr>
          <w:ilvl w:val="0"/>
          <w:numId w:val="0"/>
        </w:numPr>
        <w:adjustRightInd w:val="0"/>
        <w:snapToGrid w:val="0"/>
        <w:spacing w:line="360" w:lineRule="exact"/>
        <w:rPr>
          <w:rFonts w:hint="eastAsia" w:ascii="宋体" w:hAnsi="宋体" w:cs="宋体"/>
          <w:b/>
          <w:bCs/>
          <w:kern w:val="0"/>
          <w:szCs w:val="21"/>
          <w:lang w:val="en-US" w:eastAsia="zh-CN"/>
        </w:rPr>
      </w:pPr>
    </w:p>
    <w:p w14:paraId="69604EB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14"/>
        <w:textAlignment w:val="auto"/>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1、配套硬件系统安装</w:t>
      </w:r>
    </w:p>
    <w:p w14:paraId="45DEF188">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应负责按项目中规定的建设内容完成硬件系统设计部署，并保证按项目需求相关要求按时完成硬件及后端相关系统设备安装、调试、运行等工作。项目提供的云存储设备、软件、配件必须为全新的产品，需提供随机资料（说明书、合格证、图纸、保修单及操作保养等资料），其他附件及材料必须符合国家有关标准。</w:t>
      </w:r>
    </w:p>
    <w:p w14:paraId="285D36CD">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（1）项目工期：项目服务配套部分要求合同签订后1个月内完成，并通过项目验收。租赁服务期从项目终验后开始计算。</w:t>
      </w:r>
    </w:p>
    <w:p w14:paraId="654A64C6">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（2）项目的技术人员必须具有承担过相同类型设备系统安装部署的经验，能够与用户进行良好的沟通，掌握相关领域的相关基础知识，具备相关产品集成、运维服务的能力。</w:t>
      </w:r>
    </w:p>
    <w:p w14:paraId="3921E78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（3）投标人需根据项目服务需求提供详细的相关主要配套涉及的产品组成介绍作为项目验收依据。</w:t>
      </w:r>
    </w:p>
    <w:p w14:paraId="4F7BF8BE">
      <w:pPr>
        <w:widowControl/>
        <w:numPr>
          <w:ilvl w:val="0"/>
          <w:numId w:val="0"/>
        </w:numPr>
        <w:adjustRightInd w:val="0"/>
        <w:snapToGrid w:val="0"/>
        <w:spacing w:line="360" w:lineRule="exact"/>
        <w:rPr>
          <w:rFonts w:hint="eastAsia" w:ascii="宋体" w:hAnsi="宋体" w:cs="宋体"/>
          <w:b/>
          <w:bCs/>
          <w:kern w:val="0"/>
          <w:szCs w:val="21"/>
          <w:lang w:val="en-US" w:eastAsia="zh-CN"/>
        </w:rPr>
      </w:pPr>
    </w:p>
    <w:p w14:paraId="07A02DCD">
      <w:pPr>
        <w:spacing w:before="158" w:line="181" w:lineRule="auto"/>
        <w:outlineLvl w:val="2"/>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2、平台服务内容</w:t>
      </w:r>
    </w:p>
    <w:p w14:paraId="5A73E890">
      <w:pPr>
        <w:spacing w:line="39" w:lineRule="exact"/>
      </w:pPr>
    </w:p>
    <w:tbl>
      <w:tblPr>
        <w:tblStyle w:val="129"/>
        <w:tblW w:w="88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5079"/>
        <w:gridCol w:w="1146"/>
        <w:gridCol w:w="1812"/>
      </w:tblGrid>
      <w:tr w14:paraId="6EBA9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00" w:type="dxa"/>
            <w:vAlign w:val="top"/>
          </w:tcPr>
          <w:p w14:paraId="7FF4A5E6">
            <w:pPr>
              <w:pStyle w:val="153"/>
              <w:spacing w:before="120" w:line="182" w:lineRule="auto"/>
              <w:ind w:left="118"/>
            </w:pPr>
            <w:r>
              <w:rPr>
                <w:spacing w:val="-4"/>
              </w:rPr>
              <w:t>序号</w:t>
            </w:r>
          </w:p>
        </w:tc>
        <w:tc>
          <w:tcPr>
            <w:tcW w:w="5079" w:type="dxa"/>
            <w:vAlign w:val="top"/>
          </w:tcPr>
          <w:p w14:paraId="77A7468C">
            <w:pPr>
              <w:pStyle w:val="153"/>
              <w:spacing w:before="122" w:line="177" w:lineRule="auto"/>
              <w:ind w:left="1577"/>
            </w:pPr>
            <w:r>
              <w:rPr>
                <w:spacing w:val="-6"/>
              </w:rPr>
              <w:t>项目</w:t>
            </w:r>
          </w:p>
        </w:tc>
        <w:tc>
          <w:tcPr>
            <w:tcW w:w="1146" w:type="dxa"/>
            <w:vAlign w:val="top"/>
          </w:tcPr>
          <w:p w14:paraId="47E5509D">
            <w:pPr>
              <w:pStyle w:val="153"/>
              <w:spacing w:before="121" w:line="180" w:lineRule="auto"/>
              <w:ind w:firstLine="464" w:firstLineChars="200"/>
              <w:rPr>
                <w:rFonts w:hint="eastAsia" w:eastAsia="微软雅黑"/>
                <w:lang w:eastAsia="zh-CN"/>
              </w:rPr>
            </w:pPr>
            <w:r>
              <w:rPr>
                <w:rFonts w:hint="eastAsia"/>
                <w:spacing w:val="-4"/>
                <w:lang w:val="en-US" w:eastAsia="zh-CN"/>
              </w:rPr>
              <w:t>单位</w:t>
            </w:r>
          </w:p>
        </w:tc>
        <w:tc>
          <w:tcPr>
            <w:tcW w:w="1812" w:type="dxa"/>
            <w:vAlign w:val="top"/>
          </w:tcPr>
          <w:p w14:paraId="2CB38152">
            <w:pPr>
              <w:pStyle w:val="153"/>
              <w:spacing w:before="120" w:line="182" w:lineRule="auto"/>
              <w:ind w:firstLine="678" w:firstLineChars="300"/>
              <w:jc w:val="left"/>
              <w:rPr>
                <w:rFonts w:hint="eastAsia" w:eastAsia="微软雅黑"/>
                <w:lang w:eastAsia="zh-CN"/>
              </w:rPr>
            </w:pPr>
            <w:r>
              <w:rPr>
                <w:rFonts w:hint="eastAsia"/>
                <w:spacing w:val="-7"/>
                <w:lang w:val="en-US" w:eastAsia="zh-CN"/>
              </w:rPr>
              <w:t>数量</w:t>
            </w:r>
          </w:p>
        </w:tc>
      </w:tr>
      <w:tr w14:paraId="0BDA3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0" w:type="dxa"/>
            <w:vAlign w:val="top"/>
          </w:tcPr>
          <w:p w14:paraId="1B832165">
            <w:pPr>
              <w:pStyle w:val="153"/>
              <w:spacing w:before="159" w:line="161" w:lineRule="auto"/>
              <w:ind w:left="31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5079" w:type="dxa"/>
            <w:vAlign w:val="top"/>
          </w:tcPr>
          <w:p w14:paraId="399FADDE">
            <w:pPr>
              <w:pStyle w:val="153"/>
              <w:spacing w:before="116" w:line="182" w:lineRule="auto"/>
              <w:ind w:left="613"/>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监控管理业务平台服务</w:t>
            </w:r>
          </w:p>
        </w:tc>
        <w:tc>
          <w:tcPr>
            <w:tcW w:w="1146" w:type="dxa"/>
            <w:vAlign w:val="top"/>
          </w:tcPr>
          <w:p w14:paraId="562BD144">
            <w:pPr>
              <w:pStyle w:val="153"/>
              <w:spacing w:before="159" w:line="161" w:lineRule="auto"/>
              <w:ind w:firstLine="630" w:firstLineChars="300"/>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812" w:type="dxa"/>
            <w:vAlign w:val="top"/>
          </w:tcPr>
          <w:p w14:paraId="0DCD04E7">
            <w:pPr>
              <w:pStyle w:val="153"/>
              <w:spacing w:before="159" w:line="161" w:lineRule="auto"/>
              <w:ind w:firstLine="630" w:firstLineChars="300"/>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229FF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0" w:type="dxa"/>
            <w:vAlign w:val="top"/>
          </w:tcPr>
          <w:p w14:paraId="72C13930">
            <w:pPr>
              <w:pStyle w:val="153"/>
              <w:spacing w:before="158" w:line="161" w:lineRule="auto"/>
              <w:ind w:left="29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5079" w:type="dxa"/>
            <w:vAlign w:val="top"/>
          </w:tcPr>
          <w:p w14:paraId="2DA86382">
            <w:pPr>
              <w:pStyle w:val="153"/>
              <w:spacing w:before="117" w:line="181" w:lineRule="auto"/>
              <w:ind w:left="97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视频云存储系统</w:t>
            </w:r>
          </w:p>
        </w:tc>
        <w:tc>
          <w:tcPr>
            <w:tcW w:w="1146" w:type="dxa"/>
            <w:vAlign w:val="top"/>
          </w:tcPr>
          <w:p w14:paraId="75BE8F15">
            <w:pPr>
              <w:pStyle w:val="153"/>
              <w:spacing w:before="159" w:line="161" w:lineRule="auto"/>
              <w:ind w:firstLine="630" w:firstLineChars="300"/>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812" w:type="dxa"/>
            <w:vAlign w:val="top"/>
          </w:tcPr>
          <w:p w14:paraId="2C913ABF">
            <w:pPr>
              <w:pStyle w:val="153"/>
              <w:spacing w:before="159" w:line="161" w:lineRule="auto"/>
              <w:ind w:firstLine="630" w:firstLineChars="3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092A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0" w:type="dxa"/>
            <w:vAlign w:val="top"/>
          </w:tcPr>
          <w:p w14:paraId="7876312E">
            <w:pPr>
              <w:pStyle w:val="153"/>
              <w:spacing w:before="158" w:line="162" w:lineRule="auto"/>
              <w:ind w:left="3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079" w:type="dxa"/>
            <w:vAlign w:val="top"/>
          </w:tcPr>
          <w:p w14:paraId="5C47D094">
            <w:pPr>
              <w:pStyle w:val="153"/>
              <w:spacing w:before="117" w:line="180" w:lineRule="auto"/>
              <w:ind w:left="98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防火墙配套服务</w:t>
            </w:r>
          </w:p>
        </w:tc>
        <w:tc>
          <w:tcPr>
            <w:tcW w:w="1146" w:type="dxa"/>
            <w:vAlign w:val="top"/>
          </w:tcPr>
          <w:p w14:paraId="0188944D">
            <w:pPr>
              <w:pStyle w:val="153"/>
              <w:spacing w:before="160" w:line="161" w:lineRule="auto"/>
              <w:ind w:firstLine="630" w:firstLineChars="300"/>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812" w:type="dxa"/>
            <w:vAlign w:val="top"/>
          </w:tcPr>
          <w:p w14:paraId="07AB0E62">
            <w:pPr>
              <w:pStyle w:val="153"/>
              <w:spacing w:before="160" w:line="161" w:lineRule="auto"/>
              <w:ind w:firstLine="630" w:firstLineChars="3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537B2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Align w:val="top"/>
          </w:tcPr>
          <w:p w14:paraId="5DCEEED7">
            <w:pPr>
              <w:widowControl/>
              <w:adjustRightInd w:val="0"/>
              <w:snapToGrid w:val="0"/>
              <w:spacing w:line="360" w:lineRule="exact"/>
              <w:rPr>
                <w:rFonts w:hint="eastAsia" w:ascii="宋体" w:hAnsi="宋体" w:eastAsia="宋体" w:cs="宋体"/>
                <w:kern w:val="0"/>
                <w:sz w:val="21"/>
                <w:szCs w:val="21"/>
                <w:lang w:val="en-US" w:eastAsia="zh-CN" w:bidi="ar-SA"/>
              </w:rPr>
            </w:pPr>
          </w:p>
          <w:p w14:paraId="40A340F0">
            <w:pPr>
              <w:widowControl/>
              <w:adjustRightInd w:val="0"/>
              <w:snapToGrid w:val="0"/>
              <w:spacing w:line="360" w:lineRule="exact"/>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5079" w:type="dxa"/>
            <w:vAlign w:val="top"/>
          </w:tcPr>
          <w:p w14:paraId="6CF5C881">
            <w:pPr>
              <w:widowControl/>
              <w:adjustRightInd w:val="0"/>
              <w:snapToGrid w:val="0"/>
              <w:spacing w:line="36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项目其他配套（包含机柜托管、专线对接、点位整理、日常运维等服务）</w:t>
            </w:r>
          </w:p>
        </w:tc>
        <w:tc>
          <w:tcPr>
            <w:tcW w:w="1146" w:type="dxa"/>
            <w:vAlign w:val="top"/>
          </w:tcPr>
          <w:p w14:paraId="2D64A077">
            <w:pPr>
              <w:widowControl/>
              <w:adjustRightInd w:val="0"/>
              <w:snapToGrid w:val="0"/>
              <w:spacing w:line="360" w:lineRule="exact"/>
              <w:ind w:firstLine="630" w:firstLineChars="300"/>
              <w:jc w:val="both"/>
              <w:rPr>
                <w:rFonts w:hint="eastAsia" w:ascii="宋体" w:hAnsi="宋体" w:cs="宋体"/>
                <w:kern w:val="0"/>
                <w:sz w:val="21"/>
                <w:szCs w:val="21"/>
                <w:lang w:val="en-US" w:eastAsia="zh-CN" w:bidi="ar-SA"/>
              </w:rPr>
            </w:pPr>
          </w:p>
          <w:p w14:paraId="32A8D8DB">
            <w:pPr>
              <w:widowControl/>
              <w:adjustRightInd w:val="0"/>
              <w:snapToGrid w:val="0"/>
              <w:spacing w:line="360" w:lineRule="exact"/>
              <w:ind w:firstLine="630" w:firstLineChars="300"/>
              <w:jc w:val="both"/>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项</w:t>
            </w:r>
          </w:p>
        </w:tc>
        <w:tc>
          <w:tcPr>
            <w:tcW w:w="1812" w:type="dxa"/>
            <w:vAlign w:val="top"/>
          </w:tcPr>
          <w:p w14:paraId="2D129A37">
            <w:pPr>
              <w:widowControl/>
              <w:adjustRightInd w:val="0"/>
              <w:snapToGrid w:val="0"/>
              <w:spacing w:line="360" w:lineRule="exact"/>
              <w:jc w:val="center"/>
              <w:rPr>
                <w:rFonts w:hint="default" w:ascii="宋体" w:hAnsi="宋体" w:eastAsia="宋体" w:cs="宋体"/>
                <w:kern w:val="0"/>
                <w:sz w:val="21"/>
                <w:szCs w:val="21"/>
                <w:lang w:val="en-US" w:eastAsia="zh-CN" w:bidi="ar-SA"/>
              </w:rPr>
            </w:pPr>
          </w:p>
          <w:p w14:paraId="49802104">
            <w:pPr>
              <w:widowControl/>
              <w:adjustRightInd w:val="0"/>
              <w:snapToGrid w:val="0"/>
              <w:spacing w:line="360" w:lineRule="exact"/>
              <w:ind w:firstLine="630" w:firstLineChars="300"/>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p>
        </w:tc>
      </w:tr>
    </w:tbl>
    <w:p w14:paraId="2FAE3517">
      <w:pPr>
        <w:pStyle w:val="11"/>
        <w:spacing w:line="243" w:lineRule="auto"/>
        <w:rPr>
          <w:rFonts w:hint="eastAsia" w:ascii="宋体" w:hAnsi="宋体" w:eastAsia="宋体" w:cs="宋体"/>
          <w:b/>
          <w:bCs/>
          <w:kern w:val="0"/>
          <w:sz w:val="21"/>
          <w:szCs w:val="21"/>
          <w:lang w:val="en-US" w:eastAsia="zh-CN" w:bidi="ar-SA"/>
        </w:rPr>
      </w:pPr>
      <w:r>
        <w:rPr>
          <w:rFonts w:hint="default" w:ascii="宋体" w:hAnsi="宋体" w:eastAsia="宋体" w:cs="宋体"/>
          <w:b/>
          <w:bCs/>
          <w:kern w:val="0"/>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5737225</wp:posOffset>
                </wp:positionH>
                <wp:positionV relativeFrom="paragraph">
                  <wp:posOffset>198120</wp:posOffset>
                </wp:positionV>
                <wp:extent cx="0" cy="198120"/>
                <wp:effectExtent l="0" t="0" r="0" b="0"/>
                <wp:wrapNone/>
                <wp:docPr id="1" name="任意多边形 1"/>
                <wp:cNvGraphicFramePr/>
                <a:graphic xmlns:a="http://schemas.openxmlformats.org/drawingml/2006/main">
                  <a:graphicData uri="http://schemas.microsoft.com/office/word/2010/wordprocessingShape">
                    <wps:wsp>
                      <wps:cNvSpPr/>
                      <wps:spPr>
                        <a:xfrm>
                          <a:off x="0" y="0"/>
                          <a:ext cx="0" cy="198120"/>
                        </a:xfrm>
                        <a:custGeom>
                          <a:avLst/>
                          <a:gdLst/>
                          <a:ahLst/>
                          <a:cxnLst/>
                          <a:pathLst>
                            <a:path h="312">
                              <a:moveTo>
                                <a:pt x="0" y="0"/>
                              </a:moveTo>
                              <a:lnTo>
                                <a:pt x="0" y="311"/>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51.75pt;margin-top:15.6pt;height:15.6pt;width:0pt;z-index:251659264;mso-width-relative:page;mso-height-relative:page;" filled="f" stroked="t" coordsize="1,312" o:gfxdata="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eiINdcAAAAJAQAADwAAAAAAAAABACAAAAAiAAAAZHJzL2Rvd25yZXYueG1sUEsBAhQAFAAA&#10;AAgAh07iQG6q3AApAgAAhAQAAA4AAAAAAAAAAQAgAAAAJgEAAGRycy9lMm9Eb2MueG1sUEsFBgAA&#10;AAAGAAYAWQEAAMEFAAAAAA==&#10;" path="m0,0l0,311e">
                <v:fill on="f" focussize="0,0"/>
                <v:stroke weight="0pt" color="#000000" joinstyle="bevel" endcap="square"/>
                <v:imagedata o:title=""/>
                <o:lock v:ext="edit" aspectratio="f"/>
              </v:shape>
            </w:pict>
          </mc:Fallback>
        </mc:AlternateContent>
      </w:r>
      <w:r>
        <w:rPr>
          <w:rFonts w:hint="eastAsia" w:ascii="宋体" w:hAnsi="宋体" w:eastAsia="宋体" w:cs="宋体"/>
          <w:b/>
          <w:bCs/>
          <w:kern w:val="0"/>
          <w:sz w:val="21"/>
          <w:szCs w:val="21"/>
          <w:lang w:val="en-US" w:eastAsia="zh-CN" w:bidi="ar-SA"/>
        </w:rPr>
        <w:t>3、技术服务要求</w:t>
      </w:r>
    </w:p>
    <w:p w14:paraId="1F45691D">
      <w:pPr>
        <w:spacing w:line="42" w:lineRule="exact"/>
      </w:pPr>
    </w:p>
    <w:tbl>
      <w:tblPr>
        <w:tblStyle w:val="129"/>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31"/>
        <w:gridCol w:w="6571"/>
      </w:tblGrid>
      <w:tr w14:paraId="27BB5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34" w:type="dxa"/>
            <w:vAlign w:val="top"/>
          </w:tcPr>
          <w:p w14:paraId="514EB33D">
            <w:pPr>
              <w:pStyle w:val="153"/>
              <w:spacing w:before="40" w:line="268" w:lineRule="exact"/>
              <w:ind w:left="130"/>
            </w:pPr>
            <w:r>
              <w:rPr>
                <w:b/>
                <w:bCs/>
                <w:spacing w:val="-4"/>
              </w:rPr>
              <w:t>序号</w:t>
            </w:r>
          </w:p>
        </w:tc>
        <w:tc>
          <w:tcPr>
            <w:tcW w:w="1531" w:type="dxa"/>
            <w:vAlign w:val="top"/>
          </w:tcPr>
          <w:p w14:paraId="2416F3B8">
            <w:pPr>
              <w:pStyle w:val="153"/>
              <w:spacing w:before="43" w:line="265" w:lineRule="exact"/>
              <w:ind w:left="530"/>
            </w:pPr>
            <w:r>
              <w:rPr>
                <w:b/>
                <w:bCs/>
                <w:spacing w:val="-6"/>
              </w:rPr>
              <w:t>项目</w:t>
            </w:r>
          </w:p>
        </w:tc>
        <w:tc>
          <w:tcPr>
            <w:tcW w:w="6571" w:type="dxa"/>
            <w:vAlign w:val="top"/>
          </w:tcPr>
          <w:p w14:paraId="0D06B0E0">
            <w:pPr>
              <w:pStyle w:val="153"/>
              <w:spacing w:before="42" w:line="266" w:lineRule="exact"/>
              <w:ind w:left="2813"/>
            </w:pPr>
            <w:r>
              <w:rPr>
                <w:b/>
                <w:bCs/>
                <w:spacing w:val="-4"/>
                <w:position w:val="-2"/>
              </w:rPr>
              <w:t>技术规格</w:t>
            </w:r>
          </w:p>
        </w:tc>
      </w:tr>
      <w:tr w14:paraId="20CC9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4" w:type="dxa"/>
            <w:vAlign w:val="top"/>
          </w:tcPr>
          <w:p w14:paraId="48B0932D">
            <w:pPr>
              <w:pStyle w:val="153"/>
              <w:spacing w:before="116" w:line="182"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w:t>
            </w:r>
          </w:p>
        </w:tc>
        <w:tc>
          <w:tcPr>
            <w:tcW w:w="8102" w:type="dxa"/>
            <w:gridSpan w:val="2"/>
            <w:vAlign w:val="top"/>
          </w:tcPr>
          <w:p w14:paraId="4368DD6E">
            <w:pPr>
              <w:pStyle w:val="153"/>
              <w:spacing w:before="116" w:line="182" w:lineRule="auto"/>
              <w:ind w:left="613"/>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监控管理业务平台服务</w:t>
            </w:r>
          </w:p>
        </w:tc>
      </w:tr>
    </w:tbl>
    <w:tbl>
      <w:tblPr>
        <w:tblStyle w:val="129"/>
        <w:tblpPr w:leftFromText="180" w:rightFromText="180" w:vertAnchor="text" w:horzAnchor="page" w:tblpX="1260" w:tblpY="2"/>
        <w:tblOverlap w:val="never"/>
        <w:tblW w:w="88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683"/>
        <w:gridCol w:w="848"/>
        <w:gridCol w:w="6571"/>
      </w:tblGrid>
      <w:tr w14:paraId="2DAB3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8" w:hRule="atLeast"/>
        </w:trPr>
        <w:tc>
          <w:tcPr>
            <w:tcW w:w="734" w:type="dxa"/>
            <w:vMerge w:val="restart"/>
            <w:tcBorders>
              <w:bottom w:val="nil"/>
            </w:tcBorders>
            <w:vAlign w:val="top"/>
          </w:tcPr>
          <w:p w14:paraId="4CC12857">
            <w:pPr>
              <w:rPr>
                <w:rFonts w:ascii="Arial"/>
                <w:sz w:val="21"/>
                <w:szCs w:val="22"/>
              </w:rPr>
            </w:pPr>
          </w:p>
          <w:p w14:paraId="41F325A3">
            <w:pPr>
              <w:rPr>
                <w:rFonts w:ascii="Arial"/>
                <w:sz w:val="21"/>
                <w:szCs w:val="22"/>
              </w:rPr>
            </w:pPr>
          </w:p>
          <w:p w14:paraId="33E9F604">
            <w:pPr>
              <w:rPr>
                <w:rFonts w:ascii="Arial"/>
                <w:sz w:val="21"/>
                <w:szCs w:val="22"/>
              </w:rPr>
            </w:pPr>
          </w:p>
          <w:p w14:paraId="756891B5">
            <w:pPr>
              <w:rPr>
                <w:rFonts w:ascii="Arial"/>
                <w:sz w:val="21"/>
                <w:szCs w:val="22"/>
              </w:rPr>
            </w:pPr>
          </w:p>
          <w:p w14:paraId="0E79ECA8">
            <w:pPr>
              <w:rPr>
                <w:rFonts w:ascii="Arial"/>
                <w:sz w:val="21"/>
                <w:szCs w:val="22"/>
              </w:rPr>
            </w:pPr>
          </w:p>
          <w:p w14:paraId="7655B5DB">
            <w:pPr>
              <w:rPr>
                <w:rFonts w:ascii="Arial"/>
                <w:sz w:val="21"/>
                <w:szCs w:val="22"/>
              </w:rPr>
            </w:pPr>
          </w:p>
          <w:p w14:paraId="5A22C73A">
            <w:pPr>
              <w:rPr>
                <w:rFonts w:ascii="Arial"/>
                <w:sz w:val="21"/>
                <w:szCs w:val="22"/>
              </w:rPr>
            </w:pPr>
          </w:p>
          <w:p w14:paraId="00FF2304">
            <w:pPr>
              <w:rPr>
                <w:rFonts w:ascii="Arial"/>
                <w:sz w:val="21"/>
                <w:szCs w:val="22"/>
              </w:rPr>
            </w:pPr>
          </w:p>
          <w:p w14:paraId="11477702">
            <w:pPr>
              <w:rPr>
                <w:rFonts w:ascii="Arial"/>
                <w:sz w:val="21"/>
                <w:szCs w:val="22"/>
              </w:rPr>
            </w:pPr>
          </w:p>
          <w:p w14:paraId="12BE5A35">
            <w:pPr>
              <w:rPr>
                <w:rFonts w:ascii="Arial"/>
                <w:sz w:val="21"/>
                <w:szCs w:val="22"/>
              </w:rPr>
            </w:pPr>
          </w:p>
          <w:p w14:paraId="39DD6077">
            <w:pPr>
              <w:rPr>
                <w:rFonts w:ascii="Arial"/>
                <w:sz w:val="21"/>
                <w:szCs w:val="22"/>
              </w:rPr>
            </w:pPr>
          </w:p>
          <w:p w14:paraId="626AD060">
            <w:pPr>
              <w:rPr>
                <w:rFonts w:ascii="Arial"/>
                <w:sz w:val="21"/>
                <w:szCs w:val="22"/>
              </w:rPr>
            </w:pPr>
          </w:p>
          <w:p w14:paraId="079BA4A6">
            <w:pPr>
              <w:rPr>
                <w:rFonts w:ascii="Arial"/>
                <w:sz w:val="21"/>
                <w:szCs w:val="22"/>
              </w:rPr>
            </w:pPr>
          </w:p>
          <w:p w14:paraId="06FC12CC">
            <w:pPr>
              <w:rPr>
                <w:rFonts w:ascii="Arial"/>
                <w:sz w:val="21"/>
                <w:szCs w:val="22"/>
              </w:rPr>
            </w:pPr>
          </w:p>
          <w:p w14:paraId="34C60C18">
            <w:pPr>
              <w:rPr>
                <w:rFonts w:ascii="Arial"/>
                <w:sz w:val="21"/>
                <w:szCs w:val="22"/>
              </w:rPr>
            </w:pPr>
          </w:p>
          <w:p w14:paraId="6BC9D10D">
            <w:pPr>
              <w:rPr>
                <w:rFonts w:ascii="Arial"/>
                <w:sz w:val="21"/>
                <w:szCs w:val="22"/>
              </w:rPr>
            </w:pPr>
          </w:p>
          <w:p w14:paraId="22DE870A">
            <w:pPr>
              <w:rPr>
                <w:rFonts w:ascii="Arial"/>
                <w:sz w:val="21"/>
                <w:szCs w:val="22"/>
              </w:rPr>
            </w:pPr>
          </w:p>
          <w:p w14:paraId="4FBEB375">
            <w:pPr>
              <w:rPr>
                <w:rFonts w:ascii="Arial"/>
                <w:sz w:val="21"/>
                <w:szCs w:val="22"/>
              </w:rPr>
            </w:pPr>
          </w:p>
          <w:p w14:paraId="0DDCC661">
            <w:pPr>
              <w:rPr>
                <w:rFonts w:ascii="Arial"/>
                <w:sz w:val="21"/>
                <w:szCs w:val="22"/>
              </w:rPr>
            </w:pPr>
          </w:p>
          <w:p w14:paraId="4E4ECEF1">
            <w:pPr>
              <w:rPr>
                <w:rFonts w:ascii="Arial"/>
                <w:sz w:val="21"/>
                <w:szCs w:val="22"/>
              </w:rPr>
            </w:pPr>
          </w:p>
          <w:p w14:paraId="169B0326">
            <w:pPr>
              <w:rPr>
                <w:rFonts w:ascii="Arial"/>
                <w:sz w:val="21"/>
                <w:szCs w:val="22"/>
              </w:rPr>
            </w:pPr>
          </w:p>
          <w:p w14:paraId="18650312">
            <w:pPr>
              <w:rPr>
                <w:rFonts w:ascii="Arial"/>
                <w:sz w:val="21"/>
                <w:szCs w:val="22"/>
              </w:rPr>
            </w:pPr>
          </w:p>
          <w:p w14:paraId="318B3871">
            <w:pPr>
              <w:rPr>
                <w:rFonts w:ascii="Arial"/>
                <w:sz w:val="21"/>
                <w:szCs w:val="22"/>
              </w:rPr>
            </w:pPr>
          </w:p>
          <w:p w14:paraId="0E851313">
            <w:pPr>
              <w:rPr>
                <w:rFonts w:ascii="Arial"/>
                <w:sz w:val="21"/>
                <w:szCs w:val="22"/>
              </w:rPr>
            </w:pPr>
          </w:p>
          <w:p w14:paraId="3ABB9ADE">
            <w:pPr>
              <w:rPr>
                <w:rFonts w:ascii="Arial"/>
                <w:sz w:val="21"/>
                <w:szCs w:val="22"/>
              </w:rPr>
            </w:pPr>
          </w:p>
          <w:p w14:paraId="2D09DD77">
            <w:pPr>
              <w:rPr>
                <w:rFonts w:ascii="Arial"/>
                <w:sz w:val="21"/>
                <w:szCs w:val="22"/>
              </w:rPr>
            </w:pPr>
          </w:p>
          <w:p w14:paraId="420F99AD">
            <w:pPr>
              <w:spacing w:line="241" w:lineRule="auto"/>
              <w:rPr>
                <w:rFonts w:ascii="Arial"/>
                <w:sz w:val="21"/>
                <w:szCs w:val="22"/>
              </w:rPr>
            </w:pPr>
          </w:p>
          <w:p w14:paraId="264EF574">
            <w:pPr>
              <w:spacing w:line="241" w:lineRule="auto"/>
              <w:rPr>
                <w:rFonts w:ascii="Arial"/>
                <w:sz w:val="21"/>
                <w:szCs w:val="22"/>
              </w:rPr>
            </w:pPr>
          </w:p>
          <w:p w14:paraId="55C5651E">
            <w:pPr>
              <w:pStyle w:val="153"/>
              <w:spacing w:before="103" w:line="161" w:lineRule="auto"/>
              <w:ind w:left="329"/>
            </w:pPr>
            <w:r>
              <w:t>1</w:t>
            </w:r>
          </w:p>
        </w:tc>
        <w:tc>
          <w:tcPr>
            <w:tcW w:w="683" w:type="dxa"/>
            <w:vMerge w:val="restart"/>
            <w:tcBorders>
              <w:bottom w:val="nil"/>
            </w:tcBorders>
            <w:textDirection w:val="tbRlV"/>
            <w:vAlign w:val="top"/>
          </w:tcPr>
          <w:p w14:paraId="698A2AEA">
            <w:pPr>
              <w:pStyle w:val="153"/>
              <w:spacing w:before="334" w:line="178" w:lineRule="auto"/>
              <w:ind w:left="8232"/>
            </w:pPr>
            <w:r>
              <w:rPr>
                <w:rFonts w:hint="eastAsia" w:ascii="宋体" w:hAnsi="宋体" w:eastAsia="宋体" w:cs="宋体"/>
                <w:kern w:val="0"/>
                <w:sz w:val="21"/>
                <w:szCs w:val="21"/>
                <w:lang w:val="en-US" w:eastAsia="zh-CN" w:bidi="ar-SA"/>
              </w:rPr>
              <w:t>平台功能要求</w:t>
            </w:r>
          </w:p>
        </w:tc>
        <w:tc>
          <w:tcPr>
            <w:tcW w:w="848" w:type="dxa"/>
            <w:vAlign w:val="top"/>
          </w:tcPr>
          <w:p w14:paraId="3705795C">
            <w:pPr>
              <w:spacing w:line="258" w:lineRule="auto"/>
              <w:rPr>
                <w:rFonts w:hint="eastAsia" w:ascii="宋体" w:hAnsi="宋体" w:eastAsia="宋体" w:cs="宋体"/>
                <w:kern w:val="0"/>
                <w:sz w:val="21"/>
                <w:szCs w:val="21"/>
                <w:lang w:val="en-US" w:eastAsia="zh-CN" w:bidi="ar-SA"/>
              </w:rPr>
            </w:pPr>
          </w:p>
          <w:p w14:paraId="491F4914">
            <w:pPr>
              <w:spacing w:line="258" w:lineRule="auto"/>
              <w:rPr>
                <w:rFonts w:hint="eastAsia" w:ascii="宋体" w:hAnsi="宋体" w:eastAsia="宋体" w:cs="宋体"/>
                <w:kern w:val="0"/>
                <w:sz w:val="21"/>
                <w:szCs w:val="21"/>
                <w:lang w:val="en-US" w:eastAsia="zh-CN" w:bidi="ar-SA"/>
              </w:rPr>
            </w:pPr>
          </w:p>
          <w:p w14:paraId="24C5D77A">
            <w:pPr>
              <w:spacing w:line="258" w:lineRule="auto"/>
              <w:rPr>
                <w:rFonts w:hint="eastAsia" w:ascii="宋体" w:hAnsi="宋体" w:eastAsia="宋体" w:cs="宋体"/>
                <w:kern w:val="0"/>
                <w:sz w:val="21"/>
                <w:szCs w:val="21"/>
                <w:lang w:val="en-US" w:eastAsia="zh-CN" w:bidi="ar-SA"/>
              </w:rPr>
            </w:pPr>
          </w:p>
          <w:p w14:paraId="2919BE2A">
            <w:pPr>
              <w:spacing w:line="258" w:lineRule="auto"/>
              <w:rPr>
                <w:rFonts w:hint="eastAsia" w:ascii="宋体" w:hAnsi="宋体" w:eastAsia="宋体" w:cs="宋体"/>
                <w:kern w:val="0"/>
                <w:sz w:val="21"/>
                <w:szCs w:val="21"/>
                <w:lang w:val="en-US" w:eastAsia="zh-CN" w:bidi="ar-SA"/>
              </w:rPr>
            </w:pPr>
          </w:p>
          <w:p w14:paraId="36203A87">
            <w:pPr>
              <w:spacing w:line="258" w:lineRule="auto"/>
              <w:rPr>
                <w:rFonts w:hint="eastAsia" w:ascii="宋体" w:hAnsi="宋体" w:eastAsia="宋体" w:cs="宋体"/>
                <w:kern w:val="0"/>
                <w:sz w:val="21"/>
                <w:szCs w:val="21"/>
                <w:lang w:val="en-US" w:eastAsia="zh-CN" w:bidi="ar-SA"/>
              </w:rPr>
            </w:pPr>
          </w:p>
          <w:p w14:paraId="603D29FA">
            <w:pPr>
              <w:spacing w:line="258" w:lineRule="auto"/>
              <w:rPr>
                <w:rFonts w:hint="eastAsia" w:ascii="宋体" w:hAnsi="宋体" w:eastAsia="宋体" w:cs="宋体"/>
                <w:kern w:val="0"/>
                <w:sz w:val="21"/>
                <w:szCs w:val="21"/>
                <w:lang w:val="en-US" w:eastAsia="zh-CN" w:bidi="ar-SA"/>
              </w:rPr>
            </w:pPr>
          </w:p>
          <w:p w14:paraId="3CAFAB8C">
            <w:pPr>
              <w:spacing w:line="258" w:lineRule="auto"/>
              <w:rPr>
                <w:rFonts w:hint="eastAsia" w:ascii="宋体" w:hAnsi="宋体" w:eastAsia="宋体" w:cs="宋体"/>
                <w:kern w:val="0"/>
                <w:sz w:val="21"/>
                <w:szCs w:val="21"/>
                <w:lang w:val="en-US" w:eastAsia="zh-CN" w:bidi="ar-SA"/>
              </w:rPr>
            </w:pPr>
          </w:p>
          <w:p w14:paraId="3E94BF67">
            <w:pPr>
              <w:spacing w:line="258" w:lineRule="auto"/>
              <w:rPr>
                <w:rFonts w:hint="eastAsia" w:ascii="宋体" w:hAnsi="宋体" w:eastAsia="宋体" w:cs="宋体"/>
                <w:kern w:val="0"/>
                <w:sz w:val="21"/>
                <w:szCs w:val="21"/>
                <w:lang w:val="en-US" w:eastAsia="zh-CN" w:bidi="ar-SA"/>
              </w:rPr>
            </w:pPr>
          </w:p>
          <w:p w14:paraId="6BFA14A0">
            <w:pPr>
              <w:spacing w:line="258" w:lineRule="auto"/>
              <w:rPr>
                <w:rFonts w:hint="eastAsia" w:ascii="宋体" w:hAnsi="宋体" w:eastAsia="宋体" w:cs="宋体"/>
                <w:kern w:val="0"/>
                <w:sz w:val="21"/>
                <w:szCs w:val="21"/>
                <w:lang w:val="en-US" w:eastAsia="zh-CN" w:bidi="ar-SA"/>
              </w:rPr>
            </w:pPr>
          </w:p>
          <w:p w14:paraId="22B83586">
            <w:pPr>
              <w:spacing w:line="258" w:lineRule="auto"/>
              <w:rPr>
                <w:rFonts w:hint="eastAsia" w:ascii="宋体" w:hAnsi="宋体" w:eastAsia="宋体" w:cs="宋体"/>
                <w:kern w:val="0"/>
                <w:sz w:val="21"/>
                <w:szCs w:val="21"/>
                <w:lang w:val="en-US" w:eastAsia="zh-CN" w:bidi="ar-SA"/>
              </w:rPr>
            </w:pPr>
          </w:p>
          <w:p w14:paraId="159EC78E">
            <w:pPr>
              <w:pStyle w:val="153"/>
              <w:spacing w:before="103" w:line="182" w:lineRule="auto"/>
              <w:ind w:left="110" w:right="259"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基础服务</w:t>
            </w:r>
          </w:p>
        </w:tc>
        <w:tc>
          <w:tcPr>
            <w:tcW w:w="6571" w:type="dxa"/>
            <w:vAlign w:val="top"/>
          </w:tcPr>
          <w:p w14:paraId="009163DE">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1、提供门户首页内容自定义能力，支持自定义快捷入口、自定义菜单内容、自定义页面元素设置；支持门户展示元素自定义，包括页面logo图标、修改网站标题、设置并添加网站外部链接；</w:t>
            </w:r>
          </w:p>
          <w:p w14:paraId="32D8999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2、支持统一的认证、鉴权管理、应用管理、菜单管理、用户管理、角色管理、组织管理、资源管理等能力；</w:t>
            </w:r>
          </w:p>
          <w:p w14:paraId="3D8140B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3、提供用户权限管理能力，包括菜单权限、组织权限、区域权限、资源权限、功能控制权限；</w:t>
            </w:r>
          </w:p>
          <w:p w14:paraId="5FB12BA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4、支持组织、区域、设备、人员、卡片、车辆等资源统一管理；</w:t>
            </w:r>
          </w:p>
          <w:p w14:paraId="112298DD">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5、支持用户安全管理，支持账户绑定用户mac地址及IP地址能力，提供账户安全设置，支持账户密码有效期设置，支持登录类型（Web端、PC客户端移动端）和认证方式（密码、PKI）的配置；</w:t>
            </w:r>
          </w:p>
          <w:p w14:paraId="6AA5E17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6、支持NTP校时服务能力，支持对设备和服务器统一校时;</w:t>
            </w:r>
          </w:p>
          <w:p w14:paraId="05FD609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7、支持数据、服务等统一开放能力；</w:t>
            </w:r>
          </w:p>
          <w:p w14:paraId="2174ECC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8、▲平台支持国产化操作系统，配套平台监控设备1800个接入授权。（需提供平台系统原厂证明）</w:t>
            </w:r>
          </w:p>
        </w:tc>
      </w:tr>
      <w:tr w14:paraId="42288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734" w:type="dxa"/>
            <w:vMerge w:val="continue"/>
            <w:tcBorders>
              <w:top w:val="nil"/>
              <w:bottom w:val="nil"/>
            </w:tcBorders>
            <w:vAlign w:val="top"/>
          </w:tcPr>
          <w:p w14:paraId="7A95D665">
            <w:pPr>
              <w:rPr>
                <w:rFonts w:ascii="Arial"/>
                <w:sz w:val="21"/>
                <w:szCs w:val="22"/>
              </w:rPr>
            </w:pPr>
          </w:p>
        </w:tc>
        <w:tc>
          <w:tcPr>
            <w:tcW w:w="683" w:type="dxa"/>
            <w:vMerge w:val="continue"/>
            <w:tcBorders>
              <w:top w:val="nil"/>
              <w:bottom w:val="nil"/>
            </w:tcBorders>
            <w:textDirection w:val="tbRlV"/>
            <w:vAlign w:val="top"/>
          </w:tcPr>
          <w:p w14:paraId="76DC2473">
            <w:pPr>
              <w:rPr>
                <w:rFonts w:ascii="Arial"/>
                <w:sz w:val="21"/>
                <w:szCs w:val="22"/>
              </w:rPr>
            </w:pPr>
          </w:p>
        </w:tc>
        <w:tc>
          <w:tcPr>
            <w:tcW w:w="848" w:type="dxa"/>
            <w:vAlign w:val="top"/>
          </w:tcPr>
          <w:p w14:paraId="6D0F5D7D">
            <w:pPr>
              <w:widowControl/>
              <w:adjustRightInd w:val="0"/>
              <w:snapToGrid w:val="0"/>
              <w:spacing w:line="360" w:lineRule="exact"/>
              <w:ind w:firstLine="420" w:firstLineChars="200"/>
              <w:rPr>
                <w:rFonts w:hint="eastAsia" w:ascii="宋体" w:hAnsi="宋体" w:eastAsia="宋体" w:cs="宋体"/>
                <w:kern w:val="0"/>
                <w:sz w:val="21"/>
                <w:szCs w:val="21"/>
                <w:lang w:val="en-US" w:eastAsia="zh-CN" w:bidi="ar-SA"/>
              </w:rPr>
            </w:pPr>
          </w:p>
          <w:p w14:paraId="47543630">
            <w:pPr>
              <w:widowControl/>
              <w:adjustRightInd w:val="0"/>
              <w:snapToGrid w:val="0"/>
              <w:spacing w:line="360" w:lineRule="exact"/>
              <w:ind w:firstLine="420" w:firstLineChars="200"/>
              <w:rPr>
                <w:rFonts w:hint="eastAsia" w:ascii="宋体" w:hAnsi="宋体" w:eastAsia="宋体" w:cs="宋体"/>
                <w:kern w:val="0"/>
                <w:sz w:val="21"/>
                <w:szCs w:val="21"/>
                <w:lang w:val="en-US" w:eastAsia="zh-CN" w:bidi="ar-SA"/>
              </w:rPr>
            </w:pPr>
          </w:p>
          <w:p w14:paraId="118E53EC">
            <w:pPr>
              <w:widowControl/>
              <w:adjustRightInd w:val="0"/>
              <w:snapToGrid w:val="0"/>
              <w:spacing w:line="360" w:lineRule="exact"/>
              <w:ind w:firstLine="420" w:firstLineChars="200"/>
              <w:rPr>
                <w:rFonts w:hint="eastAsia" w:ascii="宋体" w:hAnsi="宋体" w:eastAsia="宋体" w:cs="宋体"/>
                <w:kern w:val="0"/>
                <w:sz w:val="21"/>
                <w:szCs w:val="21"/>
                <w:lang w:val="en-US" w:eastAsia="zh-CN" w:bidi="ar-SA"/>
              </w:rPr>
            </w:pPr>
          </w:p>
          <w:p w14:paraId="0E14FF5C">
            <w:pPr>
              <w:widowControl/>
              <w:adjustRightInd w:val="0"/>
              <w:snapToGrid w:val="0"/>
              <w:spacing w:line="36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安检设备</w:t>
            </w:r>
          </w:p>
        </w:tc>
        <w:tc>
          <w:tcPr>
            <w:tcW w:w="6571" w:type="dxa"/>
            <w:vAlign w:val="top"/>
          </w:tcPr>
          <w:p w14:paraId="438620AB">
            <w:pPr>
              <w:widowControl/>
              <w:adjustRightInd w:val="0"/>
              <w:snapToGrid w:val="0"/>
              <w:spacing w:line="240" w:lineRule="auto"/>
              <w:ind w:firstLine="422" w:firstLineChars="200"/>
              <w:rPr>
                <w:rFonts w:hint="eastAsia" w:ascii="宋体" w:hAnsi="宋体" w:eastAsia="宋体" w:cs="宋体"/>
                <w:kern w:val="0"/>
                <w:sz w:val="21"/>
                <w:szCs w:val="21"/>
                <w:lang w:val="en-US" w:eastAsia="zh-CN" w:bidi="ar-SA"/>
              </w:rPr>
            </w:pPr>
            <w:r>
              <w:rPr>
                <w:rFonts w:hint="eastAsia" w:ascii="宋体" w:hAnsi="宋体"/>
                <w:b/>
                <w:bCs/>
                <w:color w:val="000000"/>
                <w:szCs w:val="21"/>
              </w:rPr>
              <w:t>★</w:t>
            </w:r>
            <w:r>
              <w:rPr>
                <w:rFonts w:hint="eastAsia" w:ascii="宋体" w:hAnsi="宋体" w:eastAsia="宋体" w:cs="宋体"/>
                <w:kern w:val="0"/>
                <w:sz w:val="21"/>
                <w:szCs w:val="21"/>
                <w:lang w:val="en-US" w:eastAsia="zh-CN" w:bidi="ar-SA"/>
              </w:rPr>
              <w:t>需要与安检设备打通，实现功能：</w:t>
            </w:r>
          </w:p>
          <w:p w14:paraId="60A3B95E">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1、支持以时间、所属位置、查询类别查找过检包裹历史事件记录与图像信息，并且自动统计出过包总数、违禁包裹总数、正常包裹总数；</w:t>
            </w:r>
          </w:p>
          <w:p w14:paraId="0E3D474A">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2、支持统计分析功能，可汇总指定时间段内的数据，支持表格、柱状图、折线图方式进行汇总，并可以通过表格或者统计图片两种方式进行导出。</w:t>
            </w:r>
          </w:p>
        </w:tc>
      </w:tr>
      <w:tr w14:paraId="36FCA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4" w:hRule="atLeast"/>
        </w:trPr>
        <w:tc>
          <w:tcPr>
            <w:tcW w:w="734" w:type="dxa"/>
            <w:vMerge w:val="continue"/>
            <w:tcBorders>
              <w:top w:val="nil"/>
              <w:bottom w:val="nil"/>
            </w:tcBorders>
            <w:vAlign w:val="top"/>
          </w:tcPr>
          <w:p w14:paraId="6E86239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83" w:type="dxa"/>
            <w:vMerge w:val="continue"/>
            <w:tcBorders>
              <w:top w:val="nil"/>
              <w:bottom w:val="nil"/>
            </w:tcBorders>
            <w:textDirection w:val="tbRlV"/>
            <w:vAlign w:val="top"/>
          </w:tcPr>
          <w:p w14:paraId="2B0C9A9B">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848" w:type="dxa"/>
            <w:vAlign w:val="top"/>
          </w:tcPr>
          <w:p w14:paraId="121053E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77FACFA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7080CDAB">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09D7E21A">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5DCB47F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2B783E0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738C687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320E602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19BB3D9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41BBE95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48C97CC2">
            <w:pPr>
              <w:widowControl/>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视频监控</w:t>
            </w:r>
          </w:p>
        </w:tc>
        <w:tc>
          <w:tcPr>
            <w:tcW w:w="6571" w:type="dxa"/>
            <w:vAlign w:val="top"/>
          </w:tcPr>
          <w:p w14:paraId="12FE567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w:t>
            </w:r>
          </w:p>
          <w:p w14:paraId="5FF239CC">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一、视频预览</w:t>
            </w:r>
          </w:p>
          <w:p w14:paraId="110C452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1、支持视频实时预览能力，实现预览窗口布局切换、预览画面自适应及全屏切换；</w:t>
            </w:r>
          </w:p>
          <w:p w14:paraId="6C989EAF">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2、支持云台控制、实时抓图、紧急录像、即时回放、主子码流切换、声音开启\关闭、辅屏预览（1个辅屏）、对讲、广播、报警输出控制的能力；</w:t>
            </w:r>
          </w:p>
          <w:p w14:paraId="1B7E3EA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3、支持智能规则展示的能力（如：针对热成像设备温度信息实时展示）；</w:t>
            </w:r>
          </w:p>
          <w:p w14:paraId="2E40AA23">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4、支持资源视图管理能力，以视图形式管理监控点、视频预览轮巡等自定义资源组</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其中视图类型包含公有视图和私有视图；</w:t>
            </w:r>
          </w:p>
          <w:p w14:paraId="15A563BB">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5、支持全景视频监控预览能力，支持球型鹰眼、全景摄像机的全景模式；</w:t>
            </w:r>
          </w:p>
        </w:tc>
      </w:tr>
    </w:tbl>
    <w:p w14:paraId="47729E41">
      <w:pPr>
        <w:sectPr>
          <w:type w:val="continuous"/>
          <w:pgSz w:w="11906" w:h="16839"/>
          <w:pgMar w:top="1431" w:right="1616" w:bottom="0" w:left="1253" w:header="0" w:footer="0" w:gutter="0"/>
          <w:cols w:space="720" w:num="1"/>
        </w:sectPr>
      </w:pPr>
    </w:p>
    <w:p w14:paraId="30636DEA">
      <w:pPr>
        <w:spacing w:line="91" w:lineRule="auto"/>
        <w:rPr>
          <w:rFonts w:ascii="Arial"/>
          <w:sz w:val="2"/>
        </w:rPr>
      </w:pPr>
    </w:p>
    <w:p w14:paraId="3DF335D3">
      <w:pPr>
        <w:widowControl/>
        <w:adjustRightInd w:val="0"/>
        <w:snapToGrid w:val="0"/>
        <w:spacing w:line="360" w:lineRule="exact"/>
        <w:ind w:firstLine="420" w:firstLineChars="200"/>
        <w:rPr>
          <w:rFonts w:hint="eastAsia" w:ascii="宋体" w:hAnsi="宋体" w:eastAsia="宋体" w:cs="宋体"/>
          <w:kern w:val="0"/>
          <w:sz w:val="21"/>
          <w:szCs w:val="21"/>
          <w:lang w:val="en-US" w:eastAsia="zh-CN" w:bidi="ar-SA"/>
        </w:rPr>
      </w:pPr>
    </w:p>
    <w:tbl>
      <w:tblPr>
        <w:tblStyle w:val="129"/>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683"/>
        <w:gridCol w:w="848"/>
        <w:gridCol w:w="6571"/>
      </w:tblGrid>
      <w:tr w14:paraId="28D28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1" w:hRule="atLeast"/>
        </w:trPr>
        <w:tc>
          <w:tcPr>
            <w:tcW w:w="734" w:type="dxa"/>
            <w:vMerge w:val="restart"/>
            <w:tcBorders>
              <w:top w:val="nil"/>
              <w:bottom w:val="nil"/>
            </w:tcBorders>
            <w:vAlign w:val="top"/>
          </w:tcPr>
          <w:p w14:paraId="1B654B3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83" w:type="dxa"/>
            <w:vMerge w:val="restart"/>
            <w:tcBorders>
              <w:top w:val="nil"/>
              <w:bottom w:val="nil"/>
            </w:tcBorders>
            <w:vAlign w:val="top"/>
          </w:tcPr>
          <w:p w14:paraId="064E9FA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848" w:type="dxa"/>
            <w:vAlign w:val="top"/>
          </w:tcPr>
          <w:p w14:paraId="31F5157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571" w:type="dxa"/>
            <w:vAlign w:val="top"/>
          </w:tcPr>
          <w:p w14:paraId="06D3A90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二、录像回放</w:t>
            </w:r>
          </w:p>
          <w:p w14:paraId="78B11C72">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1、支持录像计划管理能力，支持实时录像计划、录像回传计划；</w:t>
            </w:r>
          </w:p>
          <w:p w14:paraId="6E1ABAD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2、支持录像回放能力，支持多画面同步回放和异步回放切换、超高倍速回放、分段回放、录像下载、录像剪辑、录像标签、录像锁定、录像抓图；</w:t>
            </w:r>
          </w:p>
          <w:p w14:paraId="02FFB1AE">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三、图片监控</w:t>
            </w:r>
          </w:p>
          <w:p w14:paraId="6D755752">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1、支持视频预览与图片实时监控模式切换能力，实现图片监控模式；</w:t>
            </w:r>
          </w:p>
          <w:p w14:paraId="5E3D3E43">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2、支持图片查询回放能力，实现按监控点、时间段展示抓拍图片；</w:t>
            </w:r>
          </w:p>
          <w:p w14:paraId="2CC589B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3、支持图片自动播放能力</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支持图片自动播放速度可设置；</w:t>
            </w:r>
          </w:p>
          <w:p w14:paraId="5E0B695D">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4、支持图片下载能力；</w:t>
            </w:r>
          </w:p>
          <w:p w14:paraId="4B41106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四、视频上墙</w:t>
            </w:r>
          </w:p>
          <w:p w14:paraId="051F23D2">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1、支持电视墙场景管理能力，实现场景窗口配置、场景切换计划配置以及轮巡计划的管理；</w:t>
            </w:r>
          </w:p>
          <w:p w14:paraId="4F8D63B3">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2、支持上墙控制能力，实现场景一键上墙、场景切换、电视墙切换、监控点上下墙、轮巡控制操作；</w:t>
            </w:r>
          </w:p>
          <w:p w14:paraId="6A16CF0F">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五、视频事件</w:t>
            </w:r>
          </w:p>
          <w:p w14:paraId="60D662B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1、支持视频事件布撤防能力</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可按计划模版进行布防，事件类型包括移动侦测、视频丢失、视频遮挡、报警输入、报警输出；</w:t>
            </w:r>
          </w:p>
        </w:tc>
      </w:tr>
      <w:tr w14:paraId="1E67F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4" w:hRule="atLeast"/>
        </w:trPr>
        <w:tc>
          <w:tcPr>
            <w:tcW w:w="734" w:type="dxa"/>
            <w:vMerge w:val="continue"/>
            <w:tcBorders>
              <w:top w:val="nil"/>
              <w:bottom w:val="nil"/>
            </w:tcBorders>
            <w:vAlign w:val="top"/>
          </w:tcPr>
          <w:p w14:paraId="45BACBC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83" w:type="dxa"/>
            <w:vMerge w:val="continue"/>
            <w:tcBorders>
              <w:top w:val="nil"/>
              <w:bottom w:val="nil"/>
            </w:tcBorders>
            <w:vAlign w:val="top"/>
          </w:tcPr>
          <w:p w14:paraId="4C85A9F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848" w:type="dxa"/>
            <w:vAlign w:val="top"/>
          </w:tcPr>
          <w:p w14:paraId="00734543">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0342C53A">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4E1E6E52">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21DFDD0F">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440B47D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6B4AFDA2">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59E943DE">
            <w:pPr>
              <w:widowControl/>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视频质量诊断</w:t>
            </w:r>
          </w:p>
        </w:tc>
        <w:tc>
          <w:tcPr>
            <w:tcW w:w="6571" w:type="dxa"/>
            <w:vAlign w:val="top"/>
          </w:tcPr>
          <w:p w14:paraId="48F40BD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视频质量诊断应用</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提供视频图像诊断和监测服务。</w:t>
            </w:r>
          </w:p>
          <w:p w14:paraId="53F44E3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1、支持监控点通道的图像质量诊断结果统计和查看。</w:t>
            </w:r>
          </w:p>
          <w:p w14:paraId="0F8955F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2、支持图像模糊、图像过亮、图像偏色、图像过暗、图像过亮、视频抖动、视频丢帧、场景变换、视频遮挡、对比度、条纹干扰、噪声干扰、信号丢失、黑白图像指标诊断。</w:t>
            </w:r>
          </w:p>
          <w:p w14:paraId="683A747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3、支持码流分辨率、编码格式指标采集。</w:t>
            </w:r>
          </w:p>
          <w:p w14:paraId="09E04A5F">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4、支持诊断对比图查看和诊断结果矫正功能。</w:t>
            </w:r>
          </w:p>
          <w:p w14:paraId="62CA899C">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5、支持巡检计划配置，可以按照类型和资源以及自定义的巡检周期进行巡检计划配置。</w:t>
            </w:r>
          </w:p>
          <w:p w14:paraId="6093892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6、支持监控点图像质量统计报表，展现各类诊断故障数量。</w:t>
            </w:r>
          </w:p>
          <w:p w14:paraId="360191C3">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、支持海康SDK、大华SDK、ehome、isup5.0、GB28181、部标808、OpenNetworkVideoInterface</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ISAPI协议。</w:t>
            </w:r>
          </w:p>
          <w:p w14:paraId="5574A234">
            <w:pPr>
              <w:widowControl/>
              <w:adjustRightInd w:val="0"/>
              <w:snapToGrid w:val="0"/>
              <w:spacing w:line="240" w:lineRule="auto"/>
              <w:rPr>
                <w:rFonts w:hint="eastAsia" w:ascii="宋体" w:hAnsi="宋体" w:eastAsia="宋体" w:cs="宋体"/>
                <w:kern w:val="0"/>
                <w:sz w:val="21"/>
                <w:szCs w:val="21"/>
                <w:lang w:val="en-US" w:eastAsia="zh-CN" w:bidi="ar-SA"/>
              </w:rPr>
            </w:pPr>
          </w:p>
        </w:tc>
      </w:tr>
      <w:tr w14:paraId="75D25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734" w:type="dxa"/>
            <w:vMerge w:val="continue"/>
            <w:tcBorders>
              <w:top w:val="nil"/>
            </w:tcBorders>
            <w:vAlign w:val="top"/>
          </w:tcPr>
          <w:p w14:paraId="76CC3633">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83" w:type="dxa"/>
            <w:vMerge w:val="continue"/>
            <w:tcBorders>
              <w:top w:val="nil"/>
            </w:tcBorders>
            <w:vAlign w:val="top"/>
          </w:tcPr>
          <w:p w14:paraId="0C18501D">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848" w:type="dxa"/>
            <w:vAlign w:val="top"/>
          </w:tcPr>
          <w:p w14:paraId="5BA2F1E9">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67C96D3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71EF409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54B34D60">
            <w:pPr>
              <w:widowControl/>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主要技术要求</w:t>
            </w:r>
          </w:p>
        </w:tc>
        <w:tc>
          <w:tcPr>
            <w:tcW w:w="6571" w:type="dxa"/>
            <w:vAlign w:val="top"/>
          </w:tcPr>
          <w:p w14:paraId="3571844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1、要求预览画面支持监控点信息、语音对讲、开关声音、云台与镜头控制、抓图、多图抓拍等。</w:t>
            </w:r>
          </w:p>
          <w:p w14:paraId="68B1E80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2、支持在预览监控点画面时进行一键上墙、云台控制、语音对讲。</w:t>
            </w:r>
          </w:p>
          <w:p w14:paraId="349A21A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3、要求支持视频画面叠加水印，包括视频预览、录像回放、即时回放、录像剪辑、手动录像和录像下载时叠加。</w:t>
            </w:r>
          </w:p>
          <w:p w14:paraId="2A48E52D">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4、要求支持录像标签功能，支持搜索、修改、删除标签，并可通过标签定位录像并</w:t>
            </w:r>
            <w:r>
              <w:rPr>
                <w:rFonts w:hint="eastAsia" w:ascii="宋体" w:hAnsi="宋体" w:eastAsia="宋体" w:cs="宋体"/>
                <w:kern w:val="0"/>
                <w:sz w:val="21"/>
                <w:szCs w:val="21"/>
                <w:highlight w:val="none"/>
                <w:lang w:val="en-US" w:eastAsia="zh-CN" w:bidi="ar-SA"/>
              </w:rPr>
              <w:t>回放；支持通过车牌搜索定位录像并回放。</w:t>
            </w:r>
          </w:p>
        </w:tc>
      </w:tr>
    </w:tbl>
    <w:p w14:paraId="56D0662B">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18991D0C">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sectPr>
          <w:pgSz w:w="11906" w:h="16839"/>
          <w:pgMar w:top="1431" w:right="1785" w:bottom="0" w:left="1253" w:header="0" w:footer="0" w:gutter="0"/>
          <w:cols w:space="720" w:num="1"/>
        </w:sectPr>
      </w:pPr>
    </w:p>
    <w:p w14:paraId="67721ACF">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bl>
      <w:tblPr>
        <w:tblStyle w:val="129"/>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683"/>
        <w:gridCol w:w="848"/>
        <w:gridCol w:w="6571"/>
      </w:tblGrid>
      <w:tr w14:paraId="2281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7" w:hRule="atLeast"/>
        </w:trPr>
        <w:tc>
          <w:tcPr>
            <w:tcW w:w="734" w:type="dxa"/>
            <w:tcBorders>
              <w:top w:val="nil"/>
            </w:tcBorders>
            <w:vAlign w:val="top"/>
          </w:tcPr>
          <w:p w14:paraId="516A523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83" w:type="dxa"/>
            <w:tcBorders>
              <w:top w:val="nil"/>
            </w:tcBorders>
            <w:vAlign w:val="top"/>
          </w:tcPr>
          <w:p w14:paraId="393C23C6">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848" w:type="dxa"/>
            <w:vAlign w:val="top"/>
          </w:tcPr>
          <w:p w14:paraId="379FBC8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tc>
        <w:tc>
          <w:tcPr>
            <w:tcW w:w="6571" w:type="dxa"/>
            <w:vAlign w:val="top"/>
          </w:tcPr>
          <w:p w14:paraId="30E74FE4">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p>
          <w:p w14:paraId="0C15D81C">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6、要求支持通过C/S客户端和WEB浏览器进行录像的下载；支持本地备份。</w:t>
            </w:r>
          </w:p>
          <w:p w14:paraId="7C766A79">
            <w:pPr>
              <w:widowControl/>
              <w:adjustRightInd w:val="0"/>
              <w:snapToGrid w:val="0"/>
              <w:spacing w:line="240" w:lineRule="auto"/>
              <w:ind w:firstLine="210" w:firstLineChars="1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★7、要求支持设备录像回传至中心存储，可以支持计划回传和手动回传两种模式（需提供公安部检验报告证明）。</w:t>
            </w:r>
          </w:p>
          <w:p w14:paraId="2E67024C">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8、要求支持电视墙场景管理和场景切换。</w:t>
            </w:r>
          </w:p>
          <w:p w14:paraId="746A2ED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9、要求支持大屏控制，可对大屏进行1/4/9/16/25分屏、拼接、开窗、窗口漫游的操作，通过客户端支持电视墙开窗后支持分割，并可将大屏分屏配置另保存为场景。</w:t>
            </w:r>
          </w:p>
          <w:p w14:paraId="7D25750A">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10、要求通过客户端支持预览上墙、回放上墙、轮巡上墙、报警联动上墙。</w:t>
            </w:r>
          </w:p>
        </w:tc>
      </w:tr>
      <w:tr w14:paraId="70886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734" w:type="dxa"/>
            <w:vAlign w:val="top"/>
          </w:tcPr>
          <w:p w14:paraId="48749D29">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1E195C31">
            <w:pPr>
              <w:widowControl/>
              <w:adjustRightInd w:val="0"/>
              <w:snapToGrid w:val="0"/>
              <w:spacing w:line="240" w:lineRule="auto"/>
              <w:rPr>
                <w:rFonts w:hint="default" w:ascii="宋体" w:hAnsi="宋体" w:eastAsia="宋体" w:cs="宋体"/>
                <w:kern w:val="0"/>
                <w:sz w:val="21"/>
                <w:szCs w:val="21"/>
                <w:lang w:val="en-US" w:eastAsia="zh-CN" w:bidi="ar-SA"/>
              </w:rPr>
            </w:pPr>
          </w:p>
          <w:p w14:paraId="0726B4A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531" w:type="dxa"/>
            <w:gridSpan w:val="2"/>
            <w:vAlign w:val="top"/>
          </w:tcPr>
          <w:p w14:paraId="305D0E4C">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282EE97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1A20B72C">
            <w:pPr>
              <w:widowControl/>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计算资源服务</w:t>
            </w:r>
          </w:p>
        </w:tc>
        <w:tc>
          <w:tcPr>
            <w:tcW w:w="6571" w:type="dxa"/>
            <w:vAlign w:val="top"/>
          </w:tcPr>
          <w:p w14:paraId="7E99C6F1">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1、采用云计算提供业务系统涉及的计算服务器资源，提供3台云服务器，相关配置要求（每台）：CPU≥16核，内存≥64G,硬盘≥1T,网卡≥10G。</w:t>
            </w:r>
          </w:p>
          <w:p w14:paraId="6D283821">
            <w:pPr>
              <w:widowControl/>
              <w:adjustRightInd w:val="0"/>
              <w:snapToGrid w:val="0"/>
              <w:spacing w:line="240" w:lineRule="auto"/>
              <w:ind w:firstLine="211" w:firstLineChars="100"/>
              <w:rPr>
                <w:rFonts w:hint="eastAsia" w:ascii="宋体" w:hAnsi="宋体" w:eastAsia="宋体" w:cs="宋体"/>
                <w:kern w:val="0"/>
                <w:sz w:val="21"/>
                <w:szCs w:val="21"/>
                <w:lang w:val="en-US" w:eastAsia="zh-CN" w:bidi="ar-SA"/>
              </w:rPr>
            </w:pPr>
            <w:r>
              <w:rPr>
                <w:rFonts w:hint="eastAsia" w:ascii="宋体" w:hAnsi="宋体"/>
                <w:b/>
                <w:bCs/>
                <w:color w:val="000000"/>
                <w:szCs w:val="21"/>
              </w:rPr>
              <w:t>★</w:t>
            </w:r>
            <w:r>
              <w:rPr>
                <w:rFonts w:hint="eastAsia" w:ascii="宋体" w:hAnsi="宋体" w:eastAsia="宋体" w:cs="宋体"/>
                <w:kern w:val="0"/>
                <w:sz w:val="21"/>
                <w:szCs w:val="21"/>
                <w:lang w:val="en-US" w:eastAsia="zh-CN" w:bidi="ar-SA"/>
              </w:rPr>
              <w:t>2、云计算适配支持国产化操作系统，支持服务器级别的副本设置，要求对涉及的服务器业务系统设置二副本，并每周创建快照一次，保存一个月，确保业务系统安全。</w:t>
            </w:r>
          </w:p>
        </w:tc>
      </w:tr>
      <w:tr w14:paraId="795B8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734" w:type="dxa"/>
            <w:vAlign w:val="top"/>
          </w:tcPr>
          <w:p w14:paraId="367BA789">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1D2240C9">
            <w:pPr>
              <w:widowControl/>
              <w:adjustRightInd w:val="0"/>
              <w:snapToGrid w:val="0"/>
              <w:spacing w:line="240" w:lineRule="auto"/>
              <w:rPr>
                <w:rFonts w:hint="eastAsia" w:ascii="宋体" w:hAnsi="宋体" w:eastAsia="宋体" w:cs="宋体"/>
                <w:kern w:val="0"/>
                <w:sz w:val="21"/>
                <w:szCs w:val="21"/>
                <w:lang w:val="en-US" w:eastAsia="zh-CN" w:bidi="ar-SA"/>
              </w:rPr>
            </w:pPr>
          </w:p>
          <w:p w14:paraId="6ECC533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531" w:type="dxa"/>
            <w:gridSpan w:val="2"/>
            <w:vAlign w:val="top"/>
          </w:tcPr>
          <w:p w14:paraId="053DE0CD">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409520F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204AF60C">
            <w:pPr>
              <w:widowControl/>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校时服务</w:t>
            </w:r>
          </w:p>
        </w:tc>
        <w:tc>
          <w:tcPr>
            <w:tcW w:w="6571" w:type="dxa"/>
            <w:vAlign w:val="top"/>
          </w:tcPr>
          <w:p w14:paraId="00EB4EA7">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提供用于监控点位、业务系统时间统一校时服务。</w:t>
            </w:r>
          </w:p>
          <w:p w14:paraId="33DDB48A">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1、支持多种卫星系统(北斗、GPS、GLONASS、GALILEO)提高了系统可靠性和覆盖范围</w:t>
            </w:r>
          </w:p>
          <w:p w14:paraId="2CF1D6F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2、用于提供业务系统服务器、设备终端、客户端之间统一的NTP校时数据。</w:t>
            </w:r>
          </w:p>
          <w:p w14:paraId="740F1138">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3、设备授时精度小于50毫秒。</w:t>
            </w:r>
          </w:p>
        </w:tc>
      </w:tr>
      <w:tr w14:paraId="1B79D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4" w:type="dxa"/>
            <w:vAlign w:val="top"/>
          </w:tcPr>
          <w:p w14:paraId="79D1A85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7FF56CA5">
            <w:pPr>
              <w:widowControl/>
              <w:adjustRightInd w:val="0"/>
              <w:snapToGrid w:val="0"/>
              <w:spacing w:line="240" w:lineRule="auto"/>
              <w:rPr>
                <w:rFonts w:hint="eastAsia" w:ascii="宋体" w:hAnsi="宋体" w:eastAsia="宋体" w:cs="宋体"/>
                <w:kern w:val="0"/>
                <w:sz w:val="21"/>
                <w:szCs w:val="21"/>
                <w:lang w:val="en-US" w:eastAsia="zh-CN" w:bidi="ar-SA"/>
              </w:rPr>
            </w:pPr>
          </w:p>
          <w:p w14:paraId="2BCCDF3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531" w:type="dxa"/>
            <w:gridSpan w:val="2"/>
            <w:vAlign w:val="top"/>
          </w:tcPr>
          <w:p w14:paraId="02911380">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104B5CBD">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p>
          <w:p w14:paraId="4F8DAA6C">
            <w:pPr>
              <w:widowControl/>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平台网络服务</w:t>
            </w:r>
          </w:p>
        </w:tc>
        <w:tc>
          <w:tcPr>
            <w:tcW w:w="6571" w:type="dxa"/>
            <w:vAlign w:val="top"/>
          </w:tcPr>
          <w:p w14:paraId="6D797E35">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提供平台配套的视频网络交换及传输配套服务，服务配套的网络交换机至少二台，进行主备冗余组网。与医院机房侧的监控核心交换机通过双链路及不同路由进行万兆联网，确保通信传输安全。</w:t>
            </w:r>
          </w:p>
          <w:p w14:paraId="0A109AFA">
            <w:pPr>
              <w:widowControl/>
              <w:adjustRightInd w:val="0"/>
              <w:snapToGrid w:val="0"/>
              <w:spacing w:line="24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主要网络交换能力：≥4.8Tbps，包转发率：≥2000Mpps，电源模块≥2个；万兆光模块配套，数量满足项目平台设备涉及的网络传输需求。</w:t>
            </w:r>
          </w:p>
        </w:tc>
      </w:tr>
      <w:tr w14:paraId="0A83B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4" w:type="dxa"/>
            <w:vAlign w:val="top"/>
          </w:tcPr>
          <w:p w14:paraId="170064F2">
            <w:pPr>
              <w:pStyle w:val="153"/>
              <w:spacing w:before="247" w:line="240" w:lineRule="auto"/>
              <w:ind w:left="253"/>
              <w:rPr>
                <w:rFonts w:hint="eastAsia" w:eastAsia="微软雅黑"/>
                <w:lang w:eastAsia="zh-CN"/>
              </w:rPr>
            </w:pPr>
            <w:r>
              <w:rPr>
                <w:rFonts w:hint="eastAsia"/>
                <w:b/>
                <w:bCs/>
                <w:lang w:val="en-US" w:eastAsia="zh-CN"/>
              </w:rPr>
              <w:t>二</w:t>
            </w:r>
          </w:p>
        </w:tc>
        <w:tc>
          <w:tcPr>
            <w:tcW w:w="8102" w:type="dxa"/>
            <w:gridSpan w:val="3"/>
            <w:vAlign w:val="top"/>
          </w:tcPr>
          <w:p w14:paraId="0C5B75CD">
            <w:pPr>
              <w:pStyle w:val="153"/>
              <w:spacing w:before="229" w:line="240" w:lineRule="auto"/>
              <w:ind w:left="110"/>
            </w:pPr>
            <w:r>
              <w:rPr>
                <w:spacing w:val="-2"/>
              </w:rPr>
              <w:t>视频云存储系统</w:t>
            </w:r>
          </w:p>
        </w:tc>
      </w:tr>
      <w:tr w14:paraId="21CD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34" w:type="dxa"/>
            <w:vAlign w:val="top"/>
          </w:tcPr>
          <w:p w14:paraId="38B9AD46">
            <w:pPr>
              <w:spacing w:line="240" w:lineRule="auto"/>
              <w:rPr>
                <w:rFonts w:ascii="Arial"/>
                <w:sz w:val="21"/>
                <w:szCs w:val="22"/>
              </w:rPr>
            </w:pPr>
          </w:p>
          <w:p w14:paraId="6C789D21">
            <w:pPr>
              <w:spacing w:line="240" w:lineRule="auto"/>
              <w:rPr>
                <w:rFonts w:ascii="Arial"/>
                <w:sz w:val="21"/>
                <w:szCs w:val="22"/>
              </w:rPr>
            </w:pPr>
          </w:p>
          <w:p w14:paraId="0F0205AF">
            <w:pPr>
              <w:spacing w:line="240" w:lineRule="auto"/>
              <w:rPr>
                <w:rFonts w:ascii="Arial"/>
                <w:sz w:val="21"/>
                <w:szCs w:val="22"/>
              </w:rPr>
            </w:pPr>
          </w:p>
          <w:p w14:paraId="27915844">
            <w:pPr>
              <w:pStyle w:val="153"/>
              <w:spacing w:before="103" w:line="240" w:lineRule="auto"/>
              <w:ind w:left="329"/>
            </w:pPr>
            <w:r>
              <w:t>1</w:t>
            </w:r>
          </w:p>
        </w:tc>
        <w:tc>
          <w:tcPr>
            <w:tcW w:w="1531" w:type="dxa"/>
            <w:gridSpan w:val="2"/>
            <w:vAlign w:val="top"/>
          </w:tcPr>
          <w:p w14:paraId="6985BCE1">
            <w:pPr>
              <w:spacing w:line="240" w:lineRule="auto"/>
              <w:rPr>
                <w:rFonts w:ascii="Arial"/>
                <w:sz w:val="21"/>
                <w:szCs w:val="22"/>
              </w:rPr>
            </w:pPr>
          </w:p>
          <w:p w14:paraId="42F5CE04">
            <w:pPr>
              <w:spacing w:line="240" w:lineRule="auto"/>
              <w:rPr>
                <w:rFonts w:ascii="Arial"/>
                <w:sz w:val="21"/>
                <w:szCs w:val="22"/>
              </w:rPr>
            </w:pPr>
          </w:p>
          <w:p w14:paraId="63502CD9">
            <w:pPr>
              <w:pStyle w:val="153"/>
              <w:spacing w:before="103" w:line="240" w:lineRule="auto"/>
              <w:ind w:left="527" w:right="165" w:hanging="359"/>
            </w:pPr>
            <w:r>
              <w:rPr>
                <w:rFonts w:hint="eastAsia" w:ascii="宋体" w:hAnsi="宋体" w:eastAsia="宋体" w:cs="宋体"/>
                <w:kern w:val="0"/>
                <w:sz w:val="21"/>
                <w:szCs w:val="21"/>
                <w:lang w:val="en-US" w:eastAsia="zh-CN" w:bidi="ar-SA"/>
              </w:rPr>
              <w:t>视频云存储服务</w:t>
            </w:r>
          </w:p>
        </w:tc>
        <w:tc>
          <w:tcPr>
            <w:tcW w:w="6571" w:type="dxa"/>
            <w:vAlign w:val="top"/>
          </w:tcPr>
          <w:p w14:paraId="167D5368">
            <w:pPr>
              <w:pStyle w:val="153"/>
              <w:spacing w:before="38" w:line="240" w:lineRule="auto"/>
              <w:ind w:left="109" w:right="107" w:firstLine="2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项目1770个2M码流的摄像机存储90天，30个2M码流的摄像机存储180天的要求，供应商提供不少于6000T的视频云存储服务，支持与项目监控管理业务平台之间的无缝对接。视频云存储服务包含配套的云存储管理系统软件、存储管理服务器、云存储节点、存储交换机等配套。</w:t>
            </w:r>
          </w:p>
          <w:p w14:paraId="6D9EF5EE">
            <w:pPr>
              <w:pStyle w:val="153"/>
              <w:spacing w:line="240" w:lineRule="auto"/>
              <w:ind w:left="115" w:right="107" w:firstLine="14"/>
            </w:pPr>
            <w:r>
              <w:rPr>
                <w:rFonts w:hint="eastAsia" w:ascii="宋体" w:hAnsi="宋体" w:eastAsia="宋体" w:cs="宋体"/>
                <w:kern w:val="0"/>
                <w:sz w:val="21"/>
                <w:szCs w:val="21"/>
                <w:lang w:val="en-US" w:eastAsia="zh-CN" w:bidi="ar-SA"/>
              </w:rPr>
              <w:t>1、云存储管理系统软件包含基础运行模块，集群管理、计划管理、索引管理、负载均衡等功能，支持视频、图片数据存</w:t>
            </w:r>
          </w:p>
        </w:tc>
      </w:tr>
    </w:tbl>
    <w:p w14:paraId="667E08B6">
      <w:pPr>
        <w:pStyle w:val="11"/>
      </w:pPr>
    </w:p>
    <w:p w14:paraId="02CA304B">
      <w:pPr>
        <w:sectPr>
          <w:pgSz w:w="11906" w:h="16839"/>
          <w:pgMar w:top="1431" w:right="1785" w:bottom="0" w:left="1253" w:header="0" w:footer="0" w:gutter="0"/>
          <w:cols w:space="720" w:num="1"/>
        </w:sectPr>
      </w:pPr>
    </w:p>
    <w:p w14:paraId="0E615991">
      <w:pPr>
        <w:spacing w:line="91" w:lineRule="auto"/>
        <w:rPr>
          <w:rFonts w:ascii="Arial"/>
          <w:sz w:val="2"/>
        </w:rPr>
      </w:pPr>
    </w:p>
    <w:tbl>
      <w:tblPr>
        <w:tblStyle w:val="129"/>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31"/>
        <w:gridCol w:w="6571"/>
      </w:tblGrid>
      <w:tr w14:paraId="17E5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4" w:hRule="atLeast"/>
        </w:trPr>
        <w:tc>
          <w:tcPr>
            <w:tcW w:w="734" w:type="dxa"/>
            <w:vAlign w:val="top"/>
          </w:tcPr>
          <w:p w14:paraId="742432C2">
            <w:pPr>
              <w:rPr>
                <w:rFonts w:ascii="Arial"/>
                <w:sz w:val="21"/>
                <w:szCs w:val="22"/>
              </w:rPr>
            </w:pPr>
          </w:p>
        </w:tc>
        <w:tc>
          <w:tcPr>
            <w:tcW w:w="1531" w:type="dxa"/>
            <w:vAlign w:val="top"/>
          </w:tcPr>
          <w:p w14:paraId="38E936CC">
            <w:pPr>
              <w:rPr>
                <w:rFonts w:ascii="Arial"/>
                <w:sz w:val="21"/>
                <w:szCs w:val="22"/>
              </w:rPr>
            </w:pPr>
          </w:p>
        </w:tc>
        <w:tc>
          <w:tcPr>
            <w:tcW w:w="6571" w:type="dxa"/>
            <w:vAlign w:val="top"/>
          </w:tcPr>
          <w:p w14:paraId="3E3407F0">
            <w:pPr>
              <w:pStyle w:val="153"/>
              <w:spacing w:line="240" w:lineRule="auto"/>
              <w:ind w:righ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储，支持跨节点数据安全，包含涉及的摄像机接入授权、存储容量授权等。。</w:t>
            </w:r>
          </w:p>
          <w:p w14:paraId="7C90BEE6">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★1.1、支持查看硬盘体检报告、硬盘深度体检和磁盘档案；支持下载单个硬盘或批量硬盘的报告，支持按时间显示硬盘的坏扇区变化趋势的曲线图。</w:t>
            </w:r>
          </w:p>
          <w:p w14:paraId="7D906EB8">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p w14:paraId="3B33B134">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支持图片流直存，抓拍图片无需经过任何转发服务器/虚拟机即可实现前端数据直接存储至云存储系统；支持设置资源池自动分流策略，策略包含按图片大小、图片类型(类型包含人脸、人体、车辆、电动车等)。支持将同一点位产生的多种不同大小、不同类型的图片数据按策略自动分池存储到不同存储资源池中。</w:t>
            </w:r>
          </w:p>
          <w:p w14:paraId="09088E33">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1.4、支持超容错存储，可设置冗余机制。若干块故障硬盘或若干存储节点设备故障时，数据不丢失，业务不中断；超过若干块硬盘故障、若干存储节点设备故障时，业务不中断。</w:t>
            </w:r>
          </w:p>
          <w:p w14:paraId="00E4AA5A">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存储管理服务器用于配套云存储管理软件，性能满足项目云存储系统管理及运行，提供及时、智能、专业的视频云存储运维监控服务，主动识别云存储系统故障和风险，助力业务持续稳定运行。设备主要性能满足CPU≥16核、内存≥16GB、系统硬盘≥480GBSSD、冗余电源及配套主机操作系统。</w:t>
            </w:r>
          </w:p>
          <w:p w14:paraId="5A8AC34C">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3、★配套的云存储节点涉及的技术要求：</w:t>
            </w:r>
          </w:p>
          <w:p w14:paraId="530C0FF4">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3.1、单节点设备≥24盘位，配置两颗64位多核处理器（处理器要求通过安全可靠测评，设备内存≥32GB。为确保兼容性，需与云存储管理系统软件同一厂家。</w:t>
            </w:r>
          </w:p>
          <w:p w14:paraId="0828E931">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3.2、节点设备支持硬盘热插拔设备在读写数据时，热插拔设备内的任意块硬盘，设备正常运行不宕机，硬盘不损坏，数据不丢失，业务不中断。</w:t>
            </w:r>
          </w:p>
          <w:p w14:paraId="040CAD5F">
            <w:pPr>
              <w:pStyle w:val="153"/>
              <w:spacing w:line="240" w:lineRule="auto"/>
              <w:ind w:left="115" w:right="107" w:firstLine="14"/>
            </w:pPr>
            <w:r>
              <w:rPr>
                <w:rFonts w:hint="eastAsia" w:ascii="宋体" w:hAnsi="宋体" w:eastAsia="宋体" w:cs="宋体"/>
                <w:kern w:val="0"/>
                <w:sz w:val="21"/>
                <w:szCs w:val="21"/>
                <w:lang w:val="en-US" w:eastAsia="zh-CN" w:bidi="ar-SA"/>
              </w:rPr>
              <w:t>4、存储交换机配套，提供存储系统、节点之间涉及的存储数据交换配套服务。配套的存储交换机至少二台，进行主备冗余组网，确保存储数据传输安全，设备主要网络交换能力：≥4.8Tbps，包转发率：≥2000Mpps，电源模块≥2个；万兆光模块配套，数量满足项目平台设备涉及的网络传输需求。</w:t>
            </w:r>
          </w:p>
        </w:tc>
      </w:tr>
      <w:tr w14:paraId="345D5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4" w:type="dxa"/>
            <w:vAlign w:val="top"/>
          </w:tcPr>
          <w:p w14:paraId="672556AB">
            <w:pPr>
              <w:pStyle w:val="153"/>
              <w:spacing w:before="58" w:line="249" w:lineRule="exact"/>
              <w:ind w:left="271"/>
              <w:rPr>
                <w:rFonts w:hint="eastAsia" w:eastAsia="微软雅黑"/>
                <w:lang w:eastAsia="zh-CN"/>
              </w:rPr>
            </w:pPr>
            <w:r>
              <w:rPr>
                <w:rFonts w:hint="eastAsia"/>
                <w:position w:val="-2"/>
                <w:lang w:val="en-US" w:eastAsia="zh-CN"/>
              </w:rPr>
              <w:t>三</w:t>
            </w:r>
          </w:p>
        </w:tc>
        <w:tc>
          <w:tcPr>
            <w:tcW w:w="8102" w:type="dxa"/>
            <w:gridSpan w:val="2"/>
            <w:vAlign w:val="top"/>
          </w:tcPr>
          <w:p w14:paraId="29CB051D">
            <w:pPr>
              <w:pStyle w:val="153"/>
              <w:spacing w:before="41" w:line="266" w:lineRule="exact"/>
              <w:ind w:left="113"/>
            </w:pPr>
            <w:r>
              <w:rPr>
                <w:spacing w:val="-2"/>
                <w:position w:val="-2"/>
              </w:rPr>
              <w:t>项目其他配套费用</w:t>
            </w:r>
          </w:p>
        </w:tc>
      </w:tr>
      <w:tr w14:paraId="41311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4" w:type="dxa"/>
            <w:vAlign w:val="top"/>
          </w:tcPr>
          <w:p w14:paraId="55B40921">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31" w:type="dxa"/>
            <w:vAlign w:val="top"/>
          </w:tcPr>
          <w:p w14:paraId="6BDC7F3E">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color w:val="FF0000"/>
                <w:kern w:val="0"/>
                <w:sz w:val="21"/>
                <w:szCs w:val="21"/>
                <w:lang w:val="en-US" w:eastAsia="zh-CN" w:bidi="ar-SA"/>
              </w:rPr>
              <w:t>▲</w:t>
            </w:r>
            <w:r>
              <w:rPr>
                <w:rFonts w:hint="eastAsia" w:ascii="宋体" w:hAnsi="宋体" w:eastAsia="宋体" w:cs="宋体"/>
                <w:kern w:val="0"/>
                <w:sz w:val="21"/>
                <w:szCs w:val="21"/>
                <w:lang w:val="en-US" w:eastAsia="zh-CN" w:bidi="ar-SA"/>
              </w:rPr>
              <w:t>防火墙配套服务</w:t>
            </w:r>
          </w:p>
        </w:tc>
        <w:tc>
          <w:tcPr>
            <w:tcW w:w="6571" w:type="dxa"/>
            <w:vAlign w:val="top"/>
          </w:tcPr>
          <w:p w14:paraId="25EC881E">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提供项目配套的防火墙防护服务，具备路由实现、攻击防护、安全策略、URL过滤、入侵防御、防病毒、威胁情报等功能。</w:t>
            </w:r>
          </w:p>
        </w:tc>
      </w:tr>
      <w:tr w14:paraId="37D0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34" w:type="dxa"/>
            <w:vAlign w:val="top"/>
          </w:tcPr>
          <w:p w14:paraId="62E5184E">
            <w:pPr>
              <w:pStyle w:val="153"/>
              <w:spacing w:line="240" w:lineRule="auto"/>
              <w:ind w:left="115" w:right="107" w:firstLine="14"/>
              <w:rPr>
                <w:rFonts w:hint="eastAsia" w:ascii="宋体" w:hAnsi="宋体" w:eastAsia="宋体" w:cs="宋体"/>
                <w:kern w:val="0"/>
                <w:sz w:val="21"/>
                <w:szCs w:val="21"/>
                <w:lang w:val="en-US" w:eastAsia="zh-CN" w:bidi="ar-SA"/>
              </w:rPr>
            </w:pPr>
          </w:p>
          <w:p w14:paraId="62C44884">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531" w:type="dxa"/>
            <w:vAlign w:val="top"/>
          </w:tcPr>
          <w:p w14:paraId="4C48C43E">
            <w:pPr>
              <w:pStyle w:val="153"/>
              <w:spacing w:line="240" w:lineRule="auto"/>
              <w:ind w:left="115" w:right="107" w:firstLine="14"/>
              <w:rPr>
                <w:rFonts w:hint="eastAsia" w:ascii="宋体" w:hAnsi="宋体" w:eastAsia="宋体" w:cs="宋体"/>
                <w:kern w:val="0"/>
                <w:sz w:val="21"/>
                <w:szCs w:val="21"/>
                <w:lang w:val="en-US" w:eastAsia="zh-CN" w:bidi="ar-SA"/>
              </w:rPr>
            </w:pPr>
          </w:p>
          <w:p w14:paraId="3AE73313">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机柜托管</w:t>
            </w:r>
          </w:p>
        </w:tc>
        <w:tc>
          <w:tcPr>
            <w:tcW w:w="6571" w:type="dxa"/>
            <w:vAlign w:val="top"/>
          </w:tcPr>
          <w:p w14:paraId="03AFABCD">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提供项目涉及设备配套的标准IDC机房托管服务、包含机柜空间、UPS供电、空调、消控等，满足项目设备及服务配套需求。</w:t>
            </w:r>
          </w:p>
        </w:tc>
      </w:tr>
      <w:tr w14:paraId="0BD8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34" w:type="dxa"/>
            <w:vAlign w:val="top"/>
          </w:tcPr>
          <w:p w14:paraId="234A53CA">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531" w:type="dxa"/>
            <w:vAlign w:val="top"/>
          </w:tcPr>
          <w:p w14:paraId="65D01109">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专线对接</w:t>
            </w:r>
          </w:p>
        </w:tc>
        <w:tc>
          <w:tcPr>
            <w:tcW w:w="6571" w:type="dxa"/>
            <w:vAlign w:val="top"/>
          </w:tcPr>
          <w:p w14:paraId="0FD41B89">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提供2根万兆双路由裸光缆用于IDC机房和医院监控核心网</w:t>
            </w:r>
          </w:p>
          <w:p w14:paraId="10C1B16F">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络之间联网对接。</w:t>
            </w:r>
          </w:p>
        </w:tc>
      </w:tr>
    </w:tbl>
    <w:tbl>
      <w:tblPr>
        <w:tblStyle w:val="129"/>
        <w:tblpPr w:leftFromText="180" w:rightFromText="180" w:vertAnchor="text" w:horzAnchor="page" w:tblpX="1258" w:tblpY="16"/>
        <w:tblOverlap w:val="never"/>
        <w:tblW w:w="88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31"/>
        <w:gridCol w:w="6571"/>
      </w:tblGrid>
      <w:tr w14:paraId="268E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34" w:type="dxa"/>
            <w:vAlign w:val="top"/>
          </w:tcPr>
          <w:p w14:paraId="510D79F3">
            <w:pPr>
              <w:pStyle w:val="153"/>
              <w:spacing w:line="240" w:lineRule="auto"/>
              <w:ind w:left="115" w:right="107" w:firstLine="14"/>
              <w:rPr>
                <w:rFonts w:hint="eastAsia" w:ascii="宋体" w:hAnsi="宋体" w:eastAsia="宋体" w:cs="宋体"/>
                <w:kern w:val="0"/>
                <w:sz w:val="21"/>
                <w:szCs w:val="21"/>
                <w:lang w:val="en-US" w:eastAsia="zh-CN" w:bidi="ar-SA"/>
              </w:rPr>
            </w:pPr>
          </w:p>
          <w:p w14:paraId="03213429">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531" w:type="dxa"/>
            <w:vAlign w:val="top"/>
          </w:tcPr>
          <w:p w14:paraId="225784AD">
            <w:pPr>
              <w:pStyle w:val="153"/>
              <w:spacing w:line="240" w:lineRule="auto"/>
              <w:ind w:left="115" w:right="107" w:firstLine="14"/>
              <w:rPr>
                <w:rFonts w:hint="eastAsia" w:ascii="宋体" w:hAnsi="宋体" w:eastAsia="宋体" w:cs="宋体"/>
                <w:kern w:val="0"/>
                <w:sz w:val="21"/>
                <w:szCs w:val="21"/>
                <w:lang w:val="en-US" w:eastAsia="zh-CN" w:bidi="ar-SA"/>
              </w:rPr>
            </w:pPr>
          </w:p>
          <w:p w14:paraId="086578E3">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color w:val="FF0000"/>
                <w:kern w:val="0"/>
                <w:sz w:val="21"/>
                <w:szCs w:val="21"/>
                <w:lang w:val="en-US" w:eastAsia="zh-CN" w:bidi="ar-SA"/>
              </w:rPr>
              <w:t>▲</w:t>
            </w:r>
            <w:r>
              <w:rPr>
                <w:rFonts w:hint="eastAsia" w:ascii="宋体" w:hAnsi="宋体" w:eastAsia="宋体" w:cs="宋体"/>
                <w:kern w:val="0"/>
                <w:sz w:val="21"/>
                <w:szCs w:val="21"/>
                <w:lang w:val="en-US" w:eastAsia="zh-CN" w:bidi="ar-SA"/>
              </w:rPr>
              <w:t>点位整理</w:t>
            </w:r>
          </w:p>
        </w:tc>
        <w:tc>
          <w:tcPr>
            <w:tcW w:w="6571" w:type="dxa"/>
            <w:vAlign w:val="top"/>
          </w:tcPr>
          <w:p w14:paraId="73A658F6">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对医院内部现有的监控点位及联网光纤进行梳理并做好标签及正确的位置名称及编号；2、相关点位在医院方提供的室内外的CAD图纸上进行点位标记，备注名称及编号。3、在投标人配套的系统软件侧进行监控点位的平面化可视标识。</w:t>
            </w:r>
          </w:p>
        </w:tc>
      </w:tr>
      <w:tr w14:paraId="1373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4" w:type="dxa"/>
            <w:vAlign w:val="top"/>
          </w:tcPr>
          <w:p w14:paraId="6CE85D25">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531" w:type="dxa"/>
            <w:vAlign w:val="top"/>
          </w:tcPr>
          <w:p w14:paraId="658C8065">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技术服务</w:t>
            </w:r>
          </w:p>
        </w:tc>
        <w:tc>
          <w:tcPr>
            <w:tcW w:w="6571" w:type="dxa"/>
            <w:vAlign w:val="top"/>
          </w:tcPr>
          <w:p w14:paraId="11DC5656">
            <w:pPr>
              <w:pStyle w:val="153"/>
              <w:spacing w:line="240" w:lineRule="auto"/>
              <w:ind w:left="115" w:right="107" w:firstLine="1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服务期间的平台点位添加、点位存储配置下发，日常运维技术服务等。</w:t>
            </w:r>
          </w:p>
        </w:tc>
      </w:tr>
    </w:tbl>
    <w:p w14:paraId="70C2D1FB">
      <w:pPr>
        <w:pStyle w:val="153"/>
        <w:spacing w:line="240" w:lineRule="auto"/>
        <w:ind w:left="115" w:right="107" w:firstLine="14"/>
        <w:rPr>
          <w:rFonts w:hint="eastAsia" w:ascii="宋体" w:hAnsi="宋体" w:eastAsia="宋体" w:cs="宋体"/>
          <w:kern w:val="0"/>
          <w:sz w:val="21"/>
          <w:szCs w:val="21"/>
          <w:lang w:val="en-US" w:eastAsia="zh-CN" w:bidi="ar-SA"/>
        </w:rPr>
      </w:pPr>
    </w:p>
    <w:p w14:paraId="7CF1875F">
      <w:pPr>
        <w:pStyle w:val="153"/>
        <w:spacing w:line="240" w:lineRule="auto"/>
        <w:ind w:left="115" w:right="107" w:firstLine="14"/>
        <w:rPr>
          <w:rFonts w:hint="eastAsia" w:ascii="宋体" w:hAnsi="宋体" w:eastAsia="宋体" w:cs="宋体"/>
          <w:kern w:val="0"/>
          <w:sz w:val="21"/>
          <w:szCs w:val="21"/>
          <w:lang w:val="en-US" w:eastAsia="zh-CN" w:bidi="ar-SA"/>
        </w:rPr>
        <w:sectPr>
          <w:pgSz w:w="11906" w:h="16839"/>
          <w:pgMar w:top="1431" w:right="1785" w:bottom="0" w:left="1253" w:header="0" w:footer="0" w:gutter="0"/>
          <w:cols w:space="720" w:num="1"/>
        </w:sectPr>
      </w:pPr>
    </w:p>
    <w:p w14:paraId="1757036A">
      <w:pPr>
        <w:pStyle w:val="153"/>
        <w:spacing w:line="240" w:lineRule="auto"/>
        <w:ind w:right="107"/>
        <w:rPr>
          <w:rFonts w:hint="eastAsia" w:ascii="宋体" w:hAnsi="宋体" w:eastAsia="宋体" w:cs="宋体"/>
          <w:kern w:val="0"/>
          <w:sz w:val="21"/>
          <w:szCs w:val="21"/>
          <w:lang w:val="en-US" w:eastAsia="zh-CN" w:bidi="ar-SA"/>
        </w:rPr>
      </w:pPr>
    </w:p>
    <w:p w14:paraId="2487AAD7">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14"/>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lang w:val="en-US" w:eastAsia="zh-CN" w:bidi="ar-SA"/>
        </w:rPr>
        <w:t>4、售后服务要求</w:t>
      </w:r>
      <w:r>
        <w:rPr>
          <w:rFonts w:hint="eastAsia" w:ascii="宋体" w:hAnsi="宋体" w:eastAsia="宋体" w:cs="宋体"/>
          <w:b/>
          <w:bCs/>
          <w:kern w:val="0"/>
          <w:sz w:val="21"/>
          <w:szCs w:val="21"/>
          <w:highlight w:val="none"/>
          <w:lang w:val="en-US" w:eastAsia="zh-CN" w:bidi="ar-SA"/>
        </w:rPr>
        <w:t>（此项内容提供承诺函，格式自拟）</w:t>
      </w:r>
    </w:p>
    <w:p w14:paraId="3BA794C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（1）投标人根据项目采购需求提供3年的平台服务、视频存储服务、IDC机房配套托管服务、通信联网服务、日常技术运维服务等。</w:t>
      </w:r>
    </w:p>
    <w:p w14:paraId="228BEDA7">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（2）在运维服务期内由于投标人提供的设备或软件本身质量原因造成的任何损伤或损坏，投标人须免费负责修理、升级、更换。</w:t>
      </w:r>
    </w:p>
    <w:p w14:paraId="0A77364D">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运维期内，在接到故障通知后，投标人必须在15分钟内响应。对于影响正常运行的严重故障，投标人工程师及其它相关技术人员必须在在接到故障通知后2小时内赶到现场，查找原因，提出解决方案，并工作直至故障修妥完全恢复正常服务为止，一般要求保证系统在8小时之内修复，气候影响交通、业主方原因等因素除外。</w:t>
      </w:r>
    </w:p>
    <w:p w14:paraId="55993343">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为保证项目业务系统及业务需求正常、安全地运行，技术支持力量和优良的服务是系统正常、安全运行的保障。投标人应据此制定系统详细的技术支持与服务方案，包括服务内容、服务方式、服务响应时间、应急措施及组织结构等。</w:t>
      </w:r>
    </w:p>
    <w:p w14:paraId="02FD4D52">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投标人须做出无推诿承诺。即投标人应提供特殊措施，无论由于哪一方产生的问题而使设备发生不正常情况时，并在得到采购人通知后，立即派工程师到场，全力协助系统集成商和其他供应商，使系统尽快恢复正常。</w:t>
      </w:r>
    </w:p>
    <w:p w14:paraId="423B8FBA">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（6）运维考核：</w:t>
      </w:r>
    </w:p>
    <w:p w14:paraId="51CADD5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6.1投标人需建立专业化的运维管理队伍，强化人员培训，注重业务素质和职业道德素质培养，提升视频监控系统运维保障能力。</w:t>
      </w:r>
    </w:p>
    <w:p w14:paraId="3CA4947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6.2中标人需建立日常运维与应急响应机制，定岗定责，具体任务和责任落实到人，值班人员手机必须24小时开机，保证通讯畅通。紧急情况无法联系的按100元/次扣罚。</w:t>
      </w:r>
    </w:p>
    <w:p w14:paraId="55F384AA">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6.3中标人需建立日常巡检工作制度，采用人工与系统自动巡检相结合的方式对网络、存储、服务器等设备和平台软件进行巡检，确保视频监控联网系统运行正常、稳定。每月巡检记录要详实可信，存档备查，并要求每月提供一份运维总结分析报告。不符合要求的按500元/次扣罚。</w:t>
      </w:r>
    </w:p>
    <w:p w14:paraId="421605E3">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6.4提供信息安全巡检：对平台业务系统涉及的信息安全定期进行检查（每月1次），查看运行状态，主动发现安全隐患（弱口令、网站漏洞……），对安全告警进行处置，每个月生成一份巡检报告提供用户。不符合要求的按500元/次扣罚。</w:t>
      </w:r>
    </w:p>
    <w:p w14:paraId="0DC2774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6.5安全应急处置：在安全事件发生时，工程师第一时间介入，进行应急事件响应，要求在2小时内对业务快速恢复的要求。不符合要求的按1000元/次扣罚。</w:t>
      </w:r>
    </w:p>
    <w:p w14:paraId="2AD4A808">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6.6平台系统若发生信息安全事故（如数据外泄、视频外传等），需立刻整改，中标人每次扣5000元，相关人员涉及情节严重的按相关规定追究法律责任。</w:t>
      </w:r>
    </w:p>
    <w:p w14:paraId="1018E32F">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6.7每年服务期结束后，考核不符合要求涉及的扣罚在当补年的服务费用中予以扣除。</w:t>
      </w:r>
    </w:p>
    <w:p w14:paraId="014A312C">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6.8三年服务期满后，院方无论是重新招标租赁还是自建，本次中标方都要无条件配合院方的要求无缝衔接</w:t>
      </w:r>
      <w:r>
        <w:rPr>
          <w:rFonts w:hint="eastAsia" w:ascii="宋体" w:hAnsi="宋体" w:eastAsia="宋体" w:cs="宋体"/>
          <w:color w:val="auto"/>
          <w:kern w:val="0"/>
          <w:sz w:val="21"/>
          <w:szCs w:val="21"/>
          <w:lang w:val="en-US" w:eastAsia="zh-CN" w:bidi="ar-SA"/>
        </w:rPr>
        <w:t>（平台切换、到期监控视频保存不少于反恐规范要求天数）。</w:t>
      </w:r>
    </w:p>
    <w:p w14:paraId="30E1D344">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6.9承诺医院肿瘤大楼建设好后后续增加的监控存储接入平台不能额外增加费用。</w:t>
      </w:r>
    </w:p>
    <w:p w14:paraId="2E3223F1">
      <w:pPr>
        <w:pStyle w:val="153"/>
        <w:keepNext w:val="0"/>
        <w:keepLines w:val="0"/>
        <w:pageBreakBefore w:val="0"/>
        <w:widowControl w:val="0"/>
        <w:kinsoku/>
        <w:wordWrap/>
        <w:overflowPunct/>
        <w:topLinePunct w:val="0"/>
        <w:autoSpaceDE/>
        <w:autoSpaceDN/>
        <w:bidi w:val="0"/>
        <w:adjustRightInd/>
        <w:snapToGrid/>
        <w:spacing w:line="360" w:lineRule="auto"/>
        <w:ind w:right="108"/>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5、培训要求</w:t>
      </w:r>
    </w:p>
    <w:p w14:paraId="1E462611">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中标人需提供免费的培训服务，须为招标人相应技术人员提供必要的技术培训、系统操作培训、热线服务培训的服务。</w:t>
      </w:r>
    </w:p>
    <w:p w14:paraId="46965382">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标人负责技术培训及相关系统的基础培训，中标人须制定出详细完整的培训方案，包括培训的具体内容、培训方式（现场培训或集中培训）、人数、教师、日程安排、资料等。应能使相关人员独立操作、维护、管理，确保系统能正常安全运行及电召调度正常运营。</w:t>
      </w:r>
    </w:p>
    <w:p w14:paraId="4414D763">
      <w:pPr>
        <w:pStyle w:val="153"/>
        <w:keepNext w:val="0"/>
        <w:keepLines w:val="0"/>
        <w:pageBreakBefore w:val="0"/>
        <w:widowControl w:val="0"/>
        <w:kinsoku/>
        <w:wordWrap/>
        <w:overflowPunct/>
        <w:topLinePunct w:val="0"/>
        <w:autoSpaceDE/>
        <w:autoSpaceDN/>
        <w:bidi w:val="0"/>
        <w:adjustRightInd/>
        <w:snapToGrid/>
        <w:spacing w:line="360" w:lineRule="auto"/>
        <w:ind w:right="108"/>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三、商务要求</w:t>
      </w:r>
    </w:p>
    <w:p w14:paraId="6A36C47D">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1、服务周期：</w:t>
      </w:r>
    </w:p>
    <w:p w14:paraId="40A5137D">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合同签订后一个月内完成系统安装部署，并通过验收；自系统安装部署验收通过后租赁服务期3年。</w:t>
      </w:r>
    </w:p>
    <w:p w14:paraId="6310A60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2、验收要求：</w:t>
      </w:r>
    </w:p>
    <w:p w14:paraId="61E06663">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验收标准：国家、行业有关标准，招标文件，中标文件，采购合同。</w:t>
      </w:r>
    </w:p>
    <w:p w14:paraId="53E3D1FF">
      <w:pPr>
        <w:pStyle w:val="153"/>
        <w:keepNext w:val="0"/>
        <w:keepLines w:val="0"/>
        <w:pageBreakBefore w:val="0"/>
        <w:widowControl w:val="0"/>
        <w:kinsoku/>
        <w:wordWrap/>
        <w:overflowPunct/>
        <w:topLinePunct w:val="0"/>
        <w:autoSpaceDE/>
        <w:autoSpaceDN/>
        <w:bidi w:val="0"/>
        <w:adjustRightInd/>
        <w:snapToGrid/>
        <w:spacing w:line="360" w:lineRule="auto"/>
        <w:ind w:right="108"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（1）通过测试判断产品质量是否符合产品需求、功能实现是否正确，性能方面是否符合运行要求，并且产品可以最终上线。</w:t>
      </w:r>
    </w:p>
    <w:p w14:paraId="0AC5D03E">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（2）采购人负责组织验收小组参与项目验收。</w:t>
      </w:r>
    </w:p>
    <w:p w14:paraId="29B53739">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项目涉及系统、设备、服务等安装完成后，投标人应该向采购人提交申请验收报告，并且提供主要货物的出厂合格证书（或报告）、检测报告等完整的技术档案资料，若投标人未能按照上述要求履行的，导致无法及时验收的，则须由投标人承担一切责任。</w:t>
      </w:r>
    </w:p>
    <w:p w14:paraId="130841E6">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14"/>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如投标人无法如期完成设备安装调试、系统配置、项目验收等情况的，逾期每日向采购人支付合同额的万分之五作为违约金。投标人超过约定日期30个工作日仍不能完成相关服务的，采购人可解除本合同。投标人因未能如期提供相关服务或其他违约行为导致采购人解除合同的，投标人应向采购人支付合同额的10%作为违约金，如造成采购人损失超过违约金的，超出部分由投标人继续承担赔付责任。</w:t>
      </w:r>
    </w:p>
    <w:p w14:paraId="2E35A019">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3、付款方式</w:t>
      </w:r>
    </w:p>
    <w:p w14:paraId="2BC6FF4D">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采购人按年支付项目服务费用，第一年服务费用为项目中标金额的34%，第二年及第三年的服务费用为中标金额的33%。</w:t>
      </w:r>
    </w:p>
    <w:p w14:paraId="7F79FD1B">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222" w:firstLineChars="106"/>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（1）项目竣工验收后，采购人收到中标人正规发票7个工作日内，支付第一年服务费的90%，剩余10%费用服务期结束后，根据年度运维考核扣罚结果进行支付。</w:t>
      </w:r>
    </w:p>
    <w:p w14:paraId="52BBBA64">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14"/>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2、第二年、第三年服务费用支付：在服务期开始当月支付当年90%服务费用，剩余10%费用服务期结束后，根据年度运维考核扣罚结果进行支付。</w:t>
      </w:r>
    </w:p>
    <w:p w14:paraId="2BAE6DC0">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14"/>
        <w:textAlignment w:val="auto"/>
        <w:rPr>
          <w:rFonts w:hint="eastAsia" w:ascii="宋体" w:hAnsi="宋体" w:eastAsia="宋体" w:cs="宋体"/>
          <w:kern w:val="0"/>
          <w:sz w:val="21"/>
          <w:szCs w:val="21"/>
          <w:lang w:val="en-US" w:eastAsia="zh-CN" w:bidi="ar-SA"/>
        </w:rPr>
      </w:pPr>
    </w:p>
    <w:p w14:paraId="19AADB0F">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14"/>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四、其他</w:t>
      </w:r>
    </w:p>
    <w:p w14:paraId="6AC30E4A">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1、投标人应对招标、实施、操作等过程中采取保密和安全措施，因投标人造成的不良影响和损失，投标人应承担相应责任。</w:t>
      </w:r>
    </w:p>
    <w:p w14:paraId="261DABA2">
      <w:pPr>
        <w:pStyle w:val="153"/>
        <w:keepNext w:val="0"/>
        <w:keepLines w:val="0"/>
        <w:pageBreakBefore w:val="0"/>
        <w:widowControl w:val="0"/>
        <w:kinsoku/>
        <w:wordWrap/>
        <w:overflowPunct/>
        <w:topLinePunct w:val="0"/>
        <w:autoSpaceDE/>
        <w:autoSpaceDN/>
        <w:bidi w:val="0"/>
        <w:adjustRightInd/>
        <w:snapToGrid/>
        <w:spacing w:line="360" w:lineRule="auto"/>
        <w:ind w:left="115" w:right="108" w:firstLine="430" w:firstLineChars="205"/>
        <w:textAlignment w:val="auto"/>
        <w:rPr>
          <w:rFonts w:ascii="微软雅黑" w:hAnsi="微软雅黑" w:eastAsia="微软雅黑" w:cs="微软雅黑"/>
          <w:sz w:val="24"/>
          <w:szCs w:val="24"/>
        </w:rPr>
        <w:sectPr>
          <w:pgSz w:w="11906" w:h="16839"/>
          <w:pgMar w:top="1431" w:right="1785" w:bottom="0" w:left="1785" w:header="0" w:footer="0" w:gutter="0"/>
          <w:cols w:space="720" w:num="1"/>
        </w:sectPr>
      </w:pPr>
      <w:r>
        <w:rPr>
          <w:rFonts w:hint="eastAsia" w:ascii="宋体" w:hAnsi="宋体" w:eastAsia="宋体" w:cs="宋体"/>
          <w:kern w:val="0"/>
          <w:sz w:val="21"/>
          <w:szCs w:val="21"/>
          <w:lang w:val="en-US" w:eastAsia="zh-CN" w:bidi="ar-SA"/>
        </w:rPr>
        <w:t>2、采购人认为投标人提供的产品和服务不能满足需求，可否决、终止本次采购。</w:t>
      </w:r>
    </w:p>
    <w:p w14:paraId="54CEB553">
      <w:pPr>
        <w:snapToGrid w:val="0"/>
        <w:spacing w:before="240" w:after="240"/>
        <w:jc w:val="both"/>
        <w:rPr>
          <w:rFonts w:hint="eastAsia" w:ascii="宋体" w:hAnsi="宋体" w:cs="宋体"/>
          <w:b/>
          <w:sz w:val="30"/>
          <w:szCs w:val="30"/>
          <w:lang w:val="en-US" w:eastAsia="zh-CN"/>
        </w:rPr>
      </w:pPr>
    </w:p>
    <w:p w14:paraId="5C4FEEF8">
      <w:pPr>
        <w:snapToGrid w:val="0"/>
        <w:spacing w:before="240" w:after="240"/>
        <w:jc w:val="both"/>
        <w:rPr>
          <w:rFonts w:hint="eastAsia" w:ascii="宋体" w:hAnsi="宋体" w:cs="宋体"/>
          <w:b/>
          <w:sz w:val="30"/>
          <w:szCs w:val="30"/>
          <w:lang w:val="en-US" w:eastAsia="zh-CN"/>
        </w:rPr>
      </w:pPr>
    </w:p>
    <w:tbl>
      <w:tblPr>
        <w:tblStyle w:val="29"/>
        <w:tblpPr w:leftFromText="180" w:rightFromText="180" w:vertAnchor="page" w:horzAnchor="page" w:tblpX="405" w:tblpY="3498"/>
        <w:tblOverlap w:val="never"/>
        <w:tblW w:w="10620" w:type="dxa"/>
        <w:tblInd w:w="0" w:type="dxa"/>
        <w:tblLayout w:type="fixed"/>
        <w:tblCellMar>
          <w:top w:w="0" w:type="dxa"/>
          <w:left w:w="108" w:type="dxa"/>
          <w:bottom w:w="0" w:type="dxa"/>
          <w:right w:w="108" w:type="dxa"/>
        </w:tblCellMar>
      </w:tblPr>
      <w:tblGrid>
        <w:gridCol w:w="1159"/>
        <w:gridCol w:w="971"/>
        <w:gridCol w:w="367"/>
        <w:gridCol w:w="3573"/>
        <w:gridCol w:w="3267"/>
        <w:gridCol w:w="644"/>
        <w:gridCol w:w="639"/>
      </w:tblGrid>
      <w:tr w14:paraId="1B065383">
        <w:tblPrEx>
          <w:tblCellMar>
            <w:top w:w="0" w:type="dxa"/>
            <w:left w:w="108" w:type="dxa"/>
            <w:bottom w:w="0" w:type="dxa"/>
            <w:right w:w="108" w:type="dxa"/>
          </w:tblCellMar>
        </w:tblPrEx>
        <w:trPr>
          <w:trHeight w:val="694" w:hRule="atLeast"/>
        </w:trPr>
        <w:tc>
          <w:tcPr>
            <w:tcW w:w="10620" w:type="dxa"/>
            <w:gridSpan w:val="7"/>
            <w:tcBorders>
              <w:top w:val="single" w:color="000000" w:sz="4" w:space="0"/>
              <w:left w:val="single" w:color="000000" w:sz="4" w:space="0"/>
              <w:bottom w:val="single" w:color="000000" w:sz="4" w:space="0"/>
              <w:right w:val="single" w:color="000000" w:sz="4" w:space="0"/>
            </w:tcBorders>
            <w:vAlign w:val="center"/>
          </w:tcPr>
          <w:p w14:paraId="32512548">
            <w:pPr>
              <w:widowControl/>
              <w:jc w:val="center"/>
              <w:textAlignment w:val="center"/>
              <w:rPr>
                <w:rFonts w:hint="eastAsia" w:ascii="华文细黑" w:hAnsi="华文细黑" w:eastAsia="华文细黑" w:cs="华文细黑"/>
                <w:b/>
                <w:bCs/>
                <w:color w:val="000000"/>
                <w:kern w:val="0"/>
                <w:sz w:val="28"/>
                <w:szCs w:val="28"/>
                <w:lang w:bidi="ar"/>
              </w:rPr>
            </w:pPr>
            <w:r>
              <w:rPr>
                <w:rFonts w:hint="eastAsia" w:ascii="华文细黑" w:hAnsi="华文细黑" w:eastAsia="华文细黑" w:cs="华文细黑"/>
                <w:b/>
                <w:bCs/>
                <w:color w:val="000000"/>
                <w:kern w:val="0"/>
                <w:sz w:val="28"/>
                <w:szCs w:val="28"/>
                <w:lang w:bidi="ar"/>
              </w:rPr>
              <w:t>舟山医院云存储项目</w:t>
            </w:r>
          </w:p>
          <w:p w14:paraId="7227A430">
            <w:pPr>
              <w:widowControl/>
              <w:jc w:val="center"/>
              <w:textAlignment w:val="center"/>
              <w:rPr>
                <w:rFonts w:hint="eastAsia" w:ascii="华文细黑" w:hAnsi="华文细黑" w:eastAsia="宋体" w:cs="华文细黑"/>
                <w:b/>
                <w:bCs/>
                <w:color w:val="000000"/>
                <w:sz w:val="28"/>
                <w:szCs w:val="28"/>
                <w:lang w:eastAsia="zh-CN"/>
              </w:rPr>
            </w:pPr>
            <w:r>
              <w:rPr>
                <w:rFonts w:hint="eastAsia" w:ascii="华文细黑" w:hAnsi="华文细黑" w:eastAsia="华文细黑" w:cs="华文细黑"/>
                <w:b/>
                <w:bCs/>
                <w:color w:val="000000"/>
                <w:kern w:val="0"/>
                <w:sz w:val="28"/>
                <w:szCs w:val="28"/>
                <w:lang w:bidi="ar"/>
              </w:rPr>
              <w:t>维护服务要求及考核评分表</w:t>
            </w:r>
            <w:r>
              <w:rPr>
                <w:rFonts w:hint="eastAsia"/>
                <w:lang w:eastAsia="zh-CN"/>
              </w:rPr>
              <w:t>（</w:t>
            </w:r>
            <w:r>
              <w:rPr>
                <w:rFonts w:hint="eastAsia"/>
                <w:lang w:val="en-US" w:eastAsia="zh-CN"/>
              </w:rPr>
              <w:t>优秀90分以上，合格80-89，不合格80分以下</w:t>
            </w:r>
            <w:r>
              <w:rPr>
                <w:rFonts w:hint="eastAsia"/>
                <w:lang w:eastAsia="zh-CN"/>
              </w:rPr>
              <w:t>））</w:t>
            </w:r>
          </w:p>
        </w:tc>
      </w:tr>
      <w:tr w14:paraId="1D0BE16F">
        <w:tblPrEx>
          <w:tblCellMar>
            <w:top w:w="0" w:type="dxa"/>
            <w:left w:w="108" w:type="dxa"/>
            <w:bottom w:w="0" w:type="dxa"/>
            <w:right w:w="108" w:type="dxa"/>
          </w:tblCellMar>
        </w:tblPrEx>
        <w:trPr>
          <w:trHeight w:val="45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6BA572">
            <w:pPr>
              <w:widowControl/>
              <w:jc w:val="center"/>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类别</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1D7314B">
            <w:pPr>
              <w:widowControl/>
              <w:jc w:val="center"/>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项目</w:t>
            </w:r>
          </w:p>
        </w:tc>
        <w:tc>
          <w:tcPr>
            <w:tcW w:w="684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E0745EE">
            <w:pPr>
              <w:widowControl/>
              <w:jc w:val="center"/>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维护要求</w:t>
            </w:r>
          </w:p>
        </w:tc>
        <w:tc>
          <w:tcPr>
            <w:tcW w:w="64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0B267E7">
            <w:pPr>
              <w:widowControl/>
              <w:jc w:val="center"/>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基分</w:t>
            </w:r>
          </w:p>
        </w:tc>
        <w:tc>
          <w:tcPr>
            <w:tcW w:w="63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A2DB17">
            <w:pPr>
              <w:widowControl/>
              <w:jc w:val="center"/>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扣分情况</w:t>
            </w:r>
          </w:p>
        </w:tc>
      </w:tr>
      <w:tr w14:paraId="778D6BA2">
        <w:tblPrEx>
          <w:tblCellMar>
            <w:top w:w="0" w:type="dxa"/>
            <w:left w:w="108" w:type="dxa"/>
            <w:bottom w:w="0" w:type="dxa"/>
            <w:right w:w="108" w:type="dxa"/>
          </w:tblCellMar>
        </w:tblPrEx>
        <w:trPr>
          <w:trHeight w:val="450" w:hRule="atLeast"/>
        </w:trPr>
        <w:tc>
          <w:tcPr>
            <w:tcW w:w="1159" w:type="dxa"/>
            <w:vMerge w:val="restart"/>
            <w:tcBorders>
              <w:top w:val="single" w:color="000000" w:sz="4" w:space="0"/>
              <w:left w:val="single" w:color="000000" w:sz="4" w:space="0"/>
              <w:bottom w:val="single" w:color="000000" w:sz="4" w:space="0"/>
              <w:right w:val="single" w:color="000000" w:sz="4" w:space="0"/>
            </w:tcBorders>
            <w:vAlign w:val="center"/>
          </w:tcPr>
          <w:p w14:paraId="5E32D6CC">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服务指标考核（40分）</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2D319FEE">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故障处理响应时间</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4FB89A06">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出现故障</w:t>
            </w:r>
            <w:r>
              <w:rPr>
                <w:rFonts w:hint="eastAsia" w:ascii="华文细黑" w:hAnsi="华文细黑" w:eastAsia="华文细黑" w:cs="华文细黑"/>
                <w:b/>
                <w:color w:val="FF0000"/>
                <w:kern w:val="0"/>
                <w:sz w:val="18"/>
                <w:szCs w:val="18"/>
                <w:lang w:bidi="ar"/>
              </w:rPr>
              <w:t>【15】</w:t>
            </w:r>
            <w:r>
              <w:rPr>
                <w:rFonts w:hint="eastAsia" w:ascii="华文细黑" w:hAnsi="华文细黑" w:eastAsia="华文细黑" w:cs="华文细黑"/>
                <w:b/>
                <w:color w:val="000000"/>
                <w:kern w:val="0"/>
                <w:sz w:val="18"/>
                <w:szCs w:val="18"/>
                <w:lang w:bidi="ar"/>
              </w:rPr>
              <w:t>分钟内技术响应，超过要求时间30分钟，扣1分；超过2小时，扣2分；超过4小时，扣3分；超过8小时，扣10分；超过8小时没有响应扣完基分。</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319D201D">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40</w:t>
            </w:r>
          </w:p>
        </w:tc>
        <w:tc>
          <w:tcPr>
            <w:tcW w:w="639" w:type="dxa"/>
            <w:tcBorders>
              <w:top w:val="single" w:color="000000" w:sz="4" w:space="0"/>
              <w:left w:val="single" w:color="000000" w:sz="4" w:space="0"/>
              <w:bottom w:val="single" w:color="000000" w:sz="4" w:space="0"/>
              <w:right w:val="single" w:color="000000" w:sz="4" w:space="0"/>
            </w:tcBorders>
            <w:vAlign w:val="center"/>
          </w:tcPr>
          <w:p w14:paraId="2AFC099A">
            <w:pPr>
              <w:jc w:val="center"/>
              <w:rPr>
                <w:rFonts w:hint="eastAsia" w:ascii="华文细黑" w:hAnsi="华文细黑" w:eastAsia="华文细黑" w:cs="华文细黑"/>
                <w:color w:val="000000"/>
                <w:sz w:val="18"/>
                <w:szCs w:val="18"/>
              </w:rPr>
            </w:pPr>
          </w:p>
        </w:tc>
      </w:tr>
      <w:tr w14:paraId="0854CCE0">
        <w:tblPrEx>
          <w:tblCellMar>
            <w:top w:w="0" w:type="dxa"/>
            <w:left w:w="108" w:type="dxa"/>
            <w:bottom w:w="0" w:type="dxa"/>
            <w:right w:w="108" w:type="dxa"/>
          </w:tblCellMar>
        </w:tblPrEx>
        <w:trPr>
          <w:trHeight w:val="67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32B7B7FE">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2DE4A31D">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现场技术支持响应时间</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1532685A">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出现故障不能远程修复时，</w:t>
            </w:r>
            <w:r>
              <w:rPr>
                <w:rFonts w:hint="eastAsia" w:ascii="华文细黑" w:hAnsi="华文细黑" w:eastAsia="华文细黑" w:cs="华文细黑"/>
                <w:b/>
                <w:color w:val="FF0000"/>
                <w:kern w:val="0"/>
                <w:sz w:val="18"/>
                <w:szCs w:val="18"/>
                <w:lang w:bidi="ar"/>
              </w:rPr>
              <w:t>【30】</w:t>
            </w:r>
            <w:r>
              <w:rPr>
                <w:rFonts w:hint="eastAsia" w:ascii="华文细黑" w:hAnsi="华文细黑" w:eastAsia="华文细黑" w:cs="华文细黑"/>
                <w:b/>
                <w:color w:val="000000"/>
                <w:kern w:val="0"/>
                <w:sz w:val="18"/>
                <w:szCs w:val="18"/>
                <w:lang w:bidi="ar"/>
              </w:rPr>
              <w:t>分钟内赶到现场，超过要求时间1小时，扣1分；超过2小时，扣2分；超过4小时，扣3分；超过8小时，扣10分；超过2*24小时没有响应扣完基分。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1D262EDD">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95A4D24">
            <w:pPr>
              <w:jc w:val="center"/>
              <w:rPr>
                <w:rFonts w:hint="eastAsia" w:ascii="华文细黑" w:hAnsi="华文细黑" w:eastAsia="华文细黑" w:cs="华文细黑"/>
                <w:color w:val="000000"/>
                <w:sz w:val="18"/>
                <w:szCs w:val="18"/>
              </w:rPr>
            </w:pPr>
          </w:p>
        </w:tc>
      </w:tr>
      <w:tr w14:paraId="004F9102">
        <w:tblPrEx>
          <w:tblCellMar>
            <w:top w:w="0" w:type="dxa"/>
            <w:left w:w="108" w:type="dxa"/>
            <w:bottom w:w="0" w:type="dxa"/>
            <w:right w:w="108" w:type="dxa"/>
          </w:tblCellMar>
        </w:tblPrEx>
        <w:trPr>
          <w:trHeight w:val="4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6EA8208C">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1A9BD9EA">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业务恢复时间</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7FA2B150">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出现故障</w:t>
            </w:r>
            <w:r>
              <w:rPr>
                <w:rFonts w:hint="eastAsia" w:ascii="华文细黑" w:hAnsi="华文细黑" w:eastAsia="华文细黑" w:cs="华文细黑"/>
                <w:b/>
                <w:color w:val="FF0000"/>
                <w:kern w:val="0"/>
                <w:sz w:val="18"/>
                <w:szCs w:val="18"/>
                <w:lang w:bidi="ar"/>
              </w:rPr>
              <w:t>【8】</w:t>
            </w:r>
            <w:r>
              <w:rPr>
                <w:rFonts w:hint="eastAsia" w:ascii="华文细黑" w:hAnsi="华文细黑" w:eastAsia="华文细黑" w:cs="华文细黑"/>
                <w:b/>
                <w:color w:val="000000"/>
                <w:kern w:val="0"/>
                <w:sz w:val="18"/>
                <w:szCs w:val="18"/>
                <w:lang w:bidi="ar"/>
              </w:rPr>
              <w:t>小时内解决问题，超过要求时间1小时，扣1分；超过2小时扣4分；超过3小时，扣6分；超过24小时，扣10分；超过7*24小时没有处理扣完基分。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142DBB73">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9519F73">
            <w:pPr>
              <w:jc w:val="center"/>
              <w:rPr>
                <w:rFonts w:hint="eastAsia" w:ascii="华文细黑" w:hAnsi="华文细黑" w:eastAsia="华文细黑" w:cs="华文细黑"/>
                <w:color w:val="000000"/>
                <w:sz w:val="18"/>
                <w:szCs w:val="18"/>
              </w:rPr>
            </w:pPr>
          </w:p>
        </w:tc>
      </w:tr>
      <w:tr w14:paraId="1D48DA17">
        <w:tblPrEx>
          <w:tblCellMar>
            <w:top w:w="0" w:type="dxa"/>
            <w:left w:w="108" w:type="dxa"/>
            <w:bottom w:w="0" w:type="dxa"/>
            <w:right w:w="108" w:type="dxa"/>
          </w:tblCellMar>
        </w:tblPrEx>
        <w:trPr>
          <w:trHeight w:val="2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21662FAA">
            <w:pPr>
              <w:jc w:val="center"/>
              <w:rPr>
                <w:rFonts w:hint="eastAsia" w:ascii="华文细黑" w:hAnsi="华文细黑" w:eastAsia="华文细黑" w:cs="华文细黑"/>
                <w:color w:val="000000"/>
                <w:sz w:val="18"/>
                <w:szCs w:val="18"/>
              </w:rPr>
            </w:pPr>
          </w:p>
        </w:tc>
        <w:tc>
          <w:tcPr>
            <w:tcW w:w="133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2A5CA54">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运维报告</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6DC6FC3C">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按照</w:t>
            </w:r>
            <w:r>
              <w:rPr>
                <w:rFonts w:hint="eastAsia" w:ascii="华文细黑" w:hAnsi="华文细黑" w:eastAsia="华文细黑" w:cs="华文细黑"/>
                <w:b/>
                <w:color w:val="FF0000"/>
                <w:kern w:val="0"/>
                <w:sz w:val="18"/>
                <w:szCs w:val="18"/>
                <w:lang w:bidi="ar"/>
              </w:rPr>
              <w:t>【每个月】</w:t>
            </w:r>
            <w:r>
              <w:rPr>
                <w:rFonts w:hint="eastAsia" w:ascii="华文细黑" w:hAnsi="华文细黑" w:eastAsia="华文细黑" w:cs="华文细黑"/>
                <w:b/>
                <w:color w:val="000000"/>
                <w:kern w:val="0"/>
                <w:sz w:val="18"/>
                <w:szCs w:val="18"/>
                <w:lang w:bidi="ar"/>
              </w:rPr>
              <w:t>周期提供运维报告，超时提供或没有提供每次扣1分。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02C310F4">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BA8BCF6">
            <w:pPr>
              <w:jc w:val="center"/>
              <w:rPr>
                <w:rFonts w:hint="eastAsia" w:ascii="华文细黑" w:hAnsi="华文细黑" w:eastAsia="华文细黑" w:cs="华文细黑"/>
                <w:color w:val="000000"/>
                <w:sz w:val="18"/>
                <w:szCs w:val="18"/>
              </w:rPr>
            </w:pPr>
          </w:p>
        </w:tc>
      </w:tr>
      <w:tr w14:paraId="18C79534">
        <w:tblPrEx>
          <w:tblCellMar>
            <w:top w:w="0" w:type="dxa"/>
            <w:left w:w="108" w:type="dxa"/>
            <w:bottom w:w="0" w:type="dxa"/>
            <w:right w:w="108" w:type="dxa"/>
          </w:tblCellMar>
        </w:tblPrEx>
        <w:trPr>
          <w:trHeight w:val="1111"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2FB1AF84">
            <w:pPr>
              <w:jc w:val="center"/>
              <w:rPr>
                <w:rFonts w:hint="eastAsia" w:ascii="华文细黑" w:hAnsi="华文细黑" w:eastAsia="华文细黑" w:cs="华文细黑"/>
                <w:color w:val="000000"/>
                <w:sz w:val="18"/>
                <w:szCs w:val="18"/>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38C8A93">
            <w:pPr>
              <w:jc w:val="left"/>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7B8A51F6">
            <w:pPr>
              <w:widowControl/>
              <w:jc w:val="left"/>
              <w:textAlignment w:val="center"/>
              <w:rPr>
                <w:rFonts w:hint="eastAsia" w:ascii="华文细黑" w:hAnsi="华文细黑" w:eastAsia="华文细黑" w:cs="华文细黑"/>
                <w:color w:val="000000"/>
                <w:kern w:val="0"/>
                <w:sz w:val="18"/>
                <w:szCs w:val="18"/>
                <w:highlight w:val="yellow"/>
                <w:lang w:bidi="ar"/>
              </w:rPr>
            </w:pPr>
            <w:r>
              <w:rPr>
                <w:rFonts w:hint="eastAsia" w:ascii="华文细黑" w:hAnsi="华文细黑" w:eastAsia="华文细黑" w:cs="华文细黑"/>
                <w:color w:val="000000"/>
                <w:kern w:val="0"/>
                <w:sz w:val="18"/>
                <w:szCs w:val="18"/>
                <w:lang w:bidi="ar"/>
              </w:rPr>
              <w:t>按照甲方模板提供内容完备的《云存储运维报告》，满足客户和运维要求，不完备的视报告内容每次扣3~8分：</w:t>
            </w:r>
            <w:r>
              <w:rPr>
                <w:rFonts w:hint="eastAsia" w:ascii="华文细黑" w:hAnsi="华文细黑" w:eastAsia="华文细黑" w:cs="华文细黑"/>
                <w:color w:val="000000"/>
                <w:kern w:val="0"/>
                <w:sz w:val="18"/>
                <w:szCs w:val="18"/>
                <w:lang w:bidi="ar"/>
              </w:rPr>
              <w:br w:type="textWrapping"/>
            </w:r>
            <w:r>
              <w:rPr>
                <w:rFonts w:hint="eastAsia" w:ascii="华文细黑" w:hAnsi="华文细黑" w:eastAsia="华文细黑" w:cs="华文细黑"/>
                <w:color w:val="000000"/>
                <w:kern w:val="0"/>
                <w:sz w:val="18"/>
                <w:szCs w:val="18"/>
                <w:lang w:bidi="ar"/>
              </w:rPr>
              <w:t>《云存储运维报告》内容要求包括但不限于：项目总体运维情况、投诉受理情况、维护资源配置、重大故障分析、信息安全、整体运行</w:t>
            </w:r>
            <w:r>
              <w:rPr>
                <w:rFonts w:hint="eastAsia" w:ascii="华文细黑" w:hAnsi="华文细黑" w:eastAsia="华文细黑" w:cs="华文细黑"/>
                <w:color w:val="000000"/>
                <w:kern w:val="0"/>
                <w:sz w:val="18"/>
                <w:szCs w:val="18"/>
                <w:highlight w:val="none"/>
                <w:lang w:bidi="ar"/>
              </w:rPr>
              <w:t>情况、运行监控情况分析、巡检情况分析，故障列表、重要故障分析、下阶段提升举措等内容</w:t>
            </w:r>
            <w:r>
              <w:rPr>
                <w:rFonts w:hint="eastAsia" w:ascii="华文细黑" w:hAnsi="华文细黑" w:eastAsia="华文细黑" w:cs="华文细黑"/>
                <w:color w:val="000000"/>
                <w:kern w:val="0"/>
                <w:sz w:val="18"/>
                <w:szCs w:val="18"/>
                <w:highlight w:val="none"/>
                <w:lang w:eastAsia="zh-CN" w:bidi="ar"/>
              </w:rPr>
              <w:t>、</w:t>
            </w:r>
            <w:r>
              <w:rPr>
                <w:rFonts w:hint="eastAsia" w:ascii="华文细黑" w:hAnsi="华文细黑" w:eastAsia="华文细黑" w:cs="华文细黑"/>
                <w:color w:val="000000"/>
                <w:kern w:val="0"/>
                <w:sz w:val="18"/>
                <w:szCs w:val="18"/>
                <w:highlight w:val="none"/>
                <w:lang w:val="en-US" w:eastAsia="zh-CN" w:bidi="ar"/>
              </w:rPr>
              <w:t>提供用于监控点位、业务系统时间统一校时服务。</w:t>
            </w:r>
          </w:p>
          <w:p w14:paraId="0A255FE1">
            <w:pPr>
              <w:widowControl/>
              <w:jc w:val="left"/>
              <w:textAlignment w:val="center"/>
              <w:rPr>
                <w:rFonts w:hint="eastAsia" w:ascii="华文细黑" w:hAnsi="华文细黑" w:eastAsia="华文细黑" w:cs="华文细黑"/>
                <w:color w:val="000000"/>
                <w:kern w:val="0"/>
                <w:sz w:val="18"/>
                <w:szCs w:val="18"/>
                <w:lang w:bidi="ar"/>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4CA18992">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745E544">
            <w:pPr>
              <w:jc w:val="center"/>
              <w:rPr>
                <w:rFonts w:hint="eastAsia" w:ascii="华文细黑" w:hAnsi="华文细黑" w:eastAsia="华文细黑" w:cs="华文细黑"/>
                <w:color w:val="000000"/>
                <w:sz w:val="18"/>
                <w:szCs w:val="18"/>
              </w:rPr>
            </w:pPr>
          </w:p>
        </w:tc>
      </w:tr>
      <w:tr w14:paraId="00F69A02">
        <w:tblPrEx>
          <w:tblCellMar>
            <w:top w:w="0" w:type="dxa"/>
            <w:left w:w="108" w:type="dxa"/>
            <w:bottom w:w="0" w:type="dxa"/>
            <w:right w:w="108" w:type="dxa"/>
          </w:tblCellMar>
        </w:tblPrEx>
        <w:trPr>
          <w:trHeight w:val="2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60E4EA2E">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1AB646E5">
            <w:pPr>
              <w:jc w:val="left"/>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2E0C06A9">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按照</w:t>
            </w:r>
            <w:r>
              <w:rPr>
                <w:rFonts w:hint="eastAsia" w:ascii="华文细黑" w:hAnsi="华文细黑" w:eastAsia="华文细黑" w:cs="华文细黑"/>
                <w:b/>
                <w:color w:val="FF0000"/>
                <w:kern w:val="0"/>
                <w:sz w:val="18"/>
                <w:szCs w:val="18"/>
                <w:lang w:bidi="ar"/>
              </w:rPr>
              <w:t>【每个月】</w:t>
            </w:r>
            <w:r>
              <w:rPr>
                <w:rFonts w:hint="eastAsia" w:ascii="华文细黑" w:hAnsi="华文细黑" w:eastAsia="华文细黑" w:cs="华文细黑"/>
                <w:b/>
                <w:color w:val="000000"/>
                <w:kern w:val="0"/>
                <w:sz w:val="18"/>
                <w:szCs w:val="18"/>
                <w:lang w:bidi="ar"/>
              </w:rPr>
              <w:t>周期提供现场巡检服务，每缺少巡检1次，扣5分。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1808BE48">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C5A08AC">
            <w:pPr>
              <w:jc w:val="center"/>
              <w:rPr>
                <w:rFonts w:hint="eastAsia" w:ascii="华文细黑" w:hAnsi="华文细黑" w:eastAsia="华文细黑" w:cs="华文细黑"/>
                <w:color w:val="000000"/>
                <w:sz w:val="18"/>
                <w:szCs w:val="18"/>
              </w:rPr>
            </w:pPr>
          </w:p>
        </w:tc>
      </w:tr>
      <w:tr w14:paraId="4B078F3E">
        <w:tblPrEx>
          <w:tblCellMar>
            <w:top w:w="0" w:type="dxa"/>
            <w:left w:w="108" w:type="dxa"/>
            <w:bottom w:w="0" w:type="dxa"/>
            <w:right w:w="108" w:type="dxa"/>
          </w:tblCellMar>
        </w:tblPrEx>
        <w:trPr>
          <w:trHeight w:val="891" w:hRule="atLeast"/>
        </w:trPr>
        <w:tc>
          <w:tcPr>
            <w:tcW w:w="1159" w:type="dxa"/>
            <w:vMerge w:val="restart"/>
            <w:tcBorders>
              <w:top w:val="single" w:color="000000" w:sz="4" w:space="0"/>
              <w:left w:val="single" w:color="000000" w:sz="4" w:space="0"/>
              <w:bottom w:val="single" w:color="000000" w:sz="4" w:space="0"/>
              <w:right w:val="single" w:color="000000" w:sz="4" w:space="0"/>
            </w:tcBorders>
            <w:vAlign w:val="center"/>
          </w:tcPr>
          <w:p w14:paraId="721F62E9">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服务管理考核（40分）</w:t>
            </w:r>
          </w:p>
        </w:tc>
        <w:tc>
          <w:tcPr>
            <w:tcW w:w="971" w:type="dxa"/>
            <w:vMerge w:val="restart"/>
            <w:tcBorders>
              <w:top w:val="single" w:color="000000" w:sz="4" w:space="0"/>
              <w:left w:val="single" w:color="000000" w:sz="4" w:space="0"/>
              <w:bottom w:val="single" w:color="000000" w:sz="4" w:space="0"/>
              <w:right w:val="single" w:color="000000" w:sz="4" w:space="0"/>
            </w:tcBorders>
            <w:vAlign w:val="center"/>
          </w:tcPr>
          <w:p w14:paraId="754F0C07">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资源配置</w:t>
            </w:r>
          </w:p>
        </w:tc>
        <w:tc>
          <w:tcPr>
            <w:tcW w:w="367" w:type="dxa"/>
            <w:tcBorders>
              <w:top w:val="single" w:color="000000" w:sz="4" w:space="0"/>
              <w:left w:val="single" w:color="000000" w:sz="4" w:space="0"/>
              <w:bottom w:val="single" w:color="000000" w:sz="4" w:space="0"/>
              <w:right w:val="single" w:color="000000" w:sz="4" w:space="0"/>
            </w:tcBorders>
            <w:vAlign w:val="center"/>
          </w:tcPr>
          <w:p w14:paraId="0885DEF6">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人员数量</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74EAA4B3">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人员配置符合合同和服务规范要求，核查资质样表，少1人扣5分；</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6702EBE4">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10</w:t>
            </w:r>
          </w:p>
        </w:tc>
        <w:tc>
          <w:tcPr>
            <w:tcW w:w="639" w:type="dxa"/>
            <w:tcBorders>
              <w:top w:val="single" w:color="000000" w:sz="4" w:space="0"/>
              <w:left w:val="single" w:color="000000" w:sz="4" w:space="0"/>
              <w:bottom w:val="single" w:color="000000" w:sz="4" w:space="0"/>
              <w:right w:val="single" w:color="000000" w:sz="4" w:space="0"/>
            </w:tcBorders>
            <w:vAlign w:val="center"/>
          </w:tcPr>
          <w:p w14:paraId="4DCF510F">
            <w:pPr>
              <w:jc w:val="center"/>
              <w:rPr>
                <w:rFonts w:hint="eastAsia" w:ascii="华文细黑" w:hAnsi="华文细黑" w:eastAsia="华文细黑" w:cs="华文细黑"/>
                <w:color w:val="000000"/>
                <w:sz w:val="18"/>
                <w:szCs w:val="18"/>
              </w:rPr>
            </w:pPr>
          </w:p>
        </w:tc>
      </w:tr>
      <w:tr w14:paraId="449BB23D">
        <w:tblPrEx>
          <w:tblCellMar>
            <w:top w:w="0" w:type="dxa"/>
            <w:left w:w="108" w:type="dxa"/>
            <w:bottom w:w="0" w:type="dxa"/>
            <w:right w:w="108" w:type="dxa"/>
          </w:tblCellMar>
        </w:tblPrEx>
        <w:trPr>
          <w:trHeight w:val="891"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29082C09">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79232388">
            <w:pPr>
              <w:jc w:val="center"/>
              <w:rPr>
                <w:rFonts w:hint="eastAsia" w:ascii="华文细黑" w:hAnsi="华文细黑" w:eastAsia="华文细黑" w:cs="华文细黑"/>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vAlign w:val="center"/>
          </w:tcPr>
          <w:p w14:paraId="6C769F2A">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人员资质</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5FDD78D0">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学历、上岗证和专业证件符合服务规范要求，核查资质样表，不符合要求，每人扣5分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18A552A">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FE2430F">
            <w:pPr>
              <w:jc w:val="center"/>
              <w:rPr>
                <w:rFonts w:hint="eastAsia" w:ascii="华文细黑" w:hAnsi="华文细黑" w:eastAsia="华文细黑" w:cs="华文细黑"/>
                <w:color w:val="000000"/>
                <w:sz w:val="18"/>
                <w:szCs w:val="18"/>
              </w:rPr>
            </w:pPr>
          </w:p>
        </w:tc>
      </w:tr>
      <w:tr w14:paraId="7C4AFB9A">
        <w:tblPrEx>
          <w:tblCellMar>
            <w:top w:w="0" w:type="dxa"/>
            <w:left w:w="108" w:type="dxa"/>
            <w:bottom w:w="0" w:type="dxa"/>
            <w:right w:w="108" w:type="dxa"/>
          </w:tblCellMar>
        </w:tblPrEx>
        <w:trPr>
          <w:trHeight w:val="891"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A80D6">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A62FD">
            <w:pPr>
              <w:jc w:val="center"/>
              <w:rPr>
                <w:rFonts w:hint="eastAsia" w:ascii="华文细黑" w:hAnsi="华文细黑" w:eastAsia="华文细黑" w:cs="华文细黑"/>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B2BB">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备品备件</w:t>
            </w:r>
          </w:p>
        </w:tc>
        <w:tc>
          <w:tcPr>
            <w:tcW w:w="6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1C516">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提供备件服务的项目，要求配备满足项目维护需要的备品备件，具体如下：</w:t>
            </w:r>
            <w:r>
              <w:rPr>
                <w:rFonts w:hint="eastAsia" w:ascii="华文细黑" w:hAnsi="华文细黑" w:eastAsia="华文细黑" w:cs="华文细黑"/>
                <w:color w:val="000000"/>
                <w:kern w:val="0"/>
                <w:sz w:val="18"/>
                <w:szCs w:val="18"/>
                <w:lang w:bidi="ar"/>
              </w:rPr>
              <w:br w:type="textWrapping"/>
            </w:r>
            <w:r>
              <w:rPr>
                <w:rFonts w:hint="eastAsia" w:ascii="华文细黑" w:hAnsi="华文细黑" w:eastAsia="华文细黑" w:cs="华文细黑"/>
                <w:color w:val="000000"/>
                <w:kern w:val="0"/>
                <w:sz w:val="18"/>
                <w:szCs w:val="18"/>
                <w:lang w:bidi="ar"/>
              </w:rPr>
              <w:t>根据项目实际情况填写名称、品牌、型号、数量、放置位置等关键信息，未按要求提供备品备件或备品备件无法满足运维要求，扣5分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F04194F">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D811CE7">
            <w:pPr>
              <w:jc w:val="center"/>
              <w:rPr>
                <w:rFonts w:hint="eastAsia" w:ascii="华文细黑" w:hAnsi="华文细黑" w:eastAsia="华文细黑" w:cs="华文细黑"/>
                <w:color w:val="000000"/>
                <w:sz w:val="18"/>
                <w:szCs w:val="18"/>
              </w:rPr>
            </w:pPr>
          </w:p>
        </w:tc>
      </w:tr>
      <w:tr w14:paraId="233FAA11">
        <w:tblPrEx>
          <w:tblCellMar>
            <w:top w:w="0" w:type="dxa"/>
            <w:left w:w="108" w:type="dxa"/>
            <w:bottom w:w="0" w:type="dxa"/>
            <w:right w:w="108" w:type="dxa"/>
          </w:tblCellMar>
        </w:tblPrEx>
        <w:trPr>
          <w:trHeight w:val="1111"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56F928DE">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3E20250E">
            <w:pPr>
              <w:jc w:val="center"/>
              <w:rPr>
                <w:rFonts w:hint="eastAsia" w:ascii="华文细黑" w:hAnsi="华文细黑" w:eastAsia="华文细黑" w:cs="华文细黑"/>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vAlign w:val="center"/>
          </w:tcPr>
          <w:p w14:paraId="3FE00D2B">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车辆和仪表</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262424E1">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仪表配备标准、数量符合服务规范要求，必备的工器具包括但不限于笔记本电脑、万用表、工程宝、网线钳、光功率计等各种仪器仪表和工器具，缺仪表或仪表损坏不能使用每件扣1分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05A38DF">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2ECD0B3">
            <w:pPr>
              <w:jc w:val="center"/>
              <w:rPr>
                <w:rFonts w:hint="eastAsia" w:ascii="华文细黑" w:hAnsi="华文细黑" w:eastAsia="华文细黑" w:cs="华文细黑"/>
                <w:color w:val="000000"/>
                <w:sz w:val="18"/>
                <w:szCs w:val="18"/>
              </w:rPr>
            </w:pPr>
          </w:p>
        </w:tc>
      </w:tr>
      <w:tr w14:paraId="2FB3E8AE">
        <w:tblPrEx>
          <w:tblCellMar>
            <w:top w:w="0" w:type="dxa"/>
            <w:left w:w="108" w:type="dxa"/>
            <w:bottom w:w="0" w:type="dxa"/>
            <w:right w:w="108" w:type="dxa"/>
          </w:tblCellMar>
        </w:tblPrEx>
        <w:trPr>
          <w:trHeight w:val="2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37A89E0D">
            <w:pPr>
              <w:jc w:val="center"/>
              <w:rPr>
                <w:rFonts w:hint="eastAsia" w:ascii="华文细黑" w:hAnsi="华文细黑" w:eastAsia="华文细黑" w:cs="华文细黑"/>
                <w:color w:val="000000"/>
                <w:sz w:val="18"/>
                <w:szCs w:val="18"/>
              </w:rPr>
            </w:pPr>
          </w:p>
        </w:tc>
        <w:tc>
          <w:tcPr>
            <w:tcW w:w="971" w:type="dxa"/>
            <w:vMerge w:val="restart"/>
            <w:tcBorders>
              <w:top w:val="single" w:color="000000" w:sz="4" w:space="0"/>
              <w:left w:val="single" w:color="000000" w:sz="4" w:space="0"/>
              <w:bottom w:val="single" w:color="000000" w:sz="4" w:space="0"/>
              <w:right w:val="single" w:color="000000" w:sz="4" w:space="0"/>
            </w:tcBorders>
            <w:vAlign w:val="center"/>
          </w:tcPr>
          <w:p w14:paraId="3ED06B53">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日常管理</w:t>
            </w:r>
          </w:p>
        </w:tc>
        <w:tc>
          <w:tcPr>
            <w:tcW w:w="367" w:type="dxa"/>
            <w:vMerge w:val="restart"/>
            <w:tcBorders>
              <w:top w:val="single" w:color="000000" w:sz="4" w:space="0"/>
              <w:left w:val="single" w:color="000000" w:sz="4" w:space="0"/>
              <w:bottom w:val="single" w:color="000000" w:sz="4" w:space="0"/>
              <w:right w:val="single" w:color="000000" w:sz="4" w:space="0"/>
            </w:tcBorders>
            <w:vAlign w:val="center"/>
          </w:tcPr>
          <w:p w14:paraId="2939934F">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故障处理质量</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2AAFD810">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判断准确，故障不反复，一周内重复发生相同故障或用户投诉的，每次酌情扣3-5分</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6848DE3E">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10</w:t>
            </w:r>
          </w:p>
        </w:tc>
        <w:tc>
          <w:tcPr>
            <w:tcW w:w="639" w:type="dxa"/>
            <w:tcBorders>
              <w:top w:val="single" w:color="000000" w:sz="4" w:space="0"/>
              <w:left w:val="single" w:color="000000" w:sz="4" w:space="0"/>
              <w:bottom w:val="single" w:color="000000" w:sz="4" w:space="0"/>
              <w:right w:val="single" w:color="000000" w:sz="4" w:space="0"/>
            </w:tcBorders>
            <w:vAlign w:val="center"/>
          </w:tcPr>
          <w:p w14:paraId="3615FF36">
            <w:pPr>
              <w:jc w:val="center"/>
              <w:rPr>
                <w:rFonts w:hint="eastAsia" w:ascii="华文细黑" w:hAnsi="华文细黑" w:eastAsia="华文细黑" w:cs="华文细黑"/>
                <w:color w:val="000000"/>
                <w:sz w:val="18"/>
                <w:szCs w:val="18"/>
              </w:rPr>
            </w:pPr>
          </w:p>
        </w:tc>
      </w:tr>
      <w:tr w14:paraId="32F62F3B">
        <w:tblPrEx>
          <w:tblCellMar>
            <w:top w:w="0" w:type="dxa"/>
            <w:left w:w="108" w:type="dxa"/>
            <w:bottom w:w="0" w:type="dxa"/>
            <w:right w:w="108" w:type="dxa"/>
          </w:tblCellMar>
        </w:tblPrEx>
        <w:trPr>
          <w:trHeight w:val="1082"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42AD273B">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7A7B5049">
            <w:pPr>
              <w:jc w:val="center"/>
              <w:rPr>
                <w:rFonts w:hint="eastAsia" w:ascii="华文细黑" w:hAnsi="华文细黑" w:eastAsia="华文细黑" w:cs="华文细黑"/>
                <w:color w:val="000000"/>
                <w:sz w:val="18"/>
                <w:szCs w:val="18"/>
              </w:rPr>
            </w:pPr>
          </w:p>
        </w:tc>
        <w:tc>
          <w:tcPr>
            <w:tcW w:w="367" w:type="dxa"/>
            <w:vMerge w:val="continue"/>
            <w:tcBorders>
              <w:top w:val="single" w:color="000000" w:sz="4" w:space="0"/>
              <w:left w:val="single" w:color="000000" w:sz="4" w:space="0"/>
              <w:bottom w:val="single" w:color="000000" w:sz="4" w:space="0"/>
              <w:right w:val="single" w:color="000000" w:sz="4" w:space="0"/>
            </w:tcBorders>
            <w:vAlign w:val="center"/>
          </w:tcPr>
          <w:p w14:paraId="24DFE549">
            <w:pPr>
              <w:jc w:val="center"/>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346E47AB">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发生由于乙方维护工作疏忽造成的紧急故障或是主要故障，每次扣6-10分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71AFDDA9">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F5B51C6">
            <w:pPr>
              <w:jc w:val="center"/>
              <w:rPr>
                <w:rFonts w:hint="eastAsia" w:ascii="华文细黑" w:hAnsi="华文细黑" w:eastAsia="华文细黑" w:cs="华文细黑"/>
                <w:color w:val="000000"/>
                <w:sz w:val="18"/>
                <w:szCs w:val="18"/>
              </w:rPr>
            </w:pPr>
          </w:p>
        </w:tc>
      </w:tr>
      <w:tr w14:paraId="5378B128">
        <w:tblPrEx>
          <w:tblCellMar>
            <w:top w:w="0" w:type="dxa"/>
            <w:left w:w="108" w:type="dxa"/>
            <w:bottom w:w="0" w:type="dxa"/>
            <w:right w:w="108" w:type="dxa"/>
          </w:tblCellMar>
        </w:tblPrEx>
        <w:trPr>
          <w:trHeight w:val="2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2403E93D">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07D5EFF6">
            <w:pPr>
              <w:jc w:val="center"/>
              <w:rPr>
                <w:rFonts w:hint="eastAsia" w:ascii="华文细黑" w:hAnsi="华文细黑" w:eastAsia="华文细黑" w:cs="华文细黑"/>
                <w:color w:val="000000"/>
                <w:sz w:val="18"/>
                <w:szCs w:val="18"/>
              </w:rPr>
            </w:pPr>
          </w:p>
        </w:tc>
        <w:tc>
          <w:tcPr>
            <w:tcW w:w="367" w:type="dxa"/>
            <w:vMerge w:val="restart"/>
            <w:tcBorders>
              <w:top w:val="single" w:color="000000" w:sz="4" w:space="0"/>
              <w:left w:val="single" w:color="000000" w:sz="4" w:space="0"/>
              <w:bottom w:val="single" w:color="000000" w:sz="4" w:space="0"/>
              <w:right w:val="single" w:color="000000" w:sz="4" w:space="0"/>
            </w:tcBorders>
            <w:vAlign w:val="center"/>
          </w:tcPr>
          <w:p w14:paraId="459AE638">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巡检管理质量</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4E0E2010">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巡检计划有效完成，变更有记录，不符合要求，每次扣1分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0392D8DA">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9BEA0E7">
            <w:pPr>
              <w:jc w:val="center"/>
              <w:rPr>
                <w:rFonts w:hint="eastAsia" w:ascii="华文细黑" w:hAnsi="华文细黑" w:eastAsia="华文细黑" w:cs="华文细黑"/>
                <w:color w:val="000000"/>
                <w:sz w:val="18"/>
                <w:szCs w:val="18"/>
              </w:rPr>
            </w:pPr>
          </w:p>
        </w:tc>
      </w:tr>
      <w:tr w14:paraId="5032C57B">
        <w:tblPrEx>
          <w:tblCellMar>
            <w:top w:w="0" w:type="dxa"/>
            <w:left w:w="108" w:type="dxa"/>
            <w:bottom w:w="0" w:type="dxa"/>
            <w:right w:w="108" w:type="dxa"/>
          </w:tblCellMar>
        </w:tblPrEx>
        <w:trPr>
          <w:trHeight w:val="2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785890E1">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0ADB675F">
            <w:pPr>
              <w:jc w:val="center"/>
              <w:rPr>
                <w:rFonts w:hint="eastAsia" w:ascii="华文细黑" w:hAnsi="华文细黑" w:eastAsia="华文细黑" w:cs="华文细黑"/>
                <w:color w:val="000000"/>
                <w:sz w:val="18"/>
                <w:szCs w:val="18"/>
              </w:rPr>
            </w:pPr>
          </w:p>
        </w:tc>
        <w:tc>
          <w:tcPr>
            <w:tcW w:w="367" w:type="dxa"/>
            <w:vMerge w:val="continue"/>
            <w:tcBorders>
              <w:top w:val="single" w:color="000000" w:sz="4" w:space="0"/>
              <w:left w:val="single" w:color="000000" w:sz="4" w:space="0"/>
              <w:bottom w:val="single" w:color="000000" w:sz="4" w:space="0"/>
              <w:right w:val="single" w:color="000000" w:sz="4" w:space="0"/>
            </w:tcBorders>
            <w:vAlign w:val="center"/>
          </w:tcPr>
          <w:p w14:paraId="0C49CCD2">
            <w:pPr>
              <w:jc w:val="center"/>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52726542">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巡检报告需由客户或甲方签字确认，不符合要求，每次扣2分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0CC8644C">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02D9AE1">
            <w:pPr>
              <w:jc w:val="center"/>
              <w:rPr>
                <w:rFonts w:hint="eastAsia" w:ascii="华文细黑" w:hAnsi="华文细黑" w:eastAsia="华文细黑" w:cs="华文细黑"/>
                <w:color w:val="000000"/>
                <w:sz w:val="18"/>
                <w:szCs w:val="18"/>
              </w:rPr>
            </w:pPr>
          </w:p>
        </w:tc>
      </w:tr>
      <w:tr w14:paraId="663CF075">
        <w:tblPrEx>
          <w:tblCellMar>
            <w:top w:w="0" w:type="dxa"/>
            <w:left w:w="108" w:type="dxa"/>
            <w:bottom w:w="0" w:type="dxa"/>
            <w:right w:w="108" w:type="dxa"/>
          </w:tblCellMar>
        </w:tblPrEx>
        <w:trPr>
          <w:trHeight w:val="4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07669C48">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3DEA3844">
            <w:pPr>
              <w:jc w:val="center"/>
              <w:rPr>
                <w:rFonts w:hint="eastAsia" w:ascii="华文细黑" w:hAnsi="华文细黑" w:eastAsia="华文细黑" w:cs="华文细黑"/>
                <w:color w:val="000000"/>
                <w:sz w:val="18"/>
                <w:szCs w:val="18"/>
              </w:rPr>
            </w:pPr>
          </w:p>
        </w:tc>
        <w:tc>
          <w:tcPr>
            <w:tcW w:w="367" w:type="dxa"/>
            <w:vMerge w:val="continue"/>
            <w:tcBorders>
              <w:top w:val="single" w:color="000000" w:sz="4" w:space="0"/>
              <w:left w:val="single" w:color="000000" w:sz="4" w:space="0"/>
              <w:bottom w:val="single" w:color="000000" w:sz="4" w:space="0"/>
              <w:right w:val="single" w:color="000000" w:sz="4" w:space="0"/>
            </w:tcBorders>
            <w:vAlign w:val="center"/>
          </w:tcPr>
          <w:p w14:paraId="5B1EB1E3">
            <w:pPr>
              <w:jc w:val="center"/>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674CFFD3">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巡检记录内容齐全、真实、规范，不弄虚作假，甲方不定期抽查巡检记录，发现记录弄虚作假，每处酌情扣2-3分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08406181">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675ACB8">
            <w:pPr>
              <w:jc w:val="center"/>
              <w:rPr>
                <w:rFonts w:hint="eastAsia" w:ascii="华文细黑" w:hAnsi="华文细黑" w:eastAsia="华文细黑" w:cs="华文细黑"/>
                <w:color w:val="000000"/>
                <w:sz w:val="18"/>
                <w:szCs w:val="18"/>
              </w:rPr>
            </w:pPr>
          </w:p>
        </w:tc>
      </w:tr>
      <w:tr w14:paraId="280D9A4D">
        <w:tblPrEx>
          <w:tblCellMar>
            <w:top w:w="0" w:type="dxa"/>
            <w:left w:w="108" w:type="dxa"/>
            <w:bottom w:w="0" w:type="dxa"/>
            <w:right w:w="108" w:type="dxa"/>
          </w:tblCellMar>
        </w:tblPrEx>
        <w:trPr>
          <w:trHeight w:val="4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71B56DE0">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32AB1363">
            <w:pPr>
              <w:jc w:val="center"/>
              <w:rPr>
                <w:rFonts w:hint="eastAsia" w:ascii="华文细黑" w:hAnsi="华文细黑" w:eastAsia="华文细黑" w:cs="华文细黑"/>
                <w:color w:val="000000"/>
                <w:sz w:val="18"/>
                <w:szCs w:val="18"/>
              </w:rPr>
            </w:pPr>
          </w:p>
        </w:tc>
        <w:tc>
          <w:tcPr>
            <w:tcW w:w="367" w:type="dxa"/>
            <w:vMerge w:val="continue"/>
            <w:tcBorders>
              <w:top w:val="single" w:color="000000" w:sz="4" w:space="0"/>
              <w:left w:val="single" w:color="000000" w:sz="4" w:space="0"/>
              <w:bottom w:val="single" w:color="000000" w:sz="4" w:space="0"/>
              <w:right w:val="single" w:color="000000" w:sz="4" w:space="0"/>
            </w:tcBorders>
            <w:vAlign w:val="center"/>
          </w:tcPr>
          <w:p w14:paraId="40CB0361">
            <w:pPr>
              <w:jc w:val="center"/>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315B19B4">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对于无法处理的问题有上报和跟踪处理记录，遗留问题处理未形成闭环，视情节酌情扣1-2分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41CCC69">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E723214">
            <w:pPr>
              <w:jc w:val="center"/>
              <w:rPr>
                <w:rFonts w:hint="eastAsia" w:ascii="华文细黑" w:hAnsi="华文细黑" w:eastAsia="华文细黑" w:cs="华文细黑"/>
                <w:color w:val="000000"/>
                <w:sz w:val="18"/>
                <w:szCs w:val="18"/>
              </w:rPr>
            </w:pPr>
          </w:p>
        </w:tc>
      </w:tr>
      <w:tr w14:paraId="6001D814">
        <w:tblPrEx>
          <w:tblCellMar>
            <w:top w:w="0" w:type="dxa"/>
            <w:left w:w="108" w:type="dxa"/>
            <w:bottom w:w="0" w:type="dxa"/>
            <w:right w:w="108" w:type="dxa"/>
          </w:tblCellMar>
        </w:tblPrEx>
        <w:trPr>
          <w:trHeight w:val="67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4EEEE300">
            <w:pPr>
              <w:jc w:val="center"/>
              <w:rPr>
                <w:rFonts w:hint="eastAsia" w:ascii="华文细黑" w:hAnsi="华文细黑" w:eastAsia="华文细黑" w:cs="华文细黑"/>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14:paraId="03597177">
            <w:pPr>
              <w:jc w:val="center"/>
              <w:rPr>
                <w:rFonts w:hint="eastAsia" w:ascii="华文细黑" w:hAnsi="华文细黑" w:eastAsia="华文细黑" w:cs="华文细黑"/>
                <w:color w:val="000000"/>
                <w:sz w:val="18"/>
                <w:szCs w:val="18"/>
              </w:rPr>
            </w:pPr>
          </w:p>
        </w:tc>
        <w:tc>
          <w:tcPr>
            <w:tcW w:w="367" w:type="dxa"/>
            <w:tcBorders>
              <w:top w:val="single" w:color="000000" w:sz="4" w:space="0"/>
              <w:left w:val="single" w:color="000000" w:sz="4" w:space="0"/>
              <w:bottom w:val="single" w:color="000000" w:sz="4" w:space="0"/>
              <w:right w:val="single" w:color="000000" w:sz="4" w:space="0"/>
            </w:tcBorders>
            <w:vAlign w:val="center"/>
          </w:tcPr>
          <w:p w14:paraId="0468E037">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服务形象</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156FCB91">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服务文明，规范，态度端正，无受到业主有理由投诉，受到业主有理由投诉，每次扣3分，受到业主有理由投诉，每次扣3分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BD6A220">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0CC141E">
            <w:pPr>
              <w:jc w:val="center"/>
              <w:rPr>
                <w:rFonts w:hint="eastAsia" w:ascii="华文细黑" w:hAnsi="华文细黑" w:eastAsia="华文细黑" w:cs="华文细黑"/>
                <w:color w:val="000000"/>
                <w:sz w:val="18"/>
                <w:szCs w:val="18"/>
              </w:rPr>
            </w:pPr>
          </w:p>
        </w:tc>
      </w:tr>
      <w:tr w14:paraId="04A30836">
        <w:tblPrEx>
          <w:tblCellMar>
            <w:top w:w="0" w:type="dxa"/>
            <w:left w:w="108" w:type="dxa"/>
            <w:bottom w:w="0" w:type="dxa"/>
            <w:right w:w="108" w:type="dxa"/>
          </w:tblCellMar>
        </w:tblPrEx>
        <w:trPr>
          <w:trHeight w:val="45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57C5E892">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59CD0886">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安全生产</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7DEBC2CB">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操作规范，无安全事故，无财物损坏、丢失，因乙方责任发生安全事故的，扣完基分，发生财物损坏、丢失的，每次扣5分，隐瞒不报的，每次扣2分</w:t>
            </w:r>
          </w:p>
        </w:tc>
        <w:tc>
          <w:tcPr>
            <w:tcW w:w="644" w:type="dxa"/>
            <w:tcBorders>
              <w:top w:val="single" w:color="000000" w:sz="4" w:space="0"/>
              <w:left w:val="single" w:color="000000" w:sz="4" w:space="0"/>
              <w:bottom w:val="single" w:color="000000" w:sz="4" w:space="0"/>
              <w:right w:val="single" w:color="000000" w:sz="4" w:space="0"/>
            </w:tcBorders>
            <w:vAlign w:val="center"/>
          </w:tcPr>
          <w:p w14:paraId="7847DD90">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10</w:t>
            </w:r>
          </w:p>
        </w:tc>
        <w:tc>
          <w:tcPr>
            <w:tcW w:w="639" w:type="dxa"/>
            <w:tcBorders>
              <w:top w:val="single" w:color="000000" w:sz="4" w:space="0"/>
              <w:left w:val="single" w:color="000000" w:sz="4" w:space="0"/>
              <w:bottom w:val="single" w:color="000000" w:sz="4" w:space="0"/>
              <w:right w:val="single" w:color="000000" w:sz="4" w:space="0"/>
            </w:tcBorders>
            <w:vAlign w:val="center"/>
          </w:tcPr>
          <w:p w14:paraId="78536E61">
            <w:pPr>
              <w:jc w:val="center"/>
              <w:rPr>
                <w:rFonts w:hint="eastAsia" w:ascii="华文细黑" w:hAnsi="华文细黑" w:eastAsia="华文细黑" w:cs="华文细黑"/>
                <w:color w:val="000000"/>
                <w:sz w:val="18"/>
                <w:szCs w:val="18"/>
              </w:rPr>
            </w:pPr>
          </w:p>
        </w:tc>
      </w:tr>
      <w:tr w14:paraId="5993A3CB">
        <w:tblPrEx>
          <w:tblCellMar>
            <w:top w:w="0" w:type="dxa"/>
            <w:left w:w="108" w:type="dxa"/>
            <w:bottom w:w="0" w:type="dxa"/>
            <w:right w:w="108" w:type="dxa"/>
          </w:tblCellMar>
        </w:tblPrEx>
        <w:trPr>
          <w:trHeight w:val="481"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5C0B">
            <w:pPr>
              <w:jc w:val="center"/>
              <w:rPr>
                <w:rFonts w:hint="eastAsia" w:ascii="华文细黑" w:hAnsi="华文细黑" w:eastAsia="华文细黑" w:cs="华文细黑"/>
                <w:color w:val="000000"/>
                <w:sz w:val="18"/>
                <w:szCs w:val="18"/>
              </w:rPr>
            </w:pPr>
          </w:p>
        </w:tc>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2A164">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信息安全</w:t>
            </w:r>
          </w:p>
        </w:tc>
        <w:tc>
          <w:tcPr>
            <w:tcW w:w="6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517DF">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（1）保障项目软硬件、平台系统的信息安全，定期进行安全扫描并及时整改安全隐患；</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62B2A18C">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10</w:t>
            </w:r>
          </w:p>
        </w:tc>
        <w:tc>
          <w:tcPr>
            <w:tcW w:w="639" w:type="dxa"/>
            <w:tcBorders>
              <w:top w:val="single" w:color="000000" w:sz="4" w:space="0"/>
              <w:left w:val="single" w:color="000000" w:sz="4" w:space="0"/>
              <w:bottom w:val="single" w:color="000000" w:sz="4" w:space="0"/>
              <w:right w:val="single" w:color="000000" w:sz="4" w:space="0"/>
            </w:tcBorders>
            <w:vAlign w:val="center"/>
          </w:tcPr>
          <w:p w14:paraId="0BBB2C66">
            <w:pPr>
              <w:jc w:val="center"/>
              <w:rPr>
                <w:rFonts w:hint="eastAsia" w:ascii="华文细黑" w:hAnsi="华文细黑" w:eastAsia="华文细黑" w:cs="华文细黑"/>
                <w:color w:val="000000"/>
                <w:sz w:val="18"/>
                <w:szCs w:val="18"/>
              </w:rPr>
            </w:pPr>
          </w:p>
        </w:tc>
      </w:tr>
      <w:tr w14:paraId="62745BA1">
        <w:tblPrEx>
          <w:tblCellMar>
            <w:top w:w="0" w:type="dxa"/>
            <w:left w:w="108" w:type="dxa"/>
            <w:bottom w:w="0" w:type="dxa"/>
            <w:right w:w="108" w:type="dxa"/>
          </w:tblCellMar>
        </w:tblPrEx>
        <w:trPr>
          <w:trHeight w:val="670"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318A">
            <w:pPr>
              <w:jc w:val="center"/>
              <w:rPr>
                <w:rFonts w:hint="eastAsia" w:ascii="华文细黑" w:hAnsi="华文细黑" w:eastAsia="华文细黑" w:cs="华文细黑"/>
                <w:color w:val="000000"/>
                <w:sz w:val="18"/>
                <w:szCs w:val="18"/>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FC759">
            <w:pPr>
              <w:jc w:val="center"/>
              <w:rPr>
                <w:rFonts w:hint="eastAsia" w:ascii="华文细黑" w:hAnsi="华文细黑" w:eastAsia="华文细黑" w:cs="华文细黑"/>
                <w:color w:val="000000"/>
                <w:sz w:val="18"/>
                <w:szCs w:val="18"/>
              </w:rPr>
            </w:pPr>
          </w:p>
        </w:tc>
        <w:tc>
          <w:tcPr>
            <w:tcW w:w="6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949875">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（2）做好客户资料、数据信息等相关内容保密工作，禁止外泄；每种漏洞分值：每个弱口令1分，每个高危漏洞1分，其他漏洞每个0.5分。出现被上级主管部门通报的安全事件，每次扣2分。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5CFDEBC9">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80E06EC">
            <w:pPr>
              <w:jc w:val="center"/>
              <w:rPr>
                <w:rFonts w:hint="eastAsia" w:ascii="华文细黑" w:hAnsi="华文细黑" w:eastAsia="华文细黑" w:cs="华文细黑"/>
                <w:color w:val="000000"/>
                <w:sz w:val="18"/>
                <w:szCs w:val="18"/>
              </w:rPr>
            </w:pPr>
          </w:p>
        </w:tc>
      </w:tr>
      <w:tr w14:paraId="72C49AB9">
        <w:tblPrEx>
          <w:tblCellMar>
            <w:top w:w="0" w:type="dxa"/>
            <w:left w:w="108" w:type="dxa"/>
            <w:bottom w:w="0" w:type="dxa"/>
            <w:right w:w="108" w:type="dxa"/>
          </w:tblCellMar>
        </w:tblPrEx>
        <w:trPr>
          <w:trHeight w:val="450" w:hRule="atLeast"/>
        </w:trPr>
        <w:tc>
          <w:tcPr>
            <w:tcW w:w="1159" w:type="dxa"/>
            <w:vMerge w:val="restart"/>
            <w:tcBorders>
              <w:top w:val="single" w:color="000000" w:sz="4" w:space="0"/>
              <w:left w:val="single" w:color="000000" w:sz="4" w:space="0"/>
              <w:bottom w:val="single" w:color="000000" w:sz="4" w:space="0"/>
              <w:right w:val="single" w:color="000000" w:sz="4" w:space="0"/>
            </w:tcBorders>
            <w:vAlign w:val="center"/>
          </w:tcPr>
          <w:p w14:paraId="5FC6F8DB">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服务满意度（20分）</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05CBDA0A">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客户故障投诉处理</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5B6DA170">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用户无投诉，发生客户、甲方有理由投诉，每次酌情扣5-10分，投诉升级至甲方部门负责人，每次加扣5分，投诉升级至甲方公司管理层，每次加扣10分</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35D0CAEB">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20</w:t>
            </w:r>
          </w:p>
        </w:tc>
        <w:tc>
          <w:tcPr>
            <w:tcW w:w="639" w:type="dxa"/>
            <w:tcBorders>
              <w:top w:val="single" w:color="000000" w:sz="4" w:space="0"/>
              <w:left w:val="single" w:color="000000" w:sz="4" w:space="0"/>
              <w:bottom w:val="single" w:color="000000" w:sz="4" w:space="0"/>
              <w:right w:val="single" w:color="000000" w:sz="4" w:space="0"/>
            </w:tcBorders>
            <w:vAlign w:val="center"/>
          </w:tcPr>
          <w:p w14:paraId="7A18EF1D">
            <w:pPr>
              <w:jc w:val="center"/>
              <w:rPr>
                <w:rFonts w:hint="eastAsia" w:ascii="华文细黑" w:hAnsi="华文细黑" w:eastAsia="华文细黑" w:cs="华文细黑"/>
                <w:color w:val="000000"/>
                <w:sz w:val="18"/>
                <w:szCs w:val="18"/>
              </w:rPr>
            </w:pPr>
          </w:p>
        </w:tc>
      </w:tr>
      <w:tr w14:paraId="432B77A1">
        <w:tblPrEx>
          <w:tblCellMar>
            <w:top w:w="0" w:type="dxa"/>
            <w:left w:w="108" w:type="dxa"/>
            <w:bottom w:w="0" w:type="dxa"/>
            <w:right w:w="108" w:type="dxa"/>
          </w:tblCellMar>
        </w:tblPrEx>
        <w:trPr>
          <w:trHeight w:val="67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02401467">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366028A7">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服务态度</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3D9CBE6C">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所有参与服务的乙方人员服务态度端正，发生客户、甲方有理由投诉，每次酌情扣5-10分，投诉升级至甲方部门负责人，每次加扣5分，投诉升级至甲方公司管理层，每次加扣10分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58E6AD3">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67748DE">
            <w:pPr>
              <w:jc w:val="center"/>
              <w:rPr>
                <w:rFonts w:hint="eastAsia" w:ascii="华文细黑" w:hAnsi="华文细黑" w:eastAsia="华文细黑" w:cs="华文细黑"/>
                <w:color w:val="000000"/>
                <w:sz w:val="18"/>
                <w:szCs w:val="18"/>
              </w:rPr>
            </w:pPr>
          </w:p>
        </w:tc>
      </w:tr>
      <w:tr w14:paraId="3EC13D41">
        <w:tblPrEx>
          <w:tblCellMar>
            <w:top w:w="0" w:type="dxa"/>
            <w:left w:w="108" w:type="dxa"/>
            <w:bottom w:w="0" w:type="dxa"/>
            <w:right w:w="108" w:type="dxa"/>
          </w:tblCellMar>
        </w:tblPrEx>
        <w:trPr>
          <w:trHeight w:val="67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62F056C3">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678F4EE2">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主动性</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4C42EC60">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所有参与服务的乙方人员工作主动性强，发生客户、甲方有理由投诉，每次酌情扣5-10分，投诉升级至甲方部门负责人，每次加扣5分，投诉升级至甲方公司管理层，每次加扣10分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2850D7BF">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4C34B26">
            <w:pPr>
              <w:jc w:val="center"/>
              <w:rPr>
                <w:rFonts w:hint="eastAsia" w:ascii="华文细黑" w:hAnsi="华文细黑" w:eastAsia="华文细黑" w:cs="华文细黑"/>
                <w:color w:val="000000"/>
                <w:sz w:val="18"/>
                <w:szCs w:val="18"/>
              </w:rPr>
            </w:pPr>
          </w:p>
        </w:tc>
      </w:tr>
      <w:tr w14:paraId="4122C02E">
        <w:tblPrEx>
          <w:tblCellMar>
            <w:top w:w="0" w:type="dxa"/>
            <w:left w:w="108" w:type="dxa"/>
            <w:bottom w:w="0" w:type="dxa"/>
            <w:right w:w="108" w:type="dxa"/>
          </w:tblCellMar>
        </w:tblPrEx>
        <w:trPr>
          <w:trHeight w:val="670"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5E7616F8">
            <w:pPr>
              <w:jc w:val="center"/>
              <w:rPr>
                <w:rFonts w:hint="eastAsia" w:ascii="华文细黑" w:hAnsi="华文细黑" w:eastAsia="华文细黑" w:cs="华文细黑"/>
                <w:color w:val="000000"/>
                <w:sz w:val="18"/>
                <w:szCs w:val="18"/>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14:paraId="74828E09">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责任心</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73EB1106">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所有参与服务的乙方人员责任心强，发生客户、甲方有理由投诉，每次酌情扣5-10分，投诉升级至甲方部门负责人，每次加扣5分，投诉升级至甲方公司管理层，每次加扣10分</w:t>
            </w: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010C8F77">
            <w:pPr>
              <w:jc w:val="center"/>
              <w:rPr>
                <w:rFonts w:hint="eastAsia" w:ascii="华文细黑" w:hAnsi="华文细黑" w:eastAsia="华文细黑" w:cs="华文细黑"/>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C3BB51B">
            <w:pPr>
              <w:jc w:val="center"/>
              <w:rPr>
                <w:rFonts w:hint="eastAsia" w:ascii="华文细黑" w:hAnsi="华文细黑" w:eastAsia="华文细黑" w:cs="华文细黑"/>
                <w:color w:val="000000"/>
                <w:sz w:val="18"/>
                <w:szCs w:val="18"/>
              </w:rPr>
            </w:pPr>
          </w:p>
        </w:tc>
      </w:tr>
      <w:tr w14:paraId="0A40F603">
        <w:tblPrEx>
          <w:tblCellMar>
            <w:top w:w="0" w:type="dxa"/>
            <w:left w:w="108" w:type="dxa"/>
            <w:bottom w:w="0" w:type="dxa"/>
            <w:right w:w="108" w:type="dxa"/>
          </w:tblCellMar>
        </w:tblPrEx>
        <w:trPr>
          <w:trHeight w:val="1331" w:hRule="atLeast"/>
        </w:trPr>
        <w:tc>
          <w:tcPr>
            <w:tcW w:w="2497" w:type="dxa"/>
            <w:gridSpan w:val="3"/>
            <w:tcBorders>
              <w:top w:val="single" w:color="000000" w:sz="4" w:space="0"/>
              <w:left w:val="single" w:color="000000" w:sz="4" w:space="0"/>
              <w:bottom w:val="single" w:color="000000" w:sz="4" w:space="0"/>
              <w:right w:val="single" w:color="000000" w:sz="4" w:space="0"/>
            </w:tcBorders>
            <w:vAlign w:val="center"/>
          </w:tcPr>
          <w:p w14:paraId="6ADC2587">
            <w:pPr>
              <w:widowControl/>
              <w:jc w:val="center"/>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重大事件扣分项</w:t>
            </w:r>
          </w:p>
        </w:tc>
        <w:tc>
          <w:tcPr>
            <w:tcW w:w="6840" w:type="dxa"/>
            <w:gridSpan w:val="2"/>
            <w:tcBorders>
              <w:top w:val="single" w:color="000000" w:sz="4" w:space="0"/>
              <w:left w:val="single" w:color="000000" w:sz="4" w:space="0"/>
              <w:bottom w:val="single" w:color="000000" w:sz="4" w:space="0"/>
              <w:right w:val="single" w:color="000000" w:sz="4" w:space="0"/>
            </w:tcBorders>
            <w:vAlign w:val="center"/>
          </w:tcPr>
          <w:p w14:paraId="79F3B06C">
            <w:pPr>
              <w:widowControl/>
              <w:jc w:val="left"/>
              <w:textAlignment w:val="center"/>
              <w:rPr>
                <w:rFonts w:hint="eastAsia"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 xml:space="preserve">每发生一次重大恶性事件，扣1-5分；如果发生严重恶性故障,最多扣5-20分；逐次累加，1、人为故障：因为服务人员个人误操作原因引起的故障；                   </w:t>
            </w:r>
            <w:r>
              <w:rPr>
                <w:rFonts w:hint="eastAsia" w:ascii="华文细黑" w:hAnsi="华文细黑" w:eastAsia="华文细黑" w:cs="华文细黑"/>
                <w:color w:val="000000"/>
                <w:kern w:val="0"/>
                <w:sz w:val="18"/>
                <w:szCs w:val="18"/>
                <w:lang w:bidi="ar"/>
              </w:rPr>
              <w:br w:type="textWrapping"/>
            </w:r>
            <w:r>
              <w:rPr>
                <w:rFonts w:hint="eastAsia" w:ascii="华文细黑" w:hAnsi="华文细黑" w:eastAsia="华文细黑" w:cs="华文细黑"/>
                <w:color w:val="000000"/>
                <w:kern w:val="0"/>
                <w:sz w:val="18"/>
                <w:szCs w:val="18"/>
                <w:lang w:bidi="ar"/>
              </w:rPr>
              <w:t xml:space="preserve">2、重大设备故障：由于设备原因的重大故障，如业务全阻，引起大批量用户投诉等；                                                   </w:t>
            </w:r>
            <w:r>
              <w:rPr>
                <w:rFonts w:hint="eastAsia" w:ascii="华文细黑" w:hAnsi="华文细黑" w:eastAsia="华文细黑" w:cs="华文细黑"/>
                <w:color w:val="000000"/>
                <w:kern w:val="0"/>
                <w:sz w:val="18"/>
                <w:szCs w:val="18"/>
                <w:lang w:bidi="ar"/>
              </w:rPr>
              <w:br w:type="textWrapping"/>
            </w:r>
            <w:r>
              <w:rPr>
                <w:rFonts w:hint="eastAsia" w:ascii="华文细黑" w:hAnsi="华文细黑" w:eastAsia="华文细黑" w:cs="华文细黑"/>
                <w:color w:val="000000"/>
                <w:kern w:val="0"/>
                <w:sz w:val="18"/>
                <w:szCs w:val="18"/>
                <w:lang w:bidi="ar"/>
              </w:rPr>
              <w:t>3、安全事件：由服务人员引起的信息安全事件，如账号泄露、截取用户资料等；还包括在机房工作引起的安全事件（如窃盗、火灾、破坏监控或门禁系统）                                                            4、违规事件：服务人员未按照规定执行相关工作。</w:t>
            </w:r>
          </w:p>
        </w:tc>
        <w:tc>
          <w:tcPr>
            <w:tcW w:w="644" w:type="dxa"/>
            <w:tcBorders>
              <w:top w:val="single" w:color="000000" w:sz="4" w:space="0"/>
              <w:left w:val="single" w:color="000000" w:sz="4" w:space="0"/>
              <w:bottom w:val="single" w:color="000000" w:sz="4" w:space="0"/>
              <w:right w:val="single" w:color="000000" w:sz="4" w:space="0"/>
            </w:tcBorders>
            <w:vAlign w:val="center"/>
          </w:tcPr>
          <w:p w14:paraId="7C1EBE68">
            <w:pPr>
              <w:widowControl/>
              <w:jc w:val="center"/>
              <w:textAlignment w:val="center"/>
              <w:rPr>
                <w:rFonts w:hint="default" w:ascii="华文细黑" w:hAnsi="华文细黑" w:eastAsia="华文细黑" w:cs="华文细黑"/>
                <w:color w:val="000000"/>
                <w:sz w:val="18"/>
                <w:szCs w:val="18"/>
                <w:lang w:val="en-US" w:eastAsia="zh-CN"/>
              </w:rPr>
            </w:pPr>
            <w:r>
              <w:rPr>
                <w:rFonts w:hint="eastAsia" w:ascii="华文细黑" w:hAnsi="华文细黑" w:eastAsia="华文细黑" w:cs="华文细黑"/>
                <w:color w:val="000000"/>
                <w:kern w:val="0"/>
                <w:sz w:val="18"/>
                <w:szCs w:val="18"/>
                <w:lang w:bidi="ar"/>
              </w:rPr>
              <w:t>20</w:t>
            </w:r>
            <w:r>
              <w:rPr>
                <w:rFonts w:hint="eastAsia" w:ascii="华文细黑" w:hAnsi="华文细黑" w:eastAsia="华文细黑" w:cs="华文细黑"/>
                <w:color w:val="000000"/>
                <w:kern w:val="0"/>
                <w:sz w:val="18"/>
                <w:szCs w:val="18"/>
                <w:lang w:eastAsia="zh-CN" w:bidi="ar"/>
              </w:rPr>
              <w:t>（</w:t>
            </w:r>
            <w:r>
              <w:rPr>
                <w:rFonts w:hint="eastAsia" w:ascii="华文细黑" w:hAnsi="华文细黑" w:eastAsia="华文细黑" w:cs="华文细黑"/>
                <w:color w:val="000000"/>
                <w:kern w:val="0"/>
                <w:sz w:val="18"/>
                <w:szCs w:val="18"/>
                <w:lang w:val="en-US" w:eastAsia="zh-CN" w:bidi="ar"/>
              </w:rPr>
              <w:t>倒扣分</w:t>
            </w:r>
            <w:r>
              <w:rPr>
                <w:rFonts w:hint="eastAsia" w:ascii="华文细黑" w:hAnsi="华文细黑" w:eastAsia="华文细黑" w:cs="华文细黑"/>
                <w:color w:val="000000"/>
                <w:kern w:val="0"/>
                <w:sz w:val="18"/>
                <w:szCs w:val="18"/>
                <w:lang w:eastAsia="zh-CN" w:bidi="ar"/>
              </w:rPr>
              <w:t>）</w:t>
            </w:r>
          </w:p>
        </w:tc>
        <w:tc>
          <w:tcPr>
            <w:tcW w:w="639" w:type="dxa"/>
            <w:tcBorders>
              <w:top w:val="single" w:color="000000" w:sz="4" w:space="0"/>
              <w:left w:val="single" w:color="000000" w:sz="4" w:space="0"/>
              <w:bottom w:val="single" w:color="000000" w:sz="4" w:space="0"/>
              <w:right w:val="single" w:color="000000" w:sz="4" w:space="0"/>
            </w:tcBorders>
            <w:vAlign w:val="center"/>
          </w:tcPr>
          <w:p w14:paraId="6C2CF0FE">
            <w:pPr>
              <w:jc w:val="center"/>
              <w:rPr>
                <w:rFonts w:hint="eastAsia" w:ascii="华文细黑" w:hAnsi="华文细黑" w:eastAsia="华文细黑" w:cs="华文细黑"/>
                <w:color w:val="000000"/>
                <w:sz w:val="18"/>
                <w:szCs w:val="18"/>
              </w:rPr>
            </w:pPr>
          </w:p>
        </w:tc>
      </w:tr>
      <w:tr w14:paraId="5B41377B">
        <w:tblPrEx>
          <w:tblCellMar>
            <w:top w:w="0" w:type="dxa"/>
            <w:left w:w="108" w:type="dxa"/>
            <w:bottom w:w="0" w:type="dxa"/>
            <w:right w:w="108" w:type="dxa"/>
          </w:tblCellMar>
        </w:tblPrEx>
        <w:trPr>
          <w:trHeight w:val="250" w:hRule="atLeast"/>
        </w:trPr>
        <w:tc>
          <w:tcPr>
            <w:tcW w:w="2497" w:type="dxa"/>
            <w:gridSpan w:val="3"/>
            <w:tcBorders>
              <w:top w:val="single" w:color="000000" w:sz="4" w:space="0"/>
              <w:left w:val="single" w:color="000000" w:sz="4" w:space="0"/>
              <w:bottom w:val="single" w:color="000000" w:sz="4" w:space="0"/>
              <w:right w:val="single" w:color="000000" w:sz="4" w:space="0"/>
            </w:tcBorders>
            <w:vAlign w:val="center"/>
          </w:tcPr>
          <w:p w14:paraId="140C8FEE">
            <w:pPr>
              <w:widowControl/>
              <w:jc w:val="center"/>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总分（100分为打分上限）</w:t>
            </w:r>
          </w:p>
        </w:tc>
        <w:tc>
          <w:tcPr>
            <w:tcW w:w="8123" w:type="dxa"/>
            <w:gridSpan w:val="4"/>
            <w:tcBorders>
              <w:top w:val="single" w:color="000000" w:sz="4" w:space="0"/>
              <w:left w:val="single" w:color="000000" w:sz="4" w:space="0"/>
              <w:bottom w:val="single" w:color="000000" w:sz="4" w:space="0"/>
              <w:right w:val="single" w:color="000000" w:sz="4" w:space="0"/>
            </w:tcBorders>
            <w:vAlign w:val="center"/>
          </w:tcPr>
          <w:p w14:paraId="2F9AB426">
            <w:pPr>
              <w:jc w:val="center"/>
              <w:rPr>
                <w:rFonts w:hint="eastAsia" w:ascii="华文细黑" w:hAnsi="华文细黑" w:eastAsia="华文细黑" w:cs="华文细黑"/>
                <w:color w:val="000000"/>
                <w:sz w:val="18"/>
                <w:szCs w:val="18"/>
              </w:rPr>
            </w:pPr>
          </w:p>
        </w:tc>
      </w:tr>
      <w:tr w14:paraId="772B1B6D">
        <w:tblPrEx>
          <w:tblCellMar>
            <w:top w:w="0" w:type="dxa"/>
            <w:left w:w="108" w:type="dxa"/>
            <w:bottom w:w="0" w:type="dxa"/>
            <w:right w:w="108" w:type="dxa"/>
          </w:tblCellMar>
        </w:tblPrEx>
        <w:trPr>
          <w:trHeight w:val="450" w:hRule="atLeast"/>
        </w:trPr>
        <w:tc>
          <w:tcPr>
            <w:tcW w:w="6070" w:type="dxa"/>
            <w:gridSpan w:val="4"/>
            <w:tcBorders>
              <w:top w:val="single" w:color="000000" w:sz="4" w:space="0"/>
              <w:left w:val="single" w:color="000000" w:sz="4" w:space="0"/>
              <w:bottom w:val="single" w:color="000000" w:sz="4" w:space="0"/>
              <w:right w:val="single" w:color="000000" w:sz="4" w:space="0"/>
            </w:tcBorders>
            <w:vAlign w:val="center"/>
          </w:tcPr>
          <w:p w14:paraId="7CBF1162">
            <w:pPr>
              <w:widowControl/>
              <w:jc w:val="left"/>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考核方(签字、盖章）：</w:t>
            </w:r>
          </w:p>
        </w:tc>
        <w:tc>
          <w:tcPr>
            <w:tcW w:w="4550" w:type="dxa"/>
            <w:gridSpan w:val="3"/>
            <w:tcBorders>
              <w:top w:val="single" w:color="000000" w:sz="4" w:space="0"/>
              <w:left w:val="single" w:color="000000" w:sz="4" w:space="0"/>
              <w:bottom w:val="single" w:color="000000" w:sz="4" w:space="0"/>
              <w:right w:val="single" w:color="000000" w:sz="4" w:space="0"/>
            </w:tcBorders>
            <w:vAlign w:val="center"/>
          </w:tcPr>
          <w:p w14:paraId="3214AF49">
            <w:pPr>
              <w:widowControl/>
              <w:jc w:val="left"/>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被考核方（签字、盖章）：</w:t>
            </w:r>
          </w:p>
        </w:tc>
      </w:tr>
      <w:tr w14:paraId="38DACDE4">
        <w:tblPrEx>
          <w:tblCellMar>
            <w:top w:w="0" w:type="dxa"/>
            <w:left w:w="108" w:type="dxa"/>
            <w:bottom w:w="0" w:type="dxa"/>
            <w:right w:w="108" w:type="dxa"/>
          </w:tblCellMar>
        </w:tblPrEx>
        <w:trPr>
          <w:trHeight w:val="459" w:hRule="atLeast"/>
        </w:trPr>
        <w:tc>
          <w:tcPr>
            <w:tcW w:w="6070" w:type="dxa"/>
            <w:gridSpan w:val="4"/>
            <w:tcBorders>
              <w:top w:val="single" w:color="000000" w:sz="4" w:space="0"/>
              <w:left w:val="single" w:color="000000" w:sz="4" w:space="0"/>
              <w:bottom w:val="single" w:color="000000" w:sz="4" w:space="0"/>
              <w:right w:val="single" w:color="000000" w:sz="4" w:space="0"/>
            </w:tcBorders>
            <w:noWrap/>
            <w:vAlign w:val="center"/>
          </w:tcPr>
          <w:p w14:paraId="0B6EA582">
            <w:pPr>
              <w:widowControl/>
              <w:jc w:val="left"/>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 xml:space="preserve">       年     月     日</w:t>
            </w:r>
          </w:p>
        </w:tc>
        <w:tc>
          <w:tcPr>
            <w:tcW w:w="4550" w:type="dxa"/>
            <w:gridSpan w:val="3"/>
            <w:tcBorders>
              <w:top w:val="single" w:color="000000" w:sz="4" w:space="0"/>
              <w:left w:val="single" w:color="000000" w:sz="4" w:space="0"/>
              <w:bottom w:val="single" w:color="000000" w:sz="4" w:space="0"/>
              <w:right w:val="single" w:color="000000" w:sz="4" w:space="0"/>
            </w:tcBorders>
            <w:vAlign w:val="center"/>
          </w:tcPr>
          <w:p w14:paraId="41DA9C9D">
            <w:pPr>
              <w:widowControl/>
              <w:jc w:val="left"/>
              <w:textAlignment w:val="center"/>
              <w:rPr>
                <w:rFonts w:hint="eastAsia" w:ascii="华文细黑" w:hAnsi="华文细黑" w:eastAsia="华文细黑" w:cs="华文细黑"/>
                <w:b/>
                <w:bCs/>
                <w:color w:val="000000"/>
                <w:sz w:val="18"/>
                <w:szCs w:val="18"/>
              </w:rPr>
            </w:pPr>
            <w:r>
              <w:rPr>
                <w:rFonts w:hint="eastAsia" w:ascii="华文细黑" w:hAnsi="华文细黑" w:eastAsia="华文细黑" w:cs="华文细黑"/>
                <w:b/>
                <w:bCs/>
                <w:color w:val="000000"/>
                <w:kern w:val="0"/>
                <w:sz w:val="18"/>
                <w:szCs w:val="18"/>
                <w:lang w:bidi="ar"/>
              </w:rPr>
              <w:t xml:space="preserve">      </w:t>
            </w:r>
            <w:r>
              <w:rPr>
                <w:rFonts w:hint="eastAsia" w:ascii="华文细黑" w:hAnsi="华文细黑" w:eastAsia="华文细黑" w:cs="华文细黑"/>
                <w:b/>
                <w:bCs/>
                <w:color w:val="000000"/>
                <w:kern w:val="0"/>
                <w:sz w:val="18"/>
                <w:szCs w:val="18"/>
                <w:lang w:val="en-US" w:eastAsia="zh-CN" w:bidi="ar"/>
              </w:rPr>
              <w:t xml:space="preserve"> </w:t>
            </w:r>
            <w:r>
              <w:rPr>
                <w:rFonts w:hint="eastAsia" w:ascii="华文细黑" w:hAnsi="华文细黑" w:eastAsia="华文细黑" w:cs="华文细黑"/>
                <w:b/>
                <w:bCs/>
                <w:color w:val="000000"/>
                <w:kern w:val="0"/>
                <w:sz w:val="18"/>
                <w:szCs w:val="18"/>
                <w:lang w:bidi="ar"/>
              </w:rPr>
              <w:t xml:space="preserve"> 年     月     日</w:t>
            </w:r>
          </w:p>
        </w:tc>
      </w:tr>
    </w:tbl>
    <w:p w14:paraId="246A5312">
      <w:pPr>
        <w:spacing w:line="91" w:lineRule="auto"/>
        <w:rPr>
          <w:rFonts w:ascii="Arial"/>
          <w:b/>
          <w:bCs/>
          <w:sz w:val="2"/>
        </w:rPr>
      </w:pPr>
    </w:p>
    <w:p w14:paraId="09788796">
      <w:pPr>
        <w:pStyle w:val="11"/>
      </w:pPr>
    </w:p>
    <w:p w14:paraId="7B3AAB6A">
      <w:pPr>
        <w:sectPr>
          <w:pgSz w:w="11906" w:h="16839"/>
          <w:pgMar w:top="1431" w:right="444" w:bottom="0" w:left="740" w:header="0" w:footer="0" w:gutter="0"/>
          <w:cols w:space="720" w:num="1"/>
        </w:sectPr>
      </w:pPr>
    </w:p>
    <w:p w14:paraId="55F575EE">
      <w:pPr>
        <w:snapToGrid w:val="0"/>
        <w:spacing w:before="240" w:after="240"/>
        <w:ind w:firstLine="3313" w:firstLineChars="1100"/>
        <w:jc w:val="both"/>
        <w:rPr>
          <w:rFonts w:ascii="宋体" w:hAnsi="宋体" w:cs="宋体"/>
          <w:b/>
          <w:sz w:val="30"/>
          <w:szCs w:val="30"/>
        </w:rPr>
      </w:pPr>
      <w:r>
        <w:rPr>
          <w:rFonts w:hint="eastAsia" w:ascii="宋体" w:hAnsi="宋体" w:cs="宋体"/>
          <w:b/>
          <w:sz w:val="30"/>
          <w:szCs w:val="30"/>
        </w:rPr>
        <w:t>第三章响应人须知</w:t>
      </w:r>
    </w:p>
    <w:p w14:paraId="707F0B96">
      <w:pPr>
        <w:snapToGrid w:val="0"/>
        <w:spacing w:after="240"/>
        <w:jc w:val="center"/>
        <w:rPr>
          <w:rFonts w:ascii="宋体" w:hAnsi="宋体" w:cs="宋体"/>
          <w:b/>
          <w:sz w:val="30"/>
          <w:szCs w:val="30"/>
        </w:rPr>
      </w:pPr>
      <w:r>
        <w:rPr>
          <w:rFonts w:hint="eastAsia" w:ascii="宋体" w:hAnsi="宋体" w:cs="宋体"/>
          <w:b/>
          <w:sz w:val="30"/>
          <w:szCs w:val="30"/>
        </w:rPr>
        <w:t>前附表</w:t>
      </w:r>
    </w:p>
    <w:tbl>
      <w:tblPr>
        <w:tblStyle w:val="29"/>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1017D5E6">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E8AF1F1">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4A7D1637">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内容说明及要求</w:t>
            </w:r>
          </w:p>
        </w:tc>
      </w:tr>
      <w:tr w14:paraId="662DD02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98EAD14">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60CBF62">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62DFBC5">
            <w:pPr>
              <w:widowControl/>
              <w:adjustRightInd w:val="0"/>
              <w:snapToGrid w:val="0"/>
              <w:spacing w:line="360" w:lineRule="exact"/>
              <w:rPr>
                <w:rFonts w:hint="eastAsia" w:ascii="宋体" w:hAnsi="宋体" w:eastAsia="宋体" w:cs="宋体"/>
                <w:szCs w:val="21"/>
                <w:lang w:eastAsia="zh-CN"/>
              </w:rPr>
            </w:pPr>
            <w:r>
              <w:rPr>
                <w:rFonts w:hint="eastAsia" w:ascii="宋体" w:hAnsi="宋体" w:cs="宋体"/>
                <w:kern w:val="0"/>
                <w:szCs w:val="21"/>
                <w:lang w:eastAsia="zh-CN"/>
              </w:rPr>
              <w:t>舟山医院</w:t>
            </w:r>
            <w:r>
              <w:rPr>
                <w:rFonts w:hint="eastAsia" w:ascii="宋体" w:hAnsi="宋体" w:cs="宋体"/>
                <w:kern w:val="0"/>
                <w:szCs w:val="21"/>
                <w:lang w:val="en-US" w:eastAsia="zh-CN"/>
              </w:rPr>
              <w:t>监控安防</w:t>
            </w:r>
            <w:r>
              <w:rPr>
                <w:rFonts w:hint="eastAsia" w:ascii="宋体" w:hAnsi="宋体" w:cs="宋体"/>
                <w:kern w:val="0"/>
                <w:szCs w:val="21"/>
                <w:lang w:eastAsia="zh-CN"/>
              </w:rPr>
              <w:t>云存储租赁服务项目</w:t>
            </w:r>
          </w:p>
        </w:tc>
      </w:tr>
      <w:tr w14:paraId="42492F4C">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249926B">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7B772D3">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D6EA2C4">
            <w:pPr>
              <w:spacing w:line="320" w:lineRule="exact"/>
              <w:rPr>
                <w:rFonts w:ascii="宋体" w:hAnsi="宋体" w:cs="宋体"/>
                <w:szCs w:val="21"/>
              </w:rPr>
            </w:pPr>
            <w:r>
              <w:rPr>
                <w:rFonts w:hint="eastAsia" w:ascii="宋体" w:hAnsi="宋体" w:cs="宋体"/>
                <w:szCs w:val="21"/>
                <w:lang w:eastAsia="zh-CN"/>
              </w:rPr>
              <w:t>舟山医院</w:t>
            </w:r>
          </w:p>
        </w:tc>
      </w:tr>
      <w:tr w14:paraId="70AB20F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2E5032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F1ECD5B">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0DB2DB5">
            <w:pPr>
              <w:spacing w:line="320" w:lineRule="exact"/>
              <w:rPr>
                <w:rFonts w:ascii="宋体" w:hAnsi="宋体" w:cs="宋体"/>
                <w:kern w:val="0"/>
                <w:szCs w:val="21"/>
              </w:rPr>
            </w:pPr>
            <w:r>
              <w:rPr>
                <w:rFonts w:hint="eastAsia" w:ascii="宋体" w:hAnsi="宋体" w:cs="宋体"/>
                <w:kern w:val="0"/>
                <w:szCs w:val="21"/>
                <w:lang w:val="en-US" w:eastAsia="zh-CN"/>
              </w:rPr>
              <w:t>舟山医院监控安防云存储租赁服务项目</w:t>
            </w:r>
            <w:r>
              <w:rPr>
                <w:rFonts w:hint="eastAsia" w:ascii="宋体" w:hAnsi="宋体" w:eastAsia="宋体" w:cs="宋体"/>
                <w:bCs/>
                <w:kern w:val="0"/>
                <w:szCs w:val="21"/>
              </w:rPr>
              <w:t>。</w:t>
            </w:r>
            <w:r>
              <w:rPr>
                <w:rFonts w:hint="eastAsia" w:ascii="宋体" w:hAnsi="宋体" w:cs="宋体"/>
                <w:kern w:val="0"/>
                <w:szCs w:val="21"/>
              </w:rPr>
              <w:t>详见采购需求。</w:t>
            </w:r>
          </w:p>
        </w:tc>
      </w:tr>
      <w:tr w14:paraId="354879E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47214E4">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EBE5FF4">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8EB24E8">
            <w:pPr>
              <w:spacing w:line="320" w:lineRule="exact"/>
              <w:rPr>
                <w:rFonts w:hint="eastAsia" w:ascii="宋体" w:hAnsi="宋体" w:eastAsia="宋体" w:cs="宋体"/>
                <w:kern w:val="0"/>
                <w:szCs w:val="21"/>
                <w:lang w:eastAsia="zh-CN"/>
              </w:rPr>
            </w:pPr>
            <w:r>
              <w:rPr>
                <w:rFonts w:hint="eastAsia" w:ascii="宋体" w:hAnsi="宋体" w:cs="宋体"/>
                <w:kern w:val="0"/>
                <w:szCs w:val="21"/>
                <w:lang w:val="en-US" w:eastAsia="zh-CN"/>
              </w:rPr>
              <w:t>2500000</w:t>
            </w:r>
            <w:r>
              <w:rPr>
                <w:rFonts w:hint="eastAsia" w:ascii="宋体" w:hAnsi="宋体" w:cs="宋体"/>
                <w:kern w:val="0"/>
                <w:szCs w:val="21"/>
              </w:rPr>
              <w:t>元</w:t>
            </w:r>
          </w:p>
        </w:tc>
      </w:tr>
      <w:tr w14:paraId="743D91A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416EC0C">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C8C9164">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3C75EBF">
            <w:pPr>
              <w:spacing w:line="320" w:lineRule="exact"/>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65BC141C">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B667B2D">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329F505">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磋商办法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2B3B36F">
            <w:pPr>
              <w:spacing w:line="320" w:lineRule="exact"/>
              <w:rPr>
                <w:rFonts w:ascii="宋体" w:hAnsi="宋体" w:cs="宋体"/>
                <w:szCs w:val="21"/>
              </w:rPr>
            </w:pPr>
            <w:r>
              <w:rPr>
                <w:rFonts w:hint="eastAsia" w:ascii="宋体" w:hAnsi="宋体" w:cs="宋体"/>
                <w:szCs w:val="21"/>
              </w:rPr>
              <w:t>综合评分法</w:t>
            </w:r>
          </w:p>
        </w:tc>
      </w:tr>
      <w:tr w14:paraId="5960602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68485B9">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B95E88B">
            <w:pPr>
              <w:spacing w:line="320" w:lineRule="exact"/>
              <w:jc w:val="center"/>
              <w:rPr>
                <w:rFonts w:ascii="宋体" w:hAnsi="宋体" w:cs="宋体"/>
                <w:b/>
                <w:szCs w:val="21"/>
                <w:shd w:val="pct10" w:color="auto" w:fill="FFFFFF"/>
              </w:rPr>
            </w:pPr>
            <w:r>
              <w:rPr>
                <w:rFonts w:hint="eastAsia" w:ascii="宋体" w:hAnsi="宋体"/>
                <w:b/>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8A12087">
            <w:pPr>
              <w:pStyle w:val="153"/>
              <w:spacing w:line="240" w:lineRule="auto"/>
              <w:ind w:left="115" w:right="107" w:firstLine="430" w:firstLineChars="205"/>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采购人按年支付项目服务费用，第一年服务费用为项目中标金额的34%，第二年及第三年的服务费用为中标金额的33%。</w:t>
            </w:r>
          </w:p>
          <w:p w14:paraId="518A4C0A">
            <w:pPr>
              <w:pStyle w:val="153"/>
              <w:spacing w:line="240" w:lineRule="auto"/>
              <w:ind w:left="115" w:right="107" w:firstLine="222" w:firstLineChars="106"/>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kern w:val="0"/>
                <w:sz w:val="21"/>
                <w:szCs w:val="21"/>
                <w:highlight w:val="none"/>
                <w:lang w:val="en-US" w:eastAsia="zh-CN" w:bidi="ar-SA"/>
              </w:rPr>
              <w:t>（1）项目竣工验收后，采购人收到中标人正规发票7个工作日内，支付第一年服务费的90%，剩</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余10%费用年服务期结束后，根据年度运维考核扣罚结果进行支付。</w:t>
            </w:r>
          </w:p>
          <w:p w14:paraId="2CB299B6">
            <w:pPr>
              <w:pStyle w:val="153"/>
              <w:spacing w:line="240" w:lineRule="auto"/>
              <w:ind w:left="115" w:right="107" w:firstLine="222" w:firstLineChars="106"/>
              <w:rPr>
                <w:rFonts w:ascii="宋体" w:hAnsi="宋体"/>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（2）第二年、第三年服务费用支付：在服务期开始当月支付当年90%服务费用，剩余10%费用年服务期结束后，根</w:t>
            </w:r>
            <w:r>
              <w:rPr>
                <w:rFonts w:hint="eastAsia" w:ascii="宋体" w:hAnsi="宋体" w:eastAsia="宋体" w:cs="宋体"/>
                <w:kern w:val="0"/>
                <w:sz w:val="21"/>
                <w:szCs w:val="21"/>
                <w:highlight w:val="none"/>
                <w:lang w:val="en-US" w:eastAsia="zh-CN" w:bidi="ar-SA"/>
              </w:rPr>
              <w:t>据年度运维考核扣罚结果进行支付。</w:t>
            </w:r>
          </w:p>
        </w:tc>
      </w:tr>
      <w:tr w14:paraId="1E2556DF">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53E5BA0">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DCFB43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响应报价</w:t>
            </w:r>
          </w:p>
          <w:p w14:paraId="3CF186A8">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550A5FA">
            <w:pPr>
              <w:pStyle w:val="153"/>
              <w:spacing w:line="240" w:lineRule="auto"/>
              <w:ind w:left="115" w:right="107" w:firstLine="430" w:firstLineChars="20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1、本项目投标应以人民币报价，响应报价应包括但不限于完成本项目所需的</w:t>
            </w:r>
            <w:r>
              <w:rPr>
                <w:rFonts w:hint="eastAsia" w:ascii="宋体" w:hAnsi="宋体" w:eastAsia="宋体" w:cs="宋体"/>
                <w:kern w:val="0"/>
                <w:sz w:val="21"/>
                <w:szCs w:val="21"/>
                <w:highlight w:val="none"/>
                <w:lang w:val="en-US" w:eastAsia="zh-CN" w:bidi="ar-SA"/>
              </w:rPr>
              <w:t>技术服务、人员、平台租赁、运维、托管、管理费、保险、利润、税金及</w:t>
            </w:r>
            <w:r>
              <w:rPr>
                <w:rFonts w:hint="eastAsia" w:ascii="宋体" w:hAnsi="宋体" w:eastAsia="宋体" w:cs="宋体"/>
                <w:kern w:val="0"/>
                <w:sz w:val="21"/>
                <w:szCs w:val="21"/>
                <w:lang w:val="en-US" w:eastAsia="zh-CN" w:bidi="ar-SA"/>
              </w:rPr>
              <w:t>代理费等一切费用。</w:t>
            </w:r>
          </w:p>
          <w:p w14:paraId="41536C59">
            <w:pPr>
              <w:pStyle w:val="153"/>
              <w:spacing w:line="240" w:lineRule="auto"/>
              <w:ind w:left="115" w:right="107" w:firstLine="430" w:firstLineChars="20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2、不论投标结果如何，响应人均应自行承担所有与投标有关的全部费用。</w:t>
            </w:r>
          </w:p>
          <w:p w14:paraId="4F038D33">
            <w:pPr>
              <w:spacing w:line="320" w:lineRule="exact"/>
              <w:rPr>
                <w:rFonts w:hint="eastAsia" w:ascii="宋体" w:hAnsi="宋体" w:eastAsia="宋体" w:cs="宋体"/>
                <w:kern w:val="0"/>
                <w:sz w:val="21"/>
                <w:szCs w:val="21"/>
                <w:lang w:val="en-US" w:eastAsia="zh-CN" w:bidi="ar-SA"/>
              </w:rPr>
            </w:pPr>
            <w:bookmarkStart w:id="6" w:name="_Hlk61602443"/>
            <w:r>
              <w:rPr>
                <w:rFonts w:hint="eastAsia" w:ascii="宋体" w:hAnsi="宋体" w:eastAsia="宋体" w:cs="宋体"/>
                <w:kern w:val="0"/>
                <w:sz w:val="21"/>
                <w:szCs w:val="21"/>
                <w:highlight w:val="none"/>
                <w:lang w:val="en-US" w:eastAsia="zh-CN" w:bidi="ar-SA"/>
              </w:rPr>
              <w:t>3、</w:t>
            </w:r>
            <w:bookmarkEnd w:id="6"/>
            <w:r>
              <w:rPr>
                <w:rFonts w:hint="eastAsia" w:ascii="宋体" w:hAnsi="宋体" w:eastAsia="宋体" w:cs="宋体"/>
                <w:kern w:val="0"/>
                <w:sz w:val="21"/>
                <w:szCs w:val="21"/>
                <w:highlight w:val="none"/>
                <w:lang w:val="en-US" w:eastAsia="zh-CN" w:bidi="ar-SA"/>
              </w:rPr>
              <w:t>中标人须缴纳招标代理服务费，招标代理服务收费标准金额为：</w:t>
            </w:r>
            <w:r>
              <w:rPr>
                <w:rFonts w:hint="eastAsia" w:ascii="宋体" w:hAnsi="宋体" w:cs="宋体"/>
                <w:kern w:val="0"/>
                <w:sz w:val="21"/>
                <w:szCs w:val="21"/>
                <w:highlight w:val="none"/>
                <w:lang w:val="en-US" w:eastAsia="zh-CN" w:bidi="ar-SA"/>
              </w:rPr>
              <w:t>根据项目中标价差额累计收取，中标价100万元（含）以下，按照中标价*1.5%收取服务费，100万元（含）以上部分按照（中标金额-100）*0.8%*0.23收取服务费。</w:t>
            </w:r>
            <w:r>
              <w:rPr>
                <w:rFonts w:hint="eastAsia" w:ascii="宋体" w:hAnsi="宋体" w:eastAsia="宋体" w:cs="宋体"/>
                <w:kern w:val="0"/>
                <w:sz w:val="21"/>
                <w:szCs w:val="21"/>
                <w:highlight w:val="none"/>
                <w:lang w:val="en-US" w:eastAsia="zh-CN" w:bidi="ar-SA"/>
              </w:rPr>
              <w:t>支付方式及时间为：增值税发票发出后5个工作日内一次性支付给招标代理机构并领取中标通知书。</w:t>
            </w:r>
          </w:p>
        </w:tc>
      </w:tr>
      <w:tr w14:paraId="5B127385">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2E224D6">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137FBD0">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4349AB2">
            <w:pPr>
              <w:spacing w:line="320" w:lineRule="exact"/>
              <w:rPr>
                <w:rFonts w:ascii="宋体" w:hAnsi="宋体" w:cs="宋体"/>
                <w:szCs w:val="21"/>
              </w:rPr>
            </w:pPr>
            <w:r>
              <w:rPr>
                <w:rFonts w:hint="eastAsia" w:ascii="宋体" w:hAnsi="宋体" w:cs="宋体"/>
                <w:szCs w:val="21"/>
              </w:rPr>
              <w:t>本项目实行电子投标。</w:t>
            </w:r>
          </w:p>
          <w:p w14:paraId="41234893">
            <w:pPr>
              <w:spacing w:line="320" w:lineRule="exact"/>
              <w:rPr>
                <w:rFonts w:ascii="宋体" w:hAnsi="宋体" w:cs="宋体"/>
                <w:szCs w:val="21"/>
              </w:rPr>
            </w:pPr>
            <w:r>
              <w:rPr>
                <w:rFonts w:hint="eastAsia" w:ascii="宋体" w:hAnsi="宋体" w:cs="宋体"/>
                <w:szCs w:val="21"/>
              </w:rPr>
              <w:t>响应人应准备电子响应文件和以介质存储的数据电文形式的备份响应文件：</w:t>
            </w:r>
          </w:p>
          <w:p w14:paraId="4224FA06">
            <w:pPr>
              <w:spacing w:line="320" w:lineRule="exact"/>
              <w:rPr>
                <w:rFonts w:ascii="宋体" w:hAnsi="宋体" w:cs="宋体"/>
                <w:szCs w:val="21"/>
              </w:rPr>
            </w:pPr>
            <w:r>
              <w:rPr>
                <w:rFonts w:hint="eastAsia" w:ascii="宋体" w:hAnsi="宋体" w:cs="宋体"/>
                <w:szCs w:val="21"/>
              </w:rPr>
              <w:t>（1）电子响应文件，按政采云平台项目采购-电子交易操作指南及本竞争性磋商文件要求递交。</w:t>
            </w:r>
          </w:p>
          <w:p w14:paraId="5BF22D95">
            <w:pPr>
              <w:spacing w:line="320" w:lineRule="exact"/>
              <w:rPr>
                <w:rFonts w:ascii="宋体" w:hAnsi="宋体" w:cs="宋体"/>
                <w:szCs w:val="21"/>
              </w:rPr>
            </w:pPr>
            <w:r>
              <w:rPr>
                <w:rFonts w:hint="eastAsia" w:ascii="宋体" w:hAnsi="宋体" w:cs="宋体"/>
                <w:szCs w:val="21"/>
              </w:rPr>
              <w:t>（2）以介质存储的数据电文形式的备份响应文件，按政采云平台项目采购-电子交易操作指南中上传的电子响应文件格式。</w:t>
            </w:r>
          </w:p>
          <w:p w14:paraId="0DBEA125">
            <w:pPr>
              <w:spacing w:line="320" w:lineRule="exact"/>
            </w:pPr>
            <w:r>
              <w:rPr>
                <w:rFonts w:hint="eastAsia" w:ascii="宋体" w:hAnsi="宋体" w:cs="宋体"/>
                <w:szCs w:val="21"/>
              </w:rPr>
              <w:t>响应文件均由响应报价文件、资格证明文件、商务技术文件组成。</w:t>
            </w:r>
          </w:p>
        </w:tc>
      </w:tr>
      <w:tr w14:paraId="5F9DE89C">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B5AF1C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5EE5C389">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890F4DA">
            <w:pPr>
              <w:spacing w:line="320" w:lineRule="exact"/>
              <w:rPr>
                <w:rFonts w:ascii="宋体" w:hAnsi="宋体" w:cs="宋体"/>
                <w:szCs w:val="21"/>
              </w:rPr>
            </w:pPr>
            <w:r>
              <w:rPr>
                <w:rFonts w:hint="eastAsia" w:ascii="宋体" w:hAnsi="宋体" w:cs="宋体"/>
                <w:szCs w:val="21"/>
              </w:rPr>
              <w:t>（1）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14:paraId="3BAF0A93">
            <w:pPr>
              <w:spacing w:line="320" w:lineRule="exact"/>
              <w:rPr>
                <w:rFonts w:ascii="宋体" w:hAnsi="宋体" w:cs="宋体"/>
                <w:szCs w:val="21"/>
              </w:rPr>
            </w:pPr>
            <w:r>
              <w:rPr>
                <w:rFonts w:hint="eastAsia" w:ascii="宋体" w:hAnsi="宋体" w:cs="宋体"/>
                <w:szCs w:val="21"/>
              </w:rPr>
              <w:t>（2）以介质存储的数据电文形式的备份响应文件（后缀为.bfbs），按政采云平台项目采购-电子交易操作指南中上传的电子响应文件格式，</w:t>
            </w:r>
            <w:r>
              <w:rPr>
                <w:rFonts w:hint="eastAsia" w:ascii="宋体" w:hAnsi="宋体" w:cs="宋体"/>
                <w:szCs w:val="21"/>
                <w:shd w:val="clear" w:color="auto" w:fill="FFFFFF"/>
              </w:rPr>
              <w:t>于响应截止时间前发送到采购代理机构指定邮箱（</w:t>
            </w:r>
            <w:r>
              <w:rPr>
                <w:rFonts w:hint="eastAsia" w:ascii="宋体" w:hAnsi="宋体" w:cs="宋体"/>
                <w:szCs w:val="21"/>
                <w:shd w:val="clear" w:color="auto" w:fill="FFFFFF"/>
                <w:lang w:val="en-US" w:eastAsia="zh-CN"/>
              </w:rPr>
              <w:t>2670214167</w:t>
            </w:r>
            <w:r>
              <w:rPr>
                <w:rFonts w:hint="eastAsia" w:ascii="宋体" w:hAnsi="宋体" w:cs="宋体"/>
                <w:szCs w:val="21"/>
                <w:shd w:val="clear" w:color="auto" w:fill="FFFFFF"/>
              </w:rPr>
              <w:t>@qq.com）。</w:t>
            </w:r>
          </w:p>
          <w:p w14:paraId="2C2B7CC1">
            <w:pPr>
              <w:spacing w:line="320" w:lineRule="exact"/>
              <w:rPr>
                <w:rFonts w:ascii="宋体" w:hAnsi="宋体" w:eastAsia="宋体" w:cs="宋体"/>
                <w:szCs w:val="21"/>
              </w:rPr>
            </w:pPr>
            <w:r>
              <w:rPr>
                <w:rFonts w:hint="eastAsia" w:ascii="宋体" w:hAnsi="宋体" w:cs="宋体"/>
                <w:szCs w:val="21"/>
              </w:rPr>
              <w:t>响应人</w:t>
            </w:r>
            <w:r>
              <w:rPr>
                <w:rFonts w:hint="eastAsia" w:ascii="宋体" w:hAnsi="宋体" w:eastAsia="宋体" w:cs="宋体"/>
                <w:szCs w:val="21"/>
                <w:shd w:val="clear" w:color="auto" w:fill="FFFFFF"/>
              </w:rPr>
              <w:t>可自行选择是否递交</w:t>
            </w:r>
            <w:r>
              <w:rPr>
                <w:rFonts w:hint="eastAsia" w:ascii="宋体" w:hAnsi="宋体" w:eastAsia="宋体" w:cs="宋体"/>
                <w:szCs w:val="21"/>
              </w:rPr>
              <w:t>备份响应文件，如递交，出现下列情况之一的，将被拒收：</w:t>
            </w:r>
          </w:p>
          <w:p w14:paraId="34318F48">
            <w:pPr>
              <w:spacing w:line="320" w:lineRule="exact"/>
              <w:rPr>
                <w:rFonts w:hint="eastAsia" w:ascii="宋体" w:hAnsi="宋体" w:eastAsia="宋体" w:cs="宋体"/>
                <w:szCs w:val="21"/>
                <w:lang w:eastAsia="zh-CN"/>
              </w:rPr>
            </w:pPr>
            <w:r>
              <w:rPr>
                <w:rFonts w:hint="eastAsia" w:ascii="宋体" w:hAnsi="宋体" w:eastAsia="宋体" w:cs="宋体"/>
                <w:szCs w:val="21"/>
              </w:rPr>
              <w:t>（1）未成功办理响应人采购文件获取手续的；</w:t>
            </w:r>
          </w:p>
          <w:p w14:paraId="5E8ECCCC">
            <w:pPr>
              <w:spacing w:line="320" w:lineRule="exact"/>
              <w:rPr>
                <w:rFonts w:ascii="宋体" w:hAnsi="宋体" w:eastAsia="宋体" w:cs="宋体"/>
                <w:szCs w:val="21"/>
              </w:rPr>
            </w:pPr>
            <w:r>
              <w:rPr>
                <w:rFonts w:hint="eastAsia" w:ascii="宋体" w:hAnsi="宋体" w:eastAsia="宋体" w:cs="宋体"/>
                <w:szCs w:val="21"/>
              </w:rPr>
              <w:t>（2）未按规定要求提供后缀为.bfbs电子备份响应文件的；</w:t>
            </w:r>
          </w:p>
          <w:p w14:paraId="5263F955">
            <w:pPr>
              <w:spacing w:line="320" w:lineRule="exact"/>
              <w:rPr>
                <w:rFonts w:ascii="宋体" w:hAnsi="宋体" w:eastAsia="宋体" w:cs="宋体"/>
                <w:szCs w:val="21"/>
              </w:rPr>
            </w:pPr>
            <w:r>
              <w:rPr>
                <w:rFonts w:hint="eastAsia" w:ascii="宋体" w:hAnsi="宋体" w:eastAsia="宋体" w:cs="宋体"/>
                <w:szCs w:val="21"/>
              </w:rPr>
              <w:t>（3）超过投标截止时间发送的；</w:t>
            </w:r>
          </w:p>
          <w:p w14:paraId="3F9A00C7">
            <w:pPr>
              <w:spacing w:line="320" w:lineRule="exact"/>
              <w:rPr>
                <w:rFonts w:ascii="宋体" w:hAnsi="宋体"/>
              </w:rPr>
            </w:pPr>
            <w:r>
              <w:rPr>
                <w:rFonts w:hint="eastAsia" w:ascii="宋体" w:hAnsi="宋体" w:eastAsia="宋体" w:cs="宋体"/>
                <w:szCs w:val="21"/>
              </w:rPr>
              <w:t>仅提供备份响应文件的，投标无效，相关风险由响应人自行承担。</w:t>
            </w:r>
          </w:p>
        </w:tc>
      </w:tr>
      <w:tr w14:paraId="6791A46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7E69652">
            <w:pPr>
              <w:spacing w:line="320" w:lineRule="exact"/>
              <w:jc w:val="center"/>
              <w:rPr>
                <w:rFonts w:hint="default" w:ascii="宋体" w:hAnsi="宋体" w:eastAsia="宋体" w:cs="宋体"/>
                <w:b/>
                <w:szCs w:val="21"/>
                <w:shd w:val="pct10" w:color="auto" w:fill="FFFFFF"/>
                <w:lang w:val="en-US" w:eastAsia="zh-CN"/>
              </w:rPr>
            </w:pPr>
            <w:r>
              <w:rPr>
                <w:rFonts w:hint="eastAsia" w:ascii="宋体" w:hAnsi="宋体" w:cs="宋体"/>
                <w:b/>
                <w:szCs w:val="21"/>
                <w:shd w:val="pct10" w:color="auto" w:fill="FFFFFF"/>
                <w:lang w:val="en-US" w:eastAsia="zh-CN"/>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5D04815">
            <w:pPr>
              <w:spacing w:line="320" w:lineRule="exact"/>
              <w:jc w:val="center"/>
              <w:rPr>
                <w:rFonts w:hint="default" w:ascii="宋体" w:hAnsi="宋体" w:eastAsia="宋体" w:cs="宋体"/>
                <w:b/>
                <w:szCs w:val="21"/>
                <w:shd w:val="pct10" w:color="auto" w:fill="FFFFFF"/>
                <w:lang w:val="en-US" w:eastAsia="zh-CN"/>
              </w:rPr>
            </w:pPr>
            <w:r>
              <w:rPr>
                <w:rFonts w:hint="eastAsia" w:ascii="宋体" w:hAnsi="宋体" w:cs="宋体"/>
                <w:b/>
                <w:szCs w:val="21"/>
                <w:shd w:val="pct10" w:color="auto" w:fill="FFFFFF"/>
                <w:lang w:val="en-US" w:eastAsia="zh-CN"/>
              </w:rPr>
              <w:t>代理费用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442F90A">
            <w:pPr>
              <w:spacing w:line="32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本项目招标代理服务费由成交人支付</w:t>
            </w:r>
            <w:r>
              <w:rPr>
                <w:rFonts w:hint="eastAsia" w:ascii="宋体" w:hAnsi="宋体" w:cs="宋体"/>
                <w:kern w:val="0"/>
                <w:sz w:val="21"/>
                <w:szCs w:val="21"/>
                <w:lang w:val="en-US" w:eastAsia="zh-CN" w:bidi="ar-SA"/>
              </w:rPr>
              <w:t>。</w:t>
            </w:r>
            <w:r>
              <w:rPr>
                <w:rFonts w:hint="eastAsia" w:ascii="宋体" w:hAnsi="宋体" w:cs="宋体"/>
                <w:kern w:val="0"/>
                <w:sz w:val="21"/>
                <w:szCs w:val="21"/>
                <w:highlight w:val="none"/>
                <w:lang w:val="en-US" w:eastAsia="zh-CN" w:bidi="ar-SA"/>
              </w:rPr>
              <w:t>收费金额标准：根据项目中标价差额累计收取，中标价100万元（含）以下，按照中标价*1.5%收取服务费，100万元（含）以上部分按照（中标金额-100）*0.8%*0.23收取服务费。</w:t>
            </w:r>
          </w:p>
          <w:p w14:paraId="027D9BD7">
            <w:pPr>
              <w:spacing w:line="320" w:lineRule="exact"/>
              <w:rPr>
                <w:rFonts w:hint="eastAsia" w:ascii="宋体" w:hAnsi="宋体" w:cs="宋体"/>
                <w:sz w:val="21"/>
                <w:szCs w:val="21"/>
              </w:rPr>
            </w:pPr>
            <w:r>
              <w:rPr>
                <w:rFonts w:hint="eastAsia" w:ascii="宋体" w:hAnsi="宋体" w:cs="宋体"/>
                <w:kern w:val="0"/>
                <w:sz w:val="21"/>
                <w:szCs w:val="21"/>
                <w:lang w:val="en-US" w:eastAsia="zh-CN" w:bidi="ar-SA"/>
              </w:rPr>
              <w:t>支付方式：</w:t>
            </w:r>
            <w:r>
              <w:rPr>
                <w:rFonts w:hint="eastAsia" w:ascii="宋体" w:hAnsi="宋体" w:cs="宋体"/>
                <w:sz w:val="21"/>
                <w:szCs w:val="21"/>
                <w:highlight w:val="none"/>
                <w:lang w:eastAsia="zh-CN"/>
              </w:rPr>
              <w:t>成交</w:t>
            </w:r>
            <w:r>
              <w:rPr>
                <w:rFonts w:hint="eastAsia" w:ascii="宋体" w:hAnsi="宋体" w:cs="宋体"/>
                <w:sz w:val="21"/>
                <w:szCs w:val="21"/>
                <w:highlight w:val="none"/>
              </w:rPr>
              <w:t>通知书发出后5个工作日内一</w:t>
            </w:r>
            <w:r>
              <w:rPr>
                <w:rFonts w:hint="eastAsia" w:ascii="宋体" w:hAnsi="宋体" w:cs="宋体"/>
                <w:sz w:val="21"/>
                <w:szCs w:val="21"/>
              </w:rPr>
              <w:t>次性支付给招标代理机构。</w:t>
            </w:r>
          </w:p>
          <w:p w14:paraId="4E7282C4">
            <w:pPr>
              <w:spacing w:line="320" w:lineRule="exact"/>
              <w:rPr>
                <w:rFonts w:hint="eastAsia" w:ascii="宋体" w:hAnsi="宋体" w:eastAsia="宋体" w:cs="宋体"/>
                <w:sz w:val="21"/>
                <w:szCs w:val="21"/>
              </w:rPr>
            </w:pPr>
            <w:r>
              <w:rPr>
                <w:rFonts w:hint="eastAsia" w:ascii="宋体" w:hAnsi="宋体" w:eastAsia="宋体" w:cs="宋体"/>
                <w:sz w:val="21"/>
                <w:szCs w:val="21"/>
              </w:rPr>
              <w:t>收款公司名称：浙江省成套工程有限公司舟山分公司</w:t>
            </w:r>
          </w:p>
          <w:p w14:paraId="17D66CCB">
            <w:pPr>
              <w:spacing w:line="320" w:lineRule="exact"/>
              <w:rPr>
                <w:rFonts w:hint="eastAsia" w:ascii="宋体" w:hAnsi="宋体" w:eastAsia="宋体" w:cs="宋体"/>
                <w:sz w:val="21"/>
                <w:szCs w:val="21"/>
              </w:rPr>
            </w:pPr>
            <w:r>
              <w:rPr>
                <w:rFonts w:hint="eastAsia" w:ascii="宋体" w:hAnsi="宋体" w:eastAsia="宋体" w:cs="宋体"/>
                <w:sz w:val="21"/>
                <w:szCs w:val="21"/>
              </w:rPr>
              <w:t>开户银行：台州银行舟山勾山小微企业专营支行</w:t>
            </w:r>
          </w:p>
          <w:p w14:paraId="71FAFF2B">
            <w:pPr>
              <w:spacing w:line="320" w:lineRule="exact"/>
              <w:rPr>
                <w:rFonts w:hint="default" w:ascii="宋体" w:hAnsi="宋体" w:cs="宋体"/>
                <w:sz w:val="21"/>
                <w:szCs w:val="21"/>
                <w:lang w:val="en-US" w:eastAsia="zh-CN"/>
              </w:rPr>
            </w:pPr>
            <w:r>
              <w:rPr>
                <w:rFonts w:hint="eastAsia" w:ascii="宋体" w:hAnsi="宋体" w:eastAsia="宋体" w:cs="宋体"/>
                <w:sz w:val="21"/>
                <w:szCs w:val="21"/>
              </w:rPr>
              <w:t>银行账号：551107816300015</w:t>
            </w:r>
          </w:p>
        </w:tc>
      </w:tr>
      <w:tr w14:paraId="7543DBA6">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E1037F5">
            <w:pPr>
              <w:spacing w:line="320" w:lineRule="exact"/>
              <w:jc w:val="center"/>
              <w:rPr>
                <w:rFonts w:hint="default" w:ascii="宋体" w:hAnsi="宋体" w:cs="宋体"/>
                <w:b/>
                <w:szCs w:val="21"/>
                <w:shd w:val="pct10" w:color="auto" w:fill="FFFFFF"/>
                <w:lang w:val="en-US" w:eastAsia="zh-CN"/>
              </w:rPr>
            </w:pPr>
            <w:r>
              <w:rPr>
                <w:rFonts w:hint="eastAsia" w:ascii="宋体" w:hAnsi="宋体" w:cs="宋体"/>
                <w:b/>
                <w:szCs w:val="21"/>
                <w:shd w:val="pct10" w:color="auto" w:fill="FFFFFF"/>
                <w:lang w:val="en-US" w:eastAsia="zh-CN"/>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6371458">
            <w:pPr>
              <w:spacing w:line="320" w:lineRule="exact"/>
              <w:jc w:val="center"/>
              <w:rPr>
                <w:rFonts w:hint="default" w:ascii="宋体" w:hAnsi="宋体" w:cs="宋体"/>
                <w:b/>
                <w:szCs w:val="21"/>
                <w:shd w:val="pct10" w:color="auto" w:fill="FFFFFF"/>
                <w:lang w:val="en-US" w:eastAsia="zh-CN"/>
              </w:rPr>
            </w:pPr>
            <w:r>
              <w:rPr>
                <w:rFonts w:hint="eastAsia" w:ascii="宋体" w:hAnsi="宋体" w:cs="宋体"/>
                <w:b/>
                <w:szCs w:val="21"/>
                <w:shd w:val="pct10" w:color="auto" w:fill="FFFFFF"/>
                <w:lang w:val="en-US" w:eastAsia="zh-CN"/>
              </w:rPr>
              <w:t>履约保证金</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890C3C9">
            <w:pPr>
              <w:spacing w:line="320" w:lineRule="exact"/>
              <w:ind w:firstLine="630" w:firstLineChars="300"/>
              <w:rPr>
                <w:rFonts w:hint="eastAsia" w:ascii="宋体" w:hAnsi="宋体" w:eastAsia="宋体" w:cs="宋体"/>
                <w:szCs w:val="21"/>
                <w:lang w:val="en-US" w:eastAsia="zh-CN"/>
              </w:rPr>
            </w:pPr>
            <w:r>
              <w:rPr>
                <w:rFonts w:hint="eastAsia" w:ascii="宋体" w:hAnsi="宋体" w:cs="宋体"/>
                <w:szCs w:val="21"/>
                <w:lang w:val="en-US" w:eastAsia="zh-CN"/>
              </w:rPr>
              <w:t>无</w:t>
            </w:r>
          </w:p>
        </w:tc>
      </w:tr>
      <w:tr w14:paraId="18D05BF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C19217C">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EB406A3">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DB45C15">
            <w:pPr>
              <w:spacing w:line="320" w:lineRule="exact"/>
              <w:rPr>
                <w:rFonts w:ascii="宋体" w:hAnsi="宋体" w:cs="宋体"/>
                <w:szCs w:val="21"/>
              </w:rPr>
            </w:pPr>
            <w:r>
              <w:rPr>
                <w:rFonts w:hint="eastAsia" w:ascii="宋体" w:hAnsi="宋体" w:cs="宋体"/>
                <w:b/>
                <w:kern w:val="0"/>
                <w:szCs w:val="21"/>
              </w:rPr>
              <w:t>响应人需通过“政府采购云平台（www.zcygov.cn）”在线投标响应。</w:t>
            </w:r>
          </w:p>
        </w:tc>
      </w:tr>
      <w:tr w14:paraId="0E6FA3F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BCC3CC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80C7A3F">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5E707BE">
            <w:pPr>
              <w:spacing w:line="320" w:lineRule="exact"/>
              <w:jc w:val="left"/>
              <w:rPr>
                <w:rFonts w:hint="default" w:ascii="宋体" w:hAnsi="宋体" w:eastAsia="宋体" w:cs="宋体"/>
                <w:szCs w:val="21"/>
                <w:lang w:val="en-US" w:eastAsia="zh-CN"/>
              </w:rPr>
            </w:pPr>
            <w:r>
              <w:rPr>
                <w:rFonts w:hint="eastAsia" w:ascii="宋体" w:hAnsi="宋体" w:cs="宋体"/>
                <w:b/>
                <w:szCs w:val="21"/>
              </w:rPr>
              <w:t>2024年</w:t>
            </w:r>
            <w:r>
              <w:rPr>
                <w:rFonts w:hint="eastAsia" w:ascii="宋体" w:hAnsi="宋体" w:cs="宋体"/>
                <w:b/>
                <w:szCs w:val="21"/>
                <w:lang w:val="en-US" w:eastAsia="zh-CN"/>
              </w:rPr>
              <w:t xml:space="preserve"> 12 </w:t>
            </w:r>
            <w:r>
              <w:rPr>
                <w:rFonts w:hint="eastAsia" w:ascii="宋体" w:hAnsi="宋体" w:cs="宋体"/>
                <w:b/>
                <w:szCs w:val="21"/>
              </w:rPr>
              <w:t>月</w:t>
            </w:r>
            <w:r>
              <w:rPr>
                <w:rFonts w:hint="eastAsia" w:ascii="宋体" w:hAnsi="宋体" w:cs="宋体"/>
                <w:b/>
                <w:szCs w:val="21"/>
                <w:lang w:val="en-US" w:eastAsia="zh-CN"/>
              </w:rPr>
              <w:t xml:space="preserve"> 30 </w:t>
            </w:r>
            <w:r>
              <w:rPr>
                <w:rFonts w:hint="eastAsia" w:ascii="宋体" w:hAnsi="宋体" w:cs="宋体"/>
                <w:b/>
                <w:szCs w:val="21"/>
              </w:rPr>
              <w:t>日</w:t>
            </w:r>
            <w:r>
              <w:rPr>
                <w:rFonts w:hint="eastAsia" w:ascii="宋体" w:hAnsi="宋体" w:cs="宋体"/>
                <w:b/>
                <w:szCs w:val="21"/>
                <w:lang w:val="en-US" w:eastAsia="zh-CN"/>
              </w:rPr>
              <w:t>09:30</w:t>
            </w:r>
          </w:p>
        </w:tc>
      </w:tr>
      <w:tr w14:paraId="22D0112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A1499C1">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F286F74">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4D6011D">
            <w:pPr>
              <w:spacing w:line="320" w:lineRule="exact"/>
              <w:jc w:val="left"/>
              <w:rPr>
                <w:rFonts w:hint="default" w:ascii="宋体" w:hAnsi="宋体" w:eastAsia="宋体" w:cs="宋体"/>
                <w:b/>
                <w:szCs w:val="21"/>
                <w:lang w:val="en-US" w:eastAsia="zh-CN"/>
              </w:rPr>
            </w:pPr>
            <w:r>
              <w:rPr>
                <w:rFonts w:hint="eastAsia" w:ascii="宋体" w:hAnsi="宋体" w:cs="宋体"/>
                <w:b/>
                <w:kern w:val="0"/>
                <w:szCs w:val="21"/>
              </w:rPr>
              <w:t>采购标的：</w:t>
            </w:r>
            <w:r>
              <w:rPr>
                <w:rFonts w:hint="eastAsia" w:ascii="宋体" w:hAnsi="宋体" w:cs="宋体"/>
                <w:b/>
                <w:kern w:val="0"/>
                <w:szCs w:val="21"/>
                <w:lang w:eastAsia="zh-CN"/>
              </w:rPr>
              <w:t>舟山医院云存储租赁服务项目</w:t>
            </w:r>
            <w:r>
              <w:rPr>
                <w:rFonts w:hint="eastAsia" w:ascii="宋体" w:hAnsi="宋体" w:cs="宋体"/>
                <w:b/>
                <w:kern w:val="0"/>
                <w:szCs w:val="21"/>
              </w:rPr>
              <w:t>所属行业</w:t>
            </w:r>
            <w:r>
              <w:rPr>
                <w:rFonts w:hint="eastAsia" w:ascii="宋体" w:hAnsi="宋体" w:cs="宋体"/>
                <w:b/>
                <w:kern w:val="0"/>
                <w:szCs w:val="21"/>
                <w:highlight w:val="none"/>
              </w:rPr>
              <w:t>：</w:t>
            </w:r>
            <w:r>
              <w:rPr>
                <w:rFonts w:hint="eastAsia" w:ascii="宋体" w:hAnsi="宋体" w:cs="宋体"/>
                <w:b/>
                <w:kern w:val="0"/>
                <w:szCs w:val="21"/>
                <w:highlight w:val="none"/>
                <w:lang w:eastAsia="zh-CN"/>
              </w:rPr>
              <w:t>信息技术服务业</w:t>
            </w:r>
          </w:p>
        </w:tc>
      </w:tr>
      <w:tr w14:paraId="1103B0F6">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9C28E73">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7EB5879">
            <w:pPr>
              <w:spacing w:line="320" w:lineRule="exact"/>
              <w:jc w:val="center"/>
              <w:rPr>
                <w:rFonts w:ascii="宋体" w:hAnsi="宋体" w:cs="宋体"/>
                <w:sz w:val="24"/>
              </w:rPr>
            </w:pPr>
            <w:r>
              <w:rPr>
                <w:rFonts w:hint="eastAsia" w:ascii="宋体" w:hAnsi="宋体" w:cs="宋体"/>
                <w:b/>
                <w:szCs w:val="21"/>
                <w:shd w:val="pct10" w:color="auto" w:fill="FFFFFF"/>
              </w:rPr>
              <w:t>中小企业预留份额情况</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024619D">
            <w:pPr>
              <w:pStyle w:val="24"/>
              <w:widowControl w:val="0"/>
              <w:autoSpaceDE w:val="0"/>
              <w:spacing w:before="0" w:beforeAutospacing="0" w:after="0" w:afterAutospacing="0" w:line="300" w:lineRule="exact"/>
              <w:ind w:firstLine="211" w:firstLineChars="100"/>
              <w:rPr>
                <w:rFonts w:hint="default" w:ascii="宋体" w:hAnsi="宋体" w:eastAsia="宋体" w:cs="宋体"/>
                <w:b/>
                <w:kern w:val="0"/>
                <w:szCs w:val="21"/>
                <w:lang w:val="en-US" w:eastAsia="zh-CN"/>
              </w:rPr>
            </w:pPr>
            <w:r>
              <w:rPr>
                <w:rFonts w:hint="eastAsia" w:ascii="宋体" w:hAnsi="宋体" w:eastAsia="宋体" w:cs="宋体"/>
                <w:b/>
                <w:kern w:val="0"/>
                <w:sz w:val="21"/>
                <w:szCs w:val="21"/>
                <w:lang w:val="en-US" w:eastAsia="zh-CN" w:bidi="ar-SA"/>
              </w:rPr>
              <w:t>本项目不专门面向中小企业，小型和微型企业的投标报价给予10%的扣除。</w:t>
            </w:r>
          </w:p>
        </w:tc>
      </w:tr>
    </w:tbl>
    <w:p w14:paraId="666E0554">
      <w:pPr>
        <w:snapToGrid w:val="0"/>
        <w:spacing w:after="240" w:line="276" w:lineRule="auto"/>
        <w:jc w:val="center"/>
        <w:rPr>
          <w:rFonts w:ascii="宋体" w:hAnsi="宋体" w:cs="宋体"/>
          <w:b/>
          <w:sz w:val="28"/>
          <w:szCs w:val="30"/>
        </w:rPr>
      </w:pPr>
    </w:p>
    <w:p w14:paraId="08D44C23">
      <w:pPr>
        <w:snapToGrid w:val="0"/>
        <w:spacing w:after="240" w:line="276" w:lineRule="auto"/>
        <w:jc w:val="center"/>
        <w:rPr>
          <w:rFonts w:ascii="宋体" w:hAnsi="宋体" w:cs="宋体"/>
          <w:b/>
          <w:sz w:val="28"/>
          <w:szCs w:val="30"/>
        </w:rPr>
      </w:pPr>
      <w:r>
        <w:rPr>
          <w:rFonts w:hint="eastAsia" w:ascii="宋体" w:hAnsi="宋体" w:cs="宋体"/>
          <w:b/>
          <w:sz w:val="28"/>
          <w:szCs w:val="30"/>
        </w:rPr>
        <w:br w:type="page"/>
      </w:r>
      <w:r>
        <w:rPr>
          <w:rFonts w:hint="eastAsia" w:ascii="宋体" w:hAnsi="宋体" w:cs="宋体"/>
          <w:b/>
          <w:sz w:val="28"/>
          <w:szCs w:val="30"/>
        </w:rPr>
        <w:t>一、总则</w:t>
      </w:r>
    </w:p>
    <w:p w14:paraId="1E630A39">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（一）适用范围</w:t>
      </w:r>
    </w:p>
    <w:p w14:paraId="728A9BC5">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本竞争性磋商文件适用于本次项目的评标、定标、验收、合同履约、付款等（法律、法规另有规定的，从其规定）。</w:t>
      </w:r>
    </w:p>
    <w:p w14:paraId="1D9C234A">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（二）定义</w:t>
      </w:r>
    </w:p>
    <w:p w14:paraId="6903CA8E">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1.招标采购单位系指组织本次招标的代理机构和采购单位。</w:t>
      </w:r>
    </w:p>
    <w:p w14:paraId="6B1447C0">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2.“响应人（响应人）”系指向招标方提交响应文件的单位。</w:t>
      </w:r>
    </w:p>
    <w:p w14:paraId="0750C5A6">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3.“产品”系指供方按竞争性磋商文件规定，须向采购人提供的一切产品、保险、税金、手册及其它有关技术资料和材料。</w:t>
      </w:r>
    </w:p>
    <w:p w14:paraId="2C33B601">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4.“服务”系指竞争性磋商文件规定响应人须承担的服务等义务。</w:t>
      </w:r>
    </w:p>
    <w:p w14:paraId="015BE74C">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5.“项目”系指响应人按竞争性磋商文件规定向采购人提供服务。</w:t>
      </w:r>
    </w:p>
    <w:p w14:paraId="3BE31FE0">
      <w:pPr>
        <w:pStyle w:val="14"/>
        <w:adjustRightInd w:val="0"/>
        <w:snapToGrid w:val="0"/>
        <w:spacing w:line="360" w:lineRule="exact"/>
        <w:ind w:firstLine="415" w:firstLineChars="198"/>
        <w:rPr>
          <w:rFonts w:hAnsi="宋体" w:eastAsia="宋体" w:cs="宋体"/>
          <w:sz w:val="21"/>
          <w:szCs w:val="21"/>
          <w:highlight w:val="none"/>
        </w:rPr>
      </w:pPr>
      <w:r>
        <w:rPr>
          <w:rFonts w:hint="eastAsia" w:hAnsi="宋体" w:eastAsia="宋体" w:cs="宋体"/>
          <w:sz w:val="21"/>
          <w:szCs w:val="21"/>
        </w:rPr>
        <w:t>6.</w:t>
      </w:r>
      <w:r>
        <w:rPr>
          <w:rFonts w:hint="eastAsia" w:hAnsi="宋体" w:eastAsia="宋体" w:cs="宋体"/>
          <w:sz w:val="21"/>
          <w:szCs w:val="21"/>
          <w:highlight w:val="none"/>
        </w:rPr>
        <w:t>“书面形式”包括信函、传真、电报、电子文档等。</w:t>
      </w:r>
    </w:p>
    <w:p w14:paraId="7549A2CF">
      <w:pPr>
        <w:pStyle w:val="14"/>
        <w:adjustRightInd w:val="0"/>
        <w:snapToGrid w:val="0"/>
        <w:spacing w:line="360" w:lineRule="exact"/>
        <w:ind w:firstLine="415" w:firstLineChars="198"/>
        <w:rPr>
          <w:rFonts w:hAnsi="宋体" w:eastAsia="宋体" w:cs="宋体"/>
          <w:sz w:val="21"/>
          <w:szCs w:val="21"/>
          <w:highlight w:val="none"/>
        </w:rPr>
      </w:pPr>
      <w:r>
        <w:rPr>
          <w:rFonts w:hint="eastAsia" w:hAnsi="宋体" w:eastAsia="宋体" w:cs="宋体"/>
          <w:sz w:val="21"/>
          <w:szCs w:val="21"/>
          <w:highlight w:val="none"/>
        </w:rPr>
        <w:t>7.“法定代表人”系指营业执照上的法定代表人或负责人或经营者等。</w:t>
      </w:r>
    </w:p>
    <w:p w14:paraId="16F7D10C">
      <w:pPr>
        <w:pStyle w:val="14"/>
        <w:adjustRightInd w:val="0"/>
        <w:snapToGrid w:val="0"/>
        <w:spacing w:line="360" w:lineRule="exact"/>
        <w:ind w:firstLine="415" w:firstLineChars="198"/>
        <w:rPr>
          <w:rFonts w:hAnsi="宋体" w:eastAsia="宋体" w:cs="宋体"/>
          <w:color w:val="FF0000"/>
          <w:sz w:val="21"/>
          <w:szCs w:val="21"/>
          <w:highlight w:val="none"/>
        </w:rPr>
      </w:pPr>
      <w:r>
        <w:rPr>
          <w:rFonts w:hint="eastAsia" w:hAnsi="宋体" w:eastAsia="宋体" w:cs="宋体"/>
          <w:sz w:val="21"/>
          <w:szCs w:val="21"/>
          <w:highlight w:val="none"/>
        </w:rPr>
        <w:t>8.</w:t>
      </w:r>
      <w:r>
        <w:rPr>
          <w:rFonts w:hint="eastAsia" w:hAnsi="宋体" w:eastAsia="宋体" w:cs="宋体"/>
          <w:color w:val="FF0000"/>
          <w:sz w:val="21"/>
          <w:szCs w:val="21"/>
          <w:highlight w:val="none"/>
        </w:rPr>
        <w:t>“▲”系指实质性要求条款。</w:t>
      </w:r>
    </w:p>
    <w:p w14:paraId="4BC6D335">
      <w:pPr>
        <w:pStyle w:val="14"/>
        <w:adjustRightInd w:val="0"/>
        <w:snapToGrid w:val="0"/>
        <w:spacing w:before="60" w:after="20"/>
        <w:ind w:firstLine="422" w:firstLineChars="200"/>
        <w:rPr>
          <w:rFonts w:hAnsi="宋体" w:eastAsia="宋体" w:cs="宋体"/>
          <w:b/>
          <w:sz w:val="21"/>
          <w:szCs w:val="21"/>
          <w:highlight w:val="none"/>
        </w:rPr>
      </w:pPr>
      <w:r>
        <w:rPr>
          <w:rFonts w:hint="eastAsia" w:hAnsi="宋体" w:eastAsia="宋体" w:cs="宋体"/>
          <w:b/>
          <w:sz w:val="21"/>
          <w:szCs w:val="21"/>
          <w:highlight w:val="none"/>
        </w:rPr>
        <w:t>（三）招标方式</w:t>
      </w:r>
    </w:p>
    <w:p w14:paraId="0F58B6E8">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1.本次招标采用竞争性磋商方式进行。</w:t>
      </w:r>
    </w:p>
    <w:p w14:paraId="2E02E67D">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2.本次招标</w:t>
      </w:r>
      <w:r>
        <w:rPr>
          <w:rFonts w:hint="eastAsia" w:hAnsi="宋体" w:eastAsia="宋体" w:cs="宋体"/>
          <w:bCs/>
          <w:sz w:val="21"/>
          <w:szCs w:val="21"/>
        </w:rPr>
        <w:t>以预算金额为最高限价</w:t>
      </w:r>
      <w:r>
        <w:rPr>
          <w:rFonts w:hint="eastAsia" w:hAnsi="宋体" w:eastAsia="宋体" w:cs="宋体"/>
          <w:sz w:val="21"/>
          <w:szCs w:val="21"/>
        </w:rPr>
        <w:t>，超过作无效投标处理。</w:t>
      </w:r>
    </w:p>
    <w:p w14:paraId="2D5598E0">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（四）投标费用</w:t>
      </w:r>
    </w:p>
    <w:p w14:paraId="0C0D5588">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不论投标结果如何，响应人均应自行承担所有与投标有关的全部费用（竞争性磋商文件另有规定除外）。</w:t>
      </w:r>
    </w:p>
    <w:p w14:paraId="6E4F7B37">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（五）联合体投标</w:t>
      </w:r>
    </w:p>
    <w:p w14:paraId="7564AB30">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本项目</w:t>
      </w:r>
      <w:r>
        <w:rPr>
          <w:rFonts w:hint="eastAsia" w:hAnsi="宋体" w:eastAsia="宋体" w:cs="宋体"/>
          <w:sz w:val="21"/>
          <w:szCs w:val="21"/>
          <w:u w:val="single"/>
        </w:rPr>
        <w:t>不接受</w:t>
      </w:r>
      <w:r>
        <w:rPr>
          <w:rFonts w:hint="eastAsia" w:hAnsi="宋体" w:eastAsia="宋体" w:cs="宋体"/>
          <w:sz w:val="21"/>
          <w:szCs w:val="21"/>
        </w:rPr>
        <w:t>联合体投标。</w:t>
      </w:r>
    </w:p>
    <w:p w14:paraId="4DECC25C">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（六）转包与分包</w:t>
      </w:r>
    </w:p>
    <w:p w14:paraId="5A0CA717">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1.本项目不允许转包。</w:t>
      </w:r>
    </w:p>
    <w:p w14:paraId="4ED7C62E">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2.本项目不允许分包。</w:t>
      </w:r>
    </w:p>
    <w:p w14:paraId="3CB2203E">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（七）特别说明：</w:t>
      </w:r>
    </w:p>
    <w:p w14:paraId="4F22A214">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1.单位负责人为同一人或者存在直接控股、管理关系的不同供应商，不得参加同一合同项下的政府采购活动。违法该款规定的，相关投标均无效。</w:t>
      </w:r>
    </w:p>
    <w:p w14:paraId="2ABC1BF2">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2.响应人投标所使用的资格、信誉、荣誉、业绩与企业认证必须为本法人所拥有。响应人投标所使用的采购项目实施人员必须为本法人或控股公司正式员工。</w:t>
      </w:r>
    </w:p>
    <w:p w14:paraId="031DD58A">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3.响应人应仔细阅读竞争性磋商文件的所有内容，按照竞争性磋商文件的要求提交响应文件，并对所提供的全部资料的真实性承担法律责任。</w:t>
      </w:r>
    </w:p>
    <w:p w14:paraId="636AF7DC">
      <w:pPr>
        <w:pStyle w:val="14"/>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4.响应人在投标活动中提供任何虚假材料,其投标无效，并报监管部门查处；中标后发现的,成交人须依照《中华人民共和国消费者权益保护法》规定双倍赔偿采购人，且民事赔偿并不免除违法响应人的行政与刑事责任。</w:t>
      </w:r>
    </w:p>
    <w:p w14:paraId="45E4E28B">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（八）答疑与澄清</w:t>
      </w:r>
    </w:p>
    <w:p w14:paraId="0B1BB608">
      <w:pPr>
        <w:pStyle w:val="14"/>
        <w:snapToGrid w:val="0"/>
        <w:spacing w:line="360" w:lineRule="exact"/>
        <w:ind w:firstLine="420" w:firstLineChars="200"/>
        <w:outlineLvl w:val="1"/>
        <w:rPr>
          <w:rFonts w:hAnsi="宋体" w:eastAsia="宋体" w:cs="宋体"/>
          <w:bCs/>
          <w:kern w:val="0"/>
          <w:sz w:val="21"/>
          <w:szCs w:val="21"/>
        </w:rPr>
      </w:pPr>
      <w:bookmarkStart w:id="7" w:name="_Hlk42953507"/>
      <w:r>
        <w:rPr>
          <w:rFonts w:hint="eastAsia" w:hAnsi="宋体" w:eastAsia="宋体" w:cs="宋体"/>
          <w:bCs/>
          <w:kern w:val="0"/>
          <w:sz w:val="21"/>
          <w:szCs w:val="21"/>
        </w:rPr>
        <w:t>供应商若对采购文件有任何疑问，要求澄清或认为有必要与招标采购单位进行技术交流时，应于其在知道或者应知其权益受到损害之日起7个工作日内，通过书面向招标采购单位提问。</w:t>
      </w:r>
      <w:bookmarkEnd w:id="7"/>
    </w:p>
    <w:p w14:paraId="0556B3A3">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1、根据《中华人民共和国政府采购法实施条例》第五十三条：政府采购法第五十二条规定的供应商应知其权益受到损害之日，是指：</w:t>
      </w:r>
    </w:p>
    <w:p w14:paraId="0FB8F39F">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①对可以质疑的采购文件提出质疑的，为收到采购文件之日或者采购文件公告期限届满之日；</w:t>
      </w:r>
    </w:p>
    <w:p w14:paraId="5208ABBC">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②对采购过程提出质疑的，为各采购程序环节结束之日；</w:t>
      </w:r>
    </w:p>
    <w:p w14:paraId="533C07C2">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③对中标或者成交结果提出质疑的，为中标或者成交结果公告期限届满之日。采购结果公告期限为1个工作日。</w:t>
      </w:r>
    </w:p>
    <w:p w14:paraId="53504AB8">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2、质疑书应包括下列主要内容：</w:t>
      </w:r>
    </w:p>
    <w:p w14:paraId="3EE8CABD">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①质疑人的名称、地址、邮政编码、联系人、联系电话，以及被质疑人名称及联系方式；</w:t>
      </w:r>
    </w:p>
    <w:p w14:paraId="2483AD93">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②被质疑采购项目名称、编号及采购内容；</w:t>
      </w:r>
    </w:p>
    <w:p w14:paraId="68F2F019">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③具体的质疑事项及事实依据；</w:t>
      </w:r>
    </w:p>
    <w:p w14:paraId="1A55DD3F">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④认为自己合法权益受到损害或可能受到损害的相关证据材料；</w:t>
      </w:r>
    </w:p>
    <w:p w14:paraId="151D5C18">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⑤提出质疑的日期。</w:t>
      </w:r>
    </w:p>
    <w:p w14:paraId="74AAD8FD">
      <w:pPr>
        <w:pStyle w:val="14"/>
        <w:numPr>
          <w:ilvl w:val="0"/>
          <w:numId w:val="3"/>
        </w:numPr>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采购人、采购代理机构不得拒收质疑供应商在法定质疑期内发出的质疑函，应当在收到质疑函后7个工作日内作出答复，并以书面形式通知质疑供应商和其他有关供应商。</w:t>
      </w:r>
    </w:p>
    <w:p w14:paraId="7008613D">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供应商提出的询问或者质疑超出采购人对采购代理机构委托授权范围的，采购代理机构应当告知供应商向采购人提出。</w:t>
      </w:r>
    </w:p>
    <w:p w14:paraId="04093BFD">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供应商对评审过程、中标或者成交结果提出质疑的，采购人、采购代理机构可以组织原评标委员会、竞争性谈判小组、询价小组或者竞争性磋商小组协助答复质疑。</w:t>
      </w:r>
    </w:p>
    <w:p w14:paraId="21AC99E0">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2E8A9130">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618B1BE0">
      <w:pPr>
        <w:pStyle w:val="14"/>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6、采购人或者采购代理机构对已发出的采购文件进行必要的澄清或者修改的，应当在原公告发布媒体上发布澄清公告，澄清或者修改的内容为采购文件的组成部分。</w:t>
      </w:r>
    </w:p>
    <w:p w14:paraId="37FAFBCC">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（九）信用相关</w:t>
      </w:r>
    </w:p>
    <w:p w14:paraId="395E609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1、信用信息查询的截止时点：投标截止时间前查询；</w:t>
      </w:r>
    </w:p>
    <w:p w14:paraId="25B9602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2、查询渠道：</w:t>
      </w:r>
    </w:p>
    <w:p w14:paraId="0A814BCC">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信用中国（www.creditchina.gov.cn）；</w:t>
      </w:r>
    </w:p>
    <w:p w14:paraId="5BF16562">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中国政府采购网（www.ccgp.gov.cn）；</w:t>
      </w:r>
    </w:p>
    <w:p w14:paraId="15176126">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3、信用信息查询记录和证据留存具体方式：采购代理机构经办人和监督人员将查询网页打印与其他竞争性磋商文件一并保存。</w:t>
      </w:r>
    </w:p>
    <w:p w14:paraId="695F65C9">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4、信用信息的使用规则：响应人存在不良信用记录的，其投标将被作为无效投标被拒绝。</w:t>
      </w:r>
    </w:p>
    <w:p w14:paraId="1617C6C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14:paraId="6ECBE050">
      <w:pPr>
        <w:pStyle w:val="14"/>
        <w:adjustRightInd w:val="0"/>
        <w:snapToGrid w:val="0"/>
        <w:spacing w:before="60" w:after="20"/>
        <w:ind w:firstLine="422" w:firstLineChars="200"/>
        <w:rPr>
          <w:rFonts w:hAnsi="宋体" w:eastAsia="宋体" w:cs="宋体"/>
          <w:b/>
          <w:sz w:val="21"/>
          <w:szCs w:val="21"/>
          <w:highlight w:val="none"/>
        </w:rPr>
      </w:pPr>
      <w:r>
        <w:rPr>
          <w:rFonts w:hint="eastAsia" w:hAnsi="宋体" w:eastAsia="宋体" w:cs="宋体"/>
          <w:b/>
          <w:sz w:val="21"/>
          <w:szCs w:val="21"/>
          <w:highlight w:val="none"/>
        </w:rPr>
        <w:t>（十）小、微企业（含监狱企业、残疾人福利性单位）扶持政策说明</w:t>
      </w:r>
    </w:p>
    <w:p w14:paraId="62409799">
      <w:pPr>
        <w:pStyle w:val="14"/>
        <w:snapToGrid w:val="0"/>
        <w:spacing w:line="360" w:lineRule="exact"/>
        <w:ind w:firstLine="415" w:firstLineChars="198"/>
        <w:rPr>
          <w:rFonts w:hAnsi="宋体" w:eastAsia="宋体" w:cs="宋体"/>
          <w:sz w:val="21"/>
          <w:szCs w:val="21"/>
        </w:rPr>
      </w:pPr>
      <w:r>
        <w:rPr>
          <w:rFonts w:hint="eastAsia" w:hAnsi="宋体" w:eastAsia="宋体"/>
          <w:sz w:val="21"/>
          <w:szCs w:val="21"/>
        </w:rPr>
        <w:t>1、文件依据</w:t>
      </w:r>
    </w:p>
    <w:p w14:paraId="0E2689EC">
      <w:pPr>
        <w:spacing w:line="360" w:lineRule="exact"/>
        <w:ind w:firstLine="525" w:firstLineChars="250"/>
        <w:jc w:val="left"/>
        <w:rPr>
          <w:rFonts w:ascii="宋体" w:hAnsi="宋体"/>
          <w:szCs w:val="21"/>
        </w:rPr>
      </w:pPr>
      <w:r>
        <w:rPr>
          <w:rFonts w:hint="eastAsia" w:ascii="宋体" w:hAnsi="宋体"/>
          <w:szCs w:val="21"/>
        </w:rPr>
        <w:t>1.1关于印发《政府采购促进中小企业发展管理办法》的通知财库[2020]46号</w:t>
      </w:r>
    </w:p>
    <w:p w14:paraId="3D7DE671">
      <w:pPr>
        <w:spacing w:line="360" w:lineRule="exact"/>
        <w:ind w:firstLine="525" w:firstLineChars="250"/>
        <w:jc w:val="left"/>
        <w:rPr>
          <w:rFonts w:ascii="宋体" w:hAnsi="宋体"/>
          <w:szCs w:val="21"/>
        </w:rPr>
      </w:pPr>
      <w:r>
        <w:rPr>
          <w:rFonts w:hint="eastAsia" w:ascii="宋体" w:hAnsi="宋体"/>
          <w:szCs w:val="21"/>
        </w:rPr>
        <w:t>1.2浙江省省财政厅《关于开展政府采购供应商网上注册登记和诚信管理工作的通知》（浙财采监〔2010〕8号)</w:t>
      </w:r>
    </w:p>
    <w:p w14:paraId="6EA21346">
      <w:pPr>
        <w:spacing w:line="360" w:lineRule="exact"/>
        <w:ind w:firstLine="525" w:firstLineChars="250"/>
        <w:jc w:val="left"/>
        <w:rPr>
          <w:rFonts w:ascii="宋体" w:hAnsi="宋体"/>
          <w:szCs w:val="21"/>
        </w:rPr>
      </w:pPr>
      <w:r>
        <w:rPr>
          <w:rFonts w:hint="eastAsia" w:ascii="宋体" w:hAnsi="宋体"/>
          <w:szCs w:val="21"/>
        </w:rPr>
        <w:t>1.3《工业和信息化部、国家统计局、国家发展和改革委员会、财政部关于印发中小企业划型标准规定的通知》（工信部联企业[2011]300号）</w:t>
      </w:r>
    </w:p>
    <w:p w14:paraId="78A53CC7">
      <w:pPr>
        <w:spacing w:line="360" w:lineRule="exact"/>
        <w:ind w:firstLine="525" w:firstLineChars="250"/>
        <w:jc w:val="left"/>
        <w:rPr>
          <w:rFonts w:ascii="宋体" w:hAnsi="宋体"/>
          <w:szCs w:val="21"/>
        </w:rPr>
      </w:pPr>
      <w:r>
        <w:rPr>
          <w:rFonts w:hint="eastAsia" w:ascii="宋体" w:hAnsi="宋体"/>
          <w:szCs w:val="21"/>
        </w:rPr>
        <w:t>1.4财政部、司法部《关于政府采购支持监狱企业发展有关问题的通知》（财库〔2014〕68号）</w:t>
      </w:r>
    </w:p>
    <w:p w14:paraId="03E01A8E">
      <w:pPr>
        <w:spacing w:line="360" w:lineRule="exact"/>
        <w:ind w:firstLine="525" w:firstLineChars="250"/>
        <w:rPr>
          <w:rFonts w:ascii="宋体" w:hAnsi="宋体" w:cs="宋体"/>
          <w:szCs w:val="21"/>
        </w:rPr>
      </w:pPr>
      <w:r>
        <w:rPr>
          <w:rFonts w:hint="eastAsia" w:ascii="宋体" w:hAnsi="宋体"/>
          <w:szCs w:val="21"/>
        </w:rPr>
        <w:t>1.5</w:t>
      </w:r>
      <w:r>
        <w:rPr>
          <w:rFonts w:hint="eastAsia" w:ascii="宋体" w:hAnsi="宋体" w:cs="宋体"/>
          <w:szCs w:val="21"/>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2113C16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1.6《浙江省财政厅关于进一步发挥政府采购政策功能全力推动经济稳进提质的通知》（浙财采监[2022]3号）。</w:t>
      </w:r>
    </w:p>
    <w:p w14:paraId="5FCAF8C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1.7《关于进一步加大政府采购支持中小企业力度的通知》（财库[2022]19号）。</w:t>
      </w:r>
    </w:p>
    <w:p w14:paraId="28467D7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1.8《浙江省财政厅关于进一步加大政府采购支持中小企业力度助力扎实稳住经济的通知》（浙财采监[2022]8号）。</w:t>
      </w:r>
    </w:p>
    <w:p w14:paraId="23C266AB">
      <w:pPr>
        <w:spacing w:line="360" w:lineRule="exact"/>
        <w:ind w:firstLine="420" w:firstLineChars="200"/>
        <w:jc w:val="left"/>
        <w:rPr>
          <w:rFonts w:ascii="宋体" w:hAnsi="宋体"/>
          <w:szCs w:val="21"/>
        </w:rPr>
      </w:pPr>
      <w:r>
        <w:rPr>
          <w:rFonts w:hint="eastAsia" w:ascii="宋体" w:hAnsi="宋体"/>
          <w:szCs w:val="21"/>
        </w:rPr>
        <w:t>2、享受小微企业价格折扣应具备的条件与价格折扣比例</w:t>
      </w:r>
    </w:p>
    <w:p w14:paraId="2426640A">
      <w:pPr>
        <w:spacing w:line="360" w:lineRule="exact"/>
        <w:ind w:firstLine="420" w:firstLineChars="200"/>
        <w:rPr>
          <w:rFonts w:ascii="宋体" w:hAnsi="宋体"/>
          <w:szCs w:val="21"/>
        </w:rPr>
      </w:pPr>
      <w:r>
        <w:rPr>
          <w:rFonts w:hint="eastAsia" w:ascii="宋体" w:hAnsi="宋体"/>
          <w:szCs w:val="21"/>
        </w:rPr>
        <w:t>2.1符合中小企业划分标准；</w:t>
      </w:r>
    </w:p>
    <w:p w14:paraId="0004ECD5">
      <w:pPr>
        <w:spacing w:line="360" w:lineRule="exact"/>
        <w:ind w:firstLine="420" w:firstLineChars="200"/>
        <w:rPr>
          <w:rFonts w:ascii="宋体" w:hAnsi="宋体"/>
          <w:szCs w:val="21"/>
        </w:rPr>
      </w:pPr>
      <w:r>
        <w:rPr>
          <w:rFonts w:hint="eastAsia" w:ascii="宋体" w:hAnsi="宋体"/>
          <w:szCs w:val="21"/>
        </w:rPr>
        <w:t>2.2提供本企业制造的货物、承担的工程或者服务，或者提供其他中小企业制造的货物。本项所称货物不包括使用大型企业注册商标的货物。</w:t>
      </w:r>
    </w:p>
    <w:p w14:paraId="0020EE9E">
      <w:pPr>
        <w:spacing w:line="360" w:lineRule="exact"/>
        <w:ind w:firstLine="420" w:firstLineChars="200"/>
        <w:rPr>
          <w:rFonts w:ascii="宋体" w:hAnsi="宋体"/>
          <w:szCs w:val="21"/>
        </w:rPr>
      </w:pPr>
      <w:r>
        <w:rPr>
          <w:rFonts w:hint="eastAsia" w:ascii="宋体" w:hAnsi="宋体"/>
          <w:szCs w:val="21"/>
        </w:rPr>
        <w:t>中小企业划分标准，是指国务院有关部门根据企业从业人员、营业收入、资产总额等指标制定的中小企业划型标准。</w:t>
      </w:r>
    </w:p>
    <w:p w14:paraId="3DF63BAA">
      <w:pPr>
        <w:spacing w:line="360" w:lineRule="exact"/>
        <w:ind w:firstLine="420" w:firstLineChars="200"/>
        <w:rPr>
          <w:rFonts w:ascii="宋体" w:hAnsi="宋体"/>
          <w:szCs w:val="21"/>
        </w:rPr>
      </w:pPr>
      <w:r>
        <w:rPr>
          <w:rFonts w:hint="eastAsia" w:ascii="宋体" w:hAnsi="宋体"/>
          <w:szCs w:val="21"/>
        </w:rPr>
        <w:t>小型、微型企业提供中型企业制造的货物的，视同为中型企业。</w:t>
      </w:r>
    </w:p>
    <w:p w14:paraId="638C3982">
      <w:pPr>
        <w:spacing w:line="360" w:lineRule="exact"/>
        <w:ind w:firstLine="420" w:firstLineChars="200"/>
        <w:rPr>
          <w:rFonts w:ascii="宋体" w:hAnsi="宋体"/>
          <w:szCs w:val="21"/>
        </w:rPr>
      </w:pPr>
      <w:r>
        <w:rPr>
          <w:rFonts w:hint="eastAsia" w:ascii="宋体" w:hAnsi="宋体"/>
          <w:szCs w:val="21"/>
        </w:rPr>
        <w:t>2.3价格折扣比例</w:t>
      </w:r>
    </w:p>
    <w:p w14:paraId="743FE514">
      <w:pPr>
        <w:spacing w:line="360" w:lineRule="exact"/>
        <w:ind w:firstLine="420" w:firstLineChars="200"/>
        <w:jc w:val="left"/>
        <w:rPr>
          <w:rFonts w:hint="eastAsia" w:ascii="宋体" w:hAnsi="宋体" w:cs="宋体"/>
          <w:bCs/>
          <w:szCs w:val="21"/>
          <w:highlight w:val="none"/>
        </w:rPr>
      </w:pPr>
      <w:r>
        <w:rPr>
          <w:rFonts w:hint="eastAsia" w:ascii="宋体" w:hAnsi="宋体"/>
          <w:szCs w:val="21"/>
          <w:highlight w:val="none"/>
        </w:rPr>
        <w:t>（1）</w:t>
      </w:r>
      <w:r>
        <w:rPr>
          <w:rFonts w:hint="eastAsia" w:ascii="宋体" w:hAnsi="宋体" w:cs="宋体"/>
          <w:bCs/>
          <w:szCs w:val="21"/>
          <w:highlight w:val="none"/>
        </w:rPr>
        <w:t>根据财库[2020]46号及财库[2022]19号的相关规定，在评审时对小型和微型企业的投标报价给予</w:t>
      </w:r>
      <w:r>
        <w:rPr>
          <w:rFonts w:hint="eastAsia" w:ascii="宋体" w:hAnsi="宋体" w:cs="宋体"/>
          <w:bCs/>
          <w:color w:val="FF0000"/>
          <w:szCs w:val="21"/>
          <w:highlight w:val="none"/>
        </w:rPr>
        <w:t>10%</w:t>
      </w:r>
      <w:r>
        <w:rPr>
          <w:rFonts w:hint="eastAsia" w:ascii="宋体" w:hAnsi="宋体" w:cs="宋体"/>
          <w:bCs/>
          <w:szCs w:val="21"/>
          <w:highlight w:val="none"/>
        </w:rPr>
        <w:t>的扣除，用取扣除后的价格参与评审（仅参与为价格分计算）。属于小型和微型企业的，投标文件中响应人必须提供的《中小企业声明函》。</w:t>
      </w:r>
    </w:p>
    <w:p w14:paraId="2A9DE9D4">
      <w:pPr>
        <w:spacing w:line="360" w:lineRule="exact"/>
        <w:ind w:firstLine="420" w:firstLineChars="200"/>
        <w:jc w:val="left"/>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2C14BB9">
      <w:pPr>
        <w:spacing w:line="360" w:lineRule="exact"/>
        <w:ind w:firstLine="420" w:firstLineChars="200"/>
        <w:jc w:val="left"/>
        <w:rPr>
          <w:rFonts w:ascii="宋体" w:hAnsi="宋体"/>
          <w:szCs w:val="21"/>
        </w:rPr>
      </w:pPr>
      <w:r>
        <w:rPr>
          <w:rFonts w:hint="eastAsia" w:ascii="宋体" w:hAnsi="宋体"/>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22D43F2">
      <w:pPr>
        <w:spacing w:line="360" w:lineRule="exact"/>
        <w:ind w:firstLine="420" w:firstLineChars="200"/>
        <w:jc w:val="left"/>
        <w:rPr>
          <w:rFonts w:ascii="宋体" w:hAnsi="宋体"/>
          <w:szCs w:val="21"/>
        </w:rPr>
      </w:pPr>
      <w:r>
        <w:rPr>
          <w:rFonts w:hint="eastAsia" w:ascii="宋体" w:hAnsi="宋体"/>
          <w:szCs w:val="21"/>
        </w:rPr>
        <w:t>3、投标时享受小微企业价格折扣应提供以下证明材料：</w:t>
      </w:r>
    </w:p>
    <w:p w14:paraId="4C2B2ACD">
      <w:pPr>
        <w:snapToGrid w:val="0"/>
        <w:spacing w:line="360" w:lineRule="exact"/>
        <w:ind w:firstLine="420" w:firstLineChars="200"/>
        <w:jc w:val="left"/>
        <w:outlineLvl w:val="1"/>
        <w:rPr>
          <w:rFonts w:ascii="宋体" w:hAnsi="宋体" w:cs="宋体"/>
          <w:bCs/>
          <w:szCs w:val="21"/>
        </w:rPr>
      </w:pPr>
      <w:r>
        <w:rPr>
          <w:rFonts w:hint="eastAsia" w:ascii="宋体" w:hAnsi="宋体"/>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加盖公章）。</w:t>
      </w:r>
    </w:p>
    <w:p w14:paraId="0CF6EE1E">
      <w:pPr>
        <w:pStyle w:val="14"/>
        <w:adjustRightInd w:val="0"/>
        <w:snapToGrid w:val="0"/>
        <w:spacing w:before="60" w:after="20"/>
        <w:ind w:firstLine="422" w:firstLineChars="200"/>
        <w:rPr>
          <w:rFonts w:hAnsi="宋体" w:eastAsia="宋体" w:cs="宋体"/>
          <w:b/>
          <w:sz w:val="21"/>
          <w:szCs w:val="21"/>
          <w:highlight w:val="none"/>
        </w:rPr>
      </w:pPr>
      <w:bookmarkStart w:id="8" w:name="_Hlk56696288"/>
      <w:r>
        <w:rPr>
          <w:rFonts w:hint="eastAsia" w:hAnsi="宋体" w:eastAsia="宋体" w:cs="宋体"/>
          <w:b/>
          <w:sz w:val="21"/>
          <w:szCs w:val="21"/>
          <w:highlight w:val="none"/>
        </w:rPr>
        <w:t>（十一）节能、环保政策</w:t>
      </w:r>
    </w:p>
    <w:p w14:paraId="2F18A337">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1、文件依据</w:t>
      </w:r>
    </w:p>
    <w:p w14:paraId="2CB9EE91">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1.1财政部国家发展改革委关于印发《节能产品政府采购实施意见》的通知（财库〔2004〕185号）</w:t>
      </w:r>
    </w:p>
    <w:p w14:paraId="36BC4609">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1.2关于环境标志产品政府采购实施的意见（财库〔2006〕90号)</w:t>
      </w:r>
    </w:p>
    <w:p w14:paraId="3B6B5863">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1.3国务院办公厅关于建立政府强制采购节能产品制度的通知（国办发〔2007〕51号）</w:t>
      </w:r>
    </w:p>
    <w:p w14:paraId="0C084AB4">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1.4财政部发展改革委生态环境部市场监管总局关于调整优化节能产品、环境标志产品政府采购执行机制的通知（财库〔2019〕9号）</w:t>
      </w:r>
    </w:p>
    <w:p w14:paraId="15B5F73F">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1.5关于印发环境标志产品政府采购品目清单的通知财库〔2019〕18号</w:t>
      </w:r>
    </w:p>
    <w:p w14:paraId="7733BE73">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1.6关于印发节能产品政府采购品目清单的通知（财库〔2019〕19号）</w:t>
      </w:r>
    </w:p>
    <w:p w14:paraId="62E339B7">
      <w:pPr>
        <w:snapToGrid w:val="0"/>
        <w:spacing w:line="360" w:lineRule="exact"/>
        <w:ind w:firstLine="420" w:firstLineChars="200"/>
        <w:jc w:val="left"/>
        <w:outlineLvl w:val="1"/>
        <w:rPr>
          <w:highlight w:val="none"/>
        </w:rPr>
      </w:pPr>
      <w:r>
        <w:rPr>
          <w:rFonts w:hint="eastAsia" w:ascii="宋体" w:hAnsi="宋体" w:cs="宋体"/>
          <w:bCs/>
          <w:szCs w:val="21"/>
          <w:highlight w:val="none"/>
        </w:rPr>
        <w:t>1.7市场监管总局关于发布参与实施政府采购节能产品、环境标志产品认证机构名录的公告（2019年第16号）</w:t>
      </w:r>
    </w:p>
    <w:p w14:paraId="6A26DC12">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2、享受节能、环保政策优惠应具备的条件和优惠</w:t>
      </w:r>
    </w:p>
    <w:p w14:paraId="2D93CC9A">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2.1产品在节能、环境标志品目清单范围内；</w:t>
      </w:r>
    </w:p>
    <w:p w14:paraId="1559D139">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2.2提供国家确定的认证机构出具的、处于有效期之内的节能产品、环境标志产品认证证书，或提供中国政府采购网节能、环境标志产品查询截图。</w:t>
      </w:r>
    </w:p>
    <w:p w14:paraId="0E95AD65">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2.3优惠</w:t>
      </w:r>
    </w:p>
    <w:p w14:paraId="797A3745">
      <w:pPr>
        <w:snapToGrid w:val="0"/>
        <w:spacing w:line="360" w:lineRule="exact"/>
        <w:ind w:firstLine="422" w:firstLineChars="200"/>
        <w:jc w:val="left"/>
        <w:outlineLvl w:val="1"/>
        <w:rPr>
          <w:rFonts w:ascii="宋体" w:hAnsi="宋体" w:cs="宋体"/>
          <w:b/>
          <w:bCs/>
          <w:szCs w:val="21"/>
        </w:rPr>
      </w:pPr>
      <w:r>
        <w:rPr>
          <w:rFonts w:hint="eastAsia" w:ascii="宋体" w:hAnsi="宋体" w:cs="宋体"/>
          <w:b/>
          <w:bCs/>
          <w:szCs w:val="21"/>
        </w:rPr>
        <w:t>本项目不适用。</w:t>
      </w:r>
    </w:p>
    <w:p w14:paraId="2CD73121">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3、投标时享受节能、环境标志产品优惠应提供以下证明材料：</w:t>
      </w:r>
    </w:p>
    <w:p w14:paraId="5E1E14BF">
      <w:pPr>
        <w:snapToGrid w:val="0"/>
        <w:spacing w:line="360" w:lineRule="exact"/>
        <w:ind w:firstLine="420" w:firstLineChars="200"/>
        <w:jc w:val="left"/>
        <w:outlineLvl w:val="1"/>
        <w:rPr>
          <w:rFonts w:hAnsi="宋体" w:cs="宋体"/>
          <w:bCs/>
          <w:szCs w:val="21"/>
        </w:rPr>
      </w:pPr>
      <w:r>
        <w:rPr>
          <w:rFonts w:hint="eastAsia" w:ascii="宋体" w:hAnsi="宋体" w:cs="宋体"/>
          <w:bCs/>
          <w:szCs w:val="21"/>
        </w:rPr>
        <w:t>国家确定的认证机构出具的、处于有效期之内的节能产品或环境标志产品认证证书，或提供中国政府采购网节能、环境标志产品查询截图。</w:t>
      </w:r>
    </w:p>
    <w:p w14:paraId="6C0CCA9F">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（十二）</w:t>
      </w:r>
      <w:bookmarkEnd w:id="8"/>
      <w:r>
        <w:rPr>
          <w:rFonts w:hint="eastAsia" w:hAnsi="宋体" w:eastAsia="宋体" w:cs="宋体"/>
          <w:b/>
          <w:sz w:val="21"/>
          <w:szCs w:val="21"/>
        </w:rPr>
        <w:t>信贷政策</w:t>
      </w:r>
    </w:p>
    <w:tbl>
      <w:tblPr>
        <w:tblStyle w:val="2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560"/>
        <w:gridCol w:w="1432"/>
        <w:gridCol w:w="2278"/>
      </w:tblGrid>
      <w:tr w14:paraId="2E72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4"/>
          </w:tcPr>
          <w:p w14:paraId="1CED567E">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6AB8DC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舟山市政府采购信用融资合作银行</w:t>
            </w:r>
          </w:p>
        </w:tc>
      </w:tr>
      <w:tr w14:paraId="32A6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00" w:type="dxa"/>
            <w:vAlign w:val="center"/>
          </w:tcPr>
          <w:p w14:paraId="4882CB4A">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银行名称</w:t>
            </w:r>
          </w:p>
        </w:tc>
        <w:tc>
          <w:tcPr>
            <w:tcW w:w="3560" w:type="dxa"/>
            <w:vAlign w:val="center"/>
          </w:tcPr>
          <w:p w14:paraId="173162D3">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各银行介绍的产品特点</w:t>
            </w:r>
          </w:p>
        </w:tc>
        <w:tc>
          <w:tcPr>
            <w:tcW w:w="1432" w:type="dxa"/>
            <w:vAlign w:val="center"/>
          </w:tcPr>
          <w:p w14:paraId="5C2CD8C5">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经办人</w:t>
            </w:r>
          </w:p>
        </w:tc>
        <w:tc>
          <w:tcPr>
            <w:tcW w:w="2278" w:type="dxa"/>
            <w:vAlign w:val="center"/>
          </w:tcPr>
          <w:p w14:paraId="66CFA7D9">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联系方式</w:t>
            </w:r>
          </w:p>
        </w:tc>
      </w:tr>
      <w:tr w14:paraId="354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2886971">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中国工商银行股份有限公司舟山分行</w:t>
            </w:r>
          </w:p>
        </w:tc>
        <w:tc>
          <w:tcPr>
            <w:tcW w:w="3560" w:type="dxa"/>
          </w:tcPr>
          <w:p w14:paraId="39FF92D9">
            <w:pPr>
              <w:numPr>
                <w:ilvl w:val="0"/>
                <w:numId w:val="4"/>
              </w:numPr>
              <w:spacing w:line="300" w:lineRule="exact"/>
              <w:contextualSpacing/>
              <w:rPr>
                <w:rFonts w:ascii="宋体" w:hAnsi="宋体" w:cs="仿宋_GB2312"/>
                <w:szCs w:val="21"/>
              </w:rPr>
            </w:pPr>
            <w:r>
              <w:rPr>
                <w:rFonts w:hint="eastAsia" w:ascii="宋体" w:hAnsi="宋体" w:cs="仿宋_GB2312"/>
                <w:szCs w:val="21"/>
              </w:rPr>
              <w:t>融资额度高，融资金额最高可至订单金额70%，线上申请，随借随还。</w:t>
            </w:r>
          </w:p>
          <w:p w14:paraId="471C416F">
            <w:pPr>
              <w:spacing w:line="300" w:lineRule="exact"/>
              <w:contextualSpacing/>
              <w:rPr>
                <w:rFonts w:ascii="宋体" w:hAnsi="宋体" w:cs="仿宋_GB2312"/>
                <w:szCs w:val="21"/>
              </w:rPr>
            </w:pPr>
            <w:r>
              <w:rPr>
                <w:rFonts w:hint="eastAsia" w:ascii="宋体" w:hAnsi="宋体" w:cs="仿宋_GB2312"/>
                <w:szCs w:val="21"/>
              </w:rPr>
              <w:t>2.融资利率低，最低可至当期LPR利率。</w:t>
            </w:r>
          </w:p>
          <w:p w14:paraId="7AD503B4">
            <w:pPr>
              <w:spacing w:line="300" w:lineRule="exact"/>
              <w:contextualSpacing/>
              <w:rPr>
                <w:rFonts w:hint="eastAsia" w:ascii="宋体" w:hAnsi="宋体" w:eastAsia="宋体" w:cs="宋体"/>
                <w:color w:val="000000"/>
                <w:sz w:val="21"/>
                <w:szCs w:val="21"/>
              </w:rPr>
            </w:pPr>
            <w:r>
              <w:rPr>
                <w:rFonts w:hint="eastAsia" w:ascii="宋体" w:hAnsi="宋体" w:cs="仿宋_GB2312"/>
                <w:szCs w:val="21"/>
              </w:rPr>
              <w:t>3.担保方式灵活，以政府采购合同进行融资，无需另外抵押。</w:t>
            </w:r>
          </w:p>
        </w:tc>
        <w:tc>
          <w:tcPr>
            <w:tcW w:w="1432" w:type="dxa"/>
            <w:vAlign w:val="center"/>
          </w:tcPr>
          <w:p w14:paraId="5B04010E">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柳超颖</w:t>
            </w:r>
          </w:p>
        </w:tc>
        <w:tc>
          <w:tcPr>
            <w:tcW w:w="2278" w:type="dxa"/>
            <w:vAlign w:val="center"/>
          </w:tcPr>
          <w:p w14:paraId="5576F0E7">
            <w:pPr>
              <w:spacing w:line="400" w:lineRule="exact"/>
              <w:contextualSpacing/>
              <w:rPr>
                <w:rFonts w:hint="eastAsia" w:ascii="宋体" w:hAnsi="宋体" w:eastAsia="宋体" w:cs="宋体"/>
                <w:color w:val="000000"/>
                <w:sz w:val="21"/>
                <w:szCs w:val="21"/>
              </w:rPr>
            </w:pPr>
            <w:r>
              <w:rPr>
                <w:rFonts w:hint="eastAsia" w:ascii="宋体" w:hAnsi="宋体"/>
                <w:szCs w:val="21"/>
              </w:rPr>
              <w:t>0580-216624215858076468</w:t>
            </w:r>
          </w:p>
        </w:tc>
      </w:tr>
      <w:tr w14:paraId="6288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0" w:type="dxa"/>
            <w:vAlign w:val="center"/>
          </w:tcPr>
          <w:p w14:paraId="5C6FCAE4">
            <w:pPr>
              <w:spacing w:line="400" w:lineRule="exact"/>
              <w:contextualSpacing/>
              <w:rPr>
                <w:rFonts w:hint="eastAsia" w:ascii="宋体" w:hAnsi="宋体" w:eastAsia="宋体" w:cs="宋体"/>
                <w:color w:val="000000"/>
                <w:sz w:val="21"/>
                <w:szCs w:val="21"/>
              </w:rPr>
            </w:pPr>
            <w:r>
              <w:rPr>
                <w:rFonts w:hint="eastAsia" w:ascii="宋体" w:hAnsi="宋体"/>
                <w:szCs w:val="21"/>
              </w:rPr>
              <w:t>中国建设银行股份有限公司舟山分行</w:t>
            </w:r>
          </w:p>
        </w:tc>
        <w:tc>
          <w:tcPr>
            <w:tcW w:w="3560" w:type="dxa"/>
          </w:tcPr>
          <w:p w14:paraId="5FD5C4EF">
            <w:pPr>
              <w:numPr>
                <w:ilvl w:val="0"/>
                <w:numId w:val="5"/>
              </w:numPr>
              <w:spacing w:line="300" w:lineRule="exact"/>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6593E4C3">
            <w:pPr>
              <w:numPr>
                <w:ilvl w:val="0"/>
                <w:numId w:val="5"/>
              </w:numPr>
              <w:spacing w:line="300" w:lineRule="exact"/>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34799ADB">
            <w:pPr>
              <w:numPr>
                <w:ilvl w:val="0"/>
                <w:numId w:val="5"/>
              </w:numPr>
              <w:spacing w:line="300" w:lineRule="exact"/>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2A4B19A6">
            <w:pPr>
              <w:numPr>
                <w:ilvl w:val="0"/>
                <w:numId w:val="5"/>
              </w:numPr>
              <w:spacing w:line="300" w:lineRule="exact"/>
              <w:contextualSpacing/>
              <w:rPr>
                <w:rFonts w:hint="eastAsia" w:ascii="宋体" w:hAnsi="宋体" w:eastAsia="宋体" w:cs="宋体"/>
                <w:color w:val="000000"/>
                <w:sz w:val="21"/>
                <w:szCs w:val="21"/>
              </w:rPr>
            </w:pPr>
            <w:r>
              <w:rPr>
                <w:rFonts w:hint="eastAsia" w:ascii="宋体" w:hAnsi="宋体"/>
                <w:szCs w:val="21"/>
              </w:rPr>
              <w:t>利率优惠：给予流动资金贷款最优惠利率。</w:t>
            </w:r>
          </w:p>
        </w:tc>
        <w:tc>
          <w:tcPr>
            <w:tcW w:w="1432" w:type="dxa"/>
            <w:vAlign w:val="center"/>
          </w:tcPr>
          <w:p w14:paraId="0B50E133">
            <w:pPr>
              <w:spacing w:line="400" w:lineRule="exact"/>
              <w:contextualSpacing/>
              <w:jc w:val="left"/>
              <w:rPr>
                <w:rFonts w:ascii="宋体" w:hAnsi="宋体"/>
                <w:szCs w:val="21"/>
              </w:rPr>
            </w:pPr>
            <w:r>
              <w:rPr>
                <w:rFonts w:hint="eastAsia" w:ascii="宋体" w:hAnsi="宋体"/>
                <w:szCs w:val="21"/>
              </w:rPr>
              <w:t>普陀片区：蔡妮妮</w:t>
            </w:r>
          </w:p>
          <w:p w14:paraId="03FA7D2E">
            <w:pPr>
              <w:spacing w:line="400" w:lineRule="exact"/>
              <w:contextualSpacing/>
              <w:jc w:val="left"/>
              <w:rPr>
                <w:rFonts w:ascii="宋体" w:hAnsi="宋体"/>
                <w:szCs w:val="21"/>
              </w:rPr>
            </w:pPr>
            <w:r>
              <w:rPr>
                <w:rFonts w:hint="eastAsia" w:ascii="宋体" w:hAnsi="宋体"/>
                <w:szCs w:val="21"/>
              </w:rPr>
              <w:t>定海片区：杨莹</w:t>
            </w:r>
          </w:p>
          <w:p w14:paraId="1B62CC86">
            <w:pPr>
              <w:spacing w:line="400" w:lineRule="exact"/>
              <w:contextualSpacing/>
              <w:jc w:val="left"/>
              <w:rPr>
                <w:rFonts w:hint="eastAsia" w:ascii="宋体" w:hAnsi="宋体" w:eastAsia="宋体" w:cs="宋体"/>
                <w:color w:val="000000"/>
                <w:sz w:val="21"/>
                <w:szCs w:val="21"/>
              </w:rPr>
            </w:pPr>
            <w:r>
              <w:rPr>
                <w:rFonts w:hint="eastAsia" w:ascii="宋体" w:hAnsi="宋体"/>
                <w:szCs w:val="21"/>
              </w:rPr>
              <w:t>自贸区片区：方晓</w:t>
            </w:r>
          </w:p>
        </w:tc>
        <w:tc>
          <w:tcPr>
            <w:tcW w:w="2278" w:type="dxa"/>
            <w:vAlign w:val="center"/>
          </w:tcPr>
          <w:p w14:paraId="33312593">
            <w:pPr>
              <w:spacing w:line="400" w:lineRule="exact"/>
              <w:contextualSpacing/>
              <w:rPr>
                <w:rFonts w:ascii="宋体" w:hAnsi="宋体"/>
                <w:szCs w:val="21"/>
              </w:rPr>
            </w:pPr>
            <w:r>
              <w:rPr>
                <w:rFonts w:hint="eastAsia" w:ascii="宋体" w:hAnsi="宋体"/>
                <w:szCs w:val="21"/>
              </w:rPr>
              <w:t>普陀片区：13957201791</w:t>
            </w:r>
          </w:p>
          <w:p w14:paraId="513BD81E">
            <w:pPr>
              <w:spacing w:line="400" w:lineRule="exact"/>
              <w:contextualSpacing/>
              <w:rPr>
                <w:rFonts w:ascii="宋体" w:hAnsi="宋体"/>
                <w:szCs w:val="21"/>
              </w:rPr>
            </w:pPr>
            <w:r>
              <w:rPr>
                <w:rFonts w:hint="eastAsia" w:ascii="宋体" w:hAnsi="宋体"/>
                <w:szCs w:val="21"/>
              </w:rPr>
              <w:t>定海片区：13655803997</w:t>
            </w:r>
          </w:p>
          <w:p w14:paraId="4037FC80">
            <w:pPr>
              <w:spacing w:line="400" w:lineRule="exact"/>
              <w:contextualSpacing/>
              <w:rPr>
                <w:rFonts w:hint="eastAsia" w:ascii="宋体" w:hAnsi="宋体" w:eastAsia="宋体" w:cs="宋体"/>
                <w:color w:val="000000"/>
                <w:sz w:val="21"/>
                <w:szCs w:val="21"/>
              </w:rPr>
            </w:pPr>
            <w:r>
              <w:rPr>
                <w:rFonts w:hint="eastAsia" w:ascii="宋体" w:hAnsi="宋体"/>
                <w:szCs w:val="21"/>
              </w:rPr>
              <w:t>自贸区片区：13587086324</w:t>
            </w:r>
          </w:p>
        </w:tc>
      </w:tr>
      <w:tr w14:paraId="50E9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0AC4C975">
            <w:pPr>
              <w:spacing w:line="400" w:lineRule="exact"/>
              <w:contextualSpacing/>
              <w:rPr>
                <w:rFonts w:hint="eastAsia" w:ascii="宋体" w:hAnsi="宋体" w:eastAsia="宋体" w:cs="宋体"/>
                <w:color w:val="000000"/>
                <w:kern w:val="0"/>
                <w:sz w:val="21"/>
                <w:szCs w:val="21"/>
              </w:rPr>
            </w:pPr>
            <w:r>
              <w:rPr>
                <w:rFonts w:hint="eastAsia" w:ascii="宋体" w:hAnsi="宋体"/>
                <w:szCs w:val="21"/>
              </w:rPr>
              <w:t>杭州银行股份有限公司舟山市分行</w:t>
            </w:r>
          </w:p>
        </w:tc>
        <w:tc>
          <w:tcPr>
            <w:tcW w:w="3560" w:type="dxa"/>
          </w:tcPr>
          <w:p w14:paraId="5CB317A2">
            <w:pPr>
              <w:spacing w:line="320" w:lineRule="exact"/>
              <w:contextualSpacing/>
              <w:rPr>
                <w:rFonts w:hint="eastAsia" w:ascii="宋体" w:hAnsi="宋体" w:eastAsia="宋体" w:cs="宋体"/>
                <w:color w:val="000000"/>
                <w:sz w:val="21"/>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432" w:type="dxa"/>
            <w:vAlign w:val="center"/>
          </w:tcPr>
          <w:p w14:paraId="7CC7071E">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方经理</w:t>
            </w:r>
          </w:p>
        </w:tc>
        <w:tc>
          <w:tcPr>
            <w:tcW w:w="2278" w:type="dxa"/>
            <w:vAlign w:val="center"/>
          </w:tcPr>
          <w:p w14:paraId="48ED365D">
            <w:pPr>
              <w:spacing w:line="400" w:lineRule="exact"/>
              <w:contextualSpacing/>
              <w:rPr>
                <w:rFonts w:hint="eastAsia" w:ascii="宋体" w:hAnsi="宋体" w:eastAsia="宋体" w:cs="宋体"/>
                <w:color w:val="000000"/>
                <w:sz w:val="21"/>
                <w:szCs w:val="21"/>
              </w:rPr>
            </w:pPr>
            <w:r>
              <w:rPr>
                <w:rFonts w:hint="eastAsia" w:ascii="宋体" w:hAnsi="宋体"/>
                <w:szCs w:val="21"/>
              </w:rPr>
              <w:t>0580-218520118205800451</w:t>
            </w:r>
          </w:p>
        </w:tc>
      </w:tr>
      <w:tr w14:paraId="7678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2FBD430">
            <w:pPr>
              <w:spacing w:line="400" w:lineRule="exact"/>
              <w:contextualSpacing/>
              <w:rPr>
                <w:rFonts w:hint="eastAsia" w:ascii="宋体" w:hAnsi="宋体" w:eastAsia="宋体" w:cs="宋体"/>
                <w:color w:val="000000"/>
                <w:kern w:val="0"/>
                <w:sz w:val="21"/>
                <w:szCs w:val="21"/>
              </w:rPr>
            </w:pPr>
            <w:r>
              <w:rPr>
                <w:rFonts w:hint="eastAsia" w:ascii="宋体" w:hAnsi="宋体"/>
                <w:szCs w:val="21"/>
              </w:rPr>
              <w:t>招商银行股份有限公司浙江自贸试验区舟山分行</w:t>
            </w:r>
          </w:p>
        </w:tc>
        <w:tc>
          <w:tcPr>
            <w:tcW w:w="3560" w:type="dxa"/>
          </w:tcPr>
          <w:p w14:paraId="434694DD">
            <w:pPr>
              <w:spacing w:line="300" w:lineRule="exact"/>
              <w:rPr>
                <w:rFonts w:hint="eastAsia" w:ascii="宋体" w:hAnsi="宋体" w:eastAsia="宋体" w:cs="宋体"/>
                <w:color w:val="000000"/>
                <w:sz w:val="21"/>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432" w:type="dxa"/>
            <w:vAlign w:val="center"/>
          </w:tcPr>
          <w:p w14:paraId="5E73B406">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李玲</w:t>
            </w:r>
          </w:p>
        </w:tc>
        <w:tc>
          <w:tcPr>
            <w:tcW w:w="2278" w:type="dxa"/>
            <w:vAlign w:val="center"/>
          </w:tcPr>
          <w:p w14:paraId="7698D2CB">
            <w:pPr>
              <w:spacing w:line="400" w:lineRule="exact"/>
              <w:contextualSpacing/>
              <w:rPr>
                <w:rFonts w:hint="eastAsia" w:ascii="宋体" w:hAnsi="宋体" w:eastAsia="宋体" w:cs="宋体"/>
                <w:color w:val="000000"/>
                <w:sz w:val="21"/>
                <w:szCs w:val="21"/>
              </w:rPr>
            </w:pPr>
            <w:r>
              <w:rPr>
                <w:rFonts w:hint="eastAsia" w:ascii="宋体" w:hAnsi="宋体"/>
                <w:szCs w:val="21"/>
              </w:rPr>
              <w:t>0580-206171013957227971</w:t>
            </w:r>
          </w:p>
        </w:tc>
      </w:tr>
      <w:tr w14:paraId="3AB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00" w:type="dxa"/>
            <w:vAlign w:val="center"/>
          </w:tcPr>
          <w:p w14:paraId="65695A12">
            <w:pPr>
              <w:spacing w:line="400" w:lineRule="exact"/>
              <w:contextualSpacing/>
              <w:rPr>
                <w:rFonts w:hint="eastAsia" w:ascii="宋体" w:hAnsi="宋体" w:eastAsia="宋体" w:cs="宋体"/>
                <w:color w:val="000000"/>
                <w:kern w:val="0"/>
                <w:sz w:val="21"/>
                <w:szCs w:val="21"/>
              </w:rPr>
            </w:pPr>
            <w:r>
              <w:rPr>
                <w:rFonts w:hint="eastAsia" w:ascii="宋体" w:hAnsi="宋体"/>
                <w:szCs w:val="21"/>
              </w:rPr>
              <w:t>温州银行股份有限公司舟山市分行</w:t>
            </w:r>
          </w:p>
        </w:tc>
        <w:tc>
          <w:tcPr>
            <w:tcW w:w="3560" w:type="dxa"/>
          </w:tcPr>
          <w:p w14:paraId="63BFAEBD">
            <w:pPr>
              <w:numPr>
                <w:ilvl w:val="0"/>
                <w:numId w:val="6"/>
              </w:numPr>
              <w:spacing w:line="300" w:lineRule="exact"/>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1966044D">
            <w:pPr>
              <w:numPr>
                <w:ilvl w:val="0"/>
                <w:numId w:val="6"/>
              </w:numPr>
              <w:spacing w:line="300" w:lineRule="exact"/>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71C55597">
            <w:pPr>
              <w:numPr>
                <w:ilvl w:val="0"/>
                <w:numId w:val="6"/>
              </w:numPr>
              <w:spacing w:line="300" w:lineRule="exact"/>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6139E7C0">
            <w:pPr>
              <w:numPr>
                <w:ilvl w:val="0"/>
                <w:numId w:val="6"/>
              </w:numPr>
              <w:spacing w:line="300" w:lineRule="exact"/>
              <w:contextualSpacing/>
              <w:rPr>
                <w:rFonts w:hint="eastAsia" w:ascii="宋体" w:hAnsi="宋体" w:eastAsia="宋体" w:cs="宋体"/>
                <w:bCs/>
                <w:color w:val="000000"/>
                <w:sz w:val="21"/>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1432" w:type="dxa"/>
            <w:vAlign w:val="center"/>
          </w:tcPr>
          <w:p w14:paraId="530889B8">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郑贤栋</w:t>
            </w:r>
          </w:p>
        </w:tc>
        <w:tc>
          <w:tcPr>
            <w:tcW w:w="2278" w:type="dxa"/>
            <w:vAlign w:val="center"/>
          </w:tcPr>
          <w:p w14:paraId="30DEA435">
            <w:pPr>
              <w:spacing w:line="400" w:lineRule="exact"/>
              <w:contextualSpacing/>
              <w:rPr>
                <w:rFonts w:hint="eastAsia" w:ascii="宋体" w:hAnsi="宋体" w:eastAsia="宋体" w:cs="宋体"/>
                <w:color w:val="000000"/>
                <w:sz w:val="21"/>
                <w:szCs w:val="21"/>
              </w:rPr>
            </w:pPr>
            <w:r>
              <w:rPr>
                <w:rFonts w:hint="eastAsia" w:ascii="宋体" w:hAnsi="宋体"/>
                <w:szCs w:val="21"/>
              </w:rPr>
              <w:t>058—8866086</w:t>
            </w:r>
          </w:p>
        </w:tc>
      </w:tr>
      <w:tr w14:paraId="067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F1DCE82">
            <w:pPr>
              <w:spacing w:line="400" w:lineRule="exact"/>
              <w:contextualSpacing/>
              <w:rPr>
                <w:rFonts w:hint="eastAsia" w:ascii="宋体" w:hAnsi="宋体" w:eastAsia="宋体" w:cs="宋体"/>
                <w:color w:val="000000"/>
                <w:kern w:val="0"/>
                <w:sz w:val="21"/>
                <w:szCs w:val="21"/>
              </w:rPr>
            </w:pPr>
            <w:r>
              <w:rPr>
                <w:rFonts w:hint="eastAsia" w:ascii="宋体" w:hAnsi="宋体"/>
                <w:szCs w:val="21"/>
              </w:rPr>
              <w:t>交通银行股份有限公司舟山分行</w:t>
            </w:r>
          </w:p>
        </w:tc>
        <w:tc>
          <w:tcPr>
            <w:tcW w:w="3560" w:type="dxa"/>
          </w:tcPr>
          <w:p w14:paraId="2BA59AC2">
            <w:pPr>
              <w:spacing w:line="300" w:lineRule="exact"/>
              <w:contextualSpacing/>
              <w:rPr>
                <w:rFonts w:hint="eastAsia" w:ascii="宋体" w:hAnsi="宋体" w:eastAsia="宋体" w:cs="宋体"/>
                <w:color w:val="000000"/>
                <w:sz w:val="21"/>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432" w:type="dxa"/>
            <w:vAlign w:val="center"/>
          </w:tcPr>
          <w:p w14:paraId="67E0C7FF">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赵争艳</w:t>
            </w:r>
          </w:p>
        </w:tc>
        <w:tc>
          <w:tcPr>
            <w:tcW w:w="2278" w:type="dxa"/>
            <w:vAlign w:val="center"/>
          </w:tcPr>
          <w:p w14:paraId="4AA0D588">
            <w:pPr>
              <w:spacing w:line="400" w:lineRule="exact"/>
              <w:contextualSpacing/>
              <w:rPr>
                <w:rFonts w:ascii="宋体" w:hAnsi="宋体"/>
                <w:szCs w:val="21"/>
              </w:rPr>
            </w:pPr>
            <w:r>
              <w:rPr>
                <w:rFonts w:hint="eastAsia" w:ascii="宋体" w:hAnsi="宋体"/>
                <w:szCs w:val="21"/>
              </w:rPr>
              <w:t>0580-2260728</w:t>
            </w:r>
          </w:p>
          <w:p w14:paraId="576D15BF">
            <w:pPr>
              <w:spacing w:line="400" w:lineRule="exact"/>
              <w:contextualSpacing/>
              <w:rPr>
                <w:rFonts w:hint="eastAsia" w:ascii="宋体" w:hAnsi="宋体" w:eastAsia="宋体" w:cs="宋体"/>
                <w:color w:val="000000"/>
                <w:sz w:val="21"/>
                <w:szCs w:val="21"/>
              </w:rPr>
            </w:pPr>
            <w:r>
              <w:rPr>
                <w:rFonts w:hint="eastAsia" w:ascii="宋体" w:hAnsi="宋体"/>
                <w:szCs w:val="21"/>
              </w:rPr>
              <w:t>13758007280</w:t>
            </w:r>
          </w:p>
        </w:tc>
      </w:tr>
      <w:tr w14:paraId="5381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4BD4343B">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中信银行股份有限公司舟山分行</w:t>
            </w:r>
          </w:p>
        </w:tc>
        <w:tc>
          <w:tcPr>
            <w:tcW w:w="3560" w:type="dxa"/>
          </w:tcPr>
          <w:p w14:paraId="00301832">
            <w:pPr>
              <w:spacing w:line="300" w:lineRule="exact"/>
              <w:contextualSpacing/>
              <w:rPr>
                <w:rFonts w:hint="eastAsia" w:ascii="宋体" w:hAnsi="宋体" w:eastAsia="宋体" w:cs="宋体"/>
                <w:bCs/>
                <w:color w:val="000000"/>
                <w:sz w:val="21"/>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432" w:type="dxa"/>
            <w:vAlign w:val="center"/>
          </w:tcPr>
          <w:p w14:paraId="7B617A47">
            <w:pPr>
              <w:spacing w:line="400" w:lineRule="exact"/>
              <w:contextualSpacing/>
              <w:jc w:val="center"/>
              <w:rPr>
                <w:rFonts w:hint="eastAsia" w:ascii="宋体" w:hAnsi="宋体" w:eastAsia="宋体" w:cs="宋体"/>
                <w:color w:val="000000"/>
                <w:sz w:val="21"/>
                <w:szCs w:val="21"/>
              </w:rPr>
            </w:pPr>
            <w:r>
              <w:rPr>
                <w:rFonts w:ascii="宋体" w:hAnsi="宋体"/>
                <w:szCs w:val="21"/>
              </w:rPr>
              <w:t>黄丽</w:t>
            </w:r>
          </w:p>
        </w:tc>
        <w:tc>
          <w:tcPr>
            <w:tcW w:w="2278" w:type="dxa"/>
            <w:vAlign w:val="center"/>
          </w:tcPr>
          <w:p w14:paraId="41E521A1">
            <w:pPr>
              <w:spacing w:line="400" w:lineRule="exact"/>
              <w:contextualSpacing/>
              <w:rPr>
                <w:rFonts w:hint="eastAsia" w:ascii="宋体" w:hAnsi="宋体" w:eastAsia="宋体" w:cs="宋体"/>
                <w:color w:val="000000"/>
                <w:sz w:val="21"/>
                <w:szCs w:val="21"/>
              </w:rPr>
            </w:pPr>
            <w:r>
              <w:rPr>
                <w:rFonts w:ascii="宋体" w:hAnsi="宋体"/>
                <w:szCs w:val="21"/>
              </w:rPr>
              <w:t>13905808032</w:t>
            </w:r>
          </w:p>
        </w:tc>
      </w:tr>
      <w:tr w14:paraId="7E9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60015D72">
            <w:pPr>
              <w:spacing w:line="400" w:lineRule="exact"/>
              <w:contextualSpacing/>
              <w:rPr>
                <w:rFonts w:hint="eastAsia" w:ascii="宋体" w:hAnsi="宋体" w:eastAsia="宋体" w:cs="宋体"/>
                <w:color w:val="000000"/>
                <w:kern w:val="0"/>
                <w:sz w:val="21"/>
                <w:szCs w:val="21"/>
              </w:rPr>
            </w:pPr>
            <w:r>
              <w:rPr>
                <w:rFonts w:hint="eastAsia" w:ascii="宋体" w:hAnsi="宋体"/>
                <w:szCs w:val="21"/>
              </w:rPr>
              <w:t>泰隆银行舟山市分行</w:t>
            </w:r>
          </w:p>
        </w:tc>
        <w:tc>
          <w:tcPr>
            <w:tcW w:w="3560" w:type="dxa"/>
          </w:tcPr>
          <w:p w14:paraId="0852EB29">
            <w:pPr>
              <w:spacing w:line="300" w:lineRule="exact"/>
              <w:contextualSpacing/>
              <w:rPr>
                <w:rFonts w:hint="eastAsia" w:ascii="宋体" w:hAnsi="宋体" w:eastAsia="宋体" w:cs="宋体"/>
                <w:bCs/>
                <w:color w:val="000000"/>
                <w:sz w:val="21"/>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对于合同期限确实超过一年的，可享受无还本续贷至合同付款日。</w:t>
            </w:r>
          </w:p>
        </w:tc>
        <w:tc>
          <w:tcPr>
            <w:tcW w:w="1432" w:type="dxa"/>
            <w:vAlign w:val="center"/>
          </w:tcPr>
          <w:p w14:paraId="204B851E">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胡亢宇</w:t>
            </w:r>
          </w:p>
        </w:tc>
        <w:tc>
          <w:tcPr>
            <w:tcW w:w="2278" w:type="dxa"/>
            <w:vAlign w:val="center"/>
          </w:tcPr>
          <w:p w14:paraId="30BFC2D8">
            <w:pPr>
              <w:spacing w:line="400" w:lineRule="exact"/>
              <w:contextualSpacing/>
              <w:rPr>
                <w:rFonts w:hint="eastAsia" w:ascii="宋体" w:hAnsi="宋体" w:eastAsia="宋体" w:cs="宋体"/>
                <w:color w:val="000000"/>
                <w:sz w:val="21"/>
                <w:szCs w:val="21"/>
              </w:rPr>
            </w:pPr>
            <w:r>
              <w:rPr>
                <w:rFonts w:hint="eastAsia" w:ascii="宋体" w:hAnsi="宋体"/>
                <w:szCs w:val="21"/>
              </w:rPr>
              <w:t>17605868703</w:t>
            </w:r>
          </w:p>
        </w:tc>
      </w:tr>
      <w:tr w14:paraId="548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3D2A8A40">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中国农业银行股份有限公司舟山分行</w:t>
            </w:r>
          </w:p>
        </w:tc>
        <w:tc>
          <w:tcPr>
            <w:tcW w:w="3560" w:type="dxa"/>
          </w:tcPr>
          <w:p w14:paraId="710C5ADB">
            <w:pPr>
              <w:spacing w:line="300" w:lineRule="exact"/>
              <w:contextualSpacing/>
              <w:rPr>
                <w:rFonts w:hint="eastAsia" w:ascii="宋体" w:hAnsi="宋体" w:eastAsia="宋体" w:cs="宋体"/>
                <w:bCs/>
                <w:color w:val="000000"/>
                <w:sz w:val="21"/>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432" w:type="dxa"/>
            <w:vAlign w:val="center"/>
          </w:tcPr>
          <w:p w14:paraId="1EFFE8B2">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苏华瞻</w:t>
            </w:r>
          </w:p>
        </w:tc>
        <w:tc>
          <w:tcPr>
            <w:tcW w:w="2278" w:type="dxa"/>
            <w:vAlign w:val="center"/>
          </w:tcPr>
          <w:p w14:paraId="33152C45">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13967228926</w:t>
            </w:r>
          </w:p>
        </w:tc>
      </w:tr>
      <w:tr w14:paraId="42C9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7D96D68B">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中国邮政储蓄银行股份有限公司舟山市分行</w:t>
            </w:r>
          </w:p>
        </w:tc>
        <w:tc>
          <w:tcPr>
            <w:tcW w:w="3560" w:type="dxa"/>
            <w:vAlign w:val="center"/>
          </w:tcPr>
          <w:p w14:paraId="13FFAE0B">
            <w:pPr>
              <w:tabs>
                <w:tab w:val="left" w:pos="0"/>
              </w:tabs>
              <w:spacing w:line="300" w:lineRule="exact"/>
              <w:rPr>
                <w:rFonts w:hint="eastAsia" w:ascii="宋体" w:hAnsi="宋体" w:eastAsia="宋体" w:cs="宋体"/>
                <w:bCs/>
                <w:color w:val="000000"/>
                <w:sz w:val="21"/>
                <w:szCs w:val="21"/>
              </w:rPr>
            </w:pPr>
            <w:r>
              <w:rPr>
                <w:rFonts w:hint="eastAsia" w:ascii="宋体" w:hAnsi="宋体"/>
                <w:szCs w:val="21"/>
              </w:rPr>
              <w:t>符合我行基本准入，授信额度使用期最高为2年，单户授信最高为500万，担保方式享受信用贷款执行，利率最低可至当期LPR，有无还本续贷，12月份线上产品可以自主自贷。</w:t>
            </w:r>
          </w:p>
        </w:tc>
        <w:tc>
          <w:tcPr>
            <w:tcW w:w="1432" w:type="dxa"/>
            <w:vAlign w:val="center"/>
          </w:tcPr>
          <w:p w14:paraId="43B49264">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蒋志燕</w:t>
            </w:r>
          </w:p>
        </w:tc>
        <w:tc>
          <w:tcPr>
            <w:tcW w:w="2278" w:type="dxa"/>
            <w:vAlign w:val="center"/>
          </w:tcPr>
          <w:p w14:paraId="063595BC">
            <w:pPr>
              <w:spacing w:line="400" w:lineRule="exact"/>
              <w:contextualSpacing/>
              <w:rPr>
                <w:rFonts w:hint="eastAsia" w:ascii="宋体" w:hAnsi="宋体" w:eastAsia="宋体" w:cs="宋体"/>
                <w:color w:val="000000"/>
                <w:sz w:val="21"/>
                <w:szCs w:val="21"/>
              </w:rPr>
            </w:pPr>
            <w:r>
              <w:rPr>
                <w:rFonts w:hint="eastAsia" w:ascii="宋体" w:hAnsi="宋体"/>
                <w:szCs w:val="21"/>
              </w:rPr>
              <w:t>13732527321</w:t>
            </w:r>
          </w:p>
        </w:tc>
      </w:tr>
    </w:tbl>
    <w:p w14:paraId="50935CB7">
      <w:pPr>
        <w:spacing w:line="360" w:lineRule="exact"/>
        <w:rPr>
          <w:rFonts w:hint="eastAsia" w:ascii="宋体" w:hAnsi="宋体"/>
          <w:szCs w:val="21"/>
        </w:rPr>
      </w:pPr>
    </w:p>
    <w:p w14:paraId="666866B1">
      <w:pPr>
        <w:spacing w:line="360" w:lineRule="exact"/>
        <w:ind w:firstLine="555"/>
        <w:rPr>
          <w:rFonts w:ascii="宋体" w:hAnsi="宋体"/>
          <w:szCs w:val="21"/>
        </w:rPr>
      </w:pPr>
      <w:r>
        <w:rPr>
          <w:rFonts w:hint="eastAsia" w:ascii="宋体" w:hAnsi="宋体"/>
          <w:szCs w:val="21"/>
        </w:rPr>
        <w:t>2.一般步骤</w:t>
      </w:r>
    </w:p>
    <w:p w14:paraId="2ECEB7C6">
      <w:pPr>
        <w:spacing w:line="360" w:lineRule="exact"/>
        <w:ind w:firstLine="555"/>
        <w:rPr>
          <w:rFonts w:ascii="宋体" w:hAnsi="宋体"/>
          <w:szCs w:val="21"/>
        </w:rPr>
      </w:pPr>
      <w:r>
        <w:rPr>
          <w:rFonts w:hint="eastAsia" w:ascii="宋体" w:hAnsi="宋体"/>
          <w:szCs w:val="21"/>
        </w:rPr>
        <w:t>（1）供应商先与银行对接，办理融资前期手续；</w:t>
      </w:r>
    </w:p>
    <w:p w14:paraId="7AB3C068">
      <w:pPr>
        <w:spacing w:line="360" w:lineRule="exact"/>
        <w:ind w:firstLine="555"/>
        <w:rPr>
          <w:rFonts w:ascii="宋体" w:hAnsi="宋体"/>
          <w:szCs w:val="21"/>
        </w:rPr>
      </w:pPr>
      <w:r>
        <w:rPr>
          <w:rFonts w:hint="eastAsia" w:ascii="宋体" w:hAnsi="宋体"/>
          <w:szCs w:val="21"/>
        </w:rPr>
        <w:t>（2）供应商中标后，凭中标通知书等材料，向相关合作银行发出融资申请；</w:t>
      </w:r>
    </w:p>
    <w:p w14:paraId="1A549171">
      <w:pPr>
        <w:spacing w:line="360" w:lineRule="exact"/>
        <w:ind w:firstLine="555"/>
        <w:rPr>
          <w:rFonts w:ascii="宋体" w:hAnsi="宋体"/>
          <w:szCs w:val="21"/>
        </w:rPr>
      </w:pPr>
      <w:r>
        <w:rPr>
          <w:rFonts w:hint="eastAsia" w:ascii="宋体" w:hAnsi="宋体"/>
          <w:szCs w:val="21"/>
        </w:rPr>
        <w:t>（3）银行、供应商线上办理审批、放贷事宜。</w:t>
      </w:r>
    </w:p>
    <w:p w14:paraId="745C9F39">
      <w:pPr>
        <w:spacing w:line="360" w:lineRule="exact"/>
        <w:ind w:firstLine="555"/>
        <w:rPr>
          <w:rFonts w:ascii="宋体" w:hAnsi="宋体"/>
          <w:szCs w:val="21"/>
        </w:rPr>
      </w:pPr>
      <w:r>
        <w:rPr>
          <w:rFonts w:hint="eastAsia" w:ascii="宋体" w:hAnsi="宋体"/>
          <w:szCs w:val="21"/>
        </w:rPr>
        <w:t>3.注意事项</w:t>
      </w:r>
    </w:p>
    <w:p w14:paraId="0136ADA2">
      <w:pPr>
        <w:spacing w:line="360" w:lineRule="exact"/>
        <w:ind w:firstLine="555"/>
        <w:rPr>
          <w:rFonts w:ascii="宋体" w:hAnsi="宋体"/>
          <w:szCs w:val="21"/>
        </w:rPr>
      </w:pPr>
      <w:r>
        <w:rPr>
          <w:rFonts w:hint="eastAsia" w:ascii="宋体" w:hAnsi="宋体"/>
          <w:szCs w:val="21"/>
        </w:rPr>
        <w:t>（1）成交供应商需确保政府采购合同的收款账户与融资银行开户账户一致。</w:t>
      </w:r>
    </w:p>
    <w:p w14:paraId="1B7B4935">
      <w:pPr>
        <w:spacing w:line="360" w:lineRule="exact"/>
        <w:ind w:firstLine="555"/>
        <w:rPr>
          <w:rFonts w:ascii="宋体" w:hAnsi="宋体"/>
          <w:szCs w:val="21"/>
        </w:rPr>
      </w:pPr>
      <w:r>
        <w:rPr>
          <w:rFonts w:hint="eastAsia" w:ascii="宋体" w:hAnsi="宋体"/>
          <w:szCs w:val="21"/>
        </w:rPr>
        <w:t>（2）用于政府采购信用融资的政府采购合同，应当包含如下条款：“第条：政府采购合同贷款</w:t>
      </w:r>
    </w:p>
    <w:p w14:paraId="4097225E">
      <w:pPr>
        <w:spacing w:line="360" w:lineRule="exact"/>
        <w:ind w:firstLine="420" w:firstLineChars="200"/>
        <w:rPr>
          <w:rFonts w:ascii="宋体" w:hAnsi="宋体"/>
          <w:szCs w:val="21"/>
        </w:rPr>
      </w:pPr>
      <w:r>
        <w:rPr>
          <w:rFonts w:hint="eastAsia" w:ascii="宋体" w:hAnsi="宋体"/>
          <w:szCs w:val="21"/>
        </w:rPr>
        <w:t>本合同同时用于乙方向银行（金融机构）申请政府采购信用贷款。</w:t>
      </w:r>
    </w:p>
    <w:p w14:paraId="1FAEF379">
      <w:pPr>
        <w:spacing w:line="360" w:lineRule="exact"/>
        <w:ind w:firstLine="420" w:firstLineChars="200"/>
        <w:jc w:val="left"/>
        <w:rPr>
          <w:rFonts w:ascii="宋体" w:hAnsi="宋体"/>
          <w:szCs w:val="21"/>
        </w:rPr>
      </w:pPr>
      <w:r>
        <w:rPr>
          <w:rFonts w:hint="eastAsia" w:ascii="宋体" w:hAnsi="宋体"/>
          <w:szCs w:val="21"/>
        </w:rPr>
        <w:t>本</w:t>
      </w:r>
      <w:r>
        <w:rPr>
          <w:rFonts w:ascii="宋体" w:hAnsi="宋体"/>
          <w:szCs w:val="21"/>
        </w:rPr>
        <w:t>合同一经签订，原则上不得更改</w:t>
      </w:r>
      <w:r>
        <w:rPr>
          <w:rFonts w:hint="eastAsia" w:ascii="宋体" w:hAnsi="宋体"/>
          <w:szCs w:val="21"/>
        </w:rPr>
        <w:t>乙方收</w:t>
      </w:r>
      <w:r>
        <w:rPr>
          <w:rFonts w:ascii="宋体" w:hAnsi="宋体"/>
          <w:szCs w:val="21"/>
        </w:rPr>
        <w:t>款</w:t>
      </w:r>
      <w:r>
        <w:rPr>
          <w:rFonts w:hint="eastAsia" w:ascii="宋体" w:hAnsi="宋体"/>
          <w:szCs w:val="21"/>
        </w:rPr>
        <w:t>账户</w:t>
      </w:r>
      <w:r>
        <w:rPr>
          <w:rFonts w:ascii="宋体" w:hAnsi="宋体"/>
          <w:szCs w:val="21"/>
        </w:rPr>
        <w:t>信息</w:t>
      </w:r>
      <w:r>
        <w:rPr>
          <w:rFonts w:hint="eastAsia" w:ascii="宋体" w:hAnsi="宋体"/>
          <w:szCs w:val="21"/>
        </w:rPr>
        <w:t>。确</w:t>
      </w:r>
      <w:r>
        <w:rPr>
          <w:rFonts w:ascii="宋体" w:hAnsi="宋体"/>
          <w:szCs w:val="21"/>
        </w:rPr>
        <w:t>须更改的，</w:t>
      </w:r>
      <w:r>
        <w:rPr>
          <w:rFonts w:hint="eastAsia" w:ascii="宋体" w:hAnsi="宋体"/>
          <w:szCs w:val="21"/>
        </w:rPr>
        <w:t>乙方应</w:t>
      </w:r>
      <w:r>
        <w:rPr>
          <w:rFonts w:ascii="宋体" w:hAnsi="宋体"/>
          <w:szCs w:val="21"/>
        </w:rPr>
        <w:t>取得</w:t>
      </w:r>
      <w:r>
        <w:rPr>
          <w:rFonts w:hint="eastAsia" w:ascii="宋体" w:hAnsi="宋体"/>
          <w:szCs w:val="21"/>
        </w:rPr>
        <w:t>原</w:t>
      </w:r>
      <w:r>
        <w:rPr>
          <w:rFonts w:ascii="宋体" w:hAnsi="宋体"/>
          <w:szCs w:val="21"/>
        </w:rPr>
        <w:t>合同收款账户开户银行书面同意，</w:t>
      </w:r>
      <w:r>
        <w:rPr>
          <w:rFonts w:hint="eastAsia" w:ascii="宋体" w:hAnsi="宋体"/>
          <w:szCs w:val="21"/>
        </w:rPr>
        <w:t>否则修改后</w:t>
      </w:r>
      <w:r>
        <w:rPr>
          <w:rFonts w:ascii="宋体" w:hAnsi="宋体"/>
          <w:szCs w:val="21"/>
        </w:rPr>
        <w:t>的合同不予</w:t>
      </w:r>
      <w:r>
        <w:rPr>
          <w:rFonts w:hint="eastAsia" w:ascii="宋体" w:hAnsi="宋体"/>
          <w:szCs w:val="21"/>
        </w:rPr>
        <w:t>备案</w:t>
      </w:r>
      <w:r>
        <w:rPr>
          <w:rFonts w:ascii="宋体" w:hAnsi="宋体"/>
          <w:szCs w:val="21"/>
        </w:rPr>
        <w:t>，采购资金不予</w:t>
      </w:r>
      <w:r>
        <w:rPr>
          <w:rFonts w:hint="eastAsia" w:ascii="宋体" w:hAnsi="宋体"/>
          <w:szCs w:val="21"/>
        </w:rPr>
        <w:t>支付。”</w:t>
      </w:r>
    </w:p>
    <w:p w14:paraId="77412A8F">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（十三）</w:t>
      </w:r>
      <w:r>
        <w:rPr>
          <w:rFonts w:hint="eastAsia" w:hAnsi="宋体" w:eastAsia="宋体" w:cs="宋体"/>
          <w:b/>
          <w:sz w:val="21"/>
          <w:szCs w:val="21"/>
          <w:lang w:val="en-US" w:eastAsia="zh-CN"/>
        </w:rPr>
        <w:t>浙江省成套工程有限公司</w:t>
      </w:r>
      <w:r>
        <w:rPr>
          <w:rFonts w:hint="eastAsia" w:hAnsi="宋体" w:eastAsia="宋体" w:cs="宋体"/>
          <w:b/>
          <w:sz w:val="21"/>
          <w:szCs w:val="21"/>
        </w:rPr>
        <w:t>拥有本竞争性磋商文件最终解释权。</w:t>
      </w:r>
    </w:p>
    <w:p w14:paraId="2614849F">
      <w:pPr>
        <w:snapToGrid w:val="0"/>
        <w:spacing w:after="240" w:line="276" w:lineRule="auto"/>
        <w:jc w:val="center"/>
        <w:rPr>
          <w:rFonts w:ascii="宋体" w:hAnsi="宋体" w:cs="宋体"/>
          <w:b/>
          <w:sz w:val="28"/>
          <w:szCs w:val="30"/>
        </w:rPr>
      </w:pPr>
    </w:p>
    <w:p w14:paraId="61EE0F2A">
      <w:pPr>
        <w:snapToGrid w:val="0"/>
        <w:spacing w:after="240" w:line="276" w:lineRule="auto"/>
        <w:jc w:val="center"/>
        <w:rPr>
          <w:rFonts w:ascii="宋体" w:hAnsi="宋体" w:cs="宋体"/>
          <w:b/>
          <w:sz w:val="28"/>
          <w:szCs w:val="30"/>
        </w:rPr>
      </w:pPr>
      <w:r>
        <w:rPr>
          <w:rFonts w:hint="eastAsia" w:ascii="宋体" w:hAnsi="宋体" w:cs="宋体"/>
          <w:b/>
          <w:sz w:val="28"/>
          <w:szCs w:val="30"/>
        </w:rPr>
        <w:t>二、竞争性磋商文件</w:t>
      </w:r>
    </w:p>
    <w:p w14:paraId="0949B243">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（一）竞争性磋商文件的构成</w:t>
      </w:r>
    </w:p>
    <w:p w14:paraId="7C83211F">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第一章竞争性磋商公告</w:t>
      </w:r>
    </w:p>
    <w:p w14:paraId="700D8F6F">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第二章采购需求</w:t>
      </w:r>
    </w:p>
    <w:p w14:paraId="40DC1D09">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第三章响应人须知</w:t>
      </w:r>
    </w:p>
    <w:p w14:paraId="0C9D332C">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第四章评标办法及标准</w:t>
      </w:r>
    </w:p>
    <w:p w14:paraId="142C6F95">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第五章合同主要条款</w:t>
      </w:r>
    </w:p>
    <w:p w14:paraId="70593A61">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第六章响应文件格式</w:t>
      </w:r>
    </w:p>
    <w:p w14:paraId="7348F1A7">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其他有关补充文件</w:t>
      </w:r>
    </w:p>
    <w:p w14:paraId="78335DFD">
      <w:pPr>
        <w:pStyle w:val="14"/>
        <w:adjustRightInd w:val="0"/>
        <w:snapToGrid w:val="0"/>
        <w:spacing w:before="60" w:after="20"/>
        <w:ind w:firstLine="422" w:firstLineChars="200"/>
        <w:rPr>
          <w:rFonts w:hint="eastAsia" w:hAnsi="宋体" w:eastAsia="宋体" w:cs="宋体"/>
          <w:b/>
          <w:sz w:val="21"/>
          <w:szCs w:val="21"/>
          <w:lang w:eastAsia="zh-CN"/>
        </w:rPr>
      </w:pPr>
      <w:r>
        <w:rPr>
          <w:rFonts w:hint="eastAsia" w:hAnsi="宋体" w:eastAsia="宋体" w:cs="宋体"/>
          <w:b/>
          <w:sz w:val="21"/>
          <w:szCs w:val="21"/>
        </w:rPr>
        <w:t>（二）竞争性磋商文件的澄清与修改</w:t>
      </w:r>
    </w:p>
    <w:p w14:paraId="5BD2FA2C">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5天前，在相关的采购信息发布媒体上发布更正公告，请潜在响应人自行关注。</w:t>
      </w:r>
    </w:p>
    <w:p w14:paraId="17545988">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14:paraId="73EFD42A">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竞争性磋商文件的答复、澄清、修改、补充通知实质上改变采购需求相关内容，且自竞争性磋商文件的答复、澄清、修改、补充通知发出之日起至投标截止时间止不足5天的，采购人可视情况推迟投标截止时间和开标时间，按规定在相关的采购信息发布媒体上发布变更公告，请潜在响应人自行关注。</w:t>
      </w:r>
    </w:p>
    <w:p w14:paraId="3A3DC0E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4、竞争性磋商文件澄清、答复、修改、补充的内容为竞争性磋商文件的组成部分。当竞争性磋商文件与竞争性磋商文件的答复、澄清、修改、补充通知就同一内容的表述不一致时，以最后补充文件明确的内容为准。</w:t>
      </w:r>
    </w:p>
    <w:p w14:paraId="140131BD">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5、竞争性磋商文件的澄清、答复、修改或补充都应该通过本采购代理机构以法定形式发布，采购人非通过本采购代理机构的，不得擅自澄清、答复、修改或补充竞争性磋商文件。</w:t>
      </w:r>
    </w:p>
    <w:p w14:paraId="64FCD19A">
      <w:pPr>
        <w:pStyle w:val="14"/>
        <w:snapToGrid w:val="0"/>
        <w:spacing w:line="360" w:lineRule="auto"/>
        <w:ind w:firstLine="415" w:firstLineChars="198"/>
        <w:rPr>
          <w:rFonts w:hAnsi="宋体" w:eastAsia="宋体" w:cs="宋体"/>
          <w:sz w:val="21"/>
          <w:szCs w:val="21"/>
        </w:rPr>
      </w:pPr>
    </w:p>
    <w:p w14:paraId="69082443">
      <w:pPr>
        <w:snapToGrid w:val="0"/>
        <w:spacing w:after="240" w:line="276" w:lineRule="auto"/>
        <w:jc w:val="center"/>
        <w:rPr>
          <w:rFonts w:ascii="宋体" w:hAnsi="宋体" w:cs="宋体"/>
          <w:b/>
          <w:sz w:val="28"/>
          <w:szCs w:val="30"/>
        </w:rPr>
      </w:pPr>
      <w:r>
        <w:rPr>
          <w:rFonts w:hint="eastAsia" w:ascii="宋体" w:hAnsi="宋体" w:cs="宋体"/>
          <w:b/>
          <w:sz w:val="28"/>
          <w:szCs w:val="30"/>
        </w:rPr>
        <w:t>三、响应文件的编制</w:t>
      </w:r>
    </w:p>
    <w:p w14:paraId="234B883A">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（一）响应文件的组成</w:t>
      </w:r>
    </w:p>
    <w:p w14:paraId="02AD0385">
      <w:pPr>
        <w:tabs>
          <w:tab w:val="left" w:pos="0"/>
        </w:tabs>
        <w:spacing w:line="360" w:lineRule="exact"/>
        <w:ind w:firstLine="420" w:firstLineChars="200"/>
        <w:jc w:val="left"/>
        <w:rPr>
          <w:rFonts w:ascii="宋体" w:hAnsi="宋体" w:cs="宋体"/>
          <w:szCs w:val="21"/>
        </w:rPr>
      </w:pPr>
      <w:r>
        <w:rPr>
          <w:rFonts w:hint="eastAsia" w:ascii="宋体" w:hAnsi="宋体" w:cs="宋体"/>
          <w:szCs w:val="21"/>
        </w:rPr>
        <w:t>响应文件由投标报价文件、资格证明文件、商务技术文件三部分组成。电子响应文件中所须加盖公章部分均采用CA签章。（以下响应文件的部分格式详见本竞争性磋商文件第六部分，如本竞争性磋商文件没有提供相应的格式，响应人可自行制表填写）</w:t>
      </w:r>
    </w:p>
    <w:p w14:paraId="79C69D0A">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1、资格证明部份：</w:t>
      </w:r>
    </w:p>
    <w:p w14:paraId="2B47A328">
      <w:pPr>
        <w:tabs>
          <w:tab w:val="left" w:pos="0"/>
        </w:tabs>
        <w:spacing w:line="360" w:lineRule="exact"/>
        <w:ind w:firstLine="420" w:firstLineChars="200"/>
        <w:rPr>
          <w:rFonts w:ascii="宋体" w:hAnsi="宋体" w:cs="宋体"/>
          <w:szCs w:val="21"/>
        </w:rPr>
      </w:pPr>
      <w:r>
        <w:rPr>
          <w:rFonts w:hint="eastAsia" w:ascii="宋体" w:hAnsi="宋体" w:cs="宋体"/>
          <w:szCs w:val="21"/>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5F0F6E78">
      <w:pPr>
        <w:tabs>
          <w:tab w:val="left" w:pos="0"/>
        </w:tabs>
        <w:spacing w:line="360" w:lineRule="exact"/>
        <w:ind w:firstLine="420" w:firstLineChars="200"/>
        <w:rPr>
          <w:rFonts w:ascii="宋体" w:hAnsi="宋体" w:cs="宋体"/>
          <w:szCs w:val="21"/>
        </w:rPr>
      </w:pPr>
      <w:r>
        <w:rPr>
          <w:rFonts w:hint="eastAsia" w:ascii="宋体" w:hAnsi="宋体" w:cs="宋体"/>
          <w:szCs w:val="21"/>
        </w:rPr>
        <w:t>1.2提供营业执照复印件；</w:t>
      </w:r>
    </w:p>
    <w:p w14:paraId="3F42A43F">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响应人未被信用中国（www.creditchina.gov.cn）、中国政府采购网（www.ccgp.gov.cn）列入失信被执行人、重大税收违法案件当事人名单、政府采购严重违法失信行为记录名单，提供网页截图；（具体以开标现场网页查询结果为准。）</w:t>
      </w:r>
    </w:p>
    <w:p w14:paraId="21379949">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法定代表人证明书或法定代表人委托授权书原件；</w:t>
      </w:r>
    </w:p>
    <w:p w14:paraId="475590A2">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本竞争性磋商文件要求提供的和响应人认为需要提供的其它说明和资料/文件。</w:t>
      </w:r>
    </w:p>
    <w:p w14:paraId="53C471B1">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2、商务技术文件：</w:t>
      </w:r>
    </w:p>
    <w:p w14:paraId="6538C87C">
      <w:pPr>
        <w:snapToGrid w:val="0"/>
        <w:spacing w:line="360" w:lineRule="exact"/>
        <w:ind w:firstLine="426" w:firstLineChars="202"/>
        <w:rPr>
          <w:rFonts w:ascii="宋体" w:hAnsi="宋体"/>
          <w:b/>
          <w:bCs/>
          <w:szCs w:val="21"/>
        </w:rPr>
      </w:pPr>
      <w:r>
        <w:rPr>
          <w:rFonts w:hint="eastAsia" w:ascii="宋体" w:hAnsi="宋体"/>
          <w:b/>
          <w:bCs/>
          <w:szCs w:val="21"/>
        </w:rPr>
        <w:t>响应人自评表</w:t>
      </w:r>
    </w:p>
    <w:p w14:paraId="4F14A712">
      <w:pPr>
        <w:tabs>
          <w:tab w:val="left" w:pos="0"/>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w:t>
      </w:r>
      <w:r>
        <w:rPr>
          <w:rFonts w:hint="eastAsia" w:ascii="宋体" w:hAnsi="宋体" w:cs="宋体"/>
          <w:szCs w:val="21"/>
          <w:highlight w:val="none"/>
          <w:lang w:val="en-US" w:eastAsia="zh-CN"/>
        </w:rPr>
        <w:t>企业认证</w:t>
      </w:r>
      <w:r>
        <w:rPr>
          <w:rFonts w:hint="eastAsia" w:ascii="宋体" w:hAnsi="宋体" w:cs="宋体"/>
          <w:szCs w:val="21"/>
          <w:highlight w:val="none"/>
        </w:rPr>
        <w:t>；</w:t>
      </w:r>
    </w:p>
    <w:p w14:paraId="79CF9760">
      <w:pPr>
        <w:tabs>
          <w:tab w:val="left" w:pos="0"/>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企业业绩</w:t>
      </w:r>
      <w:r>
        <w:rPr>
          <w:rFonts w:hint="eastAsia" w:ascii="宋体" w:hAnsi="宋体" w:cs="宋体"/>
          <w:szCs w:val="21"/>
          <w:highlight w:val="none"/>
        </w:rPr>
        <w:t>；</w:t>
      </w:r>
    </w:p>
    <w:p w14:paraId="601B4CBD">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2.3项目负责人；</w:t>
      </w:r>
    </w:p>
    <w:p w14:paraId="38AEBAC7">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2.4项目人员配备；</w:t>
      </w:r>
    </w:p>
    <w:p w14:paraId="0D6962B9">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2.5技术响应偏离；</w:t>
      </w:r>
    </w:p>
    <w:p w14:paraId="4ADFF5CA">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2.6项目理解；</w:t>
      </w:r>
    </w:p>
    <w:p w14:paraId="4B884BB3">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2.7技术方案；</w:t>
      </w:r>
    </w:p>
    <w:p w14:paraId="2C076395">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2.8机房托管服务方案；</w:t>
      </w:r>
    </w:p>
    <w:p w14:paraId="6D7E1972">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2.9实施方案；</w:t>
      </w:r>
    </w:p>
    <w:p w14:paraId="0D199C6C">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2.10质量保证方案；</w:t>
      </w:r>
    </w:p>
    <w:p w14:paraId="3F0D594D">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2.11应急响应方案；</w:t>
      </w:r>
    </w:p>
    <w:p w14:paraId="5F2F5AAD">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2.12售后运维方案；</w:t>
      </w:r>
    </w:p>
    <w:p w14:paraId="650E9EBF">
      <w:pPr>
        <w:tabs>
          <w:tab w:val="left" w:pos="0"/>
        </w:tabs>
        <w:spacing w:line="360" w:lineRule="exact"/>
        <w:ind w:firstLine="420" w:firstLineChars="200"/>
        <w:rPr>
          <w:rFonts w:hint="eastAsia" w:ascii="宋体" w:hAnsi="宋体" w:cs="宋体"/>
          <w:szCs w:val="21"/>
          <w:highlight w:val="yellow"/>
        </w:rPr>
      </w:pPr>
      <w:r>
        <w:rPr>
          <w:rFonts w:hint="eastAsia" w:ascii="宋体" w:hAnsi="宋体" w:cs="宋体"/>
          <w:szCs w:val="21"/>
          <w:highlight w:val="none"/>
        </w:rPr>
        <w:t>2.</w:t>
      </w:r>
      <w:r>
        <w:rPr>
          <w:rFonts w:hint="eastAsia" w:ascii="宋体" w:hAnsi="宋体" w:cs="宋体"/>
          <w:szCs w:val="21"/>
          <w:highlight w:val="none"/>
          <w:lang w:val="en-US" w:eastAsia="zh-CN"/>
        </w:rPr>
        <w:t>13</w:t>
      </w:r>
      <w:r>
        <w:rPr>
          <w:rFonts w:hint="eastAsia" w:ascii="宋体" w:hAnsi="宋体" w:cs="宋体"/>
          <w:szCs w:val="21"/>
          <w:highlight w:val="none"/>
        </w:rPr>
        <w:t>本竞争性磋商文件要求提供的和响应人认为需要提供的其它资料/文件。</w:t>
      </w:r>
    </w:p>
    <w:p w14:paraId="05A261B8">
      <w:pPr>
        <w:snapToGrid w:val="0"/>
        <w:spacing w:line="360" w:lineRule="exact"/>
        <w:ind w:firstLine="413" w:firstLineChars="196"/>
        <w:jc w:val="left"/>
        <w:outlineLvl w:val="0"/>
        <w:rPr>
          <w:rFonts w:ascii="宋体" w:hAnsi="宋体" w:cs="宋体"/>
          <w:b/>
          <w:szCs w:val="21"/>
          <w:highlight w:val="none"/>
        </w:rPr>
      </w:pPr>
      <w:r>
        <w:rPr>
          <w:rFonts w:hint="eastAsia" w:ascii="宋体" w:hAnsi="宋体" w:cs="宋体"/>
          <w:b/>
          <w:szCs w:val="21"/>
          <w:highlight w:val="none"/>
        </w:rPr>
        <w:t>3、响应报价文件：</w:t>
      </w:r>
    </w:p>
    <w:p w14:paraId="44729083">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3.1开标一览表；</w:t>
      </w:r>
    </w:p>
    <w:p w14:paraId="7F81BD21">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3.2响应报价明细表；</w:t>
      </w:r>
    </w:p>
    <w:p w14:paraId="4D43E7AA">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3.3最终响应报价及承诺一览表；（系统上提交）</w:t>
      </w:r>
    </w:p>
    <w:p w14:paraId="749A015D">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3.4《中小企业声明函》或《残疾人福利性单位声明函》（如有）或监狱企业证明文件（如有）；</w:t>
      </w:r>
    </w:p>
    <w:p w14:paraId="5C94B55F">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3.5响应人针对报价需要说明的其他文件和说明。</w:t>
      </w:r>
    </w:p>
    <w:p w14:paraId="633AF5CE">
      <w:pPr>
        <w:tabs>
          <w:tab w:val="left" w:pos="0"/>
        </w:tabs>
        <w:spacing w:line="360" w:lineRule="exact"/>
        <w:ind w:firstLine="422" w:firstLineChars="200"/>
        <w:rPr>
          <w:rFonts w:hAnsi="宋体" w:eastAsia="宋体" w:cs="宋体"/>
          <w:b/>
          <w:sz w:val="21"/>
          <w:szCs w:val="21"/>
        </w:rPr>
      </w:pPr>
      <w:r>
        <w:rPr>
          <w:rFonts w:hint="eastAsia" w:hAnsi="宋体" w:eastAsia="宋体" w:cs="宋体"/>
          <w:b/>
          <w:sz w:val="21"/>
          <w:szCs w:val="21"/>
        </w:rPr>
        <w:t>（二）响应文件的语言及计量</w:t>
      </w:r>
    </w:p>
    <w:p w14:paraId="1DDC270E">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1、响应文件以及响应人与采购代理机构就有关投标事宜的所有来往函电，均应以中文汉语书写。除签名、盖章、专用名称、特殊证明材料等情形外，以中文汉语以外的文字表述的响应文件视同未提供。</w:t>
      </w:r>
    </w:p>
    <w:p w14:paraId="2C9D8EB4">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2、响应计量单位，应采用中华人民共和国法定计量单位（货币单位：人民币元），否则视同未响应。</w:t>
      </w:r>
    </w:p>
    <w:p w14:paraId="046D6D02">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（三）响应报价</w:t>
      </w:r>
    </w:p>
    <w:p w14:paraId="0FEEA17B">
      <w:pPr>
        <w:pStyle w:val="14"/>
        <w:snapToGrid w:val="0"/>
        <w:spacing w:line="360" w:lineRule="exact"/>
        <w:ind w:firstLine="415" w:firstLineChars="198"/>
        <w:rPr>
          <w:rFonts w:hint="eastAsia" w:hAnsi="宋体" w:eastAsia="宋体" w:cs="宋体"/>
          <w:sz w:val="21"/>
          <w:szCs w:val="21"/>
          <w:lang w:eastAsia="zh-CN"/>
        </w:rPr>
      </w:pPr>
      <w:r>
        <w:rPr>
          <w:rFonts w:hint="eastAsia" w:hAnsi="宋体" w:eastAsia="宋体" w:cs="宋体"/>
          <w:sz w:val="21"/>
          <w:szCs w:val="21"/>
        </w:rPr>
        <w:t>1、见响应人须知前附表。</w:t>
      </w:r>
    </w:p>
    <w:p w14:paraId="5F89D7B4">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（四）响应文件的有效期</w:t>
      </w:r>
    </w:p>
    <w:p w14:paraId="501BDD64">
      <w:pPr>
        <w:pStyle w:val="14"/>
        <w:snapToGrid w:val="0"/>
        <w:spacing w:line="360" w:lineRule="exact"/>
        <w:ind w:firstLine="420" w:firstLineChars="200"/>
        <w:rPr>
          <w:rFonts w:hAnsi="宋体" w:eastAsia="宋体" w:cs="宋体"/>
          <w:sz w:val="21"/>
          <w:szCs w:val="21"/>
        </w:rPr>
      </w:pPr>
      <w:r>
        <w:rPr>
          <w:rFonts w:hint="eastAsia" w:hAnsi="宋体" w:eastAsia="宋体" w:cs="宋体"/>
          <w:sz w:val="21"/>
          <w:szCs w:val="21"/>
        </w:rPr>
        <w:t>1、自投标截止日起90天响应文件应保持有效。有效期不足的响应文件将被拒绝。</w:t>
      </w:r>
    </w:p>
    <w:p w14:paraId="0507EB27">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2、在特殊情况下，采购人可与响应人协商延长响应文件的有效期，这种要求和答复均以书面形式进行。</w:t>
      </w:r>
    </w:p>
    <w:p w14:paraId="4403CDA3">
      <w:pPr>
        <w:pStyle w:val="14"/>
        <w:snapToGrid w:val="0"/>
        <w:spacing w:line="360" w:lineRule="exact"/>
        <w:ind w:firstLine="415" w:firstLineChars="198"/>
        <w:rPr>
          <w:rFonts w:hint="eastAsia" w:hAnsi="宋体" w:eastAsia="宋体" w:cs="宋体"/>
          <w:sz w:val="21"/>
          <w:szCs w:val="21"/>
          <w:lang w:eastAsia="zh-CN"/>
        </w:rPr>
      </w:pPr>
      <w:r>
        <w:rPr>
          <w:rFonts w:hint="eastAsia" w:hAnsi="宋体" w:eastAsia="宋体" w:cs="宋体"/>
          <w:sz w:val="21"/>
          <w:szCs w:val="21"/>
        </w:rPr>
        <w:t>3、同意延长有效期的响应人不能修改响应文件。</w:t>
      </w:r>
    </w:p>
    <w:p w14:paraId="05C010C0">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4、成交人的响应文件自开标之日起至合同履行完毕止均应保持有效。</w:t>
      </w:r>
    </w:p>
    <w:p w14:paraId="7B5AA9A6">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（五）响应文件的包装、递交、修改和撤回</w:t>
      </w:r>
    </w:p>
    <w:p w14:paraId="3B54717F">
      <w:pPr>
        <w:snapToGrid w:val="0"/>
        <w:spacing w:line="360" w:lineRule="exact"/>
        <w:ind w:right="-86" w:rightChars="-41" w:firstLine="420" w:firstLineChars="200"/>
        <w:jc w:val="left"/>
        <w:rPr>
          <w:rFonts w:ascii="宋体" w:hAnsi="宋体"/>
        </w:rPr>
      </w:pPr>
      <w:r>
        <w:rPr>
          <w:rFonts w:hint="eastAsia" w:ascii="宋体" w:hAnsi="宋体"/>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5B4E99DF">
      <w:pPr>
        <w:snapToGrid w:val="0"/>
        <w:spacing w:line="360" w:lineRule="exact"/>
        <w:ind w:right="-86" w:rightChars="-41" w:firstLine="420" w:firstLineChars="200"/>
        <w:jc w:val="left"/>
        <w:rPr>
          <w:rFonts w:ascii="宋体" w:hAnsi="宋体"/>
        </w:rPr>
      </w:pPr>
      <w:r>
        <w:rPr>
          <w:rFonts w:hint="eastAsia" w:ascii="宋体" w:hAnsi="宋体"/>
        </w:rPr>
        <w:t>2、响应人可自行选择是否递交备份响应文件，如递交，出现下列情况之一的，将被拒收：</w:t>
      </w:r>
    </w:p>
    <w:p w14:paraId="2516AE91">
      <w:pPr>
        <w:snapToGrid w:val="0"/>
        <w:spacing w:line="360" w:lineRule="exact"/>
        <w:ind w:right="-86" w:rightChars="-41" w:firstLine="420" w:firstLineChars="200"/>
        <w:jc w:val="left"/>
        <w:rPr>
          <w:rFonts w:hint="eastAsia" w:ascii="宋体" w:hAnsi="宋体" w:eastAsia="宋体"/>
          <w:lang w:eastAsia="zh-CN"/>
        </w:rPr>
      </w:pPr>
      <w:r>
        <w:rPr>
          <w:rFonts w:hint="eastAsia" w:ascii="宋体" w:hAnsi="宋体"/>
        </w:rPr>
        <w:t>（1）未成功办理响应人采购文件获取手续的；</w:t>
      </w:r>
    </w:p>
    <w:p w14:paraId="6CDCA699">
      <w:pPr>
        <w:snapToGrid w:val="0"/>
        <w:spacing w:line="360" w:lineRule="exact"/>
        <w:ind w:right="-86" w:rightChars="-41" w:firstLine="420" w:firstLineChars="200"/>
        <w:jc w:val="left"/>
        <w:rPr>
          <w:rFonts w:ascii="宋体" w:hAnsi="宋体"/>
        </w:rPr>
      </w:pPr>
      <w:r>
        <w:rPr>
          <w:rFonts w:hint="eastAsia" w:ascii="宋体" w:hAnsi="宋体"/>
        </w:rPr>
        <w:t>（2）未按规定要求提供后缀为.bfbs电子备份响应文件的；</w:t>
      </w:r>
    </w:p>
    <w:p w14:paraId="3266B023">
      <w:pPr>
        <w:snapToGrid w:val="0"/>
        <w:spacing w:line="360" w:lineRule="exact"/>
        <w:ind w:right="-86" w:rightChars="-41" w:firstLine="420" w:firstLineChars="200"/>
        <w:jc w:val="left"/>
        <w:rPr>
          <w:rFonts w:ascii="宋体" w:hAnsi="宋体"/>
        </w:rPr>
      </w:pPr>
      <w:r>
        <w:rPr>
          <w:rFonts w:hint="eastAsia" w:ascii="宋体" w:hAnsi="宋体"/>
        </w:rPr>
        <w:t>（3）超过投标截止时间发送的；</w:t>
      </w:r>
    </w:p>
    <w:p w14:paraId="027FFB01">
      <w:pPr>
        <w:snapToGrid w:val="0"/>
        <w:spacing w:line="360" w:lineRule="exact"/>
        <w:ind w:right="-86" w:rightChars="-41" w:firstLine="420" w:firstLineChars="200"/>
        <w:jc w:val="left"/>
        <w:rPr>
          <w:rFonts w:ascii="宋体" w:hAnsi="宋体"/>
        </w:rPr>
      </w:pPr>
      <w:r>
        <w:rPr>
          <w:rFonts w:hint="eastAsia" w:ascii="宋体" w:hAnsi="宋体"/>
        </w:rPr>
        <w:t>仅提供备份响应文件的，投标无效，相关风险由响应人自行承担。</w:t>
      </w:r>
    </w:p>
    <w:p w14:paraId="659C723C">
      <w:pPr>
        <w:snapToGrid w:val="0"/>
        <w:spacing w:line="360" w:lineRule="exact"/>
        <w:ind w:right="-86" w:rightChars="-41" w:firstLine="420" w:firstLineChars="200"/>
        <w:jc w:val="left"/>
        <w:rPr>
          <w:rFonts w:ascii="宋体" w:hAnsi="宋体"/>
        </w:rPr>
      </w:pPr>
      <w:r>
        <w:rPr>
          <w:rFonts w:hint="eastAsia" w:ascii="宋体" w:hAnsi="宋体"/>
        </w:rPr>
        <w:t>3、响应文件未按时解密，响应人提供了备份响应文件的，以备份响应文件作为依据，否则视为响应文件撤回。</w:t>
      </w:r>
    </w:p>
    <w:p w14:paraId="49CB6D6D">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（六）投标无效的情形</w:t>
      </w:r>
    </w:p>
    <w:p w14:paraId="5E8C1534">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实质上没有响应竞争性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14:paraId="16FDA4C6">
      <w:pPr>
        <w:pStyle w:val="14"/>
        <w:snapToGrid w:val="0"/>
        <w:spacing w:line="360" w:lineRule="exact"/>
        <w:ind w:firstLine="417" w:firstLineChars="198"/>
        <w:rPr>
          <w:rFonts w:hAnsi="宋体" w:eastAsia="宋体" w:cs="宋体"/>
          <w:b/>
          <w:sz w:val="21"/>
          <w:szCs w:val="21"/>
        </w:rPr>
      </w:pPr>
      <w:r>
        <w:rPr>
          <w:rFonts w:hint="eastAsia" w:hAnsi="宋体" w:eastAsia="宋体" w:cs="宋体"/>
          <w:b/>
          <w:sz w:val="21"/>
          <w:szCs w:val="21"/>
        </w:rPr>
        <w:t>1、在商务评审时，如发现下列情形之一的，响应文件将被视为无效投标：</w:t>
      </w:r>
    </w:p>
    <w:p w14:paraId="652D3F59">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（1）未按竞争性磋商文件要求签字、盖章或电子签章的；</w:t>
      </w:r>
    </w:p>
    <w:p w14:paraId="36D6DC29">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（2）资格证明文件不全的，或者不符合竞争性磋商文件标明的资格要求的；</w:t>
      </w:r>
    </w:p>
    <w:p w14:paraId="172FC25D">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（3）响应文件组成不全的；</w:t>
      </w:r>
    </w:p>
    <w:p w14:paraId="78F8E27F">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（4）响应文件的实质性内容未使用中文表述、意思表述不明确、前后矛盾或者使用计量单位不符合竞争性磋商文件要求的；（经磋商小组认定允许其当场更正的笔误除外）</w:t>
      </w:r>
    </w:p>
    <w:p w14:paraId="70D050DA">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（5）响应文件的关键内容字迹模糊、无法辨认的，或者响应文件中经修正的内容字迹模糊难以辩认或者修改处未按规定签名盖章或电子签章的；</w:t>
      </w:r>
    </w:p>
    <w:p w14:paraId="46CB359A">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（6）投标有效期、服务期等条款不能满足竞争性磋商文件要求的；</w:t>
      </w:r>
    </w:p>
    <w:p w14:paraId="3B1A6C6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（7）在商务技术文件中出现响应报价的；</w:t>
      </w:r>
    </w:p>
    <w:p w14:paraId="653C93C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（8）电子响应文件解密失败的，且未在规定时间内提交备份响应文件的；</w:t>
      </w:r>
    </w:p>
    <w:p w14:paraId="538ABD48">
      <w:pPr>
        <w:pStyle w:val="14"/>
        <w:snapToGrid w:val="0"/>
        <w:spacing w:line="360" w:lineRule="exact"/>
        <w:ind w:firstLine="415" w:firstLineChars="198"/>
        <w:rPr>
          <w:rFonts w:hint="eastAsia" w:hAnsi="宋体" w:eastAsia="宋体" w:cs="宋体"/>
          <w:sz w:val="21"/>
          <w:szCs w:val="21"/>
        </w:rPr>
      </w:pPr>
      <w:r>
        <w:rPr>
          <w:rFonts w:hint="eastAsia" w:hAnsi="宋体" w:eastAsia="宋体" w:cs="宋体"/>
          <w:sz w:val="21"/>
          <w:szCs w:val="21"/>
        </w:rPr>
        <w:t>（9）不响应竞争性磋商文件要求或者响应文件有采购人不能接受的附加条件的。</w:t>
      </w:r>
    </w:p>
    <w:p w14:paraId="253E6FE3">
      <w:pPr>
        <w:pStyle w:val="14"/>
        <w:snapToGrid w:val="0"/>
        <w:spacing w:line="360" w:lineRule="exact"/>
        <w:ind w:firstLine="415" w:firstLineChars="198"/>
        <w:rPr>
          <w:rFonts w:hint="eastAsia" w:hAnsi="宋体" w:eastAsia="宋体" w:cs="宋体"/>
          <w:sz w:val="21"/>
          <w:szCs w:val="21"/>
        </w:rPr>
      </w:pPr>
      <w:r>
        <w:rPr>
          <w:rFonts w:hint="eastAsia" w:hAnsi="宋体" w:eastAsia="宋体" w:cs="宋体"/>
          <w:sz w:val="21"/>
          <w:szCs w:val="21"/>
        </w:rPr>
        <w:t>（10）响应文件没有按磋商文件要求响应有</w:t>
      </w:r>
      <w:r>
        <w:rPr>
          <w:rFonts w:hint="eastAsia" w:hAnsi="宋体" w:eastAsia="宋体" w:cs="宋体"/>
          <w:sz w:val="21"/>
          <w:szCs w:val="21"/>
          <w:highlight w:val="none"/>
        </w:rPr>
        <w:t>标“▲”的条</w:t>
      </w:r>
      <w:r>
        <w:rPr>
          <w:rFonts w:hint="eastAsia" w:hAnsi="宋体" w:eastAsia="宋体" w:cs="宋体"/>
          <w:sz w:val="21"/>
          <w:szCs w:val="21"/>
        </w:rPr>
        <w:t>款的资料和材料的;</w:t>
      </w:r>
    </w:p>
    <w:p w14:paraId="32582651">
      <w:pPr>
        <w:pStyle w:val="14"/>
        <w:snapToGrid w:val="0"/>
        <w:spacing w:line="360" w:lineRule="exact"/>
        <w:ind w:firstLine="415" w:firstLineChars="198"/>
        <w:rPr>
          <w:rFonts w:hint="eastAsia" w:hAnsi="宋体" w:eastAsia="宋体" w:cs="宋体"/>
          <w:sz w:val="21"/>
          <w:szCs w:val="21"/>
        </w:rPr>
      </w:pPr>
      <w:r>
        <w:rPr>
          <w:rFonts w:hint="eastAsia" w:hAnsi="宋体" w:eastAsia="宋体" w:cs="宋体"/>
          <w:sz w:val="21"/>
          <w:szCs w:val="21"/>
        </w:rPr>
        <w:t>（11）在不影响公平竞争的前提下，采购文件中参与同一标段(包)的供应商存在以下情形的，其投标文件相应无效:MAC 地址相同、计算机硬盘序列号相同、采购文件细节错误一致且无合理解释的等情形。</w:t>
      </w:r>
    </w:p>
    <w:p w14:paraId="6AB20F84">
      <w:pPr>
        <w:pStyle w:val="14"/>
        <w:snapToGrid w:val="0"/>
        <w:spacing w:line="360" w:lineRule="exact"/>
        <w:ind w:firstLine="422" w:firstLineChars="200"/>
        <w:rPr>
          <w:rFonts w:hAnsi="宋体" w:eastAsia="宋体" w:cs="宋体"/>
          <w:b/>
          <w:sz w:val="21"/>
          <w:szCs w:val="21"/>
        </w:rPr>
      </w:pPr>
      <w:r>
        <w:rPr>
          <w:rFonts w:hint="eastAsia" w:hAnsi="宋体" w:eastAsia="宋体" w:cs="宋体"/>
          <w:b/>
          <w:sz w:val="21"/>
          <w:szCs w:val="21"/>
        </w:rPr>
        <w:t>2、在技术评审时，如发现下列情形之一的，响应文件将被视为无效投标：</w:t>
      </w:r>
    </w:p>
    <w:p w14:paraId="0E6BB4F9">
      <w:pPr>
        <w:pStyle w:val="14"/>
        <w:snapToGrid w:val="0"/>
        <w:spacing w:line="360" w:lineRule="exact"/>
        <w:ind w:firstLine="420" w:firstLineChars="200"/>
        <w:rPr>
          <w:rFonts w:hAnsi="宋体" w:eastAsia="宋体" w:cs="宋体"/>
          <w:sz w:val="21"/>
          <w:szCs w:val="21"/>
        </w:rPr>
      </w:pPr>
      <w:r>
        <w:rPr>
          <w:rFonts w:hint="eastAsia" w:hAnsi="宋体" w:eastAsia="宋体" w:cs="宋体"/>
          <w:sz w:val="21"/>
          <w:szCs w:val="21"/>
        </w:rPr>
        <w:t>（1）响应文件标明的响应或偏离与事实不符或虚假投标的；</w:t>
      </w:r>
    </w:p>
    <w:p w14:paraId="4283061D">
      <w:pPr>
        <w:pStyle w:val="14"/>
        <w:snapToGrid w:val="0"/>
        <w:spacing w:line="360" w:lineRule="exact"/>
        <w:ind w:firstLine="420" w:firstLineChars="200"/>
        <w:rPr>
          <w:rFonts w:hAnsi="宋体" w:eastAsia="宋体" w:cs="宋体"/>
          <w:sz w:val="21"/>
          <w:szCs w:val="21"/>
        </w:rPr>
      </w:pPr>
      <w:r>
        <w:rPr>
          <w:rFonts w:hint="eastAsia" w:hAnsi="宋体" w:eastAsia="宋体" w:cs="宋体"/>
          <w:sz w:val="21"/>
          <w:szCs w:val="21"/>
        </w:rPr>
        <w:t>（2）投标技术方案不明确，存在一个或一个以上备选（替代）投标的。</w:t>
      </w:r>
    </w:p>
    <w:p w14:paraId="70C86B25">
      <w:pPr>
        <w:pStyle w:val="14"/>
        <w:snapToGrid w:val="0"/>
        <w:spacing w:line="360" w:lineRule="exact"/>
        <w:ind w:firstLine="417" w:firstLineChars="198"/>
        <w:rPr>
          <w:rFonts w:hAnsi="宋体" w:eastAsia="宋体" w:cs="宋体"/>
          <w:b/>
          <w:sz w:val="21"/>
          <w:szCs w:val="21"/>
        </w:rPr>
      </w:pPr>
      <w:r>
        <w:rPr>
          <w:rFonts w:hint="eastAsia" w:hAnsi="宋体" w:eastAsia="宋体" w:cs="宋体"/>
          <w:b/>
          <w:sz w:val="21"/>
          <w:szCs w:val="21"/>
        </w:rPr>
        <w:t>3、在响应报价文件评审时，如发现下列情形之一的，响应文件将被视为无效投标：</w:t>
      </w:r>
    </w:p>
    <w:p w14:paraId="0E46C4CC">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（1）未采用人民币报价或者未按照竞争性磋商文件标明的币种报价的；</w:t>
      </w:r>
    </w:p>
    <w:p w14:paraId="2CB73D83">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（2）报价超出采购预算金额或最高限价，采购人不能支付的；</w:t>
      </w:r>
    </w:p>
    <w:p w14:paraId="09F5D76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w:t>
      </w:r>
      <w:r>
        <w:rPr>
          <w:rFonts w:hAnsi="宋体" w:eastAsia="宋体" w:cs="宋体"/>
          <w:sz w:val="21"/>
          <w:szCs w:val="21"/>
        </w:rPr>
        <w:t>3</w:t>
      </w:r>
      <w:r>
        <w:rPr>
          <w:rFonts w:hint="eastAsia" w:hAnsi="宋体" w:eastAsia="宋体" w:cs="宋体"/>
          <w:sz w:val="21"/>
          <w:szCs w:val="21"/>
        </w:rPr>
        <w:t>）响应报价具有选择性的；</w:t>
      </w:r>
    </w:p>
    <w:p w14:paraId="661E0FEC">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w:t>
      </w:r>
      <w:r>
        <w:rPr>
          <w:rFonts w:hAnsi="宋体" w:eastAsia="宋体" w:cs="宋体"/>
          <w:sz w:val="21"/>
          <w:szCs w:val="21"/>
        </w:rPr>
        <w:t>4</w:t>
      </w:r>
      <w:r>
        <w:rPr>
          <w:rFonts w:hint="eastAsia" w:hAnsi="宋体" w:eastAsia="宋体" w:cs="宋体"/>
          <w:sz w:val="21"/>
          <w:szCs w:val="21"/>
        </w:rPr>
        <w:t>）磋商小组认为响应人的报价明显低于其他通过符合性审查响应人的报价，有可能影响服务质量或者不能诚信履约，且响应人无法在评标现场合理的时间内提供书面说明或相关证明材料以证明其报价合理性的。</w:t>
      </w:r>
    </w:p>
    <w:p w14:paraId="1061752C">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（七）出现以下情形，导致电子交易平台无法正常运行，或者无法保证电子交易的公平、公正和安全时，中止电子交易活动：</w:t>
      </w:r>
    </w:p>
    <w:p w14:paraId="496F3C29">
      <w:pPr>
        <w:pStyle w:val="121"/>
        <w:snapToGrid w:val="0"/>
        <w:spacing w:line="360" w:lineRule="exact"/>
        <w:ind w:right="-86" w:rightChars="-41" w:firstLine="438" w:firstLineChars="209"/>
        <w:rPr>
          <w:rFonts w:ascii="宋体" w:hAnsi="宋体"/>
        </w:rPr>
      </w:pPr>
      <w:r>
        <w:rPr>
          <w:rFonts w:hint="eastAsia" w:ascii="宋体" w:hAnsi="宋体"/>
        </w:rPr>
        <w:t>1、电子交易平台发生故障而无法登录访问的；</w:t>
      </w:r>
    </w:p>
    <w:p w14:paraId="793D9C9B">
      <w:pPr>
        <w:pStyle w:val="121"/>
        <w:snapToGrid w:val="0"/>
        <w:spacing w:line="360" w:lineRule="exact"/>
        <w:ind w:right="-86" w:rightChars="-41" w:firstLine="438" w:firstLineChars="209"/>
        <w:rPr>
          <w:rFonts w:ascii="宋体" w:hAnsi="宋体"/>
        </w:rPr>
      </w:pPr>
      <w:r>
        <w:rPr>
          <w:rFonts w:hint="eastAsia" w:ascii="宋体" w:hAnsi="宋体"/>
        </w:rPr>
        <w:t>2、电子交易平台应用或数据库出现错误，不能进行正常操作的；</w:t>
      </w:r>
    </w:p>
    <w:p w14:paraId="0669486F">
      <w:pPr>
        <w:pStyle w:val="121"/>
        <w:snapToGrid w:val="0"/>
        <w:spacing w:line="360" w:lineRule="exact"/>
        <w:ind w:right="-86" w:rightChars="-41" w:firstLine="438" w:firstLineChars="209"/>
        <w:rPr>
          <w:rFonts w:ascii="宋体" w:hAnsi="宋体"/>
        </w:rPr>
      </w:pPr>
      <w:r>
        <w:rPr>
          <w:rFonts w:hint="eastAsia" w:ascii="宋体" w:hAnsi="宋体"/>
        </w:rPr>
        <w:t>3、电子交易平台发现严重安全漏洞，有潜在泄密危险的；</w:t>
      </w:r>
    </w:p>
    <w:p w14:paraId="66A23588">
      <w:pPr>
        <w:pStyle w:val="121"/>
        <w:snapToGrid w:val="0"/>
        <w:spacing w:line="360" w:lineRule="exact"/>
        <w:ind w:right="-86" w:rightChars="-41" w:firstLine="438" w:firstLineChars="209"/>
        <w:rPr>
          <w:rFonts w:ascii="宋体" w:hAnsi="宋体"/>
        </w:rPr>
      </w:pPr>
      <w:r>
        <w:rPr>
          <w:rFonts w:hint="eastAsia" w:ascii="宋体" w:hAnsi="宋体"/>
        </w:rPr>
        <w:t>4、病毒发作导致不能进行正常操作的；</w:t>
      </w:r>
    </w:p>
    <w:p w14:paraId="14C35041">
      <w:pPr>
        <w:pStyle w:val="121"/>
        <w:snapToGrid w:val="0"/>
        <w:spacing w:line="360" w:lineRule="exact"/>
        <w:ind w:right="-86" w:rightChars="-41" w:firstLine="438" w:firstLineChars="209"/>
        <w:rPr>
          <w:rFonts w:ascii="宋体" w:hAnsi="宋体"/>
        </w:rPr>
      </w:pPr>
      <w:r>
        <w:rPr>
          <w:rFonts w:hint="eastAsia" w:ascii="宋体" w:hAnsi="宋体"/>
        </w:rPr>
        <w:t>5、其他无法保证电子交易的公平、公正和安全的情况。</w:t>
      </w:r>
    </w:p>
    <w:p w14:paraId="1F4C2648">
      <w:pPr>
        <w:pStyle w:val="121"/>
        <w:snapToGrid w:val="0"/>
        <w:spacing w:line="360" w:lineRule="exact"/>
        <w:ind w:right="-86" w:rightChars="-41" w:firstLine="438" w:firstLineChars="209"/>
        <w:rPr>
          <w:rFonts w:ascii="宋体" w:hAnsi="宋体"/>
        </w:rPr>
      </w:pPr>
      <w:r>
        <w:rPr>
          <w:rFonts w:hint="eastAsia" w:ascii="宋体" w:hAnsi="宋体"/>
        </w:rPr>
        <w:t>出现前款规定情形，不影响采购公平、公正性的，代理机构可以待上述情形消除后继续组织电子交易活动，也可以决定某些环节以纸质形式进行；影响或可能影响采购公平、公正性的，重新采购。</w:t>
      </w:r>
    </w:p>
    <w:p w14:paraId="50D67CFE">
      <w:pPr>
        <w:pStyle w:val="14"/>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（八）被拒绝的响应文件为无效。</w:t>
      </w:r>
    </w:p>
    <w:p w14:paraId="182CAA57">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14:paraId="5629A212">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（一）开标准备</w:t>
      </w:r>
    </w:p>
    <w:p w14:paraId="44CB245E">
      <w:pPr>
        <w:pStyle w:val="14"/>
        <w:snapToGrid w:val="0"/>
        <w:spacing w:line="360" w:lineRule="exact"/>
        <w:ind w:firstLine="413" w:firstLineChars="196"/>
        <w:rPr>
          <w:rFonts w:hAnsi="宋体" w:eastAsia="宋体" w:cs="宋体"/>
          <w:b/>
          <w:sz w:val="21"/>
          <w:szCs w:val="21"/>
        </w:rPr>
      </w:pPr>
      <w:r>
        <w:rPr>
          <w:rFonts w:hint="eastAsia" w:hAnsi="宋体" w:eastAsia="宋体" w:cs="宋体"/>
          <w:b/>
          <w:sz w:val="21"/>
          <w:szCs w:val="21"/>
        </w:rPr>
        <w:t>1.1采购代理机构按本竞争性磋商文件投标规定的时间和地点公开开标，所有响应人不需要派代表参加现场开标，响应人须通过政采云电子交易系统在线参与本项目的开标活动。</w:t>
      </w:r>
    </w:p>
    <w:p w14:paraId="45321E33">
      <w:pPr>
        <w:pStyle w:val="14"/>
        <w:snapToGrid w:val="0"/>
        <w:spacing w:line="360" w:lineRule="exact"/>
        <w:ind w:firstLine="422" w:firstLineChars="200"/>
        <w:rPr>
          <w:rFonts w:hAnsi="宋体" w:eastAsia="宋体" w:cs="宋体"/>
          <w:b/>
          <w:sz w:val="21"/>
          <w:szCs w:val="21"/>
        </w:rPr>
      </w:pPr>
      <w:r>
        <w:rPr>
          <w:rFonts w:hint="eastAsia" w:hAnsi="宋体" w:eastAsia="宋体" w:cs="宋体"/>
          <w:b/>
          <w:sz w:val="21"/>
          <w:szCs w:val="21"/>
        </w:rPr>
        <w:t>1.2按规定提交合格的撤回通知的响应文件不予开封，并退回给响应人；开标时出现的无效响应文件，不予评审，但不退还给响应人。</w:t>
      </w:r>
    </w:p>
    <w:p w14:paraId="0F782223">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（二）开标程序</w:t>
      </w:r>
    </w:p>
    <w:p w14:paraId="72FE56E7">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2.1开标现场会由采购代理机构工作人员负责主持，投标截止时间后主持人宣布开标会开始，同时宣读现场纪律。</w:t>
      </w:r>
    </w:p>
    <w:p w14:paraId="3A4DF4F0">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2.2主持人介绍招标项目基本情况、评标程序、评标办法以及参加本项目的响应人名称和各响应人响应文件送达的时间；主持人介绍到会供应商等情况，并要求响应人代表书面提出其中是否有应当回避的情况。</w:t>
      </w:r>
    </w:p>
    <w:p w14:paraId="5FA8F8D1">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3、电子招投标开标及评审程序</w:t>
      </w:r>
    </w:p>
    <w:p w14:paraId="465D4972">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3.1投标截止时间后，响应人登录政采云平台，用“项目采购-开标评标”功能对电子响应文件进行在线解密。在线解密电子响应文件时间为开标时间起半个小时内；</w:t>
      </w:r>
    </w:p>
    <w:p w14:paraId="1623E0E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3.2.磋商小组对响应人的资格进行审查。资格审查合格后，由磋商小组对商务技术响应文件进行评审；</w:t>
      </w:r>
    </w:p>
    <w:p w14:paraId="1E0F0013">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3.3磋商小组对报价情况进行评审；</w:t>
      </w:r>
    </w:p>
    <w:p w14:paraId="25CC3E27">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3.4磋商小组与有效投标响应人进行磋商；</w:t>
      </w:r>
    </w:p>
    <w:p w14:paraId="1F79B895">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3.5磋商后，响应人通过系统进行报价；</w:t>
      </w:r>
    </w:p>
    <w:p w14:paraId="7C3DDBA5">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3.6在系统上公布评审结果。</w:t>
      </w:r>
    </w:p>
    <w:p w14:paraId="2109C201">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特别说明：政采云公司如对电子化开标及评审程序有调整的，按调整后的程序操作。</w:t>
      </w:r>
    </w:p>
    <w:p w14:paraId="71F8A6C4">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4、采购代理机构工作人员对开标过程进行记录（含音视频记录），并存档备查。</w:t>
      </w:r>
    </w:p>
    <w:p w14:paraId="7A1D02DE">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5、本项目原则上采用政采云电子招投标开标及评审程序，但有下情形的，按以下情况处理：</w:t>
      </w:r>
    </w:p>
    <w:p w14:paraId="17EDA125">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5.1若所有响应人在规定时间内无法解密或解密失败，采购组织机构将开启响应人递交的以介质存储云平台项目采购模块，以完成开标，电子投的数据电文形式的备份响应文件，上传至政采标文件自动失效</w:t>
      </w:r>
    </w:p>
    <w:p w14:paraId="347EB177">
      <w:pPr>
        <w:pStyle w:val="14"/>
        <w:snapToGrid w:val="0"/>
        <w:spacing w:line="360" w:lineRule="auto"/>
        <w:ind w:firstLine="415" w:firstLineChars="198"/>
        <w:rPr>
          <w:rFonts w:hAnsi="宋体" w:eastAsia="宋体" w:cs="宋体"/>
          <w:sz w:val="21"/>
          <w:szCs w:val="21"/>
        </w:rPr>
      </w:pPr>
    </w:p>
    <w:p w14:paraId="31D536CC">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14:paraId="056ED6FE">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（一）组建磋商小组</w:t>
      </w:r>
    </w:p>
    <w:p w14:paraId="3E659C88">
      <w:pPr>
        <w:pStyle w:val="14"/>
        <w:adjustRightInd w:val="0"/>
        <w:snapToGrid w:val="0"/>
        <w:spacing w:before="60" w:after="20" w:line="360" w:lineRule="exact"/>
        <w:ind w:firstLine="420" w:firstLineChars="200"/>
        <w:rPr>
          <w:rFonts w:hint="eastAsia" w:hAnsi="宋体" w:eastAsia="宋体" w:cs="宋体"/>
          <w:sz w:val="21"/>
          <w:szCs w:val="21"/>
        </w:rPr>
      </w:pPr>
      <w:r>
        <w:rPr>
          <w:rFonts w:hint="eastAsia" w:hAnsi="宋体" w:eastAsia="宋体" w:cs="宋体"/>
          <w:sz w:val="21"/>
          <w:szCs w:val="21"/>
        </w:rPr>
        <w:t>本项目磋商小组磋商小组由采购人代表和评审专家共 3 人以上单数组成，其中评审专家人数不得少于磋商小组成员总数的 2/3。</w:t>
      </w:r>
    </w:p>
    <w:p w14:paraId="1432226E">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（二）评标程序</w:t>
      </w:r>
    </w:p>
    <w:p w14:paraId="766E5245">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1、资格审查</w:t>
      </w:r>
    </w:p>
    <w:p w14:paraId="292853B2">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依据法律法规和竞争性磋商文件的规定，磋商小组对响应人的资格进行审查。</w:t>
      </w:r>
    </w:p>
    <w:p w14:paraId="7C6F84CA">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2、实质审查与比较</w:t>
      </w:r>
    </w:p>
    <w:p w14:paraId="4D907A6E">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2.1磋商小组审查响应文件的实质性内容是否符合竞争性磋商文件的实质性要求。</w:t>
      </w:r>
    </w:p>
    <w:p w14:paraId="2B3F0D1F">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2.2磋商小组将根据响应人的响应文件进行审查、核对，如有疑问，将对响应人进行询标，响应人要向磋商小组澄清有关问题，并最终以书面形式进行答复。</w:t>
      </w:r>
    </w:p>
    <w:p w14:paraId="702C455E">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2.3响应人代表未及时澄清或者拒绝澄清或者澄清的内容改变了响应文件的实质性内容的，磋商小组有权对该响应文件作出不利于响应人的评判。</w:t>
      </w:r>
    </w:p>
    <w:p w14:paraId="0C8EA81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2.4各响应人的商务技术得分由指定专人进行计算复核。</w:t>
      </w:r>
    </w:p>
    <w:p w14:paraId="50F7E467">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2.5各响应人报价得分根据评分标准计算。</w:t>
      </w:r>
    </w:p>
    <w:p w14:paraId="20971DE1">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2.6磋商小组完成评标后，对各部分得分汇总，得出本项目最终得分，磋商小组按评标原则推荐中标候选人同时起草评审报告。</w:t>
      </w:r>
    </w:p>
    <w:p w14:paraId="0E003692">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（三）澄清问题的形式</w:t>
      </w:r>
    </w:p>
    <w:p w14:paraId="411511F4">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33625AD8">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（四）错误修正</w:t>
      </w:r>
    </w:p>
    <w:p w14:paraId="695CE19F">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响应文件如果出现计算或表达上的错误，修正错误的原则如下：</w:t>
      </w:r>
    </w:p>
    <w:p w14:paraId="41FCBFF9">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1、响应文件中开标一览表（报价表）内容与响应文件中相应内容不一致的，以开标一览表（报价表）为准；</w:t>
      </w:r>
    </w:p>
    <w:p w14:paraId="04D4BACD">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08C6B26E">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5A756C2F">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6219C6CB">
      <w:pPr>
        <w:pStyle w:val="14"/>
        <w:adjustRightInd w:val="0"/>
        <w:snapToGrid w:val="0"/>
        <w:spacing w:before="60" w:after="20" w:line="360" w:lineRule="exact"/>
        <w:ind w:firstLine="422" w:firstLineChars="200"/>
        <w:rPr>
          <w:rFonts w:hAnsi="宋体" w:eastAsia="宋体" w:cs="宋体"/>
          <w:b/>
          <w:bCs/>
          <w:sz w:val="21"/>
          <w:szCs w:val="21"/>
        </w:rPr>
      </w:pPr>
      <w:r>
        <w:rPr>
          <w:rFonts w:hint="eastAsia" w:hAnsi="宋体" w:eastAsia="宋体" w:cs="宋体"/>
          <w:b/>
          <w:bCs/>
          <w:sz w:val="21"/>
          <w:szCs w:val="21"/>
        </w:rPr>
        <w:t>同时出现两种以上不一致的，按照前款规定的顺序修正。修正后的报价经响应人同意并盖章确认后产生约束力，如果响应人不接受修正后的报价或其不确认的，则其投标将作为无效投标处理。</w:t>
      </w:r>
    </w:p>
    <w:p w14:paraId="65D6EF34">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（五）评标原则和磋商办法</w:t>
      </w:r>
    </w:p>
    <w:p w14:paraId="0FD200EE">
      <w:pPr>
        <w:pStyle w:val="14"/>
        <w:snapToGrid w:val="0"/>
        <w:spacing w:line="360" w:lineRule="exact"/>
        <w:ind w:firstLine="520" w:firstLineChars="248"/>
        <w:rPr>
          <w:rFonts w:hAnsi="宋体" w:eastAsia="宋体" w:cs="宋体"/>
          <w:sz w:val="21"/>
          <w:szCs w:val="21"/>
        </w:rPr>
      </w:pPr>
      <w:r>
        <w:rPr>
          <w:rFonts w:hint="eastAsia" w:hAnsi="宋体" w:eastAsia="宋体" w:cs="宋体"/>
          <w:sz w:val="21"/>
          <w:szCs w:val="21"/>
        </w:rPr>
        <w:t>1、磋商小组必须公平、公正、客观，不带任何倾向性和启发性；不得向外界透露任何与磋商有关的内容；任何单位和个人不得干扰、影响磋商的正常进行；磋商小组及有关工作人员不得私下与响应人接触。</w:t>
      </w:r>
    </w:p>
    <w:p w14:paraId="6A4B2AA5">
      <w:pPr>
        <w:pStyle w:val="14"/>
        <w:snapToGrid w:val="0"/>
        <w:spacing w:line="360" w:lineRule="exact"/>
        <w:ind w:firstLine="520" w:firstLineChars="248"/>
        <w:rPr>
          <w:rFonts w:hAnsi="宋体" w:eastAsia="宋体" w:cs="宋体"/>
          <w:sz w:val="21"/>
          <w:szCs w:val="21"/>
        </w:rPr>
      </w:pPr>
      <w:r>
        <w:rPr>
          <w:rFonts w:hint="eastAsia" w:hAnsi="宋体" w:eastAsia="宋体" w:cs="宋体"/>
          <w:sz w:val="21"/>
          <w:szCs w:val="21"/>
        </w:rPr>
        <w:t>2、磋商办法。本项目磋商办法是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，具体评标内容及评分标准等详见《第四章：磋商办法及评分标准》。</w:t>
      </w:r>
    </w:p>
    <w:p w14:paraId="5F1B9BF2">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（六）磋商过程的监控</w:t>
      </w:r>
    </w:p>
    <w:p w14:paraId="58A35DE1">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本项目磋商过程实行全程录音、录像监控，响应人在评标过程中所进行的试图影响评标结果的不公正活动，可能导致其投标被拒绝。</w:t>
      </w:r>
    </w:p>
    <w:p w14:paraId="61DB9939">
      <w:pPr>
        <w:pStyle w:val="14"/>
        <w:snapToGrid w:val="0"/>
        <w:spacing w:line="360" w:lineRule="exact"/>
        <w:ind w:firstLine="415" w:firstLineChars="198"/>
        <w:rPr>
          <w:rFonts w:hAnsi="宋体" w:eastAsia="宋体" w:cs="宋体"/>
          <w:sz w:val="21"/>
          <w:szCs w:val="21"/>
        </w:rPr>
      </w:pPr>
    </w:p>
    <w:p w14:paraId="740757AD">
      <w:pPr>
        <w:snapToGrid w:val="0"/>
        <w:spacing w:after="240" w:line="276" w:lineRule="auto"/>
        <w:jc w:val="center"/>
        <w:rPr>
          <w:rFonts w:ascii="宋体" w:hAnsi="宋体" w:cs="宋体"/>
          <w:b/>
          <w:sz w:val="28"/>
          <w:szCs w:val="30"/>
        </w:rPr>
      </w:pPr>
      <w:r>
        <w:rPr>
          <w:rFonts w:hint="eastAsia" w:ascii="宋体" w:hAnsi="宋体" w:cs="宋体"/>
          <w:b/>
          <w:sz w:val="28"/>
          <w:szCs w:val="30"/>
        </w:rPr>
        <w:t>六、定标</w:t>
      </w:r>
    </w:p>
    <w:p w14:paraId="230A0983">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（一）确定成交人。本项目由采购人（或采购人事先授权磋商小组）确定成交人。</w:t>
      </w:r>
    </w:p>
    <w:p w14:paraId="7EC55536">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1.采购代理机构在评审结束后2个工作日内将评审报告送采购人确认。</w:t>
      </w:r>
    </w:p>
    <w:p w14:paraId="42BFF70E">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2.采购人应当自收到评审报告之日起5个工作日内，在评审报告确定的成交候选人名单中按顺序确定成交人。</w:t>
      </w:r>
    </w:p>
    <w:p w14:paraId="2DC15996">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3.采购人或者采购代理机构应当自成交人确定之日起2个工作日内，在省级以上财政部门指定的媒体上公告中标结果，在公告中标结果的同时，采购人或者采购代理机构应当向成交人发出成交通知书。</w:t>
      </w:r>
    </w:p>
    <w:p w14:paraId="2DAED7C0">
      <w:pPr>
        <w:pStyle w:val="14"/>
        <w:adjustRightInd w:val="0"/>
        <w:snapToGrid w:val="0"/>
        <w:spacing w:before="60" w:after="20" w:line="360" w:lineRule="exact"/>
        <w:ind w:firstLine="420" w:firstLineChars="200"/>
        <w:rPr>
          <w:rFonts w:hAnsi="宋体" w:eastAsia="宋体" w:cs="宋体"/>
          <w:bCs/>
          <w:sz w:val="21"/>
          <w:szCs w:val="21"/>
        </w:rPr>
      </w:pPr>
      <w:r>
        <w:rPr>
          <w:rFonts w:hint="eastAsia" w:hAnsi="宋体" w:eastAsia="宋体" w:cs="宋体"/>
          <w:bCs/>
          <w:sz w:val="21"/>
          <w:szCs w:val="21"/>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2E49CB1F">
      <w:pPr>
        <w:snapToGrid w:val="0"/>
        <w:spacing w:line="276" w:lineRule="auto"/>
        <w:jc w:val="center"/>
        <w:rPr>
          <w:rFonts w:ascii="宋体" w:hAnsi="宋体" w:cs="宋体"/>
          <w:b/>
          <w:sz w:val="28"/>
          <w:szCs w:val="30"/>
        </w:rPr>
      </w:pPr>
    </w:p>
    <w:p w14:paraId="74077AEB">
      <w:pPr>
        <w:snapToGrid w:val="0"/>
        <w:spacing w:after="240" w:line="276" w:lineRule="auto"/>
        <w:jc w:val="center"/>
        <w:rPr>
          <w:rFonts w:ascii="宋体" w:hAnsi="宋体" w:cs="宋体"/>
          <w:b/>
          <w:sz w:val="28"/>
          <w:szCs w:val="30"/>
        </w:rPr>
      </w:pPr>
      <w:r>
        <w:rPr>
          <w:rFonts w:hint="eastAsia" w:ascii="宋体" w:hAnsi="宋体" w:cs="宋体"/>
          <w:b/>
          <w:sz w:val="28"/>
          <w:szCs w:val="30"/>
        </w:rPr>
        <w:t>七、合同授予</w:t>
      </w:r>
    </w:p>
    <w:p w14:paraId="0645D82F">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（一）签订合同</w:t>
      </w:r>
    </w:p>
    <w:p w14:paraId="56E2D78B">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1、成交人应在《成交通知书》发出之日起30日内与采购人签定合同。同时，采购代理机构对合同内容进行审查，如发现与采购结果和投标承诺内容不一致的，应予以纠正。</w:t>
      </w:r>
    </w:p>
    <w:p w14:paraId="25809F4D">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2、成交人拖延、拒签合同的，将上报监管部门并取消中标资格。</w:t>
      </w:r>
    </w:p>
    <w:p w14:paraId="4E226FFD">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3、成交人和采购人签订合同，按合同规定的服务时间完成服务。</w:t>
      </w:r>
    </w:p>
    <w:p w14:paraId="16D6FC30">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41BD8892">
      <w:pPr>
        <w:pStyle w:val="1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（二）合同公告</w:t>
      </w:r>
    </w:p>
    <w:p w14:paraId="196A8030">
      <w:pPr>
        <w:pStyle w:val="14"/>
        <w:snapToGrid w:val="0"/>
        <w:spacing w:line="360" w:lineRule="exact"/>
        <w:ind w:firstLine="415" w:firstLineChars="198"/>
        <w:rPr>
          <w:rFonts w:hAnsi="宋体" w:eastAsia="宋体" w:cs="宋体"/>
          <w:sz w:val="21"/>
          <w:szCs w:val="21"/>
        </w:rPr>
      </w:pPr>
      <w:r>
        <w:rPr>
          <w:rFonts w:hint="eastAsia" w:hAnsi="宋体" w:eastAsia="宋体" w:cs="宋体"/>
          <w:sz w:val="21"/>
          <w:szCs w:val="21"/>
        </w:rPr>
        <w:t>采购人在政府采购合同签订后，将政府采购合同在省级以上人民政府财政部门指定的媒体上公告，但政府采购合同中涉及国家秘密、商业秘密的内容除外。</w:t>
      </w:r>
    </w:p>
    <w:p w14:paraId="5FDF21E0">
      <w:pPr>
        <w:pStyle w:val="14"/>
        <w:snapToGrid w:val="0"/>
        <w:spacing w:line="360" w:lineRule="exact"/>
        <w:ind w:firstLine="415" w:firstLineChars="198"/>
        <w:rPr>
          <w:rFonts w:hAnsi="宋体" w:eastAsia="宋体" w:cs="宋体"/>
          <w:sz w:val="21"/>
          <w:szCs w:val="21"/>
        </w:rPr>
      </w:pPr>
    </w:p>
    <w:p w14:paraId="5B603963">
      <w:pPr>
        <w:pStyle w:val="14"/>
        <w:snapToGrid w:val="0"/>
        <w:spacing w:line="360" w:lineRule="exact"/>
        <w:ind w:firstLine="415" w:firstLineChars="198"/>
        <w:rPr>
          <w:rFonts w:hAnsi="宋体" w:eastAsia="宋体" w:cs="宋体"/>
          <w:sz w:val="21"/>
          <w:szCs w:val="21"/>
        </w:rPr>
      </w:pPr>
    </w:p>
    <w:p w14:paraId="024FBF50">
      <w:pPr>
        <w:pStyle w:val="14"/>
        <w:snapToGrid w:val="0"/>
        <w:spacing w:line="360" w:lineRule="exact"/>
        <w:ind w:firstLine="415" w:firstLineChars="198"/>
        <w:jc w:val="center"/>
        <w:rPr>
          <w:rFonts w:hAnsi="宋体" w:eastAsia="宋体" w:cs="宋体"/>
          <w:b/>
          <w:sz w:val="26"/>
          <w:szCs w:val="26"/>
        </w:rPr>
      </w:pPr>
      <w:r>
        <w:rPr>
          <w:rFonts w:hAnsi="宋体" w:eastAsia="宋体" w:cs="宋体"/>
          <w:sz w:val="21"/>
          <w:szCs w:val="21"/>
        </w:rPr>
        <w:br w:type="page"/>
      </w:r>
      <w:r>
        <w:rPr>
          <w:rFonts w:hint="eastAsia" w:hAnsi="宋体" w:eastAsia="宋体" w:cs="宋体"/>
          <w:b/>
          <w:szCs w:val="30"/>
        </w:rPr>
        <w:t>第四章磋商办法及标准</w:t>
      </w:r>
    </w:p>
    <w:p w14:paraId="595E17B0">
      <w:pPr>
        <w:pStyle w:val="14"/>
        <w:adjustRightInd w:val="0"/>
        <w:snapToGrid w:val="0"/>
        <w:spacing w:line="360" w:lineRule="exact"/>
        <w:ind w:firstLine="420" w:firstLineChars="200"/>
        <w:rPr>
          <w:rFonts w:hAnsi="宋体" w:eastAsia="宋体"/>
          <w:sz w:val="21"/>
          <w:szCs w:val="21"/>
        </w:rPr>
      </w:pPr>
      <w:r>
        <w:rPr>
          <w:rFonts w:hint="eastAsia" w:hAnsi="宋体" w:eastAsia="宋体"/>
          <w:sz w:val="21"/>
          <w:szCs w:val="21"/>
        </w:rPr>
        <w:t>为公正、公平、科学地选择成交人，根据《中华人民共和国政府采购法》等有关法律法规的规定，并结合本项目的实际，制定本办法。本次评标采用综合评分法。</w:t>
      </w:r>
    </w:p>
    <w:p w14:paraId="4BC1FFE2">
      <w:pPr>
        <w:spacing w:before="156" w:beforeLines="50" w:line="276" w:lineRule="auto"/>
        <w:ind w:firstLine="482" w:firstLineChars="200"/>
        <w:rPr>
          <w:rFonts w:ascii="宋体" w:hAnsi="宋体" w:cs="仿宋_GB2312"/>
          <w:b/>
          <w:bCs/>
          <w:sz w:val="24"/>
          <w:lang w:val="zh-CN"/>
        </w:rPr>
      </w:pPr>
      <w:r>
        <w:rPr>
          <w:rFonts w:hint="eastAsia" w:ascii="宋体" w:hAnsi="宋体" w:cs="仿宋_GB2312"/>
          <w:b/>
          <w:bCs/>
          <w:sz w:val="24"/>
          <w:lang w:val="zh-CN"/>
        </w:rPr>
        <w:t>一、总则</w:t>
      </w:r>
    </w:p>
    <w:p w14:paraId="08105F97">
      <w:pPr>
        <w:pStyle w:val="14"/>
        <w:adjustRightInd w:val="0"/>
        <w:snapToGrid w:val="0"/>
        <w:spacing w:line="360" w:lineRule="exact"/>
        <w:ind w:firstLine="420" w:firstLineChars="200"/>
        <w:rPr>
          <w:rFonts w:hAnsi="宋体" w:eastAsia="宋体"/>
          <w:sz w:val="21"/>
          <w:szCs w:val="21"/>
        </w:rPr>
      </w:pPr>
      <w:r>
        <w:rPr>
          <w:rFonts w:hint="eastAsia" w:hAnsi="宋体" w:eastAsia="宋体"/>
          <w:sz w:val="21"/>
          <w:szCs w:val="21"/>
        </w:rPr>
        <w:t>本次评标采用综合评分法，总分为100分，其中价格分</w:t>
      </w:r>
      <w:r>
        <w:rPr>
          <w:rFonts w:hint="eastAsia" w:hAnsi="宋体" w:eastAsia="宋体"/>
          <w:sz w:val="21"/>
          <w:szCs w:val="21"/>
          <w:lang w:val="en-US" w:eastAsia="zh-CN"/>
        </w:rPr>
        <w:t>30</w:t>
      </w:r>
      <w:r>
        <w:rPr>
          <w:rFonts w:hint="eastAsia" w:hAnsi="宋体" w:eastAsia="宋体"/>
          <w:sz w:val="21"/>
          <w:szCs w:val="21"/>
        </w:rPr>
        <w:t>分、商务技术分</w:t>
      </w:r>
      <w:r>
        <w:rPr>
          <w:rFonts w:hint="eastAsia" w:hAnsi="宋体" w:eastAsia="宋体"/>
          <w:sz w:val="21"/>
          <w:szCs w:val="21"/>
          <w:lang w:val="en-US" w:eastAsia="zh-CN"/>
        </w:rPr>
        <w:t>70</w:t>
      </w:r>
      <w:r>
        <w:rPr>
          <w:rFonts w:hint="eastAsia" w:hAnsi="宋体" w:eastAsia="宋体"/>
          <w:sz w:val="21"/>
          <w:szCs w:val="21"/>
        </w:rPr>
        <w:t>分两部分。</w:t>
      </w:r>
    </w:p>
    <w:p w14:paraId="5EB67FD2">
      <w:pPr>
        <w:pStyle w:val="14"/>
        <w:adjustRightInd w:val="0"/>
        <w:snapToGrid w:val="0"/>
        <w:spacing w:line="360" w:lineRule="exact"/>
        <w:ind w:firstLine="420" w:firstLineChars="200"/>
        <w:rPr>
          <w:rFonts w:hAnsi="宋体" w:eastAsia="宋体"/>
          <w:sz w:val="21"/>
          <w:szCs w:val="21"/>
        </w:rPr>
      </w:pPr>
      <w:r>
        <w:rPr>
          <w:rFonts w:hint="eastAsia" w:hAnsi="宋体" w:eastAsia="宋体"/>
          <w:sz w:val="21"/>
          <w:szCs w:val="21"/>
        </w:rPr>
        <w:t>磋商小组对响应文件进行符合性审查，凡响应文件实质性内容、关键格式严重不符合有关规定或不响应采购文件要求的，磋商小组应评定该响应文件作无效标处理。</w:t>
      </w:r>
    </w:p>
    <w:p w14:paraId="6371DDAF">
      <w:pPr>
        <w:spacing w:line="360" w:lineRule="exact"/>
        <w:ind w:firstLine="420" w:firstLineChars="200"/>
        <w:rPr>
          <w:rFonts w:ascii="宋体" w:hAnsi="宋体"/>
          <w:szCs w:val="21"/>
        </w:rPr>
      </w:pPr>
      <w:r>
        <w:rPr>
          <w:rFonts w:hint="eastAsia" w:ascii="宋体" w:hAnsi="宋体"/>
          <w:szCs w:val="21"/>
        </w:rPr>
        <w:t>合格响应人的评标得分为价格分和商务技术分的汇总得分，成交候选资格按评标得分由高到低顺序排列，得分相同的，按响应报价由低到高顺序排列；评标得分且响应报价相同的，按技术部分得分由高到低顺序排列。排名第一的响应人为成交候选人，排名第二的响应人为候补成交候选人，其他响应人成交候选资格依此类推。各响应人的得分为所有专家的有效评分的算术平均数。评分过程中采用四舍五入法，并保留小数2位。</w:t>
      </w:r>
    </w:p>
    <w:p w14:paraId="23DB8D98">
      <w:pPr>
        <w:spacing w:line="360" w:lineRule="exact"/>
        <w:ind w:firstLine="420" w:firstLineChars="200"/>
        <w:rPr>
          <w:rFonts w:ascii="宋体" w:hAnsi="宋体"/>
          <w:szCs w:val="21"/>
        </w:rPr>
      </w:pPr>
      <w:r>
        <w:rPr>
          <w:rFonts w:hint="eastAsia" w:ascii="宋体" w:hAnsi="宋体"/>
          <w:szCs w:val="21"/>
        </w:rPr>
        <w:t>响应人评标综合得分=价格分+商务技术分</w:t>
      </w:r>
    </w:p>
    <w:p w14:paraId="32D4C23E">
      <w:pPr>
        <w:spacing w:before="156" w:beforeLines="50" w:line="276" w:lineRule="auto"/>
        <w:ind w:firstLine="482" w:firstLineChars="200"/>
        <w:rPr>
          <w:rFonts w:ascii="宋体" w:hAnsi="宋体" w:cs="仿宋_GB2312"/>
          <w:b/>
          <w:bCs/>
          <w:sz w:val="24"/>
          <w:lang w:val="zh-CN"/>
        </w:rPr>
      </w:pPr>
      <w:r>
        <w:rPr>
          <w:rFonts w:hint="eastAsia" w:ascii="宋体" w:hAnsi="宋体" w:cs="仿宋_GB2312"/>
          <w:b/>
          <w:bCs/>
          <w:sz w:val="24"/>
          <w:lang w:val="zh-CN"/>
        </w:rPr>
        <w:t>二、资格审查</w:t>
      </w:r>
    </w:p>
    <w:p w14:paraId="746AC8D2">
      <w:pPr>
        <w:autoSpaceDE w:val="0"/>
        <w:autoSpaceDN w:val="0"/>
        <w:adjustRightInd w:val="0"/>
        <w:spacing w:line="360" w:lineRule="exact"/>
        <w:ind w:firstLine="420" w:firstLineChars="200"/>
        <w:rPr>
          <w:rFonts w:ascii="宋体" w:hAnsi="宋体"/>
          <w:szCs w:val="21"/>
        </w:rPr>
      </w:pPr>
      <w:r>
        <w:rPr>
          <w:rFonts w:hint="eastAsia" w:ascii="宋体" w:hAnsi="宋体"/>
          <w:szCs w:val="21"/>
        </w:rPr>
        <w:t>1、由磋商小组对响应人的资格进行审查。</w:t>
      </w:r>
    </w:p>
    <w:p w14:paraId="6EAAD776">
      <w:pPr>
        <w:autoSpaceDE w:val="0"/>
        <w:autoSpaceDN w:val="0"/>
        <w:adjustRightInd w:val="0"/>
        <w:spacing w:line="360" w:lineRule="exact"/>
        <w:ind w:firstLine="420" w:firstLineChars="200"/>
        <w:rPr>
          <w:rFonts w:ascii="宋体" w:hAnsi="宋体"/>
          <w:szCs w:val="21"/>
        </w:rPr>
      </w:pPr>
      <w:r>
        <w:rPr>
          <w:rFonts w:hint="eastAsia" w:ascii="宋体" w:hAnsi="宋体"/>
          <w:szCs w:val="21"/>
        </w:rPr>
        <w:t>2、按以下内容审核响应文件是否符合竞争性磋商文件的资格文件要求。</w:t>
      </w:r>
    </w:p>
    <w:tbl>
      <w:tblPr>
        <w:tblStyle w:val="29"/>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296E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4B49298B">
            <w:pPr>
              <w:spacing w:line="320" w:lineRule="exact"/>
              <w:jc w:val="center"/>
              <w:rPr>
                <w:rFonts w:ascii="宋体" w:hAnsi="宋体" w:cs="宋体"/>
                <w:b/>
                <w:szCs w:val="21"/>
              </w:rPr>
            </w:pPr>
            <w:r>
              <w:rPr>
                <w:rFonts w:hint="eastAsia" w:ascii="宋体" w:hAnsi="宋体" w:cs="宋体"/>
                <w:b/>
                <w:szCs w:val="21"/>
              </w:rPr>
              <w:t>序号</w:t>
            </w:r>
          </w:p>
        </w:tc>
        <w:tc>
          <w:tcPr>
            <w:tcW w:w="4395" w:type="dxa"/>
            <w:tcBorders>
              <w:tl2br w:val="single" w:color="auto" w:sz="4" w:space="0"/>
            </w:tcBorders>
            <w:vAlign w:val="center"/>
          </w:tcPr>
          <w:p w14:paraId="56C8BA26">
            <w:pPr>
              <w:spacing w:line="320" w:lineRule="exact"/>
              <w:jc w:val="right"/>
              <w:rPr>
                <w:rFonts w:ascii="宋体" w:hAnsi="宋体" w:cs="宋体"/>
                <w:b/>
                <w:szCs w:val="21"/>
              </w:rPr>
            </w:pPr>
            <w:r>
              <w:rPr>
                <w:rFonts w:hint="eastAsia" w:ascii="宋体" w:hAnsi="宋体" w:cs="宋体"/>
                <w:b/>
                <w:szCs w:val="21"/>
              </w:rPr>
              <w:t>响应人</w:t>
            </w:r>
          </w:p>
          <w:p w14:paraId="0E5CC0AF">
            <w:pPr>
              <w:spacing w:line="320" w:lineRule="exact"/>
              <w:rPr>
                <w:rFonts w:ascii="宋体" w:hAnsi="宋体" w:cs="宋体"/>
                <w:b/>
                <w:szCs w:val="21"/>
              </w:rPr>
            </w:pPr>
            <w:r>
              <w:rPr>
                <w:rFonts w:hint="eastAsia" w:ascii="宋体" w:hAnsi="宋体" w:cs="宋体"/>
                <w:b/>
                <w:szCs w:val="21"/>
              </w:rPr>
              <w:t>内容</w:t>
            </w:r>
          </w:p>
        </w:tc>
        <w:tc>
          <w:tcPr>
            <w:tcW w:w="4621" w:type="dxa"/>
            <w:vAlign w:val="center"/>
          </w:tcPr>
          <w:p w14:paraId="01B3586F">
            <w:pPr>
              <w:spacing w:line="320" w:lineRule="exact"/>
              <w:jc w:val="center"/>
              <w:rPr>
                <w:rFonts w:ascii="宋体" w:hAnsi="宋体" w:cs="宋体"/>
                <w:b/>
                <w:szCs w:val="21"/>
              </w:rPr>
            </w:pPr>
            <w:r>
              <w:rPr>
                <w:rFonts w:hint="eastAsia" w:ascii="宋体" w:hAnsi="宋体" w:cs="宋体"/>
                <w:b/>
                <w:szCs w:val="21"/>
              </w:rPr>
              <w:t>审核标准</w:t>
            </w:r>
          </w:p>
        </w:tc>
      </w:tr>
      <w:tr w14:paraId="0F82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301B0ABB">
            <w:pPr>
              <w:spacing w:line="320" w:lineRule="exact"/>
              <w:jc w:val="center"/>
              <w:rPr>
                <w:rFonts w:ascii="宋体" w:hAnsi="宋体" w:cs="宋体"/>
                <w:szCs w:val="21"/>
              </w:rPr>
            </w:pPr>
            <w:r>
              <w:rPr>
                <w:rFonts w:hint="eastAsia" w:ascii="宋体" w:hAnsi="宋体" w:cs="宋体"/>
                <w:szCs w:val="21"/>
              </w:rPr>
              <w:t>1</w:t>
            </w:r>
          </w:p>
        </w:tc>
        <w:tc>
          <w:tcPr>
            <w:tcW w:w="4395" w:type="dxa"/>
            <w:vAlign w:val="center"/>
          </w:tcPr>
          <w:p w14:paraId="756D7F68">
            <w:pPr>
              <w:spacing w:line="320" w:lineRule="exact"/>
              <w:rPr>
                <w:rFonts w:ascii="宋体" w:hAnsi="宋体" w:cs="宋体"/>
                <w:szCs w:val="21"/>
              </w:rPr>
            </w:pPr>
            <w:r>
              <w:rPr>
                <w:rFonts w:hint="eastAsia" w:ascii="宋体" w:hAnsi="宋体" w:cs="宋体"/>
                <w:szCs w:val="21"/>
              </w:rPr>
              <w:t>具有独立承担民事责任的能力</w:t>
            </w:r>
          </w:p>
        </w:tc>
        <w:tc>
          <w:tcPr>
            <w:tcW w:w="4621" w:type="dxa"/>
            <w:vAlign w:val="center"/>
          </w:tcPr>
          <w:p w14:paraId="015A323A">
            <w:pPr>
              <w:spacing w:line="320" w:lineRule="exact"/>
              <w:rPr>
                <w:rFonts w:ascii="宋体" w:hAnsi="宋体" w:cs="宋体"/>
                <w:szCs w:val="21"/>
              </w:rPr>
            </w:pPr>
            <w:r>
              <w:rPr>
                <w:rFonts w:hint="eastAsia" w:ascii="宋体" w:hAnsi="宋体" w:cs="宋体"/>
                <w:szCs w:val="21"/>
                <w:lang w:val="en-US" w:eastAsia="zh-CN"/>
              </w:rPr>
              <w:t>提供</w:t>
            </w:r>
            <w:r>
              <w:rPr>
                <w:rFonts w:hint="eastAsia" w:ascii="宋体" w:hAnsi="宋体" w:cs="宋体"/>
                <w:szCs w:val="21"/>
              </w:rPr>
              <w:t>营业执照(或事业法人登记证书或其它工商等登记证明材料；自然人参与政府采购，提供身份证)复印件</w:t>
            </w:r>
          </w:p>
        </w:tc>
      </w:tr>
      <w:tr w14:paraId="5CCB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1DB6CC0B">
            <w:pPr>
              <w:spacing w:line="320" w:lineRule="exact"/>
              <w:jc w:val="center"/>
              <w:rPr>
                <w:rFonts w:ascii="宋体" w:hAnsi="宋体" w:cs="宋体"/>
                <w:szCs w:val="21"/>
              </w:rPr>
            </w:pPr>
            <w:r>
              <w:rPr>
                <w:rFonts w:hint="eastAsia" w:ascii="宋体" w:hAnsi="宋体" w:cs="宋体"/>
                <w:szCs w:val="21"/>
              </w:rPr>
              <w:t>2</w:t>
            </w:r>
          </w:p>
        </w:tc>
        <w:tc>
          <w:tcPr>
            <w:tcW w:w="4395" w:type="dxa"/>
            <w:vAlign w:val="center"/>
          </w:tcPr>
          <w:p w14:paraId="4D194415">
            <w:pPr>
              <w:spacing w:line="320" w:lineRule="exact"/>
              <w:rPr>
                <w:rFonts w:ascii="宋体" w:hAnsi="宋体" w:cs="宋体"/>
                <w:szCs w:val="21"/>
              </w:rPr>
            </w:pPr>
            <w:r>
              <w:rPr>
                <w:rFonts w:hint="eastAsia" w:ascii="宋体" w:hAnsi="宋体" w:cs="宋体"/>
                <w:szCs w:val="21"/>
              </w:rPr>
              <w:t>具有良好的商业信誉和健全的财务会计制度</w:t>
            </w:r>
          </w:p>
        </w:tc>
        <w:tc>
          <w:tcPr>
            <w:tcW w:w="4621" w:type="dxa"/>
            <w:vAlign w:val="center"/>
          </w:tcPr>
          <w:p w14:paraId="5766A679">
            <w:pPr>
              <w:spacing w:line="320" w:lineRule="exact"/>
              <w:jc w:val="left"/>
              <w:rPr>
                <w:rFonts w:ascii="宋体" w:hAnsi="宋体" w:cs="宋体"/>
                <w:szCs w:val="21"/>
              </w:rPr>
            </w:pPr>
            <w:r>
              <w:rPr>
                <w:rFonts w:hint="eastAsia" w:ascii="宋体" w:hAnsi="宋体" w:cs="宋体"/>
                <w:szCs w:val="21"/>
              </w:rPr>
              <w:t>提供《响应函》。</w:t>
            </w:r>
          </w:p>
        </w:tc>
      </w:tr>
      <w:tr w14:paraId="4A65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5F2CB16">
            <w:pPr>
              <w:spacing w:line="320" w:lineRule="exact"/>
              <w:jc w:val="center"/>
              <w:rPr>
                <w:rFonts w:ascii="宋体" w:hAnsi="宋体" w:cs="宋体"/>
                <w:szCs w:val="21"/>
              </w:rPr>
            </w:pPr>
            <w:r>
              <w:rPr>
                <w:rFonts w:hint="eastAsia" w:ascii="宋体" w:hAnsi="宋体" w:cs="宋体"/>
                <w:szCs w:val="21"/>
              </w:rPr>
              <w:t>3</w:t>
            </w:r>
          </w:p>
        </w:tc>
        <w:tc>
          <w:tcPr>
            <w:tcW w:w="4395" w:type="dxa"/>
            <w:vAlign w:val="center"/>
          </w:tcPr>
          <w:p w14:paraId="7F8835BC">
            <w:pPr>
              <w:spacing w:line="320" w:lineRule="exact"/>
              <w:rPr>
                <w:rFonts w:ascii="宋体" w:hAnsi="宋体" w:cs="宋体"/>
                <w:szCs w:val="21"/>
              </w:rPr>
            </w:pPr>
            <w:r>
              <w:rPr>
                <w:rFonts w:hint="eastAsia" w:ascii="宋体" w:hAnsi="宋体" w:cs="宋体"/>
                <w:szCs w:val="21"/>
              </w:rPr>
              <w:t>具有履行合同所必需的设备和专业技术能力</w:t>
            </w:r>
          </w:p>
        </w:tc>
        <w:tc>
          <w:tcPr>
            <w:tcW w:w="4621" w:type="dxa"/>
            <w:vAlign w:val="center"/>
          </w:tcPr>
          <w:p w14:paraId="4BB34542">
            <w:pPr>
              <w:spacing w:line="320" w:lineRule="exact"/>
              <w:jc w:val="left"/>
              <w:rPr>
                <w:rFonts w:ascii="宋体" w:hAnsi="宋体" w:cs="宋体"/>
                <w:szCs w:val="21"/>
              </w:rPr>
            </w:pPr>
            <w:r>
              <w:rPr>
                <w:rFonts w:hint="eastAsia" w:ascii="宋体" w:hAnsi="宋体" w:cs="宋体"/>
                <w:szCs w:val="21"/>
              </w:rPr>
              <w:t>提供《响应函》。</w:t>
            </w:r>
          </w:p>
        </w:tc>
      </w:tr>
      <w:tr w14:paraId="1423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7041B5DE">
            <w:pPr>
              <w:spacing w:line="320" w:lineRule="exact"/>
              <w:jc w:val="center"/>
              <w:rPr>
                <w:rFonts w:ascii="宋体" w:hAnsi="宋体" w:cs="宋体"/>
                <w:szCs w:val="21"/>
              </w:rPr>
            </w:pPr>
            <w:r>
              <w:rPr>
                <w:rFonts w:hint="eastAsia" w:ascii="宋体" w:hAnsi="宋体" w:cs="宋体"/>
                <w:szCs w:val="21"/>
              </w:rPr>
              <w:t>4</w:t>
            </w:r>
          </w:p>
        </w:tc>
        <w:tc>
          <w:tcPr>
            <w:tcW w:w="4395" w:type="dxa"/>
            <w:vAlign w:val="center"/>
          </w:tcPr>
          <w:p w14:paraId="6271253A">
            <w:pPr>
              <w:spacing w:line="320" w:lineRule="exact"/>
              <w:rPr>
                <w:rFonts w:ascii="宋体" w:hAnsi="宋体" w:cs="宋体"/>
                <w:szCs w:val="21"/>
              </w:rPr>
            </w:pPr>
            <w:r>
              <w:rPr>
                <w:rFonts w:hint="eastAsia" w:ascii="宋体" w:hAnsi="宋体" w:cs="宋体"/>
                <w:szCs w:val="21"/>
              </w:rPr>
              <w:t>有依法缴纳税收和社会保障资金的良好记录</w:t>
            </w:r>
          </w:p>
        </w:tc>
        <w:tc>
          <w:tcPr>
            <w:tcW w:w="4621" w:type="dxa"/>
            <w:vAlign w:val="center"/>
          </w:tcPr>
          <w:p w14:paraId="5E13F7AA">
            <w:pPr>
              <w:spacing w:line="320" w:lineRule="exact"/>
              <w:jc w:val="left"/>
              <w:rPr>
                <w:rFonts w:ascii="宋体" w:hAnsi="宋体" w:cs="宋体"/>
                <w:szCs w:val="21"/>
              </w:rPr>
            </w:pPr>
            <w:r>
              <w:rPr>
                <w:rFonts w:hint="eastAsia" w:ascii="宋体" w:hAnsi="宋体" w:cs="宋体"/>
                <w:szCs w:val="21"/>
              </w:rPr>
              <w:t>提供《响应函》。</w:t>
            </w:r>
          </w:p>
        </w:tc>
      </w:tr>
      <w:tr w14:paraId="4A2E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14:paraId="58D3D07A">
            <w:pPr>
              <w:spacing w:line="320" w:lineRule="exact"/>
              <w:jc w:val="center"/>
              <w:rPr>
                <w:rFonts w:ascii="宋体" w:hAnsi="宋体" w:cs="宋体"/>
                <w:szCs w:val="21"/>
              </w:rPr>
            </w:pPr>
            <w:r>
              <w:rPr>
                <w:rFonts w:hint="eastAsia" w:ascii="宋体" w:hAnsi="宋体" w:cs="宋体"/>
                <w:szCs w:val="21"/>
              </w:rPr>
              <w:t>5</w:t>
            </w:r>
          </w:p>
        </w:tc>
        <w:tc>
          <w:tcPr>
            <w:tcW w:w="4395" w:type="dxa"/>
            <w:vAlign w:val="center"/>
          </w:tcPr>
          <w:p w14:paraId="47D70307">
            <w:pPr>
              <w:pStyle w:val="24"/>
              <w:widowControl w:val="0"/>
              <w:tabs>
                <w:tab w:val="left" w:pos="6234"/>
              </w:tabs>
              <w:adjustRightInd w:val="0"/>
              <w:snapToGrid w:val="0"/>
              <w:spacing w:before="0" w:beforeAutospacing="0" w:after="0" w:afterAutospacing="0" w:line="320" w:lineRule="exact"/>
              <w:rPr>
                <w:szCs w:val="21"/>
              </w:rPr>
            </w:pPr>
            <w:r>
              <w:rPr>
                <w:rFonts w:hint="eastAsia"/>
                <w:sz w:val="21"/>
                <w:szCs w:val="21"/>
              </w:rPr>
              <w:t>参加政府采购活动前三年内，在经营活动中没有重大违法记录</w:t>
            </w:r>
          </w:p>
        </w:tc>
        <w:tc>
          <w:tcPr>
            <w:tcW w:w="4621" w:type="dxa"/>
            <w:vAlign w:val="center"/>
          </w:tcPr>
          <w:p w14:paraId="731F4E36">
            <w:pPr>
              <w:spacing w:line="320" w:lineRule="exact"/>
              <w:jc w:val="left"/>
              <w:rPr>
                <w:rFonts w:ascii="宋体" w:hAnsi="宋体" w:cs="宋体"/>
                <w:szCs w:val="21"/>
              </w:rPr>
            </w:pPr>
            <w:r>
              <w:rPr>
                <w:rFonts w:hint="eastAsia" w:ascii="宋体" w:hAnsi="宋体" w:cs="宋体"/>
                <w:szCs w:val="21"/>
              </w:rPr>
              <w:t>提供《响应函》。</w:t>
            </w:r>
          </w:p>
        </w:tc>
      </w:tr>
      <w:tr w14:paraId="61AE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14:paraId="7B8C263F">
            <w:pPr>
              <w:spacing w:line="320" w:lineRule="exact"/>
              <w:jc w:val="center"/>
              <w:rPr>
                <w:rFonts w:ascii="宋体" w:hAnsi="宋体" w:cs="宋体"/>
                <w:szCs w:val="21"/>
              </w:rPr>
            </w:pPr>
            <w:r>
              <w:rPr>
                <w:rFonts w:hint="eastAsia" w:ascii="宋体" w:hAnsi="宋体" w:cs="宋体"/>
                <w:szCs w:val="21"/>
              </w:rPr>
              <w:t>6</w:t>
            </w:r>
          </w:p>
        </w:tc>
        <w:tc>
          <w:tcPr>
            <w:tcW w:w="4395" w:type="dxa"/>
            <w:vAlign w:val="center"/>
          </w:tcPr>
          <w:p w14:paraId="4C384644">
            <w:pPr>
              <w:spacing w:line="320" w:lineRule="exact"/>
              <w:rPr>
                <w:rFonts w:ascii="宋体" w:hAnsi="宋体" w:cs="宋体"/>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w:t>
            </w:r>
          </w:p>
        </w:tc>
        <w:tc>
          <w:tcPr>
            <w:tcW w:w="4621" w:type="dxa"/>
            <w:vAlign w:val="center"/>
          </w:tcPr>
          <w:p w14:paraId="17B40DFB">
            <w:pPr>
              <w:tabs>
                <w:tab w:val="left" w:pos="0"/>
              </w:tabs>
              <w:spacing w:line="320" w:lineRule="exact"/>
              <w:rPr>
                <w:rFonts w:ascii="宋体" w:hAnsi="宋体" w:cs="宋体"/>
                <w:szCs w:val="21"/>
              </w:rPr>
            </w:pPr>
            <w:r>
              <w:rPr>
                <w:rFonts w:hint="eastAsia" w:ascii="宋体" w:hAnsi="宋体" w:cs="宋体"/>
                <w:szCs w:val="21"/>
              </w:rPr>
              <w:t>以开标现场网页查询结果为准。</w:t>
            </w:r>
          </w:p>
        </w:tc>
      </w:tr>
      <w:tr w14:paraId="427C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675" w:type="dxa"/>
            <w:vAlign w:val="center"/>
          </w:tcPr>
          <w:p w14:paraId="5111FB7A">
            <w:pPr>
              <w:spacing w:line="320" w:lineRule="exact"/>
              <w:jc w:val="center"/>
              <w:rPr>
                <w:rFonts w:ascii="宋体" w:hAnsi="宋体" w:cs="宋体"/>
                <w:szCs w:val="21"/>
              </w:rPr>
            </w:pPr>
            <w:r>
              <w:rPr>
                <w:rFonts w:hint="eastAsia" w:ascii="宋体" w:hAnsi="宋体" w:cs="宋体"/>
                <w:szCs w:val="21"/>
              </w:rPr>
              <w:t>7</w:t>
            </w:r>
          </w:p>
        </w:tc>
        <w:tc>
          <w:tcPr>
            <w:tcW w:w="4395" w:type="dxa"/>
            <w:vAlign w:val="center"/>
          </w:tcPr>
          <w:p w14:paraId="561F4C91">
            <w:pPr>
              <w:spacing w:line="320" w:lineRule="exact"/>
              <w:jc w:val="left"/>
              <w:rPr>
                <w:rFonts w:ascii="宋体" w:hAnsi="宋体" w:cs="宋体"/>
                <w:szCs w:val="21"/>
              </w:rPr>
            </w:pPr>
            <w:r>
              <w:rPr>
                <w:rFonts w:hint="eastAsia" w:ascii="宋体" w:hAnsi="宋体" w:cs="宋体"/>
                <w:szCs w:val="21"/>
              </w:rPr>
              <w:t>法定代表人证明书或法定代表人委托授权书</w:t>
            </w:r>
          </w:p>
        </w:tc>
        <w:tc>
          <w:tcPr>
            <w:tcW w:w="4621" w:type="dxa"/>
            <w:vAlign w:val="center"/>
          </w:tcPr>
          <w:p w14:paraId="3768A19E">
            <w:pPr>
              <w:spacing w:line="320" w:lineRule="exact"/>
              <w:jc w:val="left"/>
              <w:rPr>
                <w:rFonts w:ascii="宋体" w:hAnsi="宋体" w:cs="宋体"/>
                <w:szCs w:val="21"/>
              </w:rPr>
            </w:pPr>
            <w:r>
              <w:rPr>
                <w:rFonts w:hint="eastAsia" w:ascii="宋体" w:hAnsi="宋体" w:cs="宋体"/>
                <w:szCs w:val="21"/>
              </w:rPr>
              <w:t>法定代表人参加投标时提供《法定代表人证明书》原件，非法定代表人参加投标时提供《法定代表人委托授权书》原件</w:t>
            </w:r>
          </w:p>
        </w:tc>
      </w:tr>
      <w:tr w14:paraId="501C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14:paraId="67B7F0F5">
            <w:pPr>
              <w:pStyle w:val="17"/>
              <w:spacing w:line="320" w:lineRule="exact"/>
              <w:ind w:left="0" w:firstLine="0" w:firstLineChars="0"/>
              <w:jc w:val="center"/>
              <w:rPr>
                <w:rFonts w:ascii="宋体" w:hAnsi="宋体" w:cs="宋体"/>
                <w:b/>
                <w:sz w:val="21"/>
                <w:szCs w:val="21"/>
              </w:rPr>
            </w:pPr>
            <w:r>
              <w:rPr>
                <w:rFonts w:hint="eastAsia" w:ascii="宋体" w:hAnsi="宋体" w:cs="宋体"/>
                <w:b/>
                <w:sz w:val="21"/>
                <w:szCs w:val="21"/>
              </w:rPr>
              <w:t>结论</w:t>
            </w:r>
          </w:p>
        </w:tc>
        <w:tc>
          <w:tcPr>
            <w:tcW w:w="4621" w:type="dxa"/>
            <w:vAlign w:val="center"/>
          </w:tcPr>
          <w:p w14:paraId="49B68773">
            <w:pPr>
              <w:spacing w:line="320" w:lineRule="exact"/>
              <w:ind w:left="180"/>
              <w:jc w:val="center"/>
              <w:rPr>
                <w:rFonts w:ascii="宋体" w:hAnsi="宋体" w:cs="宋体"/>
                <w:b/>
                <w:szCs w:val="21"/>
              </w:rPr>
            </w:pPr>
          </w:p>
        </w:tc>
      </w:tr>
    </w:tbl>
    <w:p w14:paraId="19B2AD0B">
      <w:pPr>
        <w:widowControl/>
        <w:jc w:val="left"/>
        <w:rPr>
          <w:rFonts w:ascii="宋体" w:hAnsi="宋体" w:cs="仿宋_GB2312"/>
          <w:b/>
          <w:bCs/>
          <w:sz w:val="24"/>
          <w:szCs w:val="22"/>
          <w:lang w:val="zh-CN"/>
        </w:rPr>
      </w:pPr>
    </w:p>
    <w:p w14:paraId="75A1E015">
      <w:pPr>
        <w:pStyle w:val="11"/>
        <w:rPr>
          <w:lang w:val="zh-CN"/>
        </w:rPr>
      </w:pPr>
      <w:r>
        <w:rPr>
          <w:lang w:val="zh-CN"/>
        </w:rPr>
        <w:br w:type="page"/>
      </w:r>
    </w:p>
    <w:p w14:paraId="0710E29B">
      <w:pPr>
        <w:widowControl/>
        <w:jc w:val="left"/>
        <w:rPr>
          <w:lang w:val="zh-CN"/>
        </w:rPr>
      </w:pPr>
      <w:r>
        <w:rPr>
          <w:rFonts w:hint="eastAsia" w:ascii="宋体" w:hAnsi="宋体" w:cs="仿宋_GB2312"/>
          <w:b/>
          <w:bCs/>
          <w:sz w:val="24"/>
          <w:szCs w:val="22"/>
          <w:lang w:val="zh-CN"/>
        </w:rPr>
        <w:t>三、评分内容及标准</w:t>
      </w:r>
    </w:p>
    <w:tbl>
      <w:tblPr>
        <w:tblStyle w:val="29"/>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13"/>
        <w:gridCol w:w="7263"/>
      </w:tblGrid>
      <w:tr w14:paraId="716F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1" w:type="dxa"/>
            <w:vAlign w:val="center"/>
          </w:tcPr>
          <w:p w14:paraId="3B036EAE">
            <w:pPr>
              <w:widowControl/>
              <w:spacing w:line="360" w:lineRule="exact"/>
              <w:rPr>
                <w:rFonts w:hint="eastAsia" w:ascii="宋体" w:hAnsi="宋体" w:eastAsia="宋体" w:cs="宋体"/>
                <w:sz w:val="24"/>
              </w:rPr>
            </w:pPr>
            <w:r>
              <w:rPr>
                <w:rFonts w:hint="eastAsia" w:ascii="宋体" w:hAnsi="宋体" w:eastAsia="宋体" w:cs="宋体"/>
                <w:sz w:val="24"/>
              </w:rPr>
              <w:t>评审项目</w:t>
            </w:r>
          </w:p>
        </w:tc>
        <w:tc>
          <w:tcPr>
            <w:tcW w:w="1113" w:type="dxa"/>
            <w:vAlign w:val="center"/>
          </w:tcPr>
          <w:p w14:paraId="1D15485A">
            <w:pPr>
              <w:widowControl/>
              <w:spacing w:line="360" w:lineRule="exact"/>
              <w:jc w:val="center"/>
              <w:rPr>
                <w:rFonts w:hint="eastAsia" w:ascii="宋体" w:hAnsi="宋体" w:eastAsia="宋体" w:cs="宋体"/>
                <w:sz w:val="24"/>
              </w:rPr>
            </w:pPr>
            <w:r>
              <w:rPr>
                <w:rFonts w:hint="eastAsia" w:ascii="宋体" w:hAnsi="宋体" w:eastAsia="宋体" w:cs="宋体"/>
                <w:sz w:val="24"/>
              </w:rPr>
              <w:t>评分项目</w:t>
            </w:r>
          </w:p>
        </w:tc>
        <w:tc>
          <w:tcPr>
            <w:tcW w:w="7263" w:type="dxa"/>
            <w:vAlign w:val="center"/>
          </w:tcPr>
          <w:p w14:paraId="4BEF0990">
            <w:pPr>
              <w:widowControl/>
              <w:spacing w:line="360" w:lineRule="exact"/>
              <w:jc w:val="center"/>
              <w:rPr>
                <w:rFonts w:hint="eastAsia" w:ascii="宋体" w:hAnsi="宋体" w:eastAsia="宋体" w:cs="宋体"/>
                <w:sz w:val="24"/>
              </w:rPr>
            </w:pPr>
            <w:r>
              <w:rPr>
                <w:rFonts w:hint="eastAsia" w:ascii="宋体" w:hAnsi="宋体" w:eastAsia="宋体" w:cs="宋体"/>
                <w:sz w:val="24"/>
              </w:rPr>
              <w:t>评分标准</w:t>
            </w:r>
          </w:p>
        </w:tc>
      </w:tr>
      <w:tr w14:paraId="5FB7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restart"/>
            <w:vAlign w:val="center"/>
          </w:tcPr>
          <w:p w14:paraId="32775DB9">
            <w:pPr>
              <w:spacing w:line="320" w:lineRule="exact"/>
              <w:jc w:val="left"/>
              <w:rPr>
                <w:rFonts w:hint="eastAsia" w:ascii="宋体" w:hAnsi="宋体" w:eastAsia="宋体" w:cs="宋体"/>
                <w:szCs w:val="21"/>
              </w:rPr>
            </w:pPr>
            <w:r>
              <w:rPr>
                <w:rFonts w:hint="eastAsia" w:ascii="宋体" w:hAnsi="宋体" w:eastAsia="宋体" w:cs="宋体"/>
                <w:szCs w:val="21"/>
              </w:rPr>
              <w:t>商务</w:t>
            </w:r>
          </w:p>
          <w:p w14:paraId="539AD9FC">
            <w:pPr>
              <w:spacing w:line="320" w:lineRule="exact"/>
              <w:jc w:val="left"/>
              <w:rPr>
                <w:rFonts w:hint="eastAsia" w:ascii="宋体" w:hAnsi="宋体" w:eastAsia="宋体" w:cs="宋体"/>
                <w:szCs w:val="21"/>
              </w:rPr>
            </w:pPr>
            <w:r>
              <w:rPr>
                <w:rFonts w:hint="eastAsia" w:ascii="宋体" w:hAnsi="宋体" w:eastAsia="宋体" w:cs="宋体"/>
                <w:szCs w:val="21"/>
              </w:rPr>
              <w:t>部分</w:t>
            </w:r>
          </w:p>
          <w:p w14:paraId="286FB7E4">
            <w:pPr>
              <w:spacing w:line="320" w:lineRule="exact"/>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13</w:t>
            </w:r>
            <w:r>
              <w:rPr>
                <w:rFonts w:hint="eastAsia" w:ascii="宋体" w:hAnsi="宋体" w:eastAsia="宋体" w:cs="宋体"/>
                <w:szCs w:val="21"/>
              </w:rPr>
              <w:t>分）</w:t>
            </w:r>
          </w:p>
          <w:p w14:paraId="462FB99E">
            <w:pPr>
              <w:spacing w:line="320" w:lineRule="exact"/>
              <w:jc w:val="left"/>
              <w:rPr>
                <w:rFonts w:hint="eastAsia" w:ascii="宋体" w:hAnsi="宋体" w:eastAsia="宋体" w:cs="宋体"/>
                <w:szCs w:val="21"/>
              </w:rPr>
            </w:pPr>
          </w:p>
        </w:tc>
        <w:tc>
          <w:tcPr>
            <w:tcW w:w="1113" w:type="dxa"/>
            <w:vAlign w:val="center"/>
          </w:tcPr>
          <w:p w14:paraId="0911C78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企业认证（2分）</w:t>
            </w:r>
          </w:p>
        </w:tc>
        <w:tc>
          <w:tcPr>
            <w:tcW w:w="7263" w:type="dxa"/>
            <w:vAlign w:val="center"/>
          </w:tcPr>
          <w:p w14:paraId="28AC0653">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1.投标人具有有效期内的信息技术服务管理体系认证得1分；</w:t>
            </w:r>
          </w:p>
          <w:p w14:paraId="20AFBD15">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2.投标人具有有效期内的信息安全管理体系认证的，得1分。</w:t>
            </w:r>
          </w:p>
          <w:p w14:paraId="5331EA12">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注：提供有效期内的认证证书复印件并加盖公章，否则不得分</w:t>
            </w:r>
          </w:p>
        </w:tc>
      </w:tr>
      <w:tr w14:paraId="24F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continue"/>
            <w:vAlign w:val="center"/>
          </w:tcPr>
          <w:p w14:paraId="76CAA2FC">
            <w:pPr>
              <w:spacing w:line="320" w:lineRule="exact"/>
              <w:jc w:val="left"/>
              <w:rPr>
                <w:rFonts w:hint="eastAsia" w:ascii="宋体" w:hAnsi="宋体" w:eastAsia="宋体" w:cs="宋体"/>
                <w:szCs w:val="21"/>
              </w:rPr>
            </w:pPr>
          </w:p>
        </w:tc>
        <w:tc>
          <w:tcPr>
            <w:tcW w:w="1113" w:type="dxa"/>
            <w:vAlign w:val="center"/>
          </w:tcPr>
          <w:p w14:paraId="19DE3668">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企业业绩</w:t>
            </w:r>
          </w:p>
          <w:p w14:paraId="514E541B">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（3分）</w:t>
            </w:r>
          </w:p>
        </w:tc>
        <w:tc>
          <w:tcPr>
            <w:tcW w:w="7263" w:type="dxa"/>
            <w:vAlign w:val="center"/>
          </w:tcPr>
          <w:p w14:paraId="7A70EBDD">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投标人具有自2022年1月1日以来（以合同签订时间为准）项目类似的业绩案例，每1个得1分，最多得3分（</w:t>
            </w:r>
            <w:r>
              <w:rPr>
                <w:rFonts w:hint="eastAsia"/>
                <w:b w:val="0"/>
                <w:bCs/>
                <w:highlight w:val="none"/>
                <w:lang w:val="en-US" w:eastAsia="zh-CN"/>
              </w:rPr>
              <w:t>同一单位合同不重复得分</w:t>
            </w:r>
            <w:r>
              <w:rPr>
                <w:rFonts w:hint="eastAsia" w:ascii="宋体" w:hAnsi="宋体" w:cs="宋体"/>
                <w:szCs w:val="21"/>
                <w:highlight w:val="none"/>
                <w:lang w:val="en-US" w:eastAsia="zh-CN"/>
              </w:rPr>
              <w:t>）。</w:t>
            </w:r>
          </w:p>
          <w:p w14:paraId="3B0E46EE">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注：提供项目业绩合同复印件并加盖公章,否则不得分。</w:t>
            </w:r>
          </w:p>
        </w:tc>
      </w:tr>
      <w:tr w14:paraId="4FC1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70BB5409">
            <w:pPr>
              <w:spacing w:line="320" w:lineRule="exact"/>
              <w:jc w:val="left"/>
              <w:rPr>
                <w:rFonts w:hint="eastAsia" w:ascii="宋体" w:hAnsi="宋体" w:eastAsia="宋体" w:cs="宋体"/>
                <w:szCs w:val="21"/>
              </w:rPr>
            </w:pPr>
          </w:p>
        </w:tc>
        <w:tc>
          <w:tcPr>
            <w:tcW w:w="1113" w:type="dxa"/>
            <w:vAlign w:val="center"/>
          </w:tcPr>
          <w:p w14:paraId="47FB652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项目负责</w:t>
            </w:r>
          </w:p>
          <w:p w14:paraId="567F0214">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人</w:t>
            </w:r>
          </w:p>
          <w:p w14:paraId="55F434DA">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（3分）</w:t>
            </w:r>
          </w:p>
        </w:tc>
        <w:tc>
          <w:tcPr>
            <w:tcW w:w="7263" w:type="dxa"/>
            <w:vAlign w:val="center"/>
          </w:tcPr>
          <w:p w14:paraId="3E77B31A">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投标人拟派的项目负责人（一人）：</w:t>
            </w:r>
          </w:p>
          <w:p w14:paraId="2BEFE5EE">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1、具有信息系统项目管理师（高级）证书的，得2分；</w:t>
            </w:r>
          </w:p>
          <w:p w14:paraId="7080D1BF">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2、具有中级及以上计算机软件、网络工程师证书、信息系统专业类别的证书，有其中任意一本资格水平证书得1分，最高得1分；其余不得分。</w:t>
            </w:r>
          </w:p>
          <w:p w14:paraId="3C286911">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注:</w:t>
            </w:r>
          </w:p>
          <w:p w14:paraId="1CB9B4DB">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1.投标人须提供由人力资源和社会保障部门颁发的上述职业资格（职业技能）证书；</w:t>
            </w:r>
          </w:p>
          <w:p w14:paraId="24ECC134">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2．提供人员社保证明（开标前三个月的任意一个月），否则不得分。</w:t>
            </w:r>
          </w:p>
          <w:p w14:paraId="4673B560">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3.提供的同类证书等级高于上述证书的，视作满足要求。</w:t>
            </w:r>
          </w:p>
        </w:tc>
      </w:tr>
      <w:tr w14:paraId="2000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65D0D351">
            <w:pPr>
              <w:spacing w:line="320" w:lineRule="exact"/>
              <w:jc w:val="left"/>
              <w:rPr>
                <w:rFonts w:hint="eastAsia" w:ascii="宋体" w:hAnsi="宋体" w:eastAsia="宋体" w:cs="宋体"/>
                <w:szCs w:val="21"/>
              </w:rPr>
            </w:pPr>
          </w:p>
        </w:tc>
        <w:tc>
          <w:tcPr>
            <w:tcW w:w="1113" w:type="dxa"/>
            <w:vAlign w:val="center"/>
          </w:tcPr>
          <w:p w14:paraId="4F0984C5">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项目人员配备</w:t>
            </w:r>
          </w:p>
          <w:p w14:paraId="37F37E4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（5分）</w:t>
            </w:r>
          </w:p>
        </w:tc>
        <w:tc>
          <w:tcPr>
            <w:tcW w:w="7263" w:type="dxa"/>
            <w:vAlign w:val="center"/>
          </w:tcPr>
          <w:p w14:paraId="3F025B67">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为本项目平台实施及运维所配备的技术人员具有人力资源和社会保障部门颁发的计算机软件、计算机网络、互联网技术、数据库系统、有线传输或传输与接入专业、设备环境、信息系统、信息服务、信息安全专业类别涉及的中级及以上证书，每一本资格水平证书得1分，最高得5分。备注：</w:t>
            </w:r>
          </w:p>
          <w:p w14:paraId="37D5C5B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（1）提供上述人员相关证书及开标前三个月内任意一个月的社保证明，复印件并加盖单位公章。</w:t>
            </w:r>
          </w:p>
          <w:p w14:paraId="2BA12D5F">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（2）1人有多种证书的不重复得分。</w:t>
            </w:r>
          </w:p>
        </w:tc>
      </w:tr>
      <w:tr w14:paraId="455C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restart"/>
            <w:vAlign w:val="center"/>
          </w:tcPr>
          <w:p w14:paraId="3C2BE585">
            <w:pPr>
              <w:spacing w:line="320" w:lineRule="exact"/>
              <w:jc w:val="left"/>
              <w:rPr>
                <w:rFonts w:hint="eastAsia" w:ascii="宋体" w:hAnsi="宋体" w:eastAsia="宋体" w:cs="宋体"/>
                <w:szCs w:val="21"/>
              </w:rPr>
            </w:pPr>
            <w:r>
              <w:rPr>
                <w:rFonts w:hint="eastAsia" w:ascii="宋体" w:hAnsi="宋体" w:eastAsia="宋体" w:cs="宋体"/>
                <w:szCs w:val="21"/>
              </w:rPr>
              <w:t>技术</w:t>
            </w:r>
          </w:p>
          <w:p w14:paraId="76975C88">
            <w:pPr>
              <w:spacing w:line="320" w:lineRule="exact"/>
              <w:jc w:val="left"/>
              <w:rPr>
                <w:rFonts w:hint="eastAsia" w:ascii="宋体" w:hAnsi="宋体" w:eastAsia="宋体" w:cs="宋体"/>
                <w:szCs w:val="21"/>
              </w:rPr>
            </w:pPr>
            <w:r>
              <w:rPr>
                <w:rFonts w:hint="eastAsia" w:ascii="宋体" w:hAnsi="宋体" w:eastAsia="宋体" w:cs="宋体"/>
                <w:szCs w:val="21"/>
              </w:rPr>
              <w:t>部分</w:t>
            </w:r>
          </w:p>
          <w:p w14:paraId="360A0842">
            <w:pPr>
              <w:spacing w:line="320" w:lineRule="exact"/>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57</w:t>
            </w:r>
            <w:r>
              <w:rPr>
                <w:rFonts w:hint="eastAsia" w:ascii="宋体" w:hAnsi="宋体" w:eastAsia="宋体" w:cs="宋体"/>
                <w:szCs w:val="21"/>
              </w:rPr>
              <w:t>分)</w:t>
            </w:r>
          </w:p>
        </w:tc>
        <w:tc>
          <w:tcPr>
            <w:tcW w:w="1113" w:type="dxa"/>
            <w:vAlign w:val="center"/>
          </w:tcPr>
          <w:p w14:paraId="7DECDE2E">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技术响应偏离</w:t>
            </w:r>
          </w:p>
          <w:p w14:paraId="27EBA2FB">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（31分）</w:t>
            </w:r>
          </w:p>
        </w:tc>
        <w:tc>
          <w:tcPr>
            <w:tcW w:w="7263" w:type="dxa"/>
            <w:vAlign w:val="center"/>
          </w:tcPr>
          <w:p w14:paraId="48716B6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提供的设备（服务）的响应偏离情况进行打分：完全满足招标文件技术指标要求的得30分；标▲不允许负偏离，负偏离作无效标处理；标★为重要指标，要求共6条6分，每负偏离或未响应一条扣1分；其他要求共50条，每负偏离或未响应一条扣0.5分，扣完为止。</w:t>
            </w:r>
          </w:p>
          <w:p w14:paraId="31FA23F1">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备注：要求提供第三方检测报告或相关证明的，未提供的视为负偏离。</w:t>
            </w:r>
          </w:p>
        </w:tc>
      </w:tr>
      <w:tr w14:paraId="7EAA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51" w:type="dxa"/>
            <w:vMerge w:val="continue"/>
            <w:vAlign w:val="center"/>
          </w:tcPr>
          <w:p w14:paraId="1BE1444F">
            <w:pPr>
              <w:spacing w:line="320" w:lineRule="exact"/>
              <w:jc w:val="left"/>
              <w:rPr>
                <w:rFonts w:hint="eastAsia" w:ascii="宋体" w:hAnsi="宋体" w:eastAsia="宋体" w:cs="宋体"/>
                <w:szCs w:val="21"/>
              </w:rPr>
            </w:pPr>
          </w:p>
        </w:tc>
        <w:tc>
          <w:tcPr>
            <w:tcW w:w="1113" w:type="dxa"/>
            <w:vAlign w:val="center"/>
          </w:tcPr>
          <w:p w14:paraId="63E56540">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项目理解（4分）</w:t>
            </w:r>
          </w:p>
        </w:tc>
        <w:tc>
          <w:tcPr>
            <w:tcW w:w="7263" w:type="dxa"/>
            <w:vAlign w:val="center"/>
          </w:tcPr>
          <w:p w14:paraId="6C6E12A0">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根据投标人对舟山医院智慧云安防数据中心信息化现状的了解程度，包括对整体平台和网络架构的理解、前端接入的了解情况以及自身承接项目的优势进行综合打分。</w:t>
            </w:r>
          </w:p>
          <w:p w14:paraId="686131BA">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1、对现状理解透彻，对前端接入需求等描述清晰完整的得4分；</w:t>
            </w:r>
          </w:p>
          <w:p w14:paraId="69A30390">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2、对现状理解较为透彻，对前端接入需求等描述较准确得3分；</w:t>
            </w:r>
          </w:p>
          <w:p w14:paraId="03873377">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3、对现状理解及对前端接入需求等描述有不足或偏差得1分；</w:t>
            </w:r>
          </w:p>
          <w:p w14:paraId="5CC2DF1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4、未提供的得0分。</w:t>
            </w:r>
          </w:p>
        </w:tc>
      </w:tr>
      <w:tr w14:paraId="7AFA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1" w:type="dxa"/>
            <w:vMerge w:val="continue"/>
            <w:vAlign w:val="center"/>
          </w:tcPr>
          <w:p w14:paraId="103C2175">
            <w:pPr>
              <w:spacing w:line="320" w:lineRule="exact"/>
              <w:jc w:val="left"/>
              <w:rPr>
                <w:rFonts w:hint="eastAsia" w:ascii="宋体" w:hAnsi="宋体" w:eastAsia="宋体" w:cs="宋体"/>
                <w:szCs w:val="21"/>
              </w:rPr>
            </w:pPr>
          </w:p>
        </w:tc>
        <w:tc>
          <w:tcPr>
            <w:tcW w:w="1113" w:type="dxa"/>
            <w:vAlign w:val="center"/>
          </w:tcPr>
          <w:p w14:paraId="65A3E691">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技术方案（5分）</w:t>
            </w:r>
          </w:p>
        </w:tc>
        <w:tc>
          <w:tcPr>
            <w:tcW w:w="7263" w:type="dxa"/>
            <w:vAlign w:val="center"/>
          </w:tcPr>
          <w:p w14:paraId="6D9F43BF">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根据各投标人针对本项目的技术方案，包括建设背景、需求分析、总体设计、详细设计、平台对接、扩展系统设计等进行综合打分。</w:t>
            </w:r>
          </w:p>
          <w:p w14:paraId="6E8E3F76">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1、技术方案描述清晰完整，与采购人实际需求完全契合的得5分；</w:t>
            </w:r>
          </w:p>
          <w:p w14:paraId="279E8C39">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2、技术方案描述较准确，与采购人实际需求基本符合的得3分；</w:t>
            </w:r>
          </w:p>
          <w:p w14:paraId="1D020181">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3、技术方案描述有不足或与采购人实际需求有偏差的得1分；</w:t>
            </w:r>
          </w:p>
          <w:p w14:paraId="165157CE">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4、未提供的得0分。</w:t>
            </w:r>
          </w:p>
        </w:tc>
      </w:tr>
      <w:tr w14:paraId="5D7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14:paraId="71A6CBF2">
            <w:pPr>
              <w:spacing w:line="320" w:lineRule="exact"/>
              <w:jc w:val="left"/>
              <w:rPr>
                <w:rFonts w:hint="eastAsia" w:ascii="宋体" w:hAnsi="宋体" w:eastAsia="宋体" w:cs="宋体"/>
                <w:szCs w:val="21"/>
              </w:rPr>
            </w:pPr>
          </w:p>
        </w:tc>
        <w:tc>
          <w:tcPr>
            <w:tcW w:w="1113" w:type="dxa"/>
            <w:vAlign w:val="center"/>
          </w:tcPr>
          <w:p w14:paraId="7AD0AEA1">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机房托管服务方案</w:t>
            </w:r>
          </w:p>
          <w:p w14:paraId="32124AB4">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（4分）</w:t>
            </w:r>
          </w:p>
        </w:tc>
        <w:tc>
          <w:tcPr>
            <w:tcW w:w="7263" w:type="dxa"/>
            <w:vAlign w:val="center"/>
          </w:tcPr>
          <w:p w14:paraId="486C3412">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根据投标人提供的机房托管服务方案的环境配套完整性、安全保障措施、运维管理措施等进行打分：1、环境配套、安全保障措施、运维管理措施完整，有利于项目运维的，得4分；</w:t>
            </w:r>
          </w:p>
          <w:p w14:paraId="74F137E4">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2、环境配套、安全保障措施、运维管理措施基本满足项目运维需要的，得2分。</w:t>
            </w:r>
          </w:p>
          <w:p w14:paraId="64858E14">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3、环境配套、安全保障措施、运维管理措施较差，项目运维保障程度较差，得1分。</w:t>
            </w:r>
          </w:p>
        </w:tc>
      </w:tr>
      <w:tr w14:paraId="3594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251" w:type="dxa"/>
            <w:vMerge w:val="continue"/>
            <w:vAlign w:val="center"/>
          </w:tcPr>
          <w:p w14:paraId="4BD3B14A">
            <w:pPr>
              <w:spacing w:line="320" w:lineRule="exact"/>
              <w:jc w:val="left"/>
              <w:rPr>
                <w:rFonts w:hint="eastAsia" w:ascii="宋体" w:hAnsi="宋体" w:eastAsia="宋体" w:cs="宋体"/>
                <w:szCs w:val="21"/>
              </w:rPr>
            </w:pPr>
          </w:p>
        </w:tc>
        <w:tc>
          <w:tcPr>
            <w:tcW w:w="1113" w:type="dxa"/>
            <w:vAlign w:val="center"/>
          </w:tcPr>
          <w:p w14:paraId="7C16987E">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实施方案（5分）</w:t>
            </w:r>
          </w:p>
        </w:tc>
        <w:tc>
          <w:tcPr>
            <w:tcW w:w="7263" w:type="dxa"/>
            <w:vAlign w:val="center"/>
          </w:tcPr>
          <w:p w14:paraId="25F95180">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根据投标人提供的项目实施方案、进度安排、点位整理等内容，结合项目实际要求，进行综合打分。</w:t>
            </w:r>
          </w:p>
          <w:p w14:paraId="45C08FB7">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1、方案描述完整、详细、合理且与实际需求非常符合的，得5分；</w:t>
            </w:r>
          </w:p>
          <w:p w14:paraId="20E4374F">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2、方案描述完整性一般，基本合理，与实际需求部分符合的，得3分；</w:t>
            </w:r>
          </w:p>
          <w:p w14:paraId="79C49840">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3、方案描述不够完整性、较为片面、合理欠缺，对业务影响较大的，得1分；</w:t>
            </w:r>
          </w:p>
          <w:p w14:paraId="6612710D">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4、方案未提供或完全不符合采购人需求的不得分。</w:t>
            </w:r>
          </w:p>
        </w:tc>
      </w:tr>
      <w:tr w14:paraId="4B25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14:paraId="5C7CF269">
            <w:pPr>
              <w:spacing w:line="320" w:lineRule="exact"/>
              <w:jc w:val="left"/>
              <w:rPr>
                <w:rFonts w:hint="eastAsia" w:ascii="宋体" w:hAnsi="宋体" w:eastAsia="宋体" w:cs="宋体"/>
                <w:szCs w:val="21"/>
              </w:rPr>
            </w:pPr>
          </w:p>
        </w:tc>
        <w:tc>
          <w:tcPr>
            <w:tcW w:w="1113" w:type="dxa"/>
            <w:vAlign w:val="center"/>
          </w:tcPr>
          <w:p w14:paraId="705CB319">
            <w:pPr>
              <w:spacing w:line="320" w:lineRule="exact"/>
              <w:jc w:val="left"/>
              <w:rPr>
                <w:spacing w:val="-4"/>
              </w:rPr>
            </w:pPr>
            <w:r>
              <w:rPr>
                <w:rFonts w:ascii="Times New Roman" w:hAnsi="Times New Roman" w:eastAsia="宋体" w:cs="Times New Roman"/>
                <w:spacing w:val="-4"/>
              </w:rPr>
              <w:t>应急</w:t>
            </w:r>
            <w:r>
              <w:rPr>
                <w:spacing w:val="-4"/>
              </w:rPr>
              <w:t>响应方案</w:t>
            </w:r>
          </w:p>
          <w:p w14:paraId="7BF1CA8A">
            <w:pPr>
              <w:spacing w:line="320" w:lineRule="exact"/>
              <w:jc w:val="left"/>
              <w:rPr>
                <w:rFonts w:hint="eastAsia" w:ascii="宋体" w:hAnsi="宋体" w:eastAsia="宋体" w:cs="宋体"/>
                <w:szCs w:val="21"/>
                <w:lang w:eastAsia="zh-CN"/>
              </w:rPr>
            </w:pPr>
            <w:r>
              <w:rPr>
                <w:rFonts w:hint="eastAsia"/>
                <w:spacing w:val="-4"/>
                <w:lang w:eastAsia="zh-CN"/>
              </w:rPr>
              <w:t>（</w:t>
            </w:r>
            <w:r>
              <w:rPr>
                <w:rFonts w:hint="eastAsia"/>
                <w:spacing w:val="-4"/>
                <w:lang w:val="en-US" w:eastAsia="zh-CN"/>
              </w:rPr>
              <w:t>3分</w:t>
            </w:r>
            <w:r>
              <w:rPr>
                <w:rFonts w:hint="eastAsia"/>
                <w:spacing w:val="-4"/>
                <w:lang w:eastAsia="zh-CN"/>
              </w:rPr>
              <w:t>）</w:t>
            </w:r>
          </w:p>
        </w:tc>
        <w:tc>
          <w:tcPr>
            <w:tcW w:w="7263" w:type="dxa"/>
            <w:vAlign w:val="center"/>
          </w:tcPr>
          <w:p w14:paraId="7AF4614C">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投标人提供的应急响应方案。</w:t>
            </w:r>
          </w:p>
          <w:p w14:paraId="222FF841">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1、方案完善、符合应急情况、实施性较强的：3分；</w:t>
            </w:r>
          </w:p>
          <w:p w14:paraId="19FE391E">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2、响应方案一般、与应急情况符合性较差、实施性不强的：2分；</w:t>
            </w:r>
          </w:p>
          <w:p w14:paraId="56F6D6CF">
            <w:pPr>
              <w:spacing w:line="32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3、应急方案实施性差的：1分。</w:t>
            </w:r>
          </w:p>
          <w:p w14:paraId="7112D9A7">
            <w:pPr>
              <w:spacing w:line="320" w:lineRule="exact"/>
              <w:jc w:val="left"/>
              <w:rPr>
                <w:rFonts w:hint="eastAsia" w:ascii="宋体" w:hAnsi="宋体" w:eastAsia="宋体" w:cs="宋体"/>
                <w:szCs w:val="21"/>
                <w:highlight w:val="none"/>
              </w:rPr>
            </w:pPr>
            <w:r>
              <w:rPr>
                <w:rFonts w:hint="eastAsia" w:ascii="宋体" w:hAnsi="宋体" w:cs="宋体"/>
                <w:szCs w:val="21"/>
                <w:highlight w:val="none"/>
                <w:lang w:val="en-US" w:eastAsia="zh-CN"/>
              </w:rPr>
              <w:t>4、没有不得分。</w:t>
            </w:r>
          </w:p>
        </w:tc>
      </w:tr>
      <w:tr w14:paraId="6440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51" w:type="dxa"/>
            <w:vMerge w:val="continue"/>
            <w:vAlign w:val="center"/>
          </w:tcPr>
          <w:p w14:paraId="11CFEF8A">
            <w:pPr>
              <w:spacing w:line="320" w:lineRule="exact"/>
              <w:jc w:val="left"/>
              <w:rPr>
                <w:rFonts w:hint="eastAsia" w:ascii="宋体" w:hAnsi="宋体" w:eastAsia="宋体" w:cs="宋体"/>
                <w:szCs w:val="21"/>
              </w:rPr>
            </w:pPr>
          </w:p>
        </w:tc>
        <w:tc>
          <w:tcPr>
            <w:tcW w:w="1113" w:type="dxa"/>
            <w:vAlign w:val="center"/>
          </w:tcPr>
          <w:p w14:paraId="0053FF8E">
            <w:pPr>
              <w:spacing w:line="320" w:lineRule="exact"/>
              <w:jc w:val="left"/>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售后运维方案</w:t>
            </w:r>
          </w:p>
          <w:p w14:paraId="5095079B">
            <w:pPr>
              <w:spacing w:line="320" w:lineRule="exact"/>
              <w:jc w:val="left"/>
              <w:rPr>
                <w:rFonts w:hint="eastAsia"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3"/>
                <w:lang w:val="en-US" w:eastAsia="zh-CN"/>
              </w:rPr>
              <w:t>5分</w:t>
            </w:r>
            <w:r>
              <w:rPr>
                <w:rFonts w:hint="eastAsia" w:asciiTheme="minorEastAsia" w:hAnsiTheme="minorEastAsia" w:eastAsiaTheme="minorEastAsia" w:cstheme="minorEastAsia"/>
                <w:spacing w:val="-3"/>
                <w:lang w:eastAsia="zh-CN"/>
              </w:rPr>
              <w:t>）</w:t>
            </w:r>
          </w:p>
        </w:tc>
        <w:tc>
          <w:tcPr>
            <w:tcW w:w="7263" w:type="dxa"/>
            <w:vAlign w:val="center"/>
          </w:tcPr>
          <w:p w14:paraId="5E474E75">
            <w:pPr>
              <w:spacing w:line="320" w:lineRule="exact"/>
              <w:jc w:val="left"/>
              <w:rPr>
                <w:rFonts w:hint="eastAsia" w:asciiTheme="minorEastAsia" w:hAnsiTheme="minorEastAsia" w:eastAsiaTheme="minorEastAsia" w:cstheme="minorEastAsia"/>
                <w:spacing w:val="-3"/>
                <w:lang w:val="en-US" w:eastAsia="zh-CN"/>
              </w:rPr>
            </w:pPr>
            <w:r>
              <w:rPr>
                <w:rFonts w:hint="eastAsia" w:asciiTheme="minorEastAsia" w:hAnsiTheme="minorEastAsia" w:eastAsiaTheme="minorEastAsia" w:cstheme="minorEastAsia"/>
                <w:spacing w:val="-3"/>
                <w:lang w:val="en-US" w:eastAsia="zh-CN"/>
              </w:rPr>
              <w:t>投标人应提供售后运维方案，包含但不限于运维内容、运维能力、运维响应、运维优势等，进行打分：1、方案描述完整详细且贴合实际需求，可充分保障系统稳定可靠运行的，得5分；</w:t>
            </w:r>
          </w:p>
          <w:p w14:paraId="1D2FD6FA">
            <w:pPr>
              <w:spacing w:line="320" w:lineRule="exact"/>
              <w:jc w:val="left"/>
              <w:rPr>
                <w:rFonts w:hint="eastAsia" w:asciiTheme="minorEastAsia" w:hAnsiTheme="minorEastAsia" w:eastAsiaTheme="minorEastAsia" w:cstheme="minorEastAsia"/>
                <w:spacing w:val="-3"/>
                <w:lang w:val="en-US" w:eastAsia="zh-CN"/>
              </w:rPr>
            </w:pPr>
            <w:r>
              <w:rPr>
                <w:rFonts w:hint="eastAsia" w:asciiTheme="minorEastAsia" w:hAnsiTheme="minorEastAsia" w:eastAsiaTheme="minorEastAsia" w:cstheme="minorEastAsia"/>
                <w:spacing w:val="-3"/>
                <w:lang w:val="en-US" w:eastAsia="zh-CN"/>
              </w:rPr>
              <w:t>1、方案描述较详细完整、能基本保障系统稳定可靠运行的，得3分；</w:t>
            </w:r>
          </w:p>
          <w:p w14:paraId="0D32076B">
            <w:pPr>
              <w:spacing w:line="320" w:lineRule="exact"/>
              <w:jc w:val="left"/>
              <w:rPr>
                <w:rFonts w:hint="eastAsia" w:asciiTheme="minorEastAsia" w:hAnsiTheme="minorEastAsia" w:eastAsiaTheme="minorEastAsia" w:cstheme="minorEastAsia"/>
                <w:spacing w:val="-3"/>
                <w:lang w:val="en-US" w:eastAsia="zh-CN"/>
              </w:rPr>
            </w:pPr>
            <w:r>
              <w:rPr>
                <w:rFonts w:hint="eastAsia" w:asciiTheme="minorEastAsia" w:hAnsiTheme="minorEastAsia" w:eastAsiaTheme="minorEastAsia" w:cstheme="minorEastAsia"/>
                <w:spacing w:val="-3"/>
                <w:lang w:val="en-US" w:eastAsia="zh-CN"/>
              </w:rPr>
              <w:t>2、方案描述简单，可能无法切实保障系统稳定运行的，得1分。</w:t>
            </w:r>
          </w:p>
          <w:p w14:paraId="41AEB94B">
            <w:pPr>
              <w:spacing w:line="320" w:lineRule="exact"/>
              <w:jc w:val="left"/>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lang w:val="en-US" w:eastAsia="zh-CN"/>
              </w:rPr>
              <w:t>3、未提供不得分。</w:t>
            </w:r>
          </w:p>
        </w:tc>
      </w:tr>
    </w:tbl>
    <w:p w14:paraId="78C55804">
      <w:pPr>
        <w:spacing w:line="320" w:lineRule="exact"/>
        <w:jc w:val="left"/>
        <w:rPr>
          <w:rFonts w:hint="eastAsia" w:ascii="宋体" w:hAnsi="宋体" w:eastAsia="宋体" w:cs="宋体"/>
          <w:szCs w:val="21"/>
        </w:rPr>
      </w:pPr>
    </w:p>
    <w:p w14:paraId="72330455">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3、价格得分（</w:t>
      </w:r>
      <w:r>
        <w:rPr>
          <w:rFonts w:hint="eastAsia" w:ascii="宋体" w:hAnsi="宋体" w:cs="宋体"/>
          <w:b/>
          <w:sz w:val="21"/>
          <w:szCs w:val="21"/>
          <w:lang w:val="en-US" w:eastAsia="zh-CN"/>
        </w:rPr>
        <w:t>30</w:t>
      </w:r>
      <w:r>
        <w:rPr>
          <w:rFonts w:hint="eastAsia" w:ascii="宋体" w:hAnsi="宋体" w:eastAsia="宋体" w:cs="宋体"/>
          <w:b/>
          <w:sz w:val="21"/>
          <w:szCs w:val="21"/>
        </w:rPr>
        <w:t>分）</w:t>
      </w:r>
    </w:p>
    <w:p w14:paraId="687308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价格分采用低价优先法计算，即满足招标文件要求且投标价格最低的投标报价为评标基准价，其他投标方的价格分按照下列公式计算：</w:t>
      </w:r>
    </w:p>
    <w:p w14:paraId="30C8C996">
      <w:pPr>
        <w:snapToGrid w:val="0"/>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rPr>
        <w:t>价格分=（评标基准价/投标报价）×</w:t>
      </w:r>
      <w:r>
        <w:rPr>
          <w:rFonts w:hint="eastAsia" w:ascii="宋体" w:hAnsi="宋体" w:cs="宋体"/>
          <w:sz w:val="21"/>
          <w:szCs w:val="21"/>
          <w:lang w:val="en-US" w:eastAsia="zh-CN"/>
        </w:rPr>
        <w:t>30</w:t>
      </w:r>
    </w:p>
    <w:p w14:paraId="51F1B78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落实政府采购政策说明：根据财政部工业和信息化部关于印发《政府采购促进中小企业发展管理办法》的通知（财库〔2020〕46号）的规定，对小型或微型企业的投标报价给予10%的扣除。用扣除后的价格计算价格评分。</w:t>
      </w:r>
    </w:p>
    <w:p w14:paraId="1811F59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符合以下要求之一的投标人被认定为小型、微型企业：</w:t>
      </w:r>
    </w:p>
    <w:p w14:paraId="41DEC41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按照《关于印发中小企业划型标准规定的通知》（工信部联企业〔2011〕300号）的所属行业规定为小型、微型企业【按财政部工业和信息化部关于印发《政府采购促进中小企业发展管理办法》的通知（财库〔2020〕46号）的规定规定提供《中小企业声明函》】；</w:t>
      </w:r>
    </w:p>
    <w:p w14:paraId="0C29555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◇监狱企业参加投标【提供《监狱企业声明函》】，视为小型、微型企业，享受小微企业政策扶持。监狱企业属于小型、微型企业的，不重复享受扶持政策。</w:t>
      </w:r>
    </w:p>
    <w:p w14:paraId="127AAA8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◇残疾人福利性单位参加投标【提供《残疾人福利性单位声明函》】，视为小型、微型企业，享受小微企业政策扶持，残疾人福利性单位属于小型、微型企业的，不重复享受扶持政策。</w:t>
      </w:r>
    </w:p>
    <w:p w14:paraId="1BA208A6"/>
    <w:p w14:paraId="5C02BFC1">
      <w:pPr>
        <w:spacing w:before="156" w:beforeLines="50" w:line="360" w:lineRule="auto"/>
        <w:ind w:firstLine="602" w:firstLineChars="200"/>
        <w:jc w:val="center"/>
        <w:rPr>
          <w:rFonts w:ascii="宋体" w:hAnsi="宋体" w:cs="宋体"/>
          <w:b/>
          <w:sz w:val="30"/>
          <w:szCs w:val="30"/>
        </w:rPr>
      </w:pPr>
      <w:r>
        <w:rPr>
          <w:rFonts w:hint="eastAsia" w:ascii="宋体" w:hAnsi="宋体" w:cs="宋体"/>
          <w:b/>
          <w:sz w:val="30"/>
          <w:szCs w:val="30"/>
        </w:rPr>
        <w:t>第五章合同主要条款</w:t>
      </w:r>
    </w:p>
    <w:p w14:paraId="5A802EFF">
      <w:pPr>
        <w:snapToGrid w:val="0"/>
        <w:spacing w:line="360" w:lineRule="auto"/>
        <w:ind w:firstLine="3264" w:firstLineChars="739"/>
        <w:rPr>
          <w:rFonts w:hint="eastAsia"/>
          <w:b/>
          <w:sz w:val="44"/>
          <w:szCs w:val="44"/>
        </w:rPr>
      </w:pPr>
      <w:r>
        <w:rPr>
          <w:rFonts w:hint="eastAsia"/>
          <w:b/>
          <w:sz w:val="44"/>
          <w:szCs w:val="44"/>
        </w:rPr>
        <w:t>服务采购合同</w:t>
      </w:r>
    </w:p>
    <w:p w14:paraId="57E59606">
      <w:pPr>
        <w:pStyle w:val="14"/>
        <w:snapToGrid w:val="0"/>
        <w:spacing w:before="156" w:beforeLines="50" w:after="156" w:afterLines="50" w:line="320" w:lineRule="exact"/>
        <w:ind w:left="359" w:hanging="513" w:hangingChars="171"/>
        <w:rPr>
          <w:rFonts w:hint="eastAsia" w:hAnsi="Times New Roman"/>
          <w:szCs w:val="24"/>
        </w:rPr>
      </w:pPr>
      <w:bookmarkStart w:id="9" w:name="_Toc5717"/>
      <w:bookmarkStart w:id="10" w:name="_Toc21974"/>
      <w:bookmarkStart w:id="11" w:name="_Toc468650665"/>
      <w:bookmarkStart w:id="12" w:name="_Toc509493362"/>
      <w:bookmarkStart w:id="13" w:name="_Toc7722"/>
      <w:bookmarkStart w:id="14" w:name="_Toc251160747"/>
      <w:bookmarkStart w:id="15" w:name="_Toc276974208"/>
      <w:bookmarkStart w:id="16" w:name="_Toc13710"/>
      <w:bookmarkStart w:id="17" w:name="_Toc510022499"/>
      <w:r>
        <w:rPr>
          <w:rFonts w:hint="eastAsia" w:hAnsi="Times New Roman"/>
          <w:szCs w:val="24"/>
        </w:rPr>
        <w:t xml:space="preserve">项目名称： </w:t>
      </w:r>
    </w:p>
    <w:p w14:paraId="31F4D4A0">
      <w:pPr>
        <w:pStyle w:val="14"/>
        <w:snapToGrid w:val="0"/>
        <w:spacing w:before="156" w:beforeLines="50" w:after="156" w:afterLines="50" w:line="320" w:lineRule="exact"/>
        <w:ind w:left="359" w:hanging="513" w:hangingChars="171"/>
        <w:rPr>
          <w:rFonts w:hint="eastAsia" w:hAnsi="Times New Roman"/>
          <w:szCs w:val="24"/>
        </w:rPr>
      </w:pPr>
      <w:r>
        <w:rPr>
          <w:rFonts w:hint="eastAsia" w:hAnsi="Times New Roman"/>
          <w:szCs w:val="24"/>
        </w:rPr>
        <w:t>项目编号（合同号）：</w:t>
      </w:r>
    </w:p>
    <w:p w14:paraId="6BBF6CF8">
      <w:pPr>
        <w:snapToGrid w:val="0"/>
        <w:spacing w:line="360" w:lineRule="auto"/>
        <w:rPr>
          <w:rFonts w:ascii="宋体"/>
        </w:rPr>
      </w:pPr>
      <w:r>
        <w:rPr>
          <w:rFonts w:hint="eastAsia" w:ascii="宋体"/>
        </w:rPr>
        <w:t>采购类别：（  ）院内议标采购；（  ）委托或公开招标采购；（  ）续标采购</w:t>
      </w:r>
    </w:p>
    <w:p w14:paraId="55F5196F">
      <w:pPr>
        <w:snapToGrid w:val="0"/>
        <w:spacing w:line="360" w:lineRule="auto"/>
        <w:rPr>
          <w:rFonts w:ascii="宋体"/>
          <w:u w:val="single"/>
        </w:rPr>
      </w:pPr>
      <w:r>
        <w:rPr>
          <w:rFonts w:ascii="宋体"/>
        </w:rPr>
        <w:t>甲方（采购单位买方）</w:t>
      </w:r>
      <w:r>
        <w:rPr>
          <w:rFonts w:hint="eastAsia" w:ascii="宋体"/>
        </w:rPr>
        <w:t>：舟山医院</w:t>
      </w:r>
    </w:p>
    <w:p w14:paraId="794A388B">
      <w:pPr>
        <w:snapToGrid w:val="0"/>
        <w:spacing w:line="360" w:lineRule="auto"/>
        <w:rPr>
          <w:rFonts w:ascii="宋体"/>
          <w:u w:val="single"/>
        </w:rPr>
      </w:pPr>
      <w:r>
        <w:rPr>
          <w:rFonts w:ascii="宋体"/>
        </w:rPr>
        <w:t>乙方（供应商卖方）</w:t>
      </w:r>
      <w:r>
        <w:rPr>
          <w:rFonts w:hint="eastAsia" w:ascii="宋体"/>
        </w:rPr>
        <w:t>：</w:t>
      </w:r>
    </w:p>
    <w:p w14:paraId="5F962842">
      <w:pPr>
        <w:snapToGrid w:val="0"/>
        <w:spacing w:line="360" w:lineRule="auto"/>
        <w:ind w:firstLine="420"/>
        <w:rPr>
          <w:rFonts w:ascii="宋体"/>
          <w:color w:val="auto"/>
        </w:rPr>
      </w:pPr>
      <w:r>
        <w:rPr>
          <w:rFonts w:ascii="宋体"/>
          <w:color w:val="auto"/>
        </w:rPr>
        <w:t>根据《中华人民共和国政府采购法》、《</w:t>
      </w:r>
      <w:r>
        <w:rPr>
          <w:rFonts w:hint="eastAsia" w:ascii="宋体"/>
          <w:color w:val="auto"/>
        </w:rPr>
        <w:t>中华人民共和国民法典</w:t>
      </w:r>
      <w:r>
        <w:rPr>
          <w:rFonts w:ascii="宋体"/>
          <w:color w:val="auto"/>
        </w:rPr>
        <w:t>》等有关法律法规</w:t>
      </w:r>
      <w:r>
        <w:rPr>
          <w:rFonts w:hint="eastAsia" w:ascii="宋体"/>
          <w:color w:val="auto"/>
        </w:rPr>
        <w:t>之规定</w:t>
      </w:r>
      <w:r>
        <w:rPr>
          <w:rFonts w:ascii="宋体"/>
          <w:color w:val="auto"/>
        </w:rPr>
        <w:t>，</w:t>
      </w:r>
      <w:r>
        <w:rPr>
          <w:rFonts w:hint="eastAsia" w:ascii="宋体"/>
          <w:color w:val="auto"/>
        </w:rPr>
        <w:t>按照平等、自愿、公平和诚实信用的原则,</w:t>
      </w:r>
      <w:r>
        <w:rPr>
          <w:rFonts w:hint="eastAsia" w:ascii="微软雅黑" w:hAnsi="微软雅黑" w:eastAsia="微软雅黑"/>
          <w:color w:val="auto"/>
          <w:sz w:val="19"/>
          <w:szCs w:val="19"/>
          <w:shd w:val="clear" w:color="auto" w:fill="FFFFFF"/>
        </w:rPr>
        <w:t xml:space="preserve"> </w:t>
      </w:r>
      <w:r>
        <w:rPr>
          <w:rFonts w:hint="eastAsia" w:ascii="宋体"/>
          <w:color w:val="auto"/>
        </w:rPr>
        <w:t>经甲乙双方协商一致，约定以下合同条款，以兹共同遵守、全面履行。</w:t>
      </w:r>
    </w:p>
    <w:p w14:paraId="765ADDD0">
      <w:pPr>
        <w:snapToGrid w:val="0"/>
        <w:spacing w:line="360" w:lineRule="auto"/>
        <w:rPr>
          <w:rFonts w:ascii="宋体"/>
          <w:color w:val="auto"/>
        </w:rPr>
      </w:pPr>
      <w:r>
        <w:rPr>
          <w:rFonts w:ascii="宋体"/>
          <w:color w:val="auto"/>
        </w:rPr>
        <w:t>一、服务内容</w:t>
      </w:r>
    </w:p>
    <w:p w14:paraId="5B4C5949">
      <w:pPr>
        <w:snapToGrid w:val="0"/>
        <w:spacing w:line="360" w:lineRule="auto"/>
        <w:rPr>
          <w:rFonts w:ascii="宋体"/>
          <w:color w:val="auto"/>
        </w:rPr>
      </w:pPr>
      <w:r>
        <w:rPr>
          <w:rFonts w:hint="eastAsia" w:ascii="宋体"/>
          <w:color w:val="auto"/>
        </w:rPr>
        <w:t>见附件［１］</w:t>
      </w:r>
    </w:p>
    <w:p w14:paraId="79E08CB2">
      <w:pPr>
        <w:snapToGrid w:val="0"/>
        <w:spacing w:line="360" w:lineRule="auto"/>
        <w:rPr>
          <w:rFonts w:ascii="宋体"/>
          <w:color w:val="auto"/>
        </w:rPr>
      </w:pPr>
      <w:r>
        <w:rPr>
          <w:rFonts w:ascii="宋体"/>
          <w:color w:val="auto"/>
        </w:rPr>
        <w:t>二、合同</w:t>
      </w:r>
      <w:r>
        <w:rPr>
          <w:rFonts w:hint="eastAsia" w:ascii="宋体"/>
          <w:color w:val="auto"/>
        </w:rPr>
        <w:t>金额</w:t>
      </w:r>
    </w:p>
    <w:p w14:paraId="220AAE1F">
      <w:pPr>
        <w:snapToGrid w:val="0"/>
        <w:spacing w:line="360" w:lineRule="auto"/>
        <w:rPr>
          <w:rFonts w:ascii="宋体"/>
          <w:color w:val="auto"/>
        </w:rPr>
      </w:pPr>
      <w:r>
        <w:rPr>
          <w:rFonts w:ascii="宋体"/>
          <w:color w:val="auto"/>
        </w:rPr>
        <w:t>本合同</w:t>
      </w:r>
      <w:r>
        <w:rPr>
          <w:rFonts w:hint="eastAsia" w:ascii="宋体"/>
          <w:color w:val="auto"/>
        </w:rPr>
        <w:t xml:space="preserve">金额 </w:t>
      </w:r>
      <w:r>
        <w:rPr>
          <w:rFonts w:ascii="宋体"/>
          <w:color w:val="auto"/>
        </w:rPr>
        <w:t>：_____________</w:t>
      </w:r>
      <w:r>
        <w:rPr>
          <w:rFonts w:hint="eastAsia" w:ascii="宋体"/>
          <w:color w:val="auto"/>
        </w:rPr>
        <w:t xml:space="preserve"> </w:t>
      </w:r>
      <w:r>
        <w:rPr>
          <w:rFonts w:ascii="宋体"/>
          <w:color w:val="auto"/>
        </w:rPr>
        <w:t>（</w:t>
      </w:r>
      <w:r>
        <w:rPr>
          <w:rFonts w:hint="eastAsia" w:ascii="宋体"/>
          <w:color w:val="auto"/>
        </w:rPr>
        <w:t>大写</w:t>
      </w:r>
      <w:r>
        <w:rPr>
          <w:rFonts w:ascii="宋体"/>
          <w:color w:val="auto"/>
        </w:rPr>
        <w:t>_______________</w:t>
      </w:r>
      <w:r>
        <w:rPr>
          <w:rFonts w:hint="eastAsia" w:ascii="宋体"/>
          <w:color w:val="auto"/>
        </w:rPr>
        <w:t xml:space="preserve"> </w:t>
      </w:r>
      <w:r>
        <w:rPr>
          <w:rFonts w:ascii="宋体"/>
          <w:color w:val="auto"/>
        </w:rPr>
        <w:t>）</w:t>
      </w:r>
      <w:r>
        <w:rPr>
          <w:rFonts w:hint="eastAsia" w:ascii="宋体"/>
          <w:color w:val="auto"/>
        </w:rPr>
        <w:t xml:space="preserve"> </w:t>
      </w:r>
      <w:r>
        <w:rPr>
          <w:rFonts w:ascii="宋体"/>
          <w:color w:val="auto"/>
        </w:rPr>
        <w:t>。</w:t>
      </w:r>
    </w:p>
    <w:p w14:paraId="6C6A5FD1">
      <w:pPr>
        <w:snapToGrid w:val="0"/>
        <w:spacing w:line="360" w:lineRule="auto"/>
        <w:rPr>
          <w:rFonts w:ascii="宋体"/>
          <w:color w:val="auto"/>
        </w:rPr>
      </w:pPr>
      <w:r>
        <w:rPr>
          <w:rFonts w:ascii="宋体"/>
          <w:color w:val="auto"/>
        </w:rPr>
        <w:t>注：以上合同总价包含甲方或甲方指定用户能正常使用乙方提供服务所需的一切费用，包括但不限于人工费、保险费、社保费、安装调试费、技术服务费、培训费以及保修费、税费等。</w:t>
      </w:r>
    </w:p>
    <w:p w14:paraId="142FA2E7">
      <w:pPr>
        <w:snapToGrid w:val="0"/>
        <w:spacing w:line="360" w:lineRule="auto"/>
        <w:rPr>
          <w:rFonts w:ascii="宋体"/>
          <w:color w:val="auto"/>
        </w:rPr>
      </w:pPr>
      <w:r>
        <w:rPr>
          <w:rFonts w:ascii="宋体"/>
          <w:color w:val="auto"/>
        </w:rPr>
        <w:t>三、服务范围</w:t>
      </w:r>
    </w:p>
    <w:p w14:paraId="6EC7F58A">
      <w:pPr>
        <w:snapToGrid w:val="0"/>
        <w:spacing w:line="360" w:lineRule="auto"/>
        <w:rPr>
          <w:rFonts w:ascii="宋体"/>
          <w:color w:val="auto"/>
        </w:rPr>
      </w:pPr>
      <w:r>
        <w:rPr>
          <w:rFonts w:hint="eastAsia" w:ascii="宋体"/>
          <w:color w:val="auto"/>
        </w:rPr>
        <w:t>3.</w:t>
      </w:r>
      <w:r>
        <w:rPr>
          <w:rFonts w:ascii="宋体"/>
          <w:color w:val="auto"/>
        </w:rPr>
        <w:t>1合同服务范围包括：                              。</w:t>
      </w:r>
    </w:p>
    <w:p w14:paraId="78A8CF4B">
      <w:pPr>
        <w:snapToGrid w:val="0"/>
        <w:spacing w:line="360" w:lineRule="auto"/>
        <w:rPr>
          <w:rFonts w:ascii="宋体"/>
          <w:color w:val="auto"/>
        </w:rPr>
      </w:pPr>
      <w:r>
        <w:rPr>
          <w:rFonts w:hint="eastAsia" w:ascii="宋体"/>
          <w:color w:val="auto"/>
        </w:rPr>
        <w:t>3.</w:t>
      </w:r>
      <w:r>
        <w:rPr>
          <w:rFonts w:ascii="宋体"/>
          <w:color w:val="auto"/>
        </w:rPr>
        <w:t>2乙方应按采购文件规定的时间向甲方提供服务有关技术资料。</w:t>
      </w:r>
    </w:p>
    <w:p w14:paraId="53E84C40">
      <w:pPr>
        <w:snapToGrid w:val="0"/>
        <w:spacing w:line="360" w:lineRule="auto"/>
        <w:rPr>
          <w:rFonts w:ascii="宋体"/>
          <w:color w:val="auto"/>
        </w:rPr>
      </w:pPr>
      <w:r>
        <w:rPr>
          <w:rFonts w:hint="eastAsia" w:ascii="宋体"/>
          <w:color w:val="auto"/>
        </w:rPr>
        <w:t>3.</w:t>
      </w:r>
      <w:r>
        <w:rPr>
          <w:rFonts w:ascii="宋体"/>
          <w:color w:val="auto"/>
        </w:rPr>
        <w:t>3在执行合同过程中发现任何漏项和短缺，在合同或附件清单并未列入，但该部分漏项或短缺是满足合同服务性能所必须的，则均应由乙方负责免费将所漏项或短缺的技术服务在最短的合理时间内补齐。</w:t>
      </w:r>
    </w:p>
    <w:p w14:paraId="436AE0CA">
      <w:pPr>
        <w:snapToGrid w:val="0"/>
        <w:spacing w:line="360" w:lineRule="auto"/>
        <w:rPr>
          <w:rFonts w:ascii="宋体"/>
          <w:color w:val="auto"/>
        </w:rPr>
      </w:pPr>
      <w:r>
        <w:rPr>
          <w:rFonts w:hint="eastAsia" w:ascii="宋体"/>
          <w:color w:val="auto"/>
        </w:rPr>
        <w:t>四</w:t>
      </w:r>
      <w:r>
        <w:rPr>
          <w:rFonts w:ascii="宋体"/>
          <w:color w:val="auto"/>
        </w:rPr>
        <w:t>、技术资料</w:t>
      </w:r>
    </w:p>
    <w:p w14:paraId="2D91A3CB">
      <w:pPr>
        <w:snapToGrid w:val="0"/>
        <w:spacing w:line="360" w:lineRule="auto"/>
        <w:rPr>
          <w:rFonts w:ascii="宋体"/>
          <w:color w:val="auto"/>
        </w:rPr>
      </w:pPr>
      <w:r>
        <w:rPr>
          <w:rFonts w:hint="eastAsia" w:ascii="宋体"/>
          <w:color w:val="auto"/>
        </w:rPr>
        <w:t>4.</w:t>
      </w:r>
      <w:r>
        <w:rPr>
          <w:rFonts w:ascii="宋体"/>
          <w:color w:val="auto"/>
        </w:rPr>
        <w:t>1乙方应按采购文件规定的时间向甲方提供有关技术资料。</w:t>
      </w:r>
    </w:p>
    <w:p w14:paraId="5EFCB39A">
      <w:pPr>
        <w:snapToGrid w:val="0"/>
        <w:spacing w:line="360" w:lineRule="auto"/>
        <w:rPr>
          <w:rFonts w:ascii="宋体"/>
          <w:color w:val="auto"/>
        </w:rPr>
      </w:pPr>
      <w:r>
        <w:rPr>
          <w:rFonts w:hint="eastAsia" w:ascii="宋体"/>
          <w:color w:val="auto"/>
        </w:rPr>
        <w:t>4.</w:t>
      </w:r>
      <w:r>
        <w:rPr>
          <w:rFonts w:ascii="宋体"/>
          <w:color w:va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BD2A4B">
      <w:pPr>
        <w:snapToGrid w:val="0"/>
        <w:spacing w:line="360" w:lineRule="auto"/>
        <w:rPr>
          <w:rFonts w:ascii="宋体"/>
          <w:color w:val="auto"/>
        </w:rPr>
      </w:pPr>
      <w:r>
        <w:rPr>
          <w:rFonts w:hint="eastAsia" w:ascii="宋体"/>
          <w:color w:val="auto"/>
        </w:rPr>
        <w:t>五</w:t>
      </w:r>
      <w:r>
        <w:rPr>
          <w:rFonts w:ascii="宋体"/>
          <w:color w:val="auto"/>
        </w:rPr>
        <w:t>、知识产权</w:t>
      </w:r>
    </w:p>
    <w:p w14:paraId="7C160241">
      <w:pPr>
        <w:snapToGrid w:val="0"/>
        <w:spacing w:line="360" w:lineRule="auto"/>
        <w:rPr>
          <w:rFonts w:ascii="宋体"/>
          <w:color w:val="auto"/>
        </w:rPr>
      </w:pPr>
      <w:r>
        <w:rPr>
          <w:rFonts w:ascii="宋体"/>
          <w:color w:val="auto"/>
        </w:rPr>
        <w:t>乙方应保证提供服务过程中不会侵犯任何第三方的知识产权和其他权益。如因此发生任何针对甲方的争议、索赔、诉讼等，产生的一切法律责任与费用均由乙方承担。</w:t>
      </w:r>
    </w:p>
    <w:p w14:paraId="794654CF">
      <w:pPr>
        <w:snapToGrid w:val="0"/>
        <w:spacing w:line="360" w:lineRule="auto"/>
        <w:rPr>
          <w:rFonts w:ascii="宋体"/>
          <w:color w:val="auto"/>
        </w:rPr>
      </w:pPr>
      <w:r>
        <w:rPr>
          <w:rFonts w:hint="eastAsia" w:ascii="宋体"/>
          <w:color w:val="auto"/>
        </w:rPr>
        <w:t>六</w:t>
      </w:r>
      <w:r>
        <w:rPr>
          <w:rFonts w:ascii="宋体"/>
          <w:color w:val="auto"/>
        </w:rPr>
        <w:t>、履约保证金（如有）</w:t>
      </w:r>
    </w:p>
    <w:p w14:paraId="28A94031">
      <w:pPr>
        <w:snapToGrid w:val="0"/>
        <w:spacing w:line="360" w:lineRule="auto"/>
        <w:rPr>
          <w:rFonts w:ascii="宋体"/>
          <w:color w:val="auto"/>
        </w:rPr>
      </w:pPr>
      <w:r>
        <w:rPr>
          <w:rFonts w:hint="eastAsia" w:ascii="宋体"/>
          <w:color w:val="auto"/>
        </w:rPr>
        <w:t>6.</w:t>
      </w:r>
      <w:r>
        <w:rPr>
          <w:rFonts w:ascii="宋体"/>
          <w:color w:val="auto"/>
        </w:rPr>
        <w:t>1在合同签订后     个工作日内，乙方应向甲方支付合同总价</w:t>
      </w:r>
      <w:r>
        <w:rPr>
          <w:rFonts w:hint="eastAsia" w:ascii="宋体"/>
          <w:color w:val="auto"/>
          <w:u w:val="single"/>
        </w:rPr>
        <w:t>X</w:t>
      </w:r>
      <w:r>
        <w:rPr>
          <w:rFonts w:ascii="宋体"/>
          <w:color w:val="auto"/>
          <w:u w:val="single"/>
        </w:rPr>
        <w:t>%</w:t>
      </w:r>
      <w:r>
        <w:rPr>
          <w:rFonts w:ascii="宋体"/>
          <w:color w:val="auto"/>
        </w:rPr>
        <w:t>的履约保证金，作为乙方认真履行合同条款的保证。</w:t>
      </w:r>
    </w:p>
    <w:p w14:paraId="6136569D">
      <w:pPr>
        <w:snapToGrid w:val="0"/>
        <w:spacing w:line="360" w:lineRule="auto"/>
        <w:rPr>
          <w:rFonts w:ascii="宋体"/>
          <w:color w:val="auto"/>
        </w:rPr>
      </w:pPr>
      <w:r>
        <w:rPr>
          <w:rFonts w:hint="eastAsia" w:ascii="宋体"/>
          <w:color w:val="auto"/>
        </w:rPr>
        <w:t>6.</w:t>
      </w:r>
      <w:r>
        <w:rPr>
          <w:rFonts w:ascii="宋体"/>
          <w:color w:val="auto"/>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hint="eastAsia" w:ascii="宋体"/>
          <w:color w:val="auto"/>
        </w:rPr>
        <w:t>1</w:t>
      </w:r>
      <w:r>
        <w:rPr>
          <w:rFonts w:ascii="宋体"/>
          <w:color w:val="auto"/>
        </w:rPr>
        <w:t>个</w:t>
      </w:r>
      <w:r>
        <w:rPr>
          <w:rFonts w:hint="eastAsia" w:ascii="宋体"/>
          <w:color w:val="auto"/>
        </w:rPr>
        <w:t>月</w:t>
      </w:r>
      <w:r>
        <w:rPr>
          <w:rFonts w:ascii="宋体"/>
          <w:color w:val="auto"/>
        </w:rPr>
        <w:t>内由甲方无息退还给乙方。</w:t>
      </w:r>
    </w:p>
    <w:p w14:paraId="055C20E2">
      <w:pPr>
        <w:snapToGrid w:val="0"/>
        <w:spacing w:line="360" w:lineRule="auto"/>
        <w:rPr>
          <w:rFonts w:ascii="宋体"/>
          <w:color w:val="auto"/>
        </w:rPr>
      </w:pPr>
      <w:r>
        <w:rPr>
          <w:rFonts w:hint="eastAsia" w:ascii="宋体"/>
          <w:color w:val="auto"/>
        </w:rPr>
        <w:t>七</w:t>
      </w:r>
      <w:r>
        <w:rPr>
          <w:rFonts w:ascii="宋体"/>
          <w:color w:val="auto"/>
        </w:rPr>
        <w:t>、转包或分包</w:t>
      </w:r>
    </w:p>
    <w:p w14:paraId="0CB17903">
      <w:pPr>
        <w:snapToGrid w:val="0"/>
        <w:spacing w:line="360" w:lineRule="auto"/>
        <w:rPr>
          <w:rFonts w:ascii="宋体"/>
          <w:color w:val="auto"/>
        </w:rPr>
      </w:pPr>
      <w:r>
        <w:rPr>
          <w:rFonts w:hint="eastAsia" w:ascii="宋体"/>
          <w:color w:val="auto"/>
        </w:rPr>
        <w:t>7.</w:t>
      </w:r>
      <w:r>
        <w:rPr>
          <w:rFonts w:ascii="宋体"/>
          <w:color w:val="auto"/>
        </w:rPr>
        <w:t>1本合同范围的服务，应由乙方直接供应，不得转让他人供应；</w:t>
      </w:r>
    </w:p>
    <w:p w14:paraId="7D7B4AF6">
      <w:pPr>
        <w:snapToGrid w:val="0"/>
        <w:spacing w:line="360" w:lineRule="auto"/>
        <w:rPr>
          <w:rFonts w:hint="eastAsia" w:ascii="宋体"/>
          <w:color w:val="auto"/>
        </w:rPr>
      </w:pPr>
      <w:r>
        <w:rPr>
          <w:rFonts w:hint="eastAsia" w:ascii="宋体"/>
          <w:color w:val="auto"/>
        </w:rPr>
        <w:t>7.</w:t>
      </w:r>
      <w:r>
        <w:rPr>
          <w:rFonts w:ascii="宋体"/>
          <w:color w:val="auto"/>
        </w:rPr>
        <w:t>2除非得到甲方的书面同意，乙方不得将本合同范围的服务全部或部分分包给他人供应；</w:t>
      </w:r>
      <w:r>
        <w:rPr>
          <w:rFonts w:hint="eastAsia" w:hAnsi="宋体"/>
          <w:color w:val="auto"/>
          <w:szCs w:val="21"/>
        </w:rPr>
        <w:t>如有转让和未经甲方同意的分包行为，甲方有权给予终止合同。</w:t>
      </w:r>
    </w:p>
    <w:p w14:paraId="1C3C6840">
      <w:pPr>
        <w:snapToGrid w:val="0"/>
        <w:spacing w:line="360" w:lineRule="auto"/>
        <w:rPr>
          <w:rFonts w:ascii="宋体"/>
          <w:color w:val="auto"/>
        </w:rPr>
      </w:pPr>
      <w:r>
        <w:rPr>
          <w:rFonts w:hint="eastAsia" w:ascii="宋体"/>
          <w:color w:val="auto"/>
        </w:rPr>
        <w:t>7.</w:t>
      </w:r>
      <w:r>
        <w:rPr>
          <w:rFonts w:ascii="宋体"/>
          <w:color w:val="auto"/>
        </w:rPr>
        <w:t>3如有转让和未经甲方同意的分包行为，甲方有权解除合同，没收履约保证金并追究乙方的违约责任。</w:t>
      </w:r>
    </w:p>
    <w:p w14:paraId="3A8AF279">
      <w:pPr>
        <w:snapToGrid w:val="0"/>
        <w:spacing w:line="360" w:lineRule="auto"/>
        <w:rPr>
          <w:rFonts w:ascii="宋体"/>
          <w:color w:val="auto"/>
        </w:rPr>
      </w:pPr>
      <w:r>
        <w:rPr>
          <w:rFonts w:hint="eastAsia" w:ascii="宋体"/>
          <w:color w:val="auto"/>
        </w:rPr>
        <w:t>八</w:t>
      </w:r>
      <w:r>
        <w:rPr>
          <w:rFonts w:ascii="宋体"/>
          <w:color w:val="auto"/>
        </w:rPr>
        <w:t>、服务质量保证期</w:t>
      </w:r>
      <w:r>
        <w:rPr>
          <w:rFonts w:hint="eastAsia" w:ascii="宋体"/>
          <w:color w:val="auto"/>
          <w:u w:val="single"/>
        </w:rPr>
        <w:t xml:space="preserve">         </w:t>
      </w:r>
      <w:r>
        <w:rPr>
          <w:rFonts w:hint="eastAsia" w:ascii="宋体"/>
          <w:color w:val="auto"/>
        </w:rPr>
        <w:t>年</w:t>
      </w:r>
      <w:r>
        <w:rPr>
          <w:rFonts w:ascii="宋体"/>
          <w:color w:val="auto"/>
        </w:rPr>
        <w:t xml:space="preserve"> </w:t>
      </w:r>
    </w:p>
    <w:p w14:paraId="0102F4E1">
      <w:pPr>
        <w:snapToGrid w:val="0"/>
        <w:spacing w:line="360" w:lineRule="auto"/>
        <w:rPr>
          <w:rFonts w:ascii="宋体"/>
          <w:color w:val="auto"/>
        </w:rPr>
      </w:pPr>
      <w:r>
        <w:rPr>
          <w:rFonts w:hint="eastAsia" w:ascii="宋体"/>
          <w:color w:val="auto"/>
        </w:rPr>
        <w:t>九</w:t>
      </w:r>
      <w:r>
        <w:rPr>
          <w:rFonts w:ascii="宋体"/>
          <w:color w:val="auto"/>
        </w:rPr>
        <w:t>、合同履行时间、履行方式及履行地点</w:t>
      </w:r>
    </w:p>
    <w:p w14:paraId="46660B01">
      <w:pPr>
        <w:snapToGrid w:val="0"/>
        <w:spacing w:line="360" w:lineRule="auto"/>
        <w:rPr>
          <w:rFonts w:ascii="宋体"/>
          <w:color w:val="auto"/>
        </w:rPr>
      </w:pPr>
      <w:r>
        <w:rPr>
          <w:rFonts w:hint="eastAsia" w:ascii="宋体"/>
          <w:color w:val="auto"/>
        </w:rPr>
        <w:t>9.</w:t>
      </w:r>
      <w:r>
        <w:rPr>
          <w:rFonts w:ascii="宋体"/>
          <w:color w:val="auto"/>
        </w:rPr>
        <w:t>1履行时间：</w:t>
      </w:r>
    </w:p>
    <w:p w14:paraId="79CFE186">
      <w:pPr>
        <w:snapToGrid w:val="0"/>
        <w:spacing w:line="360" w:lineRule="auto"/>
        <w:rPr>
          <w:rFonts w:ascii="宋体"/>
          <w:color w:val="auto"/>
        </w:rPr>
      </w:pPr>
      <w:r>
        <w:rPr>
          <w:rFonts w:hint="eastAsia" w:ascii="宋体"/>
          <w:color w:val="auto"/>
        </w:rPr>
        <w:t>9.</w:t>
      </w:r>
      <w:r>
        <w:rPr>
          <w:rFonts w:ascii="宋体"/>
          <w:color w:val="auto"/>
        </w:rPr>
        <w:t>2履行方式：</w:t>
      </w:r>
    </w:p>
    <w:p w14:paraId="68D4D84B">
      <w:pPr>
        <w:snapToGrid w:val="0"/>
        <w:spacing w:line="360" w:lineRule="auto"/>
        <w:rPr>
          <w:rFonts w:ascii="宋体"/>
          <w:color w:val="auto"/>
        </w:rPr>
      </w:pPr>
      <w:r>
        <w:rPr>
          <w:rFonts w:hint="eastAsia" w:ascii="宋体"/>
          <w:color w:val="auto"/>
        </w:rPr>
        <w:t>9.</w:t>
      </w:r>
      <w:r>
        <w:rPr>
          <w:rFonts w:ascii="宋体"/>
          <w:color w:val="auto"/>
        </w:rPr>
        <w:t>3 履行地点：</w:t>
      </w:r>
    </w:p>
    <w:p w14:paraId="11A0D3FC">
      <w:pPr>
        <w:snapToGrid w:val="0"/>
        <w:spacing w:line="360" w:lineRule="auto"/>
        <w:rPr>
          <w:rFonts w:ascii="宋体"/>
          <w:color w:val="auto"/>
          <w:highlight w:val="none"/>
        </w:rPr>
      </w:pPr>
      <w:r>
        <w:rPr>
          <w:rFonts w:hint="eastAsia" w:ascii="宋体"/>
          <w:color w:val="auto"/>
          <w:highlight w:val="none"/>
        </w:rPr>
        <w:t>十</w:t>
      </w:r>
      <w:r>
        <w:rPr>
          <w:rFonts w:ascii="宋体"/>
          <w:color w:val="auto"/>
          <w:highlight w:val="none"/>
        </w:rPr>
        <w:t>、考核验收</w:t>
      </w:r>
    </w:p>
    <w:p w14:paraId="43F426FA">
      <w:pPr>
        <w:snapToGrid w:val="0"/>
        <w:spacing w:line="360" w:lineRule="auto"/>
        <w:rPr>
          <w:rFonts w:ascii="宋体"/>
          <w:color w:val="auto"/>
          <w:highlight w:val="none"/>
        </w:rPr>
      </w:pPr>
      <w:r>
        <w:rPr>
          <w:rFonts w:hint="eastAsia" w:ascii="宋体"/>
          <w:color w:val="auto"/>
          <w:highlight w:val="none"/>
        </w:rPr>
        <w:t>10.</w:t>
      </w:r>
      <w:r>
        <w:rPr>
          <w:rFonts w:ascii="宋体"/>
          <w:color w:val="auto"/>
          <w:highlight w:val="none"/>
        </w:rPr>
        <w:t>1甲方根据</w:t>
      </w:r>
      <w:r>
        <w:rPr>
          <w:rFonts w:hint="eastAsia" w:ascii="宋体"/>
          <w:color w:val="auto"/>
          <w:highlight w:val="none"/>
        </w:rPr>
        <w:t>《舟山市政府采购履约验收管理暂行办法》的通知（舟财采监〔2021〕14号）及</w:t>
      </w:r>
      <w:r>
        <w:rPr>
          <w:rFonts w:ascii="宋体"/>
          <w:color w:val="auto"/>
          <w:highlight w:val="none"/>
        </w:rPr>
        <w:t>项目特点对服务期内的服务</w:t>
      </w:r>
      <w:r>
        <w:rPr>
          <w:rFonts w:hint="eastAsia" w:ascii="宋体"/>
          <w:color w:val="auto"/>
          <w:highlight w:val="none"/>
        </w:rPr>
        <w:t>内容</w:t>
      </w:r>
      <w:r>
        <w:rPr>
          <w:rFonts w:ascii="宋体"/>
          <w:color w:val="auto"/>
          <w:highlight w:val="none"/>
        </w:rPr>
        <w:t>实施情况进行分期考核，结合考核情况和服务效果进行验收。</w:t>
      </w:r>
      <w:r>
        <w:rPr>
          <w:rFonts w:ascii="宋体" w:hAnsi="Times"/>
          <w:color w:val="auto"/>
          <w:highlight w:val="none"/>
        </w:rPr>
        <w:t>本合同项下的服务经验收合格</w:t>
      </w:r>
      <w:r>
        <w:rPr>
          <w:rFonts w:ascii="宋体"/>
          <w:color w:val="auto"/>
          <w:highlight w:val="none"/>
        </w:rPr>
        <w:t>，甲方根据合同约定支付款项</w:t>
      </w:r>
      <w:r>
        <w:rPr>
          <w:rFonts w:hint="eastAsia" w:ascii="宋体"/>
          <w:color w:val="auto"/>
          <w:highlight w:val="none"/>
        </w:rPr>
        <w:t>或决定是否续签</w:t>
      </w:r>
      <w:r>
        <w:rPr>
          <w:rFonts w:ascii="宋体"/>
          <w:color w:val="auto"/>
          <w:highlight w:val="none"/>
        </w:rPr>
        <w:t>。</w:t>
      </w:r>
    </w:p>
    <w:p w14:paraId="6FB128FE">
      <w:pPr>
        <w:snapToGrid w:val="0"/>
        <w:spacing w:line="360" w:lineRule="auto"/>
        <w:rPr>
          <w:rFonts w:hint="default" w:ascii="宋体" w:eastAsia="宋体"/>
          <w:color w:val="auto"/>
          <w:highlight w:val="none"/>
          <w:lang w:val="en-US" w:eastAsia="zh-CN"/>
        </w:rPr>
      </w:pPr>
      <w:r>
        <w:rPr>
          <w:rFonts w:hint="eastAsia" w:ascii="宋体"/>
          <w:color w:val="auto"/>
          <w:highlight w:val="none"/>
        </w:rPr>
        <w:t>10.</w:t>
      </w:r>
      <w:r>
        <w:rPr>
          <w:rFonts w:ascii="宋体"/>
          <w:color w:val="auto"/>
          <w:highlight w:val="none"/>
        </w:rPr>
        <w:t>2考核办法</w:t>
      </w:r>
      <w:r>
        <w:rPr>
          <w:rFonts w:hint="eastAsia" w:ascii="宋体"/>
          <w:color w:val="auto"/>
          <w:highlight w:val="none"/>
        </w:rPr>
        <w:t>：合同执行直管部门，须对乙方服务质量进行监督抽查，并每季度形成自查报告；合同主管部门，须每季度对合同执行直管部门自查和乙方服务质量进行督察，并每季度形成自查报告</w:t>
      </w:r>
      <w:r>
        <w:rPr>
          <w:rFonts w:hint="eastAsia" w:ascii="宋体"/>
          <w:color w:val="auto"/>
          <w:highlight w:val="none"/>
          <w:lang w:eastAsia="zh-CN"/>
        </w:rPr>
        <w:t>，</w:t>
      </w:r>
      <w:r>
        <w:rPr>
          <w:rFonts w:hint="eastAsia" w:ascii="宋体"/>
          <w:color w:val="auto"/>
          <w:highlight w:val="none"/>
          <w:lang w:val="en-US" w:eastAsia="zh-CN"/>
        </w:rPr>
        <w:t>考核低于80分（不包括80分）采购人有权解除合同</w:t>
      </w:r>
      <w:r>
        <w:rPr>
          <w:rFonts w:hint="eastAsia" w:ascii="宋体"/>
          <w:color w:val="auto"/>
          <w:highlight w:val="none"/>
        </w:rPr>
        <w:t>。</w:t>
      </w:r>
    </w:p>
    <w:p w14:paraId="1BA73628">
      <w:pPr>
        <w:snapToGrid w:val="0"/>
        <w:spacing w:line="360" w:lineRule="auto"/>
        <w:rPr>
          <w:rFonts w:ascii="宋体"/>
          <w:color w:val="auto"/>
          <w:highlight w:val="none"/>
        </w:rPr>
      </w:pPr>
      <w:r>
        <w:rPr>
          <w:rFonts w:ascii="宋体"/>
          <w:color w:val="auto"/>
          <w:highlight w:val="none"/>
        </w:rPr>
        <w:t>十</w:t>
      </w:r>
      <w:r>
        <w:rPr>
          <w:rFonts w:hint="eastAsia" w:ascii="宋体"/>
          <w:color w:val="auto"/>
          <w:highlight w:val="none"/>
        </w:rPr>
        <w:t>一</w:t>
      </w:r>
      <w:r>
        <w:rPr>
          <w:rFonts w:ascii="宋体"/>
          <w:color w:val="auto"/>
          <w:highlight w:val="none"/>
        </w:rPr>
        <w:t>、款项支付</w:t>
      </w:r>
    </w:p>
    <w:p w14:paraId="62076A1A">
      <w:pPr>
        <w:widowControl/>
        <w:autoSpaceDE w:val="0"/>
        <w:autoSpaceDN w:val="0"/>
        <w:snapToGrid w:val="0"/>
        <w:spacing w:line="360" w:lineRule="auto"/>
        <w:jc w:val="left"/>
        <w:rPr>
          <w:rFonts w:hint="eastAsia" w:ascii="宋体" w:hAnsi="Times"/>
          <w:color w:val="auto"/>
          <w:highlight w:val="none"/>
        </w:rPr>
      </w:pPr>
      <w:r>
        <w:rPr>
          <w:rFonts w:hint="eastAsia" w:ascii="宋体"/>
          <w:color w:val="auto"/>
          <w:highlight w:val="none"/>
        </w:rPr>
        <w:t>11.</w:t>
      </w:r>
      <w:r>
        <w:rPr>
          <w:rFonts w:ascii="宋体" w:hAnsi="Times"/>
          <w:color w:val="auto"/>
          <w:highlight w:val="none"/>
        </w:rPr>
        <w:t>1甲方按以下第</w:t>
      </w:r>
      <w:r>
        <w:rPr>
          <w:rFonts w:hint="eastAsia" w:ascii="宋体" w:hAnsi="Times"/>
          <w:color w:val="auto"/>
          <w:highlight w:val="none"/>
          <w:u w:val="single"/>
          <w:lang w:val="en-US" w:eastAsia="zh-CN"/>
        </w:rPr>
        <w:t>2</w:t>
      </w:r>
      <w:r>
        <w:rPr>
          <w:rFonts w:ascii="宋体" w:hAnsi="Times"/>
          <w:color w:val="auto"/>
          <w:highlight w:val="none"/>
        </w:rPr>
        <w:t>种方式支付乙方合同价款。</w:t>
      </w:r>
    </w:p>
    <w:p w14:paraId="591F89FF">
      <w:pPr>
        <w:pStyle w:val="153"/>
        <w:spacing w:line="240" w:lineRule="auto"/>
        <w:ind w:right="107"/>
        <w:rPr>
          <w:rFonts w:hint="eastAsia" w:ascii="宋体" w:hAnsi="Times" w:eastAsia="宋体" w:cs="Times New Roman"/>
          <w:color w:val="auto"/>
          <w:kern w:val="2"/>
          <w:sz w:val="21"/>
          <w:szCs w:val="20"/>
          <w:highlight w:val="none"/>
          <w:lang w:val="en-US" w:eastAsia="zh-CN" w:bidi="ar-SA"/>
        </w:rPr>
      </w:pPr>
      <w:r>
        <w:rPr>
          <w:rFonts w:hint="eastAsia" w:ascii="宋体" w:hAnsi="Times" w:eastAsia="宋体" w:cs="Times New Roman"/>
          <w:color w:val="auto"/>
          <w:kern w:val="2"/>
          <w:sz w:val="21"/>
          <w:szCs w:val="20"/>
          <w:highlight w:val="none"/>
          <w:lang w:val="en-US" w:eastAsia="zh-CN" w:bidi="ar-SA"/>
        </w:rPr>
        <w:t>11.1.2 分期支付:第一年服务费用为项目中标金额的34%，第二年及第三年的服务费用为中标金额的33%。</w:t>
      </w:r>
    </w:p>
    <w:p w14:paraId="0A594BAB">
      <w:pPr>
        <w:pStyle w:val="153"/>
        <w:spacing w:line="240" w:lineRule="auto"/>
        <w:ind w:left="938" w:leftChars="253" w:right="107" w:hanging="407" w:hangingChars="194"/>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（1）项目竣工验收后，采购人收到中标人正规发票7个工作日内，支付第一年服务费的90%，剩余10%费用年服务期结束后，根据年度运维考核扣罚结果进行支付。</w:t>
      </w:r>
    </w:p>
    <w:p w14:paraId="5F038ADB">
      <w:pPr>
        <w:pStyle w:val="153"/>
        <w:spacing w:line="240" w:lineRule="auto"/>
        <w:ind w:left="938" w:leftChars="253" w:right="107" w:hanging="407" w:hangingChars="194"/>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（2）第二年、第三年服务费用支付：在服务期开始当月支付当年90%服务费用，剩余10%费用年服务期结束后，根据年度运维考核扣罚结果进行支付。</w:t>
      </w:r>
    </w:p>
    <w:p w14:paraId="010BAED9">
      <w:pPr>
        <w:widowControl/>
        <w:autoSpaceDE w:val="0"/>
        <w:autoSpaceDN w:val="0"/>
        <w:snapToGrid w:val="0"/>
        <w:spacing w:line="360" w:lineRule="auto"/>
        <w:jc w:val="left"/>
        <w:rPr>
          <w:rFonts w:ascii="宋体" w:hAnsi="Times"/>
          <w:color w:val="auto"/>
        </w:rPr>
      </w:pPr>
      <w:r>
        <w:rPr>
          <w:rFonts w:hint="eastAsia" w:ascii="宋体" w:hAnsi="Times"/>
          <w:color w:val="auto"/>
        </w:rPr>
        <w:t>11.</w:t>
      </w:r>
      <w:r>
        <w:rPr>
          <w:rFonts w:ascii="宋体" w:hAnsi="Times"/>
          <w:color w:val="auto"/>
        </w:rPr>
        <w:t>2由甲方在规定期限内自行将货款直接支付给乙方。</w:t>
      </w:r>
    </w:p>
    <w:p w14:paraId="1ABCD35B">
      <w:pPr>
        <w:snapToGrid w:val="0"/>
        <w:spacing w:line="360" w:lineRule="auto"/>
        <w:rPr>
          <w:rFonts w:hint="eastAsia" w:ascii="宋体"/>
          <w:color w:val="auto"/>
        </w:rPr>
      </w:pPr>
      <w:r>
        <w:rPr>
          <w:rFonts w:hint="eastAsia" w:ascii="宋体"/>
          <w:color w:val="auto"/>
        </w:rPr>
        <w:t>11.3</w:t>
      </w:r>
      <w:r>
        <w:rPr>
          <w:rFonts w:ascii="宋体"/>
          <w:color w:val="auto"/>
        </w:rPr>
        <w:t>当采购数量与实际提供服务数量不一致时，乙方应根据实际提供服务数量供货，合同的最终结算金额按实际提供服务数量乘以成交单价进行计算。</w:t>
      </w:r>
    </w:p>
    <w:p w14:paraId="7F572EEC">
      <w:pPr>
        <w:snapToGrid w:val="0"/>
        <w:spacing w:line="360" w:lineRule="auto"/>
        <w:rPr>
          <w:rFonts w:ascii="宋体"/>
          <w:color w:val="auto"/>
        </w:rPr>
      </w:pPr>
      <w:r>
        <w:rPr>
          <w:rFonts w:ascii="宋体"/>
          <w:color w:val="auto"/>
        </w:rPr>
        <w:t>十</w:t>
      </w:r>
      <w:r>
        <w:rPr>
          <w:rFonts w:hint="eastAsia" w:ascii="宋体"/>
          <w:color w:val="auto"/>
        </w:rPr>
        <w:t>二</w:t>
      </w:r>
      <w:r>
        <w:rPr>
          <w:rFonts w:ascii="宋体"/>
          <w:color w:val="auto"/>
        </w:rPr>
        <w:t>、质量保证及后续服务</w:t>
      </w:r>
    </w:p>
    <w:p w14:paraId="111903C4">
      <w:pPr>
        <w:snapToGrid w:val="0"/>
        <w:spacing w:line="360" w:lineRule="auto"/>
        <w:rPr>
          <w:rFonts w:ascii="宋体"/>
          <w:color w:val="auto"/>
        </w:rPr>
      </w:pPr>
      <w:r>
        <w:rPr>
          <w:rFonts w:hint="eastAsia" w:ascii="宋体"/>
          <w:color w:val="auto"/>
        </w:rPr>
        <w:t>12.</w:t>
      </w:r>
      <w:r>
        <w:rPr>
          <w:rFonts w:ascii="宋体"/>
          <w:color w:val="auto"/>
        </w:rPr>
        <w:t>1乙方应按采购文件规定向甲方提供服务。</w:t>
      </w:r>
    </w:p>
    <w:p w14:paraId="51B1ED3A">
      <w:pPr>
        <w:snapToGrid w:val="0"/>
        <w:spacing w:line="360" w:lineRule="auto"/>
        <w:rPr>
          <w:rFonts w:ascii="宋体"/>
          <w:color w:val="auto"/>
        </w:rPr>
      </w:pPr>
      <w:r>
        <w:rPr>
          <w:rFonts w:hint="eastAsia" w:ascii="宋体"/>
          <w:color w:val="auto"/>
        </w:rPr>
        <w:t>12.</w:t>
      </w:r>
      <w:r>
        <w:rPr>
          <w:rFonts w:ascii="宋体"/>
          <w:color w:val="auto"/>
        </w:rPr>
        <w:t>2乙方提供的服务成果在服务质量保证期内发生故障，乙方应负责免费提供后续服务。对达不到要求者，根据实际情况，经双方协商，可按以下办法处理：</w:t>
      </w:r>
    </w:p>
    <w:p w14:paraId="0BC73545">
      <w:pPr>
        <w:snapToGrid w:val="0"/>
        <w:spacing w:line="360" w:lineRule="auto"/>
        <w:rPr>
          <w:rFonts w:ascii="宋体"/>
        </w:rPr>
      </w:pPr>
      <w:r>
        <w:rPr>
          <w:rFonts w:hint="eastAsia" w:ascii="宋体" w:hAnsi="宋体" w:cs="宋体"/>
        </w:rPr>
        <w:t>12.2.1</w:t>
      </w:r>
      <w:r>
        <w:rPr>
          <w:rFonts w:ascii="宋体"/>
        </w:rPr>
        <w:t>重做：由乙方承担所发生的全部费用。</w:t>
      </w:r>
    </w:p>
    <w:p w14:paraId="49261F9A">
      <w:pPr>
        <w:snapToGrid w:val="0"/>
        <w:spacing w:line="360" w:lineRule="auto"/>
        <w:rPr>
          <w:rFonts w:ascii="宋体"/>
        </w:rPr>
      </w:pPr>
      <w:r>
        <w:rPr>
          <w:rFonts w:hint="eastAsia" w:ascii="宋体" w:hAnsi="宋体" w:cs="宋体"/>
        </w:rPr>
        <w:t>12.2.2</w:t>
      </w:r>
      <w:r>
        <w:rPr>
          <w:rFonts w:ascii="宋体"/>
        </w:rPr>
        <w:t>贬值处理：由甲乙双方合议定价。</w:t>
      </w:r>
    </w:p>
    <w:p w14:paraId="737BB2EE">
      <w:pPr>
        <w:snapToGrid w:val="0"/>
        <w:spacing w:line="360" w:lineRule="auto"/>
        <w:rPr>
          <w:rFonts w:ascii="宋体"/>
        </w:rPr>
      </w:pPr>
      <w:r>
        <w:rPr>
          <w:rFonts w:hint="eastAsia" w:ascii="宋体" w:hAnsi="宋体" w:cs="宋体"/>
        </w:rPr>
        <w:t>12.2.3</w:t>
      </w:r>
      <w:r>
        <w:rPr>
          <w:rFonts w:ascii="宋体"/>
        </w:rPr>
        <w:t>解除合同。</w:t>
      </w:r>
    </w:p>
    <w:p w14:paraId="4807CE04">
      <w:pPr>
        <w:snapToGrid w:val="0"/>
        <w:spacing w:line="360" w:lineRule="auto"/>
        <w:rPr>
          <w:rFonts w:ascii="宋体"/>
        </w:rPr>
      </w:pPr>
      <w:r>
        <w:rPr>
          <w:rFonts w:hint="eastAsia" w:ascii="宋体"/>
        </w:rPr>
        <w:t>12.</w:t>
      </w:r>
      <w:r>
        <w:rPr>
          <w:rFonts w:ascii="宋体"/>
        </w:rPr>
        <w:t>3 如在使用过程中发生问题，乙方在接到甲方通知后在</w:t>
      </w:r>
      <w:r>
        <w:rPr>
          <w:rFonts w:hint="eastAsia" w:ascii="宋体" w:hAnsi="Cambria Math"/>
        </w:rPr>
        <w:t>Ｘ</w:t>
      </w:r>
      <w:r>
        <w:rPr>
          <w:rFonts w:ascii="宋体"/>
        </w:rPr>
        <w:t>小时内到达甲方现场。</w:t>
      </w:r>
    </w:p>
    <w:p w14:paraId="0DF1C7D8">
      <w:pPr>
        <w:snapToGrid w:val="0"/>
        <w:spacing w:line="360" w:lineRule="auto"/>
        <w:rPr>
          <w:rFonts w:ascii="宋体"/>
        </w:rPr>
      </w:pPr>
      <w:r>
        <w:rPr>
          <w:rFonts w:hint="eastAsia" w:ascii="宋体"/>
        </w:rPr>
        <w:t>12.</w:t>
      </w:r>
      <w:r>
        <w:rPr>
          <w:rFonts w:ascii="宋体"/>
        </w:rPr>
        <w:t>4在服务质量保证期内，乙方应对出现的质量及安全问题负责处理解决并承担</w:t>
      </w:r>
    </w:p>
    <w:p w14:paraId="3CD10B50">
      <w:pPr>
        <w:snapToGrid w:val="0"/>
        <w:spacing w:line="360" w:lineRule="auto"/>
        <w:rPr>
          <w:rFonts w:hint="eastAsia" w:ascii="宋体"/>
        </w:rPr>
      </w:pPr>
      <w:r>
        <w:rPr>
          <w:rFonts w:ascii="宋体"/>
        </w:rPr>
        <w:t>一切费用</w:t>
      </w:r>
      <w:r>
        <w:rPr>
          <w:rFonts w:hint="eastAsia" w:ascii="宋体"/>
        </w:rPr>
        <w:t>，包括国家行政部门及授权部门对因质量</w:t>
      </w:r>
      <w:r>
        <w:rPr>
          <w:rFonts w:ascii="宋体"/>
        </w:rPr>
        <w:t>及安全</w:t>
      </w:r>
      <w:r>
        <w:rPr>
          <w:rFonts w:hint="eastAsia" w:ascii="宋体"/>
        </w:rPr>
        <w:t>问题进行的行政处罚</w:t>
      </w:r>
      <w:r>
        <w:rPr>
          <w:rFonts w:ascii="宋体"/>
        </w:rPr>
        <w:t>。</w:t>
      </w:r>
    </w:p>
    <w:p w14:paraId="3D8613FE">
      <w:pPr>
        <w:widowControl/>
        <w:autoSpaceDE w:val="0"/>
        <w:autoSpaceDN w:val="0"/>
        <w:snapToGrid w:val="0"/>
        <w:spacing w:line="360" w:lineRule="auto"/>
        <w:jc w:val="left"/>
        <w:rPr>
          <w:rFonts w:hint="eastAsia" w:ascii="宋体" w:hAnsi="Times"/>
        </w:rPr>
      </w:pPr>
      <w:r>
        <w:rPr>
          <w:rFonts w:ascii="宋体" w:hAnsi="Times"/>
        </w:rPr>
        <w:t>十</w:t>
      </w:r>
      <w:r>
        <w:rPr>
          <w:rFonts w:hint="eastAsia" w:ascii="宋体" w:hAnsi="Times"/>
        </w:rPr>
        <w:t>三</w:t>
      </w:r>
      <w:r>
        <w:rPr>
          <w:rFonts w:ascii="宋体" w:hAnsi="Times"/>
        </w:rPr>
        <w:t xml:space="preserve">、保密条款 </w:t>
      </w:r>
    </w:p>
    <w:p w14:paraId="3FD71D07">
      <w:pPr>
        <w:widowControl/>
        <w:autoSpaceDE w:val="0"/>
        <w:autoSpaceDN w:val="0"/>
        <w:snapToGrid w:val="0"/>
        <w:spacing w:line="360" w:lineRule="auto"/>
        <w:jc w:val="left"/>
        <w:rPr>
          <w:rFonts w:hint="eastAsia" w:ascii="宋体" w:hAnsi="Times"/>
        </w:rPr>
      </w:pPr>
      <w:r>
        <w:rPr>
          <w:rFonts w:ascii="宋体" w:hAnsi="Times"/>
        </w:rPr>
        <w:t>乙方对合同内容及履行合同过程中所获悉的属于甲方的且无法自公开渠道获得的文件及资料</w:t>
      </w:r>
      <w:r>
        <w:rPr>
          <w:rFonts w:hint="eastAsia" w:ascii="宋体" w:hAnsi="Times"/>
        </w:rPr>
        <w:t>（例如监控、病例等资料）</w:t>
      </w:r>
      <w:r>
        <w:rPr>
          <w:rFonts w:ascii="宋体" w:hAnsi="Times"/>
        </w:rPr>
        <w:t>,应负保密义务,非经甲方</w:t>
      </w:r>
      <w:r>
        <w:rPr>
          <w:rFonts w:hint="eastAsia" w:ascii="宋体" w:hAnsi="Times"/>
        </w:rPr>
        <w:t>或病人</w:t>
      </w:r>
      <w:r>
        <w:rPr>
          <w:rFonts w:ascii="宋体" w:hAnsi="Times"/>
        </w:rPr>
        <w:t>书面同意,不得擅自利用或对外发表或披露。违反前述约定的,乙方应向甲方支付违约金</w:t>
      </w:r>
      <w:r>
        <w:rPr>
          <w:rFonts w:hint="eastAsia" w:ascii="宋体" w:hAnsi="Times"/>
        </w:rPr>
        <w:t>1</w:t>
      </w:r>
      <w:r>
        <w:rPr>
          <w:rFonts w:ascii="宋体" w:hAnsi="Times"/>
        </w:rPr>
        <w:t>万元;违约金不足以弥补甲方损失的,乙方还应负责赔偿</w:t>
      </w:r>
      <w:r>
        <w:rPr>
          <w:rFonts w:hint="eastAsia" w:ascii="宋体" w:hAnsi="Times"/>
        </w:rPr>
        <w:t>；违反法律、法规的，乙方承担全部责任</w:t>
      </w:r>
      <w:r>
        <w:rPr>
          <w:rFonts w:ascii="宋体" w:hAnsi="Times"/>
        </w:rPr>
        <w:t>。</w:t>
      </w:r>
      <w:r>
        <w:rPr>
          <w:rFonts w:hint="eastAsia" w:ascii="MS Mincho" w:hAnsi="MS Mincho" w:eastAsia="MS Mincho" w:cs="MS Mincho"/>
        </w:rPr>
        <w:t> </w:t>
      </w:r>
    </w:p>
    <w:p w14:paraId="10109CE9">
      <w:pPr>
        <w:snapToGrid w:val="0"/>
        <w:spacing w:line="360" w:lineRule="auto"/>
        <w:rPr>
          <w:rFonts w:hint="eastAsia" w:ascii="宋体" w:hAnsi="Times"/>
        </w:rPr>
      </w:pPr>
      <w:r>
        <w:rPr>
          <w:rFonts w:hint="eastAsia" w:ascii="宋体" w:hAnsi="Times"/>
        </w:rPr>
        <w:t>十四、资质保证</w:t>
      </w:r>
    </w:p>
    <w:p w14:paraId="569F4318">
      <w:pPr>
        <w:snapToGrid w:val="0"/>
        <w:spacing w:line="360" w:lineRule="auto"/>
        <w:rPr>
          <w:rFonts w:ascii="宋体" w:hAnsi="Times"/>
        </w:rPr>
      </w:pPr>
      <w:r>
        <w:rPr>
          <w:rFonts w:ascii="宋体" w:hAnsi="Times"/>
        </w:rPr>
        <w:t>乙方应保证所提供的</w:t>
      </w:r>
      <w:r>
        <w:rPr>
          <w:rFonts w:hint="eastAsia" w:ascii="宋体" w:hAnsi="Times"/>
        </w:rPr>
        <w:t>服务中所涉及资质要求，</w:t>
      </w:r>
    </w:p>
    <w:p w14:paraId="494DCF56">
      <w:pPr>
        <w:snapToGrid w:val="0"/>
        <w:spacing w:line="360" w:lineRule="auto"/>
        <w:rPr>
          <w:rFonts w:ascii="宋体"/>
        </w:rPr>
      </w:pPr>
      <w:r>
        <w:rPr>
          <w:rFonts w:ascii="宋体"/>
        </w:rPr>
        <w:t>十</w:t>
      </w:r>
      <w:r>
        <w:rPr>
          <w:rFonts w:hint="eastAsia" w:ascii="宋体"/>
        </w:rPr>
        <w:t>五</w:t>
      </w:r>
      <w:r>
        <w:rPr>
          <w:rFonts w:ascii="宋体"/>
        </w:rPr>
        <w:t>、违约责任</w:t>
      </w:r>
      <w:r>
        <w:rPr>
          <w:rFonts w:hint="eastAsia" w:ascii="宋体"/>
        </w:rPr>
        <w:t>(违约金额不超过合同总值的20%)</w:t>
      </w:r>
    </w:p>
    <w:p w14:paraId="2E17AFDC">
      <w:pPr>
        <w:snapToGrid w:val="0"/>
        <w:spacing w:line="360" w:lineRule="auto"/>
        <w:rPr>
          <w:rFonts w:ascii="宋体"/>
        </w:rPr>
      </w:pPr>
      <w:r>
        <w:rPr>
          <w:rFonts w:hint="eastAsia" w:ascii="宋体"/>
        </w:rPr>
        <w:t>15.1</w:t>
      </w:r>
      <w:r>
        <w:rPr>
          <w:rFonts w:ascii="宋体"/>
        </w:rPr>
        <w:t>甲方无正当理由拒收接受服务的，甲方向乙方偿付合同款项百分之</w:t>
      </w:r>
      <w:r>
        <w:rPr>
          <w:rFonts w:hint="eastAsia" w:ascii="宋体"/>
        </w:rPr>
        <w:t>X</w:t>
      </w:r>
      <w:r>
        <w:rPr>
          <w:rFonts w:ascii="宋体"/>
        </w:rPr>
        <w:t>作为违约金。</w:t>
      </w:r>
    </w:p>
    <w:p w14:paraId="47134120">
      <w:pPr>
        <w:snapToGrid w:val="0"/>
        <w:spacing w:line="360" w:lineRule="auto"/>
        <w:rPr>
          <w:rFonts w:ascii="宋体"/>
        </w:rPr>
      </w:pPr>
      <w:r>
        <w:rPr>
          <w:rFonts w:hint="eastAsia" w:ascii="宋体"/>
        </w:rPr>
        <w:t>15.</w:t>
      </w:r>
      <w:r>
        <w:rPr>
          <w:rFonts w:ascii="宋体"/>
        </w:rPr>
        <w:t>2甲方无故逾期验收和办理款项支付手续的,甲方应按逾期付款总额每日万分之</w:t>
      </w:r>
      <w:r>
        <w:rPr>
          <w:rFonts w:hint="eastAsia" w:ascii="宋体"/>
        </w:rPr>
        <w:t>X</w:t>
      </w:r>
      <w:r>
        <w:rPr>
          <w:rFonts w:ascii="宋体"/>
        </w:rPr>
        <w:t>向乙方支付违约金。</w:t>
      </w:r>
    </w:p>
    <w:p w14:paraId="51A4E33E">
      <w:pPr>
        <w:snapToGrid w:val="0"/>
        <w:spacing w:line="360" w:lineRule="auto"/>
        <w:rPr>
          <w:rFonts w:hint="eastAsia" w:ascii="宋体"/>
        </w:rPr>
      </w:pPr>
      <w:r>
        <w:rPr>
          <w:rFonts w:hint="eastAsia" w:ascii="宋体"/>
        </w:rPr>
        <w:t>15.</w:t>
      </w:r>
      <w:r>
        <w:rPr>
          <w:rFonts w:ascii="宋体"/>
        </w:rPr>
        <w:t>3乙方未能如期提供服务的，每日向甲方支付合同款项的千分之</w:t>
      </w:r>
      <w:r>
        <w:rPr>
          <w:rFonts w:hint="eastAsia" w:ascii="宋体"/>
        </w:rPr>
        <w:t>X</w:t>
      </w:r>
      <w:r>
        <w:rPr>
          <w:rFonts w:ascii="宋体"/>
        </w:rPr>
        <w:t>作为违约金。乙方超过约定日期10个工作日仍不能提供服务的，甲方可解除本合同。乙方因未能如期提供服务或因其他违约行为导致甲方解除合同的，乙方应向甲方支付合同总值</w:t>
      </w:r>
      <w:r>
        <w:rPr>
          <w:rFonts w:hint="eastAsia" w:ascii="宋体"/>
        </w:rPr>
        <w:t>X</w:t>
      </w:r>
      <w:r>
        <w:rPr>
          <w:rFonts w:ascii="宋体"/>
        </w:rPr>
        <w:t xml:space="preserve">%的违约金，如造成甲方损失超过违约金的，超出部分由乙方继续承担赔偿责任。 </w:t>
      </w:r>
    </w:p>
    <w:p w14:paraId="59B9E3F9">
      <w:pPr>
        <w:snapToGrid w:val="0"/>
        <w:spacing w:line="360" w:lineRule="auto"/>
        <w:rPr>
          <w:rFonts w:hint="eastAsia" w:ascii="宋体"/>
        </w:rPr>
      </w:pPr>
      <w:r>
        <w:rPr>
          <w:rFonts w:hint="eastAsia" w:ascii="宋体"/>
        </w:rPr>
        <w:t>15.4乙方违反《</w:t>
      </w:r>
      <w:r>
        <w:rPr>
          <w:rFonts w:ascii="宋体"/>
        </w:rPr>
        <w:t>舟山医院</w:t>
      </w:r>
      <w:r>
        <w:rPr>
          <w:rFonts w:hint="eastAsia" w:ascii="宋体"/>
        </w:rPr>
        <w:t>物资与服务采购</w:t>
      </w:r>
      <w:r>
        <w:rPr>
          <w:rFonts w:ascii="宋体"/>
        </w:rPr>
        <w:t>廉政合同</w:t>
      </w:r>
      <w:r>
        <w:rPr>
          <w:rFonts w:hint="eastAsia" w:ascii="宋体"/>
        </w:rPr>
        <w:t>》，甲方有权要求乙方进行经济补偿，相关补偿事宜有双方协商解决，或列入甲方供应商黑名单。</w:t>
      </w:r>
    </w:p>
    <w:p w14:paraId="780FD082">
      <w:pPr>
        <w:snapToGrid w:val="0"/>
        <w:spacing w:line="360" w:lineRule="auto"/>
        <w:rPr>
          <w:rFonts w:ascii="宋体"/>
        </w:rPr>
      </w:pPr>
      <w:r>
        <w:rPr>
          <w:rFonts w:hint="eastAsia" w:ascii="宋体"/>
        </w:rPr>
        <w:t>15.5</w:t>
      </w:r>
      <w:r>
        <w:rPr>
          <w:rFonts w:ascii="宋体"/>
        </w:rPr>
        <w:t>乙方</w:t>
      </w:r>
      <w:r>
        <w:rPr>
          <w:rFonts w:hint="eastAsia" w:ascii="宋体"/>
        </w:rPr>
        <w:t>在合同约定的验收考核期，验收考核未通过的，甲方有权延迟服务款项支付。</w:t>
      </w:r>
    </w:p>
    <w:p w14:paraId="575B7AEB">
      <w:pPr>
        <w:snapToGrid w:val="0"/>
        <w:spacing w:line="360" w:lineRule="auto"/>
        <w:rPr>
          <w:rFonts w:ascii="宋体"/>
        </w:rPr>
      </w:pPr>
      <w:r>
        <w:rPr>
          <w:rFonts w:ascii="宋体"/>
        </w:rPr>
        <w:t>十</w:t>
      </w:r>
      <w:r>
        <w:rPr>
          <w:rFonts w:hint="eastAsia" w:ascii="宋体"/>
        </w:rPr>
        <w:t>六</w:t>
      </w:r>
      <w:r>
        <w:rPr>
          <w:rFonts w:ascii="宋体"/>
        </w:rPr>
        <w:t>、不可抗力事件处理</w:t>
      </w:r>
    </w:p>
    <w:p w14:paraId="7799A3CF">
      <w:pPr>
        <w:snapToGrid w:val="0"/>
        <w:spacing w:line="360" w:lineRule="auto"/>
        <w:rPr>
          <w:rFonts w:ascii="宋体"/>
        </w:rPr>
      </w:pPr>
      <w:r>
        <w:rPr>
          <w:rFonts w:hint="eastAsia" w:ascii="宋体"/>
        </w:rPr>
        <w:t>16.1</w:t>
      </w:r>
      <w:r>
        <w:rPr>
          <w:rFonts w:ascii="宋体"/>
        </w:rPr>
        <w:t>在合同有效期内，任何一方因不可抗力事件导致不能履行合同，则合同履行期可延长，其延长期与不可抗力影响期相同。</w:t>
      </w:r>
    </w:p>
    <w:p w14:paraId="4E23677D">
      <w:pPr>
        <w:widowControl/>
        <w:autoSpaceDE w:val="0"/>
        <w:autoSpaceDN w:val="0"/>
        <w:snapToGrid w:val="0"/>
        <w:spacing w:line="360" w:lineRule="auto"/>
        <w:jc w:val="left"/>
        <w:rPr>
          <w:rFonts w:hint="eastAsia" w:ascii="宋体"/>
        </w:rPr>
      </w:pPr>
      <w:r>
        <w:rPr>
          <w:rFonts w:hint="eastAsia" w:ascii="宋体" w:hAnsi="Times"/>
        </w:rPr>
        <w:t>16.2</w:t>
      </w:r>
      <w:r>
        <w:rPr>
          <w:rFonts w:ascii="宋体" w:hAnsi="Times"/>
        </w:rPr>
        <w:t xml:space="preserve">本条所述的“不可抗力”系指那些双方不可预见、不可避免、不可克服的事件,但不包括双方的违约或 疏忽。这些事件包括但不限于:战争、严重火灭、洪水、台风、地震、国家政策的重大变化,以及双方商定的其他事件。 </w:t>
      </w:r>
    </w:p>
    <w:p w14:paraId="28D9DB24">
      <w:pPr>
        <w:widowControl/>
        <w:autoSpaceDE w:val="0"/>
        <w:autoSpaceDN w:val="0"/>
        <w:snapToGrid w:val="0"/>
        <w:spacing w:line="360" w:lineRule="auto"/>
        <w:jc w:val="left"/>
        <w:rPr>
          <w:rFonts w:ascii="宋体"/>
        </w:rPr>
      </w:pPr>
      <w:r>
        <w:rPr>
          <w:rFonts w:hint="eastAsia" w:ascii="宋体"/>
        </w:rPr>
        <w:t>16.3</w:t>
      </w:r>
      <w:r>
        <w:rPr>
          <w:rFonts w:ascii="宋体"/>
        </w:rPr>
        <w:t>不可抗力事件发生后，应立即通知对方，并寄送有关权威机构出具的证明。</w:t>
      </w:r>
    </w:p>
    <w:p w14:paraId="2FD99655">
      <w:pPr>
        <w:snapToGrid w:val="0"/>
        <w:spacing w:line="360" w:lineRule="auto"/>
        <w:rPr>
          <w:rFonts w:hint="eastAsia" w:ascii="宋体"/>
        </w:rPr>
      </w:pPr>
      <w:r>
        <w:rPr>
          <w:rFonts w:hint="eastAsia" w:ascii="宋体"/>
        </w:rPr>
        <w:t>16.4</w:t>
      </w:r>
      <w:r>
        <w:rPr>
          <w:rFonts w:ascii="宋体"/>
        </w:rPr>
        <w:t>不可抗力事件延续120天以上，双方应通过友好协商，确定是否继续履行合同。</w:t>
      </w:r>
    </w:p>
    <w:p w14:paraId="45192B42">
      <w:pPr>
        <w:snapToGrid w:val="0"/>
        <w:spacing w:line="360" w:lineRule="auto"/>
        <w:rPr>
          <w:rFonts w:hint="eastAsia" w:ascii="宋体"/>
          <w:color w:val="FF0000"/>
        </w:rPr>
      </w:pPr>
      <w:r>
        <w:rPr>
          <w:rFonts w:hint="eastAsia" w:ascii="宋体"/>
          <w:color w:val="FF0000"/>
        </w:rPr>
        <w:t>十七、 出现下列情况，甲方有权解除合同：</w:t>
      </w:r>
    </w:p>
    <w:p w14:paraId="3015C298">
      <w:pPr>
        <w:snapToGrid w:val="0"/>
        <w:spacing w:line="360" w:lineRule="auto"/>
        <w:rPr>
          <w:rFonts w:hint="eastAsia" w:ascii="宋体"/>
          <w:color w:val="FF0000"/>
        </w:rPr>
      </w:pPr>
      <w:r>
        <w:rPr>
          <w:rFonts w:hint="eastAsia" w:ascii="宋体"/>
          <w:color w:val="FF0000"/>
        </w:rPr>
        <w:t>17.1因不可抗力致使不能实现合同目的；</w:t>
      </w:r>
    </w:p>
    <w:p w14:paraId="3BF53BE4">
      <w:pPr>
        <w:snapToGrid w:val="0"/>
        <w:spacing w:line="360" w:lineRule="auto"/>
        <w:rPr>
          <w:rFonts w:hint="eastAsia" w:ascii="宋体"/>
          <w:color w:val="FF0000"/>
        </w:rPr>
      </w:pPr>
      <w:r>
        <w:rPr>
          <w:rFonts w:hint="eastAsia" w:ascii="宋体"/>
          <w:color w:val="FF0000"/>
        </w:rPr>
        <w:t xml:space="preserve">17.2在履行期限届满之前，乙方明确表示或者以自己实际行为表明其不履行合同义务的。 </w:t>
      </w:r>
    </w:p>
    <w:p w14:paraId="58A6EF27">
      <w:pPr>
        <w:snapToGrid w:val="0"/>
        <w:spacing w:line="360" w:lineRule="auto"/>
        <w:rPr>
          <w:rFonts w:ascii="宋体"/>
          <w:color w:val="FF0000"/>
        </w:rPr>
      </w:pPr>
      <w:r>
        <w:rPr>
          <w:rFonts w:hint="eastAsia" w:ascii="宋体"/>
          <w:color w:val="FF0000"/>
        </w:rPr>
        <w:t>17.3乙方发生违约后，在收到甲方通知3个工作日仍不能采取补救措施及行动，或者多次整改效果仍达不到甲方要求的，甲方有权解除合同。</w:t>
      </w:r>
    </w:p>
    <w:p w14:paraId="6AD2923A">
      <w:pPr>
        <w:snapToGrid w:val="0"/>
        <w:spacing w:line="360" w:lineRule="auto"/>
        <w:rPr>
          <w:rFonts w:ascii="宋体"/>
        </w:rPr>
      </w:pPr>
      <w:r>
        <w:rPr>
          <w:rFonts w:ascii="宋体"/>
        </w:rPr>
        <w:t>十</w:t>
      </w:r>
      <w:r>
        <w:rPr>
          <w:rFonts w:hint="eastAsia" w:ascii="宋体"/>
        </w:rPr>
        <w:t>八</w:t>
      </w:r>
      <w:r>
        <w:rPr>
          <w:rFonts w:ascii="宋体"/>
        </w:rPr>
        <w:t>、诉讼法律适用及争议解决</w:t>
      </w:r>
    </w:p>
    <w:p w14:paraId="48F573A0">
      <w:pPr>
        <w:snapToGrid w:val="0"/>
        <w:spacing w:line="360" w:lineRule="auto"/>
        <w:rPr>
          <w:rFonts w:ascii="宋体"/>
        </w:rPr>
      </w:pPr>
      <w:r>
        <w:rPr>
          <w:rFonts w:hint="eastAsia" w:ascii="宋体"/>
        </w:rPr>
        <w:t>18.1</w:t>
      </w:r>
      <w:r>
        <w:rPr>
          <w:rFonts w:ascii="宋体"/>
        </w:rPr>
        <w:t>本合同订立、解释、履行及争议解决，均适用中华人民共和国法律。</w:t>
      </w:r>
    </w:p>
    <w:p w14:paraId="0088E819">
      <w:pPr>
        <w:snapToGrid w:val="0"/>
        <w:spacing w:line="360" w:lineRule="auto"/>
        <w:rPr>
          <w:rFonts w:ascii="宋体"/>
        </w:rPr>
      </w:pPr>
      <w:r>
        <w:rPr>
          <w:rFonts w:hint="eastAsia" w:ascii="宋体"/>
        </w:rPr>
        <w:t>18.</w:t>
      </w:r>
      <w:r>
        <w:rPr>
          <w:rFonts w:ascii="宋体"/>
        </w:rPr>
        <w:t>2双方在执行合同中所发生的一切争议，应通过协商解决。如协商不成，可向甲方所在地</w:t>
      </w:r>
      <w:r>
        <w:rPr>
          <w:rFonts w:hint="eastAsia" w:ascii="宋体"/>
        </w:rPr>
        <w:t>（舟山市定海区）</w:t>
      </w:r>
      <w:r>
        <w:rPr>
          <w:rFonts w:ascii="宋体"/>
        </w:rPr>
        <w:t>法院起诉。</w:t>
      </w:r>
    </w:p>
    <w:p w14:paraId="33F97167">
      <w:pPr>
        <w:snapToGrid w:val="0"/>
        <w:spacing w:line="360" w:lineRule="auto"/>
        <w:rPr>
          <w:rFonts w:ascii="宋体"/>
        </w:rPr>
      </w:pPr>
      <w:r>
        <w:rPr>
          <w:rFonts w:hint="eastAsia" w:ascii="宋体"/>
        </w:rPr>
        <w:t>十九</w:t>
      </w:r>
      <w:r>
        <w:rPr>
          <w:rFonts w:ascii="宋体"/>
        </w:rPr>
        <w:t>、合同生效及其它</w:t>
      </w:r>
    </w:p>
    <w:p w14:paraId="583BB2D8">
      <w:pPr>
        <w:snapToGrid w:val="0"/>
        <w:spacing w:line="360" w:lineRule="auto"/>
        <w:rPr>
          <w:rFonts w:ascii="宋体"/>
        </w:rPr>
      </w:pPr>
      <w:r>
        <w:rPr>
          <w:rFonts w:hint="eastAsia" w:ascii="宋体"/>
        </w:rPr>
        <w:t>19.1</w:t>
      </w:r>
      <w:r>
        <w:rPr>
          <w:rFonts w:ascii="宋体"/>
        </w:rPr>
        <w:t>合同经双方法定代表人或授权代表签字并加盖单位公章后生效。</w:t>
      </w:r>
    </w:p>
    <w:p w14:paraId="41F7B01C">
      <w:pPr>
        <w:snapToGrid w:val="0"/>
        <w:spacing w:line="360" w:lineRule="auto"/>
        <w:rPr>
          <w:rFonts w:hint="eastAsia" w:ascii="宋体"/>
        </w:rPr>
      </w:pPr>
      <w:r>
        <w:rPr>
          <w:rFonts w:hint="eastAsia" w:ascii="宋体"/>
        </w:rPr>
        <w:t>19.</w:t>
      </w:r>
      <w:r>
        <w:rPr>
          <w:rFonts w:ascii="宋体"/>
        </w:rPr>
        <w:t>2合同执行中涉及采购资金和采购内容修改或补充的，须经</w:t>
      </w:r>
      <w:r>
        <w:rPr>
          <w:rFonts w:hint="eastAsia" w:ascii="宋体"/>
        </w:rPr>
        <w:t>甲方院长办公会议讨论同意，如同时属于</w:t>
      </w:r>
      <w:r>
        <w:rPr>
          <w:rFonts w:ascii="宋体"/>
        </w:rPr>
        <w:t>财政部门审批</w:t>
      </w:r>
      <w:r>
        <w:rPr>
          <w:rFonts w:hint="eastAsia" w:ascii="宋体"/>
        </w:rPr>
        <w:t>项目的，还</w:t>
      </w:r>
      <w:r>
        <w:rPr>
          <w:rFonts w:ascii="宋体"/>
        </w:rPr>
        <w:t>须经财政部门审批，并签书面补充协议报政府采购监督管理部门备案，可作为主合同不可分割的一部分。</w:t>
      </w:r>
      <w:r>
        <w:rPr>
          <w:rFonts w:hint="eastAsia" w:ascii="宋体"/>
        </w:rPr>
        <w:t>本合同未涉及到的条款参照本次项目的招标文件及中标方的投标书。</w:t>
      </w:r>
    </w:p>
    <w:p w14:paraId="42F67571">
      <w:pPr>
        <w:snapToGrid w:val="0"/>
        <w:spacing w:line="360" w:lineRule="auto"/>
        <w:rPr>
          <w:rFonts w:hint="eastAsia" w:ascii="宋体"/>
          <w:color w:val="FF0000"/>
        </w:rPr>
      </w:pPr>
      <w:r>
        <w:rPr>
          <w:rFonts w:hint="eastAsia" w:ascii="宋体"/>
          <w:color w:val="FF0000"/>
        </w:rPr>
        <w:t>19.3合同服务期最长不得超过3年。</w:t>
      </w:r>
    </w:p>
    <w:p w14:paraId="7013F97B">
      <w:pPr>
        <w:snapToGrid w:val="0"/>
        <w:spacing w:line="360" w:lineRule="auto"/>
        <w:rPr>
          <w:rFonts w:hint="eastAsia" w:ascii="宋体"/>
        </w:rPr>
      </w:pPr>
      <w:r>
        <w:rPr>
          <w:rFonts w:hint="eastAsia" w:ascii="宋体"/>
        </w:rPr>
        <w:t>19.4</w:t>
      </w:r>
      <w:r>
        <w:rPr>
          <w:rFonts w:ascii="宋体"/>
        </w:rPr>
        <w:t>本合同未尽事宜，遵照《</w:t>
      </w:r>
      <w:r>
        <w:rPr>
          <w:rFonts w:hint="eastAsia" w:ascii="宋体"/>
        </w:rPr>
        <w:t>中华人民共和国</w:t>
      </w:r>
      <w:r>
        <w:rPr>
          <w:rFonts w:ascii="宋体"/>
        </w:rPr>
        <w:t>政府采购法》、《</w:t>
      </w:r>
      <w:r>
        <w:rPr>
          <w:rFonts w:hint="eastAsia" w:ascii="宋体"/>
        </w:rPr>
        <w:t>中华人民共和国民法典</w:t>
      </w:r>
      <w:r>
        <w:rPr>
          <w:rFonts w:ascii="宋体"/>
        </w:rPr>
        <w:t>》有关条文执行</w:t>
      </w:r>
      <w:r>
        <w:rPr>
          <w:rFonts w:hint="eastAsia" w:ascii="宋体"/>
        </w:rPr>
        <w:t>,及参照本次项目的招标文件及中标方的投标书。</w:t>
      </w:r>
    </w:p>
    <w:p w14:paraId="1B984531">
      <w:pPr>
        <w:snapToGrid w:val="0"/>
        <w:spacing w:line="360" w:lineRule="auto"/>
        <w:rPr>
          <w:rFonts w:hint="eastAsia" w:ascii="宋体"/>
        </w:rPr>
      </w:pPr>
      <w:r>
        <w:rPr>
          <w:rFonts w:hint="eastAsia" w:ascii="宋体"/>
        </w:rPr>
        <w:t>19.5</w:t>
      </w:r>
      <w:r>
        <w:rPr>
          <w:rFonts w:ascii="宋体"/>
        </w:rPr>
        <w:t>本合同附件</w:t>
      </w:r>
      <w:r>
        <w:rPr>
          <w:rFonts w:hint="eastAsia" w:ascii="宋体"/>
        </w:rPr>
        <w:t>为合同不可分割的组成部门，甲乙双方必须执行。</w:t>
      </w:r>
    </w:p>
    <w:p w14:paraId="0C0588C3">
      <w:pPr>
        <w:snapToGrid w:val="0"/>
        <w:spacing w:line="360" w:lineRule="auto"/>
        <w:rPr>
          <w:rFonts w:hint="eastAsia" w:ascii="宋体"/>
        </w:rPr>
      </w:pPr>
      <w:r>
        <w:rPr>
          <w:rFonts w:hint="eastAsia" w:ascii="宋体"/>
        </w:rPr>
        <w:t>19.6《</w:t>
      </w:r>
      <w:r>
        <w:rPr>
          <w:rFonts w:ascii="宋体"/>
        </w:rPr>
        <w:t>舟山医院</w:t>
      </w:r>
      <w:r>
        <w:rPr>
          <w:rFonts w:hint="eastAsia" w:ascii="宋体"/>
        </w:rPr>
        <w:t>物资与服务采购</w:t>
      </w:r>
      <w:r>
        <w:rPr>
          <w:rFonts w:ascii="宋体"/>
        </w:rPr>
        <w:t>廉政合同</w:t>
      </w:r>
      <w:r>
        <w:rPr>
          <w:rFonts w:hint="eastAsia" w:ascii="宋体"/>
        </w:rPr>
        <w:t>》为合同不可分割的组成部门。</w:t>
      </w:r>
    </w:p>
    <w:p w14:paraId="00C2FED5">
      <w:pPr>
        <w:snapToGrid w:val="0"/>
        <w:spacing w:line="360" w:lineRule="auto"/>
        <w:rPr>
          <w:rFonts w:hint="eastAsia" w:ascii="宋体"/>
        </w:rPr>
      </w:pPr>
      <w:r>
        <w:rPr>
          <w:rFonts w:hint="eastAsia" w:ascii="宋体"/>
        </w:rPr>
        <w:t>19.7</w:t>
      </w:r>
      <w:r>
        <w:rPr>
          <w:rFonts w:ascii="宋体"/>
        </w:rPr>
        <w:t>本合同正本一式</w:t>
      </w:r>
      <w:r>
        <w:rPr>
          <w:rFonts w:hint="eastAsia" w:ascii="宋体"/>
        </w:rPr>
        <w:t>Ｘ</w:t>
      </w:r>
      <w:r>
        <w:rPr>
          <w:rFonts w:ascii="宋体"/>
        </w:rPr>
        <w:t>份，具有同等法律效力，甲乙双方各执一份；</w:t>
      </w:r>
      <w:r>
        <w:rPr>
          <w:rFonts w:hint="eastAsia" w:ascii="宋体"/>
        </w:rPr>
        <w:t>其他相关方都</w:t>
      </w:r>
      <w:r>
        <w:rPr>
          <w:rFonts w:ascii="宋体"/>
        </w:rPr>
        <w:t>执</w:t>
      </w:r>
      <w:r>
        <w:rPr>
          <w:rFonts w:hint="eastAsia" w:ascii="宋体"/>
        </w:rPr>
        <w:t>一份</w:t>
      </w:r>
      <w:r>
        <w:rPr>
          <w:rFonts w:ascii="宋体"/>
        </w:rPr>
        <w:t>。</w:t>
      </w:r>
    </w:p>
    <w:p w14:paraId="5688B7B0">
      <w:pPr>
        <w:snapToGrid w:val="0"/>
        <w:spacing w:line="360" w:lineRule="auto"/>
        <w:rPr>
          <w:rFonts w:ascii="宋体"/>
        </w:rPr>
      </w:pPr>
    </w:p>
    <w:p w14:paraId="1D431158">
      <w:pPr>
        <w:snapToGrid w:val="0"/>
        <w:spacing w:line="360" w:lineRule="auto"/>
        <w:rPr>
          <w:rFonts w:ascii="宋体"/>
        </w:rPr>
      </w:pPr>
      <w:r>
        <w:rPr>
          <w:rFonts w:ascii="宋体"/>
        </w:rPr>
        <w:t xml:space="preserve">甲方：                                   乙方： </w:t>
      </w:r>
    </w:p>
    <w:p w14:paraId="4EE87FEF">
      <w:pPr>
        <w:snapToGrid w:val="0"/>
        <w:spacing w:line="360" w:lineRule="auto"/>
        <w:rPr>
          <w:rFonts w:ascii="宋体"/>
        </w:rPr>
      </w:pPr>
      <w:r>
        <w:rPr>
          <w:rFonts w:ascii="宋体"/>
        </w:rPr>
        <w:t xml:space="preserve">地址：                                   地址： </w:t>
      </w:r>
    </w:p>
    <w:p w14:paraId="49BCCE03">
      <w:pPr>
        <w:snapToGrid w:val="0"/>
        <w:spacing w:line="360" w:lineRule="auto"/>
        <w:rPr>
          <w:rFonts w:ascii="宋体"/>
        </w:rPr>
      </w:pPr>
      <w:r>
        <w:rPr>
          <w:rFonts w:ascii="宋体"/>
        </w:rPr>
        <w:t>法定（授权）代表人：                     法定（授权）代表人：</w:t>
      </w:r>
    </w:p>
    <w:p w14:paraId="2B4DD5DB">
      <w:pPr>
        <w:snapToGrid w:val="0"/>
        <w:spacing w:line="360" w:lineRule="auto"/>
        <w:rPr>
          <w:rFonts w:ascii="宋体"/>
        </w:rPr>
      </w:pPr>
      <w:r>
        <w:rPr>
          <w:rFonts w:ascii="宋体"/>
        </w:rPr>
        <w:t>签字日期：      年  月  日               签字日期：      年  月  日</w:t>
      </w:r>
    </w:p>
    <w:p w14:paraId="2A91FDE7">
      <w:pPr>
        <w:snapToGrid w:val="0"/>
        <w:spacing w:line="360" w:lineRule="auto"/>
        <w:rPr>
          <w:rFonts w:ascii="宋体"/>
        </w:rPr>
      </w:pPr>
      <w:r>
        <w:rPr>
          <w:rFonts w:ascii="宋体"/>
        </w:rPr>
        <w:t xml:space="preserve">电    话：                               电    话： </w:t>
      </w:r>
    </w:p>
    <w:p w14:paraId="0FA1FC67">
      <w:pPr>
        <w:snapToGrid w:val="0"/>
        <w:spacing w:line="360" w:lineRule="auto"/>
        <w:rPr>
          <w:rFonts w:ascii="宋体"/>
        </w:rPr>
      </w:pPr>
      <w:r>
        <w:rPr>
          <w:rFonts w:ascii="宋体"/>
        </w:rPr>
        <w:t>传    真：                               传    真：</w:t>
      </w:r>
    </w:p>
    <w:p w14:paraId="095FD746">
      <w:pPr>
        <w:snapToGrid w:val="0"/>
        <w:spacing w:line="360" w:lineRule="auto"/>
        <w:rPr>
          <w:rFonts w:ascii="宋体"/>
        </w:rPr>
      </w:pPr>
      <w:r>
        <w:rPr>
          <w:rFonts w:ascii="宋体"/>
        </w:rPr>
        <w:t xml:space="preserve">开户银行：                               开户银行：       </w:t>
      </w:r>
    </w:p>
    <w:p w14:paraId="51E4AB58">
      <w:pPr>
        <w:snapToGrid w:val="0"/>
        <w:spacing w:line="360" w:lineRule="auto"/>
        <w:rPr>
          <w:rFonts w:hint="eastAsia" w:ascii="宋体"/>
        </w:rPr>
      </w:pPr>
      <w:r>
        <w:rPr>
          <w:rFonts w:ascii="宋体"/>
        </w:rPr>
        <w:t>账    号：                               账    号：</w:t>
      </w:r>
    </w:p>
    <w:p w14:paraId="4C793988">
      <w:pPr>
        <w:snapToGrid w:val="0"/>
        <w:spacing w:line="360" w:lineRule="auto"/>
        <w:rPr>
          <w:rFonts w:hint="eastAsia" w:ascii="宋体"/>
        </w:rPr>
      </w:pPr>
    </w:p>
    <w:p w14:paraId="7A136E6C">
      <w:pPr>
        <w:snapToGrid w:val="0"/>
        <w:spacing w:line="360" w:lineRule="auto"/>
        <w:rPr>
          <w:rFonts w:hint="eastAsia" w:ascii="宋体"/>
        </w:rPr>
      </w:pPr>
    </w:p>
    <w:p w14:paraId="2894BD6C">
      <w:pPr>
        <w:pStyle w:val="14"/>
        <w:pageBreakBefore/>
        <w:snapToGrid w:val="0"/>
        <w:spacing w:before="120" w:after="120" w:line="420" w:lineRule="exact"/>
        <w:jc w:val="center"/>
        <w:outlineLvl w:val="0"/>
        <w:rPr>
          <w:rFonts w:hAnsi="宋体" w:eastAsia="宋体"/>
          <w:b/>
          <w:bCs/>
          <w:kern w:val="44"/>
          <w:sz w:val="36"/>
          <w:szCs w:val="44"/>
        </w:rPr>
      </w:pPr>
      <w:r>
        <w:rPr>
          <w:rFonts w:hint="eastAsia" w:hAnsi="宋体" w:eastAsia="宋体"/>
          <w:b/>
          <w:bCs/>
          <w:kern w:val="44"/>
          <w:sz w:val="36"/>
          <w:szCs w:val="44"/>
        </w:rPr>
        <w:t>第六章　响应文件格式</w:t>
      </w:r>
      <w:bookmarkEnd w:id="9"/>
      <w:bookmarkEnd w:id="10"/>
      <w:bookmarkEnd w:id="11"/>
      <w:bookmarkEnd w:id="12"/>
      <w:bookmarkEnd w:id="13"/>
      <w:bookmarkEnd w:id="14"/>
      <w:bookmarkEnd w:id="15"/>
      <w:bookmarkEnd w:id="16"/>
      <w:bookmarkEnd w:id="17"/>
    </w:p>
    <w:p w14:paraId="25B2A87D">
      <w:pPr>
        <w:rPr>
          <w:rFonts w:ascii="宋体" w:hAnsi="宋体"/>
          <w:bCs/>
          <w:kern w:val="44"/>
          <w:position w:val="6"/>
          <w:sz w:val="28"/>
        </w:rPr>
      </w:pPr>
    </w:p>
    <w:p w14:paraId="5A404FF2">
      <w:pPr>
        <w:rPr>
          <w:rFonts w:ascii="宋体" w:hAnsi="宋体"/>
          <w:bCs/>
          <w:kern w:val="44"/>
          <w:position w:val="6"/>
          <w:sz w:val="30"/>
          <w:szCs w:val="30"/>
        </w:rPr>
      </w:pPr>
    </w:p>
    <w:p w14:paraId="5B27EBF4">
      <w:pPr>
        <w:rPr>
          <w:rFonts w:hint="eastAsia" w:ascii="宋体" w:hAnsi="宋体" w:eastAsia="宋体"/>
          <w:sz w:val="30"/>
          <w:szCs w:val="30"/>
          <w:lang w:eastAsia="zh-CN"/>
        </w:rPr>
      </w:pPr>
      <w:r>
        <w:rPr>
          <w:rFonts w:hint="eastAsia" w:ascii="宋体" w:hAnsi="宋体"/>
          <w:bCs/>
          <w:kern w:val="44"/>
          <w:position w:val="6"/>
          <w:sz w:val="30"/>
          <w:szCs w:val="30"/>
        </w:rPr>
        <w:t>投标文件封面格式</w:t>
      </w:r>
    </w:p>
    <w:p w14:paraId="062A4837">
      <w:pPr>
        <w:pStyle w:val="3"/>
      </w:pPr>
    </w:p>
    <w:p w14:paraId="5FB31238">
      <w:pPr>
        <w:pStyle w:val="14"/>
        <w:rPr>
          <w:rFonts w:hAnsi="宋体" w:eastAsia="宋体"/>
          <w:bCs/>
          <w:sz w:val="44"/>
          <w:szCs w:val="44"/>
        </w:rPr>
      </w:pPr>
    </w:p>
    <w:p w14:paraId="281B754E">
      <w:pPr>
        <w:pStyle w:val="14"/>
        <w:rPr>
          <w:rFonts w:hAnsi="宋体" w:eastAsia="宋体"/>
        </w:rPr>
      </w:pPr>
    </w:p>
    <w:p w14:paraId="621EA017">
      <w:pPr>
        <w:pStyle w:val="14"/>
        <w:rPr>
          <w:rFonts w:hAnsi="宋体" w:eastAsia="宋体"/>
          <w:bCs/>
          <w:sz w:val="44"/>
          <w:szCs w:val="44"/>
        </w:rPr>
      </w:pPr>
    </w:p>
    <w:p w14:paraId="6C84B8A4">
      <w:pPr>
        <w:snapToGrid w:val="0"/>
        <w:spacing w:line="360" w:lineRule="auto"/>
        <w:jc w:val="center"/>
        <w:rPr>
          <w:rFonts w:ascii="宋体" w:hAnsi="宋体"/>
          <w:bCs/>
          <w:sz w:val="44"/>
          <w:szCs w:val="44"/>
        </w:rPr>
      </w:pPr>
      <w:r>
        <w:rPr>
          <w:rFonts w:hint="eastAsia" w:ascii="宋体" w:hAnsi="宋体"/>
          <w:bCs/>
          <w:sz w:val="44"/>
          <w:szCs w:val="44"/>
          <w:lang w:val="en-US" w:eastAsia="zh-CN"/>
        </w:rPr>
        <w:t>响应</w:t>
      </w:r>
      <w:r>
        <w:rPr>
          <w:rFonts w:hint="eastAsia" w:ascii="宋体" w:hAnsi="宋体"/>
          <w:bCs/>
          <w:sz w:val="44"/>
          <w:szCs w:val="44"/>
        </w:rPr>
        <w:t>文件</w:t>
      </w:r>
    </w:p>
    <w:p w14:paraId="6067FE46">
      <w:pPr>
        <w:snapToGrid w:val="0"/>
        <w:spacing w:line="360" w:lineRule="auto"/>
        <w:jc w:val="center"/>
        <w:rPr>
          <w:rFonts w:ascii="宋体" w:hAnsi="宋体"/>
          <w:bCs/>
          <w:sz w:val="44"/>
          <w:szCs w:val="44"/>
        </w:rPr>
      </w:pPr>
    </w:p>
    <w:p w14:paraId="7EA22010">
      <w:pPr>
        <w:pStyle w:val="14"/>
        <w:rPr>
          <w:rFonts w:hAnsi="宋体" w:eastAsia="宋体"/>
        </w:rPr>
      </w:pPr>
    </w:p>
    <w:p w14:paraId="3AA7F4A2">
      <w:pPr>
        <w:pStyle w:val="14"/>
        <w:rPr>
          <w:rFonts w:hAnsi="宋体" w:eastAsia="宋体"/>
        </w:rPr>
      </w:pPr>
    </w:p>
    <w:p w14:paraId="34F61A50">
      <w:pPr>
        <w:snapToGrid w:val="0"/>
        <w:spacing w:line="360" w:lineRule="auto"/>
        <w:ind w:firstLine="1120" w:firstLineChars="400"/>
        <w:rPr>
          <w:rFonts w:hint="eastAsia" w:ascii="宋体" w:hAnsi="宋体" w:eastAsia="宋体"/>
          <w:bCs/>
          <w:sz w:val="28"/>
          <w:szCs w:val="28"/>
          <w:lang w:eastAsia="zh-CN"/>
        </w:rPr>
      </w:pPr>
      <w:r>
        <w:rPr>
          <w:rFonts w:hint="eastAsia" w:ascii="宋体" w:hAnsi="宋体"/>
          <w:bCs/>
          <w:sz w:val="28"/>
          <w:szCs w:val="28"/>
        </w:rPr>
        <w:t>项目名称：</w:t>
      </w:r>
    </w:p>
    <w:p w14:paraId="50A16175">
      <w:pPr>
        <w:snapToGrid w:val="0"/>
        <w:spacing w:line="360" w:lineRule="auto"/>
        <w:ind w:firstLine="1120" w:firstLineChars="400"/>
        <w:rPr>
          <w:rFonts w:hint="eastAsia" w:ascii="宋体" w:hAnsi="宋体" w:eastAsia="宋体"/>
          <w:bCs/>
          <w:sz w:val="28"/>
          <w:szCs w:val="28"/>
          <w:lang w:eastAsia="zh-CN"/>
        </w:rPr>
      </w:pPr>
      <w:r>
        <w:rPr>
          <w:rFonts w:hint="eastAsia" w:ascii="宋体" w:hAnsi="宋体"/>
          <w:bCs/>
          <w:sz w:val="28"/>
          <w:szCs w:val="28"/>
        </w:rPr>
        <w:t>项目编号：</w:t>
      </w:r>
    </w:p>
    <w:p w14:paraId="733C0AD3">
      <w:pPr>
        <w:pStyle w:val="9"/>
        <w:snapToGrid w:val="0"/>
        <w:spacing w:line="360" w:lineRule="auto"/>
        <w:ind w:firstLine="1120" w:firstLineChars="400"/>
        <w:rPr>
          <w:rFonts w:ascii="宋体" w:hAnsi="宋体"/>
          <w:bCs/>
          <w:sz w:val="28"/>
          <w:szCs w:val="28"/>
        </w:rPr>
      </w:pPr>
      <w:r>
        <w:rPr>
          <w:rFonts w:hint="eastAsia" w:ascii="宋体" w:hAnsi="宋体"/>
          <w:bCs/>
          <w:sz w:val="28"/>
          <w:szCs w:val="28"/>
        </w:rPr>
        <w:t>响应文件名称：资格证明文件/商务技术文件/投标报价文件</w:t>
      </w:r>
    </w:p>
    <w:p w14:paraId="66327249">
      <w:pPr>
        <w:pStyle w:val="9"/>
        <w:snapToGrid w:val="0"/>
        <w:spacing w:line="360" w:lineRule="auto"/>
        <w:ind w:firstLine="1120" w:firstLineChars="400"/>
        <w:rPr>
          <w:rFonts w:ascii="宋体" w:hAnsi="宋体"/>
          <w:bCs/>
          <w:sz w:val="28"/>
          <w:szCs w:val="28"/>
        </w:rPr>
      </w:pPr>
      <w:r>
        <w:rPr>
          <w:rFonts w:hint="eastAsia" w:ascii="宋体" w:hAnsi="宋体"/>
          <w:bCs/>
          <w:sz w:val="28"/>
          <w:szCs w:val="28"/>
        </w:rPr>
        <w:t>响应人名称：</w:t>
      </w:r>
      <w:r>
        <w:rPr>
          <w:rFonts w:hint="eastAsia" w:ascii="宋体" w:hAnsi="宋体"/>
          <w:bCs/>
          <w:sz w:val="28"/>
          <w:szCs w:val="28"/>
          <w:u w:val="single"/>
          <w:lang w:val="en-US" w:eastAsia="zh-CN"/>
        </w:rPr>
        <w:t xml:space="preserve">                        </w:t>
      </w:r>
      <w:r>
        <w:rPr>
          <w:rFonts w:hint="eastAsia" w:ascii="宋体" w:hAnsi="宋体"/>
          <w:bCs/>
          <w:sz w:val="28"/>
          <w:szCs w:val="28"/>
          <w:u w:val="single"/>
        </w:rPr>
        <w:t>（</w:t>
      </w:r>
      <w:r>
        <w:rPr>
          <w:rFonts w:hint="eastAsia" w:ascii="宋体" w:hAnsi="宋体"/>
          <w:bCs/>
          <w:sz w:val="28"/>
          <w:szCs w:val="28"/>
        </w:rPr>
        <w:t>加盖公章）</w:t>
      </w:r>
    </w:p>
    <w:p w14:paraId="7A44C6E3">
      <w:pPr>
        <w:pStyle w:val="9"/>
        <w:snapToGrid w:val="0"/>
        <w:spacing w:line="360" w:lineRule="auto"/>
        <w:ind w:firstLine="1120" w:firstLineChars="400"/>
        <w:rPr>
          <w:rFonts w:hint="eastAsia" w:ascii="宋体" w:hAnsi="宋体" w:eastAsia="宋体"/>
          <w:bCs/>
          <w:sz w:val="28"/>
          <w:szCs w:val="28"/>
          <w:u w:val="single"/>
          <w:lang w:eastAsia="zh-CN"/>
        </w:rPr>
      </w:pPr>
      <w:r>
        <w:rPr>
          <w:rFonts w:hint="eastAsia" w:ascii="宋体" w:hAnsi="宋体"/>
          <w:bCs/>
          <w:sz w:val="28"/>
          <w:szCs w:val="28"/>
        </w:rPr>
        <w:t>响应人地址：</w:t>
      </w:r>
    </w:p>
    <w:p w14:paraId="4024ED58">
      <w:pPr>
        <w:pStyle w:val="9"/>
        <w:snapToGrid w:val="0"/>
        <w:spacing w:line="360" w:lineRule="auto"/>
        <w:ind w:firstLine="1120" w:firstLineChars="400"/>
        <w:rPr>
          <w:rFonts w:hint="eastAsia" w:ascii="宋体" w:hAnsi="宋体" w:eastAsia="宋体"/>
          <w:bCs/>
          <w:sz w:val="28"/>
          <w:szCs w:val="28"/>
          <w:u w:val="single"/>
          <w:lang w:eastAsia="zh-CN"/>
        </w:rPr>
      </w:pPr>
      <w:r>
        <w:rPr>
          <w:rFonts w:hint="eastAsia" w:ascii="宋体" w:hAnsi="宋体"/>
          <w:bCs/>
          <w:sz w:val="28"/>
          <w:szCs w:val="28"/>
        </w:rPr>
        <w:t>投标联系人：</w:t>
      </w:r>
      <w:r>
        <w:rPr>
          <w:rFonts w:hint="eastAsia" w:ascii="宋体" w:hAnsi="宋体"/>
          <w:bCs/>
          <w:sz w:val="28"/>
          <w:szCs w:val="28"/>
          <w:lang w:val="en-US" w:eastAsia="zh-CN"/>
        </w:rPr>
        <w:t xml:space="preserve">                  </w:t>
      </w:r>
      <w:r>
        <w:rPr>
          <w:rFonts w:hint="eastAsia" w:ascii="宋体" w:hAnsi="宋体"/>
          <w:bCs/>
          <w:sz w:val="28"/>
          <w:szCs w:val="28"/>
        </w:rPr>
        <w:t>电话</w:t>
      </w:r>
    </w:p>
    <w:p w14:paraId="6A215730">
      <w:pPr>
        <w:snapToGrid w:val="0"/>
        <w:spacing w:before="156" w:beforeLines="50" w:after="50"/>
        <w:ind w:firstLine="4080" w:firstLineChars="1700"/>
        <w:rPr>
          <w:rFonts w:ascii="宋体" w:hAnsi="宋体"/>
          <w:bCs/>
          <w:sz w:val="24"/>
        </w:rPr>
      </w:pPr>
    </w:p>
    <w:p w14:paraId="435038D7">
      <w:pPr>
        <w:jc w:val="center"/>
        <w:rPr>
          <w:rFonts w:ascii="宋体" w:hAnsi="宋体"/>
          <w:kern w:val="44"/>
          <w:position w:val="6"/>
          <w:sz w:val="36"/>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2AF3FBDD">
      <w:pPr>
        <w:spacing w:line="360" w:lineRule="auto"/>
        <w:ind w:firstLine="472" w:firstLineChars="196"/>
        <w:jc w:val="center"/>
        <w:rPr>
          <w:rFonts w:ascii="宋体" w:hAnsi="宋体"/>
          <w:b/>
          <w:bCs/>
          <w:sz w:val="24"/>
          <w:szCs w:val="28"/>
        </w:rPr>
      </w:pPr>
    </w:p>
    <w:p w14:paraId="2DB20ACD">
      <w:pPr>
        <w:snapToGrid w:val="0"/>
        <w:jc w:val="center"/>
        <w:rPr>
          <w:rFonts w:ascii="宋体" w:hAnsi="宋体"/>
          <w:b/>
          <w:sz w:val="24"/>
        </w:rPr>
      </w:pPr>
      <w:r>
        <w:rPr>
          <w:rFonts w:ascii="宋体" w:hAnsi="宋体"/>
          <w:b/>
          <w:bCs/>
          <w:sz w:val="24"/>
          <w:szCs w:val="28"/>
        </w:rPr>
        <w:br w:type="page"/>
      </w:r>
      <w:r>
        <w:rPr>
          <w:rFonts w:hint="eastAsia" w:ascii="宋体" w:hAnsi="宋体"/>
          <w:b/>
          <w:sz w:val="36"/>
          <w:szCs w:val="24"/>
        </w:rPr>
        <w:t>目录</w:t>
      </w:r>
    </w:p>
    <w:p w14:paraId="00B2962C">
      <w:pPr>
        <w:snapToGrid w:val="0"/>
        <w:spacing w:line="320" w:lineRule="exact"/>
        <w:ind w:firstLine="413" w:firstLineChars="196"/>
        <w:jc w:val="left"/>
        <w:outlineLvl w:val="0"/>
        <w:rPr>
          <w:rFonts w:ascii="宋体" w:hAnsi="宋体" w:cs="宋体"/>
          <w:b/>
          <w:szCs w:val="21"/>
        </w:rPr>
      </w:pPr>
      <w:r>
        <w:rPr>
          <w:rFonts w:hint="eastAsia" w:ascii="宋体" w:hAnsi="宋体" w:cs="宋体"/>
          <w:b/>
          <w:szCs w:val="21"/>
        </w:rPr>
        <w:t>1、资格证明部份：</w:t>
      </w:r>
    </w:p>
    <w:p w14:paraId="27BCE3A5">
      <w:pPr>
        <w:tabs>
          <w:tab w:val="left" w:pos="0"/>
        </w:tabs>
        <w:spacing w:line="360" w:lineRule="exact"/>
        <w:ind w:firstLine="420" w:firstLineChars="200"/>
        <w:rPr>
          <w:rFonts w:ascii="宋体" w:hAnsi="宋体" w:cs="宋体"/>
          <w:szCs w:val="21"/>
        </w:rPr>
      </w:pPr>
      <w:r>
        <w:rPr>
          <w:rFonts w:hint="eastAsia" w:ascii="宋体" w:hAnsi="宋体" w:cs="宋体"/>
          <w:szCs w:val="21"/>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630E81D4">
      <w:pPr>
        <w:tabs>
          <w:tab w:val="left" w:pos="0"/>
        </w:tabs>
        <w:spacing w:line="360" w:lineRule="exact"/>
        <w:ind w:firstLine="420" w:firstLineChars="200"/>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提供</w:t>
      </w:r>
      <w:r>
        <w:rPr>
          <w:rFonts w:hint="eastAsia" w:ascii="宋体" w:hAnsi="宋体" w:cs="宋体"/>
          <w:szCs w:val="21"/>
        </w:rPr>
        <w:t>营业执照(或事业法人登记证书或其它工商等登记证明材料；自然人参与政府采购，提供身份证)复印件；</w:t>
      </w:r>
    </w:p>
    <w:p w14:paraId="634EF346">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响应人未被信用中国（www.creditchina.gov.cn）、中国政府采购网（www.ccgp.gov.cn）列入失信被执行人、重大税收违法案件当事人名单、政府采购严重违法失信行为记录名单，提供网页截图；（具体以开标现场网页查询结果为准。）</w:t>
      </w:r>
    </w:p>
    <w:p w14:paraId="2EEE6E67">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法定代表人证明书或法定代表人委托授权书原件；</w:t>
      </w:r>
    </w:p>
    <w:p w14:paraId="0A05E1B0">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本竞争性磋商文件要求提供的和响应人认为需要提供的其它说明和资料/文件。</w:t>
      </w:r>
    </w:p>
    <w:p w14:paraId="703F42C9">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2、商务技术文件：</w:t>
      </w:r>
    </w:p>
    <w:p w14:paraId="26320B12">
      <w:pPr>
        <w:snapToGrid w:val="0"/>
        <w:spacing w:line="360" w:lineRule="exact"/>
        <w:ind w:firstLine="426" w:firstLineChars="202"/>
        <w:rPr>
          <w:rFonts w:ascii="宋体" w:hAnsi="宋体"/>
          <w:b/>
          <w:bCs/>
          <w:szCs w:val="21"/>
        </w:rPr>
      </w:pPr>
      <w:r>
        <w:rPr>
          <w:rFonts w:hint="eastAsia" w:ascii="宋体" w:hAnsi="宋体"/>
          <w:b/>
          <w:bCs/>
          <w:szCs w:val="21"/>
        </w:rPr>
        <w:t>响应人自评表</w:t>
      </w:r>
    </w:p>
    <w:p w14:paraId="043E507A">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2.1企业认证；</w:t>
      </w:r>
    </w:p>
    <w:p w14:paraId="70EC7786">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2.2企业业绩；</w:t>
      </w:r>
    </w:p>
    <w:p w14:paraId="2956F99A">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2.3项目负责人；</w:t>
      </w:r>
    </w:p>
    <w:p w14:paraId="3390B40C">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2.4项目人员配备；</w:t>
      </w:r>
    </w:p>
    <w:p w14:paraId="4BF949BB">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2.5技术响应偏离；</w:t>
      </w:r>
    </w:p>
    <w:p w14:paraId="1FA70450">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2.6项目理解；</w:t>
      </w:r>
    </w:p>
    <w:p w14:paraId="06B5F2E0">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2.7技术方案；</w:t>
      </w:r>
    </w:p>
    <w:p w14:paraId="38C76B47">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2.8机房托管服务方案；</w:t>
      </w:r>
    </w:p>
    <w:p w14:paraId="37E155D8">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2.9实施方案；</w:t>
      </w:r>
    </w:p>
    <w:p w14:paraId="2E99FEA7">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2.10质量保证方案；</w:t>
      </w:r>
    </w:p>
    <w:p w14:paraId="398199CE">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2.11应急响应方案；</w:t>
      </w:r>
    </w:p>
    <w:p w14:paraId="109EF960">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2.12售后运维方案；</w:t>
      </w:r>
    </w:p>
    <w:p w14:paraId="619B16F2">
      <w:pPr>
        <w:snapToGrid w:val="0"/>
        <w:spacing w:line="360" w:lineRule="exact"/>
        <w:ind w:firstLine="411" w:firstLineChars="196"/>
        <w:jc w:val="left"/>
        <w:outlineLvl w:val="0"/>
        <w:rPr>
          <w:rFonts w:hint="eastAsia" w:ascii="宋体" w:hAnsi="宋体" w:cs="宋体"/>
          <w:szCs w:val="21"/>
        </w:rPr>
      </w:pPr>
      <w:r>
        <w:rPr>
          <w:rFonts w:hint="eastAsia" w:ascii="宋体" w:hAnsi="宋体" w:cs="宋体"/>
          <w:szCs w:val="21"/>
        </w:rPr>
        <w:t>2.13本竞争性磋商文件要求提供的和响应人认为需要提供的其它资料/文件。</w:t>
      </w:r>
    </w:p>
    <w:p w14:paraId="6008AFBC">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3、响应报价文件：</w:t>
      </w:r>
    </w:p>
    <w:p w14:paraId="789C97AC">
      <w:pPr>
        <w:snapToGrid w:val="0"/>
        <w:spacing w:line="360" w:lineRule="exact"/>
        <w:ind w:firstLine="424" w:firstLineChars="202"/>
        <w:rPr>
          <w:rFonts w:ascii="宋体" w:hAnsi="宋体"/>
          <w:szCs w:val="21"/>
        </w:rPr>
      </w:pPr>
      <w:r>
        <w:rPr>
          <w:rFonts w:hint="eastAsia" w:ascii="宋体" w:hAnsi="宋体"/>
          <w:szCs w:val="21"/>
        </w:rPr>
        <w:t>3.1</w:t>
      </w:r>
      <w:r>
        <w:rPr>
          <w:rFonts w:ascii="宋体" w:hAnsi="宋体"/>
          <w:szCs w:val="21"/>
        </w:rPr>
        <w:t>开标一览表；</w:t>
      </w:r>
    </w:p>
    <w:p w14:paraId="1DEAF2E4">
      <w:pPr>
        <w:snapToGrid w:val="0"/>
        <w:spacing w:line="360" w:lineRule="exact"/>
        <w:ind w:firstLine="424" w:firstLineChars="202"/>
        <w:rPr>
          <w:rFonts w:ascii="宋体" w:hAnsi="宋体"/>
          <w:szCs w:val="21"/>
        </w:rPr>
      </w:pPr>
      <w:r>
        <w:rPr>
          <w:rFonts w:hint="eastAsia" w:ascii="宋体" w:hAnsi="宋体"/>
          <w:szCs w:val="21"/>
        </w:rPr>
        <w:t>3.2响应报价明细表；</w:t>
      </w:r>
    </w:p>
    <w:p w14:paraId="402450A2">
      <w:pPr>
        <w:snapToGrid w:val="0"/>
        <w:spacing w:line="360" w:lineRule="exact"/>
        <w:ind w:firstLine="424" w:firstLineChars="202"/>
        <w:rPr>
          <w:rFonts w:ascii="宋体" w:hAnsi="宋体"/>
          <w:szCs w:val="21"/>
        </w:rPr>
      </w:pPr>
      <w:r>
        <w:rPr>
          <w:rFonts w:hint="eastAsia" w:ascii="宋体" w:hAnsi="宋体"/>
          <w:szCs w:val="21"/>
        </w:rPr>
        <w:t>3.3最终响应报价及承诺一览表；</w:t>
      </w:r>
    </w:p>
    <w:p w14:paraId="51E700A4">
      <w:pPr>
        <w:snapToGrid w:val="0"/>
        <w:spacing w:line="360" w:lineRule="exact"/>
        <w:ind w:firstLine="424" w:firstLineChars="202"/>
        <w:rPr>
          <w:rFonts w:hint="default" w:ascii="宋体" w:hAnsi="宋体" w:eastAsia="宋体"/>
          <w:szCs w:val="21"/>
          <w:lang w:val="en-US" w:eastAsia="zh-CN"/>
        </w:rPr>
      </w:pPr>
      <w:r>
        <w:rPr>
          <w:rFonts w:hint="eastAsia" w:ascii="宋体" w:hAnsi="宋体"/>
          <w:szCs w:val="21"/>
          <w:lang w:val="en-US" w:eastAsia="zh-CN"/>
        </w:rPr>
        <w:t>3.4《中小企业声明函》或《残疾人福利性单位声明函》（如有）或监狱企业证明文件（如有）；</w:t>
      </w:r>
    </w:p>
    <w:p w14:paraId="531E9F1B">
      <w:pPr>
        <w:snapToGrid w:val="0"/>
        <w:spacing w:line="360" w:lineRule="exact"/>
        <w:ind w:firstLine="424" w:firstLineChars="202"/>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响应人针对报价</w:t>
      </w:r>
      <w:r>
        <w:rPr>
          <w:rFonts w:ascii="宋体" w:hAnsi="宋体"/>
          <w:szCs w:val="21"/>
        </w:rPr>
        <w:t>需要说明的其他文件和说明</w:t>
      </w:r>
      <w:r>
        <w:rPr>
          <w:rFonts w:hint="eastAsia" w:ascii="宋体" w:hAnsi="宋体"/>
          <w:szCs w:val="21"/>
        </w:rPr>
        <w:t>。</w:t>
      </w:r>
    </w:p>
    <w:p w14:paraId="3DE3C9BE">
      <w:pPr>
        <w:widowControl/>
        <w:jc w:val="left"/>
        <w:rPr>
          <w:rFonts w:ascii="宋体" w:hAnsi="宋体"/>
          <w:b/>
          <w:sz w:val="30"/>
          <w:szCs w:val="30"/>
        </w:rPr>
      </w:pPr>
      <w:r>
        <w:rPr>
          <w:rFonts w:ascii="宋体" w:hAnsi="宋体"/>
          <w:b/>
          <w:sz w:val="30"/>
          <w:szCs w:val="30"/>
        </w:rPr>
        <w:br w:type="page"/>
      </w:r>
    </w:p>
    <w:p w14:paraId="5877CF02">
      <w:pPr>
        <w:pStyle w:val="3"/>
        <w:rPr>
          <w:rFonts w:ascii="宋体" w:hAnsi="宋体"/>
        </w:rPr>
      </w:pPr>
      <w:r>
        <w:rPr>
          <w:rFonts w:hint="eastAsia" w:ascii="宋体" w:hAnsi="宋体"/>
          <w:sz w:val="24"/>
        </w:rPr>
        <w:t>格式一</w:t>
      </w:r>
    </w:p>
    <w:p w14:paraId="18F06101">
      <w:pPr>
        <w:snapToGrid w:val="0"/>
        <w:spacing w:before="156" w:beforeLines="50" w:after="50"/>
        <w:jc w:val="center"/>
        <w:rPr>
          <w:rFonts w:ascii="宋体" w:hAnsi="宋体"/>
          <w:b/>
          <w:sz w:val="24"/>
        </w:rPr>
      </w:pPr>
      <w:r>
        <w:rPr>
          <w:rFonts w:hint="eastAsia" w:ascii="宋体" w:hAnsi="宋体"/>
          <w:b/>
          <w:sz w:val="24"/>
        </w:rPr>
        <w:t>响应函</w:t>
      </w:r>
    </w:p>
    <w:p w14:paraId="18BEC18D">
      <w:pPr>
        <w:snapToGrid w:val="0"/>
        <w:spacing w:line="360" w:lineRule="auto"/>
        <w:rPr>
          <w:rFonts w:ascii="宋体" w:hAnsi="宋体"/>
          <w:szCs w:val="21"/>
        </w:rPr>
      </w:pPr>
    </w:p>
    <w:p w14:paraId="5543982F">
      <w:pPr>
        <w:snapToGrid w:val="0"/>
        <w:spacing w:line="360" w:lineRule="exact"/>
        <w:rPr>
          <w:rFonts w:hint="eastAsia" w:ascii="宋体" w:hAnsi="宋体" w:eastAsia="宋体"/>
          <w:szCs w:val="21"/>
          <w:lang w:eastAsia="zh-CN"/>
        </w:rPr>
      </w:pPr>
      <w:r>
        <w:rPr>
          <w:rFonts w:hint="eastAsia" w:ascii="宋体" w:hAnsi="宋体"/>
          <w:szCs w:val="21"/>
        </w:rPr>
        <w:t>致：</w:t>
      </w:r>
    </w:p>
    <w:p w14:paraId="3778AB5E">
      <w:pPr>
        <w:snapToGrid w:val="0"/>
        <w:spacing w:line="360" w:lineRule="exact"/>
        <w:ind w:firstLine="480"/>
        <w:rPr>
          <w:rFonts w:ascii="宋体" w:hAnsi="宋体"/>
          <w:szCs w:val="21"/>
        </w:rPr>
      </w:pPr>
      <w:r>
        <w:rPr>
          <w:rFonts w:hint="eastAsia" w:ascii="宋体" w:hAnsi="宋体"/>
          <w:szCs w:val="21"/>
        </w:rPr>
        <w:t>根据贵方项目的竞争性磋商公告（采购编号：），签字代表（全名）经正式授权并代表响应人（响应人名称）提交资格证明文件、商务技术文件、响应报价文件。</w:t>
      </w:r>
    </w:p>
    <w:p w14:paraId="7392C5D2">
      <w:pPr>
        <w:snapToGrid w:val="0"/>
        <w:spacing w:line="360" w:lineRule="exact"/>
        <w:ind w:firstLine="420" w:firstLineChars="200"/>
        <w:rPr>
          <w:rFonts w:ascii="宋体" w:hAnsi="宋体"/>
          <w:szCs w:val="21"/>
        </w:rPr>
      </w:pPr>
      <w:r>
        <w:rPr>
          <w:rFonts w:hint="eastAsia" w:ascii="宋体" w:hAnsi="宋体"/>
          <w:szCs w:val="21"/>
        </w:rPr>
        <w:t>据此函，签字代表宣布同意如下：</w:t>
      </w:r>
    </w:p>
    <w:p w14:paraId="71CE1617">
      <w:pPr>
        <w:snapToGrid w:val="0"/>
        <w:spacing w:line="360" w:lineRule="exact"/>
        <w:ind w:right="-341" w:firstLine="404" w:firstLineChars="200"/>
        <w:rPr>
          <w:rFonts w:ascii="宋体" w:hAnsi="宋体" w:cs="宋体"/>
          <w:spacing w:val="-4"/>
          <w:szCs w:val="21"/>
        </w:rPr>
      </w:pPr>
      <w:r>
        <w:rPr>
          <w:rFonts w:hint="eastAsia" w:ascii="宋体" w:hAnsi="宋体" w:cs="宋体"/>
          <w:spacing w:val="-4"/>
          <w:szCs w:val="21"/>
        </w:rPr>
        <w:t>1、我方已详细审查了竞争性磋商文件的全部内容及其相关补充文件</w:t>
      </w:r>
      <w:r>
        <w:rPr>
          <w:rFonts w:hint="eastAsia" w:ascii="宋体" w:hAnsi="宋体" w:cs="宋体"/>
          <w:b/>
          <w:bCs/>
          <w:spacing w:val="-4"/>
          <w:szCs w:val="21"/>
        </w:rPr>
        <w:t>（若有）</w:t>
      </w:r>
      <w:r>
        <w:rPr>
          <w:rFonts w:hint="eastAsia" w:ascii="宋体" w:hAnsi="宋体" w:cs="宋体"/>
          <w:spacing w:val="-4"/>
          <w:szCs w:val="21"/>
        </w:rPr>
        <w:t>，并完全清晰理解全部内容及相关的补充文件</w:t>
      </w:r>
      <w:r>
        <w:rPr>
          <w:rFonts w:hint="eastAsia" w:ascii="宋体" w:hAnsi="宋体" w:cs="宋体"/>
          <w:b/>
          <w:bCs/>
          <w:spacing w:val="-4"/>
          <w:szCs w:val="21"/>
        </w:rPr>
        <w:t>（若有）</w:t>
      </w:r>
      <w:r>
        <w:rPr>
          <w:rFonts w:hint="eastAsia" w:ascii="宋体" w:hAnsi="宋体" w:cs="宋体"/>
          <w:spacing w:val="-4"/>
          <w:szCs w:val="21"/>
        </w:rPr>
        <w:t>，不存在任何误解之处，同意放弃提出异议和质疑的权利。</w:t>
      </w:r>
    </w:p>
    <w:p w14:paraId="48319872">
      <w:pPr>
        <w:snapToGrid w:val="0"/>
        <w:spacing w:line="360" w:lineRule="exact"/>
        <w:ind w:right="-341" w:firstLine="404" w:firstLineChars="200"/>
        <w:rPr>
          <w:rFonts w:ascii="宋体" w:hAnsi="宋体" w:cs="宋体"/>
          <w:spacing w:val="-4"/>
          <w:szCs w:val="21"/>
        </w:rPr>
      </w:pPr>
      <w:r>
        <w:rPr>
          <w:rFonts w:hint="eastAsia" w:ascii="宋体" w:hAnsi="宋体" w:cs="宋体"/>
          <w:spacing w:val="-4"/>
          <w:szCs w:val="21"/>
        </w:rPr>
        <w:t>2、我方遵守《中华人民共和国政府采购法》及相关法律法规的规定，同意竞争性磋商文件中所提到的无效标条款，并服从有关开标现场的会议纪律。否则，同意被废除投标资格。</w:t>
      </w:r>
    </w:p>
    <w:p w14:paraId="7E01E75B">
      <w:pPr>
        <w:spacing w:line="360" w:lineRule="exact"/>
        <w:ind w:right="-341" w:firstLine="404" w:firstLineChars="200"/>
        <w:rPr>
          <w:rFonts w:ascii="宋体" w:hAnsi="宋体" w:cs="宋体"/>
          <w:spacing w:val="-4"/>
          <w:szCs w:val="21"/>
        </w:rPr>
      </w:pPr>
      <w:r>
        <w:rPr>
          <w:rFonts w:hint="eastAsia" w:ascii="宋体" w:hAnsi="宋体" w:cs="宋体"/>
          <w:spacing w:val="-4"/>
          <w:szCs w:val="21"/>
        </w:rPr>
        <w:t>3、我方所提供的一次性服务报价均具充分的合理性和准确性，保证不存在低于成本的恶意报价行为，同时清楚理解到报价最低并非意味着必定获得合同授予资格。</w:t>
      </w:r>
    </w:p>
    <w:p w14:paraId="615730FE">
      <w:pPr>
        <w:spacing w:line="360" w:lineRule="exact"/>
        <w:ind w:right="-341" w:firstLine="404" w:firstLineChars="200"/>
        <w:rPr>
          <w:rFonts w:ascii="宋体" w:hAnsi="宋体" w:cs="宋体"/>
          <w:spacing w:val="-4"/>
          <w:szCs w:val="21"/>
        </w:rPr>
      </w:pPr>
      <w:r>
        <w:rPr>
          <w:rFonts w:hint="eastAsia" w:ascii="宋体" w:hAnsi="宋体" w:cs="宋体"/>
          <w:spacing w:val="-4"/>
          <w:szCs w:val="21"/>
        </w:rPr>
        <w:t>4、投标有效期为自开标之日起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14:paraId="1F587973">
      <w:pPr>
        <w:snapToGrid w:val="0"/>
        <w:spacing w:line="400" w:lineRule="exact"/>
        <w:ind w:right="-340" w:firstLine="404" w:firstLineChars="200"/>
        <w:rPr>
          <w:rFonts w:ascii="宋体" w:hAnsi="宋体" w:cs="宋体"/>
          <w:spacing w:val="-4"/>
          <w:szCs w:val="21"/>
        </w:rPr>
      </w:pPr>
      <w:r>
        <w:rPr>
          <w:rFonts w:hint="eastAsia" w:ascii="宋体" w:hAnsi="宋体" w:cs="宋体"/>
          <w:spacing w:val="-4"/>
          <w:szCs w:val="21"/>
        </w:rPr>
        <w:t>5、我方承诺有良好的商业信誉和健全的财务会计制度。</w:t>
      </w:r>
    </w:p>
    <w:p w14:paraId="33A60419">
      <w:pPr>
        <w:snapToGrid w:val="0"/>
        <w:spacing w:line="400" w:lineRule="exact"/>
        <w:ind w:right="-340" w:firstLine="404" w:firstLineChars="200"/>
        <w:rPr>
          <w:rFonts w:ascii="宋体" w:hAnsi="宋体" w:cs="宋体"/>
          <w:spacing w:val="-4"/>
          <w:szCs w:val="21"/>
        </w:rPr>
      </w:pPr>
      <w:r>
        <w:rPr>
          <w:rFonts w:hint="eastAsia" w:ascii="宋体" w:hAnsi="宋体" w:cs="宋体"/>
          <w:spacing w:val="-4"/>
          <w:szCs w:val="21"/>
        </w:rPr>
        <w:t>6、我方承诺参加政府采购活动前3年内在经营活动中没有重大违法记录，依法缴纳了税收（投标截止时间进行计算），社会保障资金记录良好。</w:t>
      </w:r>
    </w:p>
    <w:p w14:paraId="37B46580">
      <w:pPr>
        <w:spacing w:line="360" w:lineRule="exact"/>
        <w:ind w:right="-341" w:firstLine="404" w:firstLineChars="200"/>
        <w:rPr>
          <w:rFonts w:ascii="宋体" w:hAnsi="宋体"/>
          <w:szCs w:val="21"/>
        </w:rPr>
      </w:pPr>
      <w:r>
        <w:rPr>
          <w:rFonts w:hint="eastAsia" w:ascii="宋体" w:hAnsi="宋体" w:cs="宋体"/>
          <w:spacing w:val="-4"/>
          <w:szCs w:val="21"/>
        </w:rPr>
        <w:t>7、我方承诺具备本项目履行合同所必需的设备和专业技术能力。</w:t>
      </w:r>
    </w:p>
    <w:p w14:paraId="7492FC1D">
      <w:pPr>
        <w:spacing w:line="360" w:lineRule="exact"/>
        <w:ind w:right="-341" w:firstLine="404" w:firstLineChars="200"/>
        <w:rPr>
          <w:rFonts w:ascii="宋体" w:hAnsi="宋体" w:cs="宋体"/>
          <w:spacing w:val="-4"/>
          <w:szCs w:val="21"/>
        </w:rPr>
      </w:pPr>
      <w:r>
        <w:rPr>
          <w:rFonts w:hint="eastAsia" w:ascii="宋体" w:hAnsi="宋体" w:cs="宋体"/>
          <w:spacing w:val="-4"/>
          <w:szCs w:val="21"/>
        </w:rPr>
        <w:t>8、我方承诺所提供的一切响应文件经已认真严格审核，内容均为全面真实、准确有效且毫无保留，绝无任何遗漏、虚假、伪造和夸大的成份，若出现违背诚实信用和无如实告知之处，同意被废除投标资格和相关的处罚。</w:t>
      </w:r>
    </w:p>
    <w:p w14:paraId="6E2E5D19">
      <w:pPr>
        <w:spacing w:line="360" w:lineRule="exact"/>
        <w:ind w:right="-341" w:firstLine="404" w:firstLineChars="200"/>
        <w:rPr>
          <w:rFonts w:ascii="宋体" w:hAnsi="宋体" w:cs="宋体"/>
          <w:spacing w:val="-4"/>
          <w:szCs w:val="21"/>
        </w:rPr>
      </w:pPr>
      <w:r>
        <w:rPr>
          <w:rFonts w:hint="eastAsia" w:ascii="宋体" w:hAnsi="宋体" w:cs="宋体"/>
          <w:spacing w:val="-4"/>
          <w:szCs w:val="21"/>
        </w:rPr>
        <w:t>9、我方承诺至开标之日止，未被“信用中国”（www.creditchina.gov.cn）、中国政府采购网（www.ccgp.gov.cn）列入失信被执行人、重大税收违法案件当事人名单、政府采购严重违法失信行为记录名单。</w:t>
      </w:r>
    </w:p>
    <w:p w14:paraId="14071FDA">
      <w:pPr>
        <w:snapToGrid w:val="0"/>
        <w:spacing w:line="360" w:lineRule="exact"/>
        <w:ind w:firstLine="420" w:firstLineChars="200"/>
        <w:rPr>
          <w:rFonts w:ascii="宋体" w:hAnsi="宋体"/>
          <w:szCs w:val="21"/>
        </w:rPr>
      </w:pPr>
      <w:r>
        <w:rPr>
          <w:rFonts w:hint="eastAsia" w:ascii="宋体" w:hAnsi="宋体"/>
        </w:rPr>
        <w:t>10、与本投标有关的一切正式往来信函请寄：</w:t>
      </w:r>
    </w:p>
    <w:p w14:paraId="499725E7">
      <w:pPr>
        <w:snapToGrid w:val="0"/>
        <w:spacing w:line="360" w:lineRule="auto"/>
        <w:ind w:firstLine="420" w:firstLineChars="200"/>
        <w:rPr>
          <w:rFonts w:ascii="宋体" w:hAnsi="宋体"/>
          <w:szCs w:val="21"/>
        </w:rPr>
      </w:pPr>
    </w:p>
    <w:p w14:paraId="6C6683F6">
      <w:pPr>
        <w:snapToGrid w:val="0"/>
        <w:spacing w:line="360" w:lineRule="auto"/>
        <w:ind w:firstLine="420" w:firstLineChars="200"/>
        <w:rPr>
          <w:rFonts w:ascii="宋体" w:hAnsi="宋体"/>
          <w:szCs w:val="21"/>
        </w:rPr>
      </w:pPr>
    </w:p>
    <w:p w14:paraId="087ADA35">
      <w:pPr>
        <w:snapToGrid w:val="0"/>
        <w:spacing w:line="400" w:lineRule="exact"/>
        <w:rPr>
          <w:rFonts w:ascii="宋体" w:hAnsi="宋体"/>
          <w:szCs w:val="21"/>
        </w:rPr>
      </w:pPr>
      <w:r>
        <w:rPr>
          <w:rFonts w:hint="eastAsia" w:ascii="宋体" w:hAnsi="宋体"/>
          <w:szCs w:val="21"/>
        </w:rPr>
        <w:t>地址：</w:t>
      </w:r>
      <w:r>
        <w:rPr>
          <w:rFonts w:hint="eastAsia" w:ascii="宋体" w:hAnsi="宋体"/>
          <w:szCs w:val="21"/>
          <w:lang w:val="en-US" w:eastAsia="zh-CN"/>
        </w:rPr>
        <w:t xml:space="preserve">  </w:t>
      </w:r>
      <w:r>
        <w:rPr>
          <w:rFonts w:hint="eastAsia" w:ascii="宋体" w:hAnsi="宋体"/>
          <w:szCs w:val="21"/>
        </w:rPr>
        <w:t>邮编：电话：</w:t>
      </w:r>
      <w:r>
        <w:rPr>
          <w:rFonts w:ascii="宋体" w:hAnsi="宋体"/>
          <w:szCs w:val="21"/>
        </w:rPr>
        <w:t>______________</w:t>
      </w:r>
    </w:p>
    <w:p w14:paraId="08327A14">
      <w:pPr>
        <w:snapToGrid w:val="0"/>
        <w:spacing w:line="400" w:lineRule="exact"/>
        <w:rPr>
          <w:rFonts w:hint="eastAsia" w:ascii="宋体" w:hAnsi="宋体" w:eastAsia="宋体"/>
          <w:szCs w:val="21"/>
          <w:lang w:eastAsia="zh-CN"/>
        </w:rPr>
      </w:pPr>
      <w:r>
        <w:rPr>
          <w:rFonts w:hint="eastAsia" w:ascii="宋体" w:hAnsi="宋体"/>
          <w:szCs w:val="21"/>
        </w:rPr>
        <w:t>传真：</w:t>
      </w:r>
      <w:r>
        <w:rPr>
          <w:rFonts w:hint="eastAsia" w:ascii="宋体" w:hAnsi="宋体"/>
          <w:szCs w:val="21"/>
          <w:lang w:val="en-US" w:eastAsia="zh-CN"/>
        </w:rPr>
        <w:t xml:space="preserve">  </w:t>
      </w:r>
      <w:r>
        <w:rPr>
          <w:rFonts w:hint="eastAsia" w:ascii="宋体" w:hAnsi="宋体"/>
          <w:szCs w:val="21"/>
        </w:rPr>
        <w:t>响应人代表姓名</w:t>
      </w:r>
      <w:r>
        <w:rPr>
          <w:rFonts w:ascii="宋体" w:hAnsi="宋体"/>
          <w:szCs w:val="21"/>
        </w:rPr>
        <w:t>___________</w:t>
      </w:r>
      <w:r>
        <w:rPr>
          <w:rFonts w:hint="eastAsia" w:ascii="宋体" w:hAnsi="宋体"/>
          <w:szCs w:val="21"/>
        </w:rPr>
        <w:t>职务：</w:t>
      </w:r>
    </w:p>
    <w:p w14:paraId="71411836">
      <w:pPr>
        <w:snapToGrid w:val="0"/>
        <w:spacing w:line="400" w:lineRule="exact"/>
        <w:rPr>
          <w:rFonts w:hint="eastAsia" w:ascii="宋体" w:hAnsi="宋体" w:eastAsia="宋体"/>
          <w:szCs w:val="21"/>
          <w:lang w:eastAsia="zh-CN"/>
        </w:rPr>
      </w:pPr>
      <w:r>
        <w:rPr>
          <w:rFonts w:hint="eastAsia" w:ascii="宋体" w:hAnsi="宋体"/>
          <w:szCs w:val="21"/>
        </w:rPr>
        <w:t>响应人名称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5F78D659">
      <w:pPr>
        <w:snapToGrid w:val="0"/>
        <w:spacing w:line="400" w:lineRule="exact"/>
        <w:rPr>
          <w:rFonts w:hint="eastAsia" w:ascii="宋体" w:hAnsi="宋体" w:eastAsia="宋体"/>
          <w:szCs w:val="21"/>
          <w:lang w:eastAsia="zh-CN"/>
        </w:rPr>
      </w:pPr>
      <w:r>
        <w:rPr>
          <w:rFonts w:hint="eastAsia" w:ascii="宋体" w:hAnsi="宋体"/>
          <w:szCs w:val="21"/>
        </w:rPr>
        <w:t>开户银行：银行帐号：</w:t>
      </w:r>
    </w:p>
    <w:p w14:paraId="37C5B3E0">
      <w:pPr>
        <w:tabs>
          <w:tab w:val="left" w:pos="1380"/>
        </w:tabs>
        <w:spacing w:line="400" w:lineRule="exact"/>
        <w:jc w:val="left"/>
        <w:rPr>
          <w:rFonts w:ascii="宋体" w:hAnsi="宋体"/>
          <w:szCs w:val="21"/>
        </w:rPr>
      </w:pPr>
      <w:r>
        <w:rPr>
          <w:rFonts w:hint="eastAsia" w:ascii="宋体" w:hAnsi="宋体"/>
          <w:szCs w:val="21"/>
        </w:rPr>
        <w:t>响应代表签字：日期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14:paraId="287B37F2">
      <w:pPr>
        <w:spacing w:line="360" w:lineRule="auto"/>
        <w:rPr>
          <w:rFonts w:ascii="宋体" w:hAnsi="宋体"/>
          <w:sz w:val="24"/>
        </w:rPr>
      </w:pPr>
      <w:r>
        <w:rPr>
          <w:rFonts w:ascii="宋体" w:hAnsi="宋体"/>
          <w:sz w:val="24"/>
        </w:rPr>
        <w:br w:type="page"/>
      </w:r>
      <w:r>
        <w:rPr>
          <w:rFonts w:hint="eastAsia" w:ascii="宋体" w:hAnsi="宋体"/>
          <w:sz w:val="24"/>
        </w:rPr>
        <w:t>格式二</w:t>
      </w:r>
    </w:p>
    <w:p w14:paraId="1637F8FF">
      <w:pPr>
        <w:tabs>
          <w:tab w:val="left" w:pos="1380"/>
        </w:tabs>
        <w:spacing w:line="360" w:lineRule="auto"/>
        <w:ind w:left="-141" w:leftChars="-67" w:right="-237" w:rightChars="-113"/>
        <w:jc w:val="center"/>
        <w:rPr>
          <w:rFonts w:ascii="宋体" w:hAnsi="宋体"/>
          <w:b/>
          <w:bCs/>
          <w:sz w:val="24"/>
        </w:rPr>
      </w:pPr>
      <w:bookmarkStart w:id="18" w:name="_Hlk57736402"/>
      <w:r>
        <w:rPr>
          <w:rFonts w:hint="eastAsia" w:ascii="宋体" w:hAnsi="宋体"/>
          <w:b/>
          <w:bCs/>
          <w:sz w:val="24"/>
        </w:rPr>
        <w:t>法定代表人</w:t>
      </w:r>
      <w:bookmarkEnd w:id="18"/>
      <w:r>
        <w:rPr>
          <w:rFonts w:hint="eastAsia" w:ascii="宋体" w:hAnsi="宋体"/>
          <w:b/>
          <w:bCs/>
          <w:sz w:val="24"/>
        </w:rPr>
        <w:t>证明书或法定代表人委托授权书</w:t>
      </w:r>
    </w:p>
    <w:p w14:paraId="007B296E">
      <w:pPr>
        <w:tabs>
          <w:tab w:val="left" w:pos="1380"/>
        </w:tabs>
        <w:spacing w:line="360" w:lineRule="auto"/>
        <w:jc w:val="center"/>
        <w:rPr>
          <w:rFonts w:ascii="宋体" w:hAnsi="宋体"/>
        </w:rPr>
      </w:pPr>
    </w:p>
    <w:p w14:paraId="320BCEB4">
      <w:pPr>
        <w:jc w:val="center"/>
        <w:rPr>
          <w:rFonts w:ascii="宋体" w:hAnsi="宋体"/>
          <w:b/>
          <w:bCs/>
          <w:sz w:val="24"/>
        </w:rPr>
      </w:pPr>
      <w:r>
        <w:rPr>
          <w:rFonts w:hint="eastAsia" w:ascii="宋体" w:hAnsi="宋体"/>
          <w:b/>
          <w:bCs/>
          <w:sz w:val="24"/>
        </w:rPr>
        <w:t>法定代表人证明书</w:t>
      </w:r>
    </w:p>
    <w:p w14:paraId="5850E12E">
      <w:pPr>
        <w:jc w:val="center"/>
        <w:rPr>
          <w:rFonts w:ascii="宋体" w:hAnsi="宋体"/>
          <w:b/>
          <w:bCs/>
          <w:sz w:val="24"/>
        </w:rPr>
      </w:pPr>
    </w:p>
    <w:p w14:paraId="283EDC71">
      <w:pPr>
        <w:spacing w:line="360" w:lineRule="exact"/>
        <w:rPr>
          <w:rFonts w:ascii="宋体" w:hAnsi="宋体"/>
          <w:szCs w:val="21"/>
        </w:rPr>
      </w:pPr>
      <w:r>
        <w:rPr>
          <w:rFonts w:hint="eastAsia" w:ascii="宋体" w:hAnsi="宋体"/>
          <w:szCs w:val="21"/>
        </w:rPr>
        <w:t>单位名称：</w:t>
      </w:r>
      <w:r>
        <w:rPr>
          <w:rFonts w:hint="eastAsia" w:ascii="宋体" w:hAnsi="宋体"/>
          <w:szCs w:val="21"/>
          <w:u w:val="single"/>
        </w:rPr>
        <w:t xml:space="preserve">                                 </w:t>
      </w:r>
    </w:p>
    <w:p w14:paraId="0ADC18DA">
      <w:pPr>
        <w:spacing w:line="360" w:lineRule="exact"/>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5B5D844B">
      <w:pPr>
        <w:spacing w:line="360" w:lineRule="exact"/>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38169EDC">
      <w:pPr>
        <w:spacing w:line="36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C472F51">
      <w:pPr>
        <w:spacing w:line="36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7AFB8288">
      <w:pPr>
        <w:spacing w:line="360" w:lineRule="exact"/>
        <w:rPr>
          <w:rFonts w:ascii="宋体" w:hAnsi="宋体"/>
          <w:szCs w:val="21"/>
        </w:rPr>
      </w:pPr>
      <w:r>
        <w:rPr>
          <w:rFonts w:hint="eastAsia" w:ascii="宋体" w:hAnsi="宋体"/>
          <w:szCs w:val="21"/>
        </w:rPr>
        <w:t>姓   名：             性别：            年龄：             职务：</w:t>
      </w:r>
    </w:p>
    <w:p w14:paraId="41F94A25">
      <w:pPr>
        <w:spacing w:line="36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(投标单位名称)的法定代表人。</w:t>
      </w:r>
    </w:p>
    <w:p w14:paraId="049D8370">
      <w:pPr>
        <w:rPr>
          <w:rFonts w:ascii="宋体" w:hAnsi="宋体"/>
          <w:szCs w:val="21"/>
        </w:rPr>
      </w:pPr>
    </w:p>
    <w:p w14:paraId="3150022A">
      <w:pPr>
        <w:ind w:firstLine="420" w:firstLineChars="200"/>
        <w:rPr>
          <w:rFonts w:ascii="宋体" w:hAnsi="宋体"/>
          <w:szCs w:val="21"/>
        </w:rPr>
      </w:pPr>
      <w:r>
        <w:rPr>
          <w:rFonts w:hint="eastAsia" w:ascii="宋体" w:hAnsi="宋体"/>
          <w:szCs w:val="21"/>
        </w:rPr>
        <w:t>特此证明。</w:t>
      </w:r>
    </w:p>
    <w:p w14:paraId="2F4E925A">
      <w:pPr>
        <w:ind w:firstLine="2325"/>
        <w:rPr>
          <w:rFonts w:ascii="宋体" w:hAnsi="宋体"/>
          <w:szCs w:val="21"/>
        </w:rPr>
      </w:pPr>
    </w:p>
    <w:p w14:paraId="01257CFF">
      <w:pPr>
        <w:rPr>
          <w:rFonts w:ascii="宋体" w:hAnsi="宋体"/>
          <w:szCs w:val="21"/>
        </w:rPr>
      </w:pPr>
      <w:r>
        <w:rPr>
          <w:rFonts w:hint="eastAsia" w:ascii="宋体" w:hAnsi="宋体"/>
          <w:szCs w:val="21"/>
        </w:rPr>
        <w:t xml:space="preserve">响应人：（盖章）                 </w:t>
      </w:r>
    </w:p>
    <w:p w14:paraId="7FB2D086">
      <w:pPr>
        <w:rPr>
          <w:rFonts w:ascii="宋体" w:hAnsi="宋体"/>
          <w:szCs w:val="21"/>
        </w:rPr>
      </w:pPr>
    </w:p>
    <w:p w14:paraId="35B6EBCA">
      <w:pPr>
        <w:rPr>
          <w:rFonts w:ascii="宋体" w:hAnsi="宋体"/>
          <w:szCs w:val="21"/>
        </w:rPr>
      </w:pPr>
      <w:r>
        <w:rPr>
          <w:rFonts w:hint="eastAsia" w:ascii="宋体" w:hAnsi="宋体"/>
          <w:szCs w:val="21"/>
        </w:rPr>
        <w:t>日    期：    年   月   日</w:t>
      </w:r>
    </w:p>
    <w:p w14:paraId="4B78F5CD">
      <w:pPr>
        <w:rPr>
          <w:rFonts w:ascii="宋体" w:hAnsi="宋体"/>
          <w:sz w:val="24"/>
          <w:u w:val="single"/>
        </w:rPr>
      </w:pPr>
      <w:r>
        <w:rPr>
          <w:rFonts w:hint="eastAsia" w:ascii="宋体" w:hAnsi="宋体"/>
          <w:sz w:val="24"/>
          <w:u w:val="single"/>
        </w:rPr>
        <w:t xml:space="preserve">                                                                                </w:t>
      </w:r>
    </w:p>
    <w:p w14:paraId="423C7432">
      <w:pPr>
        <w:jc w:val="center"/>
        <w:rPr>
          <w:rFonts w:ascii="宋体" w:hAnsi="宋体"/>
          <w:b/>
          <w:bCs/>
          <w:sz w:val="24"/>
        </w:rPr>
      </w:pPr>
    </w:p>
    <w:p w14:paraId="645DEF3C">
      <w:pPr>
        <w:jc w:val="center"/>
        <w:rPr>
          <w:rFonts w:ascii="宋体" w:hAnsi="宋体"/>
          <w:b/>
          <w:bCs/>
          <w:sz w:val="24"/>
        </w:rPr>
      </w:pPr>
      <w:r>
        <w:rPr>
          <w:rFonts w:hint="eastAsia" w:ascii="宋体" w:hAnsi="宋体"/>
          <w:b/>
          <w:bCs/>
          <w:sz w:val="24"/>
        </w:rPr>
        <w:t>法定代表人委托授权书</w:t>
      </w:r>
    </w:p>
    <w:p w14:paraId="72762FE6">
      <w:pPr>
        <w:rPr>
          <w:rFonts w:ascii="宋体" w:hAnsi="宋体"/>
          <w:sz w:val="24"/>
        </w:rPr>
      </w:pPr>
    </w:p>
    <w:p w14:paraId="1E6AD19D">
      <w:pPr>
        <w:spacing w:line="360" w:lineRule="exact"/>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（响应人名称）   </w:t>
      </w:r>
      <w:r>
        <w:rPr>
          <w:rFonts w:hint="eastAsia" w:ascii="宋体" w:hAnsi="宋体"/>
          <w:szCs w:val="21"/>
        </w:rPr>
        <w:t>的法定代表人，现授权委托</w:t>
      </w:r>
      <w:r>
        <w:rPr>
          <w:rFonts w:hint="eastAsia" w:ascii="宋体" w:hAnsi="宋体"/>
          <w:szCs w:val="21"/>
          <w:u w:val="single"/>
        </w:rPr>
        <w:t xml:space="preserve">    （响应人名称）     </w:t>
      </w:r>
      <w:r>
        <w:rPr>
          <w:rFonts w:hint="eastAsia" w:ascii="宋体" w:hAnsi="宋体"/>
          <w:szCs w:val="21"/>
        </w:rPr>
        <w:t>的</w:t>
      </w:r>
      <w:r>
        <w:rPr>
          <w:rFonts w:hint="eastAsia" w:ascii="宋体" w:hAnsi="宋体"/>
          <w:szCs w:val="21"/>
          <w:u w:val="single"/>
        </w:rPr>
        <w:t xml:space="preserve">（被授权人的姓名、职务） </w:t>
      </w:r>
      <w:r>
        <w:rPr>
          <w:rFonts w:hint="eastAsia" w:ascii="宋体" w:hAnsi="宋体"/>
          <w:szCs w:val="21"/>
        </w:rPr>
        <w:t>为我单位的合法代理人，就</w:t>
      </w:r>
      <w:r>
        <w:rPr>
          <w:rFonts w:hint="eastAsia" w:ascii="宋体" w:hAnsi="宋体"/>
          <w:szCs w:val="21"/>
          <w:u w:val="single"/>
        </w:rPr>
        <w:t xml:space="preserve">   （项目名称、编号） </w:t>
      </w:r>
      <w:r>
        <w:rPr>
          <w:rFonts w:hint="eastAsia" w:ascii="宋体" w:hAnsi="宋体"/>
          <w:szCs w:val="21"/>
        </w:rPr>
        <w:t>的投标，为我单位名义签署的投标文件及其他书面文件，负责参加开标、询标、以及处理与本项目有关的其他事务，我单位均予承认。</w:t>
      </w:r>
    </w:p>
    <w:p w14:paraId="0F9C575A">
      <w:pPr>
        <w:spacing w:line="360" w:lineRule="exact"/>
        <w:ind w:firstLine="420" w:firstLineChars="2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日签字生效，有效期为</w:t>
      </w:r>
      <w:r>
        <w:rPr>
          <w:rFonts w:hint="eastAsia" w:ascii="宋体" w:hAnsi="宋体"/>
          <w:szCs w:val="21"/>
          <w:u w:val="single"/>
        </w:rPr>
        <w:t xml:space="preserve">      </w:t>
      </w:r>
      <w:r>
        <w:rPr>
          <w:rFonts w:hint="eastAsia" w:ascii="宋体" w:hAnsi="宋体"/>
          <w:szCs w:val="21"/>
        </w:rPr>
        <w:t>日历日。被授权人无转委权。特此声明。</w:t>
      </w:r>
    </w:p>
    <w:p w14:paraId="3204FE46">
      <w:pPr>
        <w:spacing w:line="360" w:lineRule="auto"/>
        <w:rPr>
          <w:rFonts w:ascii="宋体" w:hAnsi="宋体"/>
          <w:szCs w:val="21"/>
        </w:rPr>
      </w:pPr>
      <w:r>
        <w:rPr>
          <w:rFonts w:hint="eastAsia" w:ascii="宋体" w:hAnsi="宋体"/>
          <w:szCs w:val="21"/>
        </w:rPr>
        <w:t xml:space="preserve">       </w:t>
      </w:r>
    </w:p>
    <w:p w14:paraId="223D61BC">
      <w:pPr>
        <w:spacing w:line="360" w:lineRule="auto"/>
        <w:rPr>
          <w:rFonts w:ascii="宋体" w:hAnsi="宋体"/>
          <w:szCs w:val="21"/>
        </w:rPr>
      </w:pPr>
      <w:r>
        <w:rPr>
          <w:rFonts w:hint="eastAsia" w:ascii="宋体" w:hAnsi="宋体"/>
          <w:szCs w:val="21"/>
        </w:rPr>
        <w:t>响应人名称（加盖公章）：</w:t>
      </w:r>
    </w:p>
    <w:p w14:paraId="54C7A250">
      <w:pPr>
        <w:spacing w:line="360" w:lineRule="auto"/>
        <w:rPr>
          <w:rFonts w:ascii="宋体" w:hAnsi="宋体"/>
          <w:szCs w:val="21"/>
        </w:rPr>
      </w:pPr>
      <w:r>
        <w:rPr>
          <w:rFonts w:hint="eastAsia" w:ascii="宋体" w:hAnsi="宋体"/>
          <w:szCs w:val="21"/>
        </w:rPr>
        <w:t>法定代表人签名：</w:t>
      </w:r>
    </w:p>
    <w:p w14:paraId="6EF47FE9">
      <w:pPr>
        <w:spacing w:line="360" w:lineRule="auto"/>
        <w:rPr>
          <w:rFonts w:ascii="宋体" w:hAnsi="宋体"/>
          <w:szCs w:val="21"/>
        </w:rPr>
      </w:pPr>
      <w:r>
        <w:rPr>
          <w:rFonts w:hint="eastAsia" w:ascii="宋体" w:hAnsi="宋体"/>
          <w:szCs w:val="21"/>
        </w:rPr>
        <w:t>被授权人签名：</w:t>
      </w:r>
    </w:p>
    <w:p w14:paraId="1BF67202">
      <w:pPr>
        <w:tabs>
          <w:tab w:val="center" w:pos="4535"/>
          <w:tab w:val="left" w:pos="6390"/>
        </w:tabs>
        <w:spacing w:line="360" w:lineRule="auto"/>
        <w:rPr>
          <w:rFonts w:ascii="宋体" w:hAnsi="宋体"/>
          <w:b/>
          <w:szCs w:val="21"/>
        </w:rPr>
      </w:pPr>
    </w:p>
    <w:p w14:paraId="5E4E52BB">
      <w:pPr>
        <w:tabs>
          <w:tab w:val="center" w:pos="4535"/>
          <w:tab w:val="left" w:pos="6390"/>
        </w:tabs>
        <w:rPr>
          <w:rFonts w:ascii="宋体" w:hAnsi="宋体"/>
          <w:b/>
        </w:rPr>
      </w:pPr>
      <w:r>
        <w:rPr>
          <w:rFonts w:hint="eastAsia" w:ascii="宋体" w:hAnsi="宋体"/>
          <w:b/>
          <w:szCs w:val="21"/>
        </w:rPr>
        <w:t>注：响应人法定代表参加投标的，提供法定代表人证明书即可。</w:t>
      </w:r>
      <w:r>
        <w:rPr>
          <w:rFonts w:ascii="宋体" w:hAnsi="宋体"/>
          <w:b/>
        </w:rPr>
        <w:br w:type="page"/>
      </w:r>
    </w:p>
    <w:p w14:paraId="37F3035A">
      <w:pPr>
        <w:jc w:val="center"/>
        <w:rPr>
          <w:rFonts w:ascii="宋体" w:hAnsi="宋体"/>
          <w:b/>
          <w:sz w:val="30"/>
          <w:szCs w:val="30"/>
        </w:rPr>
      </w:pPr>
      <w:r>
        <w:rPr>
          <w:rFonts w:hint="eastAsia" w:ascii="宋体" w:hAnsi="宋体"/>
          <w:b/>
          <w:sz w:val="30"/>
          <w:szCs w:val="30"/>
        </w:rPr>
        <w:t>响应人自评表</w:t>
      </w:r>
    </w:p>
    <w:tbl>
      <w:tblPr>
        <w:tblStyle w:val="2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38"/>
        <w:gridCol w:w="737"/>
        <w:gridCol w:w="4554"/>
        <w:gridCol w:w="1250"/>
        <w:gridCol w:w="1000"/>
      </w:tblGrid>
      <w:tr w14:paraId="2153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14:paraId="6E36B952">
            <w:pPr>
              <w:adjustRightInd w:val="0"/>
              <w:snapToGrid w:val="0"/>
              <w:jc w:val="center"/>
              <w:rPr>
                <w:rFonts w:ascii="宋体" w:hAnsi="宋体" w:cs="宋体"/>
                <w:b/>
                <w:szCs w:val="21"/>
              </w:rPr>
            </w:pPr>
            <w:r>
              <w:rPr>
                <w:rFonts w:hint="eastAsia" w:ascii="宋体" w:hAnsi="宋体" w:cs="宋体"/>
                <w:b/>
                <w:szCs w:val="21"/>
              </w:rPr>
              <w:t>评审项目</w:t>
            </w:r>
          </w:p>
        </w:tc>
        <w:tc>
          <w:tcPr>
            <w:tcW w:w="1338" w:type="dxa"/>
            <w:vAlign w:val="center"/>
          </w:tcPr>
          <w:p w14:paraId="196C91E8">
            <w:pPr>
              <w:adjustRightInd w:val="0"/>
              <w:snapToGrid w:val="0"/>
              <w:jc w:val="center"/>
              <w:rPr>
                <w:rFonts w:ascii="宋体" w:hAnsi="宋体" w:cs="宋体"/>
                <w:b/>
                <w:szCs w:val="21"/>
              </w:rPr>
            </w:pPr>
            <w:r>
              <w:rPr>
                <w:rFonts w:hint="eastAsia" w:ascii="宋体" w:hAnsi="宋体" w:cs="宋体"/>
                <w:b/>
                <w:szCs w:val="21"/>
              </w:rPr>
              <w:t>评审内容</w:t>
            </w:r>
          </w:p>
        </w:tc>
        <w:tc>
          <w:tcPr>
            <w:tcW w:w="737" w:type="dxa"/>
            <w:vAlign w:val="center"/>
          </w:tcPr>
          <w:p w14:paraId="3E25A602">
            <w:pPr>
              <w:adjustRightInd w:val="0"/>
              <w:snapToGrid w:val="0"/>
              <w:jc w:val="center"/>
              <w:rPr>
                <w:rFonts w:ascii="宋体" w:hAnsi="宋体" w:cs="宋体"/>
                <w:b/>
                <w:szCs w:val="21"/>
              </w:rPr>
            </w:pPr>
            <w:r>
              <w:rPr>
                <w:rFonts w:hint="eastAsia" w:ascii="宋体" w:hAnsi="宋体" w:cs="宋体"/>
                <w:b/>
                <w:szCs w:val="21"/>
              </w:rPr>
              <w:t>分值</w:t>
            </w:r>
          </w:p>
        </w:tc>
        <w:tc>
          <w:tcPr>
            <w:tcW w:w="4554" w:type="dxa"/>
            <w:vAlign w:val="center"/>
          </w:tcPr>
          <w:p w14:paraId="6B56C31F">
            <w:pPr>
              <w:adjustRightInd w:val="0"/>
              <w:snapToGrid w:val="0"/>
              <w:jc w:val="center"/>
              <w:rPr>
                <w:rFonts w:ascii="宋体" w:hAnsi="宋体" w:cs="宋体"/>
                <w:b/>
                <w:szCs w:val="21"/>
              </w:rPr>
            </w:pPr>
            <w:r>
              <w:rPr>
                <w:rFonts w:hint="eastAsia" w:ascii="宋体" w:hAnsi="宋体" w:cs="宋体"/>
                <w:b/>
                <w:szCs w:val="21"/>
              </w:rPr>
              <w:t>评分标准</w:t>
            </w:r>
          </w:p>
        </w:tc>
        <w:tc>
          <w:tcPr>
            <w:tcW w:w="1250" w:type="dxa"/>
            <w:vAlign w:val="center"/>
          </w:tcPr>
          <w:p w14:paraId="34699A40">
            <w:pPr>
              <w:adjustRightInd w:val="0"/>
              <w:snapToGrid w:val="0"/>
              <w:jc w:val="center"/>
              <w:rPr>
                <w:rFonts w:ascii="宋体" w:hAnsi="宋体" w:cs="宋体"/>
                <w:b/>
                <w:szCs w:val="21"/>
              </w:rPr>
            </w:pPr>
            <w:r>
              <w:rPr>
                <w:rFonts w:hint="eastAsia" w:ascii="宋体" w:hAnsi="宋体" w:cs="宋体"/>
                <w:b/>
                <w:szCs w:val="21"/>
              </w:rPr>
              <w:t>自评分</w:t>
            </w:r>
          </w:p>
        </w:tc>
        <w:tc>
          <w:tcPr>
            <w:tcW w:w="1000" w:type="dxa"/>
            <w:vAlign w:val="center"/>
          </w:tcPr>
          <w:p w14:paraId="6ACEC2D1">
            <w:pPr>
              <w:adjustRightInd w:val="0"/>
              <w:snapToGrid w:val="0"/>
              <w:jc w:val="center"/>
              <w:rPr>
                <w:rFonts w:ascii="宋体" w:hAnsi="宋体" w:cs="宋体"/>
                <w:b/>
                <w:szCs w:val="21"/>
              </w:rPr>
            </w:pPr>
            <w:r>
              <w:rPr>
                <w:rFonts w:hint="eastAsia" w:ascii="宋体" w:hAnsi="宋体" w:cs="宋体"/>
                <w:b/>
                <w:szCs w:val="21"/>
              </w:rPr>
              <w:t>页码</w:t>
            </w:r>
          </w:p>
        </w:tc>
      </w:tr>
      <w:tr w14:paraId="4498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7" w:type="dxa"/>
            <w:vMerge w:val="restart"/>
            <w:vAlign w:val="center"/>
          </w:tcPr>
          <w:p w14:paraId="195573B5">
            <w:pPr>
              <w:pStyle w:val="12"/>
              <w:adjustRightInd w:val="0"/>
              <w:snapToGrid w:val="0"/>
              <w:spacing w:after="0"/>
              <w:ind w:left="0" w:leftChars="0"/>
              <w:jc w:val="center"/>
              <w:rPr>
                <w:rFonts w:ascii="宋体" w:hAnsi="宋体" w:cs="宋体"/>
                <w:bCs/>
                <w:szCs w:val="21"/>
              </w:rPr>
            </w:pPr>
            <w:r>
              <w:rPr>
                <w:rFonts w:hint="eastAsia" w:ascii="宋体" w:hAnsi="宋体" w:cs="宋体"/>
                <w:bCs/>
                <w:szCs w:val="21"/>
              </w:rPr>
              <w:t>商务技术分</w:t>
            </w:r>
          </w:p>
          <w:p w14:paraId="71F7E6BC">
            <w:pPr>
              <w:pStyle w:val="12"/>
              <w:adjustRightInd w:val="0"/>
              <w:snapToGrid w:val="0"/>
              <w:spacing w:after="0"/>
              <w:ind w:left="0" w:leftChars="0"/>
              <w:jc w:val="center"/>
              <w:rPr>
                <w:rFonts w:ascii="宋体" w:hAnsi="宋体" w:cs="宋体"/>
                <w:b/>
                <w:szCs w:val="21"/>
              </w:rPr>
            </w:pPr>
            <w:r>
              <w:rPr>
                <w:rFonts w:hint="eastAsia" w:ascii="宋体" w:hAnsi="宋体" w:cs="宋体"/>
                <w:bCs/>
                <w:szCs w:val="21"/>
              </w:rPr>
              <w:t>（</w:t>
            </w:r>
            <w:r>
              <w:rPr>
                <w:rFonts w:hint="eastAsia" w:ascii="宋体" w:hAnsi="宋体" w:cs="宋体"/>
                <w:bCs/>
                <w:szCs w:val="21"/>
                <w:lang w:val="en-US" w:eastAsia="zh-CN"/>
              </w:rPr>
              <w:t>70</w:t>
            </w:r>
            <w:r>
              <w:rPr>
                <w:rFonts w:hint="eastAsia" w:ascii="宋体" w:hAnsi="宋体" w:cs="宋体"/>
                <w:bCs/>
                <w:szCs w:val="21"/>
              </w:rPr>
              <w:t>分）</w:t>
            </w:r>
          </w:p>
        </w:tc>
        <w:tc>
          <w:tcPr>
            <w:tcW w:w="1338" w:type="dxa"/>
            <w:vAlign w:val="center"/>
          </w:tcPr>
          <w:p w14:paraId="576CCFB9">
            <w:pPr>
              <w:snapToGrid w:val="0"/>
              <w:spacing w:line="360" w:lineRule="exact"/>
              <w:rPr>
                <w:rFonts w:hint="default" w:ascii="宋体" w:hAnsi="宋体"/>
                <w:szCs w:val="21"/>
                <w:highlight w:val="yellow"/>
                <w:lang w:val="en-US" w:eastAsia="zh-CN"/>
              </w:rPr>
            </w:pPr>
          </w:p>
        </w:tc>
        <w:tc>
          <w:tcPr>
            <w:tcW w:w="737" w:type="dxa"/>
            <w:vAlign w:val="center"/>
          </w:tcPr>
          <w:p w14:paraId="6D1B7EF8">
            <w:pPr>
              <w:spacing w:line="320" w:lineRule="exact"/>
              <w:jc w:val="left"/>
              <w:rPr>
                <w:rFonts w:hint="default" w:ascii="宋体" w:hAnsi="宋体" w:eastAsia="宋体"/>
                <w:szCs w:val="21"/>
                <w:highlight w:val="yellow"/>
                <w:lang w:val="en-US" w:eastAsia="zh-CN"/>
              </w:rPr>
            </w:pPr>
          </w:p>
        </w:tc>
        <w:tc>
          <w:tcPr>
            <w:tcW w:w="4554" w:type="dxa"/>
            <w:vAlign w:val="center"/>
          </w:tcPr>
          <w:p w14:paraId="5BF3508E">
            <w:pPr>
              <w:spacing w:line="320" w:lineRule="exact"/>
              <w:jc w:val="left"/>
              <w:rPr>
                <w:rFonts w:hint="eastAsia" w:ascii="宋体" w:hAnsi="宋体"/>
                <w:szCs w:val="21"/>
              </w:rPr>
            </w:pPr>
          </w:p>
        </w:tc>
        <w:tc>
          <w:tcPr>
            <w:tcW w:w="1250" w:type="dxa"/>
            <w:vAlign w:val="center"/>
          </w:tcPr>
          <w:p w14:paraId="3B1D508B">
            <w:pPr>
              <w:pStyle w:val="101"/>
              <w:adjustRightInd w:val="0"/>
              <w:snapToGrid w:val="0"/>
              <w:ind w:left="86"/>
              <w:jc w:val="center"/>
              <w:rPr>
                <w:rFonts w:cs="宋体"/>
                <w:spacing w:val="4"/>
              </w:rPr>
            </w:pPr>
          </w:p>
        </w:tc>
        <w:tc>
          <w:tcPr>
            <w:tcW w:w="1000" w:type="dxa"/>
            <w:vAlign w:val="center"/>
          </w:tcPr>
          <w:p w14:paraId="187E7091">
            <w:pPr>
              <w:pStyle w:val="101"/>
              <w:adjustRightInd w:val="0"/>
              <w:snapToGrid w:val="0"/>
              <w:ind w:left="86"/>
              <w:jc w:val="center"/>
              <w:rPr>
                <w:rFonts w:cs="宋体"/>
                <w:spacing w:val="4"/>
              </w:rPr>
            </w:pPr>
          </w:p>
        </w:tc>
      </w:tr>
      <w:tr w14:paraId="49C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87" w:type="dxa"/>
            <w:vMerge w:val="continue"/>
            <w:vAlign w:val="center"/>
          </w:tcPr>
          <w:p w14:paraId="2E600640">
            <w:pPr>
              <w:pStyle w:val="12"/>
              <w:adjustRightInd w:val="0"/>
              <w:snapToGrid w:val="0"/>
              <w:spacing w:after="0"/>
              <w:ind w:left="0" w:leftChars="0"/>
              <w:jc w:val="center"/>
              <w:rPr>
                <w:rFonts w:hint="eastAsia" w:ascii="宋体" w:hAnsi="宋体" w:cs="宋体"/>
                <w:bCs/>
                <w:szCs w:val="21"/>
              </w:rPr>
            </w:pPr>
          </w:p>
        </w:tc>
        <w:tc>
          <w:tcPr>
            <w:tcW w:w="1338" w:type="dxa"/>
            <w:vAlign w:val="center"/>
          </w:tcPr>
          <w:p w14:paraId="19F35691">
            <w:pPr>
              <w:snapToGrid w:val="0"/>
              <w:spacing w:line="360" w:lineRule="exact"/>
              <w:rPr>
                <w:rFonts w:hint="default" w:ascii="宋体" w:hAnsi="宋体"/>
                <w:szCs w:val="21"/>
                <w:lang w:val="en-US" w:eastAsia="zh-CN"/>
              </w:rPr>
            </w:pPr>
          </w:p>
        </w:tc>
        <w:tc>
          <w:tcPr>
            <w:tcW w:w="737" w:type="dxa"/>
            <w:vAlign w:val="center"/>
          </w:tcPr>
          <w:p w14:paraId="1FAB5330">
            <w:pPr>
              <w:spacing w:line="320" w:lineRule="exact"/>
              <w:jc w:val="left"/>
              <w:rPr>
                <w:rFonts w:hint="default" w:ascii="宋体" w:hAnsi="宋体"/>
                <w:szCs w:val="21"/>
                <w:lang w:val="en-US" w:eastAsia="zh-CN"/>
              </w:rPr>
            </w:pPr>
          </w:p>
        </w:tc>
        <w:tc>
          <w:tcPr>
            <w:tcW w:w="4554" w:type="dxa"/>
            <w:vAlign w:val="center"/>
          </w:tcPr>
          <w:p w14:paraId="0E366385">
            <w:pPr>
              <w:spacing w:line="320" w:lineRule="exact"/>
              <w:jc w:val="left"/>
              <w:rPr>
                <w:rFonts w:hint="eastAsia" w:ascii="宋体" w:hAnsi="宋体"/>
                <w:szCs w:val="21"/>
              </w:rPr>
            </w:pPr>
          </w:p>
        </w:tc>
        <w:tc>
          <w:tcPr>
            <w:tcW w:w="1250" w:type="dxa"/>
            <w:vAlign w:val="center"/>
          </w:tcPr>
          <w:p w14:paraId="1E126534">
            <w:pPr>
              <w:pStyle w:val="101"/>
              <w:adjustRightInd w:val="0"/>
              <w:snapToGrid w:val="0"/>
              <w:ind w:left="86"/>
              <w:jc w:val="center"/>
              <w:rPr>
                <w:rFonts w:cs="宋体"/>
                <w:spacing w:val="4"/>
              </w:rPr>
            </w:pPr>
          </w:p>
        </w:tc>
        <w:tc>
          <w:tcPr>
            <w:tcW w:w="1000" w:type="dxa"/>
            <w:vAlign w:val="center"/>
          </w:tcPr>
          <w:p w14:paraId="499DD9E3">
            <w:pPr>
              <w:pStyle w:val="101"/>
              <w:adjustRightInd w:val="0"/>
              <w:snapToGrid w:val="0"/>
              <w:ind w:left="86"/>
              <w:jc w:val="center"/>
              <w:rPr>
                <w:rFonts w:cs="宋体"/>
                <w:spacing w:val="4"/>
              </w:rPr>
            </w:pPr>
          </w:p>
        </w:tc>
      </w:tr>
      <w:tr w14:paraId="3657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7" w:type="dxa"/>
            <w:vMerge w:val="continue"/>
            <w:vAlign w:val="center"/>
          </w:tcPr>
          <w:p w14:paraId="3CFD36CA">
            <w:pPr>
              <w:pStyle w:val="12"/>
              <w:adjustRightInd w:val="0"/>
              <w:snapToGrid w:val="0"/>
              <w:spacing w:after="0"/>
              <w:ind w:left="0" w:leftChars="0"/>
              <w:jc w:val="center"/>
              <w:rPr>
                <w:rFonts w:hint="eastAsia" w:ascii="宋体" w:hAnsi="宋体" w:cs="宋体"/>
                <w:bCs/>
                <w:szCs w:val="21"/>
              </w:rPr>
            </w:pPr>
          </w:p>
        </w:tc>
        <w:tc>
          <w:tcPr>
            <w:tcW w:w="1338" w:type="dxa"/>
            <w:vAlign w:val="center"/>
          </w:tcPr>
          <w:p w14:paraId="420ECD1B">
            <w:pPr>
              <w:snapToGrid w:val="0"/>
              <w:spacing w:line="360" w:lineRule="exact"/>
              <w:rPr>
                <w:rFonts w:hint="default" w:ascii="宋体" w:hAnsi="宋体"/>
                <w:szCs w:val="21"/>
                <w:lang w:val="en-US" w:eastAsia="zh-CN"/>
              </w:rPr>
            </w:pPr>
          </w:p>
        </w:tc>
        <w:tc>
          <w:tcPr>
            <w:tcW w:w="737" w:type="dxa"/>
            <w:vAlign w:val="center"/>
          </w:tcPr>
          <w:p w14:paraId="673EB882">
            <w:pPr>
              <w:spacing w:line="320" w:lineRule="exact"/>
              <w:jc w:val="left"/>
              <w:rPr>
                <w:rFonts w:hint="default" w:ascii="宋体" w:hAnsi="宋体" w:eastAsia="宋体"/>
                <w:szCs w:val="21"/>
                <w:lang w:val="en-US" w:eastAsia="zh-CN"/>
              </w:rPr>
            </w:pPr>
          </w:p>
        </w:tc>
        <w:tc>
          <w:tcPr>
            <w:tcW w:w="4554" w:type="dxa"/>
            <w:vAlign w:val="center"/>
          </w:tcPr>
          <w:p w14:paraId="16C06FB2">
            <w:pPr>
              <w:spacing w:line="320" w:lineRule="exact"/>
              <w:jc w:val="left"/>
              <w:rPr>
                <w:rFonts w:hint="eastAsia" w:ascii="宋体" w:hAnsi="宋体"/>
                <w:szCs w:val="21"/>
              </w:rPr>
            </w:pPr>
          </w:p>
        </w:tc>
        <w:tc>
          <w:tcPr>
            <w:tcW w:w="1250" w:type="dxa"/>
            <w:vAlign w:val="center"/>
          </w:tcPr>
          <w:p w14:paraId="5F35AC52">
            <w:pPr>
              <w:pStyle w:val="101"/>
              <w:adjustRightInd w:val="0"/>
              <w:snapToGrid w:val="0"/>
              <w:ind w:left="86"/>
              <w:jc w:val="center"/>
              <w:rPr>
                <w:rFonts w:cs="宋体"/>
                <w:spacing w:val="4"/>
              </w:rPr>
            </w:pPr>
          </w:p>
        </w:tc>
        <w:tc>
          <w:tcPr>
            <w:tcW w:w="1000" w:type="dxa"/>
            <w:vAlign w:val="center"/>
          </w:tcPr>
          <w:p w14:paraId="7BE9F062">
            <w:pPr>
              <w:pStyle w:val="101"/>
              <w:adjustRightInd w:val="0"/>
              <w:snapToGrid w:val="0"/>
              <w:ind w:left="86"/>
              <w:jc w:val="center"/>
              <w:rPr>
                <w:rFonts w:cs="宋体"/>
                <w:spacing w:val="4"/>
              </w:rPr>
            </w:pPr>
          </w:p>
        </w:tc>
      </w:tr>
      <w:tr w14:paraId="0EDD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7" w:type="dxa"/>
            <w:vMerge w:val="continue"/>
            <w:vAlign w:val="center"/>
          </w:tcPr>
          <w:p w14:paraId="4D0284F8">
            <w:pPr>
              <w:pStyle w:val="12"/>
              <w:adjustRightInd w:val="0"/>
              <w:snapToGrid w:val="0"/>
              <w:spacing w:after="0"/>
              <w:ind w:left="0" w:leftChars="0"/>
              <w:jc w:val="center"/>
              <w:rPr>
                <w:rFonts w:hint="eastAsia" w:ascii="宋体" w:hAnsi="宋体" w:cs="宋体"/>
                <w:bCs/>
                <w:szCs w:val="21"/>
              </w:rPr>
            </w:pPr>
          </w:p>
        </w:tc>
        <w:tc>
          <w:tcPr>
            <w:tcW w:w="1338" w:type="dxa"/>
            <w:vAlign w:val="center"/>
          </w:tcPr>
          <w:p w14:paraId="79E0AB37">
            <w:pPr>
              <w:snapToGrid w:val="0"/>
              <w:spacing w:line="360" w:lineRule="exact"/>
              <w:rPr>
                <w:rFonts w:hint="default" w:ascii="宋体" w:hAnsi="宋体"/>
                <w:szCs w:val="21"/>
                <w:lang w:val="en-US" w:eastAsia="zh-CN"/>
              </w:rPr>
            </w:pPr>
          </w:p>
        </w:tc>
        <w:tc>
          <w:tcPr>
            <w:tcW w:w="737" w:type="dxa"/>
            <w:vAlign w:val="center"/>
          </w:tcPr>
          <w:p w14:paraId="12476683">
            <w:pPr>
              <w:spacing w:line="320" w:lineRule="exact"/>
              <w:jc w:val="left"/>
              <w:rPr>
                <w:rFonts w:hint="default" w:ascii="宋体" w:hAnsi="宋体" w:eastAsia="宋体"/>
                <w:szCs w:val="21"/>
                <w:lang w:val="en-US" w:eastAsia="zh-CN"/>
              </w:rPr>
            </w:pPr>
          </w:p>
        </w:tc>
        <w:tc>
          <w:tcPr>
            <w:tcW w:w="4554" w:type="dxa"/>
            <w:vAlign w:val="center"/>
          </w:tcPr>
          <w:p w14:paraId="5666DD20">
            <w:pPr>
              <w:spacing w:line="320" w:lineRule="exact"/>
              <w:jc w:val="left"/>
              <w:rPr>
                <w:rFonts w:hint="eastAsia" w:ascii="宋体" w:hAnsi="宋体"/>
                <w:szCs w:val="21"/>
              </w:rPr>
            </w:pPr>
          </w:p>
        </w:tc>
        <w:tc>
          <w:tcPr>
            <w:tcW w:w="1250" w:type="dxa"/>
            <w:vAlign w:val="center"/>
          </w:tcPr>
          <w:p w14:paraId="04764A44">
            <w:pPr>
              <w:pStyle w:val="101"/>
              <w:adjustRightInd w:val="0"/>
              <w:snapToGrid w:val="0"/>
              <w:ind w:left="86"/>
              <w:jc w:val="center"/>
              <w:rPr>
                <w:rFonts w:cs="宋体"/>
                <w:spacing w:val="4"/>
              </w:rPr>
            </w:pPr>
          </w:p>
        </w:tc>
        <w:tc>
          <w:tcPr>
            <w:tcW w:w="1000" w:type="dxa"/>
            <w:vAlign w:val="center"/>
          </w:tcPr>
          <w:p w14:paraId="06AC8278">
            <w:pPr>
              <w:pStyle w:val="101"/>
              <w:adjustRightInd w:val="0"/>
              <w:snapToGrid w:val="0"/>
              <w:ind w:left="86"/>
              <w:jc w:val="center"/>
              <w:rPr>
                <w:rFonts w:cs="宋体"/>
                <w:spacing w:val="4"/>
              </w:rPr>
            </w:pPr>
          </w:p>
        </w:tc>
      </w:tr>
      <w:tr w14:paraId="0A28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7" w:type="dxa"/>
            <w:vMerge w:val="continue"/>
            <w:vAlign w:val="center"/>
          </w:tcPr>
          <w:p w14:paraId="00F9CA25">
            <w:pPr>
              <w:pStyle w:val="12"/>
              <w:adjustRightInd w:val="0"/>
              <w:snapToGrid w:val="0"/>
              <w:spacing w:after="0"/>
              <w:ind w:left="0" w:leftChars="0"/>
              <w:jc w:val="center"/>
              <w:rPr>
                <w:rFonts w:hint="eastAsia" w:ascii="宋体" w:hAnsi="宋体" w:cs="宋体"/>
                <w:bCs/>
                <w:szCs w:val="21"/>
              </w:rPr>
            </w:pPr>
          </w:p>
        </w:tc>
        <w:tc>
          <w:tcPr>
            <w:tcW w:w="1338" w:type="dxa"/>
            <w:vAlign w:val="center"/>
          </w:tcPr>
          <w:p w14:paraId="3A63E89D">
            <w:pPr>
              <w:snapToGrid w:val="0"/>
              <w:spacing w:line="360" w:lineRule="exact"/>
              <w:rPr>
                <w:rFonts w:hint="default" w:ascii="宋体" w:hAnsi="宋体"/>
                <w:szCs w:val="21"/>
                <w:lang w:val="en-US" w:eastAsia="zh-CN"/>
              </w:rPr>
            </w:pPr>
          </w:p>
        </w:tc>
        <w:tc>
          <w:tcPr>
            <w:tcW w:w="737" w:type="dxa"/>
            <w:vAlign w:val="center"/>
          </w:tcPr>
          <w:p w14:paraId="6F5FF7F3">
            <w:pPr>
              <w:spacing w:line="320" w:lineRule="exact"/>
              <w:jc w:val="left"/>
              <w:rPr>
                <w:rFonts w:hint="default" w:ascii="宋体" w:hAnsi="宋体" w:eastAsia="宋体"/>
                <w:szCs w:val="21"/>
                <w:lang w:val="en-US" w:eastAsia="zh-CN"/>
              </w:rPr>
            </w:pPr>
          </w:p>
        </w:tc>
        <w:tc>
          <w:tcPr>
            <w:tcW w:w="4554" w:type="dxa"/>
            <w:vAlign w:val="center"/>
          </w:tcPr>
          <w:p w14:paraId="4B7CB86A">
            <w:pPr>
              <w:spacing w:line="320" w:lineRule="exact"/>
              <w:jc w:val="left"/>
              <w:rPr>
                <w:rFonts w:hint="eastAsia" w:ascii="宋体" w:hAnsi="宋体"/>
                <w:szCs w:val="21"/>
              </w:rPr>
            </w:pPr>
          </w:p>
        </w:tc>
        <w:tc>
          <w:tcPr>
            <w:tcW w:w="1250" w:type="dxa"/>
            <w:vAlign w:val="center"/>
          </w:tcPr>
          <w:p w14:paraId="30A8F395">
            <w:pPr>
              <w:pStyle w:val="101"/>
              <w:adjustRightInd w:val="0"/>
              <w:snapToGrid w:val="0"/>
              <w:ind w:left="86"/>
              <w:jc w:val="center"/>
              <w:rPr>
                <w:rFonts w:cs="宋体"/>
                <w:spacing w:val="4"/>
              </w:rPr>
            </w:pPr>
          </w:p>
        </w:tc>
        <w:tc>
          <w:tcPr>
            <w:tcW w:w="1000" w:type="dxa"/>
            <w:vAlign w:val="center"/>
          </w:tcPr>
          <w:p w14:paraId="25686E3D">
            <w:pPr>
              <w:pStyle w:val="101"/>
              <w:adjustRightInd w:val="0"/>
              <w:snapToGrid w:val="0"/>
              <w:ind w:left="86"/>
              <w:jc w:val="center"/>
              <w:rPr>
                <w:rFonts w:cs="宋体"/>
                <w:spacing w:val="4"/>
              </w:rPr>
            </w:pPr>
          </w:p>
        </w:tc>
      </w:tr>
      <w:tr w14:paraId="5FE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7" w:type="dxa"/>
            <w:vMerge w:val="continue"/>
            <w:vAlign w:val="center"/>
          </w:tcPr>
          <w:p w14:paraId="26DE847A">
            <w:pPr>
              <w:pStyle w:val="12"/>
              <w:adjustRightInd w:val="0"/>
              <w:snapToGrid w:val="0"/>
              <w:spacing w:after="0"/>
              <w:ind w:left="0" w:leftChars="0"/>
              <w:jc w:val="center"/>
              <w:rPr>
                <w:rFonts w:hint="eastAsia" w:ascii="宋体" w:hAnsi="宋体" w:cs="宋体"/>
                <w:bCs/>
                <w:szCs w:val="21"/>
              </w:rPr>
            </w:pPr>
          </w:p>
        </w:tc>
        <w:tc>
          <w:tcPr>
            <w:tcW w:w="1338" w:type="dxa"/>
            <w:vAlign w:val="center"/>
          </w:tcPr>
          <w:p w14:paraId="1E30D53E">
            <w:pPr>
              <w:snapToGrid w:val="0"/>
              <w:spacing w:line="360" w:lineRule="exact"/>
              <w:rPr>
                <w:rFonts w:hint="default" w:ascii="宋体" w:hAnsi="宋体"/>
                <w:szCs w:val="21"/>
                <w:lang w:val="en-US" w:eastAsia="zh-CN"/>
              </w:rPr>
            </w:pPr>
          </w:p>
        </w:tc>
        <w:tc>
          <w:tcPr>
            <w:tcW w:w="737" w:type="dxa"/>
            <w:vAlign w:val="center"/>
          </w:tcPr>
          <w:p w14:paraId="2E46667D">
            <w:pPr>
              <w:spacing w:line="320" w:lineRule="exact"/>
              <w:jc w:val="left"/>
              <w:rPr>
                <w:rFonts w:hint="default" w:ascii="宋体" w:hAnsi="宋体" w:eastAsia="宋体"/>
                <w:szCs w:val="21"/>
                <w:lang w:val="en-US" w:eastAsia="zh-CN"/>
              </w:rPr>
            </w:pPr>
          </w:p>
        </w:tc>
        <w:tc>
          <w:tcPr>
            <w:tcW w:w="4554" w:type="dxa"/>
            <w:vAlign w:val="center"/>
          </w:tcPr>
          <w:p w14:paraId="7145652A">
            <w:pPr>
              <w:spacing w:line="320" w:lineRule="exact"/>
              <w:jc w:val="left"/>
              <w:rPr>
                <w:rFonts w:hint="eastAsia" w:ascii="宋体" w:hAnsi="宋体"/>
                <w:szCs w:val="21"/>
              </w:rPr>
            </w:pPr>
          </w:p>
        </w:tc>
        <w:tc>
          <w:tcPr>
            <w:tcW w:w="1250" w:type="dxa"/>
            <w:vAlign w:val="center"/>
          </w:tcPr>
          <w:p w14:paraId="7E391E3F">
            <w:pPr>
              <w:pStyle w:val="101"/>
              <w:adjustRightInd w:val="0"/>
              <w:snapToGrid w:val="0"/>
              <w:ind w:left="86"/>
              <w:jc w:val="center"/>
              <w:rPr>
                <w:rFonts w:cs="宋体"/>
                <w:spacing w:val="4"/>
              </w:rPr>
            </w:pPr>
          </w:p>
        </w:tc>
        <w:tc>
          <w:tcPr>
            <w:tcW w:w="1000" w:type="dxa"/>
            <w:vAlign w:val="center"/>
          </w:tcPr>
          <w:p w14:paraId="258DAB55">
            <w:pPr>
              <w:pStyle w:val="101"/>
              <w:adjustRightInd w:val="0"/>
              <w:snapToGrid w:val="0"/>
              <w:ind w:left="86"/>
              <w:jc w:val="center"/>
              <w:rPr>
                <w:rFonts w:cs="宋体"/>
                <w:spacing w:val="4"/>
              </w:rPr>
            </w:pPr>
          </w:p>
        </w:tc>
      </w:tr>
      <w:tr w14:paraId="6833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7" w:type="dxa"/>
            <w:vMerge w:val="continue"/>
            <w:vAlign w:val="center"/>
          </w:tcPr>
          <w:p w14:paraId="3B5B6390">
            <w:pPr>
              <w:pStyle w:val="12"/>
              <w:adjustRightInd w:val="0"/>
              <w:snapToGrid w:val="0"/>
              <w:spacing w:after="0"/>
              <w:ind w:left="0" w:leftChars="0"/>
              <w:jc w:val="center"/>
              <w:rPr>
                <w:rFonts w:hint="eastAsia" w:ascii="宋体" w:hAnsi="宋体" w:cs="宋体"/>
                <w:bCs/>
                <w:szCs w:val="21"/>
              </w:rPr>
            </w:pPr>
          </w:p>
        </w:tc>
        <w:tc>
          <w:tcPr>
            <w:tcW w:w="1338" w:type="dxa"/>
            <w:vAlign w:val="center"/>
          </w:tcPr>
          <w:p w14:paraId="1C87A846">
            <w:pPr>
              <w:snapToGrid w:val="0"/>
              <w:spacing w:line="360" w:lineRule="exact"/>
              <w:rPr>
                <w:rFonts w:hint="default" w:ascii="宋体" w:hAnsi="宋体"/>
                <w:szCs w:val="21"/>
                <w:lang w:val="en-US" w:eastAsia="zh-CN"/>
              </w:rPr>
            </w:pPr>
          </w:p>
        </w:tc>
        <w:tc>
          <w:tcPr>
            <w:tcW w:w="737" w:type="dxa"/>
            <w:vAlign w:val="center"/>
          </w:tcPr>
          <w:p w14:paraId="28AB5621">
            <w:pPr>
              <w:spacing w:line="320" w:lineRule="exact"/>
              <w:jc w:val="left"/>
              <w:rPr>
                <w:rFonts w:hint="default" w:ascii="宋体" w:hAnsi="宋体"/>
                <w:szCs w:val="21"/>
                <w:lang w:val="en-US" w:eastAsia="zh-CN"/>
              </w:rPr>
            </w:pPr>
          </w:p>
        </w:tc>
        <w:tc>
          <w:tcPr>
            <w:tcW w:w="4554" w:type="dxa"/>
            <w:vAlign w:val="center"/>
          </w:tcPr>
          <w:p w14:paraId="65F1D2ED">
            <w:pPr>
              <w:spacing w:line="320" w:lineRule="exact"/>
              <w:jc w:val="left"/>
              <w:rPr>
                <w:rFonts w:hint="eastAsia" w:ascii="宋体" w:hAnsi="宋体"/>
                <w:szCs w:val="21"/>
              </w:rPr>
            </w:pPr>
          </w:p>
        </w:tc>
        <w:tc>
          <w:tcPr>
            <w:tcW w:w="1250" w:type="dxa"/>
            <w:vAlign w:val="center"/>
          </w:tcPr>
          <w:p w14:paraId="7F022058">
            <w:pPr>
              <w:pStyle w:val="101"/>
              <w:adjustRightInd w:val="0"/>
              <w:snapToGrid w:val="0"/>
              <w:ind w:left="86"/>
              <w:jc w:val="center"/>
              <w:rPr>
                <w:rFonts w:cs="宋体"/>
                <w:spacing w:val="4"/>
              </w:rPr>
            </w:pPr>
          </w:p>
        </w:tc>
        <w:tc>
          <w:tcPr>
            <w:tcW w:w="1000" w:type="dxa"/>
            <w:vAlign w:val="center"/>
          </w:tcPr>
          <w:p w14:paraId="3132B1FA">
            <w:pPr>
              <w:pStyle w:val="101"/>
              <w:adjustRightInd w:val="0"/>
              <w:snapToGrid w:val="0"/>
              <w:ind w:left="86"/>
              <w:jc w:val="center"/>
              <w:rPr>
                <w:rFonts w:cs="宋体"/>
                <w:spacing w:val="4"/>
              </w:rPr>
            </w:pPr>
          </w:p>
        </w:tc>
      </w:tr>
      <w:tr w14:paraId="6950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7" w:type="dxa"/>
            <w:vMerge w:val="continue"/>
          </w:tcPr>
          <w:p w14:paraId="7F5AE36A">
            <w:pPr>
              <w:pStyle w:val="12"/>
              <w:adjustRightInd w:val="0"/>
              <w:snapToGrid w:val="0"/>
              <w:spacing w:after="0"/>
              <w:ind w:left="0" w:leftChars="0"/>
              <w:jc w:val="left"/>
              <w:rPr>
                <w:rFonts w:ascii="宋体" w:hAnsi="宋体" w:cs="宋体"/>
                <w:bCs/>
                <w:szCs w:val="21"/>
              </w:rPr>
            </w:pPr>
          </w:p>
        </w:tc>
        <w:tc>
          <w:tcPr>
            <w:tcW w:w="1338" w:type="dxa"/>
            <w:vAlign w:val="center"/>
          </w:tcPr>
          <w:p w14:paraId="2502CF01">
            <w:pPr>
              <w:snapToGrid w:val="0"/>
              <w:spacing w:line="360" w:lineRule="exact"/>
              <w:rPr>
                <w:rFonts w:hint="eastAsia" w:ascii="宋体" w:hAnsi="宋体"/>
                <w:szCs w:val="21"/>
              </w:rPr>
            </w:pPr>
          </w:p>
        </w:tc>
        <w:tc>
          <w:tcPr>
            <w:tcW w:w="737" w:type="dxa"/>
            <w:vAlign w:val="center"/>
          </w:tcPr>
          <w:p w14:paraId="60B6F4FE">
            <w:pPr>
              <w:spacing w:line="320" w:lineRule="exact"/>
              <w:jc w:val="left"/>
              <w:rPr>
                <w:rFonts w:hint="default" w:ascii="宋体" w:hAnsi="宋体" w:eastAsia="宋体"/>
                <w:szCs w:val="21"/>
                <w:lang w:val="en-US" w:eastAsia="zh-CN"/>
              </w:rPr>
            </w:pPr>
          </w:p>
        </w:tc>
        <w:tc>
          <w:tcPr>
            <w:tcW w:w="4554" w:type="dxa"/>
            <w:vAlign w:val="center"/>
          </w:tcPr>
          <w:p w14:paraId="716C99E8">
            <w:pPr>
              <w:spacing w:line="320" w:lineRule="exact"/>
              <w:jc w:val="left"/>
              <w:rPr>
                <w:rFonts w:hint="eastAsia" w:ascii="宋体" w:hAnsi="宋体"/>
                <w:szCs w:val="21"/>
              </w:rPr>
            </w:pPr>
          </w:p>
        </w:tc>
        <w:tc>
          <w:tcPr>
            <w:tcW w:w="1250" w:type="dxa"/>
            <w:vAlign w:val="center"/>
          </w:tcPr>
          <w:p w14:paraId="7AB30B0B">
            <w:pPr>
              <w:pStyle w:val="12"/>
              <w:adjustRightInd w:val="0"/>
              <w:snapToGrid w:val="0"/>
              <w:spacing w:after="0"/>
              <w:ind w:left="0" w:leftChars="0"/>
              <w:jc w:val="center"/>
              <w:rPr>
                <w:rFonts w:ascii="宋体" w:hAnsi="宋体" w:cs="宋体"/>
                <w:bCs/>
                <w:szCs w:val="21"/>
              </w:rPr>
            </w:pPr>
          </w:p>
        </w:tc>
        <w:tc>
          <w:tcPr>
            <w:tcW w:w="1000" w:type="dxa"/>
            <w:vAlign w:val="center"/>
          </w:tcPr>
          <w:p w14:paraId="725F1A1D">
            <w:pPr>
              <w:pStyle w:val="12"/>
              <w:adjustRightInd w:val="0"/>
              <w:snapToGrid w:val="0"/>
              <w:spacing w:after="0"/>
              <w:ind w:left="0" w:leftChars="0"/>
              <w:jc w:val="center"/>
              <w:rPr>
                <w:rFonts w:ascii="宋体" w:hAnsi="宋体" w:cs="宋体"/>
                <w:bCs/>
                <w:szCs w:val="21"/>
              </w:rPr>
            </w:pPr>
          </w:p>
        </w:tc>
      </w:tr>
      <w:tr w14:paraId="28F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7" w:type="dxa"/>
            <w:vMerge w:val="continue"/>
          </w:tcPr>
          <w:p w14:paraId="468449CB">
            <w:pPr>
              <w:pStyle w:val="12"/>
              <w:adjustRightInd w:val="0"/>
              <w:snapToGrid w:val="0"/>
              <w:spacing w:after="0"/>
              <w:ind w:left="0" w:leftChars="0"/>
              <w:jc w:val="left"/>
              <w:rPr>
                <w:rFonts w:ascii="宋体" w:hAnsi="宋体" w:cs="宋体"/>
                <w:bCs/>
                <w:szCs w:val="21"/>
              </w:rPr>
            </w:pPr>
          </w:p>
        </w:tc>
        <w:tc>
          <w:tcPr>
            <w:tcW w:w="1338" w:type="dxa"/>
            <w:vAlign w:val="center"/>
          </w:tcPr>
          <w:p w14:paraId="2865507F">
            <w:pPr>
              <w:snapToGrid w:val="0"/>
              <w:spacing w:line="360" w:lineRule="exact"/>
              <w:rPr>
                <w:rFonts w:hint="eastAsia" w:ascii="宋体" w:hAnsi="宋体"/>
                <w:szCs w:val="21"/>
              </w:rPr>
            </w:pPr>
          </w:p>
        </w:tc>
        <w:tc>
          <w:tcPr>
            <w:tcW w:w="737" w:type="dxa"/>
            <w:vAlign w:val="center"/>
          </w:tcPr>
          <w:p w14:paraId="5224A378">
            <w:pPr>
              <w:spacing w:line="320" w:lineRule="exact"/>
              <w:jc w:val="left"/>
              <w:rPr>
                <w:rFonts w:hint="default" w:ascii="宋体" w:hAnsi="宋体" w:eastAsia="宋体"/>
                <w:szCs w:val="21"/>
                <w:highlight w:val="none"/>
                <w:lang w:val="en-US" w:eastAsia="zh-CN"/>
              </w:rPr>
            </w:pPr>
          </w:p>
        </w:tc>
        <w:tc>
          <w:tcPr>
            <w:tcW w:w="4554" w:type="dxa"/>
            <w:vAlign w:val="center"/>
          </w:tcPr>
          <w:p w14:paraId="33F8DBC2">
            <w:pPr>
              <w:spacing w:line="320" w:lineRule="exact"/>
              <w:jc w:val="left"/>
              <w:rPr>
                <w:rFonts w:hint="eastAsia" w:ascii="宋体" w:hAnsi="宋体"/>
                <w:szCs w:val="21"/>
                <w:highlight w:val="none"/>
              </w:rPr>
            </w:pPr>
          </w:p>
        </w:tc>
        <w:tc>
          <w:tcPr>
            <w:tcW w:w="1250" w:type="dxa"/>
            <w:vAlign w:val="center"/>
          </w:tcPr>
          <w:p w14:paraId="431D5C2A">
            <w:pPr>
              <w:pStyle w:val="12"/>
              <w:adjustRightInd w:val="0"/>
              <w:snapToGrid w:val="0"/>
              <w:spacing w:after="0"/>
              <w:ind w:left="0" w:leftChars="0"/>
              <w:jc w:val="center"/>
              <w:rPr>
                <w:rFonts w:ascii="宋体" w:hAnsi="宋体" w:cs="宋体"/>
                <w:bCs/>
                <w:szCs w:val="21"/>
              </w:rPr>
            </w:pPr>
          </w:p>
        </w:tc>
        <w:tc>
          <w:tcPr>
            <w:tcW w:w="1000" w:type="dxa"/>
            <w:vAlign w:val="center"/>
          </w:tcPr>
          <w:p w14:paraId="428242B0">
            <w:pPr>
              <w:pStyle w:val="12"/>
              <w:adjustRightInd w:val="0"/>
              <w:snapToGrid w:val="0"/>
              <w:spacing w:after="0"/>
              <w:ind w:left="0" w:leftChars="0"/>
              <w:jc w:val="center"/>
              <w:rPr>
                <w:rFonts w:ascii="宋体" w:hAnsi="宋体" w:cs="宋体"/>
                <w:bCs/>
                <w:szCs w:val="21"/>
              </w:rPr>
            </w:pPr>
          </w:p>
        </w:tc>
      </w:tr>
      <w:tr w14:paraId="2A65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7" w:type="dxa"/>
            <w:vMerge w:val="continue"/>
          </w:tcPr>
          <w:p w14:paraId="73A97CA8">
            <w:pPr>
              <w:pStyle w:val="12"/>
              <w:adjustRightInd w:val="0"/>
              <w:snapToGrid w:val="0"/>
              <w:spacing w:after="0"/>
              <w:ind w:left="0" w:leftChars="0"/>
              <w:jc w:val="left"/>
              <w:rPr>
                <w:rFonts w:ascii="宋体" w:hAnsi="宋体" w:cs="宋体"/>
                <w:bCs/>
                <w:szCs w:val="21"/>
              </w:rPr>
            </w:pPr>
          </w:p>
        </w:tc>
        <w:tc>
          <w:tcPr>
            <w:tcW w:w="1338" w:type="dxa"/>
            <w:vAlign w:val="center"/>
          </w:tcPr>
          <w:p w14:paraId="429A2FC4">
            <w:pPr>
              <w:snapToGrid w:val="0"/>
              <w:spacing w:line="360" w:lineRule="exact"/>
              <w:rPr>
                <w:rFonts w:hint="eastAsia" w:ascii="宋体" w:hAnsi="宋体"/>
                <w:szCs w:val="21"/>
              </w:rPr>
            </w:pPr>
          </w:p>
        </w:tc>
        <w:tc>
          <w:tcPr>
            <w:tcW w:w="737" w:type="dxa"/>
            <w:vAlign w:val="center"/>
          </w:tcPr>
          <w:p w14:paraId="20A9E911">
            <w:pPr>
              <w:spacing w:line="320" w:lineRule="exact"/>
              <w:jc w:val="left"/>
              <w:rPr>
                <w:rFonts w:hint="default" w:ascii="宋体" w:hAnsi="宋体" w:eastAsia="宋体"/>
                <w:szCs w:val="21"/>
                <w:highlight w:val="none"/>
                <w:lang w:val="en-US" w:eastAsia="zh-CN"/>
              </w:rPr>
            </w:pPr>
          </w:p>
        </w:tc>
        <w:tc>
          <w:tcPr>
            <w:tcW w:w="4554" w:type="dxa"/>
            <w:vAlign w:val="center"/>
          </w:tcPr>
          <w:p w14:paraId="608FD679">
            <w:pPr>
              <w:spacing w:line="320" w:lineRule="exact"/>
              <w:jc w:val="left"/>
              <w:rPr>
                <w:rFonts w:hint="eastAsia" w:ascii="宋体" w:hAnsi="宋体"/>
                <w:szCs w:val="21"/>
                <w:highlight w:val="none"/>
              </w:rPr>
            </w:pPr>
          </w:p>
        </w:tc>
        <w:tc>
          <w:tcPr>
            <w:tcW w:w="1250" w:type="dxa"/>
            <w:vAlign w:val="center"/>
          </w:tcPr>
          <w:p w14:paraId="3E17C4AD">
            <w:pPr>
              <w:pStyle w:val="12"/>
              <w:adjustRightInd w:val="0"/>
              <w:snapToGrid w:val="0"/>
              <w:spacing w:after="0"/>
              <w:ind w:left="0" w:leftChars="0"/>
              <w:jc w:val="center"/>
              <w:rPr>
                <w:rFonts w:ascii="宋体" w:hAnsi="宋体" w:cs="宋体"/>
                <w:bCs/>
                <w:szCs w:val="21"/>
              </w:rPr>
            </w:pPr>
          </w:p>
        </w:tc>
        <w:tc>
          <w:tcPr>
            <w:tcW w:w="1000" w:type="dxa"/>
            <w:vAlign w:val="center"/>
          </w:tcPr>
          <w:p w14:paraId="754745F8">
            <w:pPr>
              <w:pStyle w:val="12"/>
              <w:adjustRightInd w:val="0"/>
              <w:snapToGrid w:val="0"/>
              <w:spacing w:after="0"/>
              <w:ind w:left="0" w:leftChars="0"/>
              <w:jc w:val="center"/>
              <w:rPr>
                <w:rFonts w:ascii="宋体" w:hAnsi="宋体" w:cs="宋体"/>
                <w:bCs/>
                <w:szCs w:val="21"/>
              </w:rPr>
            </w:pPr>
          </w:p>
        </w:tc>
      </w:tr>
      <w:tr w14:paraId="51AA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 w:type="dxa"/>
            <w:vMerge w:val="continue"/>
          </w:tcPr>
          <w:p w14:paraId="5A693999">
            <w:pPr>
              <w:pStyle w:val="12"/>
              <w:adjustRightInd w:val="0"/>
              <w:snapToGrid w:val="0"/>
              <w:spacing w:after="0"/>
              <w:ind w:left="0" w:leftChars="0"/>
              <w:jc w:val="left"/>
              <w:rPr>
                <w:rFonts w:ascii="宋体" w:hAnsi="宋体" w:cs="宋体"/>
                <w:bCs/>
                <w:szCs w:val="21"/>
              </w:rPr>
            </w:pPr>
          </w:p>
        </w:tc>
        <w:tc>
          <w:tcPr>
            <w:tcW w:w="1338" w:type="dxa"/>
            <w:vAlign w:val="center"/>
          </w:tcPr>
          <w:p w14:paraId="6EF900CC">
            <w:pPr>
              <w:snapToGrid w:val="0"/>
              <w:spacing w:line="360" w:lineRule="exact"/>
              <w:rPr>
                <w:rFonts w:hint="eastAsia" w:ascii="宋体" w:hAnsi="宋体"/>
                <w:szCs w:val="21"/>
              </w:rPr>
            </w:pPr>
          </w:p>
        </w:tc>
        <w:tc>
          <w:tcPr>
            <w:tcW w:w="737" w:type="dxa"/>
            <w:vAlign w:val="center"/>
          </w:tcPr>
          <w:p w14:paraId="335393FD">
            <w:pPr>
              <w:spacing w:line="320" w:lineRule="exact"/>
              <w:jc w:val="left"/>
              <w:rPr>
                <w:rFonts w:hint="default" w:ascii="宋体" w:hAnsi="宋体" w:eastAsia="宋体"/>
                <w:szCs w:val="21"/>
                <w:highlight w:val="none"/>
                <w:lang w:val="en-US" w:eastAsia="zh-CN"/>
              </w:rPr>
            </w:pPr>
          </w:p>
        </w:tc>
        <w:tc>
          <w:tcPr>
            <w:tcW w:w="4554" w:type="dxa"/>
            <w:vAlign w:val="center"/>
          </w:tcPr>
          <w:p w14:paraId="0E6BE33A">
            <w:pPr>
              <w:spacing w:line="320" w:lineRule="exact"/>
              <w:jc w:val="left"/>
              <w:rPr>
                <w:rFonts w:hint="eastAsia" w:ascii="宋体" w:hAnsi="宋体"/>
                <w:szCs w:val="21"/>
                <w:highlight w:val="none"/>
              </w:rPr>
            </w:pPr>
          </w:p>
        </w:tc>
        <w:tc>
          <w:tcPr>
            <w:tcW w:w="1250" w:type="dxa"/>
            <w:vAlign w:val="center"/>
          </w:tcPr>
          <w:p w14:paraId="2BDC26B2">
            <w:pPr>
              <w:pStyle w:val="12"/>
              <w:adjustRightInd w:val="0"/>
              <w:snapToGrid w:val="0"/>
              <w:spacing w:after="0"/>
              <w:ind w:left="0" w:leftChars="0"/>
              <w:jc w:val="center"/>
              <w:rPr>
                <w:rFonts w:ascii="宋体" w:hAnsi="宋体" w:cs="宋体"/>
                <w:bCs/>
                <w:szCs w:val="21"/>
              </w:rPr>
            </w:pPr>
          </w:p>
        </w:tc>
        <w:tc>
          <w:tcPr>
            <w:tcW w:w="1000" w:type="dxa"/>
            <w:vAlign w:val="center"/>
          </w:tcPr>
          <w:p w14:paraId="33E54982">
            <w:pPr>
              <w:pStyle w:val="12"/>
              <w:adjustRightInd w:val="0"/>
              <w:snapToGrid w:val="0"/>
              <w:spacing w:after="0"/>
              <w:ind w:left="0" w:leftChars="0"/>
              <w:jc w:val="center"/>
              <w:rPr>
                <w:rFonts w:ascii="宋体" w:hAnsi="宋体" w:cs="宋体"/>
                <w:bCs/>
                <w:szCs w:val="21"/>
              </w:rPr>
            </w:pPr>
          </w:p>
        </w:tc>
      </w:tr>
      <w:tr w14:paraId="417C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7" w:type="dxa"/>
            <w:vMerge w:val="continue"/>
          </w:tcPr>
          <w:p w14:paraId="6EC12F18">
            <w:pPr>
              <w:pStyle w:val="12"/>
              <w:adjustRightInd w:val="0"/>
              <w:snapToGrid w:val="0"/>
              <w:spacing w:after="0"/>
              <w:ind w:left="0" w:leftChars="0"/>
              <w:jc w:val="left"/>
              <w:rPr>
                <w:rFonts w:ascii="宋体" w:hAnsi="宋体" w:cs="宋体"/>
                <w:bCs/>
                <w:szCs w:val="21"/>
              </w:rPr>
            </w:pPr>
          </w:p>
        </w:tc>
        <w:tc>
          <w:tcPr>
            <w:tcW w:w="1338" w:type="dxa"/>
            <w:vAlign w:val="center"/>
          </w:tcPr>
          <w:p w14:paraId="42B05C68">
            <w:pPr>
              <w:snapToGrid w:val="0"/>
              <w:spacing w:line="360" w:lineRule="exact"/>
              <w:rPr>
                <w:rFonts w:hint="default" w:ascii="宋体" w:hAnsi="宋体"/>
                <w:szCs w:val="21"/>
                <w:lang w:val="en-US" w:eastAsia="zh-CN"/>
              </w:rPr>
            </w:pPr>
          </w:p>
        </w:tc>
        <w:tc>
          <w:tcPr>
            <w:tcW w:w="737" w:type="dxa"/>
            <w:vAlign w:val="center"/>
          </w:tcPr>
          <w:p w14:paraId="49481283">
            <w:pPr>
              <w:spacing w:line="320" w:lineRule="exact"/>
              <w:jc w:val="left"/>
              <w:rPr>
                <w:rFonts w:hint="default" w:ascii="宋体" w:hAnsi="宋体" w:eastAsia="宋体"/>
                <w:szCs w:val="21"/>
                <w:lang w:val="en-US" w:eastAsia="zh-CN"/>
              </w:rPr>
            </w:pPr>
          </w:p>
        </w:tc>
        <w:tc>
          <w:tcPr>
            <w:tcW w:w="4554" w:type="dxa"/>
            <w:vAlign w:val="center"/>
          </w:tcPr>
          <w:p w14:paraId="1C0D4B2A">
            <w:pPr>
              <w:spacing w:line="320" w:lineRule="exact"/>
              <w:jc w:val="left"/>
              <w:rPr>
                <w:rFonts w:hint="eastAsia" w:ascii="宋体" w:hAnsi="宋体"/>
                <w:szCs w:val="21"/>
              </w:rPr>
            </w:pPr>
          </w:p>
        </w:tc>
        <w:tc>
          <w:tcPr>
            <w:tcW w:w="1250" w:type="dxa"/>
            <w:vAlign w:val="center"/>
          </w:tcPr>
          <w:p w14:paraId="512C6767">
            <w:pPr>
              <w:pStyle w:val="12"/>
              <w:adjustRightInd w:val="0"/>
              <w:snapToGrid w:val="0"/>
              <w:spacing w:after="0"/>
              <w:ind w:left="0" w:leftChars="0"/>
              <w:jc w:val="center"/>
              <w:rPr>
                <w:rFonts w:ascii="宋体" w:hAnsi="宋体" w:cs="宋体"/>
                <w:bCs/>
                <w:szCs w:val="21"/>
              </w:rPr>
            </w:pPr>
          </w:p>
        </w:tc>
        <w:tc>
          <w:tcPr>
            <w:tcW w:w="1000" w:type="dxa"/>
            <w:vAlign w:val="center"/>
          </w:tcPr>
          <w:p w14:paraId="1391FCE0">
            <w:pPr>
              <w:pStyle w:val="12"/>
              <w:adjustRightInd w:val="0"/>
              <w:snapToGrid w:val="0"/>
              <w:spacing w:after="0"/>
              <w:ind w:left="0" w:leftChars="0"/>
              <w:jc w:val="center"/>
              <w:rPr>
                <w:rFonts w:ascii="宋体" w:hAnsi="宋体" w:cs="宋体"/>
                <w:bCs/>
                <w:szCs w:val="21"/>
              </w:rPr>
            </w:pPr>
          </w:p>
        </w:tc>
      </w:tr>
      <w:tr w14:paraId="13BC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87" w:type="dxa"/>
            <w:vMerge w:val="continue"/>
          </w:tcPr>
          <w:p w14:paraId="59550047">
            <w:pPr>
              <w:pStyle w:val="12"/>
              <w:adjustRightInd w:val="0"/>
              <w:snapToGrid w:val="0"/>
              <w:spacing w:after="0"/>
              <w:ind w:left="0" w:leftChars="0"/>
              <w:jc w:val="left"/>
              <w:rPr>
                <w:rFonts w:ascii="宋体" w:hAnsi="宋体" w:cs="宋体"/>
                <w:bCs/>
                <w:szCs w:val="21"/>
              </w:rPr>
            </w:pPr>
          </w:p>
        </w:tc>
        <w:tc>
          <w:tcPr>
            <w:tcW w:w="1338" w:type="dxa"/>
            <w:vAlign w:val="center"/>
          </w:tcPr>
          <w:p w14:paraId="26523C73">
            <w:pPr>
              <w:snapToGrid w:val="0"/>
              <w:spacing w:line="360" w:lineRule="exact"/>
              <w:rPr>
                <w:rFonts w:hint="default" w:ascii="宋体" w:hAnsi="宋体"/>
                <w:szCs w:val="21"/>
                <w:lang w:val="en-US" w:eastAsia="zh-CN"/>
              </w:rPr>
            </w:pPr>
          </w:p>
        </w:tc>
        <w:tc>
          <w:tcPr>
            <w:tcW w:w="737" w:type="dxa"/>
            <w:vAlign w:val="center"/>
          </w:tcPr>
          <w:p w14:paraId="7B0B3710">
            <w:pPr>
              <w:spacing w:line="320" w:lineRule="exact"/>
              <w:jc w:val="left"/>
              <w:rPr>
                <w:rFonts w:hint="default" w:ascii="宋体" w:hAnsi="宋体" w:eastAsia="宋体"/>
                <w:szCs w:val="21"/>
                <w:lang w:val="en-US" w:eastAsia="zh-CN"/>
              </w:rPr>
            </w:pPr>
          </w:p>
        </w:tc>
        <w:tc>
          <w:tcPr>
            <w:tcW w:w="4554" w:type="dxa"/>
            <w:vAlign w:val="center"/>
          </w:tcPr>
          <w:p w14:paraId="256A86C1">
            <w:pPr>
              <w:spacing w:line="320" w:lineRule="exact"/>
              <w:jc w:val="left"/>
              <w:rPr>
                <w:rFonts w:hint="eastAsia" w:ascii="宋体" w:hAnsi="宋体"/>
                <w:szCs w:val="21"/>
              </w:rPr>
            </w:pPr>
          </w:p>
        </w:tc>
        <w:tc>
          <w:tcPr>
            <w:tcW w:w="1250" w:type="dxa"/>
            <w:vAlign w:val="center"/>
          </w:tcPr>
          <w:p w14:paraId="08E184AE">
            <w:pPr>
              <w:pStyle w:val="12"/>
              <w:adjustRightInd w:val="0"/>
              <w:snapToGrid w:val="0"/>
              <w:spacing w:after="0"/>
              <w:ind w:left="0" w:leftChars="0"/>
              <w:jc w:val="center"/>
              <w:rPr>
                <w:rFonts w:ascii="宋体" w:hAnsi="宋体" w:cs="宋体"/>
                <w:bCs/>
                <w:szCs w:val="21"/>
              </w:rPr>
            </w:pPr>
          </w:p>
        </w:tc>
        <w:tc>
          <w:tcPr>
            <w:tcW w:w="1000" w:type="dxa"/>
            <w:vAlign w:val="center"/>
          </w:tcPr>
          <w:p w14:paraId="772F3142">
            <w:pPr>
              <w:pStyle w:val="12"/>
              <w:adjustRightInd w:val="0"/>
              <w:snapToGrid w:val="0"/>
              <w:spacing w:after="0"/>
              <w:ind w:left="0" w:leftChars="0"/>
              <w:jc w:val="center"/>
              <w:rPr>
                <w:rFonts w:ascii="宋体" w:hAnsi="宋体" w:cs="宋体"/>
                <w:bCs/>
                <w:szCs w:val="21"/>
              </w:rPr>
            </w:pPr>
          </w:p>
        </w:tc>
      </w:tr>
    </w:tbl>
    <w:p w14:paraId="19F14D9D">
      <w:pPr>
        <w:pStyle w:val="3"/>
        <w:rPr>
          <w:rFonts w:hint="eastAsia" w:ascii="宋体" w:hAnsi="宋体"/>
          <w:sz w:val="24"/>
        </w:rPr>
      </w:pPr>
    </w:p>
    <w:p w14:paraId="64E7A58C">
      <w:pPr>
        <w:rPr>
          <w:rFonts w:hint="eastAsia"/>
        </w:rPr>
      </w:pPr>
    </w:p>
    <w:p w14:paraId="28816724">
      <w:pPr>
        <w:rPr>
          <w:rFonts w:hint="eastAsia"/>
        </w:rPr>
      </w:pPr>
    </w:p>
    <w:p w14:paraId="38401F59">
      <w:pPr>
        <w:rPr>
          <w:rFonts w:hint="eastAsia"/>
        </w:rPr>
      </w:pPr>
    </w:p>
    <w:p w14:paraId="5AE57015">
      <w:pPr>
        <w:rPr>
          <w:rFonts w:hint="eastAsia"/>
        </w:rPr>
      </w:pPr>
    </w:p>
    <w:p w14:paraId="39CB40BD">
      <w:pPr>
        <w:rPr>
          <w:rFonts w:hint="eastAsia"/>
        </w:rPr>
      </w:pPr>
    </w:p>
    <w:p w14:paraId="232F69AE">
      <w:pPr>
        <w:rPr>
          <w:rFonts w:hint="eastAsia"/>
        </w:rPr>
      </w:pPr>
    </w:p>
    <w:p w14:paraId="5BCE7CDC">
      <w:pPr>
        <w:rPr>
          <w:rFonts w:hint="eastAsia"/>
        </w:rPr>
      </w:pPr>
    </w:p>
    <w:p w14:paraId="637F2E75">
      <w:pPr>
        <w:rPr>
          <w:rFonts w:hint="eastAsia"/>
        </w:rPr>
      </w:pPr>
    </w:p>
    <w:p w14:paraId="5B12EFE7">
      <w:pPr>
        <w:rPr>
          <w:rFonts w:hint="eastAsia"/>
        </w:rPr>
      </w:pPr>
    </w:p>
    <w:p w14:paraId="0A2D7E97">
      <w:pPr>
        <w:rPr>
          <w:rFonts w:hint="eastAsia"/>
        </w:rPr>
      </w:pPr>
    </w:p>
    <w:p w14:paraId="56B7CDBA">
      <w:pPr>
        <w:rPr>
          <w:rFonts w:hint="eastAsia"/>
        </w:rPr>
      </w:pPr>
    </w:p>
    <w:p w14:paraId="7FE9A2C1">
      <w:pPr>
        <w:rPr>
          <w:rFonts w:hint="eastAsia"/>
        </w:rPr>
      </w:pPr>
    </w:p>
    <w:p w14:paraId="54398D70">
      <w:pPr>
        <w:rPr>
          <w:rFonts w:hint="eastAsia"/>
        </w:rPr>
      </w:pPr>
    </w:p>
    <w:p w14:paraId="781051B4">
      <w:pPr>
        <w:rPr>
          <w:rFonts w:hint="eastAsia"/>
        </w:rPr>
      </w:pPr>
    </w:p>
    <w:p w14:paraId="17EDBAE3">
      <w:pPr>
        <w:rPr>
          <w:rFonts w:hint="eastAsia"/>
        </w:rPr>
      </w:pPr>
    </w:p>
    <w:p w14:paraId="0CE6EFD7">
      <w:pPr>
        <w:tabs>
          <w:tab w:val="center" w:pos="4535"/>
          <w:tab w:val="left" w:pos="6390"/>
        </w:tabs>
        <w:rPr>
          <w:rFonts w:ascii="宋体" w:hAnsi="宋体"/>
          <w:b/>
        </w:rPr>
      </w:pPr>
    </w:p>
    <w:p w14:paraId="0D7769EE">
      <w:pPr>
        <w:tabs>
          <w:tab w:val="center" w:pos="4535"/>
          <w:tab w:val="left" w:pos="6390"/>
        </w:tabs>
        <w:rPr>
          <w:rFonts w:ascii="宋体" w:hAnsi="宋体"/>
          <w:b/>
        </w:rPr>
      </w:pPr>
    </w:p>
    <w:p w14:paraId="11BFD9F5">
      <w:pPr>
        <w:widowControl/>
        <w:jc w:val="left"/>
        <w:rPr>
          <w:rFonts w:hint="eastAsia" w:ascii="宋体" w:hAnsi="宋体"/>
          <w:sz w:val="24"/>
          <w:lang w:val="en-US" w:eastAsia="zh-CN"/>
        </w:rPr>
      </w:pPr>
      <w:r>
        <w:rPr>
          <w:rFonts w:hint="eastAsia" w:ascii="宋体" w:hAnsi="宋体"/>
          <w:sz w:val="24"/>
        </w:rPr>
        <w:t>格式</w:t>
      </w:r>
      <w:r>
        <w:rPr>
          <w:rFonts w:hint="eastAsia" w:ascii="宋体" w:hAnsi="宋体"/>
          <w:sz w:val="24"/>
          <w:lang w:val="en-US" w:eastAsia="zh-CN"/>
        </w:rPr>
        <w:t>三</w:t>
      </w:r>
    </w:p>
    <w:p w14:paraId="3AB4A759">
      <w:pPr>
        <w:widowControl/>
        <w:ind w:firstLine="3132" w:firstLineChars="1300"/>
        <w:jc w:val="left"/>
        <w:rPr>
          <w:rFonts w:ascii="宋体" w:hAnsi="宋体"/>
          <w:b/>
          <w:bCs/>
          <w:sz w:val="24"/>
        </w:rPr>
      </w:pPr>
      <w:r>
        <w:rPr>
          <w:rFonts w:hint="eastAsia" w:ascii="宋体" w:hAnsi="宋体"/>
          <w:b/>
          <w:bCs/>
          <w:sz w:val="24"/>
        </w:rPr>
        <w:t>拟投入本项目人员一览表</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65"/>
        <w:gridCol w:w="1220"/>
        <w:gridCol w:w="1220"/>
        <w:gridCol w:w="1220"/>
        <w:gridCol w:w="2429"/>
      </w:tblGrid>
      <w:tr w14:paraId="7571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7495E8A9">
            <w:pPr>
              <w:snapToGrid w:val="0"/>
              <w:spacing w:line="320" w:lineRule="exact"/>
              <w:jc w:val="center"/>
              <w:rPr>
                <w:rFonts w:ascii="宋体"/>
              </w:rPr>
            </w:pPr>
            <w:r>
              <w:rPr>
                <w:rFonts w:ascii="宋体"/>
              </w:rPr>
              <w:t>序号</w:t>
            </w:r>
          </w:p>
        </w:tc>
        <w:tc>
          <w:tcPr>
            <w:tcW w:w="1418" w:type="dxa"/>
            <w:vAlign w:val="center"/>
          </w:tcPr>
          <w:p w14:paraId="1DBECE3B">
            <w:pPr>
              <w:snapToGrid w:val="0"/>
              <w:spacing w:line="320" w:lineRule="exact"/>
              <w:jc w:val="center"/>
              <w:rPr>
                <w:rFonts w:ascii="宋体"/>
              </w:rPr>
            </w:pPr>
            <w:r>
              <w:rPr>
                <w:rFonts w:ascii="宋体"/>
              </w:rPr>
              <w:t>岗位</w:t>
            </w:r>
          </w:p>
        </w:tc>
        <w:tc>
          <w:tcPr>
            <w:tcW w:w="1565" w:type="dxa"/>
            <w:vAlign w:val="center"/>
          </w:tcPr>
          <w:p w14:paraId="124A5F51">
            <w:pPr>
              <w:snapToGrid w:val="0"/>
              <w:spacing w:line="320" w:lineRule="exact"/>
              <w:jc w:val="center"/>
              <w:rPr>
                <w:rFonts w:ascii="宋体"/>
              </w:rPr>
            </w:pPr>
            <w:r>
              <w:rPr>
                <w:rFonts w:ascii="宋体"/>
              </w:rPr>
              <w:t>姓名</w:t>
            </w:r>
          </w:p>
        </w:tc>
        <w:tc>
          <w:tcPr>
            <w:tcW w:w="1220" w:type="dxa"/>
            <w:vAlign w:val="center"/>
          </w:tcPr>
          <w:p w14:paraId="5CF64BCC">
            <w:pPr>
              <w:snapToGrid w:val="0"/>
              <w:spacing w:line="320" w:lineRule="exact"/>
              <w:jc w:val="center"/>
              <w:rPr>
                <w:rFonts w:ascii="宋体"/>
              </w:rPr>
            </w:pPr>
            <w:r>
              <w:rPr>
                <w:rFonts w:ascii="宋体"/>
              </w:rPr>
              <w:t>年龄</w:t>
            </w:r>
          </w:p>
        </w:tc>
        <w:tc>
          <w:tcPr>
            <w:tcW w:w="1220" w:type="dxa"/>
            <w:vAlign w:val="center"/>
          </w:tcPr>
          <w:p w14:paraId="77428DA5">
            <w:pPr>
              <w:snapToGrid w:val="0"/>
              <w:spacing w:line="320" w:lineRule="exact"/>
              <w:jc w:val="center"/>
              <w:rPr>
                <w:rFonts w:ascii="宋体"/>
              </w:rPr>
            </w:pPr>
            <w:r>
              <w:rPr>
                <w:rFonts w:ascii="宋体"/>
              </w:rPr>
              <w:t>学历</w:t>
            </w:r>
          </w:p>
        </w:tc>
        <w:tc>
          <w:tcPr>
            <w:tcW w:w="1220" w:type="dxa"/>
            <w:vAlign w:val="center"/>
          </w:tcPr>
          <w:p w14:paraId="504F706B">
            <w:pPr>
              <w:snapToGrid w:val="0"/>
              <w:spacing w:line="320" w:lineRule="exact"/>
              <w:jc w:val="center"/>
              <w:rPr>
                <w:rFonts w:ascii="宋体"/>
              </w:rPr>
            </w:pPr>
            <w:r>
              <w:rPr>
                <w:rFonts w:ascii="宋体"/>
              </w:rPr>
              <w:t>资格证书</w:t>
            </w:r>
          </w:p>
        </w:tc>
        <w:tc>
          <w:tcPr>
            <w:tcW w:w="2429" w:type="dxa"/>
            <w:vAlign w:val="center"/>
          </w:tcPr>
          <w:p w14:paraId="3FE32646">
            <w:pPr>
              <w:snapToGrid w:val="0"/>
              <w:spacing w:line="320" w:lineRule="exact"/>
              <w:jc w:val="center"/>
              <w:rPr>
                <w:rFonts w:ascii="宋体"/>
              </w:rPr>
            </w:pPr>
            <w:r>
              <w:rPr>
                <w:rFonts w:ascii="宋体"/>
              </w:rPr>
              <w:t>工作经验</w:t>
            </w:r>
          </w:p>
        </w:tc>
      </w:tr>
      <w:tr w14:paraId="2D6C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25945D76">
            <w:pPr>
              <w:snapToGrid w:val="0"/>
              <w:spacing w:line="320" w:lineRule="exact"/>
              <w:jc w:val="center"/>
              <w:rPr>
                <w:rFonts w:ascii="宋体"/>
              </w:rPr>
            </w:pPr>
          </w:p>
        </w:tc>
        <w:tc>
          <w:tcPr>
            <w:tcW w:w="1418" w:type="dxa"/>
            <w:vAlign w:val="center"/>
          </w:tcPr>
          <w:p w14:paraId="0C4C2A17">
            <w:pPr>
              <w:snapToGrid w:val="0"/>
              <w:spacing w:line="320" w:lineRule="exact"/>
              <w:jc w:val="center"/>
              <w:rPr>
                <w:rFonts w:ascii="宋体"/>
              </w:rPr>
            </w:pPr>
            <w:r>
              <w:rPr>
                <w:rFonts w:ascii="宋体"/>
              </w:rPr>
              <w:t>项目负责人</w:t>
            </w:r>
          </w:p>
        </w:tc>
        <w:tc>
          <w:tcPr>
            <w:tcW w:w="1565" w:type="dxa"/>
            <w:vAlign w:val="center"/>
          </w:tcPr>
          <w:p w14:paraId="694E9382">
            <w:pPr>
              <w:snapToGrid w:val="0"/>
              <w:spacing w:line="320" w:lineRule="exact"/>
              <w:jc w:val="center"/>
              <w:rPr>
                <w:rFonts w:ascii="宋体"/>
              </w:rPr>
            </w:pPr>
          </w:p>
        </w:tc>
        <w:tc>
          <w:tcPr>
            <w:tcW w:w="1220" w:type="dxa"/>
            <w:vAlign w:val="center"/>
          </w:tcPr>
          <w:p w14:paraId="5522C6D1">
            <w:pPr>
              <w:snapToGrid w:val="0"/>
              <w:spacing w:line="320" w:lineRule="exact"/>
              <w:jc w:val="center"/>
              <w:rPr>
                <w:rFonts w:ascii="宋体"/>
              </w:rPr>
            </w:pPr>
          </w:p>
        </w:tc>
        <w:tc>
          <w:tcPr>
            <w:tcW w:w="1220" w:type="dxa"/>
            <w:vAlign w:val="center"/>
          </w:tcPr>
          <w:p w14:paraId="0739BC03">
            <w:pPr>
              <w:snapToGrid w:val="0"/>
              <w:spacing w:line="320" w:lineRule="exact"/>
              <w:jc w:val="center"/>
              <w:rPr>
                <w:rFonts w:ascii="宋体"/>
              </w:rPr>
            </w:pPr>
          </w:p>
        </w:tc>
        <w:tc>
          <w:tcPr>
            <w:tcW w:w="1220" w:type="dxa"/>
            <w:vAlign w:val="center"/>
          </w:tcPr>
          <w:p w14:paraId="7B0862C1">
            <w:pPr>
              <w:snapToGrid w:val="0"/>
              <w:spacing w:line="320" w:lineRule="exact"/>
              <w:jc w:val="center"/>
              <w:rPr>
                <w:rFonts w:ascii="宋体"/>
              </w:rPr>
            </w:pPr>
          </w:p>
        </w:tc>
        <w:tc>
          <w:tcPr>
            <w:tcW w:w="2429" w:type="dxa"/>
            <w:vAlign w:val="center"/>
          </w:tcPr>
          <w:p w14:paraId="2937FC79">
            <w:pPr>
              <w:snapToGrid w:val="0"/>
              <w:spacing w:line="320" w:lineRule="exact"/>
              <w:jc w:val="center"/>
              <w:rPr>
                <w:rFonts w:ascii="宋体"/>
              </w:rPr>
            </w:pPr>
          </w:p>
        </w:tc>
      </w:tr>
      <w:tr w14:paraId="6E1C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00ED1B2">
            <w:pPr>
              <w:snapToGrid w:val="0"/>
              <w:spacing w:line="320" w:lineRule="exact"/>
              <w:jc w:val="center"/>
              <w:rPr>
                <w:rFonts w:ascii="宋体"/>
              </w:rPr>
            </w:pPr>
          </w:p>
        </w:tc>
        <w:tc>
          <w:tcPr>
            <w:tcW w:w="1418" w:type="dxa"/>
            <w:vAlign w:val="center"/>
          </w:tcPr>
          <w:p w14:paraId="66F6F6E0">
            <w:pPr>
              <w:snapToGrid w:val="0"/>
              <w:spacing w:line="320" w:lineRule="exact"/>
              <w:jc w:val="center"/>
              <w:rPr>
                <w:rFonts w:ascii="宋体"/>
              </w:rPr>
            </w:pPr>
          </w:p>
        </w:tc>
        <w:tc>
          <w:tcPr>
            <w:tcW w:w="1565" w:type="dxa"/>
            <w:vAlign w:val="center"/>
          </w:tcPr>
          <w:p w14:paraId="18BE021E">
            <w:pPr>
              <w:snapToGrid w:val="0"/>
              <w:spacing w:line="320" w:lineRule="exact"/>
              <w:jc w:val="center"/>
              <w:rPr>
                <w:rFonts w:ascii="宋体"/>
              </w:rPr>
            </w:pPr>
          </w:p>
        </w:tc>
        <w:tc>
          <w:tcPr>
            <w:tcW w:w="1220" w:type="dxa"/>
            <w:vAlign w:val="center"/>
          </w:tcPr>
          <w:p w14:paraId="138FC262">
            <w:pPr>
              <w:snapToGrid w:val="0"/>
              <w:spacing w:line="320" w:lineRule="exact"/>
              <w:jc w:val="center"/>
              <w:rPr>
                <w:rFonts w:ascii="宋体"/>
              </w:rPr>
            </w:pPr>
          </w:p>
        </w:tc>
        <w:tc>
          <w:tcPr>
            <w:tcW w:w="1220" w:type="dxa"/>
            <w:vAlign w:val="center"/>
          </w:tcPr>
          <w:p w14:paraId="194393E1">
            <w:pPr>
              <w:snapToGrid w:val="0"/>
              <w:spacing w:line="320" w:lineRule="exact"/>
              <w:jc w:val="center"/>
              <w:rPr>
                <w:rFonts w:ascii="宋体"/>
              </w:rPr>
            </w:pPr>
          </w:p>
        </w:tc>
        <w:tc>
          <w:tcPr>
            <w:tcW w:w="1220" w:type="dxa"/>
            <w:vAlign w:val="center"/>
          </w:tcPr>
          <w:p w14:paraId="7FB38A02">
            <w:pPr>
              <w:snapToGrid w:val="0"/>
              <w:spacing w:line="320" w:lineRule="exact"/>
              <w:jc w:val="center"/>
              <w:rPr>
                <w:rFonts w:ascii="宋体"/>
              </w:rPr>
            </w:pPr>
          </w:p>
        </w:tc>
        <w:tc>
          <w:tcPr>
            <w:tcW w:w="2429" w:type="dxa"/>
            <w:vAlign w:val="center"/>
          </w:tcPr>
          <w:p w14:paraId="133ABFDB">
            <w:pPr>
              <w:snapToGrid w:val="0"/>
              <w:spacing w:line="320" w:lineRule="exact"/>
              <w:jc w:val="center"/>
              <w:rPr>
                <w:rFonts w:ascii="宋体"/>
              </w:rPr>
            </w:pPr>
          </w:p>
        </w:tc>
      </w:tr>
      <w:tr w14:paraId="10C4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075F47B">
            <w:pPr>
              <w:snapToGrid w:val="0"/>
              <w:spacing w:line="320" w:lineRule="exact"/>
              <w:jc w:val="center"/>
              <w:rPr>
                <w:rFonts w:ascii="宋体"/>
              </w:rPr>
            </w:pPr>
          </w:p>
        </w:tc>
        <w:tc>
          <w:tcPr>
            <w:tcW w:w="1418" w:type="dxa"/>
            <w:vAlign w:val="center"/>
          </w:tcPr>
          <w:p w14:paraId="2A5E7859">
            <w:pPr>
              <w:snapToGrid w:val="0"/>
              <w:spacing w:line="320" w:lineRule="exact"/>
              <w:jc w:val="center"/>
              <w:rPr>
                <w:rFonts w:ascii="宋体"/>
              </w:rPr>
            </w:pPr>
          </w:p>
        </w:tc>
        <w:tc>
          <w:tcPr>
            <w:tcW w:w="1565" w:type="dxa"/>
            <w:vAlign w:val="center"/>
          </w:tcPr>
          <w:p w14:paraId="3B8069A7">
            <w:pPr>
              <w:snapToGrid w:val="0"/>
              <w:spacing w:line="320" w:lineRule="exact"/>
              <w:jc w:val="center"/>
              <w:rPr>
                <w:rFonts w:ascii="宋体"/>
              </w:rPr>
            </w:pPr>
          </w:p>
        </w:tc>
        <w:tc>
          <w:tcPr>
            <w:tcW w:w="1220" w:type="dxa"/>
            <w:vAlign w:val="center"/>
          </w:tcPr>
          <w:p w14:paraId="4BA4FB7C">
            <w:pPr>
              <w:snapToGrid w:val="0"/>
              <w:spacing w:line="320" w:lineRule="exact"/>
              <w:jc w:val="center"/>
              <w:rPr>
                <w:rFonts w:ascii="宋体"/>
              </w:rPr>
            </w:pPr>
          </w:p>
        </w:tc>
        <w:tc>
          <w:tcPr>
            <w:tcW w:w="1220" w:type="dxa"/>
            <w:vAlign w:val="center"/>
          </w:tcPr>
          <w:p w14:paraId="1502E830">
            <w:pPr>
              <w:snapToGrid w:val="0"/>
              <w:spacing w:line="320" w:lineRule="exact"/>
              <w:jc w:val="center"/>
              <w:rPr>
                <w:rFonts w:ascii="宋体"/>
              </w:rPr>
            </w:pPr>
          </w:p>
        </w:tc>
        <w:tc>
          <w:tcPr>
            <w:tcW w:w="1220" w:type="dxa"/>
            <w:vAlign w:val="center"/>
          </w:tcPr>
          <w:p w14:paraId="4F24BA91">
            <w:pPr>
              <w:snapToGrid w:val="0"/>
              <w:spacing w:line="320" w:lineRule="exact"/>
              <w:jc w:val="center"/>
              <w:rPr>
                <w:rFonts w:ascii="宋体"/>
              </w:rPr>
            </w:pPr>
          </w:p>
        </w:tc>
        <w:tc>
          <w:tcPr>
            <w:tcW w:w="2429" w:type="dxa"/>
            <w:vAlign w:val="center"/>
          </w:tcPr>
          <w:p w14:paraId="2D34C4E1">
            <w:pPr>
              <w:snapToGrid w:val="0"/>
              <w:spacing w:line="320" w:lineRule="exact"/>
              <w:jc w:val="center"/>
              <w:rPr>
                <w:rFonts w:ascii="宋体"/>
              </w:rPr>
            </w:pPr>
          </w:p>
        </w:tc>
      </w:tr>
      <w:tr w14:paraId="431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36C2BD03">
            <w:pPr>
              <w:snapToGrid w:val="0"/>
              <w:spacing w:line="320" w:lineRule="exact"/>
              <w:jc w:val="center"/>
              <w:rPr>
                <w:rFonts w:ascii="宋体"/>
              </w:rPr>
            </w:pPr>
          </w:p>
        </w:tc>
        <w:tc>
          <w:tcPr>
            <w:tcW w:w="1418" w:type="dxa"/>
            <w:vAlign w:val="center"/>
          </w:tcPr>
          <w:p w14:paraId="72F89155">
            <w:pPr>
              <w:snapToGrid w:val="0"/>
              <w:spacing w:line="320" w:lineRule="exact"/>
              <w:jc w:val="center"/>
              <w:rPr>
                <w:rFonts w:ascii="宋体"/>
              </w:rPr>
            </w:pPr>
          </w:p>
        </w:tc>
        <w:tc>
          <w:tcPr>
            <w:tcW w:w="1565" w:type="dxa"/>
            <w:vAlign w:val="center"/>
          </w:tcPr>
          <w:p w14:paraId="0D06B6B0">
            <w:pPr>
              <w:snapToGrid w:val="0"/>
              <w:spacing w:line="320" w:lineRule="exact"/>
              <w:jc w:val="center"/>
              <w:rPr>
                <w:rFonts w:ascii="宋体"/>
              </w:rPr>
            </w:pPr>
          </w:p>
        </w:tc>
        <w:tc>
          <w:tcPr>
            <w:tcW w:w="1220" w:type="dxa"/>
            <w:vAlign w:val="center"/>
          </w:tcPr>
          <w:p w14:paraId="7370F9B1">
            <w:pPr>
              <w:snapToGrid w:val="0"/>
              <w:spacing w:line="320" w:lineRule="exact"/>
              <w:jc w:val="center"/>
              <w:rPr>
                <w:rFonts w:ascii="宋体"/>
              </w:rPr>
            </w:pPr>
          </w:p>
        </w:tc>
        <w:tc>
          <w:tcPr>
            <w:tcW w:w="1220" w:type="dxa"/>
            <w:vAlign w:val="center"/>
          </w:tcPr>
          <w:p w14:paraId="1689994D">
            <w:pPr>
              <w:snapToGrid w:val="0"/>
              <w:spacing w:line="320" w:lineRule="exact"/>
              <w:jc w:val="center"/>
              <w:rPr>
                <w:rFonts w:ascii="宋体"/>
              </w:rPr>
            </w:pPr>
          </w:p>
        </w:tc>
        <w:tc>
          <w:tcPr>
            <w:tcW w:w="1220" w:type="dxa"/>
            <w:vAlign w:val="center"/>
          </w:tcPr>
          <w:p w14:paraId="3ABDA0CE">
            <w:pPr>
              <w:snapToGrid w:val="0"/>
              <w:spacing w:line="320" w:lineRule="exact"/>
              <w:jc w:val="center"/>
              <w:rPr>
                <w:rFonts w:ascii="宋体"/>
              </w:rPr>
            </w:pPr>
          </w:p>
        </w:tc>
        <w:tc>
          <w:tcPr>
            <w:tcW w:w="2429" w:type="dxa"/>
            <w:vAlign w:val="center"/>
          </w:tcPr>
          <w:p w14:paraId="0B6DB3F5">
            <w:pPr>
              <w:snapToGrid w:val="0"/>
              <w:spacing w:line="320" w:lineRule="exact"/>
              <w:jc w:val="center"/>
              <w:rPr>
                <w:rFonts w:ascii="宋体"/>
              </w:rPr>
            </w:pPr>
          </w:p>
        </w:tc>
      </w:tr>
      <w:tr w14:paraId="1475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3916DE2">
            <w:pPr>
              <w:snapToGrid w:val="0"/>
              <w:spacing w:line="320" w:lineRule="exact"/>
              <w:jc w:val="center"/>
              <w:rPr>
                <w:rFonts w:ascii="宋体"/>
              </w:rPr>
            </w:pPr>
          </w:p>
        </w:tc>
        <w:tc>
          <w:tcPr>
            <w:tcW w:w="1418" w:type="dxa"/>
            <w:vAlign w:val="center"/>
          </w:tcPr>
          <w:p w14:paraId="4F2CEEB4">
            <w:pPr>
              <w:snapToGrid w:val="0"/>
              <w:spacing w:line="320" w:lineRule="exact"/>
              <w:jc w:val="center"/>
              <w:rPr>
                <w:rFonts w:ascii="宋体"/>
              </w:rPr>
            </w:pPr>
          </w:p>
        </w:tc>
        <w:tc>
          <w:tcPr>
            <w:tcW w:w="1565" w:type="dxa"/>
            <w:vAlign w:val="center"/>
          </w:tcPr>
          <w:p w14:paraId="51A5722F">
            <w:pPr>
              <w:snapToGrid w:val="0"/>
              <w:spacing w:line="320" w:lineRule="exact"/>
              <w:jc w:val="center"/>
              <w:rPr>
                <w:rFonts w:ascii="宋体"/>
              </w:rPr>
            </w:pPr>
            <w:r>
              <w:rPr>
                <w:rFonts w:ascii="宋体"/>
              </w:rPr>
              <w:t>……</w:t>
            </w:r>
          </w:p>
        </w:tc>
        <w:tc>
          <w:tcPr>
            <w:tcW w:w="1220" w:type="dxa"/>
            <w:vAlign w:val="center"/>
          </w:tcPr>
          <w:p w14:paraId="7DE3CD3C">
            <w:pPr>
              <w:snapToGrid w:val="0"/>
              <w:spacing w:line="320" w:lineRule="exact"/>
              <w:jc w:val="center"/>
              <w:rPr>
                <w:rFonts w:ascii="宋体"/>
              </w:rPr>
            </w:pPr>
          </w:p>
        </w:tc>
        <w:tc>
          <w:tcPr>
            <w:tcW w:w="1220" w:type="dxa"/>
            <w:vAlign w:val="center"/>
          </w:tcPr>
          <w:p w14:paraId="52EA4E9C">
            <w:pPr>
              <w:snapToGrid w:val="0"/>
              <w:spacing w:line="320" w:lineRule="exact"/>
              <w:jc w:val="center"/>
              <w:rPr>
                <w:rFonts w:ascii="宋体"/>
              </w:rPr>
            </w:pPr>
          </w:p>
        </w:tc>
        <w:tc>
          <w:tcPr>
            <w:tcW w:w="1220" w:type="dxa"/>
            <w:vAlign w:val="center"/>
          </w:tcPr>
          <w:p w14:paraId="6C26E494">
            <w:pPr>
              <w:snapToGrid w:val="0"/>
              <w:spacing w:line="320" w:lineRule="exact"/>
              <w:jc w:val="center"/>
              <w:rPr>
                <w:rFonts w:ascii="宋体"/>
              </w:rPr>
            </w:pPr>
          </w:p>
        </w:tc>
        <w:tc>
          <w:tcPr>
            <w:tcW w:w="2429" w:type="dxa"/>
            <w:vAlign w:val="center"/>
          </w:tcPr>
          <w:p w14:paraId="0147497D">
            <w:pPr>
              <w:snapToGrid w:val="0"/>
              <w:spacing w:line="320" w:lineRule="exact"/>
              <w:jc w:val="center"/>
              <w:rPr>
                <w:rFonts w:ascii="宋体"/>
              </w:rPr>
            </w:pPr>
          </w:p>
        </w:tc>
      </w:tr>
      <w:tr w14:paraId="1477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3140C3B">
            <w:pPr>
              <w:snapToGrid w:val="0"/>
              <w:spacing w:line="320" w:lineRule="exact"/>
              <w:jc w:val="center"/>
              <w:rPr>
                <w:rFonts w:ascii="宋体"/>
              </w:rPr>
            </w:pPr>
          </w:p>
        </w:tc>
        <w:tc>
          <w:tcPr>
            <w:tcW w:w="1418" w:type="dxa"/>
            <w:vAlign w:val="center"/>
          </w:tcPr>
          <w:p w14:paraId="68F19B45">
            <w:pPr>
              <w:snapToGrid w:val="0"/>
              <w:spacing w:line="320" w:lineRule="exact"/>
              <w:jc w:val="center"/>
              <w:rPr>
                <w:rFonts w:ascii="宋体"/>
              </w:rPr>
            </w:pPr>
          </w:p>
        </w:tc>
        <w:tc>
          <w:tcPr>
            <w:tcW w:w="1565" w:type="dxa"/>
            <w:vAlign w:val="center"/>
          </w:tcPr>
          <w:p w14:paraId="6C736A46">
            <w:pPr>
              <w:snapToGrid w:val="0"/>
              <w:spacing w:line="320" w:lineRule="exact"/>
              <w:jc w:val="center"/>
              <w:rPr>
                <w:rFonts w:ascii="宋体"/>
              </w:rPr>
            </w:pPr>
          </w:p>
        </w:tc>
        <w:tc>
          <w:tcPr>
            <w:tcW w:w="1220" w:type="dxa"/>
            <w:vAlign w:val="center"/>
          </w:tcPr>
          <w:p w14:paraId="28BEDC96">
            <w:pPr>
              <w:snapToGrid w:val="0"/>
              <w:spacing w:line="320" w:lineRule="exact"/>
              <w:jc w:val="center"/>
              <w:rPr>
                <w:rFonts w:ascii="宋体"/>
              </w:rPr>
            </w:pPr>
          </w:p>
        </w:tc>
        <w:tc>
          <w:tcPr>
            <w:tcW w:w="1220" w:type="dxa"/>
            <w:vAlign w:val="center"/>
          </w:tcPr>
          <w:p w14:paraId="5D3B55F8">
            <w:pPr>
              <w:snapToGrid w:val="0"/>
              <w:spacing w:line="320" w:lineRule="exact"/>
              <w:jc w:val="center"/>
              <w:rPr>
                <w:rFonts w:ascii="宋体"/>
              </w:rPr>
            </w:pPr>
          </w:p>
        </w:tc>
        <w:tc>
          <w:tcPr>
            <w:tcW w:w="1220" w:type="dxa"/>
            <w:vAlign w:val="center"/>
          </w:tcPr>
          <w:p w14:paraId="606C4A18">
            <w:pPr>
              <w:snapToGrid w:val="0"/>
              <w:spacing w:line="320" w:lineRule="exact"/>
              <w:jc w:val="center"/>
              <w:rPr>
                <w:rFonts w:ascii="宋体"/>
              </w:rPr>
            </w:pPr>
          </w:p>
        </w:tc>
        <w:tc>
          <w:tcPr>
            <w:tcW w:w="2429" w:type="dxa"/>
            <w:vAlign w:val="center"/>
          </w:tcPr>
          <w:p w14:paraId="50D09A10">
            <w:pPr>
              <w:snapToGrid w:val="0"/>
              <w:spacing w:line="320" w:lineRule="exact"/>
              <w:jc w:val="center"/>
              <w:rPr>
                <w:rFonts w:ascii="宋体"/>
              </w:rPr>
            </w:pPr>
          </w:p>
        </w:tc>
      </w:tr>
      <w:tr w14:paraId="69F7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26B58E14">
            <w:pPr>
              <w:snapToGrid w:val="0"/>
              <w:spacing w:line="320" w:lineRule="exact"/>
              <w:jc w:val="center"/>
              <w:rPr>
                <w:rFonts w:ascii="宋体"/>
              </w:rPr>
            </w:pPr>
          </w:p>
        </w:tc>
        <w:tc>
          <w:tcPr>
            <w:tcW w:w="1418" w:type="dxa"/>
            <w:vAlign w:val="center"/>
          </w:tcPr>
          <w:p w14:paraId="6EE3AABB">
            <w:pPr>
              <w:snapToGrid w:val="0"/>
              <w:spacing w:line="320" w:lineRule="exact"/>
              <w:jc w:val="center"/>
              <w:rPr>
                <w:rFonts w:ascii="宋体"/>
              </w:rPr>
            </w:pPr>
          </w:p>
        </w:tc>
        <w:tc>
          <w:tcPr>
            <w:tcW w:w="1565" w:type="dxa"/>
            <w:vAlign w:val="center"/>
          </w:tcPr>
          <w:p w14:paraId="5E1B6E0E">
            <w:pPr>
              <w:snapToGrid w:val="0"/>
              <w:spacing w:line="320" w:lineRule="exact"/>
              <w:jc w:val="center"/>
              <w:rPr>
                <w:rFonts w:ascii="宋体"/>
              </w:rPr>
            </w:pPr>
          </w:p>
        </w:tc>
        <w:tc>
          <w:tcPr>
            <w:tcW w:w="1220" w:type="dxa"/>
            <w:vAlign w:val="center"/>
          </w:tcPr>
          <w:p w14:paraId="2AF12249">
            <w:pPr>
              <w:snapToGrid w:val="0"/>
              <w:spacing w:line="320" w:lineRule="exact"/>
              <w:jc w:val="center"/>
              <w:rPr>
                <w:rFonts w:ascii="宋体"/>
              </w:rPr>
            </w:pPr>
          </w:p>
        </w:tc>
        <w:tc>
          <w:tcPr>
            <w:tcW w:w="1220" w:type="dxa"/>
            <w:vAlign w:val="center"/>
          </w:tcPr>
          <w:p w14:paraId="0C3501F5">
            <w:pPr>
              <w:snapToGrid w:val="0"/>
              <w:spacing w:line="320" w:lineRule="exact"/>
              <w:jc w:val="center"/>
              <w:rPr>
                <w:rFonts w:ascii="宋体"/>
              </w:rPr>
            </w:pPr>
          </w:p>
        </w:tc>
        <w:tc>
          <w:tcPr>
            <w:tcW w:w="1220" w:type="dxa"/>
            <w:vAlign w:val="center"/>
          </w:tcPr>
          <w:p w14:paraId="26FCC1AF">
            <w:pPr>
              <w:snapToGrid w:val="0"/>
              <w:spacing w:line="320" w:lineRule="exact"/>
              <w:jc w:val="center"/>
              <w:rPr>
                <w:rFonts w:ascii="宋体"/>
              </w:rPr>
            </w:pPr>
          </w:p>
        </w:tc>
        <w:tc>
          <w:tcPr>
            <w:tcW w:w="2429" w:type="dxa"/>
            <w:vAlign w:val="center"/>
          </w:tcPr>
          <w:p w14:paraId="0981A946">
            <w:pPr>
              <w:snapToGrid w:val="0"/>
              <w:spacing w:line="320" w:lineRule="exact"/>
              <w:jc w:val="center"/>
              <w:rPr>
                <w:rFonts w:ascii="宋体"/>
              </w:rPr>
            </w:pPr>
          </w:p>
        </w:tc>
      </w:tr>
      <w:tr w14:paraId="118F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7E52C4C2">
            <w:pPr>
              <w:snapToGrid w:val="0"/>
              <w:spacing w:line="320" w:lineRule="exact"/>
              <w:jc w:val="center"/>
              <w:rPr>
                <w:rFonts w:ascii="宋体"/>
              </w:rPr>
            </w:pPr>
          </w:p>
        </w:tc>
        <w:tc>
          <w:tcPr>
            <w:tcW w:w="1418" w:type="dxa"/>
            <w:vAlign w:val="center"/>
          </w:tcPr>
          <w:p w14:paraId="16918754">
            <w:pPr>
              <w:snapToGrid w:val="0"/>
              <w:spacing w:line="320" w:lineRule="exact"/>
              <w:jc w:val="center"/>
              <w:rPr>
                <w:rFonts w:ascii="宋体"/>
              </w:rPr>
            </w:pPr>
          </w:p>
        </w:tc>
        <w:tc>
          <w:tcPr>
            <w:tcW w:w="1565" w:type="dxa"/>
            <w:vAlign w:val="center"/>
          </w:tcPr>
          <w:p w14:paraId="5E864D72">
            <w:pPr>
              <w:snapToGrid w:val="0"/>
              <w:spacing w:line="320" w:lineRule="exact"/>
              <w:jc w:val="center"/>
              <w:rPr>
                <w:rFonts w:ascii="宋体"/>
              </w:rPr>
            </w:pPr>
          </w:p>
        </w:tc>
        <w:tc>
          <w:tcPr>
            <w:tcW w:w="1220" w:type="dxa"/>
            <w:vAlign w:val="center"/>
          </w:tcPr>
          <w:p w14:paraId="08AF825A">
            <w:pPr>
              <w:snapToGrid w:val="0"/>
              <w:spacing w:line="320" w:lineRule="exact"/>
              <w:jc w:val="center"/>
              <w:rPr>
                <w:rFonts w:ascii="宋体"/>
              </w:rPr>
            </w:pPr>
          </w:p>
        </w:tc>
        <w:tc>
          <w:tcPr>
            <w:tcW w:w="1220" w:type="dxa"/>
            <w:vAlign w:val="center"/>
          </w:tcPr>
          <w:p w14:paraId="546B28E0">
            <w:pPr>
              <w:snapToGrid w:val="0"/>
              <w:spacing w:line="320" w:lineRule="exact"/>
              <w:jc w:val="center"/>
              <w:rPr>
                <w:rFonts w:ascii="宋体"/>
              </w:rPr>
            </w:pPr>
          </w:p>
        </w:tc>
        <w:tc>
          <w:tcPr>
            <w:tcW w:w="1220" w:type="dxa"/>
            <w:vAlign w:val="center"/>
          </w:tcPr>
          <w:p w14:paraId="4CE47C74">
            <w:pPr>
              <w:snapToGrid w:val="0"/>
              <w:spacing w:line="320" w:lineRule="exact"/>
              <w:jc w:val="center"/>
              <w:rPr>
                <w:rFonts w:ascii="宋体"/>
              </w:rPr>
            </w:pPr>
          </w:p>
        </w:tc>
        <w:tc>
          <w:tcPr>
            <w:tcW w:w="2429" w:type="dxa"/>
            <w:vAlign w:val="center"/>
          </w:tcPr>
          <w:p w14:paraId="7A8AE092">
            <w:pPr>
              <w:snapToGrid w:val="0"/>
              <w:spacing w:line="320" w:lineRule="exact"/>
              <w:jc w:val="center"/>
              <w:rPr>
                <w:rFonts w:ascii="宋体"/>
              </w:rPr>
            </w:pPr>
          </w:p>
        </w:tc>
      </w:tr>
      <w:tr w14:paraId="0C01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69C4CE43">
            <w:pPr>
              <w:snapToGrid w:val="0"/>
              <w:spacing w:line="320" w:lineRule="exact"/>
              <w:jc w:val="center"/>
              <w:rPr>
                <w:rFonts w:ascii="宋体"/>
              </w:rPr>
            </w:pPr>
          </w:p>
        </w:tc>
        <w:tc>
          <w:tcPr>
            <w:tcW w:w="1418" w:type="dxa"/>
            <w:vAlign w:val="center"/>
          </w:tcPr>
          <w:p w14:paraId="3AFAF204">
            <w:pPr>
              <w:snapToGrid w:val="0"/>
              <w:spacing w:line="320" w:lineRule="exact"/>
              <w:jc w:val="center"/>
              <w:rPr>
                <w:rFonts w:ascii="宋体"/>
              </w:rPr>
            </w:pPr>
          </w:p>
        </w:tc>
        <w:tc>
          <w:tcPr>
            <w:tcW w:w="1565" w:type="dxa"/>
            <w:vAlign w:val="center"/>
          </w:tcPr>
          <w:p w14:paraId="53BF1617">
            <w:pPr>
              <w:snapToGrid w:val="0"/>
              <w:spacing w:line="320" w:lineRule="exact"/>
              <w:jc w:val="center"/>
              <w:rPr>
                <w:rFonts w:ascii="宋体"/>
              </w:rPr>
            </w:pPr>
          </w:p>
        </w:tc>
        <w:tc>
          <w:tcPr>
            <w:tcW w:w="1220" w:type="dxa"/>
            <w:vAlign w:val="center"/>
          </w:tcPr>
          <w:p w14:paraId="27B3F292">
            <w:pPr>
              <w:snapToGrid w:val="0"/>
              <w:spacing w:line="320" w:lineRule="exact"/>
              <w:jc w:val="center"/>
              <w:rPr>
                <w:rFonts w:ascii="宋体"/>
              </w:rPr>
            </w:pPr>
          </w:p>
        </w:tc>
        <w:tc>
          <w:tcPr>
            <w:tcW w:w="1220" w:type="dxa"/>
            <w:vAlign w:val="center"/>
          </w:tcPr>
          <w:p w14:paraId="7D459A86">
            <w:pPr>
              <w:snapToGrid w:val="0"/>
              <w:spacing w:line="320" w:lineRule="exact"/>
              <w:jc w:val="center"/>
              <w:rPr>
                <w:rFonts w:ascii="宋体"/>
              </w:rPr>
            </w:pPr>
          </w:p>
        </w:tc>
        <w:tc>
          <w:tcPr>
            <w:tcW w:w="1220" w:type="dxa"/>
            <w:vAlign w:val="center"/>
          </w:tcPr>
          <w:p w14:paraId="176A3AFC">
            <w:pPr>
              <w:snapToGrid w:val="0"/>
              <w:spacing w:line="320" w:lineRule="exact"/>
              <w:jc w:val="center"/>
              <w:rPr>
                <w:rFonts w:ascii="宋体"/>
              </w:rPr>
            </w:pPr>
          </w:p>
        </w:tc>
        <w:tc>
          <w:tcPr>
            <w:tcW w:w="2429" w:type="dxa"/>
            <w:vAlign w:val="center"/>
          </w:tcPr>
          <w:p w14:paraId="720B56A1">
            <w:pPr>
              <w:snapToGrid w:val="0"/>
              <w:spacing w:line="320" w:lineRule="exact"/>
              <w:jc w:val="center"/>
              <w:rPr>
                <w:rFonts w:ascii="宋体"/>
              </w:rPr>
            </w:pPr>
          </w:p>
        </w:tc>
      </w:tr>
      <w:tr w14:paraId="6C19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A0BA321">
            <w:pPr>
              <w:snapToGrid w:val="0"/>
              <w:spacing w:line="320" w:lineRule="exact"/>
              <w:jc w:val="center"/>
              <w:rPr>
                <w:rFonts w:ascii="宋体"/>
              </w:rPr>
            </w:pPr>
          </w:p>
        </w:tc>
        <w:tc>
          <w:tcPr>
            <w:tcW w:w="1418" w:type="dxa"/>
            <w:vAlign w:val="center"/>
          </w:tcPr>
          <w:p w14:paraId="6BB7844D">
            <w:pPr>
              <w:snapToGrid w:val="0"/>
              <w:spacing w:line="320" w:lineRule="exact"/>
              <w:jc w:val="center"/>
              <w:rPr>
                <w:rFonts w:ascii="宋体"/>
              </w:rPr>
            </w:pPr>
          </w:p>
        </w:tc>
        <w:tc>
          <w:tcPr>
            <w:tcW w:w="1565" w:type="dxa"/>
            <w:vAlign w:val="center"/>
          </w:tcPr>
          <w:p w14:paraId="2E334CF5">
            <w:pPr>
              <w:snapToGrid w:val="0"/>
              <w:spacing w:line="320" w:lineRule="exact"/>
              <w:jc w:val="center"/>
              <w:rPr>
                <w:rFonts w:ascii="宋体"/>
              </w:rPr>
            </w:pPr>
          </w:p>
        </w:tc>
        <w:tc>
          <w:tcPr>
            <w:tcW w:w="1220" w:type="dxa"/>
            <w:vAlign w:val="center"/>
          </w:tcPr>
          <w:p w14:paraId="7E76FDF4">
            <w:pPr>
              <w:snapToGrid w:val="0"/>
              <w:spacing w:line="320" w:lineRule="exact"/>
              <w:jc w:val="center"/>
              <w:rPr>
                <w:rFonts w:ascii="宋体"/>
              </w:rPr>
            </w:pPr>
          </w:p>
        </w:tc>
        <w:tc>
          <w:tcPr>
            <w:tcW w:w="1220" w:type="dxa"/>
            <w:vAlign w:val="center"/>
          </w:tcPr>
          <w:p w14:paraId="1903965D">
            <w:pPr>
              <w:snapToGrid w:val="0"/>
              <w:spacing w:line="320" w:lineRule="exact"/>
              <w:jc w:val="center"/>
              <w:rPr>
                <w:rFonts w:ascii="宋体"/>
              </w:rPr>
            </w:pPr>
          </w:p>
        </w:tc>
        <w:tc>
          <w:tcPr>
            <w:tcW w:w="1220" w:type="dxa"/>
            <w:vAlign w:val="center"/>
          </w:tcPr>
          <w:p w14:paraId="5DC63472">
            <w:pPr>
              <w:snapToGrid w:val="0"/>
              <w:spacing w:line="320" w:lineRule="exact"/>
              <w:jc w:val="center"/>
              <w:rPr>
                <w:rFonts w:ascii="宋体"/>
              </w:rPr>
            </w:pPr>
          </w:p>
        </w:tc>
        <w:tc>
          <w:tcPr>
            <w:tcW w:w="2429" w:type="dxa"/>
            <w:vAlign w:val="center"/>
          </w:tcPr>
          <w:p w14:paraId="5D6FF211">
            <w:pPr>
              <w:snapToGrid w:val="0"/>
              <w:spacing w:line="320" w:lineRule="exact"/>
              <w:jc w:val="center"/>
              <w:rPr>
                <w:rFonts w:ascii="宋体"/>
              </w:rPr>
            </w:pPr>
          </w:p>
        </w:tc>
      </w:tr>
      <w:tr w14:paraId="3BDB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2F7791C7">
            <w:pPr>
              <w:snapToGrid w:val="0"/>
              <w:spacing w:line="320" w:lineRule="exact"/>
              <w:jc w:val="center"/>
              <w:rPr>
                <w:rFonts w:ascii="宋体"/>
              </w:rPr>
            </w:pPr>
          </w:p>
        </w:tc>
        <w:tc>
          <w:tcPr>
            <w:tcW w:w="1418" w:type="dxa"/>
            <w:vAlign w:val="center"/>
          </w:tcPr>
          <w:p w14:paraId="7EB51B8D">
            <w:pPr>
              <w:snapToGrid w:val="0"/>
              <w:spacing w:line="320" w:lineRule="exact"/>
              <w:jc w:val="center"/>
              <w:rPr>
                <w:rFonts w:ascii="宋体"/>
              </w:rPr>
            </w:pPr>
          </w:p>
        </w:tc>
        <w:tc>
          <w:tcPr>
            <w:tcW w:w="1565" w:type="dxa"/>
            <w:vAlign w:val="center"/>
          </w:tcPr>
          <w:p w14:paraId="201D413D">
            <w:pPr>
              <w:snapToGrid w:val="0"/>
              <w:spacing w:line="320" w:lineRule="exact"/>
              <w:jc w:val="center"/>
              <w:rPr>
                <w:rFonts w:ascii="宋体"/>
              </w:rPr>
            </w:pPr>
          </w:p>
        </w:tc>
        <w:tc>
          <w:tcPr>
            <w:tcW w:w="1220" w:type="dxa"/>
            <w:vAlign w:val="center"/>
          </w:tcPr>
          <w:p w14:paraId="4905E3B6">
            <w:pPr>
              <w:snapToGrid w:val="0"/>
              <w:spacing w:line="320" w:lineRule="exact"/>
              <w:jc w:val="center"/>
              <w:rPr>
                <w:rFonts w:ascii="宋体"/>
              </w:rPr>
            </w:pPr>
          </w:p>
        </w:tc>
        <w:tc>
          <w:tcPr>
            <w:tcW w:w="1220" w:type="dxa"/>
            <w:vAlign w:val="center"/>
          </w:tcPr>
          <w:p w14:paraId="16742542">
            <w:pPr>
              <w:snapToGrid w:val="0"/>
              <w:spacing w:line="320" w:lineRule="exact"/>
              <w:jc w:val="center"/>
              <w:rPr>
                <w:rFonts w:ascii="宋体"/>
              </w:rPr>
            </w:pPr>
          </w:p>
        </w:tc>
        <w:tc>
          <w:tcPr>
            <w:tcW w:w="1220" w:type="dxa"/>
            <w:vAlign w:val="center"/>
          </w:tcPr>
          <w:p w14:paraId="2CA83699">
            <w:pPr>
              <w:snapToGrid w:val="0"/>
              <w:spacing w:line="320" w:lineRule="exact"/>
              <w:jc w:val="center"/>
              <w:rPr>
                <w:rFonts w:ascii="宋体"/>
              </w:rPr>
            </w:pPr>
          </w:p>
        </w:tc>
        <w:tc>
          <w:tcPr>
            <w:tcW w:w="2429" w:type="dxa"/>
            <w:vAlign w:val="center"/>
          </w:tcPr>
          <w:p w14:paraId="42CA0397">
            <w:pPr>
              <w:snapToGrid w:val="0"/>
              <w:spacing w:line="320" w:lineRule="exact"/>
              <w:jc w:val="center"/>
              <w:rPr>
                <w:rFonts w:ascii="宋体"/>
              </w:rPr>
            </w:pPr>
          </w:p>
        </w:tc>
      </w:tr>
    </w:tbl>
    <w:p w14:paraId="28FEE6FB">
      <w:pPr>
        <w:snapToGrid w:val="0"/>
        <w:spacing w:line="360" w:lineRule="auto"/>
        <w:rPr>
          <w:rFonts w:ascii="宋体"/>
        </w:rPr>
      </w:pPr>
    </w:p>
    <w:p w14:paraId="0AB0DEDC">
      <w:pPr>
        <w:snapToGrid w:val="0"/>
        <w:spacing w:line="276" w:lineRule="auto"/>
        <w:jc w:val="left"/>
        <w:rPr>
          <w:rFonts w:ascii="宋体" w:hAnsi="宋体"/>
        </w:rPr>
      </w:pPr>
      <w:r>
        <w:rPr>
          <w:rFonts w:hint="eastAsia" w:ascii="宋体" w:hAnsi="宋体"/>
        </w:rPr>
        <w:t>注：在填写时，如本表格不适合响应人的实际情况，可根据本表格式自行划表填写。</w:t>
      </w:r>
    </w:p>
    <w:p w14:paraId="64EC8CDB">
      <w:pPr>
        <w:snapToGrid w:val="0"/>
        <w:spacing w:before="50" w:after="156" w:afterLines="50"/>
        <w:jc w:val="left"/>
        <w:rPr>
          <w:rFonts w:ascii="宋体" w:hAnsi="宋体"/>
        </w:rPr>
      </w:pPr>
    </w:p>
    <w:p w14:paraId="1A8CE50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szCs w:val="21"/>
          <w:lang w:val="zh-CN"/>
        </w:rPr>
      </w:pPr>
    </w:p>
    <w:p w14:paraId="39DC510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szCs w:val="21"/>
          <w:lang w:val="zh-CN"/>
        </w:rPr>
      </w:pPr>
      <w:r>
        <w:rPr>
          <w:rFonts w:hint="eastAsia" w:ascii="宋体" w:hAnsi="宋体" w:cs="仿宋_GB2312"/>
          <w:szCs w:val="21"/>
          <w:lang w:val="zh-CN"/>
        </w:rPr>
        <w:t>响应人：（公章）</w:t>
      </w:r>
    </w:p>
    <w:p w14:paraId="2786DF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szCs w:val="21"/>
          <w:lang w:val="zh-CN"/>
        </w:rPr>
      </w:pPr>
      <w:r>
        <w:rPr>
          <w:rFonts w:hint="eastAsia" w:ascii="宋体" w:hAnsi="宋体" w:cs="仿宋_GB2312"/>
          <w:szCs w:val="21"/>
          <w:lang w:val="zh-CN"/>
        </w:rPr>
        <w:t>法定代表人或委托代理人：（签字或盖章）</w:t>
      </w:r>
    </w:p>
    <w:p w14:paraId="6D3F192B">
      <w:pPr>
        <w:spacing w:line="360" w:lineRule="auto"/>
        <w:rPr>
          <w:rFonts w:ascii="宋体" w:hAnsi="宋体"/>
          <w:sz w:val="24"/>
        </w:rPr>
      </w:pPr>
      <w:r>
        <w:rPr>
          <w:rFonts w:hint="eastAsia" w:ascii="宋体" w:hAnsi="宋体" w:cs="仿宋_GB2312"/>
          <w:szCs w:val="21"/>
          <w:lang w:val="zh-CN"/>
        </w:rPr>
        <w:t>日期：年月日</w:t>
      </w:r>
      <w:r>
        <w:rPr>
          <w:rFonts w:ascii="宋体" w:hAnsi="宋体"/>
          <w:sz w:val="24"/>
        </w:rPr>
        <w:br w:type="page"/>
      </w:r>
    </w:p>
    <w:p w14:paraId="55254D9C">
      <w:pPr>
        <w:spacing w:line="360" w:lineRule="auto"/>
        <w:rPr>
          <w:rFonts w:hint="eastAsia" w:ascii="宋体" w:hAnsi="宋体" w:eastAsia="宋体"/>
          <w:sz w:val="24"/>
          <w:lang w:val="en-US" w:eastAsia="zh-CN"/>
        </w:rPr>
      </w:pPr>
      <w:r>
        <w:rPr>
          <w:rFonts w:hint="eastAsia" w:ascii="宋体" w:hAnsi="宋体"/>
          <w:sz w:val="24"/>
        </w:rPr>
        <w:t>格式</w:t>
      </w:r>
      <w:r>
        <w:rPr>
          <w:rFonts w:hint="eastAsia" w:ascii="宋体" w:hAnsi="宋体"/>
          <w:sz w:val="24"/>
          <w:lang w:val="en-US" w:eastAsia="zh-CN"/>
        </w:rPr>
        <w:t>四</w:t>
      </w:r>
    </w:p>
    <w:p w14:paraId="20C1E46E">
      <w:pPr>
        <w:autoSpaceDE w:val="0"/>
        <w:autoSpaceDN w:val="0"/>
        <w:adjustRightInd w:val="0"/>
        <w:spacing w:line="360" w:lineRule="auto"/>
        <w:jc w:val="center"/>
        <w:rPr>
          <w:rFonts w:ascii="宋体" w:hAnsi="宋体" w:cs="仿宋_GB2312"/>
          <w:b/>
          <w:bCs/>
          <w:sz w:val="30"/>
          <w:szCs w:val="30"/>
          <w:lang w:val="zh-CN"/>
        </w:rPr>
      </w:pPr>
      <w:r>
        <w:rPr>
          <w:rFonts w:hint="eastAsia" w:ascii="宋体" w:hAnsi="宋体" w:cs="仿宋_GB2312"/>
          <w:b/>
          <w:bCs/>
          <w:sz w:val="30"/>
          <w:szCs w:val="30"/>
          <w:lang w:val="zh-CN"/>
        </w:rPr>
        <w:t>开标一览表</w:t>
      </w:r>
    </w:p>
    <w:p w14:paraId="4CC7FAFE">
      <w:pPr>
        <w:pStyle w:val="3"/>
        <w:spacing w:before="0" w:after="0" w:line="360" w:lineRule="exact"/>
        <w:ind w:firstLine="420" w:firstLineChars="200"/>
        <w:rPr>
          <w:rFonts w:ascii="宋体" w:hAnsi="宋体" w:eastAsia="宋体"/>
          <w:b w:val="0"/>
          <w:sz w:val="21"/>
          <w:szCs w:val="21"/>
          <w:lang w:val="zh-CN"/>
        </w:rPr>
      </w:pPr>
      <w:r>
        <w:rPr>
          <w:rFonts w:hint="eastAsia" w:ascii="宋体" w:hAnsi="宋体" w:eastAsia="宋体" w:cs="宋体"/>
          <w:b w:val="0"/>
          <w:sz w:val="21"/>
          <w:szCs w:val="21"/>
          <w:lang w:val="zh-CN"/>
        </w:rPr>
        <w:t>在研究了采购文件后，我单位针对舟山医院</w:t>
      </w:r>
      <w:r>
        <w:rPr>
          <w:rFonts w:hint="eastAsia" w:ascii="宋体" w:hAnsi="宋体" w:eastAsia="宋体" w:cs="宋体"/>
          <w:b w:val="0"/>
          <w:sz w:val="21"/>
          <w:szCs w:val="21"/>
          <w:lang w:val="zh-CN" w:eastAsia="zh-CN"/>
        </w:rPr>
        <w:t>监控安防</w:t>
      </w:r>
      <w:r>
        <w:rPr>
          <w:rFonts w:hint="eastAsia" w:ascii="宋体" w:hAnsi="宋体" w:eastAsia="宋体" w:cs="宋体"/>
          <w:b w:val="0"/>
          <w:sz w:val="21"/>
          <w:szCs w:val="21"/>
          <w:lang w:val="zh-CN"/>
        </w:rPr>
        <w:t>云存储租赁服务项目竞争性磋商招标项目（项目编号：ZYCG-Q.F.G-2024-128）响应报价如下：</w:t>
      </w:r>
    </w:p>
    <w:p w14:paraId="020EB65C">
      <w:pPr>
        <w:spacing w:line="80" w:lineRule="exact"/>
        <w:rPr>
          <w:rFonts w:ascii="宋体" w:hAnsi="宋体"/>
          <w:szCs w:val="21"/>
        </w:rPr>
      </w:pPr>
    </w:p>
    <w:tbl>
      <w:tblPr>
        <w:tblStyle w:val="29"/>
        <w:tblW w:w="952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5103"/>
        <w:gridCol w:w="993"/>
      </w:tblGrid>
      <w:tr w14:paraId="46AF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428" w:type="dxa"/>
            <w:vAlign w:val="center"/>
          </w:tcPr>
          <w:p w14:paraId="049EC324">
            <w:pPr>
              <w:spacing w:line="360" w:lineRule="exact"/>
              <w:ind w:left="-107" w:leftChars="-51" w:right="-107" w:rightChars="-51"/>
              <w:jc w:val="center"/>
              <w:rPr>
                <w:rFonts w:ascii="宋体" w:hAnsi="宋体"/>
                <w:sz w:val="24"/>
                <w:szCs w:val="24"/>
              </w:rPr>
            </w:pPr>
            <w:r>
              <w:rPr>
                <w:rFonts w:hint="eastAsia" w:ascii="宋体" w:hAnsi="宋体" w:cs="仿宋_GB2312"/>
                <w:sz w:val="24"/>
                <w:szCs w:val="24"/>
                <w:lang w:val="zh-CN"/>
              </w:rPr>
              <w:t>项目名称</w:t>
            </w:r>
          </w:p>
        </w:tc>
        <w:tc>
          <w:tcPr>
            <w:tcW w:w="5103" w:type="dxa"/>
            <w:vAlign w:val="center"/>
          </w:tcPr>
          <w:p w14:paraId="70DE5756">
            <w:pPr>
              <w:spacing w:line="360" w:lineRule="exact"/>
              <w:ind w:left="-107" w:leftChars="-51" w:right="-107" w:rightChars="-51"/>
              <w:jc w:val="center"/>
              <w:rPr>
                <w:rFonts w:ascii="宋体" w:hAnsi="宋体"/>
                <w:sz w:val="24"/>
                <w:szCs w:val="24"/>
              </w:rPr>
            </w:pPr>
            <w:r>
              <w:rPr>
                <w:rFonts w:hint="eastAsia" w:ascii="宋体" w:hAnsi="宋体"/>
                <w:sz w:val="24"/>
                <w:szCs w:val="24"/>
              </w:rPr>
              <w:t>响应报价</w:t>
            </w:r>
          </w:p>
        </w:tc>
        <w:tc>
          <w:tcPr>
            <w:tcW w:w="993" w:type="dxa"/>
            <w:vAlign w:val="center"/>
          </w:tcPr>
          <w:p w14:paraId="0726FCB6">
            <w:pPr>
              <w:autoSpaceDE w:val="0"/>
              <w:autoSpaceDN w:val="0"/>
              <w:adjustRightInd w:val="0"/>
              <w:spacing w:line="360" w:lineRule="exact"/>
              <w:ind w:left="-107" w:leftChars="-51" w:right="-107" w:rightChars="-51"/>
              <w:jc w:val="center"/>
              <w:rPr>
                <w:rFonts w:ascii="宋体" w:hAnsi="宋体" w:cs="仿宋_GB2312"/>
                <w:sz w:val="24"/>
                <w:szCs w:val="24"/>
                <w:lang w:val="zh-CN"/>
              </w:rPr>
            </w:pPr>
            <w:r>
              <w:rPr>
                <w:rFonts w:hint="eastAsia" w:ascii="宋体" w:hAnsi="宋体" w:cs="仿宋_GB2312"/>
                <w:sz w:val="24"/>
                <w:szCs w:val="24"/>
                <w:lang w:val="zh-CN"/>
              </w:rPr>
              <w:t>备注</w:t>
            </w:r>
          </w:p>
        </w:tc>
      </w:tr>
      <w:tr w14:paraId="1F33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428" w:type="dxa"/>
            <w:vAlign w:val="center"/>
          </w:tcPr>
          <w:p w14:paraId="4E555601">
            <w:pPr>
              <w:spacing w:line="500" w:lineRule="exact"/>
              <w:jc w:val="left"/>
              <w:rPr>
                <w:rFonts w:hint="eastAsia" w:ascii="宋体" w:hAnsi="宋体" w:eastAsia="宋体"/>
                <w:sz w:val="24"/>
                <w:szCs w:val="24"/>
                <w:lang w:eastAsia="zh-CN"/>
              </w:rPr>
            </w:pPr>
            <w:r>
              <w:rPr>
                <w:rFonts w:hint="eastAsia" w:ascii="宋体" w:hAnsi="宋体" w:cs="仿宋_GB2312"/>
                <w:sz w:val="24"/>
                <w:szCs w:val="24"/>
                <w:lang w:val="zh-CN"/>
              </w:rPr>
              <w:t>舟山医院</w:t>
            </w:r>
            <w:r>
              <w:rPr>
                <w:rFonts w:hint="eastAsia" w:ascii="宋体" w:hAnsi="宋体" w:cs="宋体"/>
                <w:kern w:val="0"/>
                <w:szCs w:val="21"/>
                <w:lang w:val="en-US" w:eastAsia="zh-CN"/>
              </w:rPr>
              <w:t>监控安防</w:t>
            </w:r>
            <w:r>
              <w:rPr>
                <w:rFonts w:hint="eastAsia" w:ascii="宋体" w:hAnsi="宋体" w:cs="仿宋_GB2312"/>
                <w:sz w:val="24"/>
                <w:szCs w:val="24"/>
                <w:lang w:val="zh-CN"/>
              </w:rPr>
              <w:t>云存储租赁服务项目</w:t>
            </w:r>
          </w:p>
        </w:tc>
        <w:tc>
          <w:tcPr>
            <w:tcW w:w="5103" w:type="dxa"/>
            <w:vAlign w:val="center"/>
          </w:tcPr>
          <w:p w14:paraId="7EC8EE8C">
            <w:pPr>
              <w:spacing w:line="600" w:lineRule="auto"/>
              <w:ind w:left="-105" w:leftChars="-50" w:firstLine="120" w:firstLineChars="50"/>
              <w:jc w:val="left"/>
              <w:rPr>
                <w:rFonts w:ascii="宋体" w:hAnsi="宋体"/>
                <w:sz w:val="24"/>
                <w:szCs w:val="24"/>
              </w:rPr>
            </w:pPr>
            <w:r>
              <w:rPr>
                <w:rFonts w:hint="eastAsia" w:ascii="宋体" w:hAnsi="宋体"/>
                <w:sz w:val="24"/>
                <w:szCs w:val="24"/>
              </w:rPr>
              <w:t>大写：</w:t>
            </w:r>
          </w:p>
          <w:p w14:paraId="035567B8">
            <w:pPr>
              <w:adjustRightInd w:val="0"/>
              <w:snapToGrid w:val="0"/>
              <w:spacing w:line="600" w:lineRule="auto"/>
              <w:jc w:val="left"/>
              <w:rPr>
                <w:rFonts w:ascii="宋体" w:hAnsi="宋体"/>
                <w:sz w:val="24"/>
                <w:szCs w:val="24"/>
              </w:rPr>
            </w:pPr>
            <w:r>
              <w:rPr>
                <w:rFonts w:hint="eastAsia" w:ascii="宋体" w:hAnsi="宋体"/>
                <w:sz w:val="24"/>
                <w:szCs w:val="24"/>
              </w:rPr>
              <w:t>小写：</w:t>
            </w:r>
          </w:p>
        </w:tc>
        <w:tc>
          <w:tcPr>
            <w:tcW w:w="993" w:type="dxa"/>
            <w:vAlign w:val="center"/>
          </w:tcPr>
          <w:p w14:paraId="16CCFA39">
            <w:pPr>
              <w:spacing w:line="360" w:lineRule="exact"/>
              <w:jc w:val="center"/>
              <w:rPr>
                <w:rFonts w:ascii="宋体" w:hAnsi="宋体"/>
                <w:sz w:val="24"/>
                <w:szCs w:val="24"/>
              </w:rPr>
            </w:pPr>
          </w:p>
        </w:tc>
      </w:tr>
    </w:tbl>
    <w:p w14:paraId="06CFE6F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ascii="宋体" w:hAnsi="宋体" w:cs="仿宋_GB2312"/>
          <w:szCs w:val="21"/>
          <w:lang w:val="zh-CN"/>
        </w:rPr>
      </w:pPr>
      <w:r>
        <w:rPr>
          <w:rFonts w:hint="eastAsia" w:ascii="宋体" w:hAnsi="宋体" w:cs="仿宋_GB2312"/>
          <w:szCs w:val="21"/>
          <w:lang w:val="zh-CN"/>
        </w:rPr>
        <w:t>注：1、此表须经法定代表人或被授权人签署并加盖公章方为有效；</w:t>
      </w:r>
    </w:p>
    <w:p w14:paraId="0E5EB5E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ascii="宋体" w:hAnsi="宋体" w:cs="仿宋_GB2312"/>
          <w:szCs w:val="21"/>
          <w:lang w:val="zh-CN"/>
        </w:rPr>
      </w:pPr>
      <w:r>
        <w:rPr>
          <w:rFonts w:hint="eastAsia" w:ascii="宋体" w:hAnsi="宋体" w:cs="仿宋_GB2312"/>
          <w:szCs w:val="21"/>
          <w:lang w:val="zh-CN"/>
        </w:rPr>
        <w:t>2、如因</w:t>
      </w:r>
      <w:r>
        <w:rPr>
          <w:rFonts w:hint="eastAsia" w:ascii="宋体" w:hAnsi="宋体"/>
          <w:szCs w:val="21"/>
        </w:rPr>
        <w:t>响应人</w:t>
      </w:r>
      <w:r>
        <w:rPr>
          <w:rFonts w:hint="eastAsia" w:ascii="宋体" w:hAnsi="宋体" w:cs="仿宋_GB2312"/>
          <w:szCs w:val="21"/>
          <w:lang w:val="zh-CN"/>
        </w:rPr>
        <w:t>填写有误，导致无法唱标，责任由</w:t>
      </w:r>
      <w:r>
        <w:rPr>
          <w:rFonts w:hint="eastAsia" w:ascii="宋体" w:hAnsi="宋体"/>
          <w:szCs w:val="21"/>
        </w:rPr>
        <w:t>响应人</w:t>
      </w:r>
      <w:r>
        <w:rPr>
          <w:rFonts w:hint="eastAsia" w:ascii="宋体" w:hAnsi="宋体" w:cs="仿宋_GB2312"/>
          <w:szCs w:val="21"/>
          <w:lang w:val="zh-CN"/>
        </w:rPr>
        <w:t>自负。</w:t>
      </w:r>
    </w:p>
    <w:p w14:paraId="1AC1D15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968" w:leftChars="461" w:firstLine="105" w:firstLineChars="50"/>
        <w:jc w:val="left"/>
        <w:rPr>
          <w:rFonts w:ascii="宋体" w:hAnsi="宋体" w:cs="仿宋_GB2312"/>
          <w:szCs w:val="21"/>
          <w:lang w:val="zh-CN"/>
        </w:rPr>
      </w:pPr>
    </w:p>
    <w:p w14:paraId="4A0476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968" w:leftChars="461" w:firstLine="105" w:firstLineChars="50"/>
        <w:jc w:val="left"/>
        <w:rPr>
          <w:rFonts w:ascii="宋体" w:hAnsi="宋体" w:cs="仿宋_GB2312"/>
          <w:szCs w:val="21"/>
          <w:lang w:val="zh-CN"/>
        </w:rPr>
      </w:pPr>
    </w:p>
    <w:p w14:paraId="03315D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宋体" w:hAnsi="宋体" w:cs="仿宋_GB2312"/>
          <w:szCs w:val="21"/>
          <w:lang w:val="zh-CN"/>
        </w:rPr>
      </w:pPr>
      <w:r>
        <w:rPr>
          <w:rFonts w:hint="eastAsia" w:ascii="宋体" w:hAnsi="宋体"/>
          <w:szCs w:val="21"/>
        </w:rPr>
        <w:t>响应人</w:t>
      </w:r>
      <w:r>
        <w:rPr>
          <w:rFonts w:hint="eastAsia" w:ascii="宋体" w:hAnsi="宋体" w:cs="仿宋_GB2312"/>
          <w:szCs w:val="21"/>
          <w:lang w:val="zh-CN"/>
        </w:rPr>
        <w:t>：（公章）</w:t>
      </w:r>
    </w:p>
    <w:p w14:paraId="040AA63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lang w:val="zh-CN"/>
        </w:rPr>
        <w:t>法定代表人或委托代理人：（</w:t>
      </w:r>
      <w:r>
        <w:rPr>
          <w:rFonts w:hint="eastAsia" w:ascii="宋体" w:hAnsi="宋体"/>
          <w:szCs w:val="21"/>
        </w:rPr>
        <w:t>签字或盖章</w:t>
      </w:r>
      <w:r>
        <w:rPr>
          <w:rFonts w:hint="eastAsia" w:ascii="宋体" w:hAnsi="宋体" w:cs="仿宋_GB2312"/>
          <w:szCs w:val="21"/>
          <w:lang w:val="zh-CN"/>
        </w:rPr>
        <w:t>）</w:t>
      </w:r>
    </w:p>
    <w:p w14:paraId="5BA3D770">
      <w:pPr>
        <w:spacing w:line="360" w:lineRule="auto"/>
        <w:rPr>
          <w:rFonts w:ascii="宋体" w:hAnsi="宋体"/>
          <w:b/>
          <w:bCs/>
          <w:sz w:val="24"/>
          <w:szCs w:val="28"/>
        </w:rPr>
      </w:pPr>
      <w:r>
        <w:rPr>
          <w:rFonts w:hint="eastAsia" w:ascii="宋体" w:hAnsi="宋体" w:cs="仿宋_GB2312"/>
          <w:szCs w:val="21"/>
          <w:lang w:val="zh-CN"/>
        </w:rPr>
        <w:t>日期：年月日</w:t>
      </w:r>
    </w:p>
    <w:p w14:paraId="42ADCFFF">
      <w:pPr>
        <w:tabs>
          <w:tab w:val="center" w:pos="4535"/>
          <w:tab w:val="left" w:pos="6390"/>
        </w:tabs>
        <w:spacing w:line="480" w:lineRule="auto"/>
        <w:ind w:firstLine="420" w:firstLineChars="200"/>
        <w:rPr>
          <w:rFonts w:ascii="宋体" w:hAnsi="宋体"/>
          <w:szCs w:val="21"/>
        </w:rPr>
      </w:pPr>
    </w:p>
    <w:p w14:paraId="3412A71A">
      <w:pPr>
        <w:tabs>
          <w:tab w:val="center" w:pos="4535"/>
          <w:tab w:val="left" w:pos="6390"/>
        </w:tabs>
        <w:spacing w:line="480" w:lineRule="auto"/>
        <w:ind w:firstLine="420" w:firstLineChars="200"/>
        <w:rPr>
          <w:rFonts w:ascii="宋体" w:hAnsi="宋体"/>
          <w:szCs w:val="21"/>
        </w:rPr>
      </w:pPr>
    </w:p>
    <w:p w14:paraId="53EC23AB">
      <w:pPr>
        <w:tabs>
          <w:tab w:val="center" w:pos="4535"/>
          <w:tab w:val="left" w:pos="6390"/>
        </w:tabs>
        <w:spacing w:line="480" w:lineRule="auto"/>
        <w:ind w:firstLine="420" w:firstLineChars="200"/>
        <w:rPr>
          <w:rFonts w:ascii="宋体" w:hAnsi="宋体"/>
          <w:szCs w:val="21"/>
        </w:rPr>
      </w:pPr>
    </w:p>
    <w:p w14:paraId="2C34F886">
      <w:pPr>
        <w:tabs>
          <w:tab w:val="center" w:pos="4535"/>
          <w:tab w:val="left" w:pos="6390"/>
        </w:tabs>
        <w:spacing w:line="480" w:lineRule="auto"/>
        <w:ind w:firstLine="420" w:firstLineChars="200"/>
        <w:rPr>
          <w:rFonts w:ascii="宋体" w:hAnsi="宋体"/>
          <w:szCs w:val="21"/>
        </w:rPr>
      </w:pPr>
    </w:p>
    <w:p w14:paraId="7CAA1629">
      <w:pPr>
        <w:rPr>
          <w:rFonts w:ascii="宋体" w:hAnsi="宋体"/>
          <w:sz w:val="24"/>
        </w:rPr>
      </w:pPr>
      <w:r>
        <w:rPr>
          <w:rFonts w:hint="eastAsia" w:ascii="宋体" w:hAnsi="宋体" w:cs="仿宋_GB2312"/>
          <w:sz w:val="24"/>
          <w:lang w:val="zh-CN"/>
        </w:rPr>
        <w:br w:type="page"/>
      </w:r>
    </w:p>
    <w:p w14:paraId="61C2BACA">
      <w:pPr>
        <w:widowControl/>
        <w:spacing w:before="100" w:beforeAutospacing="1" w:after="100" w:afterAutospacing="1" w:line="420" w:lineRule="atLeast"/>
        <w:jc w:val="left"/>
        <w:rPr>
          <w:rFonts w:hint="eastAsia" w:ascii="宋体" w:hAnsi="宋体" w:eastAsia="宋体"/>
          <w:sz w:val="24"/>
          <w:lang w:val="en-US" w:eastAsia="zh-CN"/>
        </w:rPr>
      </w:pPr>
      <w:r>
        <w:rPr>
          <w:rFonts w:hint="eastAsia" w:ascii="宋体" w:hAnsi="宋体"/>
          <w:sz w:val="24"/>
        </w:rPr>
        <w:t>格式</w:t>
      </w:r>
      <w:r>
        <w:rPr>
          <w:rFonts w:hint="eastAsia" w:ascii="宋体" w:hAnsi="宋体"/>
          <w:sz w:val="24"/>
          <w:lang w:val="en-US" w:eastAsia="zh-CN"/>
        </w:rPr>
        <w:t>五</w:t>
      </w:r>
    </w:p>
    <w:p w14:paraId="30DF4399">
      <w:pPr>
        <w:snapToGrid w:val="0"/>
        <w:spacing w:before="120" w:line="312" w:lineRule="auto"/>
        <w:ind w:right="-341"/>
        <w:jc w:val="center"/>
        <w:rPr>
          <w:rFonts w:hAnsi="宋体"/>
          <w:b/>
          <w:sz w:val="32"/>
        </w:rPr>
      </w:pPr>
      <w:r>
        <w:rPr>
          <w:rFonts w:hint="eastAsia" w:hAnsi="宋体"/>
          <w:b/>
          <w:sz w:val="32"/>
        </w:rPr>
        <w:t>响应报价明细表</w:t>
      </w:r>
    </w:p>
    <w:p w14:paraId="72889661">
      <w:pPr>
        <w:snapToGrid w:val="0"/>
        <w:ind w:right="420"/>
        <w:jc w:val="right"/>
        <w:rPr>
          <w:rFonts w:hAnsi="宋体"/>
          <w:szCs w:val="21"/>
        </w:rPr>
      </w:pPr>
    </w:p>
    <w:p w14:paraId="0F74869D">
      <w:pPr>
        <w:snapToGrid w:val="0"/>
        <w:ind w:right="420"/>
        <w:jc w:val="right"/>
        <w:rPr>
          <w:rFonts w:hAnsi="宋体"/>
          <w:szCs w:val="21"/>
        </w:rPr>
      </w:pPr>
      <w:r>
        <w:rPr>
          <w:rFonts w:hint="eastAsia" w:hAnsi="宋体"/>
          <w:szCs w:val="21"/>
        </w:rPr>
        <w:t>单位：元</w:t>
      </w:r>
    </w:p>
    <w:tbl>
      <w:tblPr>
        <w:tblStyle w:val="29"/>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68"/>
        <w:gridCol w:w="1134"/>
        <w:gridCol w:w="1134"/>
        <w:gridCol w:w="1276"/>
        <w:gridCol w:w="1809"/>
        <w:gridCol w:w="1134"/>
      </w:tblGrid>
      <w:tr w14:paraId="2190C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E447A9">
            <w:pPr>
              <w:tabs>
                <w:tab w:val="left" w:pos="1418"/>
              </w:tabs>
              <w:snapToGrid w:val="0"/>
              <w:spacing w:before="50" w:after="50"/>
              <w:jc w:val="center"/>
              <w:rPr>
                <w:rFonts w:ascii="宋体" w:hAnsi="宋体"/>
                <w:spacing w:val="20"/>
              </w:rPr>
            </w:pPr>
            <w:r>
              <w:rPr>
                <w:rFonts w:hint="eastAsia" w:ascii="宋体" w:hAnsi="宋体"/>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1EC9953A">
            <w:pPr>
              <w:tabs>
                <w:tab w:val="left" w:pos="1418"/>
              </w:tabs>
              <w:snapToGrid w:val="0"/>
              <w:spacing w:before="50" w:after="50"/>
              <w:jc w:val="center"/>
              <w:rPr>
                <w:rFonts w:ascii="宋体" w:hAnsi="宋体"/>
                <w:spacing w:val="20"/>
              </w:rPr>
            </w:pPr>
            <w:r>
              <w:rPr>
                <w:rFonts w:hint="eastAsia" w:ascii="宋体" w:hAnsi="宋体"/>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C41AF5D">
            <w:pPr>
              <w:pStyle w:val="143"/>
              <w:snapToGrid w:val="0"/>
              <w:spacing w:before="50" w:after="156" w:line="240" w:lineRule="auto"/>
              <w:ind w:firstLine="0" w:firstLineChars="0"/>
              <w:jc w:val="center"/>
              <w:rPr>
                <w:rFonts w:ascii="宋体" w:hAnsi="宋体"/>
                <w:sz w:val="21"/>
              </w:rPr>
            </w:pPr>
            <w:r>
              <w:rPr>
                <w:rFonts w:hint="eastAsia" w:ascii="宋体" w:hAnsi="宋体"/>
                <w:sz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251CA5D2">
            <w:pPr>
              <w:tabs>
                <w:tab w:val="left" w:pos="1418"/>
              </w:tabs>
              <w:snapToGrid w:val="0"/>
              <w:spacing w:before="50" w:after="50"/>
              <w:jc w:val="center"/>
              <w:rPr>
                <w:rFonts w:ascii="宋体" w:hAnsi="宋体"/>
                <w:spacing w:val="20"/>
              </w:rPr>
            </w:pPr>
            <w:r>
              <w:rPr>
                <w:rFonts w:hint="eastAsia" w:ascii="宋体" w:hAnsi="宋体"/>
                <w:spacing w:val="20"/>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137BC686">
            <w:pPr>
              <w:tabs>
                <w:tab w:val="left" w:pos="1418"/>
              </w:tabs>
              <w:snapToGrid w:val="0"/>
              <w:spacing w:before="50" w:after="50"/>
              <w:jc w:val="center"/>
              <w:rPr>
                <w:rFonts w:ascii="宋体" w:hAnsi="宋体"/>
                <w:spacing w:val="20"/>
              </w:rPr>
            </w:pPr>
            <w:r>
              <w:rPr>
                <w:rFonts w:hint="eastAsia" w:ascii="宋体" w:hAnsi="宋体"/>
              </w:rPr>
              <w:t>单价</w:t>
            </w:r>
          </w:p>
        </w:tc>
        <w:tc>
          <w:tcPr>
            <w:tcW w:w="1809" w:type="dxa"/>
            <w:tcBorders>
              <w:top w:val="single" w:color="auto" w:sz="4" w:space="0"/>
              <w:left w:val="single" w:color="auto" w:sz="4" w:space="0"/>
              <w:bottom w:val="single" w:color="auto" w:sz="4" w:space="0"/>
              <w:right w:val="single" w:color="auto" w:sz="4" w:space="0"/>
            </w:tcBorders>
            <w:vAlign w:val="center"/>
          </w:tcPr>
          <w:p w14:paraId="1EEBC1D9">
            <w:pPr>
              <w:tabs>
                <w:tab w:val="left" w:pos="1418"/>
              </w:tabs>
              <w:snapToGrid w:val="0"/>
              <w:spacing w:before="50" w:after="50"/>
              <w:jc w:val="center"/>
              <w:rPr>
                <w:rFonts w:ascii="宋体" w:hAnsi="宋体"/>
                <w:spacing w:val="20"/>
              </w:rPr>
            </w:pPr>
            <w:r>
              <w:rPr>
                <w:rFonts w:hint="eastAsia" w:ascii="宋体" w:hAnsi="宋体"/>
              </w:rPr>
              <w:t>合价</w:t>
            </w:r>
          </w:p>
        </w:tc>
        <w:tc>
          <w:tcPr>
            <w:tcW w:w="1134" w:type="dxa"/>
            <w:tcBorders>
              <w:top w:val="single" w:color="auto" w:sz="4" w:space="0"/>
              <w:left w:val="single" w:color="auto" w:sz="4" w:space="0"/>
              <w:bottom w:val="single" w:color="auto" w:sz="4" w:space="0"/>
              <w:right w:val="single" w:color="auto" w:sz="4" w:space="0"/>
            </w:tcBorders>
            <w:vAlign w:val="center"/>
          </w:tcPr>
          <w:p w14:paraId="586CA371">
            <w:pPr>
              <w:tabs>
                <w:tab w:val="left" w:pos="1418"/>
              </w:tabs>
              <w:snapToGrid w:val="0"/>
              <w:spacing w:before="50" w:after="50"/>
              <w:jc w:val="center"/>
              <w:rPr>
                <w:rFonts w:ascii="宋体" w:hAnsi="宋体"/>
                <w:spacing w:val="20"/>
              </w:rPr>
            </w:pPr>
            <w:r>
              <w:rPr>
                <w:rFonts w:hint="eastAsia" w:ascii="宋体" w:hAnsi="宋体"/>
                <w:spacing w:val="20"/>
              </w:rPr>
              <w:t>备注</w:t>
            </w:r>
          </w:p>
        </w:tc>
      </w:tr>
      <w:tr w14:paraId="28E94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26A1177">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CFB3B8D">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3DE1C6C">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18EFD06">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1EEDD752">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23BF5EA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C051EB2">
            <w:pPr>
              <w:tabs>
                <w:tab w:val="left" w:pos="1418"/>
              </w:tabs>
              <w:snapToGrid w:val="0"/>
              <w:spacing w:before="50" w:after="50"/>
              <w:jc w:val="center"/>
              <w:rPr>
                <w:rFonts w:ascii="宋体" w:hAnsi="宋体"/>
                <w:spacing w:val="20"/>
              </w:rPr>
            </w:pPr>
          </w:p>
        </w:tc>
      </w:tr>
      <w:tr w14:paraId="5F26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AF9CDE9">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7029BDE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D5E7EA">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6A41CF9">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056C54D2">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5DB1652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6B9362">
            <w:pPr>
              <w:tabs>
                <w:tab w:val="left" w:pos="1418"/>
              </w:tabs>
              <w:snapToGrid w:val="0"/>
              <w:spacing w:before="50" w:after="50"/>
              <w:jc w:val="center"/>
              <w:rPr>
                <w:rFonts w:ascii="宋体" w:hAnsi="宋体"/>
                <w:spacing w:val="20"/>
              </w:rPr>
            </w:pPr>
          </w:p>
        </w:tc>
      </w:tr>
      <w:tr w14:paraId="48896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AE9D167">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6E6F9913">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AC64B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8265A2">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57DD5D8E">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6BD83A84">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D52E1FB">
            <w:pPr>
              <w:tabs>
                <w:tab w:val="left" w:pos="1418"/>
              </w:tabs>
              <w:snapToGrid w:val="0"/>
              <w:spacing w:before="50" w:after="50"/>
              <w:jc w:val="center"/>
              <w:rPr>
                <w:rFonts w:ascii="宋体" w:hAnsi="宋体"/>
                <w:spacing w:val="20"/>
              </w:rPr>
            </w:pPr>
          </w:p>
        </w:tc>
      </w:tr>
      <w:tr w14:paraId="67A40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4870D78">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5B3BB9CB">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AA96682">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FDE872D">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68A62E2B">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5CE1EBEA">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0D776FD">
            <w:pPr>
              <w:tabs>
                <w:tab w:val="left" w:pos="1418"/>
              </w:tabs>
              <w:snapToGrid w:val="0"/>
              <w:spacing w:before="50" w:after="50"/>
              <w:jc w:val="center"/>
              <w:rPr>
                <w:rFonts w:ascii="宋体" w:hAnsi="宋体"/>
                <w:spacing w:val="20"/>
              </w:rPr>
            </w:pPr>
          </w:p>
        </w:tc>
      </w:tr>
      <w:tr w14:paraId="612D9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0BE453D">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0CB0A8B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771DC8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126E910">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3D90ED67">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7909CBE2">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A0F344E">
            <w:pPr>
              <w:tabs>
                <w:tab w:val="left" w:pos="1418"/>
              </w:tabs>
              <w:snapToGrid w:val="0"/>
              <w:spacing w:before="50" w:after="50"/>
              <w:jc w:val="center"/>
              <w:rPr>
                <w:rFonts w:ascii="宋体" w:hAnsi="宋体"/>
                <w:spacing w:val="20"/>
              </w:rPr>
            </w:pPr>
          </w:p>
        </w:tc>
      </w:tr>
      <w:tr w14:paraId="5BABD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3C89BC8">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184927D7">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3C9E784">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A316507">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5AA2F92B">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5B0DB04A">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FD583C9">
            <w:pPr>
              <w:tabs>
                <w:tab w:val="left" w:pos="1418"/>
              </w:tabs>
              <w:snapToGrid w:val="0"/>
              <w:spacing w:before="50" w:after="50"/>
              <w:jc w:val="center"/>
              <w:rPr>
                <w:rFonts w:ascii="宋体" w:hAnsi="宋体"/>
                <w:spacing w:val="20"/>
              </w:rPr>
            </w:pPr>
          </w:p>
        </w:tc>
      </w:tr>
      <w:tr w14:paraId="07A83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D426AFA">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6BA57C68">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1E3D9C5">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D5B7B3A">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659ECC2">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5D9B5CA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D4FE992">
            <w:pPr>
              <w:tabs>
                <w:tab w:val="left" w:pos="1418"/>
              </w:tabs>
              <w:snapToGrid w:val="0"/>
              <w:spacing w:before="50" w:after="50"/>
              <w:jc w:val="center"/>
              <w:rPr>
                <w:rFonts w:ascii="宋体" w:hAnsi="宋体"/>
                <w:spacing w:val="20"/>
              </w:rPr>
            </w:pPr>
          </w:p>
        </w:tc>
      </w:tr>
      <w:tr w14:paraId="10E83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14:paraId="34012ED8">
            <w:pPr>
              <w:tabs>
                <w:tab w:val="left" w:pos="1418"/>
              </w:tabs>
              <w:snapToGrid w:val="0"/>
              <w:spacing w:before="50" w:after="50"/>
              <w:jc w:val="center"/>
              <w:rPr>
                <w:rFonts w:ascii="宋体" w:hAnsi="宋体"/>
                <w:spacing w:val="20"/>
              </w:rPr>
            </w:pPr>
            <w:r>
              <w:rPr>
                <w:rFonts w:hint="eastAsia" w:ascii="宋体" w:hAnsi="宋体"/>
                <w:spacing w:val="20"/>
              </w:rPr>
              <w:t>合计金额</w:t>
            </w:r>
          </w:p>
        </w:tc>
        <w:tc>
          <w:tcPr>
            <w:tcW w:w="1134" w:type="dxa"/>
            <w:tcBorders>
              <w:top w:val="single" w:color="auto" w:sz="4" w:space="0"/>
              <w:left w:val="single" w:color="auto" w:sz="4" w:space="0"/>
              <w:bottom w:val="single" w:color="auto" w:sz="4" w:space="0"/>
              <w:right w:val="single" w:color="auto" w:sz="4" w:space="0"/>
            </w:tcBorders>
            <w:vAlign w:val="center"/>
          </w:tcPr>
          <w:p w14:paraId="4E5E8B45">
            <w:pPr>
              <w:tabs>
                <w:tab w:val="left" w:pos="1418"/>
              </w:tabs>
              <w:snapToGrid w:val="0"/>
              <w:spacing w:before="50" w:after="50"/>
              <w:jc w:val="center"/>
              <w:rPr>
                <w:rFonts w:ascii="宋体" w:hAnsi="宋体"/>
                <w:spacing w:val="20"/>
              </w:rPr>
            </w:pPr>
          </w:p>
        </w:tc>
      </w:tr>
    </w:tbl>
    <w:p w14:paraId="65ABF93D">
      <w:pPr>
        <w:pStyle w:val="11"/>
        <w:tabs>
          <w:tab w:val="left" w:pos="1418"/>
        </w:tabs>
        <w:snapToGrid w:val="0"/>
        <w:spacing w:before="50" w:after="50"/>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本项目投标应以人民币报价，响应报价应包括但不限于完成本项目所需的技术服务、人员、平台租赁、运维、托管、管理费、保险、利润、税金及代理费等一切费用。</w:t>
      </w:r>
    </w:p>
    <w:p w14:paraId="50539741">
      <w:pPr>
        <w:spacing w:line="360" w:lineRule="auto"/>
        <w:rPr>
          <w:rFonts w:ascii="宋体" w:hAnsi="宋体" w:cs="仿宋_GB2312"/>
          <w:sz w:val="24"/>
          <w:lang w:val="zh-CN"/>
        </w:rPr>
      </w:pPr>
    </w:p>
    <w:p w14:paraId="678D08B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宋体" w:hAnsi="宋体" w:cs="仿宋_GB2312"/>
          <w:szCs w:val="21"/>
          <w:lang w:val="zh-CN"/>
        </w:rPr>
      </w:pPr>
      <w:r>
        <w:rPr>
          <w:rFonts w:hint="eastAsia" w:ascii="宋体" w:hAnsi="宋体"/>
          <w:szCs w:val="21"/>
        </w:rPr>
        <w:t>响应人</w:t>
      </w:r>
      <w:r>
        <w:rPr>
          <w:rFonts w:hint="eastAsia" w:ascii="宋体" w:hAnsi="宋体" w:cs="仿宋_GB2312"/>
          <w:szCs w:val="21"/>
          <w:lang w:val="zh-CN"/>
        </w:rPr>
        <w:t>：（公章）</w:t>
      </w:r>
    </w:p>
    <w:p w14:paraId="46AB47D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lang w:val="zh-CN"/>
        </w:rPr>
        <w:t>法定代表人或委托代理人：（</w:t>
      </w:r>
      <w:r>
        <w:rPr>
          <w:rFonts w:hint="eastAsia" w:ascii="宋体" w:hAnsi="宋体"/>
          <w:szCs w:val="21"/>
        </w:rPr>
        <w:t>签字或盖章</w:t>
      </w:r>
      <w:r>
        <w:rPr>
          <w:rFonts w:hint="eastAsia" w:ascii="宋体" w:hAnsi="宋体" w:cs="仿宋_GB2312"/>
          <w:szCs w:val="21"/>
          <w:lang w:val="zh-CN"/>
        </w:rPr>
        <w:t>）</w:t>
      </w:r>
    </w:p>
    <w:p w14:paraId="3A9EA191">
      <w:pPr>
        <w:spacing w:line="360" w:lineRule="auto"/>
        <w:rPr>
          <w:rFonts w:ascii="宋体" w:hAnsi="宋体"/>
          <w:b/>
          <w:bCs/>
          <w:sz w:val="24"/>
          <w:szCs w:val="28"/>
        </w:rPr>
      </w:pPr>
      <w:r>
        <w:rPr>
          <w:rFonts w:hint="eastAsia" w:ascii="宋体" w:hAnsi="宋体" w:cs="仿宋_GB2312"/>
          <w:szCs w:val="21"/>
          <w:lang w:val="zh-CN"/>
        </w:rPr>
        <w:t>日期：年月日</w:t>
      </w:r>
    </w:p>
    <w:p w14:paraId="1B73DF45">
      <w:pPr>
        <w:jc w:val="center"/>
        <w:rPr>
          <w:rFonts w:ascii="宋体" w:hAnsi="宋体" w:eastAsia="宋体"/>
          <w:b/>
          <w:sz w:val="28"/>
        </w:rPr>
      </w:pPr>
    </w:p>
    <w:p w14:paraId="768A735F">
      <w:pPr>
        <w:jc w:val="center"/>
        <w:rPr>
          <w:rFonts w:ascii="宋体" w:hAnsi="宋体" w:eastAsia="宋体"/>
          <w:b/>
          <w:sz w:val="28"/>
        </w:rPr>
      </w:pPr>
    </w:p>
    <w:p w14:paraId="6F522C94">
      <w:pPr>
        <w:jc w:val="center"/>
        <w:rPr>
          <w:rFonts w:ascii="宋体" w:hAnsi="宋体" w:eastAsia="宋体"/>
          <w:b/>
          <w:sz w:val="28"/>
        </w:rPr>
      </w:pPr>
    </w:p>
    <w:p w14:paraId="50A31B34">
      <w:pPr>
        <w:jc w:val="center"/>
        <w:rPr>
          <w:rFonts w:ascii="宋体" w:hAnsi="宋体" w:eastAsia="宋体"/>
          <w:b/>
          <w:sz w:val="28"/>
        </w:rPr>
      </w:pPr>
    </w:p>
    <w:p w14:paraId="541B13A7">
      <w:pPr>
        <w:jc w:val="center"/>
        <w:rPr>
          <w:rFonts w:ascii="宋体" w:hAnsi="宋体" w:eastAsia="宋体"/>
          <w:b/>
          <w:sz w:val="28"/>
        </w:rPr>
      </w:pPr>
    </w:p>
    <w:p w14:paraId="305E2EBD">
      <w:pPr>
        <w:widowControl/>
        <w:jc w:val="left"/>
        <w:rPr>
          <w:rFonts w:ascii="宋体" w:hAnsi="宋体"/>
          <w:sz w:val="24"/>
        </w:rPr>
      </w:pPr>
      <w:r>
        <w:rPr>
          <w:rFonts w:ascii="宋体" w:hAnsi="宋体"/>
          <w:sz w:val="24"/>
        </w:rPr>
        <w:br w:type="page"/>
      </w:r>
    </w:p>
    <w:p w14:paraId="56ED8676">
      <w:pPr>
        <w:jc w:val="left"/>
        <w:rPr>
          <w:rFonts w:hint="eastAsia" w:ascii="宋体" w:hAnsi="宋体" w:eastAsia="宋体"/>
          <w:b/>
          <w:sz w:val="28"/>
          <w:lang w:val="en-US" w:eastAsia="zh-CN"/>
        </w:rPr>
      </w:pPr>
      <w:r>
        <w:rPr>
          <w:rFonts w:hint="eastAsia" w:ascii="宋体" w:hAnsi="宋体"/>
          <w:sz w:val="24"/>
        </w:rPr>
        <w:t>格式</w:t>
      </w:r>
      <w:r>
        <w:rPr>
          <w:rFonts w:hint="eastAsia" w:ascii="宋体" w:hAnsi="宋体"/>
          <w:sz w:val="24"/>
          <w:lang w:val="en-US" w:eastAsia="zh-CN"/>
        </w:rPr>
        <w:t>六</w:t>
      </w:r>
    </w:p>
    <w:p w14:paraId="3E83F137">
      <w:pPr>
        <w:jc w:val="center"/>
        <w:rPr>
          <w:rFonts w:ascii="宋体" w:hAnsi="宋体" w:eastAsia="宋体"/>
          <w:b/>
          <w:sz w:val="28"/>
        </w:rPr>
      </w:pPr>
    </w:p>
    <w:p w14:paraId="1B997835">
      <w:pPr>
        <w:jc w:val="center"/>
        <w:rPr>
          <w:rFonts w:ascii="宋体" w:hAnsi="宋体" w:eastAsia="宋体"/>
          <w:b/>
          <w:sz w:val="28"/>
        </w:rPr>
      </w:pPr>
      <w:r>
        <w:rPr>
          <w:rFonts w:hint="eastAsia" w:ascii="宋体" w:hAnsi="宋体" w:eastAsia="宋体"/>
          <w:b/>
          <w:sz w:val="28"/>
        </w:rPr>
        <w:t>最终响应报价及承诺一览表</w:t>
      </w:r>
    </w:p>
    <w:p w14:paraId="47ED982A">
      <w:pPr>
        <w:jc w:val="center"/>
        <w:rPr>
          <w:rFonts w:ascii="宋体" w:hAnsi="宋体"/>
          <w:b/>
          <w:color w:val="auto"/>
          <w:sz w:val="24"/>
        </w:rPr>
      </w:pPr>
    </w:p>
    <w:p w14:paraId="5BA77DAF">
      <w:pPr>
        <w:jc w:val="center"/>
        <w:rPr>
          <w:rFonts w:ascii="宋体" w:hAnsi="宋体"/>
          <w:color w:val="auto"/>
        </w:rPr>
      </w:pPr>
      <w:r>
        <w:rPr>
          <w:rFonts w:hint="eastAsia" w:ascii="宋体" w:hAnsi="宋体"/>
          <w:b/>
          <w:color w:val="auto"/>
          <w:sz w:val="24"/>
        </w:rPr>
        <w:t>最终报价及承诺一览表</w:t>
      </w:r>
    </w:p>
    <w:tbl>
      <w:tblPr>
        <w:tblStyle w:val="2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6734"/>
      </w:tblGrid>
      <w:tr w14:paraId="7055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86" w:type="dxa"/>
            <w:noWrap w:val="0"/>
            <w:vAlign w:val="center"/>
          </w:tcPr>
          <w:p w14:paraId="2DCF7437">
            <w:pPr>
              <w:tabs>
                <w:tab w:val="left" w:pos="450"/>
                <w:tab w:val="left" w:pos="1734"/>
                <w:tab w:val="left" w:pos="2814"/>
                <w:tab w:val="left" w:pos="3894"/>
                <w:tab w:val="left" w:pos="5334"/>
                <w:tab w:val="left" w:pos="6414"/>
                <w:tab w:val="left" w:pos="7254"/>
                <w:tab w:val="left" w:pos="8160"/>
                <w:tab w:val="left" w:pos="9654"/>
              </w:tabs>
              <w:spacing w:line="360" w:lineRule="auto"/>
              <w:jc w:val="center"/>
              <w:rPr>
                <w:rFonts w:ascii="宋体" w:hAnsi="宋体"/>
                <w:color w:val="auto"/>
              </w:rPr>
            </w:pPr>
            <w:r>
              <w:rPr>
                <w:rFonts w:hint="eastAsia" w:ascii="宋体" w:hAnsi="宋体"/>
                <w:color w:val="auto"/>
              </w:rPr>
              <w:t>项目名称</w:t>
            </w:r>
          </w:p>
        </w:tc>
        <w:tc>
          <w:tcPr>
            <w:tcW w:w="6734" w:type="dxa"/>
            <w:noWrap w:val="0"/>
            <w:vAlign w:val="top"/>
          </w:tcPr>
          <w:p w14:paraId="276C57B3">
            <w:pPr>
              <w:snapToGrid w:val="0"/>
              <w:spacing w:before="50" w:after="50"/>
              <w:rPr>
                <w:rFonts w:ascii="宋体" w:hAnsi="宋体"/>
                <w:color w:val="auto"/>
              </w:rPr>
            </w:pPr>
          </w:p>
        </w:tc>
      </w:tr>
      <w:tr w14:paraId="5C0B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86" w:type="dxa"/>
            <w:noWrap w:val="0"/>
            <w:vAlign w:val="center"/>
          </w:tcPr>
          <w:p w14:paraId="10C97365">
            <w:pPr>
              <w:tabs>
                <w:tab w:val="left" w:pos="450"/>
                <w:tab w:val="left" w:pos="1734"/>
                <w:tab w:val="left" w:pos="2814"/>
                <w:tab w:val="left" w:pos="3894"/>
                <w:tab w:val="left" w:pos="5334"/>
                <w:tab w:val="left" w:pos="6414"/>
                <w:tab w:val="left" w:pos="7254"/>
                <w:tab w:val="left" w:pos="8160"/>
                <w:tab w:val="left" w:pos="9654"/>
              </w:tabs>
              <w:spacing w:line="360" w:lineRule="auto"/>
              <w:jc w:val="center"/>
              <w:rPr>
                <w:rFonts w:ascii="宋体" w:hAnsi="宋体"/>
                <w:color w:val="auto"/>
              </w:rPr>
            </w:pPr>
            <w:r>
              <w:rPr>
                <w:rFonts w:hint="eastAsia" w:ascii="宋体" w:hAnsi="宋体"/>
                <w:color w:val="auto"/>
              </w:rPr>
              <w:t>项目编号</w:t>
            </w:r>
          </w:p>
        </w:tc>
        <w:tc>
          <w:tcPr>
            <w:tcW w:w="6734" w:type="dxa"/>
            <w:noWrap w:val="0"/>
            <w:vAlign w:val="top"/>
          </w:tcPr>
          <w:p w14:paraId="154758B5">
            <w:pPr>
              <w:snapToGrid w:val="0"/>
              <w:spacing w:before="50" w:after="50"/>
              <w:rPr>
                <w:rFonts w:ascii="宋体" w:hAnsi="宋体"/>
                <w:color w:val="auto"/>
              </w:rPr>
            </w:pPr>
          </w:p>
        </w:tc>
      </w:tr>
      <w:tr w14:paraId="201B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786" w:type="dxa"/>
            <w:noWrap w:val="0"/>
            <w:vAlign w:val="center"/>
          </w:tcPr>
          <w:p w14:paraId="4E2990F5">
            <w:pPr>
              <w:tabs>
                <w:tab w:val="left" w:pos="450"/>
                <w:tab w:val="left" w:pos="1734"/>
                <w:tab w:val="left" w:pos="2814"/>
                <w:tab w:val="left" w:pos="3894"/>
                <w:tab w:val="left" w:pos="5334"/>
                <w:tab w:val="left" w:pos="6414"/>
                <w:tab w:val="left" w:pos="7254"/>
                <w:tab w:val="left" w:pos="8160"/>
                <w:tab w:val="left" w:pos="9654"/>
              </w:tabs>
              <w:spacing w:line="360" w:lineRule="auto"/>
              <w:jc w:val="center"/>
              <w:rPr>
                <w:rFonts w:ascii="宋体" w:hAnsi="宋体"/>
                <w:color w:val="auto"/>
              </w:rPr>
            </w:pPr>
            <w:r>
              <w:rPr>
                <w:rFonts w:hint="eastAsia" w:ascii="宋体" w:hAnsi="宋体"/>
                <w:color w:val="auto"/>
              </w:rPr>
              <w:t>最终报价</w:t>
            </w:r>
          </w:p>
        </w:tc>
        <w:tc>
          <w:tcPr>
            <w:tcW w:w="6734" w:type="dxa"/>
            <w:noWrap w:val="0"/>
            <w:vAlign w:val="top"/>
          </w:tcPr>
          <w:p w14:paraId="47AF264E">
            <w:pPr>
              <w:snapToGrid w:val="0"/>
              <w:spacing w:before="50" w:after="50"/>
              <w:rPr>
                <w:rFonts w:ascii="宋体" w:hAnsi="宋体"/>
                <w:color w:val="auto"/>
              </w:rPr>
            </w:pPr>
          </w:p>
          <w:p w14:paraId="2E34BC89">
            <w:pPr>
              <w:snapToGrid w:val="0"/>
              <w:spacing w:before="50" w:after="50" w:line="360" w:lineRule="auto"/>
              <w:rPr>
                <w:rFonts w:ascii="宋体" w:hAnsi="宋体"/>
                <w:color w:val="auto"/>
              </w:rPr>
            </w:pPr>
            <w:r>
              <w:rPr>
                <w:rFonts w:hint="eastAsia" w:ascii="宋体" w:hAnsi="宋体"/>
                <w:color w:val="auto"/>
              </w:rPr>
              <w:t xml:space="preserve">（大写）人民币 </w:t>
            </w:r>
            <w:r>
              <w:rPr>
                <w:rFonts w:hint="eastAsia" w:ascii="宋体" w:hAnsi="宋体"/>
                <w:color w:val="auto"/>
                <w:u w:val="single"/>
              </w:rPr>
              <w:t xml:space="preserve">                    </w:t>
            </w:r>
            <w:r>
              <w:rPr>
                <w:rFonts w:hint="eastAsia" w:ascii="宋体" w:hAnsi="宋体"/>
                <w:color w:val="auto"/>
              </w:rPr>
              <w:t>元</w:t>
            </w:r>
          </w:p>
          <w:p w14:paraId="7C90E65C">
            <w:pPr>
              <w:snapToGrid w:val="0"/>
              <w:spacing w:before="50" w:after="50" w:line="360" w:lineRule="auto"/>
              <w:rPr>
                <w:rFonts w:ascii="宋体" w:hAnsi="宋体"/>
                <w:color w:val="auto"/>
                <w:u w:val="single"/>
              </w:rPr>
            </w:pPr>
            <w:r>
              <w:rPr>
                <w:rFonts w:hint="eastAsia" w:ascii="宋体" w:hAnsi="宋体"/>
                <w:color w:val="auto"/>
              </w:rPr>
              <w:t>（小写）人民币</w:t>
            </w:r>
            <w:r>
              <w:rPr>
                <w:rFonts w:hint="eastAsia" w:ascii="宋体" w:hAnsi="宋体"/>
                <w:color w:val="auto"/>
                <w:u w:val="single"/>
              </w:rPr>
              <w:t xml:space="preserve">                     </w:t>
            </w:r>
            <w:r>
              <w:rPr>
                <w:rFonts w:hint="eastAsia" w:ascii="宋体" w:hAnsi="宋体"/>
                <w:color w:val="auto"/>
              </w:rPr>
              <w:t>元</w:t>
            </w:r>
          </w:p>
        </w:tc>
      </w:tr>
      <w:tr w14:paraId="51FF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786" w:type="dxa"/>
            <w:noWrap w:val="0"/>
            <w:vAlign w:val="center"/>
          </w:tcPr>
          <w:p w14:paraId="2E664459">
            <w:pPr>
              <w:tabs>
                <w:tab w:val="left" w:pos="450"/>
                <w:tab w:val="left" w:pos="1734"/>
                <w:tab w:val="left" w:pos="2814"/>
                <w:tab w:val="left" w:pos="3894"/>
                <w:tab w:val="left" w:pos="5334"/>
                <w:tab w:val="left" w:pos="6414"/>
                <w:tab w:val="left" w:pos="7254"/>
                <w:tab w:val="left" w:pos="8160"/>
                <w:tab w:val="left" w:pos="9654"/>
              </w:tabs>
              <w:spacing w:line="360" w:lineRule="auto"/>
              <w:jc w:val="center"/>
              <w:rPr>
                <w:rFonts w:hint="default" w:ascii="宋体" w:hAnsi="宋体" w:eastAsia="宋体"/>
                <w:color w:val="auto"/>
                <w:lang w:val="en-US" w:eastAsia="zh-CN"/>
              </w:rPr>
            </w:pPr>
            <w:r>
              <w:rPr>
                <w:rFonts w:hint="eastAsia" w:ascii="宋体" w:hAnsi="宋体"/>
                <w:color w:val="auto"/>
                <w:lang w:val="en-US" w:eastAsia="zh-CN"/>
              </w:rPr>
              <w:t>服务期</w:t>
            </w:r>
          </w:p>
        </w:tc>
        <w:tc>
          <w:tcPr>
            <w:tcW w:w="6734" w:type="dxa"/>
            <w:noWrap w:val="0"/>
            <w:vAlign w:val="top"/>
          </w:tcPr>
          <w:p w14:paraId="1AEFE8F7">
            <w:pPr>
              <w:snapToGrid w:val="0"/>
              <w:spacing w:before="50" w:after="50" w:line="360" w:lineRule="auto"/>
              <w:rPr>
                <w:rFonts w:hint="eastAsia" w:ascii="宋体" w:hAnsi="宋体"/>
                <w:color w:val="auto"/>
              </w:rPr>
            </w:pPr>
          </w:p>
        </w:tc>
      </w:tr>
    </w:tbl>
    <w:p w14:paraId="46C1A5D2">
      <w:pPr>
        <w:snapToGrid w:val="0"/>
        <w:spacing w:before="50" w:after="50"/>
        <w:rPr>
          <w:rFonts w:ascii="宋体" w:hAnsi="宋体"/>
          <w:color w:val="auto"/>
        </w:rPr>
      </w:pPr>
    </w:p>
    <w:p w14:paraId="5C13725F">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b/>
          <w:color w:val="auto"/>
          <w:szCs w:val="21"/>
        </w:rPr>
      </w:pPr>
    </w:p>
    <w:p w14:paraId="658EA496">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b/>
          <w:color w:val="auto"/>
          <w:szCs w:val="21"/>
        </w:rPr>
      </w:pPr>
    </w:p>
    <w:p w14:paraId="766E5DC3">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color w:val="auto"/>
        </w:rPr>
      </w:pPr>
      <w:r>
        <w:rPr>
          <w:rFonts w:hint="eastAsia" w:ascii="宋体" w:hAnsi="宋体"/>
          <w:color w:val="auto"/>
        </w:rPr>
        <w:t>有关承诺：</w:t>
      </w:r>
    </w:p>
    <w:p w14:paraId="3595F620">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color w:val="auto"/>
        </w:rPr>
      </w:pPr>
    </w:p>
    <w:p w14:paraId="4C85D382">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hAnsi="宋体"/>
          <w:color w:val="auto"/>
        </w:rPr>
      </w:pPr>
      <w:r>
        <w:rPr>
          <w:rFonts w:hint="eastAsia" w:ascii="宋体" w:hAnsi="宋体"/>
          <w:color w:val="auto"/>
          <w:u w:val="single"/>
        </w:rPr>
        <w:t xml:space="preserve">                                                                                          </w:t>
      </w:r>
    </w:p>
    <w:p w14:paraId="0BF517D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auto"/>
        </w:rPr>
      </w:pPr>
      <w:r>
        <w:rPr>
          <w:rFonts w:hint="eastAsia" w:ascii="宋体" w:hAnsi="宋体"/>
          <w:color w:val="auto"/>
        </w:rPr>
        <w:t xml:space="preserve">       </w:t>
      </w:r>
      <w:r>
        <w:rPr>
          <w:rFonts w:hint="eastAsia" w:ascii="宋体" w:hAnsi="宋体"/>
          <w:color w:val="auto"/>
          <w:u w:val="single"/>
        </w:rPr>
        <w:t xml:space="preserve">                                                                        </w:t>
      </w:r>
    </w:p>
    <w:p w14:paraId="50F83CD5">
      <w:pPr>
        <w:tabs>
          <w:tab w:val="left" w:pos="654"/>
          <w:tab w:val="left" w:pos="1734"/>
          <w:tab w:val="left" w:pos="2814"/>
          <w:tab w:val="left" w:pos="3894"/>
          <w:tab w:val="left" w:pos="5334"/>
          <w:tab w:val="left" w:pos="6414"/>
          <w:tab w:val="left" w:pos="7254"/>
          <w:tab w:val="left" w:pos="8574"/>
          <w:tab w:val="left" w:pos="9654"/>
        </w:tabs>
        <w:spacing w:line="360" w:lineRule="auto"/>
        <w:ind w:firstLine="3045" w:firstLineChars="1450"/>
        <w:rPr>
          <w:rFonts w:ascii="宋体" w:hAnsi="宋体"/>
          <w:color w:val="auto"/>
          <w:u w:val="single"/>
        </w:rPr>
      </w:pPr>
      <w:r>
        <w:rPr>
          <w:rFonts w:hint="eastAsia" w:ascii="宋体" w:hAnsi="宋体"/>
          <w:color w:val="auto"/>
        </w:rPr>
        <w:t>法定代表人或其委托的全权代理人签名</w:t>
      </w:r>
      <w:r>
        <w:rPr>
          <w:rFonts w:hint="eastAsia" w:ascii="宋体" w:hAnsi="宋体"/>
          <w:color w:val="auto"/>
          <w:u w:val="single"/>
        </w:rPr>
        <w:t xml:space="preserve">                </w:t>
      </w:r>
      <w:r>
        <w:rPr>
          <w:rFonts w:hint="eastAsia" w:ascii="宋体" w:hAnsi="宋体"/>
          <w:color w:val="auto"/>
        </w:rPr>
        <w:t xml:space="preserve">                 </w:t>
      </w:r>
    </w:p>
    <w:p w14:paraId="248FF3D4">
      <w:pPr>
        <w:tabs>
          <w:tab w:val="left" w:pos="654"/>
          <w:tab w:val="left" w:pos="1734"/>
          <w:tab w:val="left" w:pos="2814"/>
          <w:tab w:val="left" w:pos="3894"/>
          <w:tab w:val="left" w:pos="5334"/>
          <w:tab w:val="left" w:pos="6414"/>
          <w:tab w:val="left" w:pos="7254"/>
          <w:tab w:val="left" w:pos="8574"/>
          <w:tab w:val="left" w:pos="9654"/>
        </w:tabs>
        <w:spacing w:line="360" w:lineRule="auto"/>
        <w:ind w:firstLine="3045" w:firstLineChars="1450"/>
        <w:rPr>
          <w:rFonts w:ascii="宋体" w:hAnsi="宋体"/>
          <w:color w:val="auto"/>
        </w:rPr>
      </w:pPr>
      <w:r>
        <w:rPr>
          <w:rFonts w:hint="eastAsia" w:ascii="宋体" w:hAnsi="宋体"/>
          <w:color w:val="auto"/>
          <w:lang w:val="en-US" w:eastAsia="zh-CN"/>
        </w:rPr>
        <w:t>投标人</w:t>
      </w:r>
      <w:r>
        <w:rPr>
          <w:rFonts w:hint="eastAsia" w:ascii="宋体" w:hAnsi="宋体"/>
          <w:color w:val="auto"/>
        </w:rPr>
        <w:t>名称及签章</w:t>
      </w:r>
      <w:r>
        <w:rPr>
          <w:rFonts w:hint="eastAsia" w:ascii="宋体" w:hAnsi="宋体"/>
          <w:color w:val="auto"/>
          <w:u w:val="single"/>
          <w:lang w:val="en-US" w:eastAsia="zh-CN"/>
        </w:rPr>
        <w:t xml:space="preserve">                                 </w:t>
      </w:r>
      <w:r>
        <w:rPr>
          <w:rFonts w:hint="eastAsia" w:ascii="宋体" w:hAnsi="宋体"/>
          <w:color w:val="auto"/>
        </w:rPr>
        <w:t xml:space="preserve">                               </w:t>
      </w:r>
    </w:p>
    <w:p w14:paraId="0D3CA6B8">
      <w:pPr>
        <w:ind w:firstLine="3150" w:firstLineChars="1500"/>
        <w:rPr>
          <w:rFonts w:ascii="宋体" w:hAnsi="宋体" w:eastAsia="宋体"/>
        </w:rPr>
      </w:pPr>
      <w:r>
        <w:rPr>
          <w:rFonts w:hint="eastAsia" w:ascii="宋体" w:hAnsi="宋体"/>
          <w:color w:val="auto"/>
        </w:rPr>
        <w:t xml:space="preserve">日            期 </w:t>
      </w:r>
      <w:r>
        <w:rPr>
          <w:rFonts w:hint="eastAsia" w:ascii="宋体" w:hAnsi="宋体"/>
          <w:color w:val="auto"/>
          <w:u w:val="single"/>
        </w:rPr>
        <w:t xml:space="preserve">                                 </w:t>
      </w:r>
    </w:p>
    <w:p w14:paraId="66E45618">
      <w:pPr>
        <w:adjustRightInd w:val="0"/>
        <w:snapToGrid w:val="0"/>
        <w:spacing w:line="400" w:lineRule="exact"/>
        <w:rPr>
          <w:rFonts w:ascii="宋体"/>
        </w:rPr>
      </w:pPr>
    </w:p>
    <w:p w14:paraId="2E32417A">
      <w:pPr>
        <w:autoSpaceDE w:val="0"/>
        <w:autoSpaceDN w:val="0"/>
        <w:adjustRightInd w:val="0"/>
        <w:snapToGrid w:val="0"/>
        <w:spacing w:line="400" w:lineRule="exact"/>
        <w:ind w:left="209" w:leftChars="1" w:hanging="207" w:hangingChars="99"/>
        <w:rPr>
          <w:rFonts w:ascii="宋体" w:hAnsi="宋体" w:cs="仿宋_GB2312"/>
          <w:szCs w:val="21"/>
          <w:lang w:val="zh-CN"/>
        </w:rPr>
      </w:pPr>
    </w:p>
    <w:p w14:paraId="49971E88">
      <w:pPr>
        <w:autoSpaceDE w:val="0"/>
        <w:autoSpaceDN w:val="0"/>
        <w:adjustRightInd w:val="0"/>
        <w:spacing w:line="360" w:lineRule="auto"/>
        <w:ind w:firstLine="420" w:firstLineChars="200"/>
        <w:rPr>
          <w:rFonts w:ascii="宋体" w:hAnsi="宋体" w:eastAsia="宋体"/>
        </w:rPr>
      </w:pPr>
    </w:p>
    <w:p w14:paraId="48551272">
      <w:pPr>
        <w:rPr>
          <w:rFonts w:ascii="宋体" w:hAnsi="宋体" w:eastAsia="宋体"/>
        </w:rPr>
      </w:pPr>
    </w:p>
    <w:p w14:paraId="54198C82">
      <w:pPr>
        <w:widowControl/>
        <w:jc w:val="left"/>
        <w:rPr>
          <w:rFonts w:hint="eastAsia" w:ascii="宋体" w:hAnsi="宋体" w:eastAsia="宋体"/>
          <w:b/>
        </w:rPr>
      </w:pPr>
      <w:r>
        <w:rPr>
          <w:rFonts w:ascii="宋体" w:hAnsi="宋体"/>
          <w:sz w:val="24"/>
        </w:rPr>
        <w:br w:type="page"/>
      </w:r>
    </w:p>
    <w:p w14:paraId="256F0422">
      <w:pPr>
        <w:spacing w:line="360" w:lineRule="auto"/>
        <w:rPr>
          <w:rFonts w:hint="eastAsia" w:ascii="宋体" w:hAnsi="宋体" w:eastAsia="宋体"/>
          <w:sz w:val="24"/>
          <w:lang w:val="en-US" w:eastAsia="zh-CN"/>
        </w:rPr>
      </w:pPr>
      <w:r>
        <w:rPr>
          <w:rFonts w:hint="eastAsia" w:ascii="宋体" w:hAnsi="宋体"/>
          <w:sz w:val="24"/>
        </w:rPr>
        <w:t>格式</w:t>
      </w:r>
      <w:r>
        <w:rPr>
          <w:rFonts w:hint="eastAsia" w:ascii="宋体" w:hAnsi="宋体"/>
          <w:sz w:val="24"/>
          <w:lang w:val="en-US" w:eastAsia="zh-CN"/>
        </w:rPr>
        <w:t>七</w:t>
      </w:r>
    </w:p>
    <w:p w14:paraId="548B3E5A">
      <w:pPr>
        <w:jc w:val="center"/>
        <w:rPr>
          <w:rFonts w:ascii="宋体" w:hAnsi="宋体" w:cs="宋体"/>
          <w:b/>
          <w:kern w:val="0"/>
          <w:sz w:val="24"/>
        </w:rPr>
      </w:pPr>
    </w:p>
    <w:p w14:paraId="4DE365BC">
      <w:pPr>
        <w:jc w:val="center"/>
        <w:rPr>
          <w:rFonts w:ascii="宋体" w:hAnsi="宋体"/>
          <w:b/>
        </w:rPr>
      </w:pPr>
      <w:r>
        <w:rPr>
          <w:rFonts w:hint="eastAsia" w:ascii="宋体" w:hAnsi="宋体" w:cs="宋体"/>
          <w:b/>
          <w:kern w:val="0"/>
          <w:sz w:val="24"/>
          <w:lang w:eastAsia="zh-CN"/>
        </w:rPr>
        <w:t>（</w:t>
      </w:r>
      <w:r>
        <w:rPr>
          <w:rFonts w:hint="eastAsia" w:ascii="宋体" w:hAnsi="宋体" w:cs="宋体"/>
          <w:b/>
          <w:kern w:val="0"/>
          <w:sz w:val="24"/>
          <w:lang w:val="en-US" w:eastAsia="zh-CN"/>
        </w:rPr>
        <w:t>一</w:t>
      </w:r>
      <w:r>
        <w:rPr>
          <w:rFonts w:hint="eastAsia" w:ascii="宋体" w:hAnsi="宋体" w:cs="宋体"/>
          <w:b/>
          <w:kern w:val="0"/>
          <w:sz w:val="24"/>
          <w:lang w:eastAsia="zh-CN"/>
        </w:rPr>
        <w:t>）</w:t>
      </w:r>
      <w:r>
        <w:rPr>
          <w:rFonts w:hint="eastAsia" w:ascii="宋体" w:hAnsi="宋体" w:cs="宋体"/>
          <w:b/>
          <w:kern w:val="0"/>
          <w:sz w:val="24"/>
        </w:rPr>
        <w:t>中小企业声明函</w:t>
      </w:r>
    </w:p>
    <w:p w14:paraId="3E50B1D4">
      <w:pPr>
        <w:widowControl/>
        <w:spacing w:line="400" w:lineRule="atLeast"/>
        <w:ind w:firstLine="420" w:firstLineChars="200"/>
        <w:jc w:val="left"/>
        <w:rPr>
          <w:rFonts w:ascii="宋体" w:hAnsi="宋体" w:cs="宋体"/>
          <w:kern w:val="0"/>
          <w:szCs w:val="21"/>
        </w:rPr>
      </w:pPr>
    </w:p>
    <w:p w14:paraId="58B7341D">
      <w:pPr>
        <w:widowControl/>
        <w:spacing w:line="400" w:lineRule="atLeast"/>
        <w:ind w:firstLine="420" w:firstLineChars="200"/>
        <w:jc w:val="left"/>
        <w:rPr>
          <w:rFonts w:ascii="宋体" w:hAnsi="宋体" w:cs="宋体"/>
          <w:kern w:val="0"/>
          <w:szCs w:val="21"/>
        </w:rPr>
      </w:pPr>
    </w:p>
    <w:p w14:paraId="5BAF95C9">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本公司（联合体）郑重声明，根据《政府采购促进中小企业发展管理办法》（财库﹝2020﹞46号）的规定，本公司（联合体）参加</w:t>
      </w:r>
      <w:r>
        <w:rPr>
          <w:rFonts w:hint="eastAsia" w:ascii="宋体" w:hAnsi="宋体" w:cs="宋体"/>
          <w:kern w:val="0"/>
          <w:szCs w:val="21"/>
          <w:u w:val="single"/>
        </w:rPr>
        <w:t>（采购单位名称）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采购活动，服务全部由符合政策要求的中小企业承接。相关企业（含联合体中的中小企业、签订分包意向协议的中小企业）的具体情况如下：</w:t>
      </w:r>
    </w:p>
    <w:p w14:paraId="63B695D5">
      <w:pPr>
        <w:widowControl/>
        <w:spacing w:line="400" w:lineRule="atLeast"/>
        <w:ind w:firstLine="420" w:firstLineChars="200"/>
        <w:jc w:val="left"/>
        <w:rPr>
          <w:rFonts w:ascii="宋体" w:hAnsi="宋体"/>
        </w:rPr>
      </w:pPr>
      <w:r>
        <w:rPr>
          <w:rFonts w:ascii="宋体" w:hAnsi="宋体"/>
        </w:rPr>
        <w:t>1</w:t>
      </w:r>
      <w:r>
        <w:rPr>
          <w:rFonts w:hint="eastAsia" w:ascii="宋体" w:hAnsi="宋体"/>
        </w:rPr>
        <w:t>.</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；承接企业为</w:t>
      </w:r>
      <w:r>
        <w:rPr>
          <w:rFonts w:ascii="宋体" w:hAnsi="宋体"/>
          <w:u w:val="single"/>
        </w:rPr>
        <w:t>（企业名称）</w:t>
      </w:r>
      <w:r>
        <w:rPr>
          <w:rFonts w:ascii="宋体" w:hAnsi="宋体"/>
        </w:rPr>
        <w:t>，从业人员人，营业收入为万元，资产总额为万元</w:t>
      </w:r>
      <w:r>
        <w:rPr>
          <w:rFonts w:hint="eastAsia" w:ascii="宋体" w:hAnsi="宋体"/>
        </w:rPr>
        <w:t>¹</w:t>
      </w:r>
      <w:r>
        <w:rPr>
          <w:rFonts w:ascii="宋体" w:hAnsi="宋体"/>
        </w:rPr>
        <w:t>，属于</w:t>
      </w:r>
      <w:r>
        <w:rPr>
          <w:rFonts w:ascii="宋体" w:hAnsi="宋体"/>
          <w:u w:val="single"/>
        </w:rPr>
        <w:t>（中型企业、小型企业、微型企业）</w:t>
      </w:r>
      <w:r>
        <w:rPr>
          <w:rFonts w:ascii="宋体" w:hAnsi="宋体"/>
        </w:rPr>
        <w:t>；</w:t>
      </w:r>
    </w:p>
    <w:p w14:paraId="053E0AAC">
      <w:pPr>
        <w:widowControl/>
        <w:spacing w:line="400" w:lineRule="atLeast"/>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ab/>
      </w:r>
    </w:p>
    <w:p w14:paraId="0DD0EBF5">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4C7CF951">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14:paraId="28116E19">
      <w:pPr>
        <w:widowControl/>
        <w:spacing w:line="400" w:lineRule="atLeast"/>
        <w:ind w:firstLine="420" w:firstLineChars="200"/>
        <w:jc w:val="left"/>
        <w:rPr>
          <w:rFonts w:ascii="宋体" w:hAnsi="宋体" w:cs="宋体"/>
          <w:kern w:val="0"/>
          <w:szCs w:val="21"/>
        </w:rPr>
      </w:pPr>
    </w:p>
    <w:p w14:paraId="06EBA130">
      <w:pPr>
        <w:widowControl/>
        <w:spacing w:line="400" w:lineRule="atLeast"/>
        <w:ind w:firstLine="420" w:firstLineChars="200"/>
        <w:jc w:val="left"/>
        <w:rPr>
          <w:rFonts w:ascii="宋体" w:hAnsi="宋体" w:cs="宋体"/>
          <w:kern w:val="0"/>
          <w:szCs w:val="21"/>
        </w:rPr>
      </w:pPr>
      <w:r>
        <w:rPr>
          <w:rFonts w:ascii="宋体" w:hAnsi="宋体" w:cs="宋体"/>
          <w:kern w:val="0"/>
          <w:szCs w:val="21"/>
        </w:rPr>
        <w:t>……</w:t>
      </w:r>
    </w:p>
    <w:p w14:paraId="43CFC17C">
      <w:pPr>
        <w:widowControl/>
        <w:spacing w:line="400" w:lineRule="atLeast"/>
        <w:ind w:firstLine="420" w:firstLineChars="200"/>
        <w:jc w:val="left"/>
        <w:rPr>
          <w:rFonts w:ascii="宋体" w:hAnsi="宋体" w:cs="宋体"/>
          <w:kern w:val="0"/>
          <w:szCs w:val="21"/>
        </w:rPr>
      </w:pPr>
    </w:p>
    <w:p w14:paraId="438FB43C">
      <w:pPr>
        <w:widowControl/>
        <w:spacing w:line="400" w:lineRule="atLeast"/>
        <w:jc w:val="left"/>
        <w:rPr>
          <w:rFonts w:ascii="宋体" w:hAnsi="宋体" w:cs="宋体"/>
          <w:kern w:val="0"/>
          <w:szCs w:val="21"/>
        </w:rPr>
      </w:pPr>
    </w:p>
    <w:p w14:paraId="06192068">
      <w:pPr>
        <w:widowControl/>
        <w:spacing w:line="400" w:lineRule="atLeast"/>
        <w:jc w:val="left"/>
        <w:rPr>
          <w:rFonts w:ascii="宋体" w:hAnsi="宋体" w:cs="宋体"/>
          <w:kern w:val="0"/>
          <w:szCs w:val="21"/>
        </w:rPr>
      </w:pPr>
      <w:r>
        <w:rPr>
          <w:rFonts w:hint="eastAsia" w:ascii="宋体" w:hAnsi="宋体" w:cs="宋体"/>
          <w:kern w:val="0"/>
          <w:szCs w:val="21"/>
        </w:rPr>
        <w:t>企业名称（盖章）：</w:t>
      </w:r>
    </w:p>
    <w:p w14:paraId="5CB770AA">
      <w:pPr>
        <w:widowControl/>
        <w:spacing w:line="400" w:lineRule="atLeast"/>
        <w:jc w:val="left"/>
        <w:rPr>
          <w:rFonts w:ascii="宋体" w:hAnsi="宋体" w:cs="宋体"/>
          <w:kern w:val="0"/>
          <w:szCs w:val="21"/>
        </w:rPr>
      </w:pPr>
      <w:r>
        <w:rPr>
          <w:rFonts w:hint="eastAsia" w:ascii="宋体" w:hAnsi="宋体" w:cs="宋体"/>
          <w:kern w:val="0"/>
          <w:szCs w:val="21"/>
        </w:rPr>
        <w:t>日期：</w:t>
      </w:r>
    </w:p>
    <w:p w14:paraId="2C2BCB21">
      <w:pPr>
        <w:widowControl/>
        <w:spacing w:before="100" w:beforeAutospacing="1" w:after="100" w:afterAutospacing="1" w:line="420" w:lineRule="atLeast"/>
        <w:jc w:val="left"/>
        <w:rPr>
          <w:rFonts w:ascii="宋体" w:hAnsi="宋体" w:cs="宋体"/>
          <w:kern w:val="0"/>
          <w:szCs w:val="21"/>
        </w:rPr>
      </w:pPr>
    </w:p>
    <w:p w14:paraId="37CD9CDC">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注：从业人员、营业收入、资产总额填报上一年度数据，无上一年度数据的新成立企业可不填报。</w:t>
      </w:r>
    </w:p>
    <w:p w14:paraId="53486A0F">
      <w:pPr>
        <w:widowControl/>
        <w:spacing w:before="100" w:beforeAutospacing="1" w:after="100" w:afterAutospacing="1" w:line="420" w:lineRule="atLeast"/>
        <w:jc w:val="left"/>
        <w:rPr>
          <w:rFonts w:hint="eastAsia" w:ascii="宋体" w:hAnsi="宋体" w:cs="宋体"/>
          <w:kern w:val="0"/>
          <w:szCs w:val="21"/>
        </w:rPr>
      </w:pPr>
    </w:p>
    <w:p w14:paraId="30F3F7DC">
      <w:pPr>
        <w:widowControl/>
        <w:spacing w:before="100" w:beforeAutospacing="1" w:after="100" w:afterAutospacing="1" w:line="420" w:lineRule="atLeast"/>
        <w:jc w:val="left"/>
        <w:rPr>
          <w:rFonts w:hint="eastAsia" w:ascii="宋体" w:hAnsi="宋体" w:cs="宋体"/>
          <w:kern w:val="0"/>
          <w:szCs w:val="21"/>
        </w:rPr>
      </w:pPr>
    </w:p>
    <w:p w14:paraId="4D11E106">
      <w:pPr>
        <w:widowControl/>
        <w:spacing w:before="100" w:beforeAutospacing="1" w:after="100" w:afterAutospacing="1" w:line="420" w:lineRule="atLeast"/>
        <w:jc w:val="left"/>
        <w:rPr>
          <w:rFonts w:hint="eastAsia" w:ascii="宋体" w:hAnsi="宋体" w:cs="宋体"/>
          <w:kern w:val="0"/>
          <w:szCs w:val="21"/>
        </w:rPr>
      </w:pPr>
    </w:p>
    <w:p w14:paraId="65EFB2CF">
      <w:pPr>
        <w:widowControl/>
        <w:spacing w:before="100" w:beforeAutospacing="1" w:after="100" w:afterAutospacing="1" w:line="420" w:lineRule="atLeast"/>
        <w:jc w:val="left"/>
        <w:rPr>
          <w:rFonts w:hint="eastAsia" w:ascii="宋体" w:hAnsi="宋体" w:cs="宋体"/>
          <w:kern w:val="0"/>
          <w:szCs w:val="21"/>
        </w:rPr>
      </w:pPr>
    </w:p>
    <w:p w14:paraId="06FDA001">
      <w:pPr>
        <w:widowControl/>
        <w:spacing w:before="100" w:beforeAutospacing="1" w:after="100" w:afterAutospacing="1" w:line="420" w:lineRule="atLeast"/>
        <w:jc w:val="left"/>
        <w:rPr>
          <w:rFonts w:hint="eastAsia" w:ascii="宋体" w:hAnsi="宋体" w:cs="宋体"/>
          <w:kern w:val="0"/>
          <w:szCs w:val="21"/>
        </w:rPr>
      </w:pPr>
    </w:p>
    <w:p w14:paraId="21D317D9">
      <w:pPr>
        <w:widowControl/>
        <w:spacing w:before="100" w:beforeAutospacing="1" w:after="100" w:afterAutospacing="1" w:line="420" w:lineRule="atLeast"/>
        <w:jc w:val="left"/>
        <w:rPr>
          <w:rFonts w:hint="eastAsia" w:ascii="宋体" w:hAnsi="宋体" w:cs="宋体"/>
          <w:kern w:val="0"/>
          <w:szCs w:val="21"/>
        </w:rPr>
      </w:pPr>
    </w:p>
    <w:p w14:paraId="0FAE49A5">
      <w:pPr>
        <w:widowControl/>
        <w:spacing w:before="100" w:beforeAutospacing="1" w:after="100" w:afterAutospacing="1" w:line="420" w:lineRule="atLeast"/>
        <w:jc w:val="left"/>
        <w:rPr>
          <w:rFonts w:hint="eastAsia" w:ascii="宋体" w:hAnsi="宋体" w:cs="宋体"/>
          <w:kern w:val="0"/>
          <w:szCs w:val="21"/>
        </w:rPr>
      </w:pPr>
    </w:p>
    <w:p w14:paraId="5754871C">
      <w:pPr>
        <w:jc w:val="center"/>
        <w:rPr>
          <w:rFonts w:hint="eastAsia" w:ascii="宋体" w:hAnsi="宋体" w:cs="宋体"/>
          <w:b/>
          <w:kern w:val="0"/>
          <w:sz w:val="24"/>
          <w:lang w:eastAsia="zh-CN"/>
        </w:rPr>
      </w:pPr>
      <w:r>
        <w:rPr>
          <w:rFonts w:hint="eastAsia" w:ascii="宋体" w:hAnsi="宋体" w:cs="宋体"/>
          <w:b/>
          <w:kern w:val="0"/>
          <w:sz w:val="24"/>
          <w:lang w:eastAsia="zh-CN"/>
        </w:rPr>
        <w:t>（二）监狱企业声明函</w:t>
      </w:r>
    </w:p>
    <w:p w14:paraId="079B8240">
      <w:pPr>
        <w:widowControl/>
        <w:spacing w:before="100" w:beforeAutospacing="1" w:after="100" w:afterAutospacing="1" w:line="420" w:lineRule="atLeast"/>
        <w:ind w:firstLine="3360" w:firstLineChars="1600"/>
        <w:jc w:val="left"/>
        <w:rPr>
          <w:rFonts w:hint="eastAsia" w:ascii="宋体" w:hAnsi="宋体" w:cs="宋体"/>
          <w:kern w:val="0"/>
          <w:szCs w:val="21"/>
        </w:rPr>
      </w:pPr>
      <w:r>
        <w:rPr>
          <w:rFonts w:hint="eastAsia" w:ascii="宋体" w:hAnsi="宋体" w:cs="宋体"/>
          <w:kern w:val="0"/>
          <w:szCs w:val="21"/>
        </w:rPr>
        <w:t>【非监狱企业不用提供】</w:t>
      </w:r>
    </w:p>
    <w:p w14:paraId="1A30B86C">
      <w:pPr>
        <w:widowControl/>
        <w:spacing w:before="100" w:beforeAutospacing="1" w:after="100" w:afterAutospacing="1" w:line="420" w:lineRule="atLeast"/>
        <w:jc w:val="left"/>
        <w:rPr>
          <w:rFonts w:hint="eastAsia" w:ascii="宋体" w:hAnsi="宋体" w:cs="宋体"/>
          <w:kern w:val="0"/>
          <w:szCs w:val="21"/>
        </w:rPr>
      </w:pPr>
    </w:p>
    <w:p w14:paraId="3B9D9704">
      <w:pPr>
        <w:widowControl/>
        <w:spacing w:before="100" w:beforeAutospacing="1" w:after="100" w:afterAutospacing="1" w:line="420" w:lineRule="atLeast"/>
        <w:ind w:firstLine="420" w:firstLineChars="200"/>
        <w:jc w:val="left"/>
        <w:rPr>
          <w:rFonts w:hint="eastAsia" w:ascii="宋体" w:hAnsi="宋体" w:cs="宋体"/>
          <w:kern w:val="0"/>
          <w:szCs w:val="21"/>
        </w:rPr>
      </w:pPr>
      <w:r>
        <w:rPr>
          <w:rFonts w:hint="eastAsia" w:ascii="宋体" w:hAnsi="宋体" w:cs="宋体"/>
          <w:kern w:val="0"/>
          <w:szCs w:val="21"/>
        </w:rPr>
        <w:t>监狱企业参加政府采购活动时，应当提供由省级以上监狱管理本企业郑重声明，根据《关于政府采购支持监狱企业发展有关问题的通知》（财库[2014]68号）的规定，本企业为监狱企业。</w:t>
      </w:r>
    </w:p>
    <w:p w14:paraId="6A88E017">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根据上述标准，我企业属于监狱企业的理由为：。</w:t>
      </w:r>
    </w:p>
    <w:p w14:paraId="532DB51A">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本企业为参加（项目名称：）（项目编号：）采购活动提供本企业的产品。</w:t>
      </w:r>
    </w:p>
    <w:p w14:paraId="343064E2">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本企业对上述声明的真实性负责。如有虚假，将依法承担相应责任。</w:t>
      </w:r>
    </w:p>
    <w:p w14:paraId="74EE7F18">
      <w:pPr>
        <w:widowControl/>
        <w:spacing w:before="100" w:beforeAutospacing="1" w:after="100" w:afterAutospacing="1" w:line="420" w:lineRule="atLeast"/>
        <w:jc w:val="left"/>
        <w:rPr>
          <w:rFonts w:hint="eastAsia" w:ascii="宋体" w:hAnsi="宋体" w:cs="宋体"/>
          <w:kern w:val="0"/>
          <w:szCs w:val="21"/>
        </w:rPr>
      </w:pPr>
    </w:p>
    <w:p w14:paraId="35C7F513">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投标人名称（盖章）：</w:t>
      </w:r>
    </w:p>
    <w:p w14:paraId="2A90C6CF">
      <w:pPr>
        <w:widowControl/>
        <w:spacing w:before="100" w:beforeAutospacing="1" w:after="100" w:afterAutospacing="1" w:line="420" w:lineRule="atLeast"/>
        <w:jc w:val="left"/>
        <w:rPr>
          <w:rFonts w:hint="eastAsia" w:ascii="宋体" w:hAnsi="宋体" w:cs="宋体"/>
          <w:kern w:val="0"/>
          <w:szCs w:val="21"/>
        </w:rPr>
      </w:pPr>
    </w:p>
    <w:p w14:paraId="46B838E4">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日期：</w:t>
      </w:r>
    </w:p>
    <w:p w14:paraId="79D74EB5">
      <w:pPr>
        <w:widowControl/>
        <w:spacing w:before="100" w:beforeAutospacing="1" w:after="100" w:afterAutospacing="1" w:line="420" w:lineRule="atLeast"/>
        <w:jc w:val="left"/>
        <w:rPr>
          <w:rFonts w:hint="eastAsia" w:ascii="宋体" w:hAnsi="宋体" w:cs="宋体"/>
          <w:kern w:val="0"/>
          <w:szCs w:val="21"/>
        </w:rPr>
      </w:pPr>
    </w:p>
    <w:p w14:paraId="1BE7EA92">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供应商为监狱企业的提供此函。</w:t>
      </w:r>
    </w:p>
    <w:p w14:paraId="087369A7">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局、戒毒管理局（含新疆生产建设兵团）出具的属于监狱企业的证明文件。</w:t>
      </w:r>
    </w:p>
    <w:p w14:paraId="6159B96A">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561610">
      <w:pPr>
        <w:widowControl/>
        <w:spacing w:before="100" w:beforeAutospacing="1" w:after="100" w:afterAutospacing="1" w:line="420" w:lineRule="atLeast"/>
        <w:jc w:val="left"/>
        <w:rPr>
          <w:rFonts w:hint="eastAsia" w:ascii="宋体" w:hAnsi="宋体" w:eastAsia="宋体"/>
          <w:sz w:val="24"/>
          <w:lang w:val="en-US" w:eastAsia="zh-CN"/>
        </w:rPr>
      </w:pPr>
      <w:r>
        <w:rPr>
          <w:rFonts w:hint="eastAsia" w:ascii="宋体" w:hAnsi="宋体" w:cs="宋体"/>
          <w:kern w:val="0"/>
          <w:szCs w:val="21"/>
        </w:rPr>
        <w:br w:type="page"/>
      </w:r>
    </w:p>
    <w:p w14:paraId="5F7EABED">
      <w:pPr>
        <w:jc w:val="center"/>
        <w:rPr>
          <w:rFonts w:ascii="宋体" w:hAnsi="宋体" w:cs="宋体"/>
          <w:b/>
          <w:spacing w:val="6"/>
          <w:sz w:val="32"/>
          <w:szCs w:val="32"/>
        </w:rPr>
      </w:pPr>
    </w:p>
    <w:p w14:paraId="654AC134">
      <w:pPr>
        <w:jc w:val="center"/>
        <w:rPr>
          <w:rFonts w:hint="eastAsia" w:ascii="宋体" w:hAnsi="宋体" w:eastAsia="宋体" w:cs="宋体"/>
          <w:b/>
          <w:kern w:val="0"/>
          <w:sz w:val="24"/>
          <w:lang w:eastAsia="zh-CN"/>
        </w:rPr>
      </w:pPr>
      <w:r>
        <w:rPr>
          <w:rFonts w:hint="eastAsia" w:ascii="宋体" w:hAnsi="宋体" w:eastAsia="宋体" w:cs="宋体"/>
          <w:b/>
          <w:kern w:val="0"/>
          <w:sz w:val="24"/>
          <w:lang w:eastAsia="zh-CN"/>
        </w:rPr>
        <w:t>（</w:t>
      </w:r>
      <w:r>
        <w:rPr>
          <w:rFonts w:hint="eastAsia" w:ascii="宋体" w:hAnsi="宋体" w:eastAsia="宋体" w:cs="宋体"/>
          <w:b/>
          <w:kern w:val="0"/>
          <w:sz w:val="24"/>
          <w:lang w:val="en-US" w:eastAsia="zh-CN"/>
        </w:rPr>
        <w:t>三</w:t>
      </w:r>
      <w:r>
        <w:rPr>
          <w:rFonts w:hint="eastAsia" w:ascii="宋体" w:hAnsi="宋体" w:eastAsia="宋体" w:cs="宋体"/>
          <w:b/>
          <w:kern w:val="0"/>
          <w:sz w:val="24"/>
          <w:lang w:eastAsia="zh-CN"/>
        </w:rPr>
        <w:t>）残疾人福利性单位声明函</w:t>
      </w:r>
    </w:p>
    <w:p w14:paraId="37A44DD7">
      <w:pPr>
        <w:ind w:firstLine="624" w:firstLineChars="200"/>
        <w:rPr>
          <w:rFonts w:ascii="宋体" w:hAnsi="宋体" w:cs="宋体"/>
          <w:spacing w:val="6"/>
          <w:sz w:val="30"/>
          <w:szCs w:val="30"/>
        </w:rPr>
      </w:pPr>
    </w:p>
    <w:p w14:paraId="6B0CF9F3">
      <w:pPr>
        <w:widowControl/>
        <w:spacing w:line="40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单位郑重声明，根据《财政部民政部中国残疾人联合会关于促进残疾人就业政府采购政策的通知》（财库〔2017〕141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14:paraId="757E2F1B">
      <w:pPr>
        <w:widowControl/>
        <w:spacing w:line="40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14:paraId="2060B203">
      <w:pPr>
        <w:spacing w:line="588" w:lineRule="exact"/>
        <w:ind w:firstLine="444" w:firstLineChars="200"/>
        <w:rPr>
          <w:rFonts w:ascii="宋体" w:hAnsi="宋体" w:cs="宋体"/>
          <w:spacing w:val="6"/>
          <w:szCs w:val="21"/>
        </w:rPr>
      </w:pPr>
    </w:p>
    <w:p w14:paraId="02C88DB2">
      <w:pPr>
        <w:spacing w:line="588" w:lineRule="exact"/>
        <w:ind w:firstLine="444" w:firstLineChars="200"/>
        <w:rPr>
          <w:rFonts w:ascii="宋体" w:hAnsi="宋体" w:cs="宋体"/>
          <w:spacing w:val="6"/>
          <w:szCs w:val="21"/>
        </w:rPr>
      </w:pPr>
    </w:p>
    <w:p w14:paraId="5123BB59">
      <w:pPr>
        <w:tabs>
          <w:tab w:val="left" w:pos="4860"/>
        </w:tabs>
        <w:spacing w:line="588" w:lineRule="exact"/>
        <w:jc w:val="left"/>
        <w:rPr>
          <w:rFonts w:ascii="宋体" w:hAnsi="宋体" w:cs="宋体"/>
          <w:spacing w:val="6"/>
          <w:szCs w:val="21"/>
        </w:rPr>
      </w:pPr>
      <w:r>
        <w:rPr>
          <w:rFonts w:hint="eastAsia" w:ascii="宋体" w:hAnsi="宋体" w:cs="宋体"/>
          <w:spacing w:val="6"/>
          <w:szCs w:val="21"/>
        </w:rPr>
        <w:t>响应人名称（加盖公章）：</w:t>
      </w:r>
    </w:p>
    <w:p w14:paraId="191004FB">
      <w:pPr>
        <w:rPr>
          <w:rFonts w:ascii="宋体" w:hAnsi="宋体" w:cs="宋体"/>
          <w:spacing w:val="6"/>
          <w:szCs w:val="21"/>
        </w:rPr>
      </w:pPr>
    </w:p>
    <w:p w14:paraId="7FA25FF4">
      <w:pPr>
        <w:spacing w:line="360" w:lineRule="auto"/>
        <w:rPr>
          <w:rFonts w:hint="eastAsia" w:ascii="宋体" w:hAnsi="宋体" w:cs="宋体"/>
          <w:szCs w:val="21"/>
        </w:rPr>
      </w:pPr>
      <w:r>
        <w:rPr>
          <w:rFonts w:hint="eastAsia" w:ascii="宋体" w:hAnsi="宋体" w:cs="宋体"/>
          <w:spacing w:val="6"/>
          <w:szCs w:val="21"/>
        </w:rPr>
        <w:t>日期</w:t>
      </w:r>
      <w:r>
        <w:rPr>
          <w:rFonts w:hint="eastAsia" w:ascii="宋体" w:hAnsi="宋体" w:cs="宋体"/>
          <w:szCs w:val="21"/>
        </w:rPr>
        <w:t>：</w:t>
      </w:r>
    </w:p>
    <w:p w14:paraId="0E006F4C">
      <w:pPr>
        <w:rPr>
          <w:rFonts w:hint="eastAsia" w:ascii="宋体" w:hAnsi="宋体" w:eastAsia="宋体"/>
          <w:b/>
          <w:lang w:val="zh-CN"/>
        </w:rPr>
      </w:pPr>
    </w:p>
    <w:p w14:paraId="3AC3F981">
      <w:pPr>
        <w:rPr>
          <w:rFonts w:hint="eastAsia" w:ascii="宋体" w:hAnsi="宋体" w:eastAsia="宋体"/>
          <w:b/>
          <w:lang w:val="zh-CN"/>
        </w:rPr>
      </w:pPr>
    </w:p>
    <w:p w14:paraId="5DD20DCB">
      <w:pPr>
        <w:rPr>
          <w:rFonts w:hint="eastAsia" w:ascii="宋体" w:hAnsi="宋体" w:eastAsia="宋体"/>
          <w:b/>
          <w:lang w:val="zh-CN"/>
        </w:rPr>
      </w:pPr>
    </w:p>
    <w:p w14:paraId="012FE953">
      <w:pPr>
        <w:rPr>
          <w:rFonts w:hint="eastAsia" w:ascii="宋体" w:hAnsi="宋体" w:eastAsia="宋体"/>
          <w:b/>
          <w:lang w:val="zh-CN"/>
        </w:rPr>
      </w:pPr>
    </w:p>
    <w:p w14:paraId="306CEFE9">
      <w:pPr>
        <w:rPr>
          <w:rFonts w:hint="eastAsia" w:ascii="宋体" w:hAnsi="宋体" w:eastAsia="宋体"/>
          <w:b/>
          <w:lang w:val="zh-CN"/>
        </w:rPr>
      </w:pPr>
    </w:p>
    <w:p w14:paraId="124A4733">
      <w:pPr>
        <w:rPr>
          <w:rFonts w:hint="eastAsia" w:ascii="宋体" w:hAnsi="宋体" w:eastAsia="宋体"/>
          <w:b/>
          <w:lang w:val="zh-CN"/>
        </w:rPr>
      </w:pPr>
    </w:p>
    <w:p w14:paraId="105A1D63">
      <w:pPr>
        <w:rPr>
          <w:rFonts w:hint="eastAsia" w:ascii="宋体" w:hAnsi="宋体" w:eastAsia="宋体"/>
          <w:b/>
          <w:lang w:val="zh-CN"/>
        </w:rPr>
      </w:pPr>
    </w:p>
    <w:p w14:paraId="71962345">
      <w:pPr>
        <w:rPr>
          <w:rFonts w:hint="eastAsia" w:ascii="宋体" w:hAnsi="宋体" w:eastAsia="宋体"/>
          <w:b/>
          <w:lang w:val="zh-CN"/>
        </w:rPr>
      </w:pPr>
    </w:p>
    <w:p w14:paraId="043A68E5">
      <w:pPr>
        <w:rPr>
          <w:rFonts w:hint="eastAsia" w:ascii="宋体" w:hAnsi="宋体" w:eastAsia="宋体"/>
          <w:b/>
          <w:lang w:val="zh-CN"/>
        </w:rPr>
      </w:pPr>
    </w:p>
    <w:p w14:paraId="6D614EC2">
      <w:pPr>
        <w:rPr>
          <w:rFonts w:hint="eastAsia" w:ascii="宋体" w:hAnsi="宋体" w:eastAsia="宋体"/>
          <w:b/>
          <w:lang w:val="zh-CN"/>
        </w:rPr>
      </w:pPr>
    </w:p>
    <w:p w14:paraId="63CAC701">
      <w:pPr>
        <w:rPr>
          <w:rFonts w:hint="eastAsia" w:ascii="宋体" w:hAnsi="宋体" w:eastAsia="宋体"/>
          <w:b/>
          <w:lang w:val="zh-CN"/>
        </w:rPr>
      </w:pPr>
    </w:p>
    <w:p w14:paraId="243FFC16">
      <w:pPr>
        <w:rPr>
          <w:rFonts w:hint="eastAsia" w:ascii="宋体" w:hAnsi="宋体" w:eastAsia="宋体"/>
          <w:b/>
          <w:lang w:val="zh-CN"/>
        </w:rPr>
      </w:pPr>
    </w:p>
    <w:p w14:paraId="5A7E9D53">
      <w:pPr>
        <w:rPr>
          <w:rFonts w:hint="eastAsia" w:ascii="宋体" w:hAnsi="宋体" w:eastAsia="宋体"/>
          <w:b/>
          <w:lang w:val="zh-CN"/>
        </w:rPr>
      </w:pPr>
    </w:p>
    <w:p w14:paraId="6ACE3F2A">
      <w:pPr>
        <w:rPr>
          <w:rFonts w:hint="eastAsia" w:ascii="宋体" w:hAnsi="宋体" w:eastAsia="宋体"/>
          <w:b/>
          <w:lang w:val="zh-CN"/>
        </w:rPr>
      </w:pPr>
    </w:p>
    <w:p w14:paraId="624D209A">
      <w:pPr>
        <w:rPr>
          <w:rFonts w:hint="eastAsia" w:ascii="宋体" w:hAnsi="宋体" w:eastAsia="宋体"/>
          <w:b/>
          <w:lang w:val="zh-CN"/>
        </w:rPr>
      </w:pPr>
    </w:p>
    <w:p w14:paraId="04A52F6F">
      <w:pPr>
        <w:rPr>
          <w:rFonts w:hint="eastAsia" w:ascii="宋体" w:hAnsi="宋体" w:eastAsia="宋体"/>
          <w:b/>
          <w:lang w:val="zh-CN"/>
        </w:rPr>
      </w:pPr>
    </w:p>
    <w:p w14:paraId="1573EE71">
      <w:pPr>
        <w:rPr>
          <w:rFonts w:hint="eastAsia" w:ascii="宋体" w:hAnsi="宋体" w:eastAsia="宋体"/>
          <w:b/>
          <w:lang w:val="zh-CN"/>
        </w:rPr>
      </w:pPr>
    </w:p>
    <w:p w14:paraId="7013E9B1">
      <w:pPr>
        <w:rPr>
          <w:rFonts w:hint="eastAsia" w:ascii="宋体" w:hAnsi="宋体" w:eastAsia="宋体"/>
          <w:b/>
          <w:lang w:val="zh-CN"/>
        </w:rPr>
      </w:pPr>
    </w:p>
    <w:p w14:paraId="115D3D54">
      <w:pPr>
        <w:rPr>
          <w:rFonts w:hint="eastAsia" w:ascii="宋体" w:hAnsi="宋体" w:eastAsia="宋体"/>
          <w:b/>
          <w:lang w:val="zh-CN"/>
        </w:rPr>
      </w:pPr>
    </w:p>
    <w:p w14:paraId="358D1CB3">
      <w:pPr>
        <w:rPr>
          <w:rFonts w:hint="eastAsia" w:ascii="宋体" w:hAnsi="宋体" w:eastAsia="宋体"/>
          <w:b/>
          <w:lang w:val="zh-CN"/>
        </w:rPr>
      </w:pPr>
    </w:p>
    <w:p w14:paraId="02B443C1">
      <w:pPr>
        <w:rPr>
          <w:rFonts w:hint="eastAsia" w:ascii="宋体" w:hAnsi="宋体" w:eastAsia="宋体"/>
          <w:b/>
          <w:lang w:val="zh-CN"/>
        </w:rPr>
      </w:pPr>
    </w:p>
    <w:p w14:paraId="3D92842D">
      <w:pPr>
        <w:rPr>
          <w:rFonts w:hint="eastAsia" w:ascii="宋体" w:hAnsi="宋体" w:eastAsia="宋体"/>
          <w:b/>
          <w:lang w:val="zh-CN"/>
        </w:rPr>
      </w:pPr>
    </w:p>
    <w:p w14:paraId="14B8C0C1">
      <w:pPr>
        <w:rPr>
          <w:rFonts w:hint="eastAsia" w:ascii="宋体" w:hAnsi="宋体" w:eastAsia="宋体"/>
          <w:b/>
          <w:lang w:val="zh-CN"/>
        </w:rPr>
      </w:pPr>
    </w:p>
    <w:p w14:paraId="469708DD">
      <w:pPr>
        <w:rPr>
          <w:rFonts w:hint="eastAsia" w:ascii="宋体" w:hAnsi="宋体" w:eastAsia="宋体"/>
          <w:b/>
          <w:lang w:val="zh-CN"/>
        </w:rPr>
      </w:pPr>
    </w:p>
    <w:p w14:paraId="67D76998">
      <w:pPr>
        <w:rPr>
          <w:rFonts w:hint="eastAsia" w:ascii="宋体" w:hAnsi="宋体" w:eastAsia="宋体"/>
          <w:b/>
          <w:lang w:val="zh-CN"/>
        </w:rPr>
      </w:pPr>
    </w:p>
    <w:p w14:paraId="37BDB64A">
      <w:pPr>
        <w:rPr>
          <w:rFonts w:hint="eastAsia" w:ascii="宋体" w:hAnsi="宋体" w:eastAsia="宋体"/>
          <w:b/>
          <w:lang w:val="zh-CN"/>
        </w:rPr>
      </w:pPr>
    </w:p>
    <w:p w14:paraId="5656BEA6">
      <w:pPr>
        <w:adjustRightInd w:val="0"/>
        <w:snapToGrid w:val="0"/>
        <w:spacing w:before="120" w:beforeLines="50" w:after="120" w:afterLines="50" w:line="360" w:lineRule="auto"/>
        <w:jc w:val="center"/>
        <w:outlineLvl w:val="0"/>
        <w:rPr>
          <w:rFonts w:hint="eastAsia" w:ascii="宋体" w:hAnsi="宋体" w:cs="宋体"/>
          <w:b/>
          <w:sz w:val="30"/>
          <w:szCs w:val="30"/>
        </w:rPr>
      </w:pPr>
      <w:bookmarkStart w:id="19" w:name="_Toc1792759694"/>
      <w:bookmarkStart w:id="20" w:name="_Toc8351"/>
      <w:bookmarkStart w:id="21" w:name="_Toc2180"/>
      <w:bookmarkStart w:id="22" w:name="_Toc234770909"/>
      <w:bookmarkStart w:id="23" w:name="_Toc1405074704"/>
      <w:bookmarkStart w:id="24" w:name="_Toc1151276230"/>
      <w:bookmarkStart w:id="25" w:name="_Toc29348"/>
      <w:bookmarkStart w:id="26" w:name="_Toc477869974"/>
      <w:bookmarkStart w:id="27" w:name="_Toc456759686"/>
      <w:bookmarkStart w:id="28" w:name="_Toc9565"/>
      <w:bookmarkStart w:id="29" w:name="_Toc1489588996"/>
      <w:bookmarkStart w:id="30" w:name="_Toc5702"/>
      <w:r>
        <w:rPr>
          <w:rFonts w:hint="eastAsia" w:ascii="宋体" w:hAnsi="宋体" w:cs="宋体"/>
          <w:b/>
          <w:sz w:val="30"/>
          <w:szCs w:val="30"/>
        </w:rPr>
        <w:t>第</w:t>
      </w:r>
      <w:r>
        <w:rPr>
          <w:rFonts w:hint="eastAsia" w:ascii="宋体" w:hAnsi="宋体" w:cs="宋体"/>
          <w:b/>
          <w:sz w:val="30"/>
          <w:szCs w:val="30"/>
          <w:lang w:eastAsia="zh-CN"/>
        </w:rPr>
        <w:t>七章</w:t>
      </w:r>
      <w:r>
        <w:rPr>
          <w:rFonts w:hint="eastAsia" w:ascii="宋体" w:hAnsi="宋体" w:cs="宋体"/>
          <w:b/>
          <w:sz w:val="30"/>
          <w:szCs w:val="30"/>
        </w:rPr>
        <w:t xml:space="preserve">   其它</w:t>
      </w:r>
      <w:bookmarkEnd w:id="19"/>
      <w:bookmarkEnd w:id="20"/>
      <w:bookmarkEnd w:id="21"/>
      <w:bookmarkEnd w:id="22"/>
      <w:bookmarkEnd w:id="23"/>
      <w:bookmarkEnd w:id="24"/>
      <w:bookmarkEnd w:id="25"/>
      <w:bookmarkEnd w:id="26"/>
      <w:bookmarkEnd w:id="27"/>
      <w:bookmarkEnd w:id="28"/>
      <w:bookmarkEnd w:id="29"/>
      <w:bookmarkEnd w:id="30"/>
    </w:p>
    <w:p w14:paraId="060E0375">
      <w:pPr>
        <w:tabs>
          <w:tab w:val="left" w:pos="0"/>
        </w:tabs>
        <w:autoSpaceDE w:val="0"/>
        <w:autoSpaceDN w:val="0"/>
        <w:spacing w:line="360" w:lineRule="auto"/>
        <w:jc w:val="center"/>
        <w:rPr>
          <w:rFonts w:hint="eastAsia" w:ascii="黑体" w:hAnsi="黑体" w:eastAsia="黑体" w:cs="黑体"/>
          <w:b/>
          <w:bCs/>
          <w:sz w:val="30"/>
          <w:szCs w:val="30"/>
        </w:rPr>
      </w:pPr>
      <w:r>
        <w:rPr>
          <w:rFonts w:hint="eastAsia" w:ascii="黑体" w:hAnsi="黑体" w:eastAsia="黑体" w:cs="黑体"/>
          <w:b/>
          <w:bCs/>
          <w:sz w:val="30"/>
          <w:szCs w:val="30"/>
        </w:rPr>
        <w:t>质疑函范本</w:t>
      </w:r>
    </w:p>
    <w:p w14:paraId="5F29F85E">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一、质疑供应商基本信息</w:t>
      </w:r>
    </w:p>
    <w:p w14:paraId="429D436F">
      <w:pPr>
        <w:adjustRightInd w:val="0"/>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C90E9A5">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79CF55B8">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4C70BF6">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11C88CA1">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0A09328D">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05A6327">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4F8D8720">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5232A896">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6A7E1933">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0A713570">
      <w:pPr>
        <w:adjustRightInd w:val="0"/>
        <w:snapToGrid w:val="0"/>
        <w:spacing w:line="360" w:lineRule="auto"/>
        <w:rPr>
          <w:rFonts w:hint="eastAsia" w:ascii="宋体" w:hAnsi="宋体" w:cs="宋体"/>
          <w:szCs w:val="21"/>
          <w:u w:val="dotted"/>
        </w:rPr>
      </w:pPr>
      <w:r>
        <w:rPr>
          <w:rFonts w:hint="eastAsia" w:ascii="宋体" w:hAnsi="宋体" w:cs="宋体"/>
          <w:szCs w:val="21"/>
          <w:lang w:eastAsia="zh-CN"/>
        </w:rPr>
        <w:t>磋商文件</w:t>
      </w:r>
      <w:r>
        <w:rPr>
          <w:rFonts w:hint="eastAsia" w:ascii="宋体" w:hAnsi="宋体" w:cs="宋体"/>
          <w:szCs w:val="21"/>
        </w:rPr>
        <w:t>获取日期：</w:t>
      </w:r>
      <w:r>
        <w:rPr>
          <w:rFonts w:hint="eastAsia" w:ascii="宋体" w:hAnsi="宋体" w:cs="宋体"/>
          <w:szCs w:val="21"/>
          <w:u w:val="dotted"/>
        </w:rPr>
        <w:t xml:space="preserve">                                    </w:t>
      </w:r>
    </w:p>
    <w:p w14:paraId="2BBD61B0">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414C2A2D">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03EFB345">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2FA255F">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52137C64">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43C7D5A4">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4F636FE4">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1A0CE726">
      <w:pPr>
        <w:adjustRightInd w:val="0"/>
        <w:snapToGrid w:val="0"/>
        <w:spacing w:line="360" w:lineRule="auto"/>
        <w:rPr>
          <w:rFonts w:hint="eastAsia" w:ascii="宋体" w:hAnsi="宋体" w:cs="宋体"/>
          <w:szCs w:val="21"/>
        </w:rPr>
      </w:pPr>
      <w:r>
        <w:rPr>
          <w:rFonts w:hint="eastAsia" w:ascii="宋体" w:hAnsi="宋体" w:cs="宋体"/>
          <w:szCs w:val="21"/>
        </w:rPr>
        <w:t>……</w:t>
      </w:r>
    </w:p>
    <w:p w14:paraId="4562535D">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58B9BB0A">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7FF6A8AC">
      <w:pPr>
        <w:spacing w:line="360" w:lineRule="auto"/>
        <w:rPr>
          <w:rFonts w:hint="eastAsia" w:ascii="宋体" w:hAnsi="宋体" w:cs="宋体"/>
          <w:szCs w:val="21"/>
        </w:rPr>
      </w:pPr>
    </w:p>
    <w:p w14:paraId="3C7071F0">
      <w:pPr>
        <w:spacing w:line="360" w:lineRule="auto"/>
        <w:rPr>
          <w:rFonts w:hint="eastAsia" w:ascii="宋体" w:hAnsi="宋体" w:cs="宋体"/>
          <w:szCs w:val="21"/>
        </w:rPr>
      </w:pPr>
      <w:r>
        <w:rPr>
          <w:rFonts w:hint="eastAsia" w:ascii="宋体" w:hAnsi="宋体" w:cs="宋体"/>
          <w:szCs w:val="21"/>
        </w:rPr>
        <w:t xml:space="preserve">签字(签章)：                   公章：                      </w:t>
      </w:r>
    </w:p>
    <w:p w14:paraId="68E6C625">
      <w:pPr>
        <w:spacing w:line="360" w:lineRule="auto"/>
        <w:rPr>
          <w:rFonts w:hint="eastAsia" w:ascii="宋体" w:hAnsi="宋体" w:cs="宋体"/>
          <w:szCs w:val="21"/>
        </w:rPr>
      </w:pPr>
    </w:p>
    <w:p w14:paraId="17194AEF">
      <w:pPr>
        <w:spacing w:line="360" w:lineRule="auto"/>
        <w:rPr>
          <w:rFonts w:hint="eastAsia" w:ascii="宋体" w:hAnsi="宋体" w:cs="宋体"/>
          <w:szCs w:val="21"/>
        </w:rPr>
      </w:pPr>
      <w:r>
        <w:rPr>
          <w:rFonts w:hint="eastAsia" w:ascii="宋体" w:hAnsi="宋体" w:cs="宋体"/>
          <w:szCs w:val="21"/>
        </w:rPr>
        <w:t xml:space="preserve">日期：    </w:t>
      </w:r>
    </w:p>
    <w:p w14:paraId="09C45A38">
      <w:pPr>
        <w:adjustRightInd w:val="0"/>
        <w:snapToGrid w:val="0"/>
        <w:spacing w:line="360" w:lineRule="auto"/>
        <w:rPr>
          <w:rFonts w:ascii="仿宋" w:hAnsi="仿宋" w:eastAsia="仿宋" w:cs="仿宋"/>
          <w:sz w:val="24"/>
        </w:rPr>
      </w:pPr>
    </w:p>
    <w:p w14:paraId="3300CB82">
      <w:pPr>
        <w:spacing w:line="360" w:lineRule="auto"/>
        <w:rPr>
          <w:rFonts w:hint="eastAsia"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29811666">
      <w:pPr>
        <w:pStyle w:val="12"/>
      </w:pPr>
    </w:p>
    <w:p w14:paraId="5ECF21BC">
      <w:pPr>
        <w:widowControl/>
        <w:spacing w:line="360"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14:paraId="78F02F07">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1A08A8EB">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14:paraId="5579F4E3">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353A2E86">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254A21A2">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6F254242">
      <w:pPr>
        <w:widowControl/>
        <w:ind w:firstLine="480" w:firstLineChars="200"/>
        <w:jc w:val="left"/>
        <w:rPr>
          <w:rFonts w:ascii="仿宋_GB2312" w:eastAsia="仿宋_GB2312"/>
          <w:sz w:val="24"/>
        </w:rPr>
      </w:pPr>
    </w:p>
    <w:p w14:paraId="0A037A1D"/>
    <w:p w14:paraId="00346257"/>
    <w:p w14:paraId="759A9084">
      <w:pPr>
        <w:spacing w:line="360" w:lineRule="auto"/>
        <w:rPr>
          <w:rFonts w:hint="eastAsia" w:ascii="宋体" w:hAnsi="宋体" w:cs="仿宋_GB2312"/>
          <w:kern w:val="0"/>
          <w:sz w:val="24"/>
          <w:szCs w:val="24"/>
          <w:shd w:val="clear" w:color="auto" w:fill="FFFFFF"/>
        </w:rPr>
      </w:pPr>
    </w:p>
    <w:p w14:paraId="6F6373BB">
      <w:pPr>
        <w:rPr>
          <w:rFonts w:hint="eastAsia"/>
        </w:rPr>
      </w:pPr>
    </w:p>
    <w:p w14:paraId="42CE376B">
      <w:pPr>
        <w:rPr>
          <w:rFonts w:hint="eastAsia" w:ascii="宋体" w:hAnsi="宋体" w:eastAsia="宋体"/>
          <w:b/>
          <w:lang w:val="zh-CN"/>
        </w:rPr>
      </w:pPr>
    </w:p>
    <w:sectPr>
      <w:headerReference r:id="rId3" w:type="default"/>
      <w:footerReference r:id="rId4" w:type="default"/>
      <w:type w:val="continuous"/>
      <w:pgSz w:w="11906" w:h="16838"/>
      <w:pgMar w:top="1134" w:right="1502" w:bottom="1134" w:left="1502" w:header="851" w:footer="261"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FFFFFF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000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2E8B">
    <w:pPr>
      <w:pStyle w:val="19"/>
      <w:jc w:val="center"/>
    </w:pPr>
    <w:r>
      <w:fldChar w:fldCharType="begin"/>
    </w:r>
    <w:r>
      <w:instrText xml:space="preserve">PAGE   \* MERGEFORMAT</w:instrText>
    </w:r>
    <w:r>
      <w:fldChar w:fldCharType="separate"/>
    </w:r>
    <w:r>
      <w:rPr>
        <w:lang w:val="zh-CN"/>
      </w:rPr>
      <w:t>41</w:t>
    </w:r>
    <w:r>
      <w:rPr>
        <w:lang w:val="zh-CN"/>
      </w:rPr>
      <w:fldChar w:fldCharType="end"/>
    </w:r>
  </w:p>
  <w:p w14:paraId="4DED592E">
    <w:pPr>
      <w:pStyle w:val="19"/>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BA8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6582F"/>
    <w:multiLevelType w:val="singleLevel"/>
    <w:tmpl w:val="C226582F"/>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00000002"/>
    <w:multiLevelType w:val="singleLevel"/>
    <w:tmpl w:val="00000002"/>
    <w:lvl w:ilvl="0" w:tentative="0">
      <w:start w:val="1"/>
      <w:numFmt w:val="decimal"/>
      <w:pStyle w:val="15"/>
      <w:lvlText w:val="%1."/>
      <w:lvlJc w:val="left"/>
      <w:pPr>
        <w:tabs>
          <w:tab w:val="left" w:pos="1620"/>
        </w:tabs>
        <w:ind w:left="1620" w:leftChars="600" w:hanging="360" w:hangingChars="200"/>
      </w:pPr>
    </w:lvl>
  </w:abstractNum>
  <w:abstractNum w:abstractNumId="3">
    <w:nsid w:val="00000004"/>
    <w:multiLevelType w:val="singleLevel"/>
    <w:tmpl w:val="00000004"/>
    <w:lvl w:ilvl="0" w:tentative="0">
      <w:start w:val="1"/>
      <w:numFmt w:val="decimal"/>
      <w:lvlText w:val="%1."/>
      <w:lvlJc w:val="left"/>
      <w:pPr>
        <w:tabs>
          <w:tab w:val="left" w:pos="312"/>
        </w:tabs>
      </w:pPr>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OGEyZDc5ZjBhOWY4MGZjN2ExZGM2MGQ3NjA4ZGMifQ=="/>
  </w:docVars>
  <w:rsids>
    <w:rsidRoot w:val="00000000"/>
    <w:rsid w:val="05957F4F"/>
    <w:rsid w:val="06523B70"/>
    <w:rsid w:val="06D255B5"/>
    <w:rsid w:val="0AC658E3"/>
    <w:rsid w:val="0D9553DC"/>
    <w:rsid w:val="0FE97C61"/>
    <w:rsid w:val="111D1CB8"/>
    <w:rsid w:val="11EC5C74"/>
    <w:rsid w:val="13F372BF"/>
    <w:rsid w:val="149D08CC"/>
    <w:rsid w:val="15804BC3"/>
    <w:rsid w:val="17627FE3"/>
    <w:rsid w:val="182201B4"/>
    <w:rsid w:val="18831090"/>
    <w:rsid w:val="1FDB5818"/>
    <w:rsid w:val="222F4EF8"/>
    <w:rsid w:val="2564552A"/>
    <w:rsid w:val="27A75FE0"/>
    <w:rsid w:val="297E0BF6"/>
    <w:rsid w:val="2A004B1D"/>
    <w:rsid w:val="2C0E0D5A"/>
    <w:rsid w:val="2C610E53"/>
    <w:rsid w:val="2CAC2F30"/>
    <w:rsid w:val="2CD55535"/>
    <w:rsid w:val="2E39588A"/>
    <w:rsid w:val="2EAB1BA5"/>
    <w:rsid w:val="2EFF5625"/>
    <w:rsid w:val="2F200CCF"/>
    <w:rsid w:val="2F313F81"/>
    <w:rsid w:val="2F5A7DDB"/>
    <w:rsid w:val="308D0B19"/>
    <w:rsid w:val="31301355"/>
    <w:rsid w:val="3204238E"/>
    <w:rsid w:val="338A2530"/>
    <w:rsid w:val="35EB79DF"/>
    <w:rsid w:val="39A53C9F"/>
    <w:rsid w:val="3AD734D5"/>
    <w:rsid w:val="3E6B0821"/>
    <w:rsid w:val="3E897E78"/>
    <w:rsid w:val="427B20EB"/>
    <w:rsid w:val="42FF4224"/>
    <w:rsid w:val="43A73272"/>
    <w:rsid w:val="442C229F"/>
    <w:rsid w:val="47797541"/>
    <w:rsid w:val="49D971CF"/>
    <w:rsid w:val="4D395908"/>
    <w:rsid w:val="4D3B191D"/>
    <w:rsid w:val="50FB3CFD"/>
    <w:rsid w:val="51135887"/>
    <w:rsid w:val="52C6307D"/>
    <w:rsid w:val="53E40EBC"/>
    <w:rsid w:val="54B629D5"/>
    <w:rsid w:val="55816019"/>
    <w:rsid w:val="56503B63"/>
    <w:rsid w:val="57807FA7"/>
    <w:rsid w:val="58491E40"/>
    <w:rsid w:val="58E31F6C"/>
    <w:rsid w:val="5B793A38"/>
    <w:rsid w:val="5B9876D8"/>
    <w:rsid w:val="5E851314"/>
    <w:rsid w:val="5FDF42E5"/>
    <w:rsid w:val="60777798"/>
    <w:rsid w:val="611F2AAF"/>
    <w:rsid w:val="615D0861"/>
    <w:rsid w:val="6429154F"/>
    <w:rsid w:val="666A249B"/>
    <w:rsid w:val="67A27F96"/>
    <w:rsid w:val="69085BD7"/>
    <w:rsid w:val="6EAB3BD4"/>
    <w:rsid w:val="701B4F85"/>
    <w:rsid w:val="702F613F"/>
    <w:rsid w:val="70717868"/>
    <w:rsid w:val="730B1058"/>
    <w:rsid w:val="7395633A"/>
    <w:rsid w:val="74732A9E"/>
    <w:rsid w:val="75CE52E8"/>
    <w:rsid w:val="75F55735"/>
    <w:rsid w:val="75F95225"/>
    <w:rsid w:val="76E71522"/>
    <w:rsid w:val="7935292E"/>
    <w:rsid w:val="79E166FC"/>
    <w:rsid w:val="7CCC1984"/>
    <w:rsid w:val="7E1E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86"/>
    <w:qFormat/>
    <w:uiPriority w:val="9"/>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70"/>
    <w:autoRedefine/>
    <w:qFormat/>
    <w:uiPriority w:val="0"/>
    <w:pPr>
      <w:keepNext/>
      <w:keepLines/>
      <w:spacing w:before="240" w:after="64" w:line="320" w:lineRule="auto"/>
      <w:outlineLvl w:val="5"/>
    </w:pPr>
    <w:rPr>
      <w:rFonts w:ascii="Cambria" w:hAnsi="Cambria"/>
      <w:b/>
      <w:bCs/>
      <w:sz w:val="24"/>
      <w:szCs w:val="24"/>
    </w:rPr>
  </w:style>
  <w:style w:type="character" w:default="1" w:styleId="31">
    <w:name w:val="Default Paragraph Font"/>
    <w:qFormat/>
    <w:uiPriority w:val="1"/>
  </w:style>
  <w:style w:type="table" w:default="1" w:styleId="29">
    <w:name w:val="Normal Table"/>
    <w:autoRedefine/>
    <w:qFormat/>
    <w:uiPriority w:val="99"/>
    <w:tblPr>
      <w:tblCellMar>
        <w:top w:w="0" w:type="dxa"/>
        <w:left w:w="108" w:type="dxa"/>
        <w:bottom w:w="0" w:type="dxa"/>
        <w:right w:w="108" w:type="dxa"/>
      </w:tblCellMar>
    </w:tblPr>
  </w:style>
  <w:style w:type="paragraph" w:styleId="8">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9">
    <w:name w:val="Normal Indent"/>
    <w:basedOn w:val="1"/>
    <w:link w:val="57"/>
    <w:autoRedefine/>
    <w:qFormat/>
    <w:uiPriority w:val="0"/>
    <w:pPr>
      <w:spacing w:line="300" w:lineRule="auto"/>
      <w:ind w:firstLine="420"/>
    </w:pPr>
  </w:style>
  <w:style w:type="paragraph" w:styleId="10">
    <w:name w:val="annotation text"/>
    <w:basedOn w:val="1"/>
    <w:link w:val="53"/>
    <w:autoRedefine/>
    <w:qFormat/>
    <w:uiPriority w:val="0"/>
    <w:pPr>
      <w:jc w:val="left"/>
    </w:pPr>
    <w:rPr>
      <w:szCs w:val="24"/>
    </w:rPr>
  </w:style>
  <w:style w:type="paragraph" w:styleId="11">
    <w:name w:val="Body Text"/>
    <w:basedOn w:val="1"/>
    <w:link w:val="54"/>
    <w:autoRedefine/>
    <w:qFormat/>
    <w:uiPriority w:val="1"/>
    <w:pPr>
      <w:spacing w:after="120"/>
    </w:pPr>
    <w:rPr>
      <w:rFonts w:eastAsia="??"/>
      <w:sz w:val="28"/>
      <w:szCs w:val="28"/>
    </w:rPr>
  </w:style>
  <w:style w:type="paragraph" w:styleId="12">
    <w:name w:val="Body Text Indent"/>
    <w:basedOn w:val="1"/>
    <w:next w:val="1"/>
    <w:link w:val="52"/>
    <w:autoRedefine/>
    <w:qFormat/>
    <w:uiPriority w:val="0"/>
    <w:pPr>
      <w:spacing w:after="120"/>
      <w:ind w:left="420" w:leftChars="200"/>
    </w:pPr>
  </w:style>
  <w:style w:type="paragraph" w:styleId="13">
    <w:name w:val="List 2"/>
    <w:basedOn w:val="1"/>
    <w:autoRedefine/>
    <w:qFormat/>
    <w:uiPriority w:val="0"/>
    <w:pPr>
      <w:ind w:left="100" w:leftChars="200" w:hanging="200" w:hangingChars="200"/>
    </w:pPr>
    <w:rPr>
      <w:sz w:val="28"/>
    </w:rPr>
  </w:style>
  <w:style w:type="paragraph" w:styleId="14">
    <w:name w:val="Plain Text"/>
    <w:basedOn w:val="1"/>
    <w:link w:val="65"/>
    <w:qFormat/>
    <w:uiPriority w:val="0"/>
    <w:rPr>
      <w:rFonts w:ascii="宋体" w:hAnsi="Courier New" w:eastAsia="仿宋_GB2312"/>
      <w:sz w:val="30"/>
    </w:rPr>
  </w:style>
  <w:style w:type="paragraph" w:styleId="15">
    <w:name w:val="List Number 4"/>
    <w:basedOn w:val="1"/>
    <w:autoRedefine/>
    <w:qFormat/>
    <w:uiPriority w:val="0"/>
    <w:pPr>
      <w:numPr>
        <w:ilvl w:val="0"/>
        <w:numId w:val="1"/>
      </w:numPr>
      <w:contextualSpacing/>
    </w:pPr>
  </w:style>
  <w:style w:type="paragraph" w:styleId="16">
    <w:name w:val="Date"/>
    <w:basedOn w:val="1"/>
    <w:next w:val="1"/>
    <w:link w:val="79"/>
    <w:autoRedefine/>
    <w:qFormat/>
    <w:uiPriority w:val="0"/>
    <w:pPr>
      <w:ind w:left="2500" w:leftChars="2500" w:firstLine="720" w:firstLineChars="200"/>
    </w:pPr>
    <w:rPr>
      <w:rFonts w:eastAsia="楷体_GB2312"/>
      <w:sz w:val="32"/>
    </w:rPr>
  </w:style>
  <w:style w:type="paragraph" w:styleId="17">
    <w:name w:val="Body Text Indent 2"/>
    <w:basedOn w:val="1"/>
    <w:link w:val="59"/>
    <w:autoRedefine/>
    <w:qFormat/>
    <w:uiPriority w:val="0"/>
    <w:pPr>
      <w:spacing w:line="500" w:lineRule="exact"/>
      <w:ind w:left="105" w:firstLine="465" w:firstLineChars="166"/>
    </w:pPr>
    <w:rPr>
      <w:sz w:val="28"/>
    </w:rPr>
  </w:style>
  <w:style w:type="paragraph" w:styleId="18">
    <w:name w:val="Balloon Text"/>
    <w:basedOn w:val="1"/>
    <w:link w:val="41"/>
    <w:autoRedefine/>
    <w:qFormat/>
    <w:uiPriority w:val="99"/>
    <w:rPr>
      <w:sz w:val="18"/>
      <w:szCs w:val="18"/>
    </w:rPr>
  </w:style>
  <w:style w:type="paragraph" w:styleId="19">
    <w:name w:val="footer"/>
    <w:basedOn w:val="1"/>
    <w:link w:val="42"/>
    <w:autoRedefine/>
    <w:qFormat/>
    <w:uiPriority w:val="99"/>
    <w:pPr>
      <w:tabs>
        <w:tab w:val="center" w:pos="4153"/>
        <w:tab w:val="right" w:pos="8306"/>
      </w:tabs>
      <w:snapToGrid w:val="0"/>
      <w:jc w:val="left"/>
    </w:pPr>
    <w:rPr>
      <w:sz w:val="18"/>
      <w:szCs w:val="18"/>
    </w:rPr>
  </w:style>
  <w:style w:type="paragraph" w:styleId="20">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autoRedefine/>
    <w:qFormat/>
    <w:uiPriority w:val="0"/>
    <w:pPr>
      <w:ind w:left="200" w:hanging="200" w:hangingChars="200"/>
    </w:pPr>
  </w:style>
  <w:style w:type="paragraph" w:styleId="22">
    <w:name w:val="Body Text Indent 3"/>
    <w:basedOn w:val="1"/>
    <w:link w:val="73"/>
    <w:autoRedefine/>
    <w:qFormat/>
    <w:uiPriority w:val="0"/>
    <w:pPr>
      <w:spacing w:after="120"/>
      <w:ind w:left="420" w:leftChars="200"/>
    </w:pPr>
    <w:rPr>
      <w:sz w:val="16"/>
      <w:szCs w:val="16"/>
    </w:rPr>
  </w:style>
  <w:style w:type="paragraph" w:styleId="23">
    <w:name w:val="toc 2"/>
    <w:basedOn w:val="1"/>
    <w:next w:val="1"/>
    <w:autoRedefine/>
    <w:qFormat/>
    <w:uiPriority w:val="1"/>
    <w:pPr>
      <w:spacing w:before="133"/>
      <w:ind w:left="118"/>
      <w:jc w:val="left"/>
    </w:pPr>
    <w:rPr>
      <w:rFonts w:ascii="宋体" w:hAnsi="宋体"/>
      <w:kern w:val="0"/>
      <w:sz w:val="24"/>
      <w:szCs w:val="24"/>
      <w:lang w:eastAsia="en-US"/>
    </w:rPr>
  </w:style>
  <w:style w:type="paragraph" w:styleId="24">
    <w:name w:val="Normal (Web)"/>
    <w:basedOn w:val="1"/>
    <w:link w:val="148"/>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link w:val="76"/>
    <w:autoRedefine/>
    <w:qFormat/>
    <w:uiPriority w:val="0"/>
    <w:pPr>
      <w:jc w:val="center"/>
    </w:pPr>
    <w:rPr>
      <w:rFonts w:ascii="Calibri" w:hAnsi="Calibri"/>
      <w:sz w:val="30"/>
      <w:szCs w:val="30"/>
    </w:rPr>
  </w:style>
  <w:style w:type="paragraph" w:styleId="26">
    <w:name w:val="annotation subject"/>
    <w:basedOn w:val="10"/>
    <w:next w:val="10"/>
    <w:link w:val="50"/>
    <w:autoRedefine/>
    <w:qFormat/>
    <w:uiPriority w:val="0"/>
    <w:rPr>
      <w:b/>
      <w:bCs/>
    </w:rPr>
  </w:style>
  <w:style w:type="paragraph" w:styleId="27">
    <w:name w:val="Body Text First Indent"/>
    <w:basedOn w:val="11"/>
    <w:next w:val="1"/>
    <w:link w:val="139"/>
    <w:autoRedefine/>
    <w:qFormat/>
    <w:uiPriority w:val="0"/>
    <w:pPr>
      <w:ind w:firstLine="420" w:firstLineChars="100"/>
    </w:pPr>
    <w:rPr>
      <w:rFonts w:eastAsia="宋体"/>
      <w:sz w:val="21"/>
      <w:szCs w:val="20"/>
    </w:rPr>
  </w:style>
  <w:style w:type="paragraph" w:styleId="28">
    <w:name w:val="Body Text First Indent 2"/>
    <w:basedOn w:val="12"/>
    <w:link w:val="140"/>
    <w:autoRedefine/>
    <w:qFormat/>
    <w:uiPriority w:val="99"/>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basedOn w:val="31"/>
    <w:autoRedefine/>
    <w:qFormat/>
    <w:uiPriority w:val="0"/>
  </w:style>
  <w:style w:type="character" w:styleId="34">
    <w:name w:val="Emphasis"/>
    <w:qFormat/>
    <w:uiPriority w:val="20"/>
    <w:rPr>
      <w:i/>
      <w:iCs/>
    </w:rPr>
  </w:style>
  <w:style w:type="character" w:styleId="35">
    <w:name w:val="Hyperlink"/>
    <w:autoRedefine/>
    <w:qFormat/>
    <w:uiPriority w:val="0"/>
    <w:rPr>
      <w:color w:val="000000"/>
      <w:sz w:val="18"/>
      <w:szCs w:val="18"/>
      <w:u w:val="none"/>
    </w:rPr>
  </w:style>
  <w:style w:type="character" w:styleId="36">
    <w:name w:val="annotation reference"/>
    <w:qFormat/>
    <w:uiPriority w:val="0"/>
    <w:rPr>
      <w:sz w:val="21"/>
      <w:szCs w:val="21"/>
    </w:rPr>
  </w:style>
  <w:style w:type="paragraph" w:customStyle="1" w:styleId="37">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38">
    <w:name w:val="表格文字"/>
    <w:basedOn w:val="1"/>
    <w:next w:val="11"/>
    <w:autoRedefine/>
    <w:qFormat/>
    <w:uiPriority w:val="0"/>
    <w:pPr>
      <w:widowControl/>
      <w:spacing w:before="25" w:after="25" w:line="300" w:lineRule="auto"/>
      <w:jc w:val="left"/>
    </w:pPr>
    <w:rPr>
      <w:rFonts w:ascii="Times" w:hAnsi="Times"/>
      <w:spacing w:val="10"/>
      <w:kern w:val="0"/>
      <w:sz w:val="24"/>
    </w:rPr>
  </w:style>
  <w:style w:type="paragraph" w:customStyle="1" w:styleId="3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0正文"/>
    <w:basedOn w:val="1"/>
    <w:qFormat/>
    <w:uiPriority w:val="0"/>
    <w:pPr>
      <w:spacing w:line="560" w:lineRule="exact"/>
      <w:ind w:firstLine="200" w:firstLineChars="200"/>
    </w:pPr>
    <w:rPr>
      <w:rFonts w:ascii="Tahoma" w:hAnsi="Tahoma"/>
      <w:szCs w:val="22"/>
    </w:rPr>
  </w:style>
  <w:style w:type="character" w:customStyle="1" w:styleId="41">
    <w:name w:val="批注框文本 Char"/>
    <w:link w:val="18"/>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纯文本 字符"/>
    <w:autoRedefine/>
    <w:qFormat/>
    <w:uiPriority w:val="0"/>
    <w:rPr>
      <w:rFonts w:hint="eastAsia" w:ascii="宋体" w:hAnsi="Courier New" w:eastAsia="仿宋_GB2312"/>
      <w:kern w:val="2"/>
      <w:sz w:val="30"/>
      <w:lang w:val="en-US" w:eastAsia="zh-CN"/>
    </w:rPr>
  </w:style>
  <w:style w:type="character" w:customStyle="1" w:styleId="44">
    <w:name w:val="页眉 Char"/>
    <w:link w:val="20"/>
    <w:autoRedefine/>
    <w:qFormat/>
    <w:uiPriority w:val="99"/>
    <w:rPr>
      <w:kern w:val="2"/>
      <w:sz w:val="18"/>
      <w:szCs w:val="18"/>
    </w:rPr>
  </w:style>
  <w:style w:type="character" w:customStyle="1" w:styleId="45">
    <w:name w:val="标题 4 字符1"/>
    <w:qFormat/>
    <w:uiPriority w:val="0"/>
    <w:rPr>
      <w:rFonts w:ascii="Arial" w:hAnsi="Arial"/>
      <w:b/>
      <w:bCs/>
      <w:kern w:val="2"/>
      <w:sz w:val="24"/>
      <w:szCs w:val="28"/>
    </w:rPr>
  </w:style>
  <w:style w:type="character" w:customStyle="1" w:styleId="46">
    <w:name w:val="访问过的超链接1"/>
    <w:qFormat/>
    <w:uiPriority w:val="0"/>
    <w:rPr>
      <w:color w:val="000000"/>
      <w:sz w:val="18"/>
      <w:szCs w:val="18"/>
      <w:u w:val="none"/>
    </w:rPr>
  </w:style>
  <w:style w:type="character" w:customStyle="1" w:styleId="47">
    <w:name w:val="列表段落 字符"/>
    <w:link w:val="48"/>
    <w:autoRedefine/>
    <w:qFormat/>
    <w:uiPriority w:val="34"/>
    <w:rPr>
      <w:rFonts w:eastAsia="??"/>
      <w:sz w:val="24"/>
      <w:szCs w:val="24"/>
    </w:rPr>
  </w:style>
  <w:style w:type="paragraph" w:customStyle="1" w:styleId="48">
    <w:name w:val="列表段落"/>
    <w:basedOn w:val="1"/>
    <w:link w:val="47"/>
    <w:qFormat/>
    <w:uiPriority w:val="34"/>
    <w:pPr>
      <w:autoSpaceDE w:val="0"/>
      <w:autoSpaceDN w:val="0"/>
      <w:adjustRightInd w:val="0"/>
      <w:ind w:firstLine="200" w:firstLineChars="200"/>
      <w:jc w:val="left"/>
    </w:pPr>
    <w:rPr>
      <w:rFonts w:eastAsia="??"/>
      <w:kern w:val="0"/>
      <w:sz w:val="24"/>
      <w:szCs w:val="24"/>
    </w:rPr>
  </w:style>
  <w:style w:type="character" w:customStyle="1" w:styleId="49">
    <w:name w:val="标题 1 Char Char"/>
    <w:qFormat/>
    <w:uiPriority w:val="0"/>
    <w:rPr>
      <w:rFonts w:eastAsia="宋体"/>
      <w:b/>
      <w:spacing w:val="-2"/>
      <w:sz w:val="24"/>
      <w:lang w:val="en-US" w:eastAsia="zh-CN"/>
    </w:rPr>
  </w:style>
  <w:style w:type="character" w:customStyle="1" w:styleId="50">
    <w:name w:val="批注主题 Char"/>
    <w:link w:val="26"/>
    <w:qFormat/>
    <w:uiPriority w:val="0"/>
    <w:rPr>
      <w:b/>
      <w:bCs/>
      <w:kern w:val="2"/>
      <w:sz w:val="21"/>
      <w:szCs w:val="24"/>
    </w:rPr>
  </w:style>
  <w:style w:type="character" w:customStyle="1" w:styleId="51">
    <w:name w:val="标题 5 Char"/>
    <w:link w:val="6"/>
    <w:autoRedefine/>
    <w:qFormat/>
    <w:uiPriority w:val="0"/>
    <w:rPr>
      <w:b/>
      <w:bCs/>
      <w:kern w:val="2"/>
      <w:sz w:val="28"/>
      <w:szCs w:val="28"/>
    </w:rPr>
  </w:style>
  <w:style w:type="character" w:customStyle="1" w:styleId="52">
    <w:name w:val="正文文本缩进 Char"/>
    <w:link w:val="12"/>
    <w:autoRedefine/>
    <w:qFormat/>
    <w:uiPriority w:val="0"/>
    <w:rPr>
      <w:kern w:val="2"/>
      <w:sz w:val="21"/>
    </w:rPr>
  </w:style>
  <w:style w:type="character" w:customStyle="1" w:styleId="53">
    <w:name w:val="批注文字 Char"/>
    <w:link w:val="10"/>
    <w:qFormat/>
    <w:uiPriority w:val="0"/>
    <w:rPr>
      <w:kern w:val="2"/>
      <w:sz w:val="21"/>
      <w:szCs w:val="24"/>
    </w:rPr>
  </w:style>
  <w:style w:type="character" w:customStyle="1" w:styleId="54">
    <w:name w:val="正文文本 Char"/>
    <w:link w:val="11"/>
    <w:autoRedefine/>
    <w:qFormat/>
    <w:uiPriority w:val="1"/>
    <w:rPr>
      <w:rFonts w:eastAsia="??"/>
      <w:kern w:val="2"/>
      <w:sz w:val="28"/>
      <w:szCs w:val="28"/>
      <w:lang w:val="en-US" w:eastAsia="zh-CN" w:bidi="ar-SA"/>
    </w:rPr>
  </w:style>
  <w:style w:type="character" w:customStyle="1" w:styleId="55">
    <w:name w:val="newyxline1"/>
    <w:qFormat/>
    <w:uiPriority w:val="0"/>
    <w:rPr>
      <w:rFonts w:hint="default"/>
      <w:color w:val="000000"/>
      <w:sz w:val="18"/>
      <w:szCs w:val="18"/>
      <w:u w:val="none"/>
    </w:rPr>
  </w:style>
  <w:style w:type="character" w:customStyle="1" w:styleId="56">
    <w:name w:val="font21"/>
    <w:autoRedefine/>
    <w:qFormat/>
    <w:uiPriority w:val="0"/>
    <w:rPr>
      <w:rFonts w:hint="eastAsia" w:ascii="宋体" w:hAnsi="宋体" w:eastAsia="宋体" w:cs="宋体"/>
      <w:color w:val="000000"/>
      <w:sz w:val="18"/>
      <w:szCs w:val="18"/>
      <w:u w:val="none"/>
    </w:rPr>
  </w:style>
  <w:style w:type="character" w:customStyle="1" w:styleId="57">
    <w:name w:val="正文缩进 Char1"/>
    <w:link w:val="9"/>
    <w:qFormat/>
    <w:uiPriority w:val="0"/>
    <w:rPr>
      <w:kern w:val="2"/>
      <w:sz w:val="21"/>
    </w:rPr>
  </w:style>
  <w:style w:type="character" w:customStyle="1" w:styleId="58">
    <w:name w:val="标题 1 Char"/>
    <w:link w:val="2"/>
    <w:autoRedefine/>
    <w:qFormat/>
    <w:uiPriority w:val="1"/>
    <w:rPr>
      <w:b/>
      <w:bCs/>
      <w:kern w:val="44"/>
      <w:sz w:val="44"/>
      <w:szCs w:val="44"/>
    </w:rPr>
  </w:style>
  <w:style w:type="character" w:customStyle="1" w:styleId="59">
    <w:name w:val="正文文本缩进 2 Char"/>
    <w:link w:val="17"/>
    <w:qFormat/>
    <w:uiPriority w:val="0"/>
    <w:rPr>
      <w:kern w:val="2"/>
      <w:sz w:val="28"/>
    </w:rPr>
  </w:style>
  <w:style w:type="character" w:customStyle="1" w:styleId="60">
    <w:name w:val="apple-style-span"/>
    <w:qFormat/>
    <w:uiPriority w:val="0"/>
    <w:rPr>
      <w:rFonts w:ascii="Tahoma" w:hAnsi="Tahoma"/>
      <w:sz w:val="24"/>
      <w:szCs w:val="20"/>
    </w:rPr>
  </w:style>
  <w:style w:type="character" w:customStyle="1" w:styleId="61">
    <w:name w:val="正文文本首行缩进 2 字符"/>
    <w:basedOn w:val="52"/>
    <w:link w:val="62"/>
    <w:autoRedefine/>
    <w:qFormat/>
    <w:uiPriority w:val="0"/>
    <w:rPr>
      <w:kern w:val="2"/>
      <w:sz w:val="21"/>
    </w:rPr>
  </w:style>
  <w:style w:type="paragraph" w:customStyle="1" w:styleId="62">
    <w:name w:val="正文文本首行缩进 2"/>
    <w:basedOn w:val="12"/>
    <w:link w:val="61"/>
    <w:qFormat/>
    <w:uiPriority w:val="0"/>
    <w:pPr>
      <w:ind w:firstLine="420" w:firstLineChars="200"/>
    </w:pPr>
  </w:style>
  <w:style w:type="character" w:customStyle="1" w:styleId="63">
    <w:name w:val="正文缩进 Char"/>
    <w:link w:val="64"/>
    <w:qFormat/>
    <w:uiPriority w:val="0"/>
    <w:rPr>
      <w:rFonts w:ascii="Calibri" w:hAnsi="Calibri"/>
      <w:kern w:val="2"/>
      <w:sz w:val="21"/>
      <w:szCs w:val="22"/>
    </w:rPr>
  </w:style>
  <w:style w:type="paragraph" w:customStyle="1" w:styleId="64">
    <w:name w:val="正文缩进1"/>
    <w:basedOn w:val="1"/>
    <w:link w:val="63"/>
    <w:autoRedefine/>
    <w:qFormat/>
    <w:uiPriority w:val="0"/>
    <w:pPr>
      <w:ind w:firstLine="420" w:firstLineChars="200"/>
    </w:pPr>
    <w:rPr>
      <w:rFonts w:ascii="Calibri" w:hAnsi="Calibri"/>
      <w:szCs w:val="22"/>
    </w:rPr>
  </w:style>
  <w:style w:type="character" w:customStyle="1" w:styleId="65">
    <w:name w:val="纯文本 Char"/>
    <w:link w:val="14"/>
    <w:autoRedefine/>
    <w:qFormat/>
    <w:uiPriority w:val="0"/>
    <w:rPr>
      <w:rFonts w:ascii="宋体" w:hAnsi="Courier New" w:eastAsia="仿宋_GB2312"/>
      <w:kern w:val="2"/>
      <w:sz w:val="30"/>
      <w:lang w:val="en-US" w:eastAsia="zh-CN" w:bidi="ar-SA"/>
    </w:rPr>
  </w:style>
  <w:style w:type="character" w:customStyle="1" w:styleId="66">
    <w:name w:val="font11"/>
    <w:autoRedefine/>
    <w:qFormat/>
    <w:uiPriority w:val="0"/>
    <w:rPr>
      <w:rFonts w:hint="default" w:ascii="Times New Roman" w:hAnsi="Times New Roman" w:cs="Times New Roman"/>
      <w:color w:val="000000"/>
      <w:sz w:val="18"/>
      <w:szCs w:val="18"/>
      <w:u w:val="none"/>
    </w:rPr>
  </w:style>
  <w:style w:type="character" w:customStyle="1" w:styleId="67">
    <w:name w:val="font31"/>
    <w:qFormat/>
    <w:uiPriority w:val="0"/>
    <w:rPr>
      <w:rFonts w:hint="default" w:ascii="仿宋" w:hAnsi="仿宋" w:eastAsia="仿宋" w:cs="仿宋"/>
      <w:color w:val="000000"/>
      <w:sz w:val="18"/>
      <w:szCs w:val="18"/>
      <w:u w:val="none"/>
      <w:vertAlign w:val="superscript"/>
    </w:rPr>
  </w:style>
  <w:style w:type="character" w:customStyle="1" w:styleId="68">
    <w:name w:val="font41"/>
    <w:qFormat/>
    <w:uiPriority w:val="0"/>
    <w:rPr>
      <w:rFonts w:hint="eastAsia" w:ascii="宋体" w:hAnsi="宋体" w:eastAsia="宋体" w:cs="宋体"/>
      <w:b/>
      <w:color w:val="000000"/>
      <w:sz w:val="18"/>
      <w:szCs w:val="18"/>
      <w:u w:val="none"/>
    </w:rPr>
  </w:style>
  <w:style w:type="character" w:customStyle="1" w:styleId="69">
    <w:name w:val="标题 4 Char"/>
    <w:link w:val="5"/>
    <w:autoRedefine/>
    <w:qFormat/>
    <w:uiPriority w:val="0"/>
    <w:rPr>
      <w:rFonts w:ascii="Cambria" w:hAnsi="Cambria" w:eastAsia="宋体" w:cs="Times New Roman"/>
      <w:b/>
      <w:bCs/>
      <w:kern w:val="2"/>
      <w:sz w:val="28"/>
      <w:szCs w:val="28"/>
    </w:rPr>
  </w:style>
  <w:style w:type="character" w:customStyle="1" w:styleId="70">
    <w:name w:val="标题 6 Char"/>
    <w:link w:val="7"/>
    <w:qFormat/>
    <w:uiPriority w:val="0"/>
    <w:rPr>
      <w:rFonts w:ascii="Cambria" w:hAnsi="Cambria" w:eastAsia="宋体" w:cs="Times New Roman"/>
      <w:b/>
      <w:bCs/>
      <w:kern w:val="2"/>
      <w:sz w:val="24"/>
      <w:szCs w:val="24"/>
    </w:rPr>
  </w:style>
  <w:style w:type="character" w:customStyle="1" w:styleId="71">
    <w:name w:val="证 Char"/>
    <w:link w:val="72"/>
    <w:autoRedefine/>
    <w:qFormat/>
    <w:uiPriority w:val="0"/>
    <w:rPr>
      <w:rFonts w:ascii="宋体" w:hAnsi="宋体"/>
      <w:kern w:val="2"/>
      <w:sz w:val="24"/>
      <w:szCs w:val="24"/>
    </w:rPr>
  </w:style>
  <w:style w:type="paragraph" w:customStyle="1" w:styleId="72">
    <w:name w:val="证"/>
    <w:basedOn w:val="1"/>
    <w:link w:val="71"/>
    <w:autoRedefine/>
    <w:qFormat/>
    <w:uiPriority w:val="0"/>
    <w:pPr>
      <w:spacing w:line="360" w:lineRule="auto"/>
      <w:ind w:firstLine="480" w:firstLineChars="200"/>
    </w:pPr>
    <w:rPr>
      <w:rFonts w:ascii="宋体" w:hAnsi="宋体"/>
      <w:sz w:val="24"/>
      <w:szCs w:val="24"/>
    </w:rPr>
  </w:style>
  <w:style w:type="character" w:customStyle="1" w:styleId="73">
    <w:name w:val="正文文本缩进 3 Char"/>
    <w:link w:val="22"/>
    <w:qFormat/>
    <w:uiPriority w:val="0"/>
    <w:rPr>
      <w:kern w:val="2"/>
      <w:sz w:val="16"/>
      <w:szCs w:val="16"/>
    </w:rPr>
  </w:style>
  <w:style w:type="character" w:customStyle="1" w:styleId="74">
    <w:name w:val="样式 +标题3 + 仿宋_GB2312 Char Char"/>
    <w:link w:val="75"/>
    <w:autoRedefine/>
    <w:qFormat/>
    <w:uiPriority w:val="0"/>
    <w:rPr>
      <w:rFonts w:ascii="仿宋_GB2312" w:hAnsi="仿宋_GB2312" w:eastAsia="仿宋_GB2312"/>
      <w:b/>
      <w:bCs/>
      <w:kern w:val="2"/>
      <w:sz w:val="24"/>
      <w:szCs w:val="24"/>
    </w:rPr>
  </w:style>
  <w:style w:type="paragraph" w:customStyle="1" w:styleId="75">
    <w:name w:val="样式 +标题3 + 仿宋_GB2312 Char"/>
    <w:basedOn w:val="1"/>
    <w:link w:val="74"/>
    <w:autoRedefine/>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6">
    <w:name w:val="标题 Char"/>
    <w:link w:val="25"/>
    <w:qFormat/>
    <w:uiPriority w:val="0"/>
    <w:rPr>
      <w:rFonts w:ascii="Calibri" w:hAnsi="Calibri"/>
      <w:kern w:val="2"/>
      <w:sz w:val="30"/>
      <w:szCs w:val="30"/>
    </w:rPr>
  </w:style>
  <w:style w:type="character" w:customStyle="1" w:styleId="77">
    <w:name w:val="表内 Char"/>
    <w:link w:val="78"/>
    <w:autoRedefine/>
    <w:qFormat/>
    <w:uiPriority w:val="0"/>
    <w:rPr>
      <w:rFonts w:ascii="宋体" w:hAnsi="宋体"/>
      <w:kern w:val="2"/>
      <w:sz w:val="18"/>
      <w:szCs w:val="18"/>
    </w:rPr>
  </w:style>
  <w:style w:type="paragraph" w:customStyle="1" w:styleId="78">
    <w:name w:val="表内"/>
    <w:basedOn w:val="1"/>
    <w:link w:val="77"/>
    <w:qFormat/>
    <w:uiPriority w:val="0"/>
    <w:rPr>
      <w:rFonts w:ascii="宋体" w:hAnsi="宋体"/>
      <w:sz w:val="18"/>
      <w:szCs w:val="18"/>
    </w:rPr>
  </w:style>
  <w:style w:type="character" w:customStyle="1" w:styleId="79">
    <w:name w:val="日期 Char"/>
    <w:link w:val="16"/>
    <w:autoRedefine/>
    <w:qFormat/>
    <w:uiPriority w:val="0"/>
    <w:rPr>
      <w:rFonts w:eastAsia="楷体_GB2312"/>
      <w:kern w:val="2"/>
      <w:sz w:val="32"/>
    </w:rPr>
  </w:style>
  <w:style w:type="character" w:customStyle="1" w:styleId="80">
    <w:name w:val="Char Char7"/>
    <w:qFormat/>
    <w:uiPriority w:val="0"/>
    <w:rPr>
      <w:rFonts w:ascii="??" w:hAnsi="??" w:eastAsia="??" w:cs="宋体"/>
      <w:kern w:val="2"/>
      <w:sz w:val="24"/>
      <w:szCs w:val="28"/>
    </w:rPr>
  </w:style>
  <w:style w:type="character" w:customStyle="1" w:styleId="81">
    <w:name w:val="标题 2 Char"/>
    <w:link w:val="3"/>
    <w:qFormat/>
    <w:uiPriority w:val="0"/>
    <w:rPr>
      <w:rFonts w:ascii="Arial" w:hAnsi="Arial" w:eastAsia="??"/>
      <w:b/>
      <w:kern w:val="2"/>
      <w:sz w:val="32"/>
      <w:szCs w:val="28"/>
      <w:lang w:val="en-US" w:eastAsia="zh-CN" w:bidi="ar-SA"/>
    </w:rPr>
  </w:style>
  <w:style w:type="character" w:customStyle="1" w:styleId="82">
    <w:name w:val="无间隔 Char"/>
    <w:link w:val="83"/>
    <w:qFormat/>
    <w:uiPriority w:val="0"/>
    <w:rPr>
      <w:rFonts w:ascii="Calibri" w:hAnsi="Calibri"/>
    </w:rPr>
  </w:style>
  <w:style w:type="paragraph" w:styleId="83">
    <w:name w:val="No Spacing"/>
    <w:basedOn w:val="1"/>
    <w:link w:val="82"/>
    <w:autoRedefine/>
    <w:qFormat/>
    <w:uiPriority w:val="0"/>
    <w:pPr>
      <w:widowControl/>
      <w:jc w:val="left"/>
    </w:pPr>
    <w:rPr>
      <w:rFonts w:ascii="Calibri" w:hAnsi="Calibri"/>
      <w:kern w:val="0"/>
      <w:sz w:val="20"/>
    </w:rPr>
  </w:style>
  <w:style w:type="character" w:customStyle="1" w:styleId="84">
    <w:name w:val="标题 2 Char_0_0"/>
    <w:link w:val="85"/>
    <w:qFormat/>
    <w:uiPriority w:val="0"/>
    <w:rPr>
      <w:rFonts w:ascii="Cambria" w:hAnsi="Cambria"/>
      <w:b/>
      <w:bCs/>
      <w:sz w:val="32"/>
      <w:szCs w:val="32"/>
    </w:rPr>
  </w:style>
  <w:style w:type="paragraph" w:customStyle="1" w:styleId="85">
    <w:name w:val="标题 2_0_0"/>
    <w:basedOn w:val="1"/>
    <w:next w:val="1"/>
    <w:link w:val="84"/>
    <w:qFormat/>
    <w:uiPriority w:val="0"/>
    <w:pPr>
      <w:keepNext/>
      <w:keepLines/>
      <w:spacing w:before="260" w:after="260" w:line="415" w:lineRule="auto"/>
      <w:outlineLvl w:val="1"/>
    </w:pPr>
    <w:rPr>
      <w:rFonts w:ascii="Cambria" w:hAnsi="Cambria"/>
      <w:b/>
      <w:bCs/>
      <w:kern w:val="0"/>
      <w:sz w:val="32"/>
      <w:szCs w:val="32"/>
    </w:rPr>
  </w:style>
  <w:style w:type="character" w:customStyle="1" w:styleId="86">
    <w:name w:val="标题 3 Char"/>
    <w:link w:val="4"/>
    <w:qFormat/>
    <w:uiPriority w:val="9"/>
    <w:rPr>
      <w:b/>
      <w:bCs/>
      <w:kern w:val="2"/>
      <w:sz w:val="32"/>
      <w:szCs w:val="32"/>
    </w:rPr>
  </w:style>
  <w:style w:type="character" w:customStyle="1" w:styleId="87">
    <w:name w:val="表格非标题文字 Char"/>
    <w:link w:val="88"/>
    <w:qFormat/>
    <w:uiPriority w:val="0"/>
    <w:rPr>
      <w:rFonts w:ascii="Futura Bk" w:hAnsi="Futura Bk"/>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9">
    <w:name w:val="目录 31"/>
    <w:basedOn w:val="1"/>
    <w:qFormat/>
    <w:uiPriority w:val="1"/>
    <w:pPr>
      <w:spacing w:before="135"/>
      <w:ind w:left="538"/>
      <w:jc w:val="left"/>
    </w:pPr>
    <w:rPr>
      <w:rFonts w:ascii="宋体" w:hAnsi="宋体"/>
      <w:kern w:val="0"/>
      <w:sz w:val="24"/>
      <w:szCs w:val="24"/>
      <w:lang w:eastAsia="en-US"/>
    </w:rPr>
  </w:style>
  <w:style w:type="paragraph" w:customStyle="1" w:styleId="90">
    <w:name w:val="目录 51"/>
    <w:basedOn w:val="1"/>
    <w:autoRedefine/>
    <w:qFormat/>
    <w:uiPriority w:val="1"/>
    <w:pPr>
      <w:spacing w:before="133"/>
      <w:ind w:left="1378"/>
      <w:jc w:val="left"/>
    </w:pPr>
    <w:rPr>
      <w:rFonts w:ascii="宋体" w:hAnsi="宋体"/>
      <w:kern w:val="0"/>
      <w:sz w:val="24"/>
      <w:szCs w:val="24"/>
      <w:lang w:eastAsia="en-US"/>
    </w:rPr>
  </w:style>
  <w:style w:type="paragraph" w:customStyle="1" w:styleId="91">
    <w:name w:val="目录 41"/>
    <w:basedOn w:val="1"/>
    <w:qFormat/>
    <w:uiPriority w:val="1"/>
    <w:pPr>
      <w:spacing w:before="133"/>
      <w:ind w:left="958"/>
      <w:jc w:val="left"/>
    </w:pPr>
    <w:rPr>
      <w:rFonts w:ascii="宋体" w:hAnsi="宋体"/>
      <w:kern w:val="0"/>
      <w:sz w:val="24"/>
      <w:szCs w:val="24"/>
      <w:lang w:eastAsia="en-US"/>
    </w:rPr>
  </w:style>
  <w:style w:type="paragraph" w:customStyle="1" w:styleId="92">
    <w:name w:val="目录 11"/>
    <w:basedOn w:val="1"/>
    <w:autoRedefine/>
    <w:qFormat/>
    <w:uiPriority w:val="1"/>
    <w:pPr>
      <w:spacing w:before="134"/>
      <w:jc w:val="left"/>
    </w:pPr>
    <w:rPr>
      <w:rFonts w:ascii="宋体" w:hAnsi="宋体"/>
      <w:kern w:val="0"/>
      <w:sz w:val="24"/>
      <w:szCs w:val="24"/>
      <w:lang w:eastAsia="en-US"/>
    </w:rPr>
  </w:style>
  <w:style w:type="paragraph" w:customStyle="1" w:styleId="93">
    <w:name w:val="目录 21"/>
    <w:basedOn w:val="1"/>
    <w:autoRedefine/>
    <w:qFormat/>
    <w:uiPriority w:val="1"/>
    <w:pPr>
      <w:spacing w:before="133"/>
      <w:ind w:left="118"/>
      <w:jc w:val="left"/>
    </w:pPr>
    <w:rPr>
      <w:rFonts w:ascii="宋体" w:hAnsi="宋体"/>
      <w:kern w:val="0"/>
      <w:sz w:val="24"/>
      <w:szCs w:val="24"/>
      <w:lang w:eastAsia="en-US"/>
    </w:rPr>
  </w:style>
  <w:style w:type="paragraph" w:customStyle="1" w:styleId="94">
    <w:name w:val="列出段落1"/>
    <w:basedOn w:val="1"/>
    <w:qFormat/>
    <w:uiPriority w:val="0"/>
    <w:pPr>
      <w:spacing w:line="360" w:lineRule="auto"/>
      <w:ind w:firstLine="420" w:firstLineChars="200"/>
    </w:pPr>
    <w:rPr>
      <w:szCs w:val="21"/>
    </w:rPr>
  </w:style>
  <w:style w:type="paragraph" w:customStyle="1" w:styleId="95">
    <w:name w:val="列出段落11"/>
    <w:basedOn w:val="1"/>
    <w:autoRedefine/>
    <w:qFormat/>
    <w:uiPriority w:val="0"/>
    <w:pPr>
      <w:ind w:firstLine="420" w:firstLineChars="200"/>
    </w:pPr>
    <w:rPr>
      <w:rFonts w:ascii="Calibri" w:hAnsi="Calibri"/>
      <w:szCs w:val="22"/>
    </w:rPr>
  </w:style>
  <w:style w:type="paragraph" w:customStyle="1" w:styleId="96">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8">
    <w:name w:val="p0"/>
    <w:basedOn w:val="1"/>
    <w:qFormat/>
    <w:uiPriority w:val="99"/>
    <w:pPr>
      <w:widowControl/>
    </w:pPr>
    <w:rPr>
      <w:kern w:val="0"/>
      <w:szCs w:val="21"/>
    </w:rPr>
  </w:style>
  <w:style w:type="paragraph" w:customStyle="1" w:styleId="99">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2"/>
    <w:basedOn w:val="1"/>
    <w:qFormat/>
    <w:uiPriority w:val="34"/>
    <w:pPr>
      <w:spacing w:line="360" w:lineRule="auto"/>
      <w:ind w:firstLine="420" w:firstLineChars="200"/>
    </w:pPr>
    <w:rPr>
      <w:szCs w:val="21"/>
    </w:rPr>
  </w:style>
  <w:style w:type="paragraph" w:customStyle="1" w:styleId="101">
    <w:name w:val="文档正文"/>
    <w:basedOn w:val="1"/>
    <w:autoRedefine/>
    <w:qFormat/>
    <w:uiPriority w:val="0"/>
    <w:rPr>
      <w:rFonts w:ascii="宋体" w:hAnsi="宋体" w:cs="Arial"/>
      <w:bCs/>
      <w:szCs w:val="21"/>
    </w:rPr>
  </w:style>
  <w:style w:type="paragraph" w:customStyle="1" w:styleId="10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Table Paragraph"/>
    <w:basedOn w:val="1"/>
    <w:autoRedefine/>
    <w:qFormat/>
    <w:uiPriority w:val="1"/>
    <w:pPr>
      <w:jc w:val="left"/>
    </w:pPr>
    <w:rPr>
      <w:rFonts w:ascii="Calibri" w:hAnsi="Calibri"/>
      <w:kern w:val="0"/>
      <w:sz w:val="22"/>
      <w:szCs w:val="22"/>
      <w:lang w:eastAsia="en-US"/>
    </w:rPr>
  </w:style>
  <w:style w:type="paragraph" w:customStyle="1" w:styleId="10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har"/>
    <w:basedOn w:val="1"/>
    <w:autoRedefine/>
    <w:qFormat/>
    <w:uiPriority w:val="0"/>
    <w:rPr>
      <w:szCs w:val="24"/>
    </w:rPr>
  </w:style>
  <w:style w:type="paragraph" w:customStyle="1" w:styleId="10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1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默认段落字体 Para Char Char Char Char Char Char Char Char Char1 Char Char Char Char"/>
    <w:basedOn w:val="1"/>
    <w:autoRedefine/>
    <w:qFormat/>
    <w:uiPriority w:val="0"/>
    <w:rPr>
      <w:rFonts w:ascii="Tahoma" w:hAnsi="Tahoma"/>
      <w:sz w:val="24"/>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3">
    <w:name w:val="p16"/>
    <w:basedOn w:val="1"/>
    <w:qFormat/>
    <w:uiPriority w:val="0"/>
    <w:pPr>
      <w:widowControl/>
    </w:pPr>
    <w:rPr>
      <w:rFonts w:ascii="宋体" w:hAnsi="宋体" w:cs="宋体"/>
      <w:kern w:val="0"/>
      <w:sz w:val="30"/>
      <w:szCs w:val="30"/>
    </w:rPr>
  </w:style>
  <w:style w:type="paragraph" w:customStyle="1" w:styleId="114">
    <w:name w:val="纯文本21"/>
    <w:basedOn w:val="1"/>
    <w:qFormat/>
    <w:uiPriority w:val="0"/>
    <w:pPr>
      <w:spacing w:beforeLines="50" w:afterLines="50" w:line="400" w:lineRule="exact"/>
    </w:pPr>
    <w:rPr>
      <w:rFonts w:ascii="宋体" w:hAnsi="Courier New"/>
      <w:szCs w:val="21"/>
    </w:rPr>
  </w:style>
  <w:style w:type="paragraph" w:customStyle="1" w:styleId="115">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6">
    <w:name w:val="p15"/>
    <w:basedOn w:val="1"/>
    <w:autoRedefine/>
    <w:qFormat/>
    <w:uiPriority w:val="0"/>
    <w:pPr>
      <w:widowControl/>
      <w:spacing w:before="75" w:after="75"/>
      <w:jc w:val="left"/>
    </w:pPr>
    <w:rPr>
      <w:rFonts w:ascii="宋体" w:hAnsi="宋体" w:cs="宋体"/>
      <w:kern w:val="0"/>
      <w:sz w:val="24"/>
      <w:szCs w:val="24"/>
    </w:rPr>
  </w:style>
  <w:style w:type="paragraph" w:customStyle="1" w:styleId="11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8">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1">
    <w:name w:val="正文文本缩进11"/>
    <w:basedOn w:val="1"/>
    <w:qFormat/>
    <w:uiPriority w:val="0"/>
    <w:pPr>
      <w:spacing w:line="200" w:lineRule="exact"/>
      <w:ind w:firstLine="301"/>
    </w:pPr>
    <w:rPr>
      <w:rFonts w:ascii="Calibri" w:hAnsi="Calibri"/>
    </w:rPr>
  </w:style>
  <w:style w:type="paragraph" w:customStyle="1" w:styleId="122">
    <w:name w:val="无间隔1"/>
    <w:qFormat/>
    <w:uiPriority w:val="0"/>
    <w:rPr>
      <w:rFonts w:ascii="Times New Roman" w:hAnsi="Times New Roman" w:eastAsia="宋体" w:cs="Times New Roman"/>
      <w:sz w:val="22"/>
      <w:szCs w:val="22"/>
      <w:lang w:val="en-US" w:eastAsia="zh-CN" w:bidi="ar-SA"/>
    </w:rPr>
  </w:style>
  <w:style w:type="paragraph" w:customStyle="1" w:styleId="123">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126">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table" w:customStyle="1" w:styleId="127">
    <w:name w:val="网格型1"/>
    <w:basedOn w:val="2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2"/>
    <w:basedOn w:val="29"/>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Table Normal"/>
    <w:autoRedefine/>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0">
    <w:name w:val="正文首行缩进 Char1"/>
    <w:qFormat/>
    <w:uiPriority w:val="0"/>
    <w:rPr>
      <w:rFonts w:eastAsia="仿宋_GB2312"/>
      <w:kern w:val="2"/>
      <w:sz w:val="28"/>
      <w:szCs w:val="24"/>
    </w:rPr>
  </w:style>
  <w:style w:type="character" w:customStyle="1" w:styleId="131">
    <w:name w:val="纯文本 字符1"/>
    <w:autoRedefine/>
    <w:qFormat/>
    <w:uiPriority w:val="0"/>
    <w:rPr>
      <w:rFonts w:ascii="宋体" w:hAnsi="Courier New" w:eastAsia="仿宋_GB2312"/>
      <w:kern w:val="2"/>
      <w:sz w:val="30"/>
      <w:lang w:val="en-US" w:eastAsia="zh-CN" w:bidi="ar-SA"/>
    </w:rPr>
  </w:style>
  <w:style w:type="character" w:customStyle="1" w:styleId="132">
    <w:name w:val="纯文本 Char1"/>
    <w:basedOn w:val="31"/>
    <w:qFormat/>
    <w:uiPriority w:val="0"/>
    <w:rPr>
      <w:rFonts w:ascii="宋体" w:hAnsi="Courier New" w:eastAsia="仿宋_GB2312" w:cs="Times New Roman"/>
      <w:sz w:val="30"/>
      <w:szCs w:val="24"/>
    </w:rPr>
  </w:style>
  <w:style w:type="paragraph" w:styleId="133">
    <w:name w:val="List Paragraph"/>
    <w:basedOn w:val="1"/>
    <w:autoRedefine/>
    <w:qFormat/>
    <w:uiPriority w:val="99"/>
    <w:pPr>
      <w:ind w:firstLine="420" w:firstLineChars="200"/>
    </w:pPr>
  </w:style>
  <w:style w:type="character" w:customStyle="1" w:styleId="134">
    <w:name w:val="无"/>
    <w:qFormat/>
    <w:uiPriority w:val="99"/>
  </w:style>
  <w:style w:type="character" w:customStyle="1" w:styleId="135">
    <w:name w:val="正文文本 字符"/>
    <w:qFormat/>
    <w:uiPriority w:val="0"/>
    <w:rPr>
      <w:rFonts w:eastAsia="??"/>
      <w:kern w:val="2"/>
      <w:sz w:val="28"/>
      <w:szCs w:val="28"/>
      <w:lang w:val="en-US" w:eastAsia="zh-CN" w:bidi="ar-SA"/>
    </w:rPr>
  </w:style>
  <w:style w:type="character" w:customStyle="1" w:styleId="136">
    <w:name w:val="批注文字 Char1"/>
    <w:autoRedefine/>
    <w:qFormat/>
    <w:uiPriority w:val="0"/>
    <w:rPr>
      <w:rFonts w:ascii="Times New Roman" w:hAnsi="Times New Roman" w:eastAsia="宋体" w:cs="Times New Roman"/>
      <w:szCs w:val="24"/>
    </w:rPr>
  </w:style>
  <w:style w:type="character" w:customStyle="1" w:styleId="137">
    <w:name w:val="表格文本 Char"/>
    <w:link w:val="138"/>
    <w:qFormat/>
    <w:uiPriority w:val="0"/>
    <w:rPr>
      <w:color w:val="000000"/>
      <w:sz w:val="24"/>
      <w:szCs w:val="21"/>
    </w:rPr>
  </w:style>
  <w:style w:type="paragraph" w:customStyle="1" w:styleId="138">
    <w:name w:val="表格文本"/>
    <w:basedOn w:val="1"/>
    <w:next w:val="1"/>
    <w:link w:val="137"/>
    <w:autoRedefine/>
    <w:qFormat/>
    <w:uiPriority w:val="0"/>
    <w:pPr>
      <w:adjustRightInd w:val="0"/>
      <w:snapToGrid w:val="0"/>
      <w:jc w:val="center"/>
    </w:pPr>
    <w:rPr>
      <w:color w:val="000000"/>
      <w:kern w:val="0"/>
      <w:sz w:val="24"/>
      <w:szCs w:val="21"/>
    </w:rPr>
  </w:style>
  <w:style w:type="character" w:customStyle="1" w:styleId="139">
    <w:name w:val="正文首行缩进 Char"/>
    <w:basedOn w:val="54"/>
    <w:link w:val="27"/>
    <w:qFormat/>
    <w:uiPriority w:val="0"/>
    <w:rPr>
      <w:rFonts w:eastAsia="??"/>
      <w:kern w:val="2"/>
      <w:sz w:val="21"/>
      <w:szCs w:val="28"/>
      <w:lang w:val="en-US" w:eastAsia="zh-CN" w:bidi="ar-SA"/>
    </w:rPr>
  </w:style>
  <w:style w:type="character" w:customStyle="1" w:styleId="140">
    <w:name w:val="正文首行缩进 2 Char"/>
    <w:basedOn w:val="52"/>
    <w:link w:val="28"/>
    <w:qFormat/>
    <w:uiPriority w:val="99"/>
    <w:rPr>
      <w:kern w:val="2"/>
      <w:sz w:val="21"/>
    </w:rPr>
  </w:style>
  <w:style w:type="paragraph" w:customStyle="1" w:styleId="141">
    <w:name w:val="正文段"/>
    <w:basedOn w:val="1"/>
    <w:qFormat/>
    <w:uiPriority w:val="0"/>
    <w:pPr>
      <w:widowControl/>
      <w:snapToGrid w:val="0"/>
      <w:spacing w:afterLines="50"/>
      <w:ind w:firstLine="200" w:firstLineChars="200"/>
    </w:pPr>
    <w:rPr>
      <w:kern w:val="0"/>
      <w:sz w:val="24"/>
    </w:rPr>
  </w:style>
  <w:style w:type="character" w:customStyle="1" w:styleId="142">
    <w:name w:val="正文首行缩进2字符 Char Char"/>
    <w:link w:val="143"/>
    <w:qFormat/>
    <w:uiPriority w:val="0"/>
    <w:rPr>
      <w:sz w:val="24"/>
    </w:rPr>
  </w:style>
  <w:style w:type="paragraph" w:customStyle="1" w:styleId="143">
    <w:name w:val="正文首行缩进2字符"/>
    <w:basedOn w:val="1"/>
    <w:link w:val="142"/>
    <w:qFormat/>
    <w:uiPriority w:val="0"/>
    <w:pPr>
      <w:spacing w:line="360" w:lineRule="auto"/>
      <w:ind w:firstLine="200" w:firstLineChars="200"/>
    </w:pPr>
    <w:rPr>
      <w:kern w:val="0"/>
      <w:sz w:val="24"/>
    </w:rPr>
  </w:style>
  <w:style w:type="paragraph" w:customStyle="1" w:styleId="144">
    <w:name w:val="列表段落1"/>
    <w:basedOn w:val="1"/>
    <w:autoRedefine/>
    <w:qFormat/>
    <w:uiPriority w:val="34"/>
    <w:pPr>
      <w:autoSpaceDE w:val="0"/>
      <w:autoSpaceDN w:val="0"/>
      <w:adjustRightInd w:val="0"/>
      <w:ind w:firstLine="200" w:firstLineChars="200"/>
      <w:jc w:val="left"/>
    </w:pPr>
    <w:rPr>
      <w:rFonts w:eastAsia="??"/>
      <w:kern w:val="0"/>
      <w:sz w:val="24"/>
      <w:szCs w:val="24"/>
    </w:rPr>
  </w:style>
  <w:style w:type="paragraph" w:customStyle="1" w:styleId="145">
    <w:name w:val="正文文本首行缩进 21"/>
    <w:basedOn w:val="12"/>
    <w:autoRedefine/>
    <w:qFormat/>
    <w:uiPriority w:val="0"/>
    <w:pPr>
      <w:ind w:firstLine="420" w:firstLineChars="200"/>
    </w:pPr>
  </w:style>
  <w:style w:type="paragraph" w:customStyle="1" w:styleId="146">
    <w:name w:val="正文2"/>
    <w:basedOn w:val="1"/>
    <w:qFormat/>
    <w:uiPriority w:val="0"/>
    <w:pPr>
      <w:ind w:firstLine="200" w:firstLineChars="200"/>
    </w:pPr>
    <w:rPr>
      <w:rFonts w:ascii="Calibri" w:hAnsi="Calibri" w:eastAsia="华文仿宋"/>
      <w:kern w:val="0"/>
      <w:sz w:val="28"/>
    </w:rPr>
  </w:style>
  <w:style w:type="character" w:customStyle="1" w:styleId="147">
    <w:name w:val="标题 Char1"/>
    <w:autoRedefine/>
    <w:qFormat/>
    <w:uiPriority w:val="0"/>
    <w:rPr>
      <w:rFonts w:ascii="Calibri" w:hAnsi="Calibri"/>
      <w:kern w:val="2"/>
      <w:sz w:val="30"/>
      <w:szCs w:val="30"/>
    </w:rPr>
  </w:style>
  <w:style w:type="character" w:customStyle="1" w:styleId="148">
    <w:name w:val="普通(网站) Char"/>
    <w:link w:val="24"/>
    <w:autoRedefine/>
    <w:qFormat/>
    <w:uiPriority w:val="0"/>
    <w:rPr>
      <w:rFonts w:ascii="宋体" w:hAnsi="宋体" w:cs="宋体"/>
      <w:sz w:val="24"/>
      <w:szCs w:val="24"/>
    </w:rPr>
  </w:style>
  <w:style w:type="character" w:customStyle="1" w:styleId="149">
    <w:name w:val="纯文本 Char2"/>
    <w:autoRedefine/>
    <w:qFormat/>
    <w:uiPriority w:val="99"/>
    <w:rPr>
      <w:rFonts w:ascii="宋体" w:hAnsi="Courier New" w:eastAsia="仿宋_GB2312"/>
      <w:kern w:val="2"/>
      <w:sz w:val="30"/>
      <w:lang w:val="en-US" w:eastAsia="zh-CN" w:bidi="ar-SA"/>
    </w:rPr>
  </w:style>
  <w:style w:type="paragraph" w:customStyle="1" w:styleId="150">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51">
    <w:name w:val="ca-21"/>
    <w:basedOn w:val="31"/>
    <w:qFormat/>
    <w:uiPriority w:val="0"/>
    <w:rPr>
      <w:rFonts w:hint="default" w:ascii="Times New Roman" w:hAnsi="Times New Roman" w:cs="Times New Roman"/>
      <w:sz w:val="28"/>
      <w:szCs w:val="28"/>
    </w:rPr>
  </w:style>
  <w:style w:type="paragraph" w:customStyle="1" w:styleId="152">
    <w:name w:val="首行缩进"/>
    <w:basedOn w:val="1"/>
    <w:qFormat/>
    <w:uiPriority w:val="0"/>
    <w:pPr>
      <w:ind w:firstLine="480" w:firstLineChars="200"/>
    </w:pPr>
    <w:rPr>
      <w:lang w:val="zh-CN"/>
    </w:rPr>
  </w:style>
  <w:style w:type="paragraph" w:customStyle="1" w:styleId="153">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25732</Words>
  <Characters>27262</Characters>
  <Paragraphs>1468</Paragraphs>
  <TotalTime>30</TotalTime>
  <ScaleCrop>false</ScaleCrop>
  <LinksUpToDate>false</LinksUpToDate>
  <CharactersWithSpaces>27457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2024-03-16T07:59:00Z</dcterms:created>
  <dc:creator>Administrator</dc:creator>
  <cp:lastModifiedBy>何静跃</cp:lastModifiedBy>
  <cp:lastPrinted>2024-09-21T00:38:00Z</cp:lastPrinted>
  <dcterms:modified xsi:type="dcterms:W3CDTF">2024-12-17T03:04:33Z</dcterms:modified>
  <dc:title>面上水利项目质量抽查2019年项目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44DDEAA4DC2E473E9DC55FC64E92EC32_13</vt:lpwstr>
  </property>
</Properties>
</file>