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E803E">
      <w:pPr>
        <w:spacing w:line="360" w:lineRule="auto"/>
        <w:jc w:val="center"/>
        <w:rPr>
          <w:rFonts w:ascii="宋体" w:hAnsi="宋体" w:cs="宋体"/>
          <w:b/>
          <w:color w:val="auto"/>
          <w:sz w:val="24"/>
          <w:highlight w:val="none"/>
        </w:rPr>
      </w:pPr>
    </w:p>
    <w:p w14:paraId="0BEC5EE6">
      <w:pPr>
        <w:adjustRightInd/>
        <w:spacing w:line="360" w:lineRule="auto"/>
        <w:jc w:val="center"/>
        <w:rPr>
          <w:rFonts w:ascii="宋体" w:hAnsi="宋体" w:cs="宋体"/>
          <w:b/>
          <w:color w:val="auto"/>
          <w:sz w:val="36"/>
          <w:szCs w:val="36"/>
          <w:highlight w:val="none"/>
        </w:rPr>
      </w:pPr>
    </w:p>
    <w:p w14:paraId="6AD6BCD8">
      <w:pPr>
        <w:adjustRightInd/>
        <w:spacing w:line="360" w:lineRule="auto"/>
        <w:jc w:val="center"/>
        <w:rPr>
          <w:rFonts w:ascii="宋体" w:hAnsi="宋体" w:cs="仿宋_GB2312"/>
          <w:color w:val="auto"/>
          <w:sz w:val="48"/>
          <w:szCs w:val="48"/>
          <w:highlight w:val="none"/>
        </w:rPr>
      </w:pPr>
      <w:r>
        <w:rPr>
          <w:rFonts w:hint="eastAsia" w:ascii="宋体" w:hAnsi="宋体" w:cs="仿宋_GB2312"/>
          <w:color w:val="auto"/>
          <w:sz w:val="48"/>
          <w:szCs w:val="48"/>
          <w:highlight w:val="none"/>
        </w:rPr>
        <w:t>杭州市政府采购公开采购文件（试行）</w:t>
      </w:r>
    </w:p>
    <w:p w14:paraId="3E188867">
      <w:pPr>
        <w:adjustRightInd/>
        <w:spacing w:line="360" w:lineRule="auto"/>
        <w:jc w:val="center"/>
        <w:rPr>
          <w:rFonts w:ascii="宋体" w:hAnsi="宋体" w:cs="仿宋_GB2312"/>
          <w:b/>
          <w:color w:val="auto"/>
          <w:sz w:val="44"/>
          <w:szCs w:val="44"/>
          <w:highlight w:val="none"/>
        </w:rPr>
      </w:pPr>
      <w:r>
        <w:rPr>
          <w:rFonts w:ascii="宋体" w:hAnsi="宋体" w:cs="仿宋_GB2312"/>
          <w:b/>
          <w:color w:val="auto"/>
          <w:sz w:val="44"/>
          <w:szCs w:val="44"/>
          <w:highlight w:val="none"/>
        </w:rPr>
        <w:t xml:space="preserve"> （电子招投标）</w:t>
      </w:r>
    </w:p>
    <w:p w14:paraId="6C1398C6">
      <w:pPr>
        <w:keepNext/>
        <w:keepLines/>
        <w:tabs>
          <w:tab w:val="left" w:pos="432"/>
        </w:tabs>
        <w:ind w:left="431" w:hanging="431"/>
        <w:rPr>
          <w:color w:val="auto"/>
          <w:sz w:val="28"/>
          <w:szCs w:val="28"/>
          <w:highlight w:val="none"/>
        </w:rPr>
      </w:pPr>
    </w:p>
    <w:p w14:paraId="70E1FA37">
      <w:pPr>
        <w:tabs>
          <w:tab w:val="left" w:pos="0"/>
        </w:tabs>
        <w:snapToGrid w:val="0"/>
        <w:spacing w:line="360" w:lineRule="auto"/>
        <w:ind w:firstLine="201" w:firstLineChars="20"/>
        <w:jc w:val="center"/>
        <w:rPr>
          <w:rFonts w:ascii="宋体" w:hAnsi="宋体" w:cs="宋体"/>
          <w:b/>
          <w:color w:val="auto"/>
          <w:sz w:val="100"/>
          <w:szCs w:val="100"/>
          <w:highlight w:val="none"/>
        </w:rPr>
      </w:pPr>
      <w:r>
        <w:rPr>
          <w:rFonts w:hint="eastAsia" w:ascii="宋体" w:hAnsi="宋体" w:cs="宋体"/>
          <w:b/>
          <w:color w:val="auto"/>
          <w:sz w:val="100"/>
          <w:szCs w:val="100"/>
          <w:highlight w:val="none"/>
        </w:rPr>
        <w:t>招 标 文 件</w:t>
      </w:r>
    </w:p>
    <w:p w14:paraId="456D47C6">
      <w:pPr>
        <w:snapToGrid w:val="0"/>
        <w:spacing w:line="360" w:lineRule="auto"/>
        <w:jc w:val="center"/>
        <w:rPr>
          <w:rFonts w:ascii="宋体" w:hAnsi="宋体" w:cs="宋体"/>
          <w:b/>
          <w:color w:val="auto"/>
          <w:sz w:val="30"/>
          <w:szCs w:val="30"/>
          <w:highlight w:val="none"/>
        </w:rPr>
      </w:pPr>
      <w:r>
        <w:rPr>
          <w:rFonts w:ascii="宋体" w:hAnsi="宋体"/>
          <w:bCs/>
          <w:color w:val="auto"/>
          <w:sz w:val="44"/>
          <w:szCs w:val="44"/>
          <w:highlight w:val="none"/>
        </w:rPr>
        <w:drawing>
          <wp:inline distT="0" distB="0" distL="114300" distR="114300">
            <wp:extent cx="5269230" cy="2706370"/>
            <wp:effectExtent l="0" t="0" r="0" b="0"/>
            <wp:docPr id="1" name="图片 1" descr="565403771596425435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65403771596425435774"/>
                    <pic:cNvPicPr>
                      <a:picLocks noChangeAspect="1"/>
                    </pic:cNvPicPr>
                  </pic:nvPicPr>
                  <pic:blipFill>
                    <a:blip r:embed="rId25"/>
                    <a:stretch>
                      <a:fillRect/>
                    </a:stretch>
                  </pic:blipFill>
                  <pic:spPr>
                    <a:xfrm>
                      <a:off x="0" y="0"/>
                      <a:ext cx="5269230" cy="2706370"/>
                    </a:xfrm>
                    <a:prstGeom prst="rect">
                      <a:avLst/>
                    </a:prstGeom>
                    <a:noFill/>
                    <a:ln>
                      <a:noFill/>
                    </a:ln>
                  </pic:spPr>
                </pic:pic>
              </a:graphicData>
            </a:graphic>
          </wp:inline>
        </w:drawing>
      </w:r>
    </w:p>
    <w:p w14:paraId="55D685D1">
      <w:pPr>
        <w:snapToGrid w:val="0"/>
        <w:spacing w:line="480" w:lineRule="auto"/>
        <w:ind w:firstLine="640" w:firstLineChars="200"/>
        <w:jc w:val="left"/>
        <w:rPr>
          <w:rFonts w:hint="eastAsia" w:ascii="宋体" w:hAnsi="宋体" w:eastAsia="宋体"/>
          <w:b/>
          <w:bCs/>
          <w:color w:val="auto"/>
          <w:sz w:val="32"/>
          <w:szCs w:val="32"/>
          <w:highlight w:val="none"/>
          <w:u w:val="single"/>
          <w:lang w:eastAsia="zh-CN"/>
        </w:rPr>
      </w:pPr>
      <w:r>
        <w:rPr>
          <w:rFonts w:hint="eastAsia" w:ascii="宋体" w:hAnsi="宋体"/>
          <w:bCs/>
          <w:color w:val="auto"/>
          <w:sz w:val="32"/>
          <w:szCs w:val="32"/>
          <w:highlight w:val="none"/>
        </w:rPr>
        <w:t>项目编号：</w:t>
      </w:r>
      <w:r>
        <w:rPr>
          <w:rFonts w:hint="eastAsia" w:ascii="宋体" w:hAnsi="宋体"/>
          <w:b/>
          <w:bCs/>
          <w:color w:val="auto"/>
          <w:sz w:val="32"/>
          <w:szCs w:val="32"/>
          <w:highlight w:val="none"/>
          <w:u w:val="single"/>
          <w:lang w:eastAsia="zh-CN"/>
        </w:rPr>
        <w:t>CTZB-2025030066</w:t>
      </w:r>
    </w:p>
    <w:p w14:paraId="73632D0C">
      <w:pPr>
        <w:snapToGrid w:val="0"/>
        <w:spacing w:line="480" w:lineRule="auto"/>
        <w:ind w:firstLine="640" w:firstLineChars="200"/>
        <w:jc w:val="left"/>
        <w:rPr>
          <w:rFonts w:hint="eastAsia" w:ascii="宋体" w:hAnsi="宋体" w:eastAsia="宋体"/>
          <w:b/>
          <w:bCs/>
          <w:color w:val="auto"/>
          <w:sz w:val="32"/>
          <w:szCs w:val="32"/>
          <w:highlight w:val="none"/>
          <w:u w:val="single"/>
          <w:lang w:eastAsia="zh-CN"/>
        </w:rPr>
      </w:pPr>
      <w:r>
        <w:rPr>
          <w:rFonts w:hint="eastAsia" w:ascii="宋体" w:hAnsi="宋体"/>
          <w:bCs/>
          <w:color w:val="auto"/>
          <w:sz w:val="32"/>
          <w:szCs w:val="32"/>
          <w:highlight w:val="none"/>
        </w:rPr>
        <w:t>项目名称：</w:t>
      </w:r>
      <w:r>
        <w:rPr>
          <w:rFonts w:hint="eastAsia" w:ascii="宋体" w:hAnsi="宋体"/>
          <w:b/>
          <w:bCs/>
          <w:color w:val="auto"/>
          <w:sz w:val="32"/>
          <w:szCs w:val="32"/>
          <w:highlight w:val="none"/>
          <w:u w:val="single"/>
          <w:lang w:eastAsia="zh-CN"/>
        </w:rPr>
        <w:t>拱墅区2025年海绵城市建设技术服务项目</w:t>
      </w:r>
    </w:p>
    <w:p w14:paraId="3301DB0F">
      <w:pPr>
        <w:snapToGrid w:val="0"/>
        <w:spacing w:line="480" w:lineRule="auto"/>
        <w:ind w:firstLine="640" w:firstLineChars="200"/>
        <w:jc w:val="left"/>
        <w:rPr>
          <w:rFonts w:hint="eastAsia" w:ascii="宋体" w:hAnsi="宋体" w:eastAsia="宋体"/>
          <w:bCs/>
          <w:color w:val="auto"/>
          <w:sz w:val="32"/>
          <w:szCs w:val="32"/>
          <w:highlight w:val="none"/>
          <w:lang w:eastAsia="zh-CN"/>
        </w:rPr>
      </w:pPr>
      <w:r>
        <w:rPr>
          <w:rFonts w:hint="eastAsia" w:ascii="宋体" w:hAnsi="宋体"/>
          <w:bCs/>
          <w:color w:val="auto"/>
          <w:sz w:val="32"/>
          <w:szCs w:val="32"/>
          <w:highlight w:val="none"/>
        </w:rPr>
        <w:t>招 标 人：</w:t>
      </w:r>
      <w:r>
        <w:rPr>
          <w:rFonts w:hint="eastAsia" w:ascii="宋体" w:hAnsi="宋体"/>
          <w:b/>
          <w:bCs/>
          <w:color w:val="auto"/>
          <w:sz w:val="32"/>
          <w:szCs w:val="32"/>
          <w:highlight w:val="none"/>
          <w:u w:val="single"/>
          <w:lang w:eastAsia="zh-CN"/>
        </w:rPr>
        <w:t>杭州市拱墅区住房和城市建设局</w:t>
      </w:r>
    </w:p>
    <w:p w14:paraId="017D6AB6">
      <w:pPr>
        <w:snapToGrid w:val="0"/>
        <w:spacing w:line="480" w:lineRule="auto"/>
        <w:ind w:firstLine="640" w:firstLineChars="200"/>
        <w:jc w:val="left"/>
        <w:rPr>
          <w:rFonts w:ascii="宋体" w:hAnsi="宋体"/>
          <w:bCs/>
          <w:color w:val="auto"/>
          <w:sz w:val="44"/>
          <w:szCs w:val="44"/>
          <w:highlight w:val="none"/>
        </w:rPr>
      </w:pPr>
      <w:r>
        <w:rPr>
          <w:rFonts w:hint="eastAsia" w:ascii="宋体" w:hAnsi="宋体"/>
          <w:bCs/>
          <w:color w:val="auto"/>
          <w:sz w:val="32"/>
          <w:szCs w:val="32"/>
          <w:highlight w:val="none"/>
        </w:rPr>
        <w:t>代理机构：</w:t>
      </w:r>
      <w:r>
        <w:rPr>
          <w:rFonts w:hint="eastAsia" w:ascii="宋体" w:hAnsi="宋体"/>
          <w:b/>
          <w:bCs/>
          <w:color w:val="auto"/>
          <w:sz w:val="32"/>
          <w:szCs w:val="32"/>
          <w:highlight w:val="none"/>
          <w:u w:val="single"/>
        </w:rPr>
        <w:t>浙江省成套招标代理有限公司</w:t>
      </w:r>
    </w:p>
    <w:p w14:paraId="2B01D979">
      <w:pPr>
        <w:snapToGrid w:val="0"/>
        <w:spacing w:line="300" w:lineRule="auto"/>
        <w:ind w:firstLine="134" w:firstLineChars="64"/>
        <w:jc w:val="left"/>
        <w:rPr>
          <w:rFonts w:ascii="宋体" w:hAnsi="宋体"/>
          <w:bCs/>
          <w:color w:val="auto"/>
          <w:szCs w:val="21"/>
          <w:highlight w:val="none"/>
        </w:rPr>
      </w:pPr>
    </w:p>
    <w:p w14:paraId="0C0A1617">
      <w:pPr>
        <w:spacing w:line="360" w:lineRule="auto"/>
        <w:jc w:val="center"/>
        <w:rPr>
          <w:rFonts w:ascii="宋体" w:hAnsi="宋体" w:cs="宋体"/>
          <w:color w:val="auto"/>
          <w:sz w:val="24"/>
          <w:highlight w:val="none"/>
        </w:rPr>
      </w:pPr>
      <w:r>
        <w:rPr>
          <w:rFonts w:hint="eastAsia" w:ascii="宋体" w:hAnsi="宋体" w:cs="Arial"/>
          <w:b/>
          <w:color w:val="auto"/>
          <w:sz w:val="28"/>
          <w:szCs w:val="28"/>
          <w:highlight w:val="none"/>
        </w:rPr>
        <w:t>日期：202</w:t>
      </w:r>
      <w:r>
        <w:rPr>
          <w:rFonts w:hint="eastAsia" w:ascii="宋体" w:hAnsi="宋体" w:cs="Arial"/>
          <w:b/>
          <w:color w:val="auto"/>
          <w:sz w:val="28"/>
          <w:szCs w:val="28"/>
          <w:highlight w:val="none"/>
          <w:lang w:val="en-US" w:eastAsia="zh-CN"/>
        </w:rPr>
        <w:t>5</w:t>
      </w:r>
      <w:r>
        <w:rPr>
          <w:rFonts w:hint="eastAsia" w:ascii="宋体" w:hAnsi="宋体" w:cs="Arial"/>
          <w:b/>
          <w:color w:val="auto"/>
          <w:sz w:val="28"/>
          <w:szCs w:val="28"/>
          <w:highlight w:val="none"/>
        </w:rPr>
        <w:t>年</w:t>
      </w:r>
      <w:r>
        <w:rPr>
          <w:rFonts w:hint="eastAsia" w:ascii="宋体" w:hAnsi="宋体" w:cs="Arial"/>
          <w:b/>
          <w:color w:val="auto"/>
          <w:sz w:val="28"/>
          <w:szCs w:val="28"/>
          <w:highlight w:val="none"/>
          <w:lang w:val="en-US" w:eastAsia="zh-CN"/>
        </w:rPr>
        <w:t>3</w:t>
      </w:r>
      <w:r>
        <w:rPr>
          <w:rFonts w:hint="eastAsia" w:ascii="宋体" w:hAnsi="宋体" w:cs="Arial"/>
          <w:b/>
          <w:color w:val="auto"/>
          <w:sz w:val="28"/>
          <w:szCs w:val="28"/>
          <w:highlight w:val="none"/>
        </w:rPr>
        <w:t>月</w:t>
      </w:r>
      <w:r>
        <w:rPr>
          <w:rFonts w:hint="eastAsia" w:ascii="宋体" w:hAnsi="宋体" w:cs="宋体"/>
          <w:color w:val="auto"/>
          <w:sz w:val="24"/>
          <w:highlight w:val="none"/>
        </w:rPr>
        <w:br w:type="page"/>
      </w:r>
      <w:bookmarkStart w:id="0" w:name="_Hlt67893495"/>
      <w:bookmarkEnd w:id="0"/>
    </w:p>
    <w:p w14:paraId="3FB6FFDF">
      <w:pPr>
        <w:adjustRightInd/>
        <w:spacing w:line="360" w:lineRule="auto"/>
        <w:jc w:val="center"/>
        <w:rPr>
          <w:color w:val="auto"/>
          <w:highlight w:val="none"/>
        </w:rPr>
      </w:pPr>
    </w:p>
    <w:p w14:paraId="57DB221D">
      <w:pPr>
        <w:adjustRightInd/>
        <w:spacing w:line="360" w:lineRule="auto"/>
        <w:jc w:val="center"/>
        <w:outlineLvl w:val="0"/>
        <w:rPr>
          <w:rFonts w:ascii="宋体" w:hAnsi="宋体" w:cs="宋体"/>
          <w:b/>
          <w:color w:val="auto"/>
          <w:sz w:val="36"/>
          <w:szCs w:val="20"/>
          <w:highlight w:val="none"/>
        </w:rPr>
      </w:pPr>
      <w:bookmarkStart w:id="1" w:name="_Toc30901"/>
      <w:r>
        <w:rPr>
          <w:rFonts w:hint="eastAsia" w:ascii="宋体" w:hAnsi="宋体" w:cs="宋体"/>
          <w:b/>
          <w:color w:val="auto"/>
          <w:sz w:val="36"/>
          <w:szCs w:val="20"/>
          <w:highlight w:val="none"/>
        </w:rPr>
        <w:t>目  录</w:t>
      </w:r>
      <w:bookmarkEnd w:id="1"/>
    </w:p>
    <w:sdt>
      <w:sdtPr>
        <w:rPr>
          <w:rFonts w:ascii="宋体" w:hAnsi="宋体"/>
          <w:color w:val="auto"/>
          <w:highlight w:val="none"/>
        </w:rPr>
        <w:id w:val="147457971"/>
        <w:docPartObj>
          <w:docPartGallery w:val="Table of Contents"/>
          <w:docPartUnique/>
        </w:docPartObj>
      </w:sdtPr>
      <w:sdtEndPr>
        <w:rPr>
          <w:rFonts w:ascii="宋体" w:hAnsi="宋体" w:cs="宋体"/>
          <w:b/>
          <w:color w:val="auto"/>
          <w:szCs w:val="32"/>
          <w:highlight w:val="none"/>
        </w:rPr>
      </w:sdtEndPr>
      <w:sdtContent>
        <w:p w14:paraId="18FF2982">
          <w:pPr>
            <w:jc w:val="center"/>
            <w:rPr>
              <w:color w:val="auto"/>
              <w:highlight w:val="none"/>
            </w:rPr>
          </w:pPr>
        </w:p>
        <w:p w14:paraId="23CB8216">
          <w:pPr>
            <w:pStyle w:val="44"/>
            <w:tabs>
              <w:tab w:val="right" w:leader="dot" w:pos="9071"/>
            </w:tabs>
            <w:rPr>
              <w:color w:val="auto"/>
              <w:highlight w:val="none"/>
            </w:rPr>
          </w:pPr>
          <w:r>
            <w:rPr>
              <w:rFonts w:ascii="宋体" w:hAnsi="宋体" w:cs="宋体"/>
              <w:color w:val="auto"/>
              <w:sz w:val="32"/>
              <w:szCs w:val="32"/>
              <w:highlight w:val="none"/>
            </w:rPr>
            <w:fldChar w:fldCharType="begin"/>
          </w:r>
          <w:r>
            <w:rPr>
              <w:rFonts w:ascii="宋体" w:hAnsi="宋体" w:cs="宋体"/>
              <w:color w:val="auto"/>
              <w:sz w:val="32"/>
              <w:szCs w:val="32"/>
              <w:highlight w:val="none"/>
            </w:rPr>
            <w:instrText xml:space="preserve">TOC \o "1-2" \h \u </w:instrText>
          </w:r>
          <w:r>
            <w:rPr>
              <w:rFonts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"_Toc30901" </w:instrText>
          </w:r>
          <w:r>
            <w:rPr>
              <w:color w:val="auto"/>
              <w:highlight w:val="none"/>
            </w:rPr>
            <w:fldChar w:fldCharType="separate"/>
          </w:r>
          <w:r>
            <w:rPr>
              <w:rFonts w:hint="eastAsia" w:ascii="宋体" w:hAnsi="宋体" w:cs="宋体"/>
              <w:color w:val="auto"/>
              <w:szCs w:val="20"/>
              <w:highlight w:val="none"/>
            </w:rPr>
            <w:t>目  录</w:t>
          </w:r>
          <w:r>
            <w:rPr>
              <w:color w:val="auto"/>
              <w:highlight w:val="none"/>
            </w:rPr>
            <w:tab/>
          </w:r>
          <w:r>
            <w:rPr>
              <w:color w:val="auto"/>
              <w:highlight w:val="none"/>
            </w:rPr>
            <w:fldChar w:fldCharType="begin"/>
          </w:r>
          <w:r>
            <w:rPr>
              <w:color w:val="auto"/>
              <w:highlight w:val="none"/>
            </w:rPr>
            <w:instrText xml:space="preserve"> PAGEREF _Toc30901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D713216">
          <w:pPr>
            <w:pStyle w:val="44"/>
            <w:tabs>
              <w:tab w:val="right" w:leader="dot" w:pos="9071"/>
            </w:tabs>
            <w:rPr>
              <w:color w:val="auto"/>
              <w:highlight w:val="none"/>
            </w:rPr>
          </w:pPr>
          <w:r>
            <w:rPr>
              <w:color w:val="auto"/>
              <w:highlight w:val="none"/>
            </w:rPr>
            <w:fldChar w:fldCharType="begin"/>
          </w:r>
          <w:r>
            <w:rPr>
              <w:color w:val="auto"/>
              <w:highlight w:val="none"/>
            </w:rPr>
            <w:instrText xml:space="preserve"> HYPERLINK \l "_Toc27319" </w:instrText>
          </w:r>
          <w:r>
            <w:rPr>
              <w:color w:val="auto"/>
              <w:highlight w:val="none"/>
            </w:rPr>
            <w:fldChar w:fldCharType="separate"/>
          </w:r>
          <w:r>
            <w:rPr>
              <w:rFonts w:hint="eastAsia" w:ascii="宋体" w:hAnsi="宋体" w:cs="宋体"/>
              <w:color w:val="auto"/>
              <w:szCs w:val="20"/>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_Toc27319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49F521C2">
          <w:pPr>
            <w:pStyle w:val="44"/>
            <w:tabs>
              <w:tab w:val="right" w:leader="dot" w:pos="9071"/>
            </w:tabs>
            <w:rPr>
              <w:color w:val="auto"/>
              <w:highlight w:val="none"/>
            </w:rPr>
          </w:pPr>
          <w:r>
            <w:rPr>
              <w:color w:val="auto"/>
              <w:highlight w:val="none"/>
            </w:rPr>
            <w:fldChar w:fldCharType="begin"/>
          </w:r>
          <w:r>
            <w:rPr>
              <w:color w:val="auto"/>
              <w:highlight w:val="none"/>
            </w:rPr>
            <w:instrText xml:space="preserve"> HYPERLINK \l "_Toc4949" </w:instrText>
          </w:r>
          <w:r>
            <w:rPr>
              <w:color w:val="auto"/>
              <w:highlight w:val="none"/>
            </w:rPr>
            <w:fldChar w:fldCharType="separate"/>
          </w:r>
          <w:r>
            <w:rPr>
              <w:rFonts w:hint="eastAsia" w:ascii="宋体" w:hAnsi="宋体" w:cs="宋体"/>
              <w:color w:val="auto"/>
              <w:szCs w:val="20"/>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_Toc4949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160A9B7">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"_Toc31740" </w:instrText>
          </w:r>
          <w:r>
            <w:rPr>
              <w:color w:val="auto"/>
              <w:highlight w:val="none"/>
            </w:rPr>
            <w:fldChar w:fldCharType="separate"/>
          </w:r>
          <w:r>
            <w:rPr>
              <w:rFonts w:hint="eastAsia" w:ascii="宋体" w:hAnsi="宋体" w:cs="宋体"/>
              <w:color w:val="auto"/>
              <w:szCs w:val="20"/>
              <w:highlight w:val="none"/>
            </w:rPr>
            <w:t>前附表</w:t>
          </w:r>
          <w:r>
            <w:rPr>
              <w:color w:val="auto"/>
              <w:highlight w:val="none"/>
            </w:rPr>
            <w:tab/>
          </w:r>
          <w:r>
            <w:rPr>
              <w:color w:val="auto"/>
              <w:highlight w:val="none"/>
            </w:rPr>
            <w:fldChar w:fldCharType="begin"/>
          </w:r>
          <w:r>
            <w:rPr>
              <w:color w:val="auto"/>
              <w:highlight w:val="none"/>
            </w:rPr>
            <w:instrText xml:space="preserve"> PAGEREF _Toc31740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32703A11">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"_Toc16178" </w:instrText>
          </w:r>
          <w:r>
            <w:rPr>
              <w:color w:val="auto"/>
              <w:highlight w:val="none"/>
            </w:rPr>
            <w:fldChar w:fldCharType="separate"/>
          </w:r>
          <w:r>
            <w:rPr>
              <w:rFonts w:hint="eastAsia" w:ascii="宋体" w:hAnsi="宋体" w:cs="宋体"/>
              <w:color w:val="auto"/>
              <w:szCs w:val="20"/>
              <w:highlight w:val="none"/>
            </w:rPr>
            <w:t>一、</w:t>
          </w:r>
          <w:r>
            <w:rPr>
              <w:rFonts w:hint="eastAsia" w:ascii="宋体" w:hAnsi="宋体" w:cs="宋体"/>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_Toc16178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22419B1">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"_Toc20479" </w:instrText>
          </w:r>
          <w:r>
            <w:rPr>
              <w:color w:val="auto"/>
              <w:highlight w:val="none"/>
            </w:rPr>
            <w:fldChar w:fldCharType="separate"/>
          </w:r>
          <w:r>
            <w:rPr>
              <w:rFonts w:hint="eastAsia" w:ascii="宋体" w:hAnsi="宋体" w:cs="宋体"/>
              <w:color w:val="auto"/>
              <w:szCs w:val="20"/>
              <w:highlight w:val="none"/>
            </w:rPr>
            <w:t>二、采购文件的构成、澄清、修改</w:t>
          </w:r>
          <w:r>
            <w:rPr>
              <w:color w:val="auto"/>
              <w:highlight w:val="none"/>
            </w:rPr>
            <w:tab/>
          </w:r>
          <w:r>
            <w:rPr>
              <w:color w:val="auto"/>
              <w:highlight w:val="none"/>
            </w:rPr>
            <w:fldChar w:fldCharType="begin"/>
          </w:r>
          <w:r>
            <w:rPr>
              <w:color w:val="auto"/>
              <w:highlight w:val="none"/>
            </w:rPr>
            <w:instrText xml:space="preserve"> PAGEREF _Toc20479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1C965C41">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"_Toc22657" </w:instrText>
          </w:r>
          <w:r>
            <w:rPr>
              <w:color w:val="auto"/>
              <w:highlight w:val="none"/>
            </w:rPr>
            <w:fldChar w:fldCharType="separate"/>
          </w:r>
          <w:r>
            <w:rPr>
              <w:rFonts w:hint="eastAsia" w:ascii="宋体" w:hAnsi="宋体" w:cs="宋体"/>
              <w:color w:val="auto"/>
              <w:szCs w:val="20"/>
              <w:highlight w:val="none"/>
            </w:rPr>
            <w:t>三、投标</w:t>
          </w:r>
          <w:r>
            <w:rPr>
              <w:color w:val="auto"/>
              <w:highlight w:val="none"/>
            </w:rPr>
            <w:tab/>
          </w:r>
          <w:r>
            <w:rPr>
              <w:color w:val="auto"/>
              <w:highlight w:val="none"/>
            </w:rPr>
            <w:fldChar w:fldCharType="begin"/>
          </w:r>
          <w:r>
            <w:rPr>
              <w:color w:val="auto"/>
              <w:highlight w:val="none"/>
            </w:rPr>
            <w:instrText xml:space="preserve"> PAGEREF _Toc22657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3F6F904">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"_Toc28589" </w:instrText>
          </w:r>
          <w:r>
            <w:rPr>
              <w:color w:val="auto"/>
              <w:highlight w:val="none"/>
            </w:rPr>
            <w:fldChar w:fldCharType="separate"/>
          </w:r>
          <w:r>
            <w:rPr>
              <w:rFonts w:hint="eastAsia" w:ascii="宋体" w:hAnsi="宋体" w:cs="宋体"/>
              <w:color w:val="auto"/>
              <w:szCs w:val="20"/>
              <w:highlight w:val="none"/>
            </w:rPr>
            <w:t>四、开标、资格审查与信用信息查询</w:t>
          </w:r>
          <w:r>
            <w:rPr>
              <w:color w:val="auto"/>
              <w:highlight w:val="none"/>
            </w:rPr>
            <w:tab/>
          </w:r>
          <w:r>
            <w:rPr>
              <w:color w:val="auto"/>
              <w:highlight w:val="none"/>
            </w:rPr>
            <w:fldChar w:fldCharType="begin"/>
          </w:r>
          <w:r>
            <w:rPr>
              <w:color w:val="auto"/>
              <w:highlight w:val="none"/>
            </w:rPr>
            <w:instrText xml:space="preserve"> PAGEREF _Toc28589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5DF4631">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"_Toc13247" </w:instrText>
          </w:r>
          <w:r>
            <w:rPr>
              <w:color w:val="auto"/>
              <w:highlight w:val="none"/>
            </w:rPr>
            <w:fldChar w:fldCharType="separate"/>
          </w:r>
          <w:r>
            <w:rPr>
              <w:rFonts w:hint="eastAsia" w:ascii="宋体" w:hAnsi="宋体" w:cs="宋体"/>
              <w:color w:val="auto"/>
              <w:szCs w:val="36"/>
              <w:highlight w:val="none"/>
            </w:rPr>
            <w:t>五、</w:t>
          </w:r>
          <w:r>
            <w:rPr>
              <w:rFonts w:hint="eastAsia" w:ascii="宋体" w:hAnsi="宋体" w:cs="宋体"/>
              <w:color w:val="auto"/>
              <w:szCs w:val="20"/>
              <w:highlight w:val="none"/>
            </w:rPr>
            <w:t>评标</w:t>
          </w:r>
          <w:r>
            <w:rPr>
              <w:color w:val="auto"/>
              <w:highlight w:val="none"/>
            </w:rPr>
            <w:tab/>
          </w:r>
          <w:r>
            <w:rPr>
              <w:color w:val="auto"/>
              <w:highlight w:val="none"/>
            </w:rPr>
            <w:fldChar w:fldCharType="begin"/>
          </w:r>
          <w:r>
            <w:rPr>
              <w:color w:val="auto"/>
              <w:highlight w:val="none"/>
            </w:rPr>
            <w:instrText xml:space="preserve"> PAGEREF _Toc13247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71A123F3">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"_Toc14261" </w:instrText>
          </w:r>
          <w:r>
            <w:rPr>
              <w:color w:val="auto"/>
              <w:highlight w:val="none"/>
            </w:rPr>
            <w:fldChar w:fldCharType="separate"/>
          </w:r>
          <w:r>
            <w:rPr>
              <w:rFonts w:hint="eastAsia" w:ascii="宋体" w:hAnsi="宋体" w:cs="宋体"/>
              <w:color w:val="auto"/>
              <w:szCs w:val="36"/>
              <w:highlight w:val="none"/>
            </w:rPr>
            <w:t>六、定 标</w:t>
          </w:r>
          <w:r>
            <w:rPr>
              <w:color w:val="auto"/>
              <w:highlight w:val="none"/>
            </w:rPr>
            <w:tab/>
          </w:r>
          <w:r>
            <w:rPr>
              <w:color w:val="auto"/>
              <w:highlight w:val="none"/>
            </w:rPr>
            <w:fldChar w:fldCharType="begin"/>
          </w:r>
          <w:r>
            <w:rPr>
              <w:color w:val="auto"/>
              <w:highlight w:val="none"/>
            </w:rPr>
            <w:instrText xml:space="preserve"> PAGEREF _Toc14261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343D101D">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"_Toc13438" </w:instrText>
          </w:r>
          <w:r>
            <w:rPr>
              <w:color w:val="auto"/>
              <w:highlight w:val="none"/>
            </w:rPr>
            <w:fldChar w:fldCharType="separate"/>
          </w:r>
          <w:r>
            <w:rPr>
              <w:rFonts w:hint="eastAsia" w:ascii="宋体" w:hAnsi="宋体" w:cs="宋体"/>
              <w:color w:val="auto"/>
              <w:highlight w:val="none"/>
            </w:rPr>
            <w:t>七、合同授予</w:t>
          </w:r>
          <w:r>
            <w:rPr>
              <w:color w:val="auto"/>
              <w:highlight w:val="none"/>
            </w:rPr>
            <w:tab/>
          </w:r>
          <w:r>
            <w:rPr>
              <w:color w:val="auto"/>
              <w:highlight w:val="none"/>
            </w:rPr>
            <w:fldChar w:fldCharType="begin"/>
          </w:r>
          <w:r>
            <w:rPr>
              <w:color w:val="auto"/>
              <w:highlight w:val="none"/>
            </w:rPr>
            <w:instrText xml:space="preserve"> PAGEREF _Toc13438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7D0081AA">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"_Toc30870" </w:instrText>
          </w:r>
          <w:r>
            <w:rPr>
              <w:color w:val="auto"/>
              <w:highlight w:val="none"/>
            </w:rPr>
            <w:fldChar w:fldCharType="separate"/>
          </w:r>
          <w:r>
            <w:rPr>
              <w:rFonts w:hint="eastAsia" w:ascii="宋体" w:hAnsi="宋体" w:cs="宋体"/>
              <w:color w:val="auto"/>
              <w:highlight w:val="none"/>
            </w:rPr>
            <w:t>八、电子交易活动的中止</w:t>
          </w:r>
          <w:r>
            <w:rPr>
              <w:color w:val="auto"/>
              <w:highlight w:val="none"/>
            </w:rPr>
            <w:tab/>
          </w:r>
          <w:r>
            <w:rPr>
              <w:color w:val="auto"/>
              <w:highlight w:val="none"/>
            </w:rPr>
            <w:fldChar w:fldCharType="begin"/>
          </w:r>
          <w:r>
            <w:rPr>
              <w:color w:val="auto"/>
              <w:highlight w:val="none"/>
            </w:rPr>
            <w:instrText xml:space="preserve"> PAGEREF _Toc30870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0C0DF440">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"_Toc16298" </w:instrText>
          </w:r>
          <w:r>
            <w:rPr>
              <w:color w:val="auto"/>
              <w:highlight w:val="none"/>
            </w:rPr>
            <w:fldChar w:fldCharType="separate"/>
          </w:r>
          <w:r>
            <w:rPr>
              <w:rFonts w:hint="eastAsia" w:ascii="宋体" w:hAnsi="宋体" w:cs="宋体"/>
              <w:color w:val="auto"/>
              <w:highlight w:val="none"/>
            </w:rPr>
            <w:t>九、验收</w:t>
          </w:r>
          <w:r>
            <w:rPr>
              <w:color w:val="auto"/>
              <w:highlight w:val="none"/>
            </w:rPr>
            <w:tab/>
          </w:r>
          <w:r>
            <w:rPr>
              <w:color w:val="auto"/>
              <w:highlight w:val="none"/>
            </w:rPr>
            <w:fldChar w:fldCharType="begin"/>
          </w:r>
          <w:r>
            <w:rPr>
              <w:color w:val="auto"/>
              <w:highlight w:val="none"/>
            </w:rPr>
            <w:instrText xml:space="preserve"> PAGEREF _Toc16298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AE22691">
          <w:pPr>
            <w:pStyle w:val="44"/>
            <w:tabs>
              <w:tab w:val="right" w:leader="dot" w:pos="9071"/>
            </w:tabs>
            <w:rPr>
              <w:color w:val="auto"/>
              <w:highlight w:val="none"/>
            </w:rPr>
          </w:pPr>
          <w:r>
            <w:rPr>
              <w:color w:val="auto"/>
              <w:highlight w:val="none"/>
            </w:rPr>
            <w:fldChar w:fldCharType="begin"/>
          </w:r>
          <w:r>
            <w:rPr>
              <w:color w:val="auto"/>
              <w:highlight w:val="none"/>
            </w:rPr>
            <w:instrText xml:space="preserve"> HYPERLINK \l "_Toc10310" </w:instrText>
          </w:r>
          <w:r>
            <w:rPr>
              <w:color w:val="auto"/>
              <w:highlight w:val="none"/>
            </w:rPr>
            <w:fldChar w:fldCharType="separate"/>
          </w:r>
          <w:r>
            <w:rPr>
              <w:rFonts w:hint="eastAsia" w:ascii="宋体" w:hAnsi="宋体" w:cs="宋体"/>
              <w:color w:val="auto"/>
              <w:szCs w:val="36"/>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_Toc10310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34B7FBD8">
          <w:pPr>
            <w:pStyle w:val="44"/>
            <w:tabs>
              <w:tab w:val="right" w:leader="dot" w:pos="9071"/>
            </w:tabs>
            <w:rPr>
              <w:color w:val="auto"/>
              <w:highlight w:val="none"/>
            </w:rPr>
          </w:pPr>
          <w:r>
            <w:rPr>
              <w:color w:val="auto"/>
              <w:highlight w:val="none"/>
            </w:rPr>
            <w:fldChar w:fldCharType="begin"/>
          </w:r>
          <w:r>
            <w:rPr>
              <w:color w:val="auto"/>
              <w:highlight w:val="none"/>
            </w:rPr>
            <w:instrText xml:space="preserve"> HYPERLINK \l "_Toc3353" </w:instrText>
          </w:r>
          <w:r>
            <w:rPr>
              <w:color w:val="auto"/>
              <w:highlight w:val="none"/>
            </w:rPr>
            <w:fldChar w:fldCharType="separate"/>
          </w:r>
          <w:r>
            <w:rPr>
              <w:rFonts w:hint="eastAsia" w:ascii="宋体" w:hAnsi="宋体" w:cs="宋体"/>
              <w:color w:val="auto"/>
              <w:szCs w:val="36"/>
              <w:highlight w:val="none"/>
            </w:rPr>
            <w:t>第四章 评标办法</w:t>
          </w:r>
          <w:r>
            <w:rPr>
              <w:color w:val="auto"/>
              <w:highlight w:val="none"/>
            </w:rPr>
            <w:tab/>
          </w:r>
          <w:r>
            <w:rPr>
              <w:color w:val="auto"/>
              <w:highlight w:val="none"/>
            </w:rPr>
            <w:fldChar w:fldCharType="begin"/>
          </w:r>
          <w:r>
            <w:rPr>
              <w:color w:val="auto"/>
              <w:highlight w:val="none"/>
            </w:rPr>
            <w:instrText xml:space="preserve"> PAGEREF _Toc3353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7FDD0000">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"_Toc14874" </w:instrText>
          </w:r>
          <w:r>
            <w:rPr>
              <w:color w:val="auto"/>
              <w:highlight w:val="none"/>
            </w:rPr>
            <w:fldChar w:fldCharType="separate"/>
          </w:r>
          <w:r>
            <w:rPr>
              <w:rFonts w:hint="eastAsia" w:ascii="宋体" w:hAnsi="宋体" w:cs="宋体"/>
              <w:color w:val="auto"/>
              <w:szCs w:val="20"/>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_Toc14874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2E78B715">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"_Toc14936" </w:instrText>
          </w:r>
          <w:r>
            <w:rPr>
              <w:color w:val="auto"/>
              <w:highlight w:val="none"/>
            </w:rPr>
            <w:fldChar w:fldCharType="separate"/>
          </w:r>
          <w:r>
            <w:rPr>
              <w:rFonts w:hint="eastAsia" w:ascii="宋体" w:hAnsi="宋体" w:cs="宋体"/>
              <w:color w:val="auto"/>
              <w:szCs w:val="28"/>
              <w:highlight w:val="none"/>
            </w:rPr>
            <w:t>一、评标方法</w:t>
          </w:r>
          <w:r>
            <w:rPr>
              <w:color w:val="auto"/>
              <w:highlight w:val="none"/>
            </w:rPr>
            <w:tab/>
          </w:r>
          <w:r>
            <w:rPr>
              <w:color w:val="auto"/>
              <w:highlight w:val="none"/>
            </w:rPr>
            <w:fldChar w:fldCharType="begin"/>
          </w:r>
          <w:r>
            <w:rPr>
              <w:color w:val="auto"/>
              <w:highlight w:val="none"/>
            </w:rPr>
            <w:instrText xml:space="preserve"> PAGEREF _Toc14936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3AC5310C">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"_Toc5837" </w:instrText>
          </w:r>
          <w:r>
            <w:rPr>
              <w:color w:val="auto"/>
              <w:highlight w:val="none"/>
            </w:rPr>
            <w:fldChar w:fldCharType="separate"/>
          </w:r>
          <w:r>
            <w:rPr>
              <w:rFonts w:hint="eastAsia" w:ascii="宋体" w:hAnsi="宋体" w:cs="宋体"/>
              <w:color w:val="auto"/>
              <w:szCs w:val="28"/>
              <w:highlight w:val="none"/>
            </w:rPr>
            <w:t>二、评标标准</w:t>
          </w:r>
          <w:r>
            <w:rPr>
              <w:color w:val="auto"/>
              <w:highlight w:val="none"/>
            </w:rPr>
            <w:tab/>
          </w:r>
          <w:r>
            <w:rPr>
              <w:color w:val="auto"/>
              <w:highlight w:val="none"/>
            </w:rPr>
            <w:fldChar w:fldCharType="begin"/>
          </w:r>
          <w:r>
            <w:rPr>
              <w:color w:val="auto"/>
              <w:highlight w:val="none"/>
            </w:rPr>
            <w:instrText xml:space="preserve"> PAGEREF _Toc5837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6AD89680">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"_Toc20752" </w:instrText>
          </w:r>
          <w:r>
            <w:rPr>
              <w:color w:val="auto"/>
              <w:highlight w:val="none"/>
            </w:rPr>
            <w:fldChar w:fldCharType="separate"/>
          </w:r>
          <w:r>
            <w:rPr>
              <w:rFonts w:hint="eastAsia" w:ascii="宋体" w:hAnsi="宋体" w:cs="宋体"/>
              <w:color w:val="auto"/>
              <w:szCs w:val="28"/>
              <w:highlight w:val="none"/>
            </w:rPr>
            <w:t>三、评标程序</w:t>
          </w:r>
          <w:r>
            <w:rPr>
              <w:color w:val="auto"/>
              <w:highlight w:val="none"/>
            </w:rPr>
            <w:tab/>
          </w:r>
          <w:r>
            <w:rPr>
              <w:color w:val="auto"/>
              <w:highlight w:val="none"/>
            </w:rPr>
            <w:fldChar w:fldCharType="begin"/>
          </w:r>
          <w:r>
            <w:rPr>
              <w:color w:val="auto"/>
              <w:highlight w:val="none"/>
            </w:rPr>
            <w:instrText xml:space="preserve"> PAGEREF _Toc20752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1664BB19">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"_Toc15831" </w:instrText>
          </w:r>
          <w:r>
            <w:rPr>
              <w:color w:val="auto"/>
              <w:highlight w:val="none"/>
            </w:rPr>
            <w:fldChar w:fldCharType="separate"/>
          </w:r>
          <w:r>
            <w:rPr>
              <w:rFonts w:hint="eastAsia" w:ascii="宋体" w:hAnsi="宋体" w:cs="宋体"/>
              <w:color w:val="auto"/>
              <w:szCs w:val="28"/>
              <w:highlight w:val="none"/>
            </w:rPr>
            <w:t>四、评标中的其他事项</w:t>
          </w:r>
          <w:r>
            <w:rPr>
              <w:color w:val="auto"/>
              <w:highlight w:val="none"/>
            </w:rPr>
            <w:tab/>
          </w:r>
          <w:r>
            <w:rPr>
              <w:color w:val="auto"/>
              <w:highlight w:val="none"/>
            </w:rPr>
            <w:fldChar w:fldCharType="begin"/>
          </w:r>
          <w:r>
            <w:rPr>
              <w:color w:val="auto"/>
              <w:highlight w:val="none"/>
            </w:rPr>
            <w:instrText xml:space="preserve"> PAGEREF _Toc15831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564A86BC">
          <w:pPr>
            <w:pStyle w:val="44"/>
            <w:tabs>
              <w:tab w:val="right" w:leader="dot" w:pos="9071"/>
            </w:tabs>
            <w:rPr>
              <w:color w:val="auto"/>
              <w:highlight w:val="none"/>
            </w:rPr>
          </w:pPr>
          <w:r>
            <w:rPr>
              <w:color w:val="auto"/>
              <w:highlight w:val="none"/>
            </w:rPr>
            <w:fldChar w:fldCharType="begin"/>
          </w:r>
          <w:r>
            <w:rPr>
              <w:color w:val="auto"/>
              <w:highlight w:val="none"/>
            </w:rPr>
            <w:instrText xml:space="preserve"> HYPERLINK \l "_Toc17791" </w:instrText>
          </w:r>
          <w:r>
            <w:rPr>
              <w:color w:val="auto"/>
              <w:highlight w:val="none"/>
            </w:rPr>
            <w:fldChar w:fldCharType="separate"/>
          </w:r>
          <w:r>
            <w:rPr>
              <w:rFonts w:hint="eastAsia" w:ascii="宋体" w:hAnsi="宋体" w:cs="宋体"/>
              <w:color w:val="auto"/>
              <w:szCs w:val="36"/>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_Toc17791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5E6EA124">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"_Toc8827" </w:instrText>
          </w:r>
          <w:r>
            <w:rPr>
              <w:color w:val="auto"/>
              <w:highlight w:val="none"/>
            </w:rPr>
            <w:fldChar w:fldCharType="separate"/>
          </w:r>
          <w:r>
            <w:rPr>
              <w:rFonts w:hint="eastAsia" w:ascii="宋体" w:hAnsi="宋体" w:cs="宋体"/>
              <w:color w:val="auto"/>
              <w:szCs w:val="36"/>
              <w:highlight w:val="none"/>
            </w:rPr>
            <w:t>政府采购合同参考范本</w:t>
          </w:r>
          <w:r>
            <w:rPr>
              <w:color w:val="auto"/>
              <w:highlight w:val="none"/>
            </w:rPr>
            <w:tab/>
          </w:r>
          <w:r>
            <w:rPr>
              <w:color w:val="auto"/>
              <w:highlight w:val="none"/>
            </w:rPr>
            <w:fldChar w:fldCharType="begin"/>
          </w:r>
          <w:r>
            <w:rPr>
              <w:color w:val="auto"/>
              <w:highlight w:val="none"/>
            </w:rPr>
            <w:instrText xml:space="preserve"> PAGEREF _Toc8827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64A34920">
          <w:pPr>
            <w:pStyle w:val="44"/>
            <w:tabs>
              <w:tab w:val="right" w:leader="dot" w:pos="9071"/>
            </w:tabs>
            <w:rPr>
              <w:color w:val="auto"/>
              <w:highlight w:val="none"/>
            </w:rPr>
          </w:pPr>
          <w:r>
            <w:rPr>
              <w:color w:val="auto"/>
              <w:highlight w:val="none"/>
            </w:rPr>
            <w:fldChar w:fldCharType="begin"/>
          </w:r>
          <w:r>
            <w:rPr>
              <w:color w:val="auto"/>
              <w:highlight w:val="none"/>
            </w:rPr>
            <w:instrText xml:space="preserve"> HYPERLINK \l "_Toc7996" </w:instrText>
          </w:r>
          <w:r>
            <w:rPr>
              <w:color w:val="auto"/>
              <w:highlight w:val="none"/>
            </w:rPr>
            <w:fldChar w:fldCharType="separate"/>
          </w:r>
          <w:r>
            <w:rPr>
              <w:rFonts w:hint="eastAsia" w:ascii="宋体" w:hAnsi="宋体" w:cs="宋体"/>
              <w:color w:val="auto"/>
              <w:szCs w:val="20"/>
              <w:highlight w:val="none"/>
            </w:rPr>
            <w:t>第六章 应提交的有关格式范例</w:t>
          </w:r>
          <w:r>
            <w:rPr>
              <w:color w:val="auto"/>
              <w:highlight w:val="none"/>
            </w:rPr>
            <w:tab/>
          </w:r>
          <w:r>
            <w:rPr>
              <w:color w:val="auto"/>
              <w:highlight w:val="none"/>
            </w:rPr>
            <w:fldChar w:fldCharType="begin"/>
          </w:r>
          <w:r>
            <w:rPr>
              <w:color w:val="auto"/>
              <w:highlight w:val="none"/>
            </w:rPr>
            <w:instrText xml:space="preserve"> PAGEREF _Toc7996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59A592C7">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"_Toc18382" </w:instrText>
          </w:r>
          <w:r>
            <w:rPr>
              <w:color w:val="auto"/>
              <w:highlight w:val="none"/>
            </w:rPr>
            <w:fldChar w:fldCharType="separate"/>
          </w:r>
          <w:r>
            <w:rPr>
              <w:rFonts w:hint="eastAsia" w:ascii="宋体" w:hAnsi="宋体" w:cs="宋体"/>
              <w:color w:val="auto"/>
              <w:kern w:val="0"/>
              <w:szCs w:val="36"/>
              <w:highlight w:val="none"/>
            </w:rPr>
            <w:t>第一部分 资格文件</w:t>
          </w:r>
          <w:r>
            <w:rPr>
              <w:color w:val="auto"/>
              <w:highlight w:val="none"/>
            </w:rPr>
            <w:tab/>
          </w:r>
          <w:r>
            <w:rPr>
              <w:color w:val="auto"/>
              <w:highlight w:val="none"/>
            </w:rPr>
            <w:fldChar w:fldCharType="begin"/>
          </w:r>
          <w:r>
            <w:rPr>
              <w:color w:val="auto"/>
              <w:highlight w:val="none"/>
            </w:rPr>
            <w:instrText xml:space="preserve"> PAGEREF _Toc18382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39B6BE6B">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"_Toc16888" </w:instrText>
          </w:r>
          <w:r>
            <w:rPr>
              <w:color w:val="auto"/>
              <w:highlight w:val="none"/>
            </w:rPr>
            <w:fldChar w:fldCharType="separate"/>
          </w:r>
          <w:r>
            <w:rPr>
              <w:rFonts w:hint="eastAsia" w:ascii="宋体" w:hAnsi="宋体" w:cs="宋体"/>
              <w:color w:val="auto"/>
              <w:kern w:val="0"/>
              <w:szCs w:val="36"/>
              <w:highlight w:val="none"/>
            </w:rPr>
            <w:t>第二部分 商务技术文件</w:t>
          </w:r>
          <w:r>
            <w:rPr>
              <w:color w:val="auto"/>
              <w:highlight w:val="none"/>
            </w:rPr>
            <w:tab/>
          </w:r>
          <w:r>
            <w:rPr>
              <w:color w:val="auto"/>
              <w:highlight w:val="none"/>
            </w:rPr>
            <w:fldChar w:fldCharType="begin"/>
          </w:r>
          <w:r>
            <w:rPr>
              <w:color w:val="auto"/>
              <w:highlight w:val="none"/>
            </w:rPr>
            <w:instrText xml:space="preserve"> PAGEREF _Toc16888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62BFFC07">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"_Toc13961" </w:instrText>
          </w:r>
          <w:r>
            <w:rPr>
              <w:color w:val="auto"/>
              <w:highlight w:val="none"/>
            </w:rPr>
            <w:fldChar w:fldCharType="separate"/>
          </w:r>
          <w:r>
            <w:rPr>
              <w:rFonts w:hint="eastAsia" w:ascii="宋体" w:hAnsi="宋体" w:cs="宋体"/>
              <w:color w:val="auto"/>
              <w:kern w:val="0"/>
              <w:szCs w:val="36"/>
              <w:highlight w:val="none"/>
            </w:rPr>
            <w:t>第三部分 报价文件</w:t>
          </w:r>
          <w:r>
            <w:rPr>
              <w:color w:val="auto"/>
              <w:highlight w:val="none"/>
            </w:rPr>
            <w:tab/>
          </w:r>
          <w:r>
            <w:rPr>
              <w:color w:val="auto"/>
              <w:highlight w:val="none"/>
            </w:rPr>
            <w:fldChar w:fldCharType="begin"/>
          </w:r>
          <w:r>
            <w:rPr>
              <w:color w:val="auto"/>
              <w:highlight w:val="none"/>
            </w:rPr>
            <w:instrText xml:space="preserve"> PAGEREF _Toc13961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67E2FCE2">
          <w:pPr>
            <w:pStyle w:val="44"/>
            <w:tabs>
              <w:tab w:val="right" w:leader="dot" w:pos="9071"/>
            </w:tabs>
            <w:rPr>
              <w:color w:val="auto"/>
              <w:highlight w:val="none"/>
            </w:rPr>
          </w:pPr>
          <w:r>
            <w:rPr>
              <w:color w:val="auto"/>
              <w:highlight w:val="none"/>
            </w:rPr>
            <w:fldChar w:fldCharType="begin"/>
          </w:r>
          <w:r>
            <w:rPr>
              <w:color w:val="auto"/>
              <w:highlight w:val="none"/>
            </w:rPr>
            <w:instrText xml:space="preserve"> HYPERLINK \l "_Toc13207" </w:instrText>
          </w:r>
          <w:r>
            <w:rPr>
              <w:color w:val="auto"/>
              <w:highlight w:val="none"/>
            </w:rPr>
            <w:fldChar w:fldCharType="separate"/>
          </w:r>
          <w:r>
            <w:rPr>
              <w:rFonts w:hint="eastAsia" w:ascii="宋体" w:hAnsi="宋体" w:cs="宋体"/>
              <w:color w:val="auto"/>
              <w:highlight w:val="none"/>
            </w:rPr>
            <w:t>第七章 附件</w:t>
          </w:r>
          <w:r>
            <w:rPr>
              <w:color w:val="auto"/>
              <w:highlight w:val="none"/>
            </w:rPr>
            <w:tab/>
          </w:r>
          <w:r>
            <w:rPr>
              <w:color w:val="auto"/>
              <w:highlight w:val="none"/>
            </w:rPr>
            <w:fldChar w:fldCharType="begin"/>
          </w:r>
          <w:r>
            <w:rPr>
              <w:color w:val="auto"/>
              <w:highlight w:val="none"/>
            </w:rPr>
            <w:instrText xml:space="preserve"> PAGEREF _Toc13207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7E1BF840">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"_Toc24669" </w:instrText>
          </w:r>
          <w:r>
            <w:rPr>
              <w:color w:val="auto"/>
              <w:highlight w:val="none"/>
            </w:rPr>
            <w:fldChar w:fldCharType="separate"/>
          </w:r>
          <w:r>
            <w:rPr>
              <w:rFonts w:hint="eastAsia" w:ascii="宋体" w:hAnsi="宋体" w:cs="宋体"/>
              <w:color w:val="auto"/>
              <w:spacing w:val="6"/>
              <w:szCs w:val="32"/>
              <w:highlight w:val="none"/>
            </w:rPr>
            <w:t>附件1：残疾人福利性单位声明函</w:t>
          </w:r>
          <w:r>
            <w:rPr>
              <w:color w:val="auto"/>
              <w:highlight w:val="none"/>
            </w:rPr>
            <w:tab/>
          </w:r>
          <w:r>
            <w:rPr>
              <w:color w:val="auto"/>
              <w:highlight w:val="none"/>
            </w:rPr>
            <w:fldChar w:fldCharType="begin"/>
          </w:r>
          <w:r>
            <w:rPr>
              <w:color w:val="auto"/>
              <w:highlight w:val="none"/>
            </w:rPr>
            <w:instrText xml:space="preserve"> PAGEREF _Toc24669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1D6DA083">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"_Toc4517" </w:instrText>
          </w:r>
          <w:r>
            <w:rPr>
              <w:color w:val="auto"/>
              <w:highlight w:val="none"/>
            </w:rPr>
            <w:fldChar w:fldCharType="separate"/>
          </w:r>
          <w:r>
            <w:rPr>
              <w:rFonts w:hint="eastAsia" w:ascii="宋体" w:hAnsi="宋体" w:cs="宋体"/>
              <w:color w:val="auto"/>
              <w:spacing w:val="6"/>
              <w:szCs w:val="32"/>
              <w:highlight w:val="none"/>
            </w:rPr>
            <w:t>附件2：质疑函范本及制作说明</w:t>
          </w:r>
          <w:r>
            <w:rPr>
              <w:color w:val="auto"/>
              <w:highlight w:val="none"/>
            </w:rPr>
            <w:tab/>
          </w:r>
          <w:r>
            <w:rPr>
              <w:color w:val="auto"/>
              <w:highlight w:val="none"/>
            </w:rPr>
            <w:fldChar w:fldCharType="begin"/>
          </w:r>
          <w:r>
            <w:rPr>
              <w:color w:val="auto"/>
              <w:highlight w:val="none"/>
            </w:rPr>
            <w:instrText xml:space="preserve"> PAGEREF _Toc4517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4E7841FC">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"_Toc11440" </w:instrText>
          </w:r>
          <w:r>
            <w:rPr>
              <w:color w:val="auto"/>
              <w:highlight w:val="none"/>
            </w:rPr>
            <w:fldChar w:fldCharType="separate"/>
          </w:r>
          <w:r>
            <w:rPr>
              <w:rFonts w:hint="eastAsia" w:ascii="宋体" w:hAnsi="宋体" w:cs="宋体"/>
              <w:color w:val="auto"/>
              <w:spacing w:val="6"/>
              <w:szCs w:val="32"/>
              <w:highlight w:val="none"/>
            </w:rPr>
            <w:t>附件3：投诉书范本及制作说明</w:t>
          </w:r>
          <w:r>
            <w:rPr>
              <w:color w:val="auto"/>
              <w:highlight w:val="none"/>
            </w:rPr>
            <w:tab/>
          </w:r>
          <w:r>
            <w:rPr>
              <w:color w:val="auto"/>
              <w:highlight w:val="none"/>
            </w:rPr>
            <w:fldChar w:fldCharType="begin"/>
          </w:r>
          <w:r>
            <w:rPr>
              <w:color w:val="auto"/>
              <w:highlight w:val="none"/>
            </w:rPr>
            <w:instrText xml:space="preserve"> PAGEREF _Toc11440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13D2AA5E">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"_Toc3542" </w:instrText>
          </w:r>
          <w:r>
            <w:rPr>
              <w:color w:val="auto"/>
              <w:highlight w:val="none"/>
            </w:rPr>
            <w:fldChar w:fldCharType="separate"/>
          </w:r>
          <w:r>
            <w:rPr>
              <w:rFonts w:hint="eastAsia" w:ascii="宋体" w:hAnsi="宋体" w:cs="宋体"/>
              <w:color w:val="auto"/>
              <w:spacing w:val="6"/>
              <w:szCs w:val="32"/>
              <w:highlight w:val="none"/>
            </w:rPr>
            <w:t>附件4：</w:t>
          </w:r>
          <w:r>
            <w:rPr>
              <w:rFonts w:hint="eastAsia" w:ascii="宋体" w:hAnsi="宋体" w:cs="宋体"/>
              <w:bCs/>
              <w:color w:val="auto"/>
              <w:szCs w:val="32"/>
              <w:highlight w:val="none"/>
            </w:rPr>
            <w:t>业务专用章使用说明函</w:t>
          </w:r>
          <w:r>
            <w:rPr>
              <w:color w:val="auto"/>
              <w:highlight w:val="none"/>
            </w:rPr>
            <w:tab/>
          </w:r>
          <w:r>
            <w:rPr>
              <w:color w:val="auto"/>
              <w:highlight w:val="none"/>
            </w:rPr>
            <w:fldChar w:fldCharType="begin"/>
          </w:r>
          <w:r>
            <w:rPr>
              <w:color w:val="auto"/>
              <w:highlight w:val="none"/>
            </w:rPr>
            <w:instrText xml:space="preserve"> PAGEREF _Toc3542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75A6CDEB">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"_Toc22207" </w:instrText>
          </w:r>
          <w:r>
            <w:rPr>
              <w:color w:val="auto"/>
              <w:highlight w:val="none"/>
            </w:rPr>
            <w:fldChar w:fldCharType="separate"/>
          </w:r>
          <w:r>
            <w:rPr>
              <w:rFonts w:hint="eastAsia" w:ascii="宋体" w:hAnsi="宋体" w:cs="宋体"/>
              <w:color w:val="auto"/>
              <w:spacing w:val="6"/>
              <w:szCs w:val="32"/>
              <w:highlight w:val="none"/>
            </w:rPr>
            <w:t>附件</w:t>
          </w:r>
          <w:r>
            <w:rPr>
              <w:rFonts w:ascii="宋体" w:hAnsi="宋体" w:cs="宋体"/>
              <w:color w:val="auto"/>
              <w:spacing w:val="6"/>
              <w:szCs w:val="32"/>
              <w:highlight w:val="none"/>
            </w:rPr>
            <w:t>5</w:t>
          </w:r>
          <w:r>
            <w:rPr>
              <w:rFonts w:hint="eastAsia" w:ascii="宋体" w:hAnsi="宋体" w:cs="宋体"/>
              <w:color w:val="auto"/>
              <w:spacing w:val="6"/>
              <w:szCs w:val="32"/>
              <w:highlight w:val="none"/>
            </w:rPr>
            <w:t>：</w:t>
          </w:r>
          <w:r>
            <w:rPr>
              <w:rFonts w:hint="eastAsia" w:ascii="宋体" w:hAnsi="宋体" w:cs="宋体"/>
              <w:color w:val="auto"/>
              <w:kern w:val="0"/>
              <w:szCs w:val="32"/>
              <w:highlight w:val="none"/>
              <w:lang w:val="zh-CN"/>
            </w:rPr>
            <w:t>联合协议</w:t>
          </w:r>
          <w:r>
            <w:rPr>
              <w:color w:val="auto"/>
              <w:highlight w:val="none"/>
            </w:rPr>
            <w:tab/>
          </w:r>
          <w:r>
            <w:rPr>
              <w:color w:val="auto"/>
              <w:highlight w:val="none"/>
            </w:rPr>
            <w:fldChar w:fldCharType="begin"/>
          </w:r>
          <w:r>
            <w:rPr>
              <w:color w:val="auto"/>
              <w:highlight w:val="none"/>
            </w:rPr>
            <w:instrText xml:space="preserve"> PAGEREF _Toc22207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6AAD8798">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"_Toc28006" </w:instrText>
          </w:r>
          <w:r>
            <w:rPr>
              <w:color w:val="auto"/>
              <w:highlight w:val="none"/>
            </w:rPr>
            <w:fldChar w:fldCharType="separate"/>
          </w:r>
          <w:r>
            <w:rPr>
              <w:rFonts w:hint="eastAsia" w:ascii="宋体" w:hAnsi="宋体" w:cs="宋体"/>
              <w:color w:val="auto"/>
              <w:spacing w:val="6"/>
              <w:szCs w:val="32"/>
              <w:highlight w:val="none"/>
            </w:rPr>
            <w:t>附件</w:t>
          </w:r>
          <w:r>
            <w:rPr>
              <w:rFonts w:ascii="宋体" w:hAnsi="宋体" w:cs="宋体"/>
              <w:color w:val="auto"/>
              <w:spacing w:val="6"/>
              <w:szCs w:val="32"/>
              <w:highlight w:val="none"/>
            </w:rPr>
            <w:t>6</w:t>
          </w:r>
          <w:r>
            <w:rPr>
              <w:rFonts w:hint="eastAsia" w:ascii="宋体" w:hAnsi="宋体" w:cs="宋体"/>
              <w:color w:val="auto"/>
              <w:spacing w:val="6"/>
              <w:szCs w:val="32"/>
              <w:highlight w:val="none"/>
            </w:rPr>
            <w:t>：</w:t>
          </w:r>
          <w:r>
            <w:rPr>
              <w:rFonts w:hint="eastAsia" w:ascii="宋体" w:hAnsi="宋体" w:cs="宋体"/>
              <w:color w:val="auto"/>
              <w:kern w:val="0"/>
              <w:szCs w:val="32"/>
              <w:highlight w:val="none"/>
            </w:rPr>
            <w:t>分包</w:t>
          </w:r>
          <w:r>
            <w:rPr>
              <w:rFonts w:hint="eastAsia" w:ascii="宋体" w:hAnsi="宋体" w:cs="宋体"/>
              <w:color w:val="auto"/>
              <w:kern w:val="0"/>
              <w:szCs w:val="32"/>
              <w:highlight w:val="none"/>
              <w:lang w:val="zh-CN"/>
            </w:rPr>
            <w:t>意向</w:t>
          </w:r>
          <w:r>
            <w:rPr>
              <w:rFonts w:hint="eastAsia" w:ascii="宋体" w:hAnsi="宋体" w:cs="宋体"/>
              <w:color w:val="auto"/>
              <w:kern w:val="0"/>
              <w:szCs w:val="32"/>
              <w:highlight w:val="none"/>
            </w:rPr>
            <w:t>协议</w:t>
          </w:r>
          <w:r>
            <w:rPr>
              <w:color w:val="auto"/>
              <w:highlight w:val="none"/>
            </w:rPr>
            <w:tab/>
          </w:r>
          <w:r>
            <w:rPr>
              <w:color w:val="auto"/>
              <w:highlight w:val="none"/>
            </w:rPr>
            <w:fldChar w:fldCharType="begin"/>
          </w:r>
          <w:r>
            <w:rPr>
              <w:color w:val="auto"/>
              <w:highlight w:val="none"/>
            </w:rPr>
            <w:instrText xml:space="preserve"> PAGEREF _Toc28006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07EE4FFD">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"_Toc29186" </w:instrText>
          </w:r>
          <w:r>
            <w:rPr>
              <w:color w:val="auto"/>
              <w:highlight w:val="none"/>
            </w:rPr>
            <w:fldChar w:fldCharType="separate"/>
          </w:r>
          <w:r>
            <w:rPr>
              <w:rFonts w:hint="eastAsia" w:ascii="宋体" w:hAnsi="宋体" w:cs="宋体"/>
              <w:color w:val="auto"/>
              <w:szCs w:val="20"/>
              <w:highlight w:val="none"/>
            </w:rPr>
            <w:t>附件</w:t>
          </w:r>
          <w:r>
            <w:rPr>
              <w:rFonts w:ascii="宋体" w:hAnsi="宋体" w:cs="宋体"/>
              <w:color w:val="auto"/>
              <w:szCs w:val="20"/>
              <w:highlight w:val="none"/>
            </w:rPr>
            <w:t>7</w:t>
          </w:r>
          <w:r>
            <w:rPr>
              <w:rFonts w:hint="eastAsia" w:ascii="宋体" w:hAnsi="宋体" w:cs="宋体"/>
              <w:color w:val="auto"/>
              <w:szCs w:val="20"/>
              <w:highlight w:val="none"/>
            </w:rPr>
            <w:t>：</w:t>
          </w:r>
          <w:r>
            <w:rPr>
              <w:rFonts w:hint="eastAsia" w:ascii="宋体" w:hAnsi="宋体" w:cs="宋体"/>
              <w:color w:val="auto"/>
              <w:kern w:val="0"/>
              <w:szCs w:val="32"/>
              <w:highlight w:val="none"/>
              <w:lang w:val="zh-CN"/>
            </w:rPr>
            <w:t>中小企业</w:t>
          </w:r>
          <w:r>
            <w:rPr>
              <w:rFonts w:hint="eastAsia" w:ascii="宋体" w:hAnsi="宋体" w:cs="宋体"/>
              <w:color w:val="auto"/>
              <w:szCs w:val="20"/>
              <w:highlight w:val="none"/>
            </w:rPr>
            <w:t>声明函</w:t>
          </w:r>
          <w:r>
            <w:rPr>
              <w:color w:val="auto"/>
              <w:highlight w:val="none"/>
            </w:rPr>
            <w:tab/>
          </w:r>
          <w:r>
            <w:rPr>
              <w:color w:val="auto"/>
              <w:highlight w:val="none"/>
            </w:rPr>
            <w:fldChar w:fldCharType="begin"/>
          </w:r>
          <w:r>
            <w:rPr>
              <w:color w:val="auto"/>
              <w:highlight w:val="none"/>
            </w:rPr>
            <w:instrText xml:space="preserve"> PAGEREF _Toc29186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41F7D7F0">
          <w:pPr>
            <w:pStyle w:val="55"/>
            <w:tabs>
              <w:tab w:val="right" w:leader="dot" w:pos="9071"/>
            </w:tabs>
            <w:rPr>
              <w:color w:val="auto"/>
              <w:highlight w:val="none"/>
            </w:rPr>
          </w:pPr>
          <w:r>
            <w:rPr>
              <w:color w:val="auto"/>
              <w:highlight w:val="none"/>
            </w:rPr>
            <w:fldChar w:fldCharType="begin"/>
          </w:r>
          <w:r>
            <w:rPr>
              <w:color w:val="auto"/>
              <w:highlight w:val="none"/>
            </w:rPr>
            <w:instrText xml:space="preserve"> HYPERLINK \l "_Toc29800" </w:instrText>
          </w:r>
          <w:r>
            <w:rPr>
              <w:color w:val="auto"/>
              <w:highlight w:val="none"/>
            </w:rPr>
            <w:fldChar w:fldCharType="separate"/>
          </w:r>
          <w:r>
            <w:rPr>
              <w:rFonts w:hint="eastAsia" w:ascii="宋体" w:hAnsi="宋体" w:cs="宋体"/>
              <w:color w:val="auto"/>
              <w:kern w:val="0"/>
              <w:szCs w:val="32"/>
              <w:highlight w:val="none"/>
            </w:rPr>
            <w:t>附件8：</w:t>
          </w:r>
          <w:r>
            <w:rPr>
              <w:rFonts w:hint="eastAsia" w:ascii="宋体" w:hAnsi="宋体" w:cs="宋体"/>
              <w:color w:val="auto"/>
              <w:kern w:val="0"/>
              <w:szCs w:val="32"/>
              <w:highlight w:val="none"/>
              <w:lang w:val="zh-CN"/>
            </w:rPr>
            <w:t>政府采购支持中小企业信用融资相关事项通知</w:t>
          </w:r>
          <w:r>
            <w:rPr>
              <w:color w:val="auto"/>
              <w:highlight w:val="none"/>
            </w:rPr>
            <w:tab/>
          </w:r>
          <w:r>
            <w:rPr>
              <w:color w:val="auto"/>
              <w:highlight w:val="none"/>
            </w:rPr>
            <w:fldChar w:fldCharType="begin"/>
          </w:r>
          <w:r>
            <w:rPr>
              <w:color w:val="auto"/>
              <w:highlight w:val="none"/>
            </w:rPr>
            <w:instrText xml:space="preserve"> PAGEREF _Toc29800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73539B21">
          <w:pPr>
            <w:spacing w:line="360" w:lineRule="auto"/>
            <w:rPr>
              <w:rFonts w:ascii="宋体" w:hAnsi="宋体" w:cs="宋体"/>
              <w:color w:val="auto"/>
              <w:sz w:val="32"/>
              <w:szCs w:val="32"/>
              <w:highlight w:val="none"/>
            </w:rPr>
          </w:pPr>
          <w:r>
            <w:rPr>
              <w:rFonts w:ascii="宋体" w:hAnsi="宋体" w:cs="宋体"/>
              <w:color w:val="auto"/>
              <w:szCs w:val="32"/>
              <w:highlight w:val="none"/>
            </w:rPr>
            <w:fldChar w:fldCharType="end"/>
          </w:r>
        </w:p>
      </w:sdtContent>
    </w:sdt>
    <w:p w14:paraId="1BFDC849">
      <w:pPr>
        <w:spacing w:line="360" w:lineRule="auto"/>
        <w:ind w:firstLine="549" w:firstLineChars="229"/>
        <w:rPr>
          <w:rFonts w:ascii="宋体" w:hAnsi="宋体" w:cs="宋体"/>
          <w:color w:val="auto"/>
          <w:sz w:val="24"/>
          <w:highlight w:val="none"/>
        </w:rPr>
      </w:pPr>
      <w:bookmarkStart w:id="2" w:name="_Toc91899869"/>
    </w:p>
    <w:p w14:paraId="293EAACC">
      <w:pPr>
        <w:spacing w:line="360" w:lineRule="auto"/>
        <w:ind w:firstLine="549" w:firstLineChars="229"/>
        <w:rPr>
          <w:rFonts w:ascii="宋体" w:hAnsi="宋体" w:cs="宋体"/>
          <w:color w:val="auto"/>
          <w:sz w:val="24"/>
          <w:highlight w:val="none"/>
        </w:rPr>
      </w:pPr>
    </w:p>
    <w:p w14:paraId="0825910A">
      <w:pPr>
        <w:spacing w:line="360" w:lineRule="auto"/>
        <w:ind w:firstLine="549" w:firstLineChars="229"/>
        <w:rPr>
          <w:rFonts w:ascii="宋体" w:hAnsi="宋体" w:cs="宋体"/>
          <w:color w:val="auto"/>
          <w:sz w:val="24"/>
          <w:highlight w:val="none"/>
        </w:rPr>
      </w:pPr>
    </w:p>
    <w:p w14:paraId="009A2C5A">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_Toc27319"/>
      <w:bookmarkStart w:id="9" w:name="第二部分"/>
      <w:bookmarkStart w:id="10" w:name="_Toc91899870"/>
      <w:bookmarkStart w:id="11" w:name="_Toc91899871"/>
      <w:r>
        <w:rPr>
          <w:rFonts w:hint="eastAsia" w:ascii="宋体" w:hAnsi="宋体" w:cs="宋体"/>
          <w:b/>
          <w:color w:val="auto"/>
          <w:sz w:val="36"/>
          <w:szCs w:val="20"/>
          <w:highlight w:val="none"/>
        </w:rPr>
        <w:t>第一章 招标公告</w:t>
      </w:r>
      <w:bookmarkEnd w:id="8"/>
    </w:p>
    <w:p w14:paraId="3319985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4A25E107">
      <w:pPr>
        <w:pBdr>
          <w:top w:val="single" w:color="auto" w:sz="4" w:space="1"/>
          <w:left w:val="single" w:color="auto" w:sz="4" w:space="4"/>
          <w:bottom w:val="single" w:color="auto" w:sz="4" w:space="1"/>
          <w:right w:val="single" w:color="auto" w:sz="4" w:space="4"/>
        </w:pBdr>
        <w:wordWrap w:val="0"/>
        <w:overflowPunct w:val="0"/>
        <w:autoSpaceDE w:val="0"/>
        <w:autoSpaceDN w:val="0"/>
        <w:spacing w:line="360" w:lineRule="auto"/>
        <w:ind w:firstLine="422" w:firstLineChars="200"/>
        <w:jc w:val="left"/>
        <w:rPr>
          <w:rFonts w:ascii="宋体" w:hAnsi="宋体" w:cs="宋体"/>
          <w:color w:val="auto"/>
          <w:szCs w:val="21"/>
          <w:highlight w:val="none"/>
          <w:u w:val="single"/>
        </w:rPr>
      </w:pPr>
      <w:r>
        <w:rPr>
          <w:rFonts w:hint="eastAsia" w:ascii="宋体" w:hAnsi="宋体" w:cs="宋体"/>
          <w:b/>
          <w:bCs/>
          <w:color w:val="auto"/>
          <w:szCs w:val="21"/>
          <w:highlight w:val="none"/>
          <w:u w:val="single"/>
          <w:lang w:eastAsia="zh-CN"/>
        </w:rPr>
        <w:t>拱墅区2025年海绵城市建设技术服务项目</w:t>
      </w:r>
      <w:r>
        <w:rPr>
          <w:rFonts w:hint="eastAsia" w:ascii="宋体" w:hAnsi="宋体" w:cs="宋体"/>
          <w:color w:val="auto"/>
          <w:szCs w:val="21"/>
          <w:highlight w:val="none"/>
        </w:rPr>
        <w:t>招标的潜在投标人应在政采云平台（</w:t>
      </w:r>
      <w:r>
        <w:rPr>
          <w:rFonts w:hint="eastAsia"/>
          <w:color w:val="auto"/>
          <w:highlight w:val="none"/>
        </w:rPr>
        <w:fldChar w:fldCharType="begin"/>
      </w:r>
      <w:r>
        <w:rPr>
          <w:color w:val="auto"/>
          <w:highlight w:val="none"/>
        </w:rPr>
        <w:instrText xml:space="preserve"> HYPERLINK "https://www.zcygov.cn/）获取（下载）招标文件，并于202%20年%20月%20日%20点%20分00秒" </w:instrText>
      </w:r>
      <w:r>
        <w:rPr>
          <w:rFonts w:hint="eastAsia"/>
          <w:color w:val="auto"/>
          <w:highlight w:val="none"/>
        </w:rPr>
        <w:fldChar w:fldCharType="separate"/>
      </w:r>
      <w:r>
        <w:rPr>
          <w:rStyle w:val="77"/>
          <w:rFonts w:hint="eastAsia" w:ascii="宋体" w:hAnsi="宋体" w:eastAsia="宋体" w:cs="宋体"/>
          <w:snapToGrid/>
          <w:color w:val="auto"/>
          <w:kern w:val="2"/>
          <w:sz w:val="21"/>
          <w:szCs w:val="21"/>
          <w:highlight w:val="none"/>
        </w:rPr>
        <w:t>https://www.zcygov.cn/）获取（下载）</w:t>
      </w:r>
      <w:r>
        <w:rPr>
          <w:rStyle w:val="77"/>
          <w:rFonts w:hint="eastAsia" w:ascii="宋体" w:hAnsi="宋体" w:cs="宋体"/>
          <w:snapToGrid/>
          <w:color w:val="auto"/>
          <w:kern w:val="2"/>
          <w:sz w:val="21"/>
          <w:szCs w:val="21"/>
          <w:highlight w:val="none"/>
        </w:rPr>
        <w:t>采购文件</w:t>
      </w:r>
      <w:r>
        <w:rPr>
          <w:rStyle w:val="77"/>
          <w:rFonts w:hint="eastAsia" w:ascii="宋体" w:hAnsi="宋体" w:eastAsia="宋体" w:cs="宋体"/>
          <w:snapToGrid/>
          <w:color w:val="auto"/>
          <w:kern w:val="2"/>
          <w:sz w:val="21"/>
          <w:szCs w:val="21"/>
          <w:highlight w:val="none"/>
        </w:rPr>
        <w:t>，并于</w:t>
      </w:r>
      <w:r>
        <w:rPr>
          <w:rStyle w:val="77"/>
          <w:rFonts w:hint="eastAsia" w:ascii="宋体" w:hAnsi="宋体" w:cs="宋体"/>
          <w:snapToGrid/>
          <w:color w:val="auto"/>
          <w:kern w:val="2"/>
          <w:sz w:val="21"/>
          <w:szCs w:val="21"/>
          <w:highlight w:val="none"/>
        </w:rPr>
        <w:t>202</w:t>
      </w:r>
      <w:r>
        <w:rPr>
          <w:rStyle w:val="77"/>
          <w:rFonts w:hint="eastAsia" w:ascii="宋体" w:hAnsi="宋体" w:eastAsia="黑体" w:cs="宋体"/>
          <w:snapToGrid/>
          <w:color w:val="auto"/>
          <w:kern w:val="2"/>
          <w:sz w:val="21"/>
          <w:szCs w:val="21"/>
          <w:highlight w:val="none"/>
          <w:lang w:val="en-US" w:eastAsia="zh-CN"/>
        </w:rPr>
        <w:t>5</w:t>
      </w:r>
      <w:r>
        <w:rPr>
          <w:rStyle w:val="77"/>
          <w:rFonts w:hint="eastAsia" w:ascii="宋体" w:hAnsi="宋体" w:cs="宋体"/>
          <w:snapToGrid/>
          <w:color w:val="auto"/>
          <w:kern w:val="2"/>
          <w:sz w:val="21"/>
          <w:szCs w:val="21"/>
          <w:highlight w:val="none"/>
        </w:rPr>
        <w:t>年</w:t>
      </w:r>
      <w:r>
        <w:rPr>
          <w:rStyle w:val="77"/>
          <w:rFonts w:hint="eastAsia" w:ascii="宋体" w:hAnsi="宋体" w:eastAsia="黑体" w:cs="宋体"/>
          <w:snapToGrid/>
          <w:color w:val="auto"/>
          <w:kern w:val="2"/>
          <w:sz w:val="21"/>
          <w:szCs w:val="21"/>
          <w:highlight w:val="none"/>
          <w:lang w:val="en-US" w:eastAsia="zh-CN"/>
        </w:rPr>
        <w:t>03</w:t>
      </w:r>
      <w:r>
        <w:rPr>
          <w:rStyle w:val="77"/>
          <w:rFonts w:hint="eastAsia" w:ascii="宋体" w:hAnsi="宋体" w:eastAsia="宋体" w:cs="宋体"/>
          <w:snapToGrid/>
          <w:color w:val="auto"/>
          <w:kern w:val="2"/>
          <w:sz w:val="21"/>
          <w:szCs w:val="21"/>
          <w:highlight w:val="none"/>
        </w:rPr>
        <w:t>月</w:t>
      </w:r>
      <w:r>
        <w:rPr>
          <w:rStyle w:val="77"/>
          <w:rFonts w:hint="eastAsia" w:ascii="宋体" w:hAnsi="宋体" w:cs="宋体"/>
          <w:snapToGrid/>
          <w:color w:val="auto"/>
          <w:kern w:val="2"/>
          <w:sz w:val="21"/>
          <w:szCs w:val="21"/>
          <w:highlight w:val="none"/>
          <w:lang w:val="en-US" w:eastAsia="zh-CN"/>
        </w:rPr>
        <w:t>27</w:t>
      </w:r>
      <w:r>
        <w:rPr>
          <w:rStyle w:val="77"/>
          <w:rFonts w:hint="eastAsia" w:ascii="宋体" w:hAnsi="宋体" w:eastAsia="宋体" w:cs="宋体"/>
          <w:snapToGrid/>
          <w:color w:val="auto"/>
          <w:kern w:val="2"/>
          <w:sz w:val="21"/>
          <w:szCs w:val="21"/>
          <w:highlight w:val="none"/>
        </w:rPr>
        <w:t>日</w:t>
      </w:r>
      <w:r>
        <w:rPr>
          <w:rStyle w:val="77"/>
          <w:rFonts w:hint="eastAsia" w:ascii="宋体" w:hAnsi="宋体" w:cs="宋体"/>
          <w:snapToGrid/>
          <w:color w:val="auto"/>
          <w:kern w:val="2"/>
          <w:sz w:val="21"/>
          <w:szCs w:val="21"/>
          <w:highlight w:val="none"/>
          <w:lang w:val="en-US" w:eastAsia="zh-CN"/>
        </w:rPr>
        <w:t>14</w:t>
      </w:r>
      <w:r>
        <w:rPr>
          <w:rStyle w:val="77"/>
          <w:rFonts w:hint="eastAsia" w:ascii="宋体" w:hAnsi="宋体" w:eastAsia="宋体" w:cs="宋体"/>
          <w:snapToGrid/>
          <w:color w:val="auto"/>
          <w:kern w:val="2"/>
          <w:sz w:val="21"/>
          <w:szCs w:val="21"/>
          <w:highlight w:val="none"/>
        </w:rPr>
        <w:t>点</w:t>
      </w:r>
      <w:r>
        <w:rPr>
          <w:rStyle w:val="77"/>
          <w:rFonts w:hint="eastAsia" w:ascii="宋体" w:hAnsi="宋体" w:cs="宋体"/>
          <w:snapToGrid/>
          <w:color w:val="auto"/>
          <w:kern w:val="2"/>
          <w:sz w:val="21"/>
          <w:szCs w:val="21"/>
          <w:highlight w:val="none"/>
        </w:rPr>
        <w:t>00</w:t>
      </w:r>
      <w:r>
        <w:rPr>
          <w:rStyle w:val="77"/>
          <w:rFonts w:hint="eastAsia" w:ascii="宋体" w:hAnsi="宋体" w:eastAsia="宋体" w:cs="宋体"/>
          <w:snapToGrid/>
          <w:color w:val="auto"/>
          <w:kern w:val="2"/>
          <w:sz w:val="21"/>
          <w:szCs w:val="21"/>
          <w:highlight w:val="none"/>
        </w:rPr>
        <w:t>分</w:t>
      </w:r>
      <w:r>
        <w:rPr>
          <w:rStyle w:val="77"/>
          <w:rFonts w:hint="eastAsia" w:ascii="宋体" w:hAnsi="宋体" w:eastAsia="宋体" w:cs="宋体"/>
          <w:bCs/>
          <w:snapToGrid/>
          <w:color w:val="auto"/>
          <w:kern w:val="2"/>
          <w:sz w:val="21"/>
          <w:szCs w:val="21"/>
          <w:highlight w:val="none"/>
        </w:rPr>
        <w:t>00秒</w:t>
      </w:r>
      <w:r>
        <w:rPr>
          <w:rStyle w:val="77"/>
          <w:rFonts w:hint="eastAsia" w:ascii="宋体" w:hAnsi="宋体" w:eastAsia="宋体" w:cs="宋体"/>
          <w:bCs/>
          <w:snapToGrid/>
          <w:color w:val="auto"/>
          <w:kern w:val="2"/>
          <w:sz w:val="21"/>
          <w:szCs w:val="21"/>
          <w:highlight w:val="none"/>
        </w:rPr>
        <w:fldChar w:fldCharType="end"/>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14:paraId="24B016A7">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一、项目基本情况                                            </w:t>
      </w:r>
    </w:p>
    <w:p w14:paraId="5C265E39">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项目编号：</w:t>
      </w:r>
      <w:r>
        <w:rPr>
          <w:rFonts w:hint="eastAsia" w:ascii="宋体" w:hAnsi="宋体" w:cs="宋体"/>
          <w:b/>
          <w:bCs/>
          <w:color w:val="auto"/>
          <w:szCs w:val="21"/>
          <w:highlight w:val="none"/>
          <w:u w:val="single"/>
          <w:lang w:eastAsia="zh-CN"/>
        </w:rPr>
        <w:t>CTZB-2025030066</w:t>
      </w:r>
    </w:p>
    <w:p w14:paraId="6E479AAF">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项目名称：</w:t>
      </w:r>
      <w:r>
        <w:rPr>
          <w:rFonts w:hint="eastAsia" w:ascii="宋体" w:hAnsi="宋体" w:cs="宋体"/>
          <w:b/>
          <w:bCs/>
          <w:color w:val="auto"/>
          <w:szCs w:val="21"/>
          <w:highlight w:val="none"/>
          <w:u w:val="single"/>
          <w:lang w:eastAsia="zh-CN"/>
        </w:rPr>
        <w:t>拱墅区2025年海绵城市建设技术服务项目</w:t>
      </w:r>
    </w:p>
    <w:p w14:paraId="53B3228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预算金额（元）：</w:t>
      </w:r>
      <w:r>
        <w:rPr>
          <w:rFonts w:hint="eastAsia" w:ascii="宋体" w:hAnsi="宋体" w:cs="宋体"/>
          <w:color w:val="auto"/>
          <w:szCs w:val="21"/>
          <w:highlight w:val="none"/>
        </w:rPr>
        <w:t xml:space="preserve"> </w:t>
      </w:r>
      <w:r>
        <w:rPr>
          <w:rFonts w:hint="eastAsia" w:ascii="宋体" w:hAnsi="宋体"/>
          <w:color w:val="auto"/>
          <w:szCs w:val="21"/>
          <w:highlight w:val="none"/>
          <w:lang w:val="en-US" w:eastAsia="zh-CN"/>
        </w:rPr>
        <w:t>150</w:t>
      </w:r>
      <w:r>
        <w:rPr>
          <w:rFonts w:hint="eastAsia" w:ascii="宋体" w:hAnsi="宋体"/>
          <w:color w:val="auto"/>
          <w:szCs w:val="21"/>
          <w:highlight w:val="none"/>
        </w:rPr>
        <w:t>0000元</w:t>
      </w:r>
    </w:p>
    <w:p w14:paraId="55315922">
      <w:pPr>
        <w:widowControl/>
        <w:snapToGrid w:val="0"/>
        <w:spacing w:line="360" w:lineRule="auto"/>
        <w:ind w:firstLine="422" w:firstLineChars="200"/>
        <w:rPr>
          <w:rFonts w:ascii="宋体" w:hAnsi="宋体" w:cs="Arial"/>
          <w:color w:val="auto"/>
          <w:kern w:val="0"/>
          <w:szCs w:val="21"/>
          <w:highlight w:val="none"/>
        </w:rPr>
      </w:pPr>
      <w:r>
        <w:rPr>
          <w:rFonts w:hint="eastAsia" w:ascii="宋体" w:hAnsi="宋体" w:cs="宋体"/>
          <w:b/>
          <w:color w:val="auto"/>
          <w:szCs w:val="21"/>
          <w:highlight w:val="none"/>
        </w:rPr>
        <w:t>最高限价（元）：</w:t>
      </w:r>
      <w:r>
        <w:rPr>
          <w:rFonts w:hint="eastAsia" w:ascii="宋体" w:hAnsi="宋体" w:cs="宋体"/>
          <w:color w:val="auto"/>
          <w:szCs w:val="21"/>
          <w:highlight w:val="none"/>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50</w:t>
      </w:r>
      <w:r>
        <w:rPr>
          <w:rFonts w:hint="eastAsia" w:ascii="宋体" w:hAnsi="宋体"/>
          <w:color w:val="auto"/>
          <w:szCs w:val="21"/>
          <w:highlight w:val="none"/>
        </w:rPr>
        <w:t>0000元</w:t>
      </w:r>
    </w:p>
    <w:p w14:paraId="0664F3B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Arial"/>
          <w:color w:val="auto"/>
          <w:kern w:val="0"/>
          <w:szCs w:val="21"/>
          <w:highlight w:val="none"/>
        </w:rPr>
        <w:t>标项名称：</w:t>
      </w:r>
      <w:r>
        <w:rPr>
          <w:rFonts w:hint="eastAsia" w:ascii="宋体" w:hAnsi="宋体" w:cs="宋体"/>
          <w:b/>
          <w:bCs/>
          <w:color w:val="auto"/>
          <w:szCs w:val="21"/>
          <w:highlight w:val="none"/>
          <w:lang w:eastAsia="zh-CN"/>
        </w:rPr>
        <w:t>拱墅区2025年海绵城市建设技术服务项目</w:t>
      </w:r>
    </w:p>
    <w:p w14:paraId="58DB1C3B">
      <w:pPr>
        <w:pStyle w:val="17"/>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采购需求：</w:t>
      </w:r>
      <w:r>
        <w:rPr>
          <w:rFonts w:hint="eastAsia" w:hAnsi="宋体" w:cs="宋体"/>
          <w:bCs/>
          <w:color w:val="auto"/>
          <w:sz w:val="21"/>
          <w:szCs w:val="21"/>
          <w:highlight w:val="none"/>
          <w:lang w:val="en-US" w:eastAsia="zh-CN"/>
        </w:rPr>
        <w:t>拱墅区</w:t>
      </w:r>
      <w:r>
        <w:rPr>
          <w:rFonts w:hint="eastAsia" w:hAnsi="宋体" w:cs="宋体"/>
          <w:bCs/>
          <w:color w:val="auto"/>
          <w:sz w:val="21"/>
          <w:szCs w:val="21"/>
          <w:highlight w:val="none"/>
        </w:rPr>
        <w:t>按要求持续推进海绵城市区域化工作</w:t>
      </w:r>
      <w:r>
        <w:rPr>
          <w:rFonts w:hint="eastAsia" w:hAnsi="宋体" w:cs="宋体"/>
          <w:bCs/>
          <w:color w:val="auto"/>
          <w:sz w:val="21"/>
          <w:szCs w:val="21"/>
          <w:highlight w:val="none"/>
          <w:lang w:eastAsia="zh-CN"/>
        </w:rPr>
        <w:t>，需要第三方服务单位配合推进，</w:t>
      </w:r>
      <w:r>
        <w:rPr>
          <w:rFonts w:hint="eastAsia" w:hAnsi="宋体" w:cs="宋体"/>
          <w:bCs/>
          <w:color w:val="auto"/>
          <w:sz w:val="21"/>
          <w:szCs w:val="21"/>
          <w:highlight w:val="none"/>
        </w:rPr>
        <w:t>海绵城市建设技术服务业务内容主要包括项目海绵方案审查、现场技术指导及其它日常配合工作等。具体以招标文件第三部分采购需求为准，供应商可点击本公告下方“浏览采购文件”查看采购需求。</w:t>
      </w:r>
    </w:p>
    <w:p w14:paraId="0BD4261A">
      <w:pPr>
        <w:pStyle w:val="131"/>
        <w:spacing w:before="0"/>
        <w:ind w:firstLine="428"/>
        <w:rPr>
          <w:rFonts w:ascii="宋体" w:hAnsi="宋体" w:cs="宋体"/>
          <w:color w:val="auto"/>
          <w:sz w:val="21"/>
          <w:szCs w:val="21"/>
          <w:highlight w:val="none"/>
        </w:rPr>
      </w:pPr>
      <w:r>
        <w:rPr>
          <w:rFonts w:hint="eastAsia" w:ascii="宋体" w:hAnsi="宋体" w:cs="宋体"/>
          <w:b/>
          <w:color w:val="auto"/>
          <w:sz w:val="21"/>
          <w:szCs w:val="21"/>
          <w:highlight w:val="none"/>
        </w:rPr>
        <w:t>合同履约期限：</w:t>
      </w:r>
      <w:r>
        <w:rPr>
          <w:rFonts w:hint="eastAsia" w:ascii="宋体" w:hAnsi="宋体" w:cs="宋体"/>
          <w:bCs/>
          <w:snapToGrid w:val="0"/>
          <w:color w:val="auto"/>
          <w:kern w:val="28"/>
          <w:sz w:val="21"/>
          <w:szCs w:val="21"/>
          <w:highlight w:val="none"/>
        </w:rPr>
        <w:t>合同签订后一年</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 xml:space="preserve"> </w:t>
      </w:r>
    </w:p>
    <w:p w14:paraId="076761AD">
      <w:pPr>
        <w:pStyle w:val="17"/>
        <w:spacing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本项目接受联合体投标：</w:t>
      </w:r>
      <w:sdt>
        <w:sdtPr>
          <w:rPr>
            <w:rFonts w:hint="eastAsia" w:hAnsi="宋体" w:cs="宋体"/>
            <w:color w:val="auto"/>
            <w:kern w:val="0"/>
            <w:sz w:val="21"/>
            <w:szCs w:val="21"/>
            <w:highlight w:val="none"/>
          </w:rPr>
          <w:id w:val="1972783603"/>
          <w14:checkbox>
            <w14:checked w14:val="0"/>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hint="eastAsia" w:ascii="MS Gothic" w:hAnsi="MS Gothic" w:eastAsia="宋体" w:cs="宋体"/>
              <w:snapToGrid w:val="0"/>
              <w:color w:val="auto"/>
              <w:kern w:val="0"/>
              <w:sz w:val="21"/>
              <w:szCs w:val="21"/>
              <w:highlight w:val="none"/>
              <w:lang w:val="en-US" w:eastAsia="zh-CN" w:bidi="ar-SA"/>
            </w:rPr>
            <w:t>☐</w:t>
          </w:r>
        </w:sdtContent>
      </w:sdt>
      <w:r>
        <w:rPr>
          <w:rFonts w:hint="eastAsia" w:hAnsi="宋体" w:cs="宋体"/>
          <w:b/>
          <w:color w:val="auto"/>
          <w:sz w:val="21"/>
          <w:szCs w:val="21"/>
          <w:highlight w:val="none"/>
        </w:rPr>
        <w:t>是；</w:t>
      </w:r>
      <w:sdt>
        <w:sdtPr>
          <w:rPr>
            <w:rFonts w:hint="eastAsia" w:hAnsi="宋体" w:cs="宋体"/>
            <w:color w:val="auto"/>
            <w:kern w:val="0"/>
            <w:sz w:val="21"/>
            <w:szCs w:val="21"/>
            <w:highlight w:val="none"/>
          </w:rPr>
          <w:id w:val="1413047042"/>
          <w14:checkbox>
            <w14:checked w14:val="1"/>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ascii="Wingdings" w:hAnsi="Wingdings" w:eastAsia="宋体" w:cs="Segoe UI Symbol"/>
              <w:snapToGrid w:val="0"/>
              <w:color w:val="auto"/>
              <w:kern w:val="0"/>
              <w:sz w:val="21"/>
              <w:szCs w:val="21"/>
              <w:highlight w:val="none"/>
              <w:lang w:val="en-US" w:eastAsia="zh-CN" w:bidi="ar-SA"/>
            </w:rPr>
            <w:t>þ</w:t>
          </w:r>
        </w:sdtContent>
      </w:sdt>
      <w:r>
        <w:rPr>
          <w:rFonts w:hint="eastAsia" w:hAnsi="宋体" w:cs="宋体"/>
          <w:b/>
          <w:color w:val="auto"/>
          <w:sz w:val="21"/>
          <w:szCs w:val="21"/>
          <w:highlight w:val="none"/>
        </w:rPr>
        <w:t>否</w:t>
      </w:r>
      <w:r>
        <w:rPr>
          <w:rFonts w:hint="eastAsia" w:hAnsi="宋体" w:cs="宋体"/>
          <w:color w:val="auto"/>
          <w:kern w:val="0"/>
          <w:sz w:val="21"/>
          <w:szCs w:val="21"/>
          <w:highlight w:val="none"/>
        </w:rPr>
        <w:t>。</w:t>
      </w:r>
    </w:p>
    <w:p w14:paraId="277C0E88">
      <w:pPr>
        <w:spacing w:line="360" w:lineRule="auto"/>
        <w:rPr>
          <w:rFonts w:ascii="宋体" w:hAnsi="宋体" w:cs="宋体"/>
          <w:b/>
          <w:color w:val="auto"/>
          <w:szCs w:val="21"/>
          <w:highlight w:val="none"/>
        </w:rPr>
      </w:pPr>
      <w:r>
        <w:rPr>
          <w:rFonts w:hint="eastAsia" w:ascii="宋体" w:hAnsi="宋体" w:cs="宋体"/>
          <w:b/>
          <w:color w:val="auto"/>
          <w:szCs w:val="21"/>
          <w:highlight w:val="none"/>
        </w:rPr>
        <w:t>二、申请人的资格要求：</w:t>
      </w:r>
    </w:p>
    <w:p w14:paraId="7C1FE9B6">
      <w:pPr>
        <w:wordWrap w:val="0"/>
        <w:spacing w:line="360" w:lineRule="auto"/>
        <w:ind w:firstLine="482"/>
        <w:jc w:val="lef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3B4F6FF">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 xml:space="preserve">    2.以联合体形式投标的，提供联合协议(本项目不接受联合体投标) ；</w:t>
      </w:r>
    </w:p>
    <w:p w14:paraId="1C461299">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3.落实政府采购政策需满足的资格要求：</w:t>
      </w:r>
    </w:p>
    <w:p w14:paraId="412DC0CC">
      <w:pPr>
        <w:spacing w:line="360" w:lineRule="auto"/>
        <w:ind w:firstLine="420" w:firstLineChars="200"/>
        <w:rPr>
          <w:rFonts w:ascii="宋体" w:hAnsi="宋体" w:cs="宋体"/>
          <w:color w:val="auto"/>
          <w:szCs w:val="21"/>
          <w:highlight w:val="none"/>
        </w:rPr>
      </w:pPr>
      <w:sdt>
        <w:sdtPr>
          <w:rPr>
            <w:rFonts w:hint="eastAsia" w:ascii="宋体" w:hAnsi="宋体" w:cs="宋体"/>
            <w:color w:val="auto"/>
            <w:kern w:val="0"/>
            <w:szCs w:val="21"/>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szCs w:val="21"/>
          <w:highlight w:val="none"/>
        </w:rPr>
        <w:t>无</w:t>
      </w:r>
      <w:r>
        <w:rPr>
          <w:rFonts w:hint="eastAsia" w:ascii="宋体" w:hAnsi="宋体" w:cs="宋体"/>
          <w:snapToGrid w:val="0"/>
          <w:color w:val="auto"/>
          <w:kern w:val="28"/>
          <w:szCs w:val="21"/>
          <w:highlight w:val="none"/>
        </w:rPr>
        <w:t>（注：不得限制大中型企业与小微企业组成联合体参与投标）；</w:t>
      </w:r>
    </w:p>
    <w:p w14:paraId="6820A410">
      <w:pPr>
        <w:spacing w:line="360" w:lineRule="auto"/>
        <w:ind w:firstLine="420" w:firstLineChars="200"/>
        <w:rPr>
          <w:rFonts w:ascii="宋体" w:hAnsi="宋体" w:cs="宋体"/>
          <w:color w:val="auto"/>
          <w:szCs w:val="21"/>
          <w:highlight w:val="none"/>
        </w:rPr>
      </w:pPr>
      <w:sdt>
        <w:sdtPr>
          <w:rPr>
            <w:rFonts w:hint="eastAsia" w:ascii="宋体" w:hAnsi="宋体" w:cs="宋体"/>
            <w:color w:val="auto"/>
            <w:kern w:val="0"/>
            <w:szCs w:val="21"/>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专</w:t>
      </w:r>
      <w:r>
        <w:rPr>
          <w:rFonts w:hint="eastAsia" w:ascii="宋体" w:hAnsi="宋体" w:cs="宋体"/>
          <w:color w:val="auto"/>
          <w:szCs w:val="21"/>
          <w:highlight w:val="none"/>
        </w:rPr>
        <w:t>门面向中小企业</w:t>
      </w:r>
    </w:p>
    <w:p w14:paraId="47EB5A77">
      <w:pPr>
        <w:spacing w:line="360" w:lineRule="auto"/>
        <w:ind w:firstLine="785" w:firstLineChars="374"/>
        <w:rPr>
          <w:rFonts w:ascii="宋体" w:hAnsi="宋体" w:cs="宋体"/>
          <w:color w:val="auto"/>
          <w:szCs w:val="21"/>
          <w:highlight w:val="none"/>
        </w:rPr>
      </w:pPr>
      <w:sdt>
        <w:sdtPr>
          <w:rPr>
            <w:rFonts w:hint="eastAsia" w:ascii="宋体" w:hAnsi="宋体" w:cs="宋体"/>
            <w:color w:val="auto"/>
            <w:kern w:val="0"/>
            <w:szCs w:val="21"/>
            <w:highlight w:val="none"/>
          </w:rPr>
          <w:id w:val="8"/>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szCs w:val="21"/>
          <w:highlight w:val="none"/>
        </w:rPr>
        <w:t>服务全部由符合政策要求的中小企业承接，提供中小企业声明函；</w:t>
      </w:r>
    </w:p>
    <w:p w14:paraId="6FF2B4C9">
      <w:pPr>
        <w:spacing w:line="360" w:lineRule="auto"/>
        <w:ind w:firstLine="785" w:firstLineChars="374"/>
        <w:rPr>
          <w:rFonts w:ascii="宋体" w:hAnsi="宋体" w:cs="宋体"/>
          <w:color w:val="auto"/>
          <w:szCs w:val="21"/>
          <w:highlight w:val="none"/>
        </w:rPr>
      </w:pPr>
      <w:sdt>
        <w:sdtPr>
          <w:rPr>
            <w:rFonts w:hint="eastAsia" w:ascii="宋体" w:hAnsi="宋体" w:cs="宋体"/>
            <w:color w:val="auto"/>
            <w:kern w:val="0"/>
            <w:szCs w:val="21"/>
            <w:highlight w:val="none"/>
          </w:rPr>
          <w:id w:val="9"/>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szCs w:val="21"/>
          <w:highlight w:val="none"/>
        </w:rPr>
        <w:t>服务全部由符合政策要求的小微企业承接，提供中小企业声明函；</w:t>
      </w:r>
    </w:p>
    <w:p w14:paraId="7FEF4F78">
      <w:pPr>
        <w:spacing w:line="360" w:lineRule="auto"/>
        <w:ind w:firstLine="420" w:firstLineChars="200"/>
        <w:rPr>
          <w:rFonts w:ascii="宋体" w:hAnsi="宋体" w:cs="宋体"/>
          <w:color w:val="auto"/>
          <w:szCs w:val="21"/>
          <w:highlight w:val="none"/>
        </w:rPr>
      </w:pPr>
      <w:sdt>
        <w:sdtPr>
          <w:rPr>
            <w:rFonts w:hint="eastAsia" w:ascii="宋体" w:hAnsi="宋体" w:cs="宋体"/>
            <w:color w:val="auto"/>
            <w:kern w:val="0"/>
            <w:szCs w:val="21"/>
            <w:highlight w:val="none"/>
          </w:rPr>
          <w:id w:val="10"/>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szCs w:val="21"/>
          <w:highlight w:val="none"/>
        </w:rPr>
        <w:t>要求以联合体形式参加，提供联合协议和中小企业声明函，联合协议中中小企业合同金额应当达到</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%，其中小微企业合同金额应当达到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pacing w:val="8"/>
          <w:kern w:val="0"/>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Cs w:val="21"/>
          <w:highlight w:val="none"/>
        </w:rPr>
        <w:t>；</w:t>
      </w:r>
    </w:p>
    <w:p w14:paraId="0180E4D3">
      <w:pPr>
        <w:spacing w:line="360" w:lineRule="auto"/>
        <w:ind w:firstLine="420" w:firstLineChars="200"/>
        <w:rPr>
          <w:rFonts w:ascii="宋体" w:hAnsi="宋体" w:cs="宋体"/>
          <w:color w:val="auto"/>
          <w:szCs w:val="21"/>
          <w:highlight w:val="none"/>
        </w:rPr>
      </w:pPr>
      <w:sdt>
        <w:sdtPr>
          <w:rPr>
            <w:rFonts w:hint="eastAsia" w:ascii="宋体" w:hAnsi="宋体" w:cs="宋体"/>
            <w:color w:val="auto"/>
            <w:kern w:val="0"/>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szCs w:val="21"/>
          <w:highlight w:val="none"/>
        </w:rPr>
        <w:t>要求合同分包，提供分包意向协议和中小企业声明函，分包意向协议中中小企业合同金额应当达到达到</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，其中小微企业合同金额应当达到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w:t>
      </w:r>
      <w:r>
        <w:rPr>
          <w:rFonts w:hint="eastAsia" w:ascii="宋体" w:hAnsi="宋体" w:cs="宋体"/>
          <w:color w:val="auto"/>
          <w:spacing w:val="8"/>
          <w:kern w:val="0"/>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Cs w:val="21"/>
          <w:highlight w:val="none"/>
        </w:rPr>
        <w:t>；</w:t>
      </w:r>
    </w:p>
    <w:p w14:paraId="33F93E1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szCs w:val="21"/>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Cs w:val="21"/>
          <w:highlight w:val="none"/>
          <w:lang w:val="en-US" w:eastAsia="zh-CN"/>
        </w:rPr>
        <w:t>无</w:t>
      </w:r>
      <w:r>
        <w:rPr>
          <w:rFonts w:hint="eastAsia" w:ascii="宋体" w:hAnsi="宋体" w:cs="宋体"/>
          <w:color w:val="auto"/>
          <w:kern w:val="0"/>
          <w:sz w:val="24"/>
          <w:highlight w:val="none"/>
          <w:lang w:val="en-US" w:eastAsia="zh-CN"/>
        </w:rPr>
        <w:t>。</w:t>
      </w:r>
    </w:p>
    <w:p w14:paraId="26EA27BB">
      <w:pPr>
        <w:snapToGrid w:val="0"/>
        <w:spacing w:line="360" w:lineRule="auto"/>
        <w:ind w:firstLine="480" w:firstLineChars="200"/>
        <w:rPr>
          <w:rFonts w:hint="eastAsia" w:ascii="宋体" w:hAnsi="宋体" w:cs="宋体"/>
          <w:b/>
          <w:snapToGrid w:val="0"/>
          <w:color w:val="auto"/>
          <w:kern w:val="28"/>
          <w:szCs w:val="21"/>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szCs w:val="21"/>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Cs w:val="21"/>
          <w:highlight w:val="none"/>
        </w:rPr>
        <w:t>有特定资格要求：</w:t>
      </w:r>
    </w:p>
    <w:p w14:paraId="13E14A24">
      <w:pPr>
        <w:snapToGrid w:val="0"/>
        <w:spacing w:line="360" w:lineRule="auto"/>
        <w:ind w:firstLine="422" w:firstLineChars="200"/>
        <w:rPr>
          <w:rFonts w:hint="eastAsia" w:ascii="宋体" w:hAnsi="宋体" w:cs="宋体"/>
          <w:b/>
          <w:snapToGrid w:val="0"/>
          <w:color w:val="auto"/>
          <w:kern w:val="28"/>
          <w:szCs w:val="21"/>
          <w:highlight w:val="none"/>
          <w:lang w:val="en-US" w:eastAsia="zh-CN"/>
        </w:rPr>
      </w:pPr>
      <w:r>
        <w:rPr>
          <w:rFonts w:hint="eastAsia" w:ascii="宋体" w:hAnsi="宋体" w:cs="宋体"/>
          <w:b/>
          <w:snapToGrid w:val="0"/>
          <w:color w:val="auto"/>
          <w:kern w:val="28"/>
          <w:szCs w:val="21"/>
          <w:highlight w:val="none"/>
        </w:rPr>
        <w:t>（1）</w:t>
      </w:r>
      <w:r>
        <w:rPr>
          <w:rFonts w:hint="eastAsia" w:ascii="宋体" w:hAnsi="宋体" w:cs="宋体"/>
          <w:b/>
          <w:snapToGrid w:val="0"/>
          <w:color w:val="auto"/>
          <w:kern w:val="28"/>
          <w:szCs w:val="21"/>
          <w:highlight w:val="none"/>
          <w:lang w:val="en-US" w:eastAsia="zh-CN"/>
        </w:rPr>
        <w:t>投标人具有有效的城乡规划编制单位甲级资质。</w:t>
      </w:r>
    </w:p>
    <w:p w14:paraId="1294F2BF">
      <w:pPr>
        <w:snapToGrid w:val="0"/>
        <w:spacing w:line="360" w:lineRule="auto"/>
        <w:ind w:firstLine="422" w:firstLineChars="200"/>
        <w:rPr>
          <w:rFonts w:ascii="宋体" w:hAnsi="宋体" w:cs="宋体"/>
          <w:color w:val="auto"/>
          <w:szCs w:val="21"/>
          <w:highlight w:val="none"/>
        </w:rPr>
      </w:pPr>
      <w:r>
        <w:rPr>
          <w:rFonts w:hint="eastAsia" w:ascii="宋体" w:hAnsi="宋体" w:cs="宋体"/>
          <w:b/>
          <w:snapToGrid w:val="0"/>
          <w:color w:val="auto"/>
          <w:kern w:val="28"/>
          <w:szCs w:val="21"/>
          <w:highlight w:val="none"/>
        </w:rPr>
        <w:t>（2）</w:t>
      </w:r>
      <w:r>
        <w:rPr>
          <w:rFonts w:hint="eastAsia" w:ascii="宋体" w:hAnsi="宋体" w:cs="宋体"/>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3AEA10F">
      <w:pPr>
        <w:snapToGrid w:val="0"/>
        <w:spacing w:line="360" w:lineRule="auto"/>
        <w:ind w:firstLine="422" w:firstLineChars="200"/>
        <w:rPr>
          <w:rFonts w:hint="default" w:eastAsia="宋体"/>
          <w:color w:val="auto"/>
          <w:highlight w:val="none"/>
          <w:lang w:val="en-US" w:eastAsia="zh-CN"/>
        </w:rPr>
      </w:pPr>
      <w:r>
        <w:rPr>
          <w:rFonts w:hint="eastAsia" w:ascii="宋体" w:hAnsi="宋体" w:cs="宋体"/>
          <w:b/>
          <w:snapToGrid w:val="0"/>
          <w:color w:val="auto"/>
          <w:kern w:val="28"/>
          <w:szCs w:val="21"/>
          <w:highlight w:val="none"/>
        </w:rPr>
        <w:t>（3）</w:t>
      </w:r>
      <w:r>
        <w:rPr>
          <w:rFonts w:hint="eastAsia" w:ascii="宋体" w:hAnsi="宋体" w:cs="宋体"/>
          <w:color w:val="auto"/>
          <w:szCs w:val="21"/>
          <w:highlight w:val="none"/>
        </w:rPr>
        <w:t>公益一类事业单位、使用事业编制且由财政拨款保障的群团组织不属于政府购买服务的承接主体，不得参与承接购买服务。</w:t>
      </w:r>
    </w:p>
    <w:p w14:paraId="27190AA8">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三、获取采购文件 </w:t>
      </w:r>
    </w:p>
    <w:p w14:paraId="533B2D3B">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rPr>
        <w:t>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03</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27</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，每天上午00:00至12:00 ，下午12:00至23:59（北京时间，线上获取法定节假日均可，线下获取文件法定节假日除外）</w:t>
      </w:r>
    </w:p>
    <w:p w14:paraId="3CEBC941">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 xml:space="preserve">政采云平台（https://www.zcygov.cn/）线上获取 </w:t>
      </w:r>
    </w:p>
    <w:p w14:paraId="781FE538">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 xml:space="preserve">供应商登录政采云平台https://www.zcygov.cn/在线申请获取采购文件（进入“项目采购”应用，在获取采购文件菜单中选择项目，申请获取采购文件）。 </w:t>
      </w:r>
    </w:p>
    <w:p w14:paraId="3BE786BB">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 xml:space="preserve">0 </w:t>
      </w:r>
      <w:r>
        <w:rPr>
          <w:rFonts w:hint="eastAsia" w:ascii="宋体" w:hAnsi="宋体" w:cs="宋体"/>
          <w:color w:val="auto"/>
          <w:szCs w:val="21"/>
          <w:highlight w:val="none"/>
        </w:rPr>
        <w:tab/>
      </w:r>
    </w:p>
    <w:p w14:paraId="637FF9CF">
      <w:pPr>
        <w:spacing w:line="360" w:lineRule="auto"/>
        <w:rPr>
          <w:rFonts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14:paraId="15E226AE">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提交投标文件截止时间：</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03</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27</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点00分00秒</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（北京时间）</w:t>
      </w:r>
    </w:p>
    <w:p w14:paraId="0B7D2381">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 xml:space="preserve">请登录政采云投标客户端投标 </w:t>
      </w:r>
    </w:p>
    <w:p w14:paraId="1F4706F9">
      <w:pPr>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开标时间：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03</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27</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点00分00秒</w:t>
      </w:r>
      <w:r>
        <w:rPr>
          <w:rFonts w:hint="eastAsia" w:ascii="宋体" w:hAnsi="宋体" w:cs="宋体"/>
          <w:bCs/>
          <w:color w:val="auto"/>
          <w:szCs w:val="21"/>
          <w:highlight w:val="none"/>
          <w:u w:val="single"/>
        </w:rPr>
        <w:t xml:space="preserve">  </w:t>
      </w:r>
    </w:p>
    <w:p w14:paraId="7EA23B03">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开标地点（网址）：</w:t>
      </w:r>
      <w:r>
        <w:rPr>
          <w:rFonts w:hint="eastAsia" w:ascii="宋体" w:hAnsi="宋体" w:cs="宋体"/>
          <w:color w:val="auto"/>
          <w:szCs w:val="21"/>
          <w:highlight w:val="none"/>
        </w:rPr>
        <w:t>政采云平台（https://www.zcygov.cn/）</w:t>
      </w:r>
    </w:p>
    <w:p w14:paraId="5733E297">
      <w:pPr>
        <w:spacing w:line="360" w:lineRule="auto"/>
        <w:rPr>
          <w:rFonts w:ascii="宋体" w:hAnsi="宋体" w:cs="宋体"/>
          <w:b/>
          <w:color w:val="auto"/>
          <w:szCs w:val="21"/>
          <w:highlight w:val="none"/>
        </w:rPr>
      </w:pPr>
      <w:r>
        <w:rPr>
          <w:rFonts w:hint="eastAsia" w:ascii="宋体" w:hAnsi="宋体" w:cs="宋体"/>
          <w:b/>
          <w:color w:val="auto"/>
          <w:szCs w:val="21"/>
          <w:highlight w:val="none"/>
        </w:rPr>
        <w:t>五、采购意向公开链接</w:t>
      </w:r>
    </w:p>
    <w:p w14:paraId="35EBCC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https://zfcg.czt.zj.gov.cn/site/detail?categoryCode=ZcyAnnouncement&amp;parentId=600007&amp;articleId=Clg52hId8ggX7aKu6E/SRA==</w:t>
      </w:r>
    </w:p>
    <w:p w14:paraId="2874B348">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六、公告期限 </w:t>
      </w:r>
    </w:p>
    <w:p w14:paraId="70F41E99">
      <w:pPr>
        <w:spacing w:line="360" w:lineRule="auto"/>
        <w:ind w:firstLine="420" w:firstLineChars="200"/>
        <w:rPr>
          <w:color w:val="auto"/>
          <w:highlight w:val="none"/>
        </w:rPr>
      </w:pPr>
      <w:r>
        <w:rPr>
          <w:rFonts w:hint="eastAsia" w:ascii="宋体" w:hAnsi="宋体" w:cs="宋体"/>
          <w:color w:val="auto"/>
          <w:szCs w:val="21"/>
          <w:highlight w:val="none"/>
        </w:rPr>
        <w:t>自本公告发布之日起5个工作日。</w:t>
      </w:r>
    </w:p>
    <w:p w14:paraId="64B48F64">
      <w:pPr>
        <w:spacing w:line="360" w:lineRule="auto"/>
        <w:rPr>
          <w:rFonts w:ascii="宋体" w:hAnsi="宋体" w:cs="宋体"/>
          <w:b/>
          <w:color w:val="auto"/>
          <w:szCs w:val="21"/>
          <w:highlight w:val="none"/>
        </w:rPr>
      </w:pPr>
      <w:r>
        <w:rPr>
          <w:rFonts w:hint="eastAsia" w:ascii="宋体" w:hAnsi="宋体" w:cs="宋体"/>
          <w:b/>
          <w:color w:val="auto"/>
          <w:szCs w:val="21"/>
          <w:highlight w:val="none"/>
        </w:rPr>
        <w:t>七、其他补充事宜</w:t>
      </w:r>
    </w:p>
    <w:p w14:paraId="1CF382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C5F90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18CD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6750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其他事项：（1）需要落实的政府采购政策：包括节约资源、保护环境、支持创新、促进中小企业发展等。详见采购文件的第二章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投标文件的传输递交：投标人在投标截止时间前将加密的投标文件上传至政府采购云平台，还可以在投标截止时间前直接提交或者以邮政快递方式递交备份投标文件1份。备份投标文件的制作、存储、密封详见采购文件第二章第15点—“备份投标文件”；⑨投标文件的解密：投标人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采购文件公告期限与招标公告的公告期限一致。</w:t>
      </w:r>
    </w:p>
    <w:p w14:paraId="4108E94D">
      <w:pPr>
        <w:spacing w:line="360" w:lineRule="auto"/>
        <w:rPr>
          <w:rFonts w:ascii="宋体" w:hAnsi="宋体" w:cs="宋体"/>
          <w:b/>
          <w:color w:val="auto"/>
          <w:szCs w:val="21"/>
          <w:highlight w:val="none"/>
        </w:rPr>
      </w:pPr>
      <w:r>
        <w:rPr>
          <w:rFonts w:hint="eastAsia" w:ascii="宋体" w:hAnsi="宋体" w:cs="宋体"/>
          <w:b/>
          <w:color w:val="auto"/>
          <w:szCs w:val="21"/>
          <w:highlight w:val="none"/>
        </w:rPr>
        <w:t>八、对本次采购提出询问、质疑、投诉，请按以下方式联系</w:t>
      </w:r>
    </w:p>
    <w:p w14:paraId="588E2BB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1.采购人信息</w:t>
      </w:r>
    </w:p>
    <w:p w14:paraId="5FC46E7B">
      <w:pPr>
        <w:spacing w:line="360" w:lineRule="auto"/>
        <w:ind w:firstLine="48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招标人：</w:t>
      </w:r>
      <w:r>
        <w:rPr>
          <w:rFonts w:hint="eastAsia" w:ascii="宋体" w:hAnsi="宋体" w:cs="宋体"/>
          <w:color w:val="auto"/>
          <w:szCs w:val="21"/>
          <w:highlight w:val="none"/>
          <w:lang w:eastAsia="zh-CN"/>
        </w:rPr>
        <w:t>杭州市拱墅区住房和城市建设局</w:t>
      </w:r>
    </w:p>
    <w:p w14:paraId="2149796D">
      <w:pPr>
        <w:spacing w:line="360" w:lineRule="auto"/>
        <w:ind w:firstLine="48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址：杭州市拱墅区</w:t>
      </w:r>
      <w:r>
        <w:rPr>
          <w:rFonts w:hint="eastAsia" w:ascii="宋体" w:hAnsi="宋体" w:cs="宋体"/>
          <w:color w:val="auto"/>
          <w:szCs w:val="21"/>
          <w:highlight w:val="none"/>
          <w:lang w:val="en-US" w:eastAsia="zh-CN"/>
        </w:rPr>
        <w:t>北城街55号人防大厦</w:t>
      </w:r>
    </w:p>
    <w:p w14:paraId="61C9B663">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 xml:space="preserve">传    真：/ </w:t>
      </w:r>
    </w:p>
    <w:p w14:paraId="14F2559A">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项目联系人（询问）：朱工</w:t>
      </w:r>
    </w:p>
    <w:p w14:paraId="566C72B4">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联系电话（询问）：0571-89505795</w:t>
      </w:r>
    </w:p>
    <w:p w14:paraId="28338784">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质疑联系人：</w:t>
      </w:r>
      <w:r>
        <w:rPr>
          <w:rFonts w:hint="eastAsia" w:ascii="宋体" w:hAnsi="宋体" w:cs="宋体"/>
          <w:color w:val="auto"/>
          <w:szCs w:val="21"/>
          <w:highlight w:val="none"/>
          <w:lang w:val="en-US" w:eastAsia="zh-CN"/>
        </w:rPr>
        <w:t>沈</w:t>
      </w:r>
      <w:r>
        <w:rPr>
          <w:rFonts w:hint="eastAsia" w:ascii="宋体" w:hAnsi="宋体" w:cs="宋体"/>
          <w:color w:val="auto"/>
          <w:szCs w:val="21"/>
          <w:highlight w:val="none"/>
        </w:rPr>
        <w:t>工</w:t>
      </w:r>
    </w:p>
    <w:p w14:paraId="24BCC3D2">
      <w:pPr>
        <w:spacing w:line="360" w:lineRule="auto"/>
        <w:ind w:firstLine="48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质疑联系方式：0571-8950579</w:t>
      </w:r>
      <w:r>
        <w:rPr>
          <w:rFonts w:hint="eastAsia" w:ascii="宋体" w:hAnsi="宋体" w:cs="宋体"/>
          <w:color w:val="auto"/>
          <w:szCs w:val="21"/>
          <w:highlight w:val="none"/>
          <w:lang w:val="en-US" w:eastAsia="zh-CN"/>
        </w:rPr>
        <w:t>6</w:t>
      </w:r>
    </w:p>
    <w:p w14:paraId="28DFC37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2.采购代理机构信息            </w:t>
      </w:r>
    </w:p>
    <w:p w14:paraId="4287E3F4">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名    称：浙江省成套招标代理有限公司</w:t>
      </w:r>
    </w:p>
    <w:p w14:paraId="48A8DD7B">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val="zh-CN"/>
        </w:rPr>
        <w:t>杭州市文晖路42号现代置业大厦西楼1802室</w:t>
      </w:r>
    </w:p>
    <w:p w14:paraId="16941255">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传    真： /</w:t>
      </w:r>
    </w:p>
    <w:p w14:paraId="1C7E27C3">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 xml:space="preserve">项目联系人（询问）：古益仲、金哲熠 </w:t>
      </w:r>
    </w:p>
    <w:p w14:paraId="56B892FE">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项目联系方式（询问）：0571-87631122、85830315</w:t>
      </w:r>
    </w:p>
    <w:p w14:paraId="687B5E0F">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 xml:space="preserve">质疑联系人：冯东东 </w:t>
      </w:r>
    </w:p>
    <w:p w14:paraId="109DFE34">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质疑联系方式：0571-85331293</w:t>
      </w:r>
    </w:p>
    <w:p w14:paraId="6D8A245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3.同级政府采购监督管理部门 </w:t>
      </w:r>
      <w:bookmarkStart w:id="546" w:name="_GoBack"/>
      <w:bookmarkEnd w:id="546"/>
      <w:r>
        <w:rPr>
          <w:rFonts w:hint="eastAsia" w:ascii="宋体" w:hAnsi="宋体" w:cs="宋体"/>
          <w:color w:val="auto"/>
          <w:szCs w:val="21"/>
          <w:highlight w:val="none"/>
        </w:rPr>
        <w:t xml:space="preserve">           </w:t>
      </w:r>
    </w:p>
    <w:p w14:paraId="2F3870EE">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名    称：杭州市拱墅区财政局 /浙江省政府采购行政裁决服务中心（杭州）</w:t>
      </w:r>
    </w:p>
    <w:p w14:paraId="148A2B22">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 xml:space="preserve">地    址：杭州市上城区清泰街549号城建综合大楼11楼（快递仅限ems或顺丰） </w:t>
      </w:r>
    </w:p>
    <w:p w14:paraId="7BC8128E">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传    真： /</w:t>
      </w:r>
    </w:p>
    <w:p w14:paraId="256CB992">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联系人 ：朱女士、王女士</w:t>
      </w:r>
    </w:p>
    <w:p w14:paraId="032AA8E1">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 xml:space="preserve">监督投诉电话：0571-87227671,0571-87800218 </w:t>
      </w:r>
    </w:p>
    <w:p w14:paraId="18AE6C97">
      <w:pPr>
        <w:spacing w:line="360" w:lineRule="auto"/>
        <w:ind w:firstLine="480"/>
        <w:rPr>
          <w:rFonts w:ascii="宋体" w:hAnsi="宋体" w:cs="宋体"/>
          <w:color w:val="auto"/>
          <w:szCs w:val="21"/>
          <w:highlight w:val="none"/>
        </w:rPr>
      </w:pPr>
    </w:p>
    <w:p w14:paraId="3F110A7B">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5B5EBC11">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CA问题联系电话（人工）：汇信CA 400-888-4636；天谷CA 400-087-8198。</w:t>
      </w:r>
    </w:p>
    <w:p w14:paraId="4F2CC07F">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E57F62D">
      <w:pPr>
        <w:adjustRightInd/>
        <w:spacing w:line="360" w:lineRule="auto"/>
        <w:jc w:val="center"/>
        <w:outlineLvl w:val="0"/>
        <w:rPr>
          <w:rFonts w:ascii="宋体" w:hAnsi="宋体" w:cs="宋体"/>
          <w:b/>
          <w:color w:val="auto"/>
          <w:sz w:val="36"/>
          <w:szCs w:val="20"/>
          <w:highlight w:val="none"/>
        </w:rPr>
      </w:pPr>
      <w:bookmarkStart w:id="12" w:name="_Toc4949"/>
      <w:r>
        <w:rPr>
          <w:rFonts w:hint="eastAsia" w:ascii="宋体" w:hAnsi="宋体" w:cs="宋体"/>
          <w:b/>
          <w:color w:val="auto"/>
          <w:sz w:val="36"/>
          <w:szCs w:val="20"/>
          <w:highlight w:val="none"/>
        </w:rPr>
        <w:t>第二</w:t>
      </w:r>
      <w:bookmarkEnd w:id="9"/>
      <w:r>
        <w:rPr>
          <w:rFonts w:hint="eastAsia" w:ascii="宋体" w:hAnsi="宋体" w:cs="宋体"/>
          <w:b/>
          <w:color w:val="auto"/>
          <w:sz w:val="36"/>
          <w:szCs w:val="20"/>
          <w:highlight w:val="none"/>
        </w:rPr>
        <w:t>章 投标人须知</w:t>
      </w:r>
      <w:bookmarkEnd w:id="10"/>
      <w:bookmarkEnd w:id="12"/>
    </w:p>
    <w:p w14:paraId="4473E639">
      <w:pPr>
        <w:snapToGrid w:val="0"/>
        <w:spacing w:before="120" w:beforeLines="50" w:after="120" w:afterLines="50" w:line="360" w:lineRule="auto"/>
        <w:ind w:left="16" w:hanging="16" w:hangingChars="5"/>
        <w:jc w:val="center"/>
        <w:outlineLvl w:val="1"/>
        <w:rPr>
          <w:rFonts w:ascii="宋体" w:hAnsi="宋体" w:cs="宋体"/>
          <w:b/>
          <w:color w:val="auto"/>
          <w:sz w:val="32"/>
          <w:szCs w:val="20"/>
          <w:highlight w:val="none"/>
        </w:rPr>
      </w:pPr>
      <w:bookmarkStart w:id="13" w:name="_Toc31740"/>
      <w:r>
        <w:rPr>
          <w:rFonts w:hint="eastAsia" w:ascii="宋体" w:hAnsi="宋体" w:cs="宋体"/>
          <w:b/>
          <w:color w:val="auto"/>
          <w:sz w:val="32"/>
          <w:szCs w:val="20"/>
          <w:highlight w:val="none"/>
        </w:rPr>
        <w:t>前附表</w:t>
      </w:r>
      <w:bookmarkEnd w:id="13"/>
    </w:p>
    <w:tbl>
      <w:tblPr>
        <w:tblStyle w:val="64"/>
        <w:tblW w:w="9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279"/>
        <w:gridCol w:w="7737"/>
      </w:tblGrid>
      <w:tr w14:paraId="2C6F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70" w:type="dxa"/>
            <w:vAlign w:val="center"/>
          </w:tcPr>
          <w:p w14:paraId="2F10ACF8">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279" w:type="dxa"/>
            <w:vAlign w:val="center"/>
          </w:tcPr>
          <w:p w14:paraId="08B557C9">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事项</w:t>
            </w:r>
          </w:p>
        </w:tc>
        <w:tc>
          <w:tcPr>
            <w:tcW w:w="7737" w:type="dxa"/>
            <w:vAlign w:val="center"/>
          </w:tcPr>
          <w:p w14:paraId="01FD43F3">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本项目的特别规定</w:t>
            </w:r>
          </w:p>
        </w:tc>
      </w:tr>
      <w:tr w14:paraId="5CC5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0" w:type="dxa"/>
            <w:vAlign w:val="center"/>
          </w:tcPr>
          <w:p w14:paraId="5ECE1464">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79" w:type="dxa"/>
            <w:vAlign w:val="center"/>
          </w:tcPr>
          <w:p w14:paraId="0F217965">
            <w:pPr>
              <w:snapToGrid w:val="0"/>
              <w:spacing w:line="288" w:lineRule="auto"/>
              <w:jc w:val="center"/>
              <w:rPr>
                <w:rFonts w:ascii="宋体" w:hAnsi="宋体" w:cs="宋体"/>
                <w:bCs/>
                <w:color w:val="auto"/>
                <w:szCs w:val="21"/>
                <w:highlight w:val="none"/>
              </w:rPr>
            </w:pPr>
            <w:r>
              <w:rPr>
                <w:rFonts w:hint="eastAsia" w:ascii="宋体" w:hAnsi="宋体" w:cs="宋体"/>
                <w:bCs/>
                <w:color w:val="auto"/>
                <w:szCs w:val="21"/>
                <w:highlight w:val="none"/>
              </w:rPr>
              <w:t>项目属性</w:t>
            </w:r>
          </w:p>
        </w:tc>
        <w:tc>
          <w:tcPr>
            <w:tcW w:w="7737" w:type="dxa"/>
            <w:vAlign w:val="center"/>
          </w:tcPr>
          <w:p w14:paraId="661E3CF9">
            <w:pPr>
              <w:spacing w:line="288" w:lineRule="auto"/>
              <w:rPr>
                <w:rFonts w:ascii="宋体" w:hAnsi="宋体" w:cs="宋体"/>
                <w:color w:val="auto"/>
                <w:szCs w:val="21"/>
                <w:highlight w:val="none"/>
              </w:rPr>
            </w:pPr>
            <w:r>
              <w:rPr>
                <w:rFonts w:hint="eastAsia" w:ascii="宋体" w:hAnsi="宋体" w:cs="宋体"/>
                <w:b/>
                <w:bCs/>
                <w:color w:val="auto"/>
                <w:szCs w:val="21"/>
                <w:highlight w:val="none"/>
              </w:rPr>
              <w:t>服务类</w:t>
            </w:r>
            <w:r>
              <w:rPr>
                <w:rFonts w:hint="eastAsia" w:ascii="宋体" w:hAnsi="宋体" w:cs="宋体"/>
                <w:color w:val="auto"/>
                <w:szCs w:val="21"/>
                <w:highlight w:val="none"/>
              </w:rPr>
              <w:t>。</w:t>
            </w:r>
          </w:p>
        </w:tc>
      </w:tr>
      <w:tr w14:paraId="5CA4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14:paraId="7732219E">
            <w:pPr>
              <w:snapToGrid w:val="0"/>
              <w:spacing w:line="288" w:lineRule="auto"/>
              <w:jc w:val="center"/>
              <w:rPr>
                <w:rFonts w:ascii="宋体" w:hAnsi="宋体" w:cs="宋体"/>
                <w:color w:val="auto"/>
                <w:szCs w:val="21"/>
                <w:highlight w:val="none"/>
              </w:rPr>
            </w:pPr>
          </w:p>
          <w:p w14:paraId="1EF3AC45">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279" w:type="dxa"/>
            <w:vAlign w:val="center"/>
          </w:tcPr>
          <w:p w14:paraId="50F6C8A4">
            <w:pPr>
              <w:snapToGrid w:val="0"/>
              <w:spacing w:line="288" w:lineRule="auto"/>
              <w:jc w:val="center"/>
              <w:rPr>
                <w:rFonts w:ascii="宋体" w:hAnsi="宋体" w:cs="宋体"/>
                <w:bCs/>
                <w:color w:val="auto"/>
                <w:szCs w:val="21"/>
                <w:highlight w:val="none"/>
              </w:rPr>
            </w:pPr>
            <w:r>
              <w:rPr>
                <w:rFonts w:hint="eastAsia" w:ascii="宋体" w:hAnsi="宋体" w:cs="宋体"/>
                <w:bCs/>
                <w:color w:val="auto"/>
                <w:szCs w:val="21"/>
                <w:highlight w:val="none"/>
              </w:rPr>
              <w:t>采购标的及其对应的中小企业划分标准所属行业</w:t>
            </w:r>
          </w:p>
        </w:tc>
        <w:tc>
          <w:tcPr>
            <w:tcW w:w="7737" w:type="dxa"/>
            <w:vAlign w:val="center"/>
          </w:tcPr>
          <w:p w14:paraId="3309F7E5">
            <w:pPr>
              <w:spacing w:line="288" w:lineRule="auto"/>
              <w:rPr>
                <w:rFonts w:ascii="宋体" w:hAnsi="宋体" w:cs="宋体"/>
                <w:bCs/>
                <w:color w:val="auto"/>
                <w:kern w:val="0"/>
                <w:szCs w:val="21"/>
                <w:highlight w:val="none"/>
              </w:rPr>
            </w:pPr>
            <w:r>
              <w:rPr>
                <w:rFonts w:hint="eastAsia" w:ascii="宋体" w:hAnsi="宋体" w:cs="宋体"/>
                <w:bCs/>
                <w:color w:val="auto"/>
                <w:szCs w:val="21"/>
                <w:highlight w:val="none"/>
              </w:rPr>
              <w:t>采购标的</w:t>
            </w:r>
            <w:r>
              <w:rPr>
                <w:rFonts w:hint="eastAsia" w:ascii="宋体" w:hAnsi="宋体" w:cs="宋体"/>
                <w:bCs/>
                <w:color w:val="auto"/>
                <w:kern w:val="0"/>
                <w:szCs w:val="21"/>
                <w:highlight w:val="none"/>
              </w:rPr>
              <w:t>：</w:t>
            </w:r>
            <w:r>
              <w:rPr>
                <w:rFonts w:hint="eastAsia" w:ascii="宋体" w:hAnsi="宋体" w:cs="宋体"/>
                <w:b/>
                <w:bCs/>
                <w:color w:val="auto"/>
                <w:szCs w:val="21"/>
                <w:highlight w:val="none"/>
                <w:u w:val="single"/>
                <w:lang w:eastAsia="zh-CN"/>
              </w:rPr>
              <w:t>拱墅区2025年海绵城市建设技术服务项目</w:t>
            </w:r>
            <w:r>
              <w:rPr>
                <w:rFonts w:hint="eastAsia" w:ascii="宋体" w:hAnsi="宋体" w:cs="宋体"/>
                <w:bCs/>
                <w:color w:val="auto"/>
                <w:kern w:val="0"/>
                <w:szCs w:val="21"/>
                <w:highlight w:val="none"/>
              </w:rPr>
              <w:t>，</w:t>
            </w:r>
            <w:r>
              <w:rPr>
                <w:rFonts w:hint="eastAsia" w:ascii="宋体" w:hAnsi="宋体" w:cs="宋体"/>
                <w:bCs/>
                <w:color w:val="auto"/>
                <w:szCs w:val="21"/>
                <w:highlight w:val="none"/>
              </w:rPr>
              <w:t>对应的中小企业划分标准所属行业：</w:t>
            </w:r>
            <w:r>
              <w:rPr>
                <w:rFonts w:hint="eastAsia" w:ascii="宋体" w:hAnsi="宋体" w:cs="宋体"/>
                <w:b/>
                <w:color w:val="auto"/>
                <w:szCs w:val="21"/>
                <w:highlight w:val="none"/>
                <w:u w:val="single"/>
              </w:rPr>
              <w:t>其他未列明行业</w:t>
            </w:r>
            <w:r>
              <w:rPr>
                <w:rFonts w:hint="eastAsia" w:ascii="宋体" w:hAnsi="宋体" w:cs="宋体"/>
                <w:bCs/>
                <w:color w:val="auto"/>
                <w:kern w:val="0"/>
                <w:szCs w:val="21"/>
                <w:highlight w:val="none"/>
              </w:rPr>
              <w:t>；</w:t>
            </w:r>
          </w:p>
          <w:p w14:paraId="682A4331">
            <w:pPr>
              <w:spacing w:line="288" w:lineRule="auto"/>
              <w:rPr>
                <w:rFonts w:ascii="宋体" w:hAnsi="宋体" w:cs="宋体"/>
                <w:color w:val="auto"/>
                <w:szCs w:val="21"/>
                <w:highlight w:val="none"/>
              </w:rPr>
            </w:pPr>
            <w:r>
              <w:rPr>
                <w:rFonts w:hint="eastAsia" w:ascii="宋体" w:hAnsi="宋体" w:cs="宋体"/>
                <w:color w:val="auto"/>
                <w:szCs w:val="21"/>
                <w:highlight w:val="none"/>
              </w:rPr>
              <w:t>其他未列明行业。</w:t>
            </w:r>
            <w:r>
              <w:rPr>
                <w:rFonts w:hint="eastAsia" w:ascii="宋体" w:hAnsi="宋体" w:cs="宋体"/>
                <w:b/>
                <w:bCs/>
                <w:color w:val="auto"/>
                <w:szCs w:val="21"/>
                <w:highlight w:val="none"/>
              </w:rPr>
              <w:t>从业人员300人以下的为中小微型企业。其中，从业人员100人及以上的为中型企业；从业人员10人及以上的为小型企业；从业人员10人以下的为微型企业</w:t>
            </w:r>
            <w:r>
              <w:rPr>
                <w:rFonts w:hint="eastAsia" w:ascii="宋体" w:hAnsi="宋体" w:cs="宋体"/>
                <w:color w:val="auto"/>
                <w:szCs w:val="21"/>
                <w:highlight w:val="none"/>
              </w:rPr>
              <w:t>。</w:t>
            </w:r>
          </w:p>
        </w:tc>
      </w:tr>
      <w:tr w14:paraId="0732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70" w:type="dxa"/>
            <w:vAlign w:val="center"/>
          </w:tcPr>
          <w:p w14:paraId="00E665A6">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279" w:type="dxa"/>
            <w:vAlign w:val="center"/>
          </w:tcPr>
          <w:p w14:paraId="3A14B98E">
            <w:pPr>
              <w:snapToGrid w:val="0"/>
              <w:spacing w:line="288" w:lineRule="auto"/>
              <w:jc w:val="center"/>
              <w:rPr>
                <w:rFonts w:ascii="宋体" w:hAnsi="宋体" w:cs="宋体"/>
                <w:bCs/>
                <w:color w:val="auto"/>
                <w:szCs w:val="21"/>
                <w:highlight w:val="none"/>
              </w:rPr>
            </w:pPr>
            <w:r>
              <w:rPr>
                <w:rFonts w:hint="eastAsia" w:ascii="宋体" w:hAnsi="宋体" w:cs="宋体"/>
                <w:bCs/>
                <w:color w:val="auto"/>
                <w:szCs w:val="21"/>
                <w:highlight w:val="none"/>
              </w:rPr>
              <w:t>是否允许采购进口产品</w:t>
            </w:r>
          </w:p>
        </w:tc>
        <w:tc>
          <w:tcPr>
            <w:tcW w:w="7737" w:type="dxa"/>
            <w:vAlign w:val="center"/>
          </w:tcPr>
          <w:p w14:paraId="339C8A15">
            <w:pPr>
              <w:spacing w:line="288" w:lineRule="auto"/>
              <w:rPr>
                <w:rFonts w:ascii="宋体" w:hAnsi="宋体" w:cs="宋体"/>
                <w:color w:val="auto"/>
                <w:kern w:val="0"/>
                <w:szCs w:val="21"/>
                <w:highlight w:val="none"/>
              </w:rPr>
            </w:pPr>
            <w:r>
              <w:rPr>
                <w:rFonts w:ascii="宋体" w:hAnsi="宋体" w:cs="Arial"/>
                <w:color w:val="auto"/>
                <w:kern w:val="0"/>
                <w:szCs w:val="21"/>
                <w:highlight w:val="none"/>
              </w:rPr>
              <w:sym w:font="Wingdings" w:char="00FE"/>
            </w:r>
            <w:r>
              <w:rPr>
                <w:rFonts w:hint="eastAsia" w:ascii="宋体" w:hAnsi="宋体" w:cs="Arial"/>
                <w:color w:val="auto"/>
                <w:kern w:val="0"/>
                <w:szCs w:val="21"/>
                <w:highlight w:val="none"/>
              </w:rPr>
              <w:t>本</w:t>
            </w:r>
            <w:r>
              <w:rPr>
                <w:rFonts w:hint="eastAsia" w:ascii="宋体" w:hAnsi="宋体" w:cs="宋体"/>
                <w:color w:val="auto"/>
                <w:kern w:val="0"/>
                <w:szCs w:val="21"/>
                <w:highlight w:val="none"/>
              </w:rPr>
              <w:t>项目不允许采购进口产品。</w:t>
            </w:r>
          </w:p>
          <w:p w14:paraId="2F9077EE">
            <w:pPr>
              <w:spacing w:line="288" w:lineRule="auto"/>
              <w:rPr>
                <w:rFonts w:ascii="宋体" w:hAnsi="宋体" w:cs="宋体"/>
                <w:color w:val="auto"/>
                <w:szCs w:val="21"/>
                <w:highlight w:val="none"/>
              </w:rPr>
            </w:pPr>
            <w:sdt>
              <w:sdtPr>
                <w:rPr>
                  <w:rFonts w:hint="eastAsia" w:ascii="宋体" w:hAnsi="宋体" w:cs="宋体"/>
                  <w:color w:val="auto"/>
                  <w:kern w:val="0"/>
                  <w:szCs w:val="21"/>
                  <w:highlight w:val="none"/>
                </w:rPr>
                <w:id w:val="12"/>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可以就</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采购进口产品。</w:t>
            </w:r>
          </w:p>
        </w:tc>
      </w:tr>
      <w:tr w14:paraId="5BE9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670" w:type="dxa"/>
            <w:vAlign w:val="center"/>
          </w:tcPr>
          <w:p w14:paraId="6FBC9C5E">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279" w:type="dxa"/>
            <w:vAlign w:val="center"/>
          </w:tcPr>
          <w:p w14:paraId="383A4291">
            <w:pPr>
              <w:snapToGrid w:val="0"/>
              <w:spacing w:line="288" w:lineRule="auto"/>
              <w:jc w:val="center"/>
              <w:rPr>
                <w:rFonts w:ascii="宋体" w:hAnsi="宋体" w:cs="宋体"/>
                <w:bCs/>
                <w:color w:val="auto"/>
                <w:szCs w:val="21"/>
                <w:highlight w:val="none"/>
              </w:rPr>
            </w:pPr>
            <w:r>
              <w:rPr>
                <w:rFonts w:hint="eastAsia" w:ascii="宋体" w:hAnsi="宋体" w:cs="宋体"/>
                <w:bCs/>
                <w:color w:val="auto"/>
                <w:szCs w:val="21"/>
                <w:highlight w:val="none"/>
              </w:rPr>
              <w:t>分包</w:t>
            </w:r>
          </w:p>
        </w:tc>
        <w:tc>
          <w:tcPr>
            <w:tcW w:w="7737" w:type="dxa"/>
            <w:vAlign w:val="center"/>
          </w:tcPr>
          <w:p w14:paraId="1CC01B53">
            <w:pPr>
              <w:spacing w:line="288" w:lineRule="auto"/>
              <w:rPr>
                <w:rFonts w:ascii="宋体" w:hAnsi="宋体" w:cs="宋体"/>
                <w:color w:val="auto"/>
                <w:szCs w:val="21"/>
                <w:highlight w:val="none"/>
              </w:rPr>
            </w:pPr>
            <w:r>
              <w:rPr>
                <w:rFonts w:ascii="宋体" w:hAnsi="宋体" w:cs="Arial"/>
                <w:color w:val="auto"/>
                <w:kern w:val="0"/>
                <w:szCs w:val="21"/>
                <w:highlight w:val="none"/>
              </w:rPr>
              <w:sym w:font="Wingdings" w:char="00A8"/>
            </w:r>
            <w:r>
              <w:rPr>
                <w:rFonts w:hint="eastAsia" w:ascii="宋体" w:hAnsi="宋体" w:cs="宋体"/>
                <w:color w:val="auto"/>
                <w:kern w:val="0"/>
                <w:szCs w:val="21"/>
                <w:highlight w:val="none"/>
              </w:rPr>
              <w:t>A</w:t>
            </w:r>
            <w:r>
              <w:rPr>
                <w:rFonts w:hint="eastAsia" w:ascii="宋体" w:hAnsi="宋体" w:cs="宋体"/>
                <w:color w:val="auto"/>
                <w:szCs w:val="21"/>
                <w:highlight w:val="none"/>
              </w:rPr>
              <w:t>同意将非主体、非关键性的工作分包</w:t>
            </w:r>
            <w:r>
              <w:rPr>
                <w:rFonts w:hint="eastAsia" w:ascii="宋体" w:hAnsi="宋体" w:cs="宋体"/>
                <w:b/>
                <w:color w:val="auto"/>
                <w:szCs w:val="21"/>
                <w:highlight w:val="none"/>
              </w:rPr>
              <w:t>（</w:t>
            </w:r>
            <w:r>
              <w:rPr>
                <w:rFonts w:hint="eastAsia" w:ascii="宋体" w:hAnsi="宋体" w:cs="宋体"/>
                <w:b/>
                <w:color w:val="auto"/>
                <w:szCs w:val="21"/>
                <w:highlight w:val="none"/>
                <w:u w:val="single"/>
              </w:rPr>
              <w:t>备注：本项目仅允许大中型企业向小微企业合理分包</w:t>
            </w:r>
            <w:r>
              <w:rPr>
                <w:rFonts w:hint="eastAsia" w:ascii="宋体" w:hAnsi="宋体" w:cs="宋体"/>
                <w:b/>
                <w:color w:val="auto"/>
                <w:szCs w:val="21"/>
                <w:highlight w:val="none"/>
              </w:rPr>
              <w:t>）</w:t>
            </w:r>
            <w:r>
              <w:rPr>
                <w:rFonts w:hint="eastAsia" w:ascii="宋体" w:hAnsi="宋体" w:cs="宋体"/>
                <w:color w:val="auto"/>
                <w:szCs w:val="21"/>
                <w:highlight w:val="none"/>
              </w:rPr>
              <w:t>。</w:t>
            </w:r>
          </w:p>
          <w:p w14:paraId="6456726A">
            <w:pPr>
              <w:spacing w:line="288" w:lineRule="auto"/>
              <w:rPr>
                <w:rFonts w:ascii="宋体" w:hAnsi="宋体" w:cs="宋体"/>
                <w:color w:val="auto"/>
                <w:szCs w:val="21"/>
                <w:highlight w:val="none"/>
              </w:rPr>
            </w:pPr>
            <w:sdt>
              <w:sdtPr>
                <w:rPr>
                  <w:rFonts w:hint="eastAsia" w:ascii="宋体" w:hAnsi="宋体" w:cs="宋体"/>
                  <w:color w:val="auto"/>
                  <w:kern w:val="0"/>
                  <w:szCs w:val="21"/>
                  <w:highlight w:val="none"/>
                </w:rPr>
                <w:id w:val="13"/>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kern w:val="0"/>
                <w:szCs w:val="21"/>
                <w:highlight w:val="none"/>
              </w:rPr>
              <w:t xml:space="preserve"> B</w:t>
            </w:r>
            <w:r>
              <w:rPr>
                <w:rFonts w:hint="eastAsia" w:ascii="宋体" w:hAnsi="宋体" w:cs="宋体"/>
                <w:color w:val="auto"/>
                <w:szCs w:val="21"/>
                <w:highlight w:val="none"/>
              </w:rPr>
              <w:t>不同意分包。</w:t>
            </w:r>
          </w:p>
        </w:tc>
      </w:tr>
      <w:tr w14:paraId="320C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14:paraId="34F6AF21">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279" w:type="dxa"/>
            <w:vAlign w:val="center"/>
          </w:tcPr>
          <w:p w14:paraId="2F36077B">
            <w:pPr>
              <w:snapToGrid w:val="0"/>
              <w:spacing w:line="288" w:lineRule="auto"/>
              <w:jc w:val="center"/>
              <w:rPr>
                <w:rFonts w:ascii="宋体" w:hAnsi="宋体" w:cs="宋体"/>
                <w:bCs/>
                <w:color w:val="auto"/>
                <w:szCs w:val="21"/>
                <w:highlight w:val="none"/>
              </w:rPr>
            </w:pPr>
            <w:r>
              <w:rPr>
                <w:rFonts w:hint="eastAsia" w:ascii="宋体" w:hAnsi="宋体" w:cs="宋体"/>
                <w:bCs/>
                <w:color w:val="auto"/>
                <w:szCs w:val="21"/>
                <w:highlight w:val="none"/>
              </w:rPr>
              <w:t>开标前答疑会或现场考察</w:t>
            </w:r>
          </w:p>
        </w:tc>
        <w:tc>
          <w:tcPr>
            <w:tcW w:w="7737" w:type="dxa"/>
            <w:vAlign w:val="center"/>
          </w:tcPr>
          <w:p w14:paraId="3BD0984A">
            <w:pPr>
              <w:spacing w:line="288" w:lineRule="auto"/>
              <w:rPr>
                <w:rFonts w:ascii="宋体" w:hAnsi="宋体" w:cs="宋体"/>
                <w:color w:val="auto"/>
                <w:szCs w:val="21"/>
                <w:highlight w:val="none"/>
              </w:rPr>
            </w:pPr>
            <w:r>
              <w:rPr>
                <w:rFonts w:ascii="宋体" w:hAnsi="宋体" w:cs="Arial"/>
                <w:color w:val="auto"/>
                <w:kern w:val="0"/>
                <w:szCs w:val="21"/>
                <w:highlight w:val="none"/>
              </w:rPr>
              <w:sym w:font="Wingdings" w:char="00FE"/>
            </w:r>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0FEB7F7F">
            <w:pPr>
              <w:spacing w:line="288" w:lineRule="auto"/>
              <w:rPr>
                <w:rFonts w:ascii="宋体" w:hAnsi="宋体" w:cs="宋体"/>
                <w:color w:val="auto"/>
                <w:szCs w:val="21"/>
                <w:highlight w:val="none"/>
              </w:rPr>
            </w:pPr>
            <w:sdt>
              <w:sdtPr>
                <w:rPr>
                  <w:rFonts w:hint="eastAsia" w:ascii="宋体" w:hAnsi="宋体" w:cs="宋体"/>
                  <w:color w:val="auto"/>
                  <w:kern w:val="0"/>
                  <w:szCs w:val="21"/>
                  <w:highlight w:val="none"/>
                </w:rPr>
                <w:id w:val="14"/>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B组织，</w:t>
            </w: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,地点：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，联系人：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，联系方式：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。☐C不统一组织，供应商在获取采购文件后，自行至项目现场考察。地点： ，联系人： ，联系方式： 。</w:t>
            </w:r>
          </w:p>
        </w:tc>
      </w:tr>
      <w:tr w14:paraId="23D2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14:paraId="5F026240">
            <w:pPr>
              <w:snapToGrid w:val="0"/>
              <w:spacing w:line="288" w:lineRule="auto"/>
              <w:jc w:val="center"/>
              <w:rPr>
                <w:rFonts w:ascii="宋体" w:hAnsi="宋体" w:cs="宋体"/>
                <w:color w:val="auto"/>
                <w:szCs w:val="21"/>
                <w:highlight w:val="none"/>
              </w:rPr>
            </w:pPr>
          </w:p>
          <w:p w14:paraId="76AB8746">
            <w:pPr>
              <w:snapToGrid w:val="0"/>
              <w:spacing w:line="288" w:lineRule="auto"/>
              <w:jc w:val="center"/>
              <w:rPr>
                <w:rFonts w:ascii="宋体" w:hAnsi="宋体" w:cs="宋体"/>
                <w:color w:val="auto"/>
                <w:szCs w:val="21"/>
                <w:highlight w:val="none"/>
              </w:rPr>
            </w:pPr>
          </w:p>
          <w:p w14:paraId="382A0D70">
            <w:pPr>
              <w:snapToGrid w:val="0"/>
              <w:spacing w:line="288" w:lineRule="auto"/>
              <w:jc w:val="center"/>
              <w:rPr>
                <w:rFonts w:ascii="宋体" w:hAnsi="宋体" w:cs="宋体"/>
                <w:color w:val="auto"/>
                <w:szCs w:val="21"/>
                <w:highlight w:val="none"/>
              </w:rPr>
            </w:pPr>
          </w:p>
          <w:p w14:paraId="285DF9E5">
            <w:pPr>
              <w:snapToGrid w:val="0"/>
              <w:spacing w:line="288" w:lineRule="auto"/>
              <w:jc w:val="center"/>
              <w:rPr>
                <w:rFonts w:ascii="宋体" w:hAnsi="宋体" w:cs="宋体"/>
                <w:color w:val="auto"/>
                <w:szCs w:val="21"/>
                <w:highlight w:val="none"/>
              </w:rPr>
            </w:pPr>
          </w:p>
          <w:p w14:paraId="6366D0BC">
            <w:pPr>
              <w:snapToGrid w:val="0"/>
              <w:spacing w:line="288" w:lineRule="auto"/>
              <w:jc w:val="center"/>
              <w:rPr>
                <w:rFonts w:ascii="宋体" w:hAnsi="宋体" w:cs="宋体"/>
                <w:color w:val="auto"/>
                <w:szCs w:val="21"/>
                <w:highlight w:val="none"/>
              </w:rPr>
            </w:pPr>
          </w:p>
          <w:p w14:paraId="712A4BAF">
            <w:pPr>
              <w:snapToGrid w:val="0"/>
              <w:spacing w:line="288" w:lineRule="auto"/>
              <w:jc w:val="center"/>
              <w:rPr>
                <w:rFonts w:ascii="宋体" w:hAnsi="宋体" w:cs="宋体"/>
                <w:color w:val="auto"/>
                <w:szCs w:val="21"/>
                <w:highlight w:val="none"/>
              </w:rPr>
            </w:pPr>
          </w:p>
          <w:p w14:paraId="3DBC015F">
            <w:pPr>
              <w:snapToGrid w:val="0"/>
              <w:spacing w:line="288" w:lineRule="auto"/>
              <w:jc w:val="center"/>
              <w:rPr>
                <w:rFonts w:ascii="宋体" w:hAnsi="宋体" w:cs="宋体"/>
                <w:color w:val="auto"/>
                <w:szCs w:val="21"/>
                <w:highlight w:val="none"/>
              </w:rPr>
            </w:pPr>
          </w:p>
          <w:p w14:paraId="68A6AA77">
            <w:pPr>
              <w:snapToGrid w:val="0"/>
              <w:spacing w:line="288" w:lineRule="auto"/>
              <w:jc w:val="center"/>
              <w:rPr>
                <w:rFonts w:ascii="宋体" w:hAnsi="宋体" w:cs="宋体"/>
                <w:color w:val="auto"/>
                <w:szCs w:val="21"/>
                <w:highlight w:val="none"/>
              </w:rPr>
            </w:pPr>
          </w:p>
          <w:p w14:paraId="544F44FC">
            <w:pPr>
              <w:snapToGrid w:val="0"/>
              <w:spacing w:line="288" w:lineRule="auto"/>
              <w:jc w:val="center"/>
              <w:rPr>
                <w:rFonts w:ascii="宋体" w:hAnsi="宋体" w:cs="宋体"/>
                <w:color w:val="auto"/>
                <w:szCs w:val="21"/>
                <w:highlight w:val="none"/>
              </w:rPr>
            </w:pPr>
          </w:p>
          <w:p w14:paraId="3025DF3E">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279" w:type="dxa"/>
            <w:vAlign w:val="center"/>
          </w:tcPr>
          <w:p w14:paraId="25A6354D">
            <w:pPr>
              <w:snapToGrid w:val="0"/>
              <w:spacing w:line="288" w:lineRule="auto"/>
              <w:jc w:val="center"/>
              <w:rPr>
                <w:rFonts w:ascii="宋体" w:hAnsi="宋体" w:cs="宋体"/>
                <w:bCs/>
                <w:color w:val="auto"/>
                <w:szCs w:val="21"/>
                <w:highlight w:val="none"/>
              </w:rPr>
            </w:pPr>
            <w:r>
              <w:rPr>
                <w:rFonts w:hint="eastAsia" w:ascii="宋体" w:hAnsi="宋体" w:cs="宋体"/>
                <w:bCs/>
                <w:color w:val="auto"/>
                <w:szCs w:val="21"/>
                <w:highlight w:val="none"/>
              </w:rPr>
              <w:t>样品提供</w:t>
            </w:r>
          </w:p>
        </w:tc>
        <w:tc>
          <w:tcPr>
            <w:tcW w:w="7737" w:type="dxa"/>
            <w:vAlign w:val="center"/>
          </w:tcPr>
          <w:p w14:paraId="05164116">
            <w:pPr>
              <w:spacing w:line="288" w:lineRule="auto"/>
              <w:rPr>
                <w:rFonts w:ascii="宋体" w:hAnsi="宋体" w:cs="宋体"/>
                <w:color w:val="auto"/>
                <w:szCs w:val="21"/>
                <w:highlight w:val="none"/>
              </w:rPr>
            </w:pPr>
            <w:r>
              <w:rPr>
                <w:rFonts w:ascii="宋体" w:hAnsi="宋体" w:cs="Arial"/>
                <w:color w:val="auto"/>
                <w:kern w:val="0"/>
                <w:szCs w:val="21"/>
                <w:highlight w:val="none"/>
              </w:rPr>
              <w:sym w:font="Wingdings" w:char="00FE"/>
            </w:r>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14:paraId="2CB52304">
            <w:pPr>
              <w:spacing w:line="288" w:lineRule="auto"/>
              <w:rPr>
                <w:rFonts w:ascii="宋体" w:hAnsi="宋体" w:cs="宋体"/>
                <w:color w:val="auto"/>
                <w:kern w:val="0"/>
                <w:szCs w:val="21"/>
                <w:highlight w:val="none"/>
              </w:rPr>
            </w:pPr>
            <w:sdt>
              <w:sdtPr>
                <w:rPr>
                  <w:rFonts w:hint="eastAsia" w:ascii="宋体" w:hAnsi="宋体" w:cs="宋体"/>
                  <w:color w:val="auto"/>
                  <w:kern w:val="0"/>
                  <w:szCs w:val="21"/>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B要求提供，</w:t>
            </w:r>
          </w:p>
          <w:p w14:paraId="6D45A106">
            <w:pPr>
              <w:spacing w:line="288" w:lineRule="auto"/>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65E36FBE">
            <w:pPr>
              <w:spacing w:line="288" w:lineRule="auto"/>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snapToGrid w:val="0"/>
                <w:color w:val="auto"/>
                <w:kern w:val="28"/>
                <w:szCs w:val="21"/>
                <w:highlight w:val="none"/>
              </w:rPr>
              <w:t>样品制作的标准和要求：</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715560CB">
            <w:pPr>
              <w:spacing w:line="288" w:lineRule="auto"/>
              <w:rPr>
                <w:rFonts w:ascii="宋体" w:hAnsi="宋体" w:cs="宋体"/>
                <w:color w:val="auto"/>
                <w:kern w:val="0"/>
                <w:szCs w:val="21"/>
                <w:highlight w:val="none"/>
              </w:rPr>
            </w:pPr>
            <w:r>
              <w:rPr>
                <w:rFonts w:hint="eastAsia" w:ascii="宋体" w:hAnsi="宋体" w:cs="宋体"/>
                <w:color w:val="auto"/>
                <w:kern w:val="0"/>
                <w:szCs w:val="21"/>
                <w:highlight w:val="none"/>
              </w:rPr>
              <w:t>（3）样品的评审方法以及评审标准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14:paraId="69F60159">
            <w:pPr>
              <w:spacing w:line="288" w:lineRule="auto"/>
              <w:rPr>
                <w:rFonts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sdt>
              <w:sdtPr>
                <w:rPr>
                  <w:rFonts w:hint="eastAsia" w:ascii="宋体" w:hAnsi="宋体" w:cs="宋体"/>
                  <w:color w:val="auto"/>
                  <w:kern w:val="0"/>
                  <w:szCs w:val="21"/>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否；</w:t>
            </w:r>
            <w:sdt>
              <w:sdtPr>
                <w:rPr>
                  <w:rFonts w:hint="eastAsia" w:ascii="宋体" w:hAnsi="宋体" w:cs="宋体"/>
                  <w:color w:val="auto"/>
                  <w:kern w:val="0"/>
                  <w:szCs w:val="21"/>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是，检测机构的要求</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30D1E05B">
            <w:pPr>
              <w:spacing w:line="288" w:lineRule="auto"/>
              <w:rPr>
                <w:rFonts w:ascii="宋体" w:hAnsi="宋体" w:cs="宋体"/>
                <w:color w:val="auto"/>
                <w:szCs w:val="21"/>
                <w:highlight w:val="none"/>
              </w:rPr>
            </w:pPr>
            <w:r>
              <w:rPr>
                <w:rFonts w:hint="eastAsia" w:ascii="宋体" w:hAnsi="宋体" w:cs="宋体"/>
                <w:color w:val="auto"/>
                <w:szCs w:val="21"/>
                <w:highlight w:val="none"/>
              </w:rPr>
              <w:t>（5）提供样品的时间：</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；联系人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28"/>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。请投标人在上述时间内提供样品并按规定位置安装完毕。超过截止时间的，采购人或采购代理机构将不予接收，并将清场并封闭样品现场。</w:t>
            </w:r>
          </w:p>
          <w:p w14:paraId="76BC3577">
            <w:pPr>
              <w:spacing w:line="288" w:lineRule="auto"/>
              <w:rPr>
                <w:rFonts w:ascii="宋体" w:hAnsi="宋体" w:cs="宋体"/>
                <w:color w:val="auto"/>
                <w:szCs w:val="21"/>
                <w:highlight w:val="none"/>
              </w:rPr>
            </w:pPr>
            <w:r>
              <w:rPr>
                <w:rFonts w:hint="eastAsia" w:ascii="宋体" w:hAnsi="宋体" w:cs="宋体"/>
                <w:color w:val="auto"/>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067CF94">
            <w:pPr>
              <w:spacing w:line="288" w:lineRule="auto"/>
              <w:rPr>
                <w:rFonts w:ascii="宋体" w:hAnsi="宋体" w:cs="宋体"/>
                <w:b/>
                <w:color w:val="auto"/>
                <w:szCs w:val="21"/>
                <w:highlight w:val="none"/>
              </w:rPr>
            </w:pPr>
            <w:r>
              <w:rPr>
                <w:rFonts w:hint="eastAsia" w:ascii="宋体" w:hAnsi="宋体" w:cs="宋体"/>
                <w:color w:val="auto"/>
                <w:szCs w:val="21"/>
                <w:highlight w:val="none"/>
              </w:rPr>
              <w:t>（7）制作、运输、安装和保管样品所发生的一切费用由投标人自理。</w:t>
            </w:r>
          </w:p>
        </w:tc>
      </w:tr>
      <w:tr w14:paraId="012D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14:paraId="0C2AD475">
            <w:pPr>
              <w:snapToGrid w:val="0"/>
              <w:spacing w:line="288" w:lineRule="auto"/>
              <w:jc w:val="center"/>
              <w:rPr>
                <w:rFonts w:ascii="宋体" w:hAnsi="宋体" w:cs="宋体"/>
                <w:color w:val="auto"/>
                <w:szCs w:val="21"/>
                <w:highlight w:val="none"/>
              </w:rPr>
            </w:pPr>
          </w:p>
          <w:p w14:paraId="5929F60C">
            <w:pPr>
              <w:snapToGrid w:val="0"/>
              <w:spacing w:line="288" w:lineRule="auto"/>
              <w:jc w:val="center"/>
              <w:rPr>
                <w:rFonts w:ascii="宋体" w:hAnsi="宋体" w:cs="宋体"/>
                <w:color w:val="auto"/>
                <w:szCs w:val="21"/>
                <w:highlight w:val="none"/>
              </w:rPr>
            </w:pPr>
          </w:p>
          <w:p w14:paraId="1AFC0D7C">
            <w:pPr>
              <w:snapToGrid w:val="0"/>
              <w:spacing w:line="288" w:lineRule="auto"/>
              <w:jc w:val="center"/>
              <w:rPr>
                <w:rFonts w:ascii="宋体" w:hAnsi="宋体" w:cs="宋体"/>
                <w:color w:val="auto"/>
                <w:szCs w:val="21"/>
                <w:highlight w:val="none"/>
              </w:rPr>
            </w:pPr>
          </w:p>
          <w:p w14:paraId="48C9D725">
            <w:pPr>
              <w:snapToGrid w:val="0"/>
              <w:spacing w:line="288" w:lineRule="auto"/>
              <w:jc w:val="center"/>
              <w:rPr>
                <w:rFonts w:ascii="宋体" w:hAnsi="宋体" w:cs="宋体"/>
                <w:color w:val="auto"/>
                <w:szCs w:val="21"/>
                <w:highlight w:val="none"/>
              </w:rPr>
            </w:pPr>
          </w:p>
          <w:p w14:paraId="4E16BDBC">
            <w:pPr>
              <w:snapToGrid w:val="0"/>
              <w:spacing w:line="288" w:lineRule="auto"/>
              <w:jc w:val="center"/>
              <w:rPr>
                <w:rFonts w:ascii="宋体" w:hAnsi="宋体" w:cs="宋体"/>
                <w:color w:val="auto"/>
                <w:szCs w:val="21"/>
                <w:highlight w:val="none"/>
              </w:rPr>
            </w:pPr>
          </w:p>
          <w:p w14:paraId="2C2602EB">
            <w:pPr>
              <w:snapToGrid w:val="0"/>
              <w:spacing w:line="288" w:lineRule="auto"/>
              <w:jc w:val="center"/>
              <w:rPr>
                <w:rFonts w:ascii="宋体" w:hAnsi="宋体" w:cs="宋体"/>
                <w:color w:val="auto"/>
                <w:szCs w:val="21"/>
                <w:highlight w:val="none"/>
              </w:rPr>
            </w:pPr>
          </w:p>
          <w:p w14:paraId="56A946F5">
            <w:pPr>
              <w:snapToGrid w:val="0"/>
              <w:spacing w:line="288" w:lineRule="auto"/>
              <w:jc w:val="center"/>
              <w:rPr>
                <w:rFonts w:ascii="宋体" w:hAnsi="宋体" w:cs="宋体"/>
                <w:color w:val="auto"/>
                <w:szCs w:val="21"/>
                <w:highlight w:val="none"/>
              </w:rPr>
            </w:pPr>
          </w:p>
          <w:p w14:paraId="30CE556B">
            <w:pPr>
              <w:snapToGrid w:val="0"/>
              <w:spacing w:line="288" w:lineRule="auto"/>
              <w:jc w:val="center"/>
              <w:rPr>
                <w:rFonts w:ascii="宋体" w:hAnsi="宋体" w:cs="宋体"/>
                <w:color w:val="auto"/>
                <w:szCs w:val="21"/>
                <w:highlight w:val="none"/>
              </w:rPr>
            </w:pPr>
          </w:p>
          <w:p w14:paraId="44A14547">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279" w:type="dxa"/>
            <w:vAlign w:val="center"/>
          </w:tcPr>
          <w:p w14:paraId="7DBA29E3">
            <w:pPr>
              <w:snapToGrid w:val="0"/>
              <w:spacing w:line="288" w:lineRule="auto"/>
              <w:jc w:val="center"/>
              <w:rPr>
                <w:rFonts w:ascii="宋体" w:hAnsi="宋体" w:cs="宋体"/>
                <w:bCs/>
                <w:color w:val="auto"/>
                <w:szCs w:val="21"/>
                <w:highlight w:val="none"/>
              </w:rPr>
            </w:pPr>
            <w:r>
              <w:rPr>
                <w:rFonts w:hint="eastAsia" w:ascii="宋体" w:hAnsi="宋体" w:cs="宋体"/>
                <w:bCs/>
                <w:color w:val="auto"/>
                <w:szCs w:val="21"/>
                <w:highlight w:val="none"/>
              </w:rPr>
              <w:t>方案讲解演示</w:t>
            </w:r>
          </w:p>
        </w:tc>
        <w:tc>
          <w:tcPr>
            <w:tcW w:w="7737" w:type="dxa"/>
            <w:vAlign w:val="center"/>
          </w:tcPr>
          <w:p w14:paraId="1490A9FD">
            <w:pPr>
              <w:spacing w:line="288" w:lineRule="auto"/>
              <w:rPr>
                <w:rFonts w:ascii="宋体" w:hAnsi="宋体" w:cs="宋体"/>
                <w:color w:val="auto"/>
                <w:szCs w:val="21"/>
                <w:highlight w:val="none"/>
              </w:rPr>
            </w:pPr>
            <w:r>
              <w:rPr>
                <w:rFonts w:ascii="宋体" w:hAnsi="宋体" w:cs="Arial"/>
                <w:color w:val="auto"/>
                <w:kern w:val="0"/>
                <w:szCs w:val="21"/>
                <w:highlight w:val="none"/>
              </w:rPr>
              <w:sym w:font="Wingdings" w:char="00FE"/>
            </w:r>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28B8E09A">
            <w:pPr>
              <w:spacing w:line="288" w:lineRule="auto"/>
              <w:rPr>
                <w:rFonts w:ascii="宋体" w:hAnsi="宋体" w:cs="宋体"/>
                <w:color w:val="auto"/>
                <w:kern w:val="0"/>
                <w:szCs w:val="21"/>
                <w:highlight w:val="none"/>
              </w:rPr>
            </w:pPr>
            <w:sdt>
              <w:sdtPr>
                <w:rPr>
                  <w:rFonts w:hint="eastAsia" w:ascii="宋体" w:hAnsi="宋体" w:cs="宋体"/>
                  <w:color w:val="auto"/>
                  <w:kern w:val="0"/>
                  <w:szCs w:val="21"/>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B组织。</w:t>
            </w:r>
          </w:p>
          <w:p w14:paraId="42E779D1">
            <w:pPr>
              <w:snapToGrid w:val="0"/>
              <w:spacing w:line="288" w:lineRule="auto"/>
              <w:rPr>
                <w:rFonts w:ascii="宋体" w:hAnsi="宋体" w:cs="宋体"/>
                <w:color w:val="auto"/>
                <w:kern w:val="0"/>
                <w:szCs w:val="21"/>
                <w:highlight w:val="none"/>
              </w:rPr>
            </w:pPr>
            <w:r>
              <w:rPr>
                <w:rFonts w:hint="eastAsia" w:ascii="宋体" w:hAnsi="宋体" w:cs="宋体"/>
                <w:color w:val="auto"/>
                <w:kern w:val="0"/>
                <w:szCs w:val="21"/>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66E2182F">
            <w:pPr>
              <w:snapToGrid w:val="0"/>
              <w:spacing w:line="288" w:lineRule="auto"/>
              <w:rPr>
                <w:rFonts w:ascii="宋体" w:hAnsi="宋体" w:cs="宋体"/>
                <w:color w:val="auto"/>
                <w:kern w:val="0"/>
                <w:szCs w:val="21"/>
                <w:highlight w:val="none"/>
              </w:rPr>
            </w:pPr>
            <w:r>
              <w:rPr>
                <w:rFonts w:hint="eastAsia" w:ascii="宋体" w:hAnsi="宋体" w:cs="宋体"/>
                <w:color w:val="auto"/>
                <w:kern w:val="0"/>
                <w:szCs w:val="21"/>
                <w:highlight w:val="none"/>
              </w:rPr>
              <w:t>（2）方案讲解演示可选择以下其中一种方式：</w:t>
            </w:r>
          </w:p>
          <w:p w14:paraId="45FB7393">
            <w:pPr>
              <w:snapToGrid w:val="0"/>
              <w:spacing w:line="288" w:lineRule="auto"/>
              <w:rPr>
                <w:rFonts w:ascii="宋体" w:hAnsi="宋体" w:cs="宋体"/>
                <w:color w:val="auto"/>
                <w:kern w:val="0"/>
                <w:szCs w:val="21"/>
                <w:highlight w:val="none"/>
              </w:rPr>
            </w:pPr>
            <w:r>
              <w:rPr>
                <w:rFonts w:hint="eastAsia" w:ascii="宋体" w:hAnsi="宋体" w:cs="宋体"/>
                <w:color w:val="auto"/>
                <w:kern w:val="0"/>
                <w:szCs w:val="21"/>
                <w:highlight w:val="none"/>
              </w:rPr>
              <w:t>方式一：政采云平台在线讲解演示。政采云平台在线讲解需投标人根据政采云平台操作要求做好准备工作，提前完善软硬件配置环境。</w:t>
            </w:r>
          </w:p>
          <w:p w14:paraId="7383F8FC">
            <w:pPr>
              <w:snapToGrid w:val="0"/>
              <w:spacing w:line="288" w:lineRule="auto"/>
              <w:rPr>
                <w:rFonts w:ascii="宋体" w:hAnsi="宋体" w:cs="宋体"/>
                <w:color w:val="auto"/>
                <w:kern w:val="0"/>
                <w:szCs w:val="21"/>
                <w:highlight w:val="none"/>
              </w:rPr>
            </w:pPr>
            <w:r>
              <w:rPr>
                <w:rFonts w:hint="eastAsia" w:ascii="宋体" w:hAnsi="宋体" w:cs="宋体"/>
                <w:color w:val="auto"/>
                <w:kern w:val="0"/>
                <w:szCs w:val="21"/>
                <w:highlight w:val="none"/>
              </w:rPr>
              <w:t>方式二：交易中心现场讲解演示。现场讲解地点为</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，讲解演示所用电脑等设备由投标人自备。现场讲解演示人员进场时提供讲解人员名单（加盖公章或授权代表签名）及身份证明，否则不得讲解演示。</w:t>
            </w:r>
          </w:p>
          <w:p w14:paraId="242EF176">
            <w:pPr>
              <w:snapToGrid w:val="0"/>
              <w:spacing w:line="288" w:lineRule="auto"/>
              <w:rPr>
                <w:rFonts w:ascii="宋体" w:hAnsi="宋体" w:cs="宋体"/>
                <w:b/>
                <w:color w:val="auto"/>
                <w:kern w:val="0"/>
                <w:szCs w:val="21"/>
                <w:highlight w:val="none"/>
                <w:lang w:val="zh-CN"/>
              </w:rPr>
            </w:pPr>
            <w:r>
              <w:rPr>
                <w:rFonts w:hint="eastAsia" w:ascii="宋体" w:hAnsi="宋体" w:cs="宋体"/>
                <w:color w:val="auto"/>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CD7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670" w:type="dxa"/>
            <w:vAlign w:val="center"/>
          </w:tcPr>
          <w:p w14:paraId="0ADD63E3">
            <w:pPr>
              <w:snapToGrid w:val="0"/>
              <w:spacing w:line="288" w:lineRule="auto"/>
              <w:jc w:val="center"/>
              <w:rPr>
                <w:rFonts w:ascii="宋体" w:hAnsi="宋体" w:cs="宋体"/>
                <w:color w:val="auto"/>
                <w:szCs w:val="21"/>
                <w:highlight w:val="none"/>
              </w:rPr>
            </w:pPr>
          </w:p>
          <w:p w14:paraId="2CDC3AF4">
            <w:pPr>
              <w:snapToGrid w:val="0"/>
              <w:spacing w:line="288" w:lineRule="auto"/>
              <w:jc w:val="center"/>
              <w:rPr>
                <w:rFonts w:ascii="宋体" w:hAnsi="宋体" w:cs="宋体"/>
                <w:color w:val="auto"/>
                <w:szCs w:val="21"/>
                <w:highlight w:val="none"/>
              </w:rPr>
            </w:pPr>
          </w:p>
          <w:p w14:paraId="26D5879C">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279" w:type="dxa"/>
            <w:vAlign w:val="center"/>
          </w:tcPr>
          <w:p w14:paraId="4E0FF4CB">
            <w:pPr>
              <w:snapToGrid w:val="0"/>
              <w:spacing w:line="288" w:lineRule="auto"/>
              <w:jc w:val="center"/>
              <w:rPr>
                <w:rFonts w:ascii="宋体" w:hAnsi="宋体" w:cs="宋体"/>
                <w:bCs/>
                <w:color w:val="auto"/>
                <w:szCs w:val="21"/>
                <w:highlight w:val="none"/>
              </w:rPr>
            </w:pPr>
            <w:r>
              <w:rPr>
                <w:rFonts w:hint="eastAsia" w:ascii="宋体" w:hAnsi="宋体" w:cs="宋体"/>
                <w:bCs/>
                <w:color w:val="auto"/>
                <w:szCs w:val="21"/>
                <w:highlight w:val="none"/>
              </w:rPr>
              <w:t>投标人应当提供的资格、资信证明文件</w:t>
            </w:r>
          </w:p>
        </w:tc>
        <w:tc>
          <w:tcPr>
            <w:tcW w:w="7737" w:type="dxa"/>
            <w:vAlign w:val="center"/>
          </w:tcPr>
          <w:p w14:paraId="12D41B73">
            <w:pPr>
              <w:spacing w:line="288" w:lineRule="auto"/>
              <w:rPr>
                <w:rFonts w:ascii="宋体" w:hAnsi="宋体" w:cs="宋体"/>
                <w:b/>
                <w:bCs/>
                <w:color w:val="auto"/>
                <w:szCs w:val="21"/>
                <w:highlight w:val="none"/>
              </w:rPr>
            </w:pPr>
            <w:r>
              <w:rPr>
                <w:rFonts w:hint="eastAsia" w:ascii="宋体" w:hAnsi="宋体" w:cs="宋体"/>
                <w:color w:val="auto"/>
                <w:szCs w:val="21"/>
                <w:highlight w:val="none"/>
              </w:rPr>
              <w:t>（1）资格证明文件：</w:t>
            </w:r>
            <w:r>
              <w:rPr>
                <w:rFonts w:hint="eastAsia" w:ascii="宋体" w:hAnsi="宋体" w:cs="宋体"/>
                <w:b/>
                <w:bCs/>
                <w:color w:val="auto"/>
                <w:szCs w:val="21"/>
                <w:highlight w:val="none"/>
              </w:rPr>
              <w:t>见采购文件第二章11.1。</w:t>
            </w:r>
          </w:p>
          <w:p w14:paraId="3A3ACC6B">
            <w:pPr>
              <w:spacing w:line="288" w:lineRule="auto"/>
              <w:rPr>
                <w:rFonts w:ascii="宋体" w:hAnsi="宋体" w:cs="宋体"/>
                <w:color w:val="auto"/>
                <w:kern w:val="0"/>
                <w:szCs w:val="21"/>
                <w:highlight w:val="none"/>
                <w:lang w:val="zh-CN"/>
              </w:rPr>
            </w:pPr>
            <w:r>
              <w:rPr>
                <w:rFonts w:hint="eastAsia" w:ascii="宋体" w:hAnsi="宋体" w:cs="宋体"/>
                <w:b/>
                <w:bCs/>
                <w:color w:val="auto"/>
                <w:kern w:val="0"/>
                <w:szCs w:val="21"/>
                <w:highlight w:val="none"/>
                <w:lang w:val="zh-CN"/>
              </w:rPr>
              <w:t>投标人未提供有效的资格证明文件的，视为投标人不具备采购文件中规定的资格要求，投标无效</w:t>
            </w:r>
            <w:r>
              <w:rPr>
                <w:rFonts w:hint="eastAsia" w:ascii="宋体" w:hAnsi="宋体" w:cs="宋体"/>
                <w:color w:val="auto"/>
                <w:kern w:val="0"/>
                <w:szCs w:val="21"/>
                <w:highlight w:val="none"/>
                <w:lang w:val="zh-CN"/>
              </w:rPr>
              <w:t>。</w:t>
            </w:r>
          </w:p>
          <w:p w14:paraId="590B78C0">
            <w:pPr>
              <w:spacing w:line="288" w:lineRule="auto"/>
              <w:rPr>
                <w:rFonts w:ascii="宋体" w:hAnsi="宋体" w:cs="宋体"/>
                <w:snapToGrid w:val="0"/>
                <w:color w:val="auto"/>
                <w:kern w:val="0"/>
                <w:szCs w:val="21"/>
                <w:highlight w:val="none"/>
              </w:rPr>
            </w:pPr>
            <w:r>
              <w:rPr>
                <w:rFonts w:hint="eastAsia" w:ascii="宋体" w:hAnsi="宋体" w:cs="宋体"/>
                <w:color w:val="auto"/>
                <w:szCs w:val="21"/>
                <w:highlight w:val="none"/>
              </w:rPr>
              <w:t>（2）资信证明文件：根据采购文件第四章评标标准提供。</w:t>
            </w:r>
          </w:p>
        </w:tc>
      </w:tr>
      <w:tr w14:paraId="54B6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70" w:type="dxa"/>
            <w:vAlign w:val="center"/>
          </w:tcPr>
          <w:p w14:paraId="117CC7B3">
            <w:pPr>
              <w:snapToGrid w:val="0"/>
              <w:spacing w:line="288" w:lineRule="auto"/>
              <w:jc w:val="center"/>
              <w:rPr>
                <w:rFonts w:ascii="宋体" w:hAnsi="宋体" w:cs="宋体"/>
                <w:color w:val="auto"/>
                <w:szCs w:val="21"/>
                <w:highlight w:val="none"/>
              </w:rPr>
            </w:pPr>
          </w:p>
          <w:p w14:paraId="0C4BB262">
            <w:pPr>
              <w:snapToGrid w:val="0"/>
              <w:spacing w:line="288" w:lineRule="auto"/>
              <w:jc w:val="center"/>
              <w:rPr>
                <w:rFonts w:ascii="宋体" w:hAnsi="宋体" w:cs="宋体"/>
                <w:color w:val="auto"/>
                <w:szCs w:val="21"/>
                <w:highlight w:val="none"/>
              </w:rPr>
            </w:pPr>
          </w:p>
          <w:p w14:paraId="26725468">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279" w:type="dxa"/>
            <w:vAlign w:val="center"/>
          </w:tcPr>
          <w:p w14:paraId="5C721A6C">
            <w:pPr>
              <w:snapToGrid w:val="0"/>
              <w:spacing w:line="288" w:lineRule="auto"/>
              <w:jc w:val="center"/>
              <w:rPr>
                <w:rFonts w:ascii="宋体" w:hAnsi="宋体" w:cs="宋体"/>
                <w:bCs/>
                <w:color w:val="auto"/>
                <w:szCs w:val="21"/>
                <w:highlight w:val="none"/>
              </w:rPr>
            </w:pPr>
            <w:r>
              <w:rPr>
                <w:rFonts w:hint="eastAsia" w:ascii="宋体" w:hAnsi="宋体" w:cs="宋体"/>
                <w:bCs/>
                <w:color w:val="auto"/>
                <w:szCs w:val="21"/>
                <w:highlight w:val="none"/>
              </w:rPr>
              <w:t>节能产品、环境标志产品</w:t>
            </w:r>
          </w:p>
        </w:tc>
        <w:tc>
          <w:tcPr>
            <w:tcW w:w="7737" w:type="dxa"/>
            <w:vAlign w:val="center"/>
          </w:tcPr>
          <w:p w14:paraId="2FB40747">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030E418">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☐强制采购。产品：    </w:t>
            </w:r>
          </w:p>
          <w:p w14:paraId="0AFF5594">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□优先采购节能产品。产品：   </w:t>
            </w:r>
          </w:p>
          <w:p w14:paraId="20BF54AD">
            <w:pPr>
              <w:snapToGrid w:val="0"/>
              <w:spacing w:line="288"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□优先采购环保产品。产品：    </w:t>
            </w:r>
          </w:p>
          <w:p w14:paraId="49E0315F">
            <w:pPr>
              <w:snapToGrid w:val="0"/>
              <w:spacing w:line="288" w:lineRule="auto"/>
              <w:rPr>
                <w:rFonts w:ascii="宋体" w:hAnsi="宋体" w:cs="宋体"/>
                <w:color w:val="auto"/>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无</w:t>
            </w:r>
          </w:p>
        </w:tc>
      </w:tr>
      <w:tr w14:paraId="468A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7" w:hRule="atLeast"/>
        </w:trPr>
        <w:tc>
          <w:tcPr>
            <w:tcW w:w="670" w:type="dxa"/>
            <w:vAlign w:val="center"/>
          </w:tcPr>
          <w:p w14:paraId="206E572D">
            <w:pPr>
              <w:snapToGrid w:val="0"/>
              <w:spacing w:line="288" w:lineRule="auto"/>
              <w:jc w:val="center"/>
              <w:rPr>
                <w:rFonts w:ascii="宋体" w:hAnsi="宋体" w:cs="宋体"/>
                <w:color w:val="auto"/>
                <w:szCs w:val="21"/>
                <w:highlight w:val="none"/>
              </w:rPr>
            </w:pPr>
          </w:p>
          <w:p w14:paraId="347D9BC6">
            <w:pPr>
              <w:snapToGrid w:val="0"/>
              <w:spacing w:line="288" w:lineRule="auto"/>
              <w:jc w:val="center"/>
              <w:rPr>
                <w:rFonts w:ascii="宋体" w:hAnsi="宋体" w:cs="宋体"/>
                <w:color w:val="auto"/>
                <w:szCs w:val="21"/>
                <w:highlight w:val="none"/>
              </w:rPr>
            </w:pPr>
          </w:p>
          <w:p w14:paraId="750D1F66">
            <w:pPr>
              <w:snapToGrid w:val="0"/>
              <w:spacing w:line="288" w:lineRule="auto"/>
              <w:jc w:val="center"/>
              <w:rPr>
                <w:rFonts w:ascii="宋体" w:hAnsi="宋体" w:cs="宋体"/>
                <w:color w:val="auto"/>
                <w:szCs w:val="21"/>
                <w:highlight w:val="none"/>
              </w:rPr>
            </w:pPr>
          </w:p>
          <w:p w14:paraId="3BE30185">
            <w:pPr>
              <w:snapToGrid w:val="0"/>
              <w:spacing w:line="288" w:lineRule="auto"/>
              <w:jc w:val="center"/>
              <w:rPr>
                <w:rFonts w:ascii="宋体" w:hAnsi="宋体" w:cs="宋体"/>
                <w:color w:val="auto"/>
                <w:szCs w:val="21"/>
                <w:highlight w:val="none"/>
              </w:rPr>
            </w:pPr>
          </w:p>
          <w:p w14:paraId="3F37CDAE">
            <w:pPr>
              <w:snapToGrid w:val="0"/>
              <w:spacing w:line="288" w:lineRule="auto"/>
              <w:jc w:val="center"/>
              <w:rPr>
                <w:rFonts w:ascii="宋体" w:hAnsi="宋体" w:cs="宋体"/>
                <w:color w:val="auto"/>
                <w:szCs w:val="21"/>
                <w:highlight w:val="none"/>
              </w:rPr>
            </w:pPr>
          </w:p>
          <w:p w14:paraId="575A2DE6">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279" w:type="dxa"/>
            <w:vAlign w:val="center"/>
          </w:tcPr>
          <w:p w14:paraId="4D39859E">
            <w:pPr>
              <w:snapToGrid w:val="0"/>
              <w:spacing w:line="288" w:lineRule="auto"/>
              <w:jc w:val="center"/>
              <w:rPr>
                <w:rFonts w:ascii="宋体" w:hAnsi="宋体" w:cs="宋体"/>
                <w:bCs/>
                <w:color w:val="auto"/>
                <w:szCs w:val="21"/>
                <w:highlight w:val="none"/>
              </w:rPr>
            </w:pPr>
            <w:r>
              <w:rPr>
                <w:rFonts w:hint="eastAsia" w:ascii="宋体" w:hAnsi="宋体" w:cs="宋体"/>
                <w:bCs/>
                <w:color w:val="auto"/>
                <w:szCs w:val="21"/>
                <w:highlight w:val="none"/>
              </w:rPr>
              <w:t>报价要求</w:t>
            </w:r>
          </w:p>
        </w:tc>
        <w:tc>
          <w:tcPr>
            <w:tcW w:w="7737" w:type="dxa"/>
            <w:vAlign w:val="center"/>
          </w:tcPr>
          <w:p w14:paraId="182F21B0">
            <w:pPr>
              <w:snapToGrid w:val="0"/>
              <w:spacing w:line="288" w:lineRule="auto"/>
              <w:jc w:val="left"/>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zh-CN"/>
              </w:rPr>
              <w:t>）有关本项目实施所需的所有费用（含税费）均计入报价。</w:t>
            </w:r>
            <w:r>
              <w:rPr>
                <w:rFonts w:hint="eastAsia" w:ascii="宋体" w:hAnsi="宋体" w:cs="宋体"/>
                <w:b/>
                <w:bCs/>
                <w:color w:val="auto"/>
                <w:kern w:val="0"/>
                <w:szCs w:val="21"/>
                <w:highlight w:val="none"/>
                <w:lang w:val="zh-CN"/>
              </w:rPr>
              <w:t>投标文件</w:t>
            </w:r>
            <w:r>
              <w:rPr>
                <w:rFonts w:hint="eastAsia" w:ascii="宋体" w:hAnsi="宋体" w:cs="宋体"/>
                <w:b/>
                <w:bCs/>
                <w:color w:val="auto"/>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Cs w:val="21"/>
                <w:highlight w:val="none"/>
                <w:lang w:val="zh-CN"/>
              </w:rPr>
              <w:t>投标文件中价格全部采用人民币报价。采购文件未列明，而投标人认为必需的费用也需列入报价。</w:t>
            </w:r>
          </w:p>
          <w:p w14:paraId="5AF5EEE1">
            <w:pPr>
              <w:snapToGrid w:val="0"/>
              <w:spacing w:line="288" w:lineRule="auto"/>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w:t>
            </w:r>
            <w:r>
              <w:rPr>
                <w:rFonts w:hint="eastAsia" w:ascii="宋体" w:hAnsi="宋体" w:cs="宋体"/>
                <w:b/>
                <w:color w:val="auto"/>
                <w:kern w:val="0"/>
                <w:szCs w:val="21"/>
                <w:highlight w:val="none"/>
              </w:rPr>
              <w:t>2</w:t>
            </w:r>
            <w:r>
              <w:rPr>
                <w:rFonts w:hint="eastAsia" w:ascii="宋体" w:hAnsi="宋体" w:cs="宋体"/>
                <w:b/>
                <w:color w:val="auto"/>
                <w:kern w:val="0"/>
                <w:szCs w:val="21"/>
                <w:highlight w:val="none"/>
                <w:lang w:val="zh-CN"/>
              </w:rPr>
              <w:t>）投标报价出现下列情形的，投标无效：</w:t>
            </w:r>
          </w:p>
          <w:p w14:paraId="6EB45AC5">
            <w:pPr>
              <w:snapToGrid w:val="0"/>
              <w:spacing w:line="288" w:lineRule="auto"/>
              <w:ind w:firstLine="211" w:firstLineChars="100"/>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rPr>
              <w:t>1）</w:t>
            </w:r>
            <w:r>
              <w:rPr>
                <w:rFonts w:hint="eastAsia" w:ascii="宋体" w:hAnsi="宋体" w:cs="宋体"/>
                <w:b/>
                <w:color w:val="auto"/>
                <w:kern w:val="0"/>
                <w:szCs w:val="21"/>
                <w:highlight w:val="none"/>
                <w:lang w:val="zh-CN"/>
              </w:rPr>
              <w:t>投标文件出现不是唯一的、有选择性投标报价的；</w:t>
            </w:r>
          </w:p>
          <w:p w14:paraId="4895ED77">
            <w:pPr>
              <w:snapToGrid w:val="0"/>
              <w:spacing w:line="288" w:lineRule="auto"/>
              <w:ind w:firstLine="211" w:firstLineChars="100"/>
              <w:jc w:val="left"/>
              <w:rPr>
                <w:rFonts w:ascii="宋体" w:hAnsi="宋体" w:cs="宋体"/>
                <w:color w:val="auto"/>
                <w:kern w:val="0"/>
                <w:szCs w:val="21"/>
                <w:highlight w:val="none"/>
                <w:lang w:val="zh-CN"/>
              </w:rPr>
            </w:pPr>
            <w:r>
              <w:rPr>
                <w:rFonts w:hint="eastAsia" w:ascii="宋体" w:hAnsi="宋体" w:cs="宋体"/>
                <w:b/>
                <w:color w:val="auto"/>
                <w:kern w:val="0"/>
                <w:szCs w:val="21"/>
                <w:highlight w:val="none"/>
              </w:rPr>
              <w:t>2）</w:t>
            </w:r>
            <w:r>
              <w:rPr>
                <w:rFonts w:hint="eastAsia" w:ascii="宋体" w:hAnsi="宋体" w:cs="宋体"/>
                <w:b/>
                <w:color w:val="auto"/>
                <w:kern w:val="0"/>
                <w:szCs w:val="21"/>
                <w:highlight w:val="none"/>
                <w:lang w:val="zh-CN"/>
              </w:rPr>
              <w:t>投标报价超过采购文件中规定的预算金额或者最高限价的;</w:t>
            </w:r>
          </w:p>
          <w:p w14:paraId="7FAA623A">
            <w:pPr>
              <w:snapToGrid w:val="0"/>
              <w:spacing w:line="288" w:lineRule="auto"/>
              <w:ind w:firstLine="211" w:firstLineChars="100"/>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rPr>
              <w:t>3）报</w:t>
            </w:r>
            <w:r>
              <w:rPr>
                <w:rFonts w:hint="eastAsia" w:ascii="宋体" w:hAnsi="宋体" w:cs="宋体"/>
                <w:b/>
                <w:color w:val="auto"/>
                <w:kern w:val="0"/>
                <w:szCs w:val="21"/>
                <w:highlight w:val="none"/>
                <w:lang w:val="zh-CN"/>
              </w:rPr>
              <w:t>价明显低于其他通过符合性审查投标人的报价，有可能影响产品质量或者不能诚信履约的，未能按要求提供书面说明或者提交相关证明材料证明其报价合理性的;</w:t>
            </w:r>
          </w:p>
          <w:p w14:paraId="2426543F">
            <w:pPr>
              <w:snapToGrid w:val="0"/>
              <w:spacing w:line="288" w:lineRule="auto"/>
              <w:ind w:firstLine="211" w:firstLineChars="100"/>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4）投标人对根据修正原则修正后的报价不确认的</w:t>
            </w:r>
          </w:p>
          <w:p w14:paraId="5A9F7517">
            <w:pPr>
              <w:spacing w:line="288" w:lineRule="auto"/>
              <w:rPr>
                <w:rFonts w:ascii="宋体" w:hAnsi="宋体" w:cs="宋体"/>
                <w:color w:val="auto"/>
                <w:szCs w:val="21"/>
                <w:highlight w:val="none"/>
              </w:rPr>
            </w:pP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rPr>
              <w:t>3</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u w:val="single"/>
                <w:lang w:val="zh-CN"/>
              </w:rPr>
              <w:t>供应商报价低于项目预算（</w:t>
            </w:r>
            <w:r>
              <w:rPr>
                <w:rFonts w:hint="eastAsia" w:ascii="宋体" w:hAnsi="宋体" w:cs="宋体"/>
                <w:b/>
                <w:color w:val="auto"/>
                <w:kern w:val="0"/>
                <w:szCs w:val="21"/>
                <w:highlight w:val="none"/>
                <w:u w:val="single"/>
              </w:rPr>
              <w:t>最高限价</w:t>
            </w:r>
            <w:r>
              <w:rPr>
                <w:rFonts w:hint="eastAsia" w:ascii="宋体" w:hAnsi="宋体" w:cs="宋体"/>
                <w:b/>
                <w:color w:val="auto"/>
                <w:kern w:val="0"/>
                <w:szCs w:val="21"/>
                <w:highlight w:val="none"/>
                <w:u w:val="single"/>
                <w:lang w:val="zh-CN"/>
              </w:rPr>
              <w:t>）50%的，应当在报价文件中详细阐述不影响产品质量或者诚信履约的具体原因</w:t>
            </w:r>
            <w:r>
              <w:rPr>
                <w:rFonts w:hint="eastAsia" w:ascii="宋体" w:hAnsi="宋体" w:cs="宋体"/>
                <w:b/>
                <w:color w:val="auto"/>
                <w:kern w:val="0"/>
                <w:szCs w:val="21"/>
                <w:highlight w:val="none"/>
                <w:lang w:val="zh-CN"/>
              </w:rPr>
              <w:t>。</w:t>
            </w:r>
          </w:p>
        </w:tc>
      </w:tr>
      <w:tr w14:paraId="6249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70" w:type="dxa"/>
            <w:vAlign w:val="center"/>
          </w:tcPr>
          <w:p w14:paraId="6D8C45BD">
            <w:pPr>
              <w:snapToGrid w:val="0"/>
              <w:spacing w:line="288" w:lineRule="auto"/>
              <w:jc w:val="center"/>
              <w:rPr>
                <w:rFonts w:ascii="宋体" w:hAnsi="宋体" w:cs="宋体"/>
                <w:color w:val="auto"/>
                <w:szCs w:val="21"/>
                <w:highlight w:val="none"/>
              </w:rPr>
            </w:pPr>
          </w:p>
          <w:p w14:paraId="27E33B75">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1279" w:type="dxa"/>
            <w:vAlign w:val="center"/>
          </w:tcPr>
          <w:p w14:paraId="4BF4804A">
            <w:pPr>
              <w:snapToGrid w:val="0"/>
              <w:spacing w:line="288" w:lineRule="auto"/>
              <w:jc w:val="center"/>
              <w:rPr>
                <w:rFonts w:ascii="宋体" w:hAnsi="宋体" w:cs="宋体"/>
                <w:bCs/>
                <w:color w:val="auto"/>
                <w:szCs w:val="21"/>
                <w:highlight w:val="none"/>
              </w:rPr>
            </w:pPr>
            <w:r>
              <w:rPr>
                <w:rFonts w:hint="eastAsia" w:ascii="宋体" w:hAnsi="宋体" w:cs="宋体"/>
                <w:bCs/>
                <w:color w:val="auto"/>
                <w:szCs w:val="21"/>
                <w:highlight w:val="none"/>
              </w:rPr>
              <w:t>中小企业信用融资</w:t>
            </w:r>
          </w:p>
        </w:tc>
        <w:tc>
          <w:tcPr>
            <w:tcW w:w="7737" w:type="dxa"/>
            <w:vAlign w:val="center"/>
          </w:tcPr>
          <w:p w14:paraId="534F6CF3">
            <w:pPr>
              <w:spacing w:line="288"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4841467F">
            <w:pPr>
              <w:spacing w:line="288" w:lineRule="auto"/>
              <w:rPr>
                <w:rFonts w:ascii="宋体" w:hAnsi="宋体" w:cs="宋体"/>
                <w:color w:val="auto"/>
                <w:szCs w:val="21"/>
                <w:highlight w:val="none"/>
              </w:rPr>
            </w:pPr>
            <w:r>
              <w:rPr>
                <w:rFonts w:hint="eastAsia" w:ascii="宋体" w:hAnsi="宋体" w:cs="宋体"/>
                <w:snapToGrid w:val="0"/>
                <w:color w:val="auto"/>
                <w:kern w:val="28"/>
                <w:szCs w:val="21"/>
                <w:highlight w:val="none"/>
              </w:rPr>
              <w:t>（2）供应商中标后也可在“政采云”平台申请政采贷：操作路径：登录政采云平台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BCB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670" w:type="dxa"/>
            <w:vAlign w:val="center"/>
          </w:tcPr>
          <w:p w14:paraId="7EDF639F">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1279" w:type="dxa"/>
            <w:vAlign w:val="center"/>
          </w:tcPr>
          <w:p w14:paraId="78C3CBD9">
            <w:pPr>
              <w:snapToGrid w:val="0"/>
              <w:spacing w:line="288" w:lineRule="auto"/>
              <w:jc w:val="center"/>
              <w:rPr>
                <w:rFonts w:ascii="宋体" w:hAnsi="宋体" w:cs="宋体"/>
                <w:bCs/>
                <w:color w:val="auto"/>
                <w:szCs w:val="21"/>
                <w:highlight w:val="none"/>
              </w:rPr>
            </w:pPr>
            <w:r>
              <w:rPr>
                <w:rFonts w:hint="eastAsia" w:ascii="宋体" w:hAnsi="宋体" w:cs="宋体"/>
                <w:bCs/>
                <w:color w:val="auto"/>
                <w:szCs w:val="21"/>
                <w:highlight w:val="none"/>
              </w:rPr>
              <w:t>备份投标文件送达地点和签收人员</w:t>
            </w:r>
          </w:p>
        </w:tc>
        <w:tc>
          <w:tcPr>
            <w:tcW w:w="7737" w:type="dxa"/>
            <w:vAlign w:val="center"/>
          </w:tcPr>
          <w:p w14:paraId="6A318CF3">
            <w:pPr>
              <w:numPr>
                <w:ilvl w:val="0"/>
                <w:numId w:val="1"/>
              </w:numPr>
              <w:spacing w:line="288" w:lineRule="auto"/>
              <w:rPr>
                <w:rFonts w:ascii="宋体" w:hAnsi="宋体" w:cs="宋体"/>
                <w:color w:val="auto"/>
                <w:kern w:val="28"/>
                <w:szCs w:val="21"/>
                <w:highlight w:val="none"/>
              </w:rPr>
            </w:pPr>
            <w:r>
              <w:rPr>
                <w:rFonts w:hint="eastAsia" w:ascii="宋体" w:hAnsi="宋体" w:cs="宋体"/>
                <w:color w:val="auto"/>
                <w:kern w:val="28"/>
                <w:szCs w:val="21"/>
                <w:highlight w:val="none"/>
              </w:rPr>
              <w:t>备份投标文件送达地点：</w:t>
            </w:r>
            <w:r>
              <w:rPr>
                <w:rFonts w:hint="eastAsia" w:ascii="宋体" w:hAnsi="宋体" w:cs="宋体"/>
                <w:b/>
                <w:color w:val="auto"/>
                <w:szCs w:val="21"/>
                <w:highlight w:val="none"/>
                <w:u w:val="single"/>
              </w:rPr>
              <w:t>杭州市拱墅区文晖路42号现代置业大厦西楼1802室</w:t>
            </w:r>
            <w:r>
              <w:rPr>
                <w:rFonts w:hint="eastAsia" w:ascii="宋体" w:hAnsi="宋体" w:cs="宋体"/>
                <w:color w:val="auto"/>
                <w:szCs w:val="21"/>
                <w:highlight w:val="none"/>
                <w:u w:val="single"/>
              </w:rPr>
              <w:t xml:space="preserve"> </w:t>
            </w:r>
            <w:r>
              <w:rPr>
                <w:rFonts w:hint="eastAsia" w:ascii="宋体" w:hAnsi="宋体" w:cs="宋体"/>
                <w:color w:val="auto"/>
                <w:kern w:val="28"/>
                <w:szCs w:val="21"/>
                <w:highlight w:val="none"/>
              </w:rPr>
              <w:t>；</w:t>
            </w:r>
          </w:p>
          <w:p w14:paraId="18F49D71">
            <w:pPr>
              <w:numPr>
                <w:ilvl w:val="0"/>
                <w:numId w:val="1"/>
              </w:numPr>
              <w:spacing w:line="288" w:lineRule="auto"/>
              <w:rPr>
                <w:rFonts w:ascii="宋体" w:hAnsi="宋体" w:cs="宋体"/>
                <w:color w:val="auto"/>
                <w:kern w:val="28"/>
                <w:szCs w:val="21"/>
                <w:highlight w:val="none"/>
              </w:rPr>
            </w:pPr>
            <w:r>
              <w:rPr>
                <w:rFonts w:hint="eastAsia" w:ascii="宋体" w:hAnsi="宋体" w:cs="宋体"/>
                <w:color w:val="auto"/>
                <w:kern w:val="28"/>
                <w:szCs w:val="21"/>
                <w:highlight w:val="none"/>
              </w:rPr>
              <w:t>送达时间：</w:t>
            </w:r>
            <w:r>
              <w:rPr>
                <w:rFonts w:hint="eastAsia" w:ascii="宋体" w:hAnsi="宋体" w:cs="宋体"/>
                <w:b/>
                <w:color w:val="auto"/>
                <w:szCs w:val="21"/>
                <w:highlight w:val="none"/>
                <w:u w:val="single"/>
              </w:rPr>
              <w:t>投标截止时间前</w:t>
            </w:r>
          </w:p>
          <w:p w14:paraId="6BA1CA71">
            <w:pPr>
              <w:numPr>
                <w:ilvl w:val="0"/>
                <w:numId w:val="1"/>
              </w:numPr>
              <w:spacing w:line="288" w:lineRule="auto"/>
              <w:rPr>
                <w:rFonts w:ascii="宋体" w:hAnsi="宋体" w:cs="宋体"/>
                <w:color w:val="auto"/>
                <w:kern w:val="28"/>
                <w:szCs w:val="21"/>
                <w:highlight w:val="none"/>
              </w:rPr>
            </w:pPr>
            <w:r>
              <w:rPr>
                <w:rFonts w:hint="eastAsia" w:ascii="宋体" w:hAnsi="宋体" w:cs="宋体"/>
                <w:color w:val="auto"/>
                <w:kern w:val="28"/>
                <w:szCs w:val="21"/>
                <w:highlight w:val="none"/>
              </w:rPr>
              <w:t>备份投标文件签收人员联系电话：</w:t>
            </w:r>
            <w:r>
              <w:rPr>
                <w:rFonts w:hint="eastAsia" w:ascii="宋体" w:hAnsi="宋体" w:cs="宋体"/>
                <w:b/>
                <w:color w:val="auto"/>
                <w:szCs w:val="21"/>
                <w:highlight w:val="none"/>
                <w:u w:val="single"/>
              </w:rPr>
              <w:t>金哲熠、古益仲（0571-85830315、87631122）</w:t>
            </w:r>
            <w:r>
              <w:rPr>
                <w:rFonts w:hint="eastAsia" w:ascii="宋体" w:hAnsi="宋体" w:cs="宋体"/>
                <w:color w:val="auto"/>
                <w:szCs w:val="21"/>
                <w:highlight w:val="none"/>
              </w:rPr>
              <w:t>。</w:t>
            </w:r>
            <w:r>
              <w:rPr>
                <w:rFonts w:hint="eastAsia" w:ascii="宋体" w:hAnsi="宋体" w:cs="宋体"/>
                <w:b/>
                <w:color w:val="auto"/>
                <w:szCs w:val="21"/>
                <w:highlight w:val="none"/>
              </w:rPr>
              <w:t>采购人、采购代理机构不强制或变相强制投标人提交备份投标文件。</w:t>
            </w:r>
          </w:p>
        </w:tc>
      </w:tr>
      <w:tr w14:paraId="020F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0" w:type="dxa"/>
            <w:vAlign w:val="center"/>
          </w:tcPr>
          <w:p w14:paraId="51C45951">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1279" w:type="dxa"/>
            <w:vAlign w:val="center"/>
          </w:tcPr>
          <w:p w14:paraId="380C51EA">
            <w:pPr>
              <w:snapToGrid w:val="0"/>
              <w:spacing w:line="288" w:lineRule="auto"/>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tc>
        <w:tc>
          <w:tcPr>
            <w:tcW w:w="7737" w:type="dxa"/>
            <w:vAlign w:val="center"/>
          </w:tcPr>
          <w:p w14:paraId="7DBAAA70">
            <w:pPr>
              <w:spacing w:line="288" w:lineRule="auto"/>
              <w:ind w:firstLine="218" w:firstLineChars="104"/>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缴纳金额</w:t>
            </w:r>
            <w:r>
              <w:rPr>
                <w:rFonts w:hint="eastAsia" w:ascii="宋体" w:hAnsi="宋体" w:cs="宋体"/>
                <w:b/>
                <w:bCs/>
                <w:snapToGrid w:val="0"/>
                <w:color w:val="auto"/>
                <w:kern w:val="28"/>
                <w:szCs w:val="21"/>
                <w:highlight w:val="none"/>
              </w:rPr>
              <w:t>：</w:t>
            </w:r>
            <w:r>
              <w:rPr>
                <w:rFonts w:hint="eastAsia" w:ascii="宋体" w:hAnsi="宋体" w:cs="宋体"/>
                <w:b/>
                <w:color w:val="auto"/>
                <w:szCs w:val="21"/>
                <w:highlight w:val="none"/>
              </w:rPr>
              <w:t>本项目不需递交</w:t>
            </w:r>
          </w:p>
        </w:tc>
      </w:tr>
      <w:tr w14:paraId="66A7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14:paraId="1627AB75">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1279" w:type="dxa"/>
            <w:vAlign w:val="center"/>
          </w:tcPr>
          <w:p w14:paraId="32CC760F">
            <w:pPr>
              <w:snapToGrid w:val="0"/>
              <w:spacing w:line="288" w:lineRule="auto"/>
              <w:jc w:val="center"/>
              <w:rPr>
                <w:rFonts w:ascii="宋体" w:hAnsi="宋体" w:cs="宋体"/>
                <w:bCs/>
                <w:color w:val="auto"/>
                <w:szCs w:val="21"/>
                <w:highlight w:val="none"/>
              </w:rPr>
            </w:pPr>
            <w:r>
              <w:rPr>
                <w:rFonts w:hint="eastAsia" w:ascii="宋体" w:hAnsi="宋体" w:cs="宋体"/>
                <w:bCs/>
                <w:color w:val="auto"/>
                <w:szCs w:val="21"/>
                <w:highlight w:val="none"/>
              </w:rPr>
              <w:t>招标代理服务费收取标准或金额</w:t>
            </w:r>
          </w:p>
        </w:tc>
        <w:tc>
          <w:tcPr>
            <w:tcW w:w="7737" w:type="dxa"/>
            <w:vAlign w:val="center"/>
          </w:tcPr>
          <w:p w14:paraId="2E79821D">
            <w:pPr>
              <w:spacing w:line="288"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（1）支付方：中标供应商。</w:t>
            </w:r>
          </w:p>
          <w:p w14:paraId="1E8170B7">
            <w:pPr>
              <w:spacing w:line="288"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（2）收费标准：本次招标代理费由中标单位负责支付，招标代理服务费包含在投标总价中。本项目招标代理服务费按照</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"http://oa.zjsct.cn/formmode/view/AddFormMode.jsp?type=0&amp;modeId=52&amp;formId=-154&amp;billid=1" \o "" \t "http://oa.zjsct.cn/workflow/request/_blank"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rPr>
              <w:t>发改价格〔2011〕534号</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lang w:val="en-US" w:eastAsia="zh-CN"/>
              </w:rPr>
              <w:t>文服务类项目</w:t>
            </w:r>
            <w:r>
              <w:rPr>
                <w:rFonts w:hint="eastAsia" w:ascii="宋体" w:hAnsi="宋体" w:eastAsia="宋体" w:cs="宋体"/>
                <w:color w:val="auto"/>
                <w:szCs w:val="21"/>
                <w:highlight w:val="none"/>
              </w:rPr>
              <w:t>收</w:t>
            </w:r>
            <w:r>
              <w:rPr>
                <w:rFonts w:hint="eastAsia" w:ascii="宋体" w:hAnsi="宋体" w:cs="宋体"/>
                <w:color w:val="auto"/>
                <w:szCs w:val="21"/>
                <w:highlight w:val="none"/>
              </w:rPr>
              <w:t>费标准</w:t>
            </w:r>
            <w:r>
              <w:rPr>
                <w:rFonts w:hint="eastAsia" w:ascii="宋体" w:hAnsi="宋体" w:cs="宋体"/>
                <w:color w:val="auto"/>
                <w:szCs w:val="21"/>
                <w:highlight w:val="none"/>
                <w:lang w:val="en-US" w:eastAsia="zh-CN"/>
              </w:rPr>
              <w:t>80%</w:t>
            </w:r>
            <w:r>
              <w:rPr>
                <w:rFonts w:hint="eastAsia" w:ascii="宋体" w:hAnsi="宋体" w:cs="宋体"/>
                <w:color w:val="auto"/>
                <w:szCs w:val="21"/>
                <w:highlight w:val="none"/>
              </w:rPr>
              <w:t>计取，计算基数为</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金额。</w:t>
            </w:r>
          </w:p>
          <w:p w14:paraId="17D09B08">
            <w:pPr>
              <w:spacing w:line="288"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（3）缴纳时间：采购结果发布后</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5日内一次性缴纳。</w:t>
            </w:r>
          </w:p>
          <w:p w14:paraId="713B8A6C">
            <w:pPr>
              <w:spacing w:line="288"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（4）收取账户：浙江省成套招标代理有限公司（户名），7331610182600126385（</w:t>
            </w:r>
            <w:r>
              <w:rPr>
                <w:rFonts w:hint="eastAsia" w:ascii="宋体" w:hAnsi="宋体" w:cs="宋体"/>
                <w:color w:val="auto"/>
                <w:szCs w:val="21"/>
                <w:highlight w:val="none"/>
                <w:lang w:eastAsia="zh-CN"/>
              </w:rPr>
              <w:t>账号</w:t>
            </w:r>
            <w:r>
              <w:rPr>
                <w:rFonts w:hint="eastAsia" w:ascii="宋体" w:hAnsi="宋体" w:cs="宋体"/>
                <w:color w:val="auto"/>
                <w:szCs w:val="21"/>
                <w:highlight w:val="none"/>
              </w:rPr>
              <w:t>），中信银行杭州西湖支行（开户行）</w:t>
            </w:r>
          </w:p>
          <w:p w14:paraId="4023E6C2">
            <w:pPr>
              <w:spacing w:line="288"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（5）缴纳形式：电汇、转账、支票、汇票（不接受现金）</w:t>
            </w:r>
          </w:p>
          <w:p w14:paraId="0F1EF3EF">
            <w:pPr>
              <w:spacing w:line="288"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（6）特别说明：采购代理服务费缴纳凭证将作为采购人合同付款和验收的前提条件，中标供应商未按采购文件规定和投标承诺缴纳采购代理服务费的，合同款不予支付、验收不予通过。</w:t>
            </w:r>
          </w:p>
        </w:tc>
      </w:tr>
      <w:tr w14:paraId="1C47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670" w:type="dxa"/>
            <w:vAlign w:val="center"/>
          </w:tcPr>
          <w:p w14:paraId="171EDF4A">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1279" w:type="dxa"/>
            <w:vAlign w:val="center"/>
          </w:tcPr>
          <w:p w14:paraId="79304FDC">
            <w:pPr>
              <w:snapToGrid w:val="0"/>
              <w:spacing w:line="288" w:lineRule="auto"/>
              <w:jc w:val="center"/>
              <w:rPr>
                <w:rFonts w:ascii="宋体" w:hAnsi="宋体" w:cs="宋体"/>
                <w:bCs/>
                <w:color w:val="auto"/>
                <w:szCs w:val="21"/>
                <w:highlight w:val="none"/>
              </w:rPr>
            </w:pPr>
            <w:r>
              <w:rPr>
                <w:rFonts w:hint="eastAsia" w:ascii="宋体" w:hAnsi="宋体" w:cs="宋体"/>
                <w:bCs/>
                <w:color w:val="auto"/>
                <w:szCs w:val="21"/>
                <w:highlight w:val="none"/>
              </w:rPr>
              <w:t>特别说明</w:t>
            </w:r>
          </w:p>
        </w:tc>
        <w:tc>
          <w:tcPr>
            <w:tcW w:w="7737" w:type="dxa"/>
            <w:vAlign w:val="center"/>
          </w:tcPr>
          <w:p w14:paraId="16B0CBCE">
            <w:pPr>
              <w:spacing w:line="288" w:lineRule="auto"/>
              <w:rPr>
                <w:color w:val="auto"/>
                <w:highlight w:val="none"/>
              </w:rPr>
            </w:pPr>
            <w:r>
              <w:rPr>
                <w:rFonts w:hint="eastAsia"/>
                <w:color w:val="auto"/>
                <w:highlight w:val="none"/>
              </w:rPr>
              <w:t>（1）联合体投标的或者以分包方式履行合同的，联合体各方（供应商与分包供应商）分别提供与联合体协议（分包意向协议）中规定的分工内容相应的业绩证明材料，业绩数量以提供材料较少的一方为准。</w:t>
            </w:r>
          </w:p>
          <w:p w14:paraId="411C1534">
            <w:pPr>
              <w:spacing w:line="288" w:lineRule="auto"/>
              <w:rPr>
                <w:color w:val="auto"/>
                <w:highlight w:val="none"/>
              </w:rPr>
            </w:pPr>
            <w:r>
              <w:rPr>
                <w:rFonts w:hint="eastAsia"/>
                <w:color w:val="auto"/>
                <w:highlight w:val="none"/>
              </w:rPr>
              <w:t>（2）采购文件中所有加粗、加下划线及斜体的条款提请各供应商重点注意，因误读、漏读、错读采购文件内容而造成的一切后果，是供应商自身责任，采购人及采购代理机构不承担任何责任。</w:t>
            </w:r>
          </w:p>
          <w:p w14:paraId="5474FD56">
            <w:pPr>
              <w:pStyle w:val="26"/>
              <w:ind w:firstLine="0"/>
              <w:rPr>
                <w:color w:val="auto"/>
                <w:highlight w:val="none"/>
                <w:lang w:val="en-US"/>
              </w:rPr>
            </w:pPr>
            <w:r>
              <w:rPr>
                <w:rFonts w:hint="eastAsia" w:ascii="Times New Roman" w:hAnsi="Times New Roman"/>
                <w:color w:val="auto"/>
                <w:sz w:val="21"/>
                <w:szCs w:val="24"/>
                <w:highlight w:val="none"/>
                <w:lang w:val="en-US"/>
              </w:rPr>
              <w:t>（3）中标单位须</w:t>
            </w:r>
            <w:r>
              <w:rPr>
                <w:rFonts w:hint="eastAsia" w:ascii="Times New Roman" w:hAnsi="Times New Roman"/>
                <w:color w:val="auto"/>
                <w:sz w:val="21"/>
                <w:szCs w:val="24"/>
                <w:highlight w:val="none"/>
                <w:lang w:val="en-US" w:eastAsia="zh-CN"/>
              </w:rPr>
              <w:t>装订</w:t>
            </w:r>
            <w:r>
              <w:rPr>
                <w:rFonts w:hint="eastAsia" w:ascii="Times New Roman" w:hAnsi="Times New Roman"/>
                <w:color w:val="auto"/>
                <w:sz w:val="21"/>
                <w:szCs w:val="24"/>
                <w:highlight w:val="none"/>
                <w:lang w:val="en-US"/>
              </w:rPr>
              <w:t>三份（一正二副）投标文件给招标人存档，建议</w:t>
            </w:r>
            <w:r>
              <w:rPr>
                <w:rFonts w:hint="eastAsia" w:ascii="Times New Roman" w:hAnsi="Times New Roman"/>
                <w:color w:val="auto"/>
                <w:sz w:val="21"/>
                <w:szCs w:val="24"/>
                <w:highlight w:val="none"/>
                <w:lang w:val="en-US" w:eastAsia="zh-CN"/>
              </w:rPr>
              <w:t>装订</w:t>
            </w:r>
            <w:r>
              <w:rPr>
                <w:rFonts w:hint="eastAsia" w:ascii="Times New Roman" w:hAnsi="Times New Roman"/>
                <w:color w:val="auto"/>
                <w:sz w:val="21"/>
                <w:szCs w:val="24"/>
                <w:highlight w:val="none"/>
                <w:lang w:val="en-US"/>
              </w:rPr>
              <w:t>成一册。</w:t>
            </w:r>
          </w:p>
        </w:tc>
      </w:tr>
      <w:tr w14:paraId="2319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670" w:type="dxa"/>
            <w:vAlign w:val="center"/>
          </w:tcPr>
          <w:p w14:paraId="2BB6C9B6">
            <w:pPr>
              <w:snapToGrid w:val="0"/>
              <w:spacing w:line="288"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279" w:type="dxa"/>
            <w:vAlign w:val="center"/>
          </w:tcPr>
          <w:p w14:paraId="4989DC99">
            <w:pPr>
              <w:snapToGrid w:val="0"/>
              <w:spacing w:line="288"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中标候选人数量</w:t>
            </w:r>
          </w:p>
        </w:tc>
        <w:tc>
          <w:tcPr>
            <w:tcW w:w="7737" w:type="dxa"/>
            <w:vAlign w:val="center"/>
          </w:tcPr>
          <w:p w14:paraId="619202D8">
            <w:pPr>
              <w:pStyle w:val="26"/>
              <w:ind w:firstLine="0"/>
              <w:rPr>
                <w:rFonts w:hint="eastAsia" w:ascii="Times New Roman" w:hAnsi="Times New Roman"/>
                <w:color w:val="auto"/>
                <w:sz w:val="21"/>
                <w:szCs w:val="24"/>
                <w:highlight w:val="none"/>
                <w:lang w:val="en-US"/>
              </w:rPr>
            </w:pPr>
            <w:r>
              <w:rPr>
                <w:rFonts w:hint="eastAsia" w:ascii="Times New Roman" w:hAnsi="Times New Roman"/>
                <w:color w:val="auto"/>
                <w:sz w:val="21"/>
                <w:szCs w:val="24"/>
                <w:highlight w:val="none"/>
                <w:lang w:val="en-US"/>
              </w:rPr>
              <w:t>本项目推荐的中标候选人数量：</w:t>
            </w:r>
            <w:r>
              <w:rPr>
                <w:rFonts w:hint="eastAsia" w:ascii="Times New Roman" w:hAnsi="Times New Roman"/>
                <w:color w:val="auto"/>
                <w:sz w:val="21"/>
                <w:szCs w:val="24"/>
                <w:highlight w:val="none"/>
                <w:u w:val="single"/>
                <w:lang w:val="en-US"/>
              </w:rPr>
              <w:t xml:space="preserve"> </w:t>
            </w:r>
            <w:r>
              <w:rPr>
                <w:rFonts w:hint="eastAsia" w:ascii="Times New Roman" w:hAnsi="Times New Roman"/>
                <w:color w:val="auto"/>
                <w:sz w:val="21"/>
                <w:szCs w:val="24"/>
                <w:highlight w:val="none"/>
                <w:u w:val="single"/>
                <w:lang w:val="en-US" w:eastAsia="zh-CN"/>
              </w:rPr>
              <w:t>1</w:t>
            </w:r>
            <w:r>
              <w:rPr>
                <w:rFonts w:hint="eastAsia" w:ascii="Times New Roman" w:hAnsi="Times New Roman"/>
                <w:color w:val="auto"/>
                <w:sz w:val="21"/>
                <w:szCs w:val="24"/>
                <w:highlight w:val="none"/>
                <w:u w:val="single"/>
                <w:lang w:val="en-US"/>
              </w:rPr>
              <w:t xml:space="preserve"> </w:t>
            </w:r>
            <w:r>
              <w:rPr>
                <w:rFonts w:hint="eastAsia" w:ascii="Times New Roman" w:hAnsi="Times New Roman"/>
                <w:color w:val="auto"/>
                <w:sz w:val="21"/>
                <w:szCs w:val="24"/>
                <w:highlight w:val="none"/>
                <w:lang w:val="en-US"/>
              </w:rPr>
              <w:t xml:space="preserve"> 。</w:t>
            </w:r>
          </w:p>
        </w:tc>
      </w:tr>
    </w:tbl>
    <w:p w14:paraId="4793D7B8">
      <w:pPr>
        <w:pStyle w:val="60"/>
        <w:rPr>
          <w:rFonts w:ascii="宋体" w:hAnsi="宋体" w:cs="宋体"/>
          <w:color w:val="auto"/>
          <w:sz w:val="32"/>
          <w:highlight w:val="none"/>
        </w:rPr>
      </w:pPr>
    </w:p>
    <w:p w14:paraId="4B18DF11">
      <w:pPr>
        <w:rPr>
          <w:color w:val="auto"/>
          <w:highlight w:val="none"/>
        </w:rPr>
      </w:pPr>
    </w:p>
    <w:bookmarkEnd w:id="11"/>
    <w:p w14:paraId="3DA38214">
      <w:pPr>
        <w:rPr>
          <w:rFonts w:ascii="宋体" w:hAnsi="宋体" w:cs="宋体"/>
          <w:b/>
          <w:color w:val="auto"/>
          <w:sz w:val="32"/>
          <w:szCs w:val="20"/>
          <w:highlight w:val="none"/>
        </w:rPr>
      </w:pPr>
      <w:bookmarkStart w:id="14" w:name="_Toc164416483"/>
      <w:bookmarkStart w:id="15" w:name="第三部分"/>
      <w:r>
        <w:rPr>
          <w:rFonts w:hint="eastAsia" w:ascii="宋体" w:hAnsi="宋体" w:cs="宋体"/>
          <w:b/>
          <w:color w:val="auto"/>
          <w:sz w:val="32"/>
          <w:szCs w:val="20"/>
          <w:highlight w:val="none"/>
        </w:rPr>
        <w:br w:type="page"/>
      </w:r>
    </w:p>
    <w:p w14:paraId="607EB23C">
      <w:pPr>
        <w:snapToGrid w:val="0"/>
        <w:spacing w:before="120" w:beforeLines="50" w:after="120" w:afterLines="50" w:line="360" w:lineRule="auto"/>
        <w:ind w:left="16" w:hanging="16" w:hangingChars="5"/>
        <w:jc w:val="center"/>
        <w:outlineLvl w:val="1"/>
        <w:rPr>
          <w:rFonts w:ascii="宋体" w:hAnsi="宋体" w:cs="宋体"/>
          <w:b/>
          <w:color w:val="auto"/>
          <w:sz w:val="32"/>
          <w:szCs w:val="20"/>
          <w:highlight w:val="none"/>
        </w:rPr>
      </w:pPr>
      <w:bookmarkStart w:id="16" w:name="_Toc16178"/>
      <w:r>
        <w:rPr>
          <w:rFonts w:hint="eastAsia" w:ascii="宋体" w:hAnsi="宋体" w:cs="宋体"/>
          <w:b/>
          <w:color w:val="auto"/>
          <w:sz w:val="32"/>
          <w:szCs w:val="20"/>
          <w:highlight w:val="none"/>
        </w:rPr>
        <w:t>一、</w:t>
      </w:r>
      <w:r>
        <w:rPr>
          <w:rFonts w:hint="eastAsia" w:ascii="宋体" w:hAnsi="宋体" w:cs="宋体"/>
          <w:b/>
          <w:color w:val="auto"/>
          <w:sz w:val="32"/>
          <w:highlight w:val="none"/>
        </w:rPr>
        <w:t>总则</w:t>
      </w:r>
      <w:bookmarkEnd w:id="16"/>
    </w:p>
    <w:p w14:paraId="7B2A12AE">
      <w:p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szCs w:val="21"/>
          <w:highlight w:val="none"/>
        </w:rPr>
        <w:t>1. 适用范围</w:t>
      </w:r>
    </w:p>
    <w:p w14:paraId="0779838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本采购文件适用于该项目的招标、投标、开标、资格审查及信用信息查询、评标、定标、合同、验收等行为（法律、法规另有规定的，从其规定）。</w:t>
      </w:r>
    </w:p>
    <w:p w14:paraId="6C96D4EF">
      <w:pPr>
        <w:numPr>
          <w:ilvl w:val="0"/>
          <w:numId w:val="2"/>
        </w:num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szCs w:val="21"/>
          <w:highlight w:val="none"/>
        </w:rPr>
        <w:t>定义</w:t>
      </w:r>
    </w:p>
    <w:p w14:paraId="6D76AEE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w:t>
      </w:r>
      <w:r>
        <w:rPr>
          <w:rFonts w:hint="eastAsia" w:ascii="宋体" w:hAnsi="宋体" w:cs="宋体"/>
          <w:b/>
          <w:bCs/>
          <w:color w:val="auto"/>
          <w:szCs w:val="21"/>
          <w:highlight w:val="none"/>
        </w:rPr>
        <w:t>采购人</w:t>
      </w:r>
      <w:r>
        <w:rPr>
          <w:rFonts w:hint="eastAsia" w:ascii="宋体" w:hAnsi="宋体" w:cs="宋体"/>
          <w:color w:val="auto"/>
          <w:szCs w:val="21"/>
          <w:highlight w:val="none"/>
        </w:rPr>
        <w:t>”系指招标公告中载明的本项目的采购人。</w:t>
      </w:r>
    </w:p>
    <w:p w14:paraId="44C674A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w:t>
      </w:r>
      <w:r>
        <w:rPr>
          <w:rFonts w:hint="eastAsia" w:ascii="宋体" w:hAnsi="宋体" w:cs="宋体"/>
          <w:b/>
          <w:bCs/>
          <w:color w:val="auto"/>
          <w:szCs w:val="21"/>
          <w:highlight w:val="none"/>
        </w:rPr>
        <w:t>采购代理机构</w:t>
      </w:r>
      <w:r>
        <w:rPr>
          <w:rFonts w:hint="eastAsia" w:ascii="宋体" w:hAnsi="宋体" w:cs="宋体"/>
          <w:color w:val="auto"/>
          <w:szCs w:val="21"/>
          <w:highlight w:val="none"/>
        </w:rPr>
        <w:t>”系指招标公告中载明的本项目的采购代理机构。</w:t>
      </w:r>
    </w:p>
    <w:p w14:paraId="39D2533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w:t>
      </w:r>
      <w:r>
        <w:rPr>
          <w:rFonts w:hint="eastAsia" w:ascii="宋体" w:hAnsi="宋体" w:cs="宋体"/>
          <w:b/>
          <w:bCs/>
          <w:color w:val="auto"/>
          <w:szCs w:val="21"/>
          <w:highlight w:val="none"/>
        </w:rPr>
        <w:t>投标人</w:t>
      </w:r>
      <w:r>
        <w:rPr>
          <w:rFonts w:hint="eastAsia" w:ascii="宋体" w:hAnsi="宋体" w:cs="宋体"/>
          <w:color w:val="auto"/>
          <w:szCs w:val="21"/>
          <w:highlight w:val="none"/>
        </w:rPr>
        <w:t>”系指是指响应招标、参加投标竞争的法人、其他组织或者自然人。</w:t>
      </w:r>
    </w:p>
    <w:p w14:paraId="590245D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w:t>
      </w:r>
      <w:r>
        <w:rPr>
          <w:rFonts w:hint="eastAsia" w:ascii="宋体" w:hAnsi="宋体" w:cs="宋体"/>
          <w:b/>
          <w:bCs/>
          <w:color w:val="auto"/>
          <w:szCs w:val="21"/>
          <w:highlight w:val="none"/>
        </w:rPr>
        <w:t>负责人</w:t>
      </w:r>
      <w:r>
        <w:rPr>
          <w:rFonts w:hint="eastAsia" w:ascii="宋体" w:hAnsi="宋体" w:cs="宋体"/>
          <w:color w:val="auto"/>
          <w:szCs w:val="21"/>
          <w:highlight w:val="none"/>
        </w:rPr>
        <w:t>”系指法人企业的法定负责人，或其他组织为法律、行政法规规定代表单位行使职权的主要负责人，或自然人本人。</w:t>
      </w:r>
    </w:p>
    <w:p w14:paraId="75F04F8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w:t>
      </w:r>
      <w:r>
        <w:rPr>
          <w:rFonts w:hint="eastAsia" w:ascii="宋体" w:hAnsi="宋体" w:cs="宋体"/>
          <w:b/>
          <w:bCs/>
          <w:color w:val="auto"/>
          <w:szCs w:val="21"/>
          <w:highlight w:val="none"/>
        </w:rPr>
        <w:t>电子签名</w:t>
      </w:r>
      <w:r>
        <w:rPr>
          <w:rFonts w:hint="eastAsia" w:ascii="宋体" w:hAnsi="宋体" w:cs="宋体"/>
          <w:color w:val="auto"/>
          <w:szCs w:val="21"/>
          <w:highlight w:val="none"/>
        </w:rPr>
        <w:t>”系指数据电文中以电子形式所含、所附用于识别签名人身份并表明签名人认可其中内容的数据；“</w:t>
      </w:r>
      <w:r>
        <w:rPr>
          <w:rFonts w:hint="eastAsia" w:ascii="宋体" w:hAnsi="宋体" w:cs="宋体"/>
          <w:b/>
          <w:bCs/>
          <w:color w:val="auto"/>
          <w:szCs w:val="21"/>
          <w:highlight w:val="none"/>
        </w:rPr>
        <w:t>公章</w:t>
      </w:r>
      <w:r>
        <w:rPr>
          <w:rFonts w:hint="eastAsia" w:ascii="宋体" w:hAnsi="宋体" w:cs="宋体"/>
          <w:color w:val="auto"/>
          <w:szCs w:val="21"/>
          <w:highlight w:val="none"/>
        </w:rPr>
        <w:t>”系指单位法定名称章。因特殊原因需要使用冠以法定名称的业务专用章的，投标时须提供《业务专用章使用说明函》（附件4）。</w:t>
      </w:r>
    </w:p>
    <w:p w14:paraId="4D19C1E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2.6“</w:t>
      </w:r>
      <w:r>
        <w:rPr>
          <w:rFonts w:hint="eastAsia" w:ascii="宋体" w:hAnsi="宋体" w:cs="宋体"/>
          <w:b/>
          <w:bCs/>
          <w:color w:val="auto"/>
          <w:szCs w:val="21"/>
          <w:highlight w:val="none"/>
        </w:rPr>
        <w:t>电子交易平台</w:t>
      </w:r>
      <w:r>
        <w:rPr>
          <w:rFonts w:hint="eastAsia" w:ascii="宋体" w:hAnsi="宋体" w:cs="宋体"/>
          <w:color w:val="auto"/>
          <w:szCs w:val="21"/>
          <w:highlight w:val="none"/>
        </w:rPr>
        <w:t>”是指本项目政府采购活动所依托的政府采购云平台（https://www.zcygov.cn/）。</w:t>
      </w:r>
    </w:p>
    <w:p w14:paraId="55A30AC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2.7 “▲” </w:t>
      </w:r>
      <w:r>
        <w:rPr>
          <w:rFonts w:hint="eastAsia" w:ascii="宋体" w:hAnsi="宋体" w:cs="宋体"/>
          <w:b/>
          <w:bCs/>
          <w:color w:val="auto"/>
          <w:szCs w:val="21"/>
          <w:highlight w:val="none"/>
          <w:u w:val="single"/>
        </w:rPr>
        <w:t>系指实质性要求条款</w:t>
      </w:r>
      <w:r>
        <w:rPr>
          <w:rFonts w:hint="eastAsia" w:ascii="宋体" w:hAnsi="宋体" w:cs="宋体"/>
          <w:color w:val="auto"/>
          <w:szCs w:val="21"/>
          <w:highlight w:val="none"/>
        </w:rPr>
        <w:t>，“</w:t>
      </w:r>
      <w:sdt>
        <w:sdtPr>
          <w:rPr>
            <w:rFonts w:hint="eastAsia" w:ascii="宋体" w:hAnsi="宋体" w:cs="宋体"/>
            <w:color w:val="auto"/>
            <w:kern w:val="0"/>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szCs w:val="21"/>
          <w:highlight w:val="none"/>
        </w:rPr>
        <w:t>” 系指适用本项目的要求，“</w:t>
      </w:r>
      <w:sdt>
        <w:sdtPr>
          <w:rPr>
            <w:rFonts w:hint="eastAsia" w:ascii="宋体" w:hAnsi="宋体" w:cs="宋体"/>
            <w:color w:val="auto"/>
            <w:kern w:val="0"/>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szCs w:val="21"/>
          <w:highlight w:val="none"/>
        </w:rPr>
        <w:t>” 系指不适用本项目的要求。</w:t>
      </w:r>
    </w:p>
    <w:p w14:paraId="471F528F">
      <w:p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color w:val="auto"/>
          <w:szCs w:val="21"/>
          <w:highlight w:val="none"/>
        </w:rPr>
        <w:t xml:space="preserve"> </w:t>
      </w:r>
      <w:r>
        <w:rPr>
          <w:rFonts w:hint="eastAsia" w:ascii="宋体" w:hAnsi="宋体" w:cs="宋体"/>
          <w:b/>
          <w:color w:val="auto"/>
          <w:szCs w:val="21"/>
          <w:highlight w:val="none"/>
        </w:rPr>
        <w:t>采购项目需要落实的政府采购政策</w:t>
      </w:r>
    </w:p>
    <w:p w14:paraId="279FEF06">
      <w:pPr>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Cs w:val="21"/>
          <w:highlight w:val="none"/>
        </w:rPr>
        <w:t>优先采购向我国企业转让技术、与我国企业签订消化吸收再创新方案的供应商的进口产品</w:t>
      </w:r>
      <w:r>
        <w:rPr>
          <w:rFonts w:hint="eastAsia" w:ascii="宋体" w:hAnsi="宋体" w:cs="宋体"/>
          <w:color w:val="auto"/>
          <w:szCs w:val="21"/>
          <w:highlight w:val="none"/>
        </w:rPr>
        <w:t>。</w:t>
      </w:r>
    </w:p>
    <w:p w14:paraId="19F0BC97">
      <w:pPr>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3.2 支持绿色发展</w:t>
      </w:r>
    </w:p>
    <w:p w14:paraId="135D7A41">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w:t>
      </w:r>
      <w:r>
        <w:rPr>
          <w:rFonts w:hint="eastAsia" w:ascii="宋体" w:hAnsi="宋体" w:cs="宋体"/>
          <w:b/>
          <w:color w:val="auto"/>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064F827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修缮、装修类项目采购建材的，采购人应将绿色建筑和绿色建材性能、指标等作为实质性条件纳入采购文件和合同。</w:t>
      </w:r>
    </w:p>
    <w:p w14:paraId="008243D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BDC672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7581189">
      <w:pPr>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3.3支持中小企业发展</w:t>
      </w:r>
    </w:p>
    <w:p w14:paraId="1D79773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ACA8F1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6C329736">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3.3.2</w:t>
      </w:r>
      <w:r>
        <w:rPr>
          <w:rFonts w:hint="eastAsia" w:ascii="宋体" w:hAnsi="宋体" w:cs="宋体"/>
          <w:color w:val="auto"/>
          <w:kern w:val="0"/>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D65B1E1">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5075A68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3.3.3对于未预留份额专门面向中小企业的政府采购服务项目，以及预留份额政府采购服务项目中的非预留部分标项，对小型和微型企业的投标报价给</w:t>
      </w:r>
      <w:r>
        <w:rPr>
          <w:rFonts w:hint="eastAsia" w:ascii="宋体" w:hAnsi="宋体" w:cs="宋体"/>
          <w:color w:val="auto"/>
          <w:kern w:val="0"/>
          <w:szCs w:val="21"/>
          <w:highlight w:val="none"/>
        </w:rPr>
        <w:t>予</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0%的扣</w:t>
      </w:r>
      <w:r>
        <w:rPr>
          <w:rFonts w:hint="eastAsia" w:ascii="宋体" w:hAnsi="宋体" w:cs="宋体"/>
          <w:color w:val="auto"/>
          <w:szCs w:val="21"/>
          <w:highlight w:val="none"/>
        </w:rPr>
        <w:t>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F6CCB0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14:paraId="21DC8D5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EBA515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79D9B04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14:paraId="5B14884B">
      <w:pPr>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bCs/>
          <w:color w:val="auto"/>
          <w:szCs w:val="21"/>
          <w:highlight w:val="none"/>
        </w:rPr>
        <w:t>支持创新发展</w:t>
      </w:r>
    </w:p>
    <w:p w14:paraId="655C5CF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3.4.1 首台套、“制造精品”、“专精特新”等创新产品按规定享受政府采购支持政策。</w:t>
      </w:r>
    </w:p>
    <w:p w14:paraId="0D8D5C7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3.4.2采购人应当贯彻落实知识产权保护相关法律法规，应当采购使用正版软件。</w:t>
      </w:r>
    </w:p>
    <w:p w14:paraId="5C8C7BB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3.5平等对待内外资企业和符合条件的破产重整企业</w:t>
      </w:r>
    </w:p>
    <w:p w14:paraId="3BF6B264">
      <w:pPr>
        <w:snapToGrid w:val="0"/>
        <w:spacing w:line="360" w:lineRule="auto"/>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平等对待内外资企业和符合条件的破产重整企业，切实保障企业公平竞争，平等维护企业的合法利益。</w:t>
      </w:r>
    </w:p>
    <w:p w14:paraId="1453A670">
      <w:p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szCs w:val="21"/>
          <w:highlight w:val="none"/>
        </w:rPr>
        <w:t>4. 询问、质疑、投诉、补偿救济</w:t>
      </w:r>
    </w:p>
    <w:p w14:paraId="14A4F59F">
      <w:pPr>
        <w:autoSpaceDE w:val="0"/>
        <w:autoSpaceDN w:val="0"/>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B81FFB">
      <w:pPr>
        <w:autoSpaceDE w:val="0"/>
        <w:autoSpaceDN w:val="0"/>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4.2供应商询问</w:t>
      </w:r>
    </w:p>
    <w:p w14:paraId="597FD125">
      <w:pPr>
        <w:autoSpaceDE w:val="0"/>
        <w:autoSpaceDN w:val="0"/>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D59B9B2">
      <w:pPr>
        <w:autoSpaceDE w:val="0"/>
        <w:autoSpaceDN w:val="0"/>
        <w:snapToGrid w:val="0"/>
        <w:spacing w:line="360" w:lineRule="auto"/>
        <w:ind w:firstLine="210" w:firstLineChars="1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4.3供应商质疑</w:t>
      </w:r>
    </w:p>
    <w:p w14:paraId="6B29E412">
      <w:pPr>
        <w:pStyle w:val="7"/>
        <w:snapToGrid w:val="0"/>
        <w:spacing w:line="360" w:lineRule="auto"/>
        <w:ind w:firstLine="420" w:firstLineChars="200"/>
        <w:rPr>
          <w:rFonts w:hAnsi="宋体" w:cs="宋体"/>
          <w:color w:val="auto"/>
          <w:highlight w:val="none"/>
        </w:rPr>
      </w:pPr>
      <w:r>
        <w:rPr>
          <w:rFonts w:hint="eastAsia" w:hAnsi="宋体" w:cs="宋体"/>
          <w:color w:val="auto"/>
          <w:kern w:val="0"/>
          <w:highlight w:val="none"/>
          <w:lang w:val="zh-CN"/>
        </w:rPr>
        <w:t>4.3</w:t>
      </w:r>
      <w:r>
        <w:rPr>
          <w:rFonts w:hint="eastAsia" w:hAnsi="宋体" w:cs="宋体"/>
          <w:color w:val="auto"/>
          <w:highlight w:val="none"/>
        </w:rPr>
        <w:t>.1提出质疑的供应商应当是参与所质疑项目采购活动的供应商。潜在供应商已依法获取其可质疑的采购文件的，可以对该文件提出质疑。</w:t>
      </w:r>
    </w:p>
    <w:p w14:paraId="50CEADC0">
      <w:pPr>
        <w:pStyle w:val="7"/>
        <w:snapToGrid w:val="0"/>
        <w:spacing w:line="360" w:lineRule="auto"/>
        <w:ind w:firstLine="420" w:firstLineChars="200"/>
        <w:rPr>
          <w:rFonts w:hAnsi="宋体" w:cs="宋体"/>
          <w:color w:val="auto"/>
          <w:highlight w:val="none"/>
        </w:rPr>
      </w:pPr>
      <w:r>
        <w:rPr>
          <w:rFonts w:hint="eastAsia" w:hAnsi="宋体" w:cs="宋体"/>
          <w:color w:val="auto"/>
          <w:kern w:val="0"/>
          <w:highlight w:val="none"/>
          <w:lang w:val="zh-CN"/>
        </w:rPr>
        <w:t>4.3</w:t>
      </w:r>
      <w:r>
        <w:rPr>
          <w:rFonts w:hint="eastAsia" w:hAnsi="宋体" w:cs="宋体"/>
          <w:color w:val="auto"/>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470D6020">
      <w:pPr>
        <w:pStyle w:val="17"/>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4.3.2.1对采购文件提出质疑的，质疑期限为供应商获得采购文件之日或者采购文件公告期限届满之日起计算。</w:t>
      </w:r>
    </w:p>
    <w:p w14:paraId="7209A956">
      <w:pPr>
        <w:pStyle w:val="7"/>
        <w:snapToGrid w:val="0"/>
        <w:spacing w:line="360" w:lineRule="auto"/>
        <w:ind w:left="479" w:leftChars="228"/>
        <w:rPr>
          <w:rFonts w:hAnsi="宋体" w:cs="宋体"/>
          <w:color w:val="auto"/>
          <w:highlight w:val="none"/>
        </w:rPr>
      </w:pPr>
      <w:r>
        <w:rPr>
          <w:rFonts w:hint="eastAsia" w:hAnsi="宋体" w:cs="宋体"/>
          <w:color w:val="auto"/>
          <w:highlight w:val="none"/>
        </w:rPr>
        <w:t>4.3.2.2对采购过程提出质疑的，质疑期限为各采购程序环节结束之日起计算。4.3.2.3对采购结果提出质疑的，质疑期限自采购结果公告期限届满之日起计算。</w:t>
      </w:r>
    </w:p>
    <w:p w14:paraId="7053D95F">
      <w:pPr>
        <w:pStyle w:val="7"/>
        <w:snapToGrid w:val="0"/>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4.3.3</w:t>
      </w:r>
      <w:r>
        <w:rPr>
          <w:rFonts w:hint="eastAsia" w:hAnsi="宋体" w:cs="宋体"/>
          <w:color w:val="auto"/>
          <w:highlight w:val="none"/>
        </w:rPr>
        <w:t>供应商提出质疑应当提交质疑函和必要的证明材料。质疑函应当包括下列内容：</w:t>
      </w:r>
    </w:p>
    <w:p w14:paraId="3A526157">
      <w:pPr>
        <w:pStyle w:val="7"/>
        <w:snapToGrid w:val="0"/>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4.3.3.1供应商的姓名或者名称、地址、邮编、联系人及联系电话；</w:t>
      </w:r>
    </w:p>
    <w:p w14:paraId="7B6E1123">
      <w:pPr>
        <w:pStyle w:val="7"/>
        <w:snapToGrid w:val="0"/>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4.3.3.2质疑项目的名称、编号；</w:t>
      </w:r>
    </w:p>
    <w:p w14:paraId="75FD2857">
      <w:pPr>
        <w:pStyle w:val="7"/>
        <w:snapToGrid w:val="0"/>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4.3.3.3具体、明确的质疑事项和与质疑事项相关的请求；</w:t>
      </w:r>
    </w:p>
    <w:p w14:paraId="297C8696">
      <w:pPr>
        <w:pStyle w:val="7"/>
        <w:snapToGrid w:val="0"/>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4.3.3.4事实依据；</w:t>
      </w:r>
    </w:p>
    <w:p w14:paraId="08BE2787">
      <w:pPr>
        <w:pStyle w:val="7"/>
        <w:snapToGrid w:val="0"/>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4.3.3.5必要的法律依据；</w:t>
      </w:r>
    </w:p>
    <w:p w14:paraId="76A17455">
      <w:pPr>
        <w:pStyle w:val="7"/>
        <w:snapToGrid w:val="0"/>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4.3.3.6提出质疑的日期。</w:t>
      </w:r>
    </w:p>
    <w:p w14:paraId="3F3C98B5">
      <w:pPr>
        <w:pStyle w:val="889"/>
        <w:shd w:val="clear" w:color="auto" w:fill="FFFFFF"/>
        <w:snapToGrid w:val="0"/>
        <w:spacing w:before="0" w:beforeAutospacing="0" w:after="0" w:afterAutospacing="0" w:line="360" w:lineRule="auto"/>
        <w:ind w:firstLine="4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1A536446">
      <w:pPr>
        <w:pStyle w:val="889"/>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质疑函范本及制作说明详见附件2。</w:t>
      </w:r>
    </w:p>
    <w:p w14:paraId="3E6DE199">
      <w:pPr>
        <w:pStyle w:val="889"/>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34C53BBB">
      <w:pPr>
        <w:pStyle w:val="889"/>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9E5B9EF">
      <w:pPr>
        <w:pStyle w:val="889"/>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1FDA2253">
      <w:pPr>
        <w:pStyle w:val="889"/>
        <w:shd w:val="clear" w:color="auto" w:fill="FFFFFF"/>
        <w:snapToGrid w:val="0"/>
        <w:spacing w:after="24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14:paraId="143A58D6">
      <w:pPr>
        <w:pStyle w:val="889"/>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F52443C">
      <w:pPr>
        <w:pStyle w:val="889"/>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54F4D29C">
      <w:pPr>
        <w:pStyle w:val="889"/>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2BDEBC62">
      <w:pPr>
        <w:pStyle w:val="889"/>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4.4.4以联合体形式参加政府采购活动的，其投诉应当由组成联合体的所有供应商共同提出。</w:t>
      </w:r>
    </w:p>
    <w:p w14:paraId="5E99A366">
      <w:pPr>
        <w:pStyle w:val="889"/>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4.4.5浙江省本级、杭州市本级、拱墅区、富阳区政府采购项目投诉材料可寄送浙江省政府采购行政裁决服务中心（杭州），地址：杭州市上城区清泰街549号城建综合大楼11楼（快递仅限ems或顺丰），收件人：朱女士，电话：0571-87227671,0571-87800218。</w:t>
      </w:r>
    </w:p>
    <w:p w14:paraId="2EC2B3F3">
      <w:pPr>
        <w:pStyle w:val="889"/>
        <w:shd w:val="clear" w:color="auto" w:fill="FFFFFF"/>
        <w:snapToGrid w:val="0"/>
        <w:spacing w:after="24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rPr>
        <w:t>投</w:t>
      </w:r>
      <w:r>
        <w:rPr>
          <w:rFonts w:hint="eastAsia"/>
          <w:color w:val="auto"/>
          <w:sz w:val="21"/>
          <w:szCs w:val="21"/>
          <w:highlight w:val="none"/>
          <w:lang w:val="zh-CN"/>
        </w:rPr>
        <w:t>诉书范本及制作说明详见附件3。</w:t>
      </w:r>
    </w:p>
    <w:p w14:paraId="201695D8">
      <w:pPr>
        <w:pStyle w:val="889"/>
        <w:shd w:val="clear" w:color="auto" w:fill="FFFFFF"/>
        <w:snapToGrid w:val="0"/>
        <w:spacing w:after="24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4.5 补偿救济</w:t>
      </w:r>
    </w:p>
    <w:p w14:paraId="7F0C8D92">
      <w:pPr>
        <w:pStyle w:val="889"/>
        <w:shd w:val="clear" w:color="auto" w:fill="FFFFFF"/>
        <w:snapToGrid w:val="0"/>
        <w:spacing w:after="24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采购人因政策变化、规划调整而不履行政府采购合同的，供应商可依据《杭州市涉企补偿救济实施办法（试行）》向采购人提起补偿申请。</w:t>
      </w:r>
    </w:p>
    <w:p w14:paraId="14E61F9A">
      <w:pPr>
        <w:pStyle w:val="889"/>
        <w:shd w:val="clear" w:color="auto" w:fill="FFFFFF"/>
        <w:snapToGrid w:val="0"/>
        <w:spacing w:after="240" w:afterAutospacing="0" w:line="360" w:lineRule="auto"/>
        <w:ind w:firstLine="400"/>
        <w:contextualSpacing/>
        <w:rPr>
          <w:color w:val="auto"/>
          <w:sz w:val="21"/>
          <w:szCs w:val="21"/>
          <w:highlight w:val="none"/>
        </w:rPr>
      </w:pPr>
    </w:p>
    <w:p w14:paraId="5E3F632E">
      <w:pPr>
        <w:snapToGrid w:val="0"/>
        <w:spacing w:before="120" w:beforeLines="50" w:after="120" w:afterLines="50" w:line="360" w:lineRule="auto"/>
        <w:ind w:left="16" w:hanging="16" w:hangingChars="5"/>
        <w:jc w:val="center"/>
        <w:outlineLvl w:val="1"/>
        <w:rPr>
          <w:rFonts w:ascii="宋体" w:hAnsi="宋体" w:cs="宋体"/>
          <w:b/>
          <w:color w:val="auto"/>
          <w:sz w:val="32"/>
          <w:szCs w:val="20"/>
          <w:highlight w:val="none"/>
        </w:rPr>
      </w:pPr>
      <w:bookmarkStart w:id="17" w:name="_Toc20479"/>
      <w:r>
        <w:rPr>
          <w:rFonts w:hint="eastAsia" w:ascii="宋体" w:hAnsi="宋体" w:cs="宋体"/>
          <w:b/>
          <w:color w:val="auto"/>
          <w:sz w:val="32"/>
          <w:szCs w:val="20"/>
          <w:highlight w:val="none"/>
        </w:rPr>
        <w:t>二、采购文件的构成、澄清、修改</w:t>
      </w:r>
      <w:bookmarkEnd w:id="17"/>
    </w:p>
    <w:p w14:paraId="204B1C0F">
      <w:p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szCs w:val="21"/>
          <w:highlight w:val="none"/>
        </w:rPr>
        <w:t>5．采购文件的构成</w:t>
      </w:r>
    </w:p>
    <w:p w14:paraId="4D9368FF">
      <w:pPr>
        <w:pStyle w:val="7"/>
        <w:spacing w:line="360" w:lineRule="auto"/>
        <w:ind w:firstLine="420" w:firstLineChars="200"/>
        <w:rPr>
          <w:rFonts w:hAnsi="宋体" w:cs="宋体"/>
          <w:color w:val="auto"/>
          <w:highlight w:val="none"/>
        </w:rPr>
      </w:pPr>
      <w:r>
        <w:rPr>
          <w:rFonts w:hint="eastAsia" w:hAnsi="宋体" w:cs="宋体"/>
          <w:color w:val="auto"/>
          <w:highlight w:val="none"/>
        </w:rPr>
        <w:t>5.1 采购文件包括下列文件及附件：</w:t>
      </w:r>
    </w:p>
    <w:p w14:paraId="17D5F224">
      <w:pPr>
        <w:pStyle w:val="7"/>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5.1.1招标公告；</w:t>
      </w:r>
    </w:p>
    <w:p w14:paraId="2ED19E54">
      <w:pPr>
        <w:pStyle w:val="7"/>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5.1.2投标人须知；</w:t>
      </w:r>
    </w:p>
    <w:p w14:paraId="4BB1663E">
      <w:pPr>
        <w:pStyle w:val="7"/>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5.1.3采购需求；</w:t>
      </w:r>
    </w:p>
    <w:p w14:paraId="59479B78">
      <w:pPr>
        <w:pStyle w:val="7"/>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5.1.4评标办法；</w:t>
      </w:r>
    </w:p>
    <w:p w14:paraId="4391B890">
      <w:pPr>
        <w:pStyle w:val="7"/>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5.1.5拟签订的合同文本；</w:t>
      </w:r>
    </w:p>
    <w:p w14:paraId="49AE1E83">
      <w:pPr>
        <w:pStyle w:val="7"/>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5.1.6应提交的有关格式范例；</w:t>
      </w:r>
    </w:p>
    <w:p w14:paraId="14215E0A">
      <w:pPr>
        <w:pStyle w:val="7"/>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5.1.7 附件。</w:t>
      </w:r>
    </w:p>
    <w:p w14:paraId="183E36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澄清或者修改的内容为采购文件的组成部分</w:t>
      </w:r>
      <w:r>
        <w:rPr>
          <w:rFonts w:hint="eastAsia" w:ascii="宋体" w:hAnsi="宋体" w:cs="宋体"/>
          <w:color w:val="auto"/>
          <w:szCs w:val="21"/>
          <w:highlight w:val="none"/>
        </w:rPr>
        <w:t>。</w:t>
      </w:r>
    </w:p>
    <w:p w14:paraId="351961ED">
      <w:p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szCs w:val="21"/>
          <w:highlight w:val="none"/>
        </w:rPr>
        <w:t>6. 采购文件的澄清、修改</w:t>
      </w:r>
    </w:p>
    <w:p w14:paraId="1DEE92CC">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6.1已获取采购文件的潜在投标人，若有问题需要澄清，应于投标截止时间前，以书面形式向采购代理机构提出。</w:t>
      </w:r>
    </w:p>
    <w:p w14:paraId="571BFA7C">
      <w:pPr>
        <w:pStyle w:val="131"/>
        <w:snapToGrid w:val="0"/>
        <w:spacing w:before="0"/>
        <w:ind w:firstLine="420"/>
        <w:rPr>
          <w:rFonts w:hAnsi="宋体" w:cs="宋体"/>
          <w:color w:val="auto"/>
          <w:sz w:val="18"/>
          <w:szCs w:val="18"/>
          <w:highlight w:val="none"/>
        </w:rPr>
      </w:pPr>
      <w:r>
        <w:rPr>
          <w:rFonts w:hint="eastAsia" w:ascii="宋体" w:hAnsi="宋体" w:cs="宋体"/>
          <w:color w:val="auto"/>
          <w:sz w:val="21"/>
          <w:szCs w:val="21"/>
          <w:highlight w:val="none"/>
        </w:rPr>
        <w:t>6.2 采购代理机构对采购文件进行澄清或修改的，将同时通过电子交易平台通知已获取采购文件的潜在投标人。依法应当公告的，将按规定公告，同时视情况延长投标截止时间和开标时间。该澄清或者修改的内容为采购文件的组成部分。</w:t>
      </w:r>
      <w:r>
        <w:rPr>
          <w:rFonts w:hint="eastAsia" w:hAnsi="宋体" w:cs="宋体"/>
          <w:color w:val="auto"/>
          <w:szCs w:val="24"/>
          <w:highlight w:val="none"/>
        </w:rPr>
        <w:t xml:space="preserve">    </w:t>
      </w:r>
    </w:p>
    <w:p w14:paraId="2116EF39">
      <w:pPr>
        <w:snapToGrid w:val="0"/>
        <w:spacing w:before="120" w:beforeLines="50" w:after="120" w:afterLines="50" w:line="360" w:lineRule="auto"/>
        <w:ind w:left="15" w:hanging="15" w:hangingChars="5"/>
        <w:jc w:val="center"/>
        <w:outlineLvl w:val="1"/>
        <w:rPr>
          <w:rFonts w:ascii="宋体" w:hAnsi="宋体" w:cs="宋体"/>
          <w:b/>
          <w:color w:val="auto"/>
          <w:sz w:val="30"/>
          <w:szCs w:val="20"/>
          <w:highlight w:val="none"/>
        </w:rPr>
      </w:pPr>
      <w:bookmarkStart w:id="18" w:name="_Toc22657"/>
      <w:r>
        <w:rPr>
          <w:rFonts w:hint="eastAsia" w:ascii="宋体" w:hAnsi="宋体" w:cs="宋体"/>
          <w:b/>
          <w:color w:val="auto"/>
          <w:sz w:val="30"/>
          <w:szCs w:val="20"/>
          <w:highlight w:val="none"/>
        </w:rPr>
        <w:t>三、</w:t>
      </w:r>
      <w:r>
        <w:rPr>
          <w:rFonts w:hint="eastAsia" w:ascii="宋体" w:hAnsi="宋体" w:cs="宋体"/>
          <w:b/>
          <w:color w:val="auto"/>
          <w:sz w:val="32"/>
          <w:szCs w:val="20"/>
          <w:highlight w:val="none"/>
        </w:rPr>
        <w:t>投标</w:t>
      </w:r>
      <w:bookmarkEnd w:id="18"/>
    </w:p>
    <w:p w14:paraId="5ADD1A4C">
      <w:p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szCs w:val="21"/>
          <w:highlight w:val="none"/>
        </w:rPr>
        <w:t>7. 采购文件的获取</w:t>
      </w:r>
    </w:p>
    <w:p w14:paraId="3697F043">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详见招标公告中获取采购文件的时间期限、地点、方式及采购文件售价。</w:t>
      </w:r>
    </w:p>
    <w:p w14:paraId="707A3198">
      <w:p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szCs w:val="21"/>
          <w:highlight w:val="none"/>
        </w:rPr>
        <w:t>8.开标前答疑会或现场考察</w:t>
      </w:r>
    </w:p>
    <w:p w14:paraId="2499143A">
      <w:pPr>
        <w:pStyle w:val="7"/>
        <w:spacing w:line="360" w:lineRule="auto"/>
        <w:ind w:firstLine="420" w:firstLineChars="200"/>
        <w:rPr>
          <w:rFonts w:hAnsi="宋体" w:cs="宋体"/>
          <w:color w:val="auto"/>
          <w:highlight w:val="none"/>
        </w:rPr>
      </w:pPr>
      <w:r>
        <w:rPr>
          <w:rFonts w:hint="eastAsia" w:hAnsi="宋体" w:cs="宋体"/>
          <w:color w:val="auto"/>
          <w:highlight w:val="none"/>
        </w:rPr>
        <w:t>采购人组织潜在投标人现场考察或者召开开标前答疑会的，潜在投标人按第二章投标人须知前附表的规定参加现场考察或者开标前答疑会。</w:t>
      </w:r>
    </w:p>
    <w:p w14:paraId="3C2A2878">
      <w:p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kern w:val="28"/>
          <w:szCs w:val="21"/>
          <w:highlight w:val="none"/>
        </w:rPr>
        <w:t>9.投标</w:t>
      </w:r>
      <w:r>
        <w:rPr>
          <w:rFonts w:hint="eastAsia" w:ascii="宋体" w:hAnsi="宋体" w:cs="宋体"/>
          <w:b/>
          <w:color w:val="auto"/>
          <w:szCs w:val="21"/>
          <w:highlight w:val="none"/>
        </w:rPr>
        <w:t>保证金</w:t>
      </w:r>
    </w:p>
    <w:p w14:paraId="06F7A22A">
      <w:pPr>
        <w:pStyle w:val="17"/>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2B009ADB">
      <w:p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szCs w:val="21"/>
          <w:highlight w:val="none"/>
        </w:rPr>
        <w:t>10. 投标文件的语言</w:t>
      </w:r>
    </w:p>
    <w:p w14:paraId="01F39A75">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投标文件及投标人与采购有关的来往通知、函件和文件均应使用中文。</w:t>
      </w:r>
    </w:p>
    <w:p w14:paraId="224A56E3">
      <w:p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szCs w:val="21"/>
          <w:highlight w:val="none"/>
        </w:rPr>
        <w:t>11. 投标文件的组成</w:t>
      </w:r>
    </w:p>
    <w:p w14:paraId="23212D4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b/>
          <w:color w:val="auto"/>
          <w:szCs w:val="21"/>
          <w:highlight w:val="none"/>
        </w:rPr>
        <w:t>资格文件</w:t>
      </w:r>
      <w:r>
        <w:rPr>
          <w:rFonts w:hint="eastAsia" w:ascii="宋体" w:hAnsi="宋体" w:cs="宋体"/>
          <w:color w:val="auto"/>
          <w:szCs w:val="21"/>
          <w:highlight w:val="none"/>
        </w:rPr>
        <w:t>：</w:t>
      </w:r>
    </w:p>
    <w:p w14:paraId="7FE28C27">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11.1.1</w:t>
      </w:r>
      <w:r>
        <w:rPr>
          <w:rFonts w:hint="eastAsia" w:ascii="宋体" w:hAnsi="宋体" w:cs="宋体"/>
          <w:b/>
          <w:color w:val="auto"/>
          <w:szCs w:val="21"/>
          <w:highlight w:val="none"/>
        </w:rPr>
        <w:t>▲</w:t>
      </w:r>
      <w:r>
        <w:rPr>
          <w:rFonts w:hint="eastAsia" w:ascii="宋体" w:hAnsi="宋体" w:cs="宋体"/>
          <w:b/>
          <w:bCs/>
          <w:color w:val="auto"/>
          <w:szCs w:val="21"/>
          <w:highlight w:val="none"/>
        </w:rPr>
        <w:t>符合参加政府采购活动应当具备的一般条件的承诺函</w:t>
      </w:r>
      <w:r>
        <w:rPr>
          <w:rFonts w:hint="eastAsia" w:ascii="宋体" w:hAnsi="宋体" w:cs="宋体"/>
          <w:color w:val="auto"/>
          <w:szCs w:val="21"/>
          <w:highlight w:val="none"/>
        </w:rPr>
        <w:t>；</w:t>
      </w:r>
    </w:p>
    <w:p w14:paraId="32787CA1">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11.1.2</w:t>
      </w:r>
      <w:r>
        <w:rPr>
          <w:rFonts w:hint="eastAsia" w:ascii="宋体" w:hAnsi="宋体" w:cs="宋体"/>
          <w:snapToGrid w:val="0"/>
          <w:color w:val="auto"/>
          <w:kern w:val="28"/>
          <w:szCs w:val="21"/>
          <w:highlight w:val="none"/>
        </w:rPr>
        <w:t>联合协议（本项目不适用)；</w:t>
      </w:r>
    </w:p>
    <w:p w14:paraId="676FC9EF">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11.1.3落实政府采购政策需满足的资格要求</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14:paraId="67EC8926">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11.1.4本项目的特定资格要求</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14:paraId="14C85533">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商务技术</w:t>
      </w:r>
      <w:r>
        <w:rPr>
          <w:rFonts w:hint="eastAsia" w:ascii="宋体" w:hAnsi="宋体" w:cs="宋体"/>
          <w:color w:val="auto"/>
          <w:szCs w:val="21"/>
          <w:highlight w:val="none"/>
          <w:lang w:val="zh-CN"/>
        </w:rPr>
        <w:t>文件：</w:t>
      </w:r>
    </w:p>
    <w:p w14:paraId="7CCDF839">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11.2.1</w:t>
      </w:r>
      <w:r>
        <w:rPr>
          <w:rFonts w:hint="eastAsia" w:ascii="宋体" w:hAnsi="宋体" w:cs="宋体"/>
          <w:b/>
          <w:color w:val="auto"/>
          <w:szCs w:val="21"/>
          <w:highlight w:val="none"/>
        </w:rPr>
        <w:t>▲</w:t>
      </w:r>
      <w:r>
        <w:rPr>
          <w:rFonts w:hint="eastAsia" w:ascii="宋体" w:hAnsi="宋体" w:cs="宋体"/>
          <w:b/>
          <w:bCs/>
          <w:color w:val="auto"/>
          <w:szCs w:val="21"/>
          <w:highlight w:val="none"/>
        </w:rPr>
        <w:t>投标函</w:t>
      </w:r>
      <w:r>
        <w:rPr>
          <w:rFonts w:hint="eastAsia" w:ascii="宋体" w:hAnsi="宋体" w:cs="宋体"/>
          <w:color w:val="auto"/>
          <w:szCs w:val="21"/>
          <w:highlight w:val="none"/>
        </w:rPr>
        <w:t>；</w:t>
      </w:r>
      <w:r>
        <w:rPr>
          <w:rFonts w:hint="eastAsia" w:ascii="宋体" w:hAnsi="宋体" w:cs="宋体"/>
          <w:color w:val="auto"/>
          <w:szCs w:val="21"/>
          <w:highlight w:val="none"/>
          <w:lang w:val="zh-CN"/>
        </w:rPr>
        <w:t xml:space="preserve"> </w:t>
      </w:r>
    </w:p>
    <w:p w14:paraId="642D1EC2">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11.2.2授权委托书或法定代表人（单位负责人、自然人本人）身份证明；</w:t>
      </w:r>
    </w:p>
    <w:p w14:paraId="549BA1FF">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11.2.3分包意向协议</w:t>
      </w:r>
      <w:r>
        <w:rPr>
          <w:rFonts w:hint="eastAsia" w:ascii="宋体" w:hAnsi="宋体" w:cs="宋体"/>
          <w:snapToGrid w:val="0"/>
          <w:color w:val="auto"/>
          <w:kern w:val="28"/>
          <w:szCs w:val="21"/>
          <w:highlight w:val="none"/>
        </w:rPr>
        <w:t>（本项目不适用)</w:t>
      </w:r>
      <w:r>
        <w:rPr>
          <w:rFonts w:hint="eastAsia" w:ascii="宋体" w:hAnsi="宋体" w:cs="宋体"/>
          <w:color w:val="auto"/>
          <w:szCs w:val="21"/>
          <w:highlight w:val="none"/>
        </w:rPr>
        <w:t>；</w:t>
      </w:r>
    </w:p>
    <w:p w14:paraId="73B9A025">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11.2.4符合性审查资料；</w:t>
      </w:r>
    </w:p>
    <w:p w14:paraId="77ECF78A">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11.2.5评标标准相应的商务技术资信资料；</w:t>
      </w:r>
    </w:p>
    <w:p w14:paraId="371D785D">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11.2.6投标标的清单；</w:t>
      </w:r>
    </w:p>
    <w:p w14:paraId="26A0C7FB">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11.2.7商务技术偏离表；</w:t>
      </w:r>
    </w:p>
    <w:p w14:paraId="51F6B5BE">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p>
    <w:p w14:paraId="78BC1EC0">
      <w:pPr>
        <w:snapToGrid w:val="0"/>
        <w:spacing w:line="360" w:lineRule="auto"/>
        <w:ind w:firstLine="420" w:firstLineChars="200"/>
        <w:rPr>
          <w:rFonts w:ascii="宋体" w:hAnsi="宋体" w:cs="宋体"/>
          <w:color w:val="auto"/>
          <w:szCs w:val="21"/>
          <w:highlight w:val="none"/>
          <w:u w:val="single"/>
          <w:lang w:val="zh-CN"/>
        </w:rPr>
      </w:pPr>
      <w:r>
        <w:rPr>
          <w:rFonts w:hint="eastAsia" w:ascii="宋体" w:hAnsi="宋体" w:cs="宋体"/>
          <w:color w:val="auto"/>
          <w:kern w:val="0"/>
          <w:szCs w:val="21"/>
          <w:highlight w:val="none"/>
          <w:lang w:val="zh-CN"/>
        </w:rPr>
        <w:t>11.</w:t>
      </w:r>
      <w:r>
        <w:rPr>
          <w:rFonts w:hint="eastAsia" w:ascii="宋体" w:hAnsi="宋体" w:cs="宋体"/>
          <w:color w:val="auto"/>
          <w:kern w:val="0"/>
          <w:szCs w:val="21"/>
          <w:highlight w:val="none"/>
        </w:rPr>
        <w:t>3</w:t>
      </w:r>
      <w:r>
        <w:rPr>
          <w:rFonts w:hint="eastAsia" w:ascii="宋体" w:hAnsi="宋体" w:cs="宋体"/>
          <w:b/>
          <w:color w:val="auto"/>
          <w:szCs w:val="21"/>
          <w:highlight w:val="none"/>
        </w:rPr>
        <w:t>报价文件：</w:t>
      </w:r>
      <w:r>
        <w:rPr>
          <w:rFonts w:hint="eastAsia" w:ascii="宋体" w:hAnsi="宋体" w:cs="宋体"/>
          <w:color w:val="auto"/>
          <w:szCs w:val="21"/>
          <w:highlight w:val="none"/>
        </w:rPr>
        <w:t xml:space="preserve"> </w:t>
      </w:r>
    </w:p>
    <w:p w14:paraId="5A94CCDC">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11.3.1</w:t>
      </w:r>
      <w:r>
        <w:rPr>
          <w:rFonts w:hint="eastAsia" w:ascii="宋体" w:hAnsi="宋体" w:cs="宋体"/>
          <w:b/>
          <w:color w:val="auto"/>
          <w:szCs w:val="21"/>
          <w:highlight w:val="none"/>
        </w:rPr>
        <w:t>▲</w:t>
      </w:r>
      <w:r>
        <w:rPr>
          <w:rFonts w:hint="eastAsia" w:ascii="宋体" w:hAnsi="宋体" w:cs="宋体"/>
          <w:b/>
          <w:bCs/>
          <w:color w:val="auto"/>
          <w:szCs w:val="21"/>
          <w:highlight w:val="none"/>
        </w:rPr>
        <w:t>开标一览表（报价表</w:t>
      </w:r>
      <w:r>
        <w:rPr>
          <w:rFonts w:hint="eastAsia" w:ascii="宋体" w:hAnsi="宋体" w:cs="宋体"/>
          <w:color w:val="auto"/>
          <w:szCs w:val="21"/>
          <w:highlight w:val="none"/>
        </w:rPr>
        <w:t>）；</w:t>
      </w:r>
    </w:p>
    <w:p w14:paraId="6E90E9FF">
      <w:pPr>
        <w:snapToGrid w:val="0"/>
        <w:spacing w:line="360" w:lineRule="auto"/>
        <w:ind w:firstLine="840" w:firstLineChars="400"/>
        <w:rPr>
          <w:rFonts w:ascii="宋体" w:hAnsi="宋体" w:cs="宋体"/>
          <w:color w:val="auto"/>
          <w:kern w:val="0"/>
          <w:szCs w:val="21"/>
          <w:highlight w:val="none"/>
          <w:lang w:val="zh-CN"/>
        </w:rPr>
      </w:pPr>
      <w:r>
        <w:rPr>
          <w:rFonts w:hint="eastAsia" w:ascii="宋体" w:hAnsi="宋体" w:cs="宋体"/>
          <w:color w:val="auto"/>
          <w:szCs w:val="21"/>
          <w:highlight w:val="none"/>
        </w:rPr>
        <w:t>11.3</w:t>
      </w:r>
      <w:r>
        <w:rPr>
          <w:rFonts w:hint="eastAsia" w:ascii="宋体" w:hAnsi="宋体" w:cs="宋体"/>
          <w:color w:val="auto"/>
          <w:kern w:val="0"/>
          <w:szCs w:val="21"/>
          <w:highlight w:val="none"/>
          <w:lang w:val="zh-CN"/>
        </w:rPr>
        <w:t>.2</w:t>
      </w:r>
      <w:r>
        <w:rPr>
          <w:rFonts w:hint="eastAsia" w:ascii="宋体" w:hAnsi="宋体" w:cs="宋体"/>
          <w:color w:val="auto"/>
          <w:kern w:val="0"/>
          <w:szCs w:val="21"/>
          <w:highlight w:val="none"/>
        </w:rPr>
        <w:t>报价情况说明（如供应商报价低于项目预算50%的，应当提交本文档，详细阐述不影响产品质量或者诚信履约的具体原因）</w:t>
      </w:r>
    </w:p>
    <w:p w14:paraId="3FEE4B36">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11.3.3中小企业声明函</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14:paraId="3AC32785">
      <w:pPr>
        <w:spacing w:line="360" w:lineRule="auto"/>
        <w:ind w:firstLine="632" w:firstLineChars="3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投标文件含有采购人不能接受的附加条件的，投标无效；</w:t>
      </w:r>
    </w:p>
    <w:p w14:paraId="22823483">
      <w:pPr>
        <w:spacing w:line="360" w:lineRule="auto"/>
        <w:ind w:firstLine="632" w:firstLineChars="3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投标人提供虚假材料投标的，投标无效。</w:t>
      </w:r>
    </w:p>
    <w:p w14:paraId="73317ED6">
      <w:pPr>
        <w:spacing w:line="360" w:lineRule="auto"/>
        <w:ind w:firstLine="632" w:firstLineChars="300"/>
        <w:rPr>
          <w:rFonts w:hint="eastAsia" w:ascii="宋体" w:hAnsi="宋体" w:eastAsia="宋体" w:cs="宋体"/>
          <w:b/>
          <w:color w:val="auto"/>
          <w:szCs w:val="21"/>
          <w:highlight w:val="none"/>
          <w:u w:val="single"/>
          <w:lang w:val="en-US" w:eastAsia="zh-CN"/>
        </w:rPr>
      </w:pPr>
      <w:r>
        <w:rPr>
          <w:rFonts w:hint="eastAsia" w:ascii="宋体" w:hAnsi="宋体" w:cs="宋体"/>
          <w:b/>
          <w:color w:val="auto"/>
          <w:szCs w:val="21"/>
          <w:highlight w:val="none"/>
          <w:u w:val="single"/>
        </w:rPr>
        <w:t>投标人应对投标文件中材料的真实性、合法性负责。投标人可事先在公开官网查询、核对相关证书和报告内容，确保投标（响应）文件资料准确无误</w:t>
      </w:r>
      <w:r>
        <w:rPr>
          <w:rFonts w:hint="eastAsia" w:ascii="宋体" w:hAnsi="宋体" w:cs="宋体"/>
          <w:b/>
          <w:color w:val="auto"/>
          <w:szCs w:val="21"/>
          <w:highlight w:val="none"/>
          <w:u w:val="single"/>
          <w:lang w:eastAsia="zh-CN"/>
        </w:rPr>
        <w:t>。</w:t>
      </w:r>
    </w:p>
    <w:p w14:paraId="08C9A11F">
      <w:p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szCs w:val="21"/>
          <w:highlight w:val="none"/>
        </w:rPr>
        <w:t>12</w:t>
      </w:r>
      <w:r>
        <w:rPr>
          <w:rFonts w:hint="eastAsia" w:ascii="宋体" w:hAnsi="宋体" w:cs="宋体"/>
          <w:b/>
          <w:color w:val="auto"/>
          <w:kern w:val="0"/>
          <w:szCs w:val="21"/>
          <w:highlight w:val="none"/>
          <w:lang w:val="zh-CN"/>
        </w:rPr>
        <w:t xml:space="preserve">. </w:t>
      </w:r>
      <w:r>
        <w:rPr>
          <w:rFonts w:hint="eastAsia" w:ascii="宋体" w:hAnsi="宋体" w:cs="宋体"/>
          <w:b/>
          <w:color w:val="auto"/>
          <w:szCs w:val="21"/>
          <w:highlight w:val="none"/>
        </w:rPr>
        <w:t>投标文件的编制</w:t>
      </w:r>
    </w:p>
    <w:p w14:paraId="4095ECC6">
      <w:pPr>
        <w:spacing w:line="360" w:lineRule="auto"/>
        <w:ind w:firstLine="420" w:firstLineChars="200"/>
        <w:rPr>
          <w:rFonts w:ascii="宋体" w:hAnsi="宋体" w:cs="宋体"/>
          <w:b/>
          <w:color w:val="auto"/>
          <w:szCs w:val="21"/>
          <w:highlight w:val="none"/>
        </w:rPr>
      </w:pPr>
      <w:r>
        <w:rPr>
          <w:rFonts w:hint="eastAsia" w:ascii="宋体" w:hAnsi="宋体" w:cs="宋体"/>
          <w:color w:val="auto"/>
          <w:kern w:val="0"/>
          <w:szCs w:val="21"/>
          <w:highlight w:val="none"/>
          <w:lang w:val="zh-CN"/>
        </w:rPr>
        <w:t>12.1投标文件分为资格文件、商务技术文件、报价文件三部分。各投标人在编制投标文件时请按照采购文件第六</w:t>
      </w:r>
      <w:r>
        <w:rPr>
          <w:rFonts w:hint="eastAsia" w:ascii="宋体" w:hAnsi="宋体" w:cs="宋体"/>
          <w:color w:val="auto"/>
          <w:kern w:val="0"/>
          <w:szCs w:val="21"/>
          <w:highlight w:val="none"/>
        </w:rPr>
        <w:t>章</w:t>
      </w:r>
      <w:r>
        <w:rPr>
          <w:rFonts w:hint="eastAsia" w:ascii="宋体" w:hAnsi="宋体" w:cs="宋体"/>
          <w:color w:val="auto"/>
          <w:kern w:val="0"/>
          <w:szCs w:val="21"/>
          <w:highlight w:val="none"/>
          <w:lang w:val="zh-CN"/>
        </w:rPr>
        <w:t>规定的格式进行，</w:t>
      </w:r>
      <w:r>
        <w:rPr>
          <w:rFonts w:hint="eastAsia" w:ascii="宋体" w:hAnsi="宋体" w:cs="宋体"/>
          <w:b/>
          <w:bCs/>
          <w:color w:val="auto"/>
          <w:kern w:val="0"/>
          <w:szCs w:val="21"/>
          <w:highlight w:val="none"/>
          <w:lang w:val="zh-CN"/>
        </w:rPr>
        <w:t>混乱的编排导致投标文件被误读或评标委员会查找不到有效文件是投标人的风险</w:t>
      </w:r>
      <w:r>
        <w:rPr>
          <w:rFonts w:hint="eastAsia" w:ascii="宋体" w:hAnsi="宋体" w:cs="宋体"/>
          <w:color w:val="auto"/>
          <w:kern w:val="0"/>
          <w:szCs w:val="21"/>
          <w:highlight w:val="none"/>
          <w:lang w:val="zh-CN"/>
        </w:rPr>
        <w:t>。</w:t>
      </w:r>
    </w:p>
    <w:p w14:paraId="3E4CDC58">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12.2投标人进行电子投标应安装客户端软件—“政采云电子交易客户端”，并按照采购文件和电子交易平台的要求编制并加密投标文件。</w:t>
      </w:r>
      <w:r>
        <w:rPr>
          <w:rFonts w:hint="eastAsia" w:ascii="宋体" w:hAnsi="宋体" w:cs="宋体"/>
          <w:b/>
          <w:bCs/>
          <w:color w:val="auto"/>
          <w:kern w:val="0"/>
          <w:szCs w:val="21"/>
          <w:highlight w:val="none"/>
          <w:lang w:val="zh-CN"/>
        </w:rPr>
        <w:t>投标人未按规定加密的投标文件，电子交易平台将拒收并提示</w:t>
      </w:r>
      <w:r>
        <w:rPr>
          <w:rFonts w:hint="eastAsia" w:ascii="宋体" w:hAnsi="宋体" w:cs="宋体"/>
          <w:color w:val="auto"/>
          <w:kern w:val="0"/>
          <w:szCs w:val="21"/>
          <w:highlight w:val="none"/>
          <w:lang w:val="zh-CN"/>
        </w:rPr>
        <w:t>。</w:t>
      </w:r>
    </w:p>
    <w:p w14:paraId="3DAB4C9A">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14:paraId="354C825A">
      <w:p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szCs w:val="21"/>
          <w:highlight w:val="none"/>
        </w:rPr>
        <w:t>13.投标文件的签署、盖章</w:t>
      </w:r>
    </w:p>
    <w:p w14:paraId="728160F2">
      <w:pPr>
        <w:pStyle w:val="131"/>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13.1投标文件按照采购文件第六章格式要求进行签署、盖章。</w:t>
      </w:r>
      <w:r>
        <w:rPr>
          <w:rFonts w:hint="eastAsia" w:ascii="宋体" w:hAnsi="宋体" w:cs="宋体"/>
          <w:b/>
          <w:color w:val="auto"/>
          <w:sz w:val="21"/>
          <w:szCs w:val="21"/>
          <w:highlight w:val="none"/>
        </w:rPr>
        <w:t>▲投标人的投标文件未按照采购文件要求签署、盖章的，其投标无效</w:t>
      </w:r>
      <w:r>
        <w:rPr>
          <w:rFonts w:hint="eastAsia" w:ascii="宋体" w:hAnsi="宋体" w:cs="宋体"/>
          <w:color w:val="auto"/>
          <w:sz w:val="21"/>
          <w:szCs w:val="21"/>
          <w:highlight w:val="none"/>
        </w:rPr>
        <w:t>。</w:t>
      </w:r>
    </w:p>
    <w:p w14:paraId="152DCBBB">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0325C583">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13.3采购文件对投标文件签署、盖章的要求适用于电子签名。</w:t>
      </w:r>
    </w:p>
    <w:p w14:paraId="743AD2E0">
      <w:p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szCs w:val="21"/>
          <w:highlight w:val="none"/>
        </w:rPr>
        <w:t>14. 投标文件的提交、补充、修改、撤回</w:t>
      </w:r>
    </w:p>
    <w:p w14:paraId="57C9525A">
      <w:pPr>
        <w:pStyle w:val="131"/>
        <w:ind w:firstLine="42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7983622">
      <w:pPr>
        <w:pStyle w:val="131"/>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1A3F0BB1">
      <w:pPr>
        <w:pStyle w:val="131"/>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39476F7">
      <w:p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szCs w:val="21"/>
          <w:highlight w:val="none"/>
        </w:rPr>
        <w:t>15.备份投标文件</w:t>
      </w:r>
    </w:p>
    <w:p w14:paraId="7C417860">
      <w:pPr>
        <w:pStyle w:val="7"/>
        <w:spacing w:line="360" w:lineRule="auto"/>
        <w:ind w:firstLine="315" w:firstLineChars="150"/>
        <w:rPr>
          <w:rFonts w:hAnsi="宋体" w:cs="宋体"/>
          <w:b/>
          <w:color w:val="auto"/>
          <w:highlight w:val="none"/>
        </w:rPr>
      </w:pPr>
      <w:r>
        <w:rPr>
          <w:rFonts w:hint="eastAsia" w:hAnsi="宋体" w:cs="宋体"/>
          <w:color w:val="auto"/>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highlight w:val="none"/>
        </w:rPr>
        <w:t>但采购人、采购代理机构不强制或变相强制投标人提交备份投标文件。</w:t>
      </w:r>
    </w:p>
    <w:p w14:paraId="6E727E5F">
      <w:pPr>
        <w:pStyle w:val="7"/>
        <w:spacing w:line="360" w:lineRule="auto"/>
        <w:ind w:firstLine="420" w:firstLineChars="200"/>
        <w:rPr>
          <w:rFonts w:hAnsi="宋体" w:cs="宋体"/>
          <w:b/>
          <w:color w:val="auto"/>
          <w:highlight w:val="none"/>
        </w:rPr>
      </w:pPr>
      <w:r>
        <w:rPr>
          <w:rFonts w:hint="eastAsia" w:hAnsi="宋体" w:cs="宋体"/>
          <w:color w:val="auto"/>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highlight w:val="none"/>
        </w:rPr>
        <w:t>不符合上述制作、存储、密封规定的备份投标文件将被视为无效或者被拒绝接收。</w:t>
      </w:r>
    </w:p>
    <w:p w14:paraId="053F7F19">
      <w:pPr>
        <w:pStyle w:val="7"/>
        <w:spacing w:line="360" w:lineRule="auto"/>
        <w:ind w:firstLine="420" w:firstLineChars="200"/>
        <w:rPr>
          <w:rFonts w:hAnsi="宋体" w:cs="宋体"/>
          <w:color w:val="auto"/>
          <w:highlight w:val="none"/>
        </w:rPr>
      </w:pPr>
      <w:r>
        <w:rPr>
          <w:rFonts w:hint="eastAsia" w:hAnsi="宋体" w:cs="宋体"/>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14:paraId="17265141">
      <w:pPr>
        <w:pStyle w:val="7"/>
        <w:spacing w:line="360" w:lineRule="auto"/>
        <w:ind w:firstLine="420" w:firstLineChars="200"/>
        <w:rPr>
          <w:rFonts w:hAnsi="宋体" w:cs="宋体"/>
          <w:color w:val="auto"/>
          <w:highlight w:val="none"/>
        </w:rPr>
      </w:pPr>
      <w:r>
        <w:rPr>
          <w:rFonts w:hint="eastAsia" w:hAnsi="宋体" w:cs="宋体"/>
          <w:color w:val="auto"/>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highlight w:val="none"/>
        </w:rPr>
        <w:t>采购文件第二章投标人须知前附表规定的备份投标文件送达地点；</w:t>
      </w:r>
      <w:r>
        <w:rPr>
          <w:rFonts w:hint="eastAsia" w:hAnsi="宋体" w:cs="宋体"/>
          <w:color w:val="auto"/>
          <w:highlight w:val="none"/>
        </w:rPr>
        <w:t>送达时间以签收人签收时间为准。采购代理机构将拒绝接受逾期送达的备份投标文件。邮寄过程中，电子备份投标文件发生泄露、遗失、损坏或延期送达等情况的，由投标人自行负责。</w:t>
      </w:r>
    </w:p>
    <w:p w14:paraId="6A0EE4EF">
      <w:pPr>
        <w:pStyle w:val="7"/>
        <w:spacing w:line="360" w:lineRule="auto"/>
        <w:ind w:firstLine="420" w:firstLineChars="199"/>
        <w:rPr>
          <w:rFonts w:hAnsi="宋体" w:cs="宋体"/>
          <w:b/>
          <w:color w:val="auto"/>
          <w:highlight w:val="none"/>
        </w:rPr>
      </w:pPr>
      <w:r>
        <w:rPr>
          <w:rFonts w:hint="eastAsia" w:hAnsi="宋体" w:cs="宋体"/>
          <w:b/>
          <w:color w:val="auto"/>
          <w:highlight w:val="none"/>
        </w:rPr>
        <w:t>15.5投标人仅提交备份投标文件，未在电子交易平台传输递交投标文件的，投标无效。</w:t>
      </w:r>
    </w:p>
    <w:p w14:paraId="3432C01C">
      <w:p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szCs w:val="21"/>
          <w:highlight w:val="none"/>
        </w:rPr>
        <w:t>16.投标文件的无效处理</w:t>
      </w:r>
    </w:p>
    <w:p w14:paraId="387A02B3">
      <w:pPr>
        <w:pStyle w:val="27"/>
        <w:spacing w:line="360" w:lineRule="auto"/>
        <w:ind w:firstLine="315" w:firstLineChars="150"/>
        <w:rPr>
          <w:rFonts w:cs="宋体"/>
          <w:color w:val="auto"/>
          <w:sz w:val="21"/>
          <w:szCs w:val="21"/>
          <w:highlight w:val="none"/>
        </w:rPr>
      </w:pPr>
      <w:r>
        <w:rPr>
          <w:rFonts w:hint="eastAsia" w:cs="宋体"/>
          <w:color w:val="auto"/>
          <w:sz w:val="21"/>
          <w:szCs w:val="21"/>
          <w:highlight w:val="none"/>
        </w:rPr>
        <w:t>有采购文件第四章4.2规定的情形之一的，投标无效：</w:t>
      </w:r>
    </w:p>
    <w:p w14:paraId="2ECB19BC">
      <w:p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szCs w:val="21"/>
          <w:highlight w:val="none"/>
        </w:rPr>
        <w:t>17.投标有效期</w:t>
      </w:r>
    </w:p>
    <w:p w14:paraId="2C3C5B53">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17.1投标有效期为从提交投标文件的截止之日起90天。▲</w:t>
      </w:r>
      <w:r>
        <w:rPr>
          <w:rFonts w:hint="eastAsia" w:ascii="宋体" w:hAnsi="宋体" w:cs="宋体"/>
          <w:b/>
          <w:color w:val="auto"/>
          <w:szCs w:val="21"/>
          <w:highlight w:val="none"/>
        </w:rPr>
        <w:t>投标人的投标文件中承诺的投标有效期少于采购文件中载明的投标有效期的，投标无效。</w:t>
      </w:r>
    </w:p>
    <w:p w14:paraId="7757C03B">
      <w:pPr>
        <w:pStyle w:val="131"/>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51DCBD43">
      <w:pPr>
        <w:pStyle w:val="131"/>
        <w:spacing w:before="0"/>
        <w:ind w:firstLine="420"/>
        <w:rPr>
          <w:rFonts w:ascii="宋体" w:hAnsi="宋体" w:cs="宋体"/>
          <w:b/>
          <w:color w:val="auto"/>
          <w:sz w:val="32"/>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7604999">
      <w:pPr>
        <w:snapToGrid w:val="0"/>
        <w:spacing w:before="120" w:beforeLines="50" w:after="120" w:afterLines="50" w:line="360" w:lineRule="auto"/>
        <w:ind w:left="15" w:hanging="15" w:hangingChars="5"/>
        <w:jc w:val="center"/>
        <w:outlineLvl w:val="1"/>
        <w:rPr>
          <w:rFonts w:ascii="宋体" w:hAnsi="宋体" w:cs="宋体"/>
          <w:b/>
          <w:color w:val="auto"/>
          <w:sz w:val="30"/>
          <w:szCs w:val="20"/>
          <w:highlight w:val="none"/>
        </w:rPr>
      </w:pPr>
      <w:bookmarkStart w:id="19" w:name="_Toc28589"/>
      <w:r>
        <w:rPr>
          <w:rFonts w:hint="eastAsia" w:ascii="宋体" w:hAnsi="宋体" w:cs="宋体"/>
          <w:b/>
          <w:color w:val="auto"/>
          <w:sz w:val="30"/>
          <w:szCs w:val="20"/>
          <w:highlight w:val="none"/>
        </w:rPr>
        <w:t>四、开标、资格审查与信用信息查询</w:t>
      </w:r>
      <w:bookmarkEnd w:id="19"/>
    </w:p>
    <w:p w14:paraId="364EE56A">
      <w:pPr>
        <w:snapToGrid w:val="0"/>
        <w:spacing w:line="360" w:lineRule="auto"/>
        <w:jc w:val="left"/>
        <w:outlineLvl w:val="2"/>
        <w:rPr>
          <w:rFonts w:ascii="宋体" w:hAnsi="宋体" w:cs="宋体"/>
          <w:color w:val="auto"/>
          <w:szCs w:val="21"/>
          <w:highlight w:val="none"/>
        </w:rPr>
      </w:pPr>
      <w:r>
        <w:rPr>
          <w:rFonts w:hint="eastAsia" w:ascii="宋体" w:hAnsi="宋体" w:cs="宋体"/>
          <w:b/>
          <w:color w:val="auto"/>
          <w:szCs w:val="21"/>
          <w:highlight w:val="none"/>
        </w:rPr>
        <w:t>18.开标</w:t>
      </w:r>
      <w:r>
        <w:rPr>
          <w:rFonts w:hint="eastAsia" w:ascii="宋体" w:hAnsi="宋体" w:cs="宋体"/>
          <w:color w:val="auto"/>
          <w:szCs w:val="21"/>
          <w:highlight w:val="none"/>
        </w:rPr>
        <w:t xml:space="preserve"> </w:t>
      </w:r>
    </w:p>
    <w:p w14:paraId="3A814253">
      <w:pPr>
        <w:pStyle w:val="557"/>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18.1采购代理机构按照采购文件规定的时间通过电子交易平台组织开标，所有投标人均应当准时在线参加。投标人不足3家的，不得开标。</w:t>
      </w:r>
    </w:p>
    <w:p w14:paraId="5282EB9F">
      <w:pPr>
        <w:pStyle w:val="557"/>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18.2开标时，电子交易平台按开标时间自动提取所有投标文件。采购代理机构依托电子交易平台发起开始解密指令，投标人按照平台提示和采购文件的规定在半小时内完成在线解密。</w:t>
      </w:r>
    </w:p>
    <w:p w14:paraId="0C397650">
      <w:pPr>
        <w:pStyle w:val="557"/>
        <w:spacing w:before="0" w:line="360" w:lineRule="auto"/>
        <w:ind w:left="0" w:firstLine="210" w:firstLineChars="100"/>
        <w:contextualSpacing/>
        <w:rPr>
          <w:rFonts w:ascii="宋体" w:hAnsi="宋体" w:cs="宋体"/>
          <w:b/>
          <w:color w:val="auto"/>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38475C4E">
      <w:p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szCs w:val="21"/>
          <w:highlight w:val="none"/>
        </w:rPr>
        <w:t>19.资格审查</w:t>
      </w:r>
    </w:p>
    <w:p w14:paraId="480CED2A">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19.1开标后，采购人或采购代理机构将依法对投标人的资格进行审查。</w:t>
      </w:r>
    </w:p>
    <w:p w14:paraId="11B84EC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19.2</w:t>
      </w:r>
      <w:r>
        <w:rPr>
          <w:rFonts w:hint="eastAsia" w:ascii="宋体" w:hAnsi="宋体" w:cs="宋体"/>
          <w:color w:val="auto"/>
          <w:szCs w:val="21"/>
          <w:highlight w:val="none"/>
        </w:rPr>
        <w:t>采购人或采购代理机构依据法律法规和采购文件的规定，对投标人的资格进行审查。</w:t>
      </w:r>
    </w:p>
    <w:p w14:paraId="41A2C8DB">
      <w:pPr>
        <w:pStyle w:val="131"/>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19.3投标人未按照采购文件要求提供与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投标人不具备采购文件中规定的资格要求，其投标无效。</w:t>
      </w:r>
    </w:p>
    <w:p w14:paraId="2DC2D542">
      <w:pPr>
        <w:pStyle w:val="131"/>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4对未通过资格审查的投标人，采购人或采购代理机构告知其未通过的原因。</w:t>
      </w:r>
    </w:p>
    <w:p w14:paraId="21D93F61">
      <w:p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szCs w:val="21"/>
          <w:highlight w:val="none"/>
        </w:rPr>
        <w:t>20、信用信息查询</w:t>
      </w:r>
    </w:p>
    <w:p w14:paraId="2EE1EC4D">
      <w:pPr>
        <w:pStyle w:val="131"/>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20.1信用信息查询渠道及截止时间：采购代理机构将在资格审查时通过“信用中国”网站(www.creditchina.gov.cn)、中国政府采购网(www.ccgp.gov.cn)渠道查询投标人接受资格时的信用记录。</w:t>
      </w:r>
    </w:p>
    <w:p w14:paraId="5EB2699F">
      <w:pPr>
        <w:pStyle w:val="131"/>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1BA7365D">
      <w:pPr>
        <w:pStyle w:val="131"/>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w:t>
      </w:r>
      <w:r>
        <w:rPr>
          <w:rFonts w:hint="eastAsia" w:ascii="宋体" w:hAnsi="宋体" w:cs="宋体"/>
          <w:b/>
          <w:bCs/>
          <w:color w:val="auto"/>
          <w:kern w:val="0"/>
          <w:sz w:val="21"/>
          <w:szCs w:val="21"/>
          <w:highlight w:val="none"/>
        </w:rPr>
        <w:t>经查询列入失信被执行人名单、重大税收违法案件当事人名单、政府采购严重违法失信行为记录名单的投标人将被拒绝参与政府采购活动</w:t>
      </w:r>
      <w:r>
        <w:rPr>
          <w:rFonts w:hint="eastAsia" w:ascii="宋体" w:hAnsi="宋体" w:cs="宋体"/>
          <w:color w:val="auto"/>
          <w:kern w:val="0"/>
          <w:sz w:val="21"/>
          <w:szCs w:val="21"/>
          <w:highlight w:val="none"/>
        </w:rPr>
        <w:t>。</w:t>
      </w:r>
    </w:p>
    <w:p w14:paraId="0FB5BBFA">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702109BA">
      <w:pPr>
        <w:snapToGrid w:val="0"/>
        <w:spacing w:before="120" w:beforeLines="50" w:after="120" w:afterLines="50" w:line="360" w:lineRule="auto"/>
        <w:ind w:left="18" w:hanging="18" w:hangingChars="5"/>
        <w:jc w:val="center"/>
        <w:outlineLvl w:val="1"/>
        <w:rPr>
          <w:rFonts w:ascii="宋体" w:hAnsi="宋体" w:cs="宋体"/>
          <w:b/>
          <w:color w:val="auto"/>
          <w:sz w:val="36"/>
          <w:szCs w:val="36"/>
          <w:highlight w:val="none"/>
        </w:rPr>
      </w:pPr>
      <w:bookmarkStart w:id="20" w:name="_Toc13247"/>
      <w:r>
        <w:rPr>
          <w:rFonts w:hint="eastAsia" w:ascii="宋体" w:hAnsi="宋体" w:cs="宋体"/>
          <w:b/>
          <w:color w:val="auto"/>
          <w:sz w:val="36"/>
          <w:szCs w:val="36"/>
          <w:highlight w:val="none"/>
        </w:rPr>
        <w:t>五、</w:t>
      </w:r>
      <w:r>
        <w:rPr>
          <w:rFonts w:hint="eastAsia" w:ascii="宋体" w:hAnsi="宋体" w:cs="宋体"/>
          <w:b/>
          <w:color w:val="auto"/>
          <w:sz w:val="32"/>
          <w:szCs w:val="20"/>
          <w:highlight w:val="none"/>
        </w:rPr>
        <w:t>评标</w:t>
      </w:r>
      <w:bookmarkEnd w:id="20"/>
    </w:p>
    <w:p w14:paraId="507E9029">
      <w:pPr>
        <w:snapToGrid w:val="0"/>
        <w:spacing w:line="360" w:lineRule="auto"/>
        <w:jc w:val="left"/>
        <w:outlineLvl w:val="2"/>
        <w:rPr>
          <w:rFonts w:ascii="宋体" w:hAnsi="宋体" w:cs="宋体"/>
          <w:b/>
          <w:color w:val="auto"/>
          <w:kern w:val="0"/>
          <w:szCs w:val="21"/>
          <w:highlight w:val="none"/>
        </w:rPr>
      </w:pPr>
      <w:bookmarkStart w:id="21" w:name="_Toc91899903"/>
      <w:r>
        <w:rPr>
          <w:rFonts w:hint="eastAsia" w:ascii="宋体" w:hAnsi="宋体" w:cs="宋体"/>
          <w:b/>
          <w:color w:val="auto"/>
          <w:szCs w:val="21"/>
          <w:highlight w:val="none"/>
        </w:rPr>
        <w:t>21.</w:t>
      </w:r>
      <w:r>
        <w:rPr>
          <w:rFonts w:hint="eastAsia" w:ascii="宋体" w:hAnsi="宋体" w:cs="宋体"/>
          <w:b/>
          <w:color w:val="auto"/>
          <w:kern w:val="0"/>
          <w:szCs w:val="21"/>
          <w:highlight w:val="none"/>
        </w:rPr>
        <w:t xml:space="preserve"> </w:t>
      </w:r>
      <w:r>
        <w:rPr>
          <w:rFonts w:hint="eastAsia" w:ascii="宋体" w:hAnsi="宋体" w:cs="宋体"/>
          <w:b/>
          <w:color w:val="auto"/>
          <w:szCs w:val="21"/>
          <w:highlight w:val="none"/>
        </w:rPr>
        <w:t>评标</w:t>
      </w:r>
    </w:p>
    <w:p w14:paraId="0AF91A87">
      <w:pPr>
        <w:pStyle w:val="131"/>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评标委员会将根据采购文件和有关规定，履行评标工作职责，并按照评标方法及评分标准，全面衡量各投标人对采购文件的响应情况。对实质上响应采购文件的投标人，按照评审因素的量化指标排出推荐中标的投标人的先后顺序，并按顺序提出授标建议。</w:t>
      </w:r>
      <w:r>
        <w:rPr>
          <w:rFonts w:hint="eastAsia" w:ascii="宋体" w:hAnsi="宋体" w:cs="宋体"/>
          <w:b/>
          <w:color w:val="auto"/>
          <w:sz w:val="21"/>
          <w:szCs w:val="21"/>
          <w:highlight w:val="none"/>
        </w:rPr>
        <w:t>详见采购文件第四章评标办法。</w:t>
      </w:r>
    </w:p>
    <w:p w14:paraId="65AF4BCE">
      <w:pPr>
        <w:snapToGrid w:val="0"/>
        <w:spacing w:before="120" w:beforeLines="50" w:after="120" w:afterLines="50" w:line="360" w:lineRule="auto"/>
        <w:ind w:left="18" w:hanging="18" w:hangingChars="5"/>
        <w:jc w:val="center"/>
        <w:outlineLvl w:val="1"/>
        <w:rPr>
          <w:rFonts w:ascii="宋体" w:hAnsi="宋体" w:cs="宋体"/>
          <w:b/>
          <w:color w:val="auto"/>
          <w:sz w:val="36"/>
          <w:szCs w:val="36"/>
          <w:highlight w:val="none"/>
        </w:rPr>
      </w:pPr>
      <w:bookmarkStart w:id="22" w:name="_Toc14261"/>
      <w:r>
        <w:rPr>
          <w:rFonts w:hint="eastAsia" w:ascii="宋体" w:hAnsi="宋体" w:cs="宋体"/>
          <w:b/>
          <w:color w:val="auto"/>
          <w:sz w:val="36"/>
          <w:szCs w:val="36"/>
          <w:highlight w:val="none"/>
        </w:rPr>
        <w:t>六、定 标</w:t>
      </w:r>
      <w:bookmarkEnd w:id="22"/>
    </w:p>
    <w:p w14:paraId="6C65A979">
      <w:p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szCs w:val="21"/>
          <w:highlight w:val="none"/>
        </w:rPr>
        <w:t>22. 确定中标供应商</w:t>
      </w:r>
    </w:p>
    <w:p w14:paraId="17A557B3">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169BE4B0">
      <w:p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szCs w:val="21"/>
          <w:highlight w:val="none"/>
        </w:rPr>
        <w:t>23. 中标通知与中标结果公告</w:t>
      </w:r>
    </w:p>
    <w:p w14:paraId="02553225">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23.1自中标人确定之日起2个工作日内，采购代理机构通过电子交易平台向中标人发出中标通知书，同时编制发布采购结果公告。采购代理机构也可以以纸质形式进行中标通知。</w:t>
      </w:r>
    </w:p>
    <w:p w14:paraId="78CECDA3">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23" w:name="_Hlk101184471"/>
      <w:r>
        <w:rPr>
          <w:rFonts w:hint="eastAsia" w:ascii="宋体" w:hAnsi="宋体" w:cs="宋体"/>
          <w:color w:val="auto"/>
          <w:szCs w:val="21"/>
          <w:highlight w:val="none"/>
        </w:rPr>
        <w:t>资格审查情况、评审专家抽取规则、符合性审查情况、</w:t>
      </w:r>
      <w:bookmarkEnd w:id="23"/>
      <w:r>
        <w:rPr>
          <w:rFonts w:hint="eastAsia" w:ascii="宋体" w:hAnsi="宋体" w:cs="宋体"/>
          <w:color w:val="auto"/>
          <w:szCs w:val="21"/>
          <w:highlight w:val="none"/>
        </w:rPr>
        <w:t>未中标情况说明、中标公告期限以及评审专家名单、评分汇总及明细。</w:t>
      </w:r>
    </w:p>
    <w:p w14:paraId="3BE21DB3">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23.3公告期限为1个工作日。</w:t>
      </w:r>
    </w:p>
    <w:p w14:paraId="59B7AD90">
      <w:pPr>
        <w:widowControl/>
        <w:shd w:val="clear" w:color="auto" w:fill="FFFFFF"/>
        <w:spacing w:line="360" w:lineRule="auto"/>
        <w:ind w:firstLine="480"/>
        <w:jc w:val="left"/>
        <w:rPr>
          <w:color w:val="auto"/>
          <w:highlight w:val="none"/>
        </w:rPr>
      </w:pPr>
      <w:r>
        <w:rPr>
          <w:rFonts w:hint="eastAsia" w:ascii="宋体" w:hAnsi="宋体" w:cs="宋体"/>
          <w:color w:val="auto"/>
          <w:szCs w:val="21"/>
          <w:highlight w:val="none"/>
        </w:rPr>
        <w:t>24.由于中标、成交供应商原因导致重新采购的，应当承担支付代理费和专家评审费等费用在内的赔偿责任</w:t>
      </w:r>
      <w:r>
        <w:rPr>
          <w:rFonts w:hint="eastAsia" w:ascii="宋体" w:hAnsi="宋体" w:cs="宋体"/>
          <w:bCs/>
          <w:color w:val="auto"/>
          <w:highlight w:val="none"/>
        </w:rPr>
        <w:t>。</w:t>
      </w:r>
    </w:p>
    <w:p w14:paraId="325EB2FC">
      <w:pPr>
        <w:snapToGrid w:val="0"/>
        <w:spacing w:before="120" w:beforeLines="50" w:after="120" w:afterLines="50" w:line="360" w:lineRule="auto"/>
        <w:ind w:left="16" w:hanging="16" w:hangingChars="5"/>
        <w:jc w:val="center"/>
        <w:outlineLvl w:val="1"/>
        <w:rPr>
          <w:rFonts w:ascii="宋体" w:hAnsi="宋体" w:cs="宋体"/>
          <w:b/>
          <w:color w:val="auto"/>
          <w:sz w:val="32"/>
          <w:highlight w:val="none"/>
        </w:rPr>
      </w:pPr>
      <w:bookmarkStart w:id="24" w:name="_Toc13438"/>
      <w:r>
        <w:rPr>
          <w:rFonts w:hint="eastAsia" w:ascii="宋体" w:hAnsi="宋体" w:cs="宋体"/>
          <w:b/>
          <w:color w:val="auto"/>
          <w:sz w:val="32"/>
          <w:highlight w:val="none"/>
        </w:rPr>
        <w:t>七、合同授予</w:t>
      </w:r>
      <w:bookmarkEnd w:id="24"/>
    </w:p>
    <w:p w14:paraId="2755E5BF">
      <w:pPr>
        <w:snapToGrid w:val="0"/>
        <w:spacing w:line="360" w:lineRule="auto"/>
        <w:jc w:val="left"/>
        <w:outlineLvl w:val="2"/>
        <w:rPr>
          <w:rFonts w:ascii="宋体" w:hAnsi="宋体" w:cs="宋体"/>
          <w:color w:val="auto"/>
          <w:szCs w:val="21"/>
          <w:highlight w:val="none"/>
        </w:rPr>
      </w:pPr>
      <w:r>
        <w:rPr>
          <w:rFonts w:hint="eastAsia" w:ascii="宋体" w:hAnsi="宋体" w:cs="宋体"/>
          <w:b/>
          <w:color w:val="auto"/>
          <w:szCs w:val="21"/>
          <w:highlight w:val="none"/>
        </w:rPr>
        <w:t>24. 合同</w:t>
      </w:r>
    </w:p>
    <w:p w14:paraId="71768ED0">
      <w:pPr>
        <w:widowControl/>
        <w:shd w:val="clear" w:color="auto" w:fill="FFFFFF"/>
        <w:spacing w:line="360" w:lineRule="auto"/>
        <w:ind w:firstLine="480"/>
        <w:jc w:val="left"/>
        <w:rPr>
          <w:rFonts w:ascii="宋体" w:hAnsi="宋体" w:cs="宋体"/>
          <w:b/>
          <w:color w:val="auto"/>
          <w:szCs w:val="21"/>
          <w:highlight w:val="none"/>
        </w:rPr>
      </w:pPr>
      <w:r>
        <w:rPr>
          <w:rFonts w:hint="eastAsia" w:ascii="宋体" w:hAnsi="宋体" w:cs="宋体"/>
          <w:color w:val="auto"/>
          <w:kern w:val="0"/>
          <w:szCs w:val="21"/>
          <w:highlight w:val="none"/>
        </w:rPr>
        <w:t>主要条款详见第五章拟签订的合同文本</w:t>
      </w:r>
      <w:r>
        <w:rPr>
          <w:rFonts w:hint="eastAsia" w:ascii="宋体" w:hAnsi="宋体" w:cs="宋体"/>
          <w:color w:val="auto"/>
          <w:szCs w:val="21"/>
          <w:highlight w:val="none"/>
        </w:rPr>
        <w:t>。</w:t>
      </w:r>
    </w:p>
    <w:p w14:paraId="3DDF3913">
      <w:p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szCs w:val="21"/>
          <w:highlight w:val="none"/>
        </w:rPr>
        <w:t>25. 合同的签订</w:t>
      </w:r>
    </w:p>
    <w:p w14:paraId="1EADDC04">
      <w:pPr>
        <w:widowControl/>
        <w:shd w:val="clear" w:color="auto" w:fill="FFFFFF"/>
        <w:spacing w:line="360" w:lineRule="auto"/>
        <w:ind w:firstLine="480"/>
        <w:jc w:val="left"/>
        <w:rPr>
          <w:rFonts w:ascii="宋体" w:hAnsi="宋体" w:cs="宋体"/>
          <w:color w:val="auto"/>
          <w:kern w:val="0"/>
          <w:szCs w:val="21"/>
          <w:highlight w:val="none"/>
        </w:rPr>
      </w:pPr>
      <w:r>
        <w:rPr>
          <w:rFonts w:hint="eastAsia" w:ascii="宋体" w:hAnsi="宋体" w:cs="宋体"/>
          <w:color w:val="auto"/>
          <w:szCs w:val="21"/>
          <w:highlight w:val="none"/>
        </w:rPr>
        <w:t>25.1</w:t>
      </w:r>
      <w:r>
        <w:rPr>
          <w:rFonts w:hint="eastAsia" w:ascii="宋体" w:hAnsi="宋体" w:cs="宋体"/>
          <w:color w:val="auto"/>
          <w:kern w:val="0"/>
          <w:szCs w:val="21"/>
          <w:highlight w:val="none"/>
        </w:rPr>
        <w:t xml:space="preserve"> 采购人与中标人应当通过电子交易平台在中标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F91E487">
      <w:pPr>
        <w:pStyle w:val="131"/>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CD53F36">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210BAF2C">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4DDE68ED">
      <w:pPr>
        <w:pStyle w:val="131"/>
        <w:snapToGrid w:val="0"/>
        <w:spacing w:before="0" w:after="120"/>
        <w:ind w:firstLine="42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25.5采购合同由采购人与中标供应商根据采购文件、投标文件等内容通过政府采购电子交易平台在线签订，自动备案。</w:t>
      </w:r>
    </w:p>
    <w:p w14:paraId="582D387A">
      <w:p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szCs w:val="21"/>
          <w:highlight w:val="none"/>
        </w:rPr>
        <w:t>26. 履约保证金</w:t>
      </w:r>
    </w:p>
    <w:p w14:paraId="6370DB56">
      <w:pPr>
        <w:tabs>
          <w:tab w:val="left" w:pos="0"/>
        </w:tabs>
        <w:spacing w:line="360" w:lineRule="auto"/>
        <w:ind w:firstLine="482"/>
        <w:rPr>
          <w:rFonts w:ascii="宋体" w:hAnsi="宋体" w:cs="宋体"/>
          <w:color w:val="auto"/>
          <w:kern w:val="0"/>
          <w:szCs w:val="21"/>
          <w:highlight w:val="none"/>
        </w:rPr>
      </w:pPr>
      <w:r>
        <w:rPr>
          <w:rFonts w:hint="eastAsia" w:ascii="宋体" w:hAnsi="宋体" w:cs="宋体"/>
          <w:color w:val="auto"/>
          <w:kern w:val="0"/>
          <w:szCs w:val="21"/>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w:t>
      </w:r>
      <w:r>
        <w:rPr>
          <w:rFonts w:hint="eastAsia" w:ascii="宋体" w:hAnsi="宋体" w:cs="宋体"/>
          <w:color w:val="auto"/>
          <w:kern w:val="0"/>
          <w:szCs w:val="21"/>
          <w:highlight w:val="none"/>
          <w:shd w:val="clear" w:color="auto" w:fill="FFFFFF"/>
        </w:rPr>
        <w:t>责任</w:t>
      </w:r>
      <w:r>
        <w:rPr>
          <w:rFonts w:hint="eastAsia" w:ascii="宋体" w:hAnsi="宋体" w:cs="宋体"/>
          <w:color w:val="auto"/>
          <w:kern w:val="0"/>
          <w:szCs w:val="21"/>
          <w:highlight w:val="none"/>
        </w:rPr>
        <w:t>。</w:t>
      </w:r>
    </w:p>
    <w:p w14:paraId="1ED251DE">
      <w:pPr>
        <w:tabs>
          <w:tab w:val="left" w:pos="0"/>
        </w:tabs>
        <w:spacing w:line="360" w:lineRule="auto"/>
        <w:ind w:firstLine="482"/>
        <w:rPr>
          <w:rFonts w:ascii="宋体" w:hAnsi="宋体" w:cs="宋体"/>
          <w:color w:val="auto"/>
          <w:kern w:val="0"/>
          <w:szCs w:val="21"/>
          <w:highlight w:val="none"/>
        </w:rPr>
      </w:pPr>
      <w:r>
        <w:rPr>
          <w:rFonts w:hint="eastAsia" w:ascii="宋体" w:hAnsi="宋体" w:cs="宋体"/>
          <w:color w:val="auto"/>
          <w:kern w:val="0"/>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89C84BC">
      <w:pPr>
        <w:snapToGrid w:val="0"/>
        <w:spacing w:line="360" w:lineRule="auto"/>
        <w:jc w:val="left"/>
        <w:outlineLvl w:val="2"/>
        <w:rPr>
          <w:rFonts w:ascii="宋体" w:hAnsi="宋体" w:cs="宋体"/>
          <w:color w:val="auto"/>
          <w:szCs w:val="21"/>
          <w:highlight w:val="none"/>
        </w:rPr>
      </w:pPr>
      <w:r>
        <w:rPr>
          <w:rFonts w:hint="eastAsia" w:ascii="宋体" w:hAnsi="宋体" w:cs="宋体"/>
          <w:b/>
          <w:bCs/>
          <w:color w:val="auto"/>
          <w:szCs w:val="21"/>
          <w:highlight w:val="none"/>
        </w:rPr>
        <w:t>27.</w:t>
      </w:r>
      <w:r>
        <w:rPr>
          <w:rFonts w:hint="eastAsia" w:ascii="宋体" w:hAnsi="宋体" w:cs="宋体"/>
          <w:b/>
          <w:color w:val="auto"/>
          <w:szCs w:val="21"/>
          <w:highlight w:val="none"/>
        </w:rPr>
        <w:t>预付款</w:t>
      </w:r>
    </w:p>
    <w:p w14:paraId="7A45ABB2">
      <w:pPr>
        <w:adjustRightInd/>
        <w:spacing w:line="360" w:lineRule="auto"/>
        <w:ind w:firstLine="420" w:firstLineChars="200"/>
        <w:rPr>
          <w:color w:val="auto"/>
          <w:highlight w:val="none"/>
        </w:rPr>
      </w:pPr>
      <w:r>
        <w:rPr>
          <w:rFonts w:hint="eastAsia" w:ascii="宋体" w:hAnsi="宋体" w:cs="宋体"/>
          <w:color w:val="auto"/>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2A6BE98">
      <w:pPr>
        <w:snapToGrid w:val="0"/>
        <w:spacing w:before="120" w:beforeLines="50" w:after="120" w:afterLines="50" w:line="360" w:lineRule="auto"/>
        <w:ind w:left="16" w:hanging="16" w:hangingChars="5"/>
        <w:jc w:val="center"/>
        <w:outlineLvl w:val="1"/>
        <w:rPr>
          <w:rFonts w:ascii="宋体" w:hAnsi="宋体" w:cs="宋体"/>
          <w:b/>
          <w:color w:val="auto"/>
          <w:sz w:val="24"/>
          <w:highlight w:val="none"/>
        </w:rPr>
      </w:pPr>
      <w:bookmarkStart w:id="25" w:name="_Toc30870"/>
      <w:r>
        <w:rPr>
          <w:rFonts w:hint="eastAsia" w:ascii="宋体" w:hAnsi="宋体" w:cs="宋体"/>
          <w:b/>
          <w:color w:val="auto"/>
          <w:sz w:val="32"/>
          <w:highlight w:val="none"/>
        </w:rPr>
        <w:t>八、电子交易活动的中止</w:t>
      </w:r>
      <w:bookmarkEnd w:id="25"/>
    </w:p>
    <w:p w14:paraId="6FF88E4D">
      <w:pPr>
        <w:snapToGrid w:val="0"/>
        <w:spacing w:line="360" w:lineRule="auto"/>
        <w:jc w:val="left"/>
        <w:outlineLvl w:val="2"/>
        <w:rPr>
          <w:rFonts w:ascii="宋体" w:hAnsi="宋体" w:cs="宋体"/>
          <w:b/>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8. 电子交易活动的中止</w:t>
      </w:r>
    </w:p>
    <w:p w14:paraId="311C02AA">
      <w:pPr>
        <w:tabs>
          <w:tab w:val="left" w:pos="0"/>
        </w:tabs>
        <w:spacing w:line="360" w:lineRule="auto"/>
        <w:ind w:firstLine="482"/>
        <w:rPr>
          <w:rFonts w:ascii="宋体" w:hAnsi="宋体" w:cs="宋体"/>
          <w:color w:val="auto"/>
          <w:kern w:val="0"/>
          <w:szCs w:val="21"/>
          <w:highlight w:val="none"/>
        </w:rPr>
      </w:pPr>
      <w:r>
        <w:rPr>
          <w:rFonts w:hint="eastAsia" w:ascii="宋体" w:hAnsi="宋体" w:cs="宋体"/>
          <w:color w:val="auto"/>
          <w:kern w:val="0"/>
          <w:szCs w:val="21"/>
          <w:highlight w:val="none"/>
        </w:rPr>
        <w:t>采购过程中出现以下情形，导致电子交易平台无法正常运行，或者无法保证电子交易的公平、公正和安全时，采购代理机构可中止电子交易活动：</w:t>
      </w:r>
    </w:p>
    <w:p w14:paraId="0B4D4F61">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30634AE3">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633CC7CE">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13368054">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5C5D1344">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4835C7BE">
      <w:p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szCs w:val="21"/>
          <w:highlight w:val="none"/>
        </w:rPr>
        <w:t>29.重新采购</w:t>
      </w:r>
    </w:p>
    <w:p w14:paraId="6F674CD9">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380A347">
      <w:pPr>
        <w:snapToGrid w:val="0"/>
        <w:spacing w:before="120" w:beforeLines="50" w:after="120" w:afterLines="50" w:line="360" w:lineRule="auto"/>
        <w:ind w:left="16" w:hanging="16" w:hangingChars="5"/>
        <w:jc w:val="center"/>
        <w:outlineLvl w:val="1"/>
        <w:rPr>
          <w:rFonts w:ascii="宋体" w:hAnsi="宋体" w:cs="宋体"/>
          <w:b/>
          <w:color w:val="auto"/>
          <w:sz w:val="32"/>
          <w:highlight w:val="none"/>
        </w:rPr>
      </w:pPr>
      <w:bookmarkStart w:id="26" w:name="_Toc16298"/>
      <w:r>
        <w:rPr>
          <w:rFonts w:hint="eastAsia" w:ascii="宋体" w:hAnsi="宋体" w:cs="宋体"/>
          <w:b/>
          <w:color w:val="auto"/>
          <w:sz w:val="32"/>
          <w:highlight w:val="none"/>
        </w:rPr>
        <w:t>九、验收</w:t>
      </w:r>
      <w:bookmarkEnd w:id="26"/>
    </w:p>
    <w:p w14:paraId="305B9B9E">
      <w:pPr>
        <w:snapToGrid w:val="0"/>
        <w:spacing w:line="360" w:lineRule="auto"/>
        <w:jc w:val="left"/>
        <w:outlineLvl w:val="2"/>
        <w:rPr>
          <w:rFonts w:ascii="宋体" w:hAnsi="宋体" w:cs="宋体"/>
          <w:b/>
          <w:color w:val="auto"/>
          <w:szCs w:val="21"/>
          <w:highlight w:val="none"/>
        </w:rPr>
      </w:pPr>
      <w:r>
        <w:rPr>
          <w:rFonts w:hint="eastAsia" w:ascii="宋体" w:hAnsi="宋体" w:cs="宋体"/>
          <w:b/>
          <w:color w:val="auto"/>
          <w:szCs w:val="21"/>
          <w:highlight w:val="none"/>
        </w:rPr>
        <w:t>30.验收</w:t>
      </w:r>
    </w:p>
    <w:p w14:paraId="4F758190">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D553859">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30.2采购人可以邀请参加本项目的其他投标人或者第三方机构参与验收。参与验收的投标人或者第三方机构的意见作为验收书的参考资料一并存档。</w:t>
      </w:r>
    </w:p>
    <w:p w14:paraId="0D584120">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E820B2A">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1"/>
      <w:bookmarkStart w:id="27" w:name="_Hlt74714665"/>
      <w:bookmarkEnd w:id="27"/>
      <w:bookmarkStart w:id="28" w:name="_Hlt68057669"/>
      <w:bookmarkEnd w:id="28"/>
      <w:bookmarkStart w:id="29" w:name="_Hlt75236101"/>
      <w:bookmarkEnd w:id="29"/>
      <w:bookmarkStart w:id="30" w:name="_Hlt68072990"/>
      <w:bookmarkEnd w:id="30"/>
      <w:bookmarkStart w:id="31" w:name="_Hlt75236011"/>
      <w:bookmarkEnd w:id="31"/>
      <w:bookmarkStart w:id="32" w:name="_Hlt74729768"/>
      <w:bookmarkEnd w:id="32"/>
      <w:bookmarkStart w:id="33" w:name="_Hlt68403820"/>
      <w:bookmarkEnd w:id="33"/>
      <w:bookmarkStart w:id="34" w:name="_Hlt74730295"/>
      <w:bookmarkEnd w:id="34"/>
      <w:bookmarkStart w:id="35" w:name="_Hlt68073093"/>
      <w:bookmarkEnd w:id="35"/>
      <w:bookmarkStart w:id="36" w:name="_Hlt75236290"/>
      <w:bookmarkEnd w:id="36"/>
      <w:bookmarkStart w:id="37" w:name="_Hlt68072998"/>
      <w:bookmarkEnd w:id="37"/>
      <w:bookmarkStart w:id="38" w:name="_Hlt74707468"/>
      <w:bookmarkEnd w:id="38"/>
    </w:p>
    <w:p w14:paraId="6C59EBDE">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3C43AD5">
      <w:pPr>
        <w:pStyle w:val="80"/>
        <w:ind w:firstLine="420"/>
        <w:rPr>
          <w:rFonts w:ascii="宋体" w:hAnsi="宋体" w:eastAsia="宋体" w:cs="宋体"/>
          <w:color w:val="auto"/>
          <w:kern w:val="0"/>
          <w:sz w:val="21"/>
          <w:szCs w:val="21"/>
          <w:highlight w:val="none"/>
          <w:lang w:val="en-US"/>
        </w:rPr>
      </w:pPr>
    </w:p>
    <w:p w14:paraId="0EE62DCE">
      <w:pPr>
        <w:pStyle w:val="80"/>
        <w:ind w:firstLine="420"/>
        <w:rPr>
          <w:rFonts w:ascii="宋体" w:hAnsi="宋体" w:eastAsia="宋体" w:cs="宋体"/>
          <w:color w:val="auto"/>
          <w:kern w:val="0"/>
          <w:sz w:val="21"/>
          <w:szCs w:val="21"/>
          <w:highlight w:val="none"/>
          <w:lang w:val="en-US"/>
        </w:rPr>
        <w:sectPr>
          <w:headerReference r:id="rId4" w:type="first"/>
          <w:footerReference r:id="rId7" w:type="first"/>
          <w:headerReference r:id="rId3" w:type="default"/>
          <w:footerReference r:id="rId5" w:type="default"/>
          <w:footerReference r:id="rId6" w:type="even"/>
          <w:pgSz w:w="11905" w:h="16838"/>
          <w:pgMar w:top="1134" w:right="1417" w:bottom="1417" w:left="1417" w:header="709" w:footer="992" w:gutter="0"/>
          <w:cols w:space="0" w:num="1"/>
          <w:titlePg/>
          <w:docGrid w:linePitch="312" w:charSpace="0"/>
        </w:sectPr>
      </w:pPr>
    </w:p>
    <w:bookmarkEnd w:id="14"/>
    <w:bookmarkEnd w:id="15"/>
    <w:p w14:paraId="41D48F9F">
      <w:pPr>
        <w:spacing w:line="360" w:lineRule="auto"/>
        <w:jc w:val="center"/>
        <w:outlineLvl w:val="0"/>
        <w:rPr>
          <w:rFonts w:ascii="宋体" w:hAnsi="宋体" w:cs="宋体"/>
          <w:b/>
          <w:color w:val="auto"/>
          <w:sz w:val="36"/>
          <w:szCs w:val="36"/>
          <w:highlight w:val="none"/>
        </w:rPr>
      </w:pPr>
      <w:bookmarkStart w:id="39" w:name="_Toc10310"/>
      <w:bookmarkStart w:id="40" w:name="第四部分"/>
      <w:r>
        <w:rPr>
          <w:rFonts w:hint="eastAsia" w:ascii="宋体" w:hAnsi="宋体" w:cs="宋体"/>
          <w:b/>
          <w:color w:val="auto"/>
          <w:sz w:val="36"/>
          <w:szCs w:val="36"/>
          <w:highlight w:val="none"/>
        </w:rPr>
        <w:t>第三章 采购需求</w:t>
      </w:r>
      <w:bookmarkEnd w:id="39"/>
    </w:p>
    <w:p w14:paraId="7DC86355">
      <w:pPr>
        <w:tabs>
          <w:tab w:val="left" w:pos="0"/>
        </w:tabs>
        <w:spacing w:line="360" w:lineRule="auto"/>
        <w:ind w:firstLine="482"/>
        <w:outlineLvl w:val="1"/>
        <w:rPr>
          <w:rFonts w:ascii="宋体" w:hAnsi="宋体" w:cs="宋体"/>
          <w:b/>
          <w:bCs/>
          <w:color w:val="auto"/>
          <w:kern w:val="0"/>
          <w:szCs w:val="21"/>
          <w:highlight w:val="none"/>
        </w:rPr>
      </w:pPr>
      <w:r>
        <w:rPr>
          <w:rFonts w:hint="eastAsia" w:ascii="宋体" w:hAnsi="宋体" w:cs="宋体"/>
          <w:b/>
          <w:bCs/>
          <w:color w:val="auto"/>
          <w:kern w:val="0"/>
          <w:szCs w:val="21"/>
          <w:highlight w:val="none"/>
        </w:rPr>
        <w:t>一、项目概况</w:t>
      </w:r>
    </w:p>
    <w:p w14:paraId="1C571FCC">
      <w:pPr>
        <w:tabs>
          <w:tab w:val="left" w:pos="0"/>
        </w:tabs>
        <w:spacing w:line="360" w:lineRule="auto"/>
        <w:ind w:firstLine="482"/>
        <w:rPr>
          <w:rFonts w:hint="eastAsia" w:ascii="宋体" w:hAnsi="宋体" w:cs="宋体"/>
          <w:color w:val="auto"/>
          <w:kern w:val="0"/>
          <w:szCs w:val="21"/>
          <w:highlight w:val="none"/>
        </w:rPr>
      </w:pPr>
      <w:r>
        <w:rPr>
          <w:rFonts w:hint="eastAsia" w:ascii="宋体" w:hAnsi="宋体" w:cs="宋体"/>
          <w:color w:val="auto"/>
          <w:kern w:val="0"/>
          <w:szCs w:val="21"/>
          <w:highlight w:val="none"/>
        </w:rPr>
        <w:t>根据《杭州市系统化全域推进海绵城市建设示范工作行动计划(2021—2023年)》、《浙江省市政公用事业发展“十四五”规划》工作部署，在后示范时期</w:t>
      </w:r>
      <w:r>
        <w:rPr>
          <w:rFonts w:hint="eastAsia" w:ascii="宋体" w:hAnsi="宋体" w:cs="宋体"/>
          <w:color w:val="auto"/>
          <w:kern w:val="0"/>
          <w:szCs w:val="21"/>
          <w:highlight w:val="none"/>
          <w:lang w:val="en-US" w:eastAsia="zh-CN"/>
        </w:rPr>
        <w:t>杭州市</w:t>
      </w:r>
      <w:r>
        <w:rPr>
          <w:rFonts w:hint="eastAsia" w:ascii="宋体" w:hAnsi="宋体" w:cs="宋体"/>
          <w:color w:val="auto"/>
          <w:kern w:val="0"/>
          <w:szCs w:val="21"/>
          <w:highlight w:val="none"/>
        </w:rPr>
        <w:t>各区仍需按要求持续推进本区海绵城市区域化工作，至2025年底，</w:t>
      </w:r>
      <w:r>
        <w:rPr>
          <w:rFonts w:hint="eastAsia" w:ascii="宋体" w:hAnsi="宋体" w:cs="宋体"/>
          <w:color w:val="auto"/>
          <w:kern w:val="0"/>
          <w:szCs w:val="21"/>
          <w:highlight w:val="none"/>
          <w:lang w:val="en-US" w:eastAsia="zh-CN"/>
        </w:rPr>
        <w:t>拱墅区</w:t>
      </w:r>
      <w:r>
        <w:rPr>
          <w:rFonts w:hint="eastAsia" w:ascii="宋体" w:hAnsi="宋体" w:cs="宋体"/>
          <w:color w:val="auto"/>
          <w:kern w:val="0"/>
          <w:szCs w:val="21"/>
          <w:highlight w:val="none"/>
        </w:rPr>
        <w:t>需完成55%的建成区面积满足区域化达标要求；至2030年底，完成80%建成区面积满足区域化达标要求，因此仍需要第三方服务单位继续配合推进。</w:t>
      </w:r>
    </w:p>
    <w:p w14:paraId="4D6646A8">
      <w:pPr>
        <w:tabs>
          <w:tab w:val="left" w:pos="0"/>
        </w:tabs>
        <w:spacing w:line="360" w:lineRule="auto"/>
        <w:ind w:firstLine="482"/>
        <w:rPr>
          <w:rFonts w:ascii="宋体" w:hAnsi="宋体" w:cs="宋体"/>
          <w:color w:val="auto"/>
          <w:kern w:val="0"/>
          <w:szCs w:val="21"/>
          <w:highlight w:val="none"/>
        </w:rPr>
      </w:pPr>
      <w:r>
        <w:rPr>
          <w:rFonts w:hint="eastAsia" w:ascii="宋体" w:hAnsi="宋体" w:cs="宋体"/>
          <w:color w:val="auto"/>
          <w:kern w:val="0"/>
          <w:szCs w:val="21"/>
          <w:highlight w:val="none"/>
        </w:rPr>
        <w:t>海绵城市建设工作经过杭州海绵示范城市建设的培养，业务模式已逐步成熟，海绵技术服务业务内容主要包括项目海绵方案审查、现场技术指导及其它日常配合工作等。</w:t>
      </w:r>
    </w:p>
    <w:p w14:paraId="183E2110">
      <w:pPr>
        <w:tabs>
          <w:tab w:val="left" w:pos="0"/>
        </w:tabs>
        <w:spacing w:line="360" w:lineRule="auto"/>
        <w:ind w:firstLine="482"/>
        <w:outlineLvl w:val="1"/>
        <w:rPr>
          <w:rFonts w:ascii="宋体" w:hAnsi="宋体" w:cs="宋体"/>
          <w:b/>
          <w:bCs/>
          <w:color w:val="auto"/>
          <w:kern w:val="0"/>
          <w:szCs w:val="21"/>
          <w:highlight w:val="none"/>
        </w:rPr>
      </w:pPr>
      <w:r>
        <w:rPr>
          <w:rFonts w:hint="eastAsia" w:ascii="宋体" w:hAnsi="宋体" w:cs="宋体"/>
          <w:b/>
          <w:bCs/>
          <w:color w:val="auto"/>
          <w:kern w:val="0"/>
          <w:szCs w:val="21"/>
          <w:highlight w:val="none"/>
        </w:rPr>
        <w:t>二、</w:t>
      </w:r>
      <w:r>
        <w:rPr>
          <w:rFonts w:hint="eastAsia" w:ascii="宋体" w:hAnsi="宋体" w:cs="宋体"/>
          <w:b/>
          <w:bCs/>
          <w:color w:val="auto"/>
          <w:kern w:val="0"/>
          <w:szCs w:val="21"/>
          <w:highlight w:val="none"/>
          <w:lang w:val="en-US" w:eastAsia="zh-CN"/>
        </w:rPr>
        <w:t>技术</w:t>
      </w:r>
      <w:r>
        <w:rPr>
          <w:rFonts w:hint="eastAsia" w:ascii="宋体" w:hAnsi="宋体" w:cs="宋体"/>
          <w:b/>
          <w:bCs/>
          <w:color w:val="auto"/>
          <w:kern w:val="0"/>
          <w:szCs w:val="21"/>
          <w:highlight w:val="none"/>
        </w:rPr>
        <w:t>要求</w:t>
      </w:r>
    </w:p>
    <w:p w14:paraId="25BD3297">
      <w:pPr>
        <w:tabs>
          <w:tab w:val="left" w:pos="0"/>
        </w:tabs>
        <w:spacing w:line="360" w:lineRule="auto"/>
        <w:ind w:firstLine="482"/>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（1）拱墅区海绵城市建设项目技术审查及咨询服务</w:t>
      </w:r>
    </w:p>
    <w:p w14:paraId="2FBB7E38">
      <w:pPr>
        <w:tabs>
          <w:tab w:val="left" w:pos="0"/>
        </w:tabs>
        <w:spacing w:line="360" w:lineRule="auto"/>
        <w:ind w:firstLine="482"/>
        <w:rPr>
          <w:rFonts w:hint="eastAsia" w:ascii="宋体" w:hAnsi="宋体" w:cs="宋体"/>
          <w:color w:val="auto"/>
          <w:kern w:val="0"/>
          <w:szCs w:val="21"/>
          <w:highlight w:val="none"/>
        </w:rPr>
      </w:pPr>
      <w:r>
        <w:rPr>
          <w:rFonts w:hint="eastAsia" w:ascii="宋体" w:hAnsi="宋体" w:cs="宋体"/>
          <w:color w:val="auto"/>
          <w:kern w:val="0"/>
          <w:szCs w:val="21"/>
          <w:highlight w:val="none"/>
        </w:rPr>
        <w:t>按照海绵城市建设相关规范、导则、标准、图集、规程的要求，针对不同类型的建设项目及相应规划建设主管部门的实际需求提供不同方式的技术审查和咨询服务，包括：</w:t>
      </w:r>
    </w:p>
    <w:p w14:paraId="10140047">
      <w:pPr>
        <w:tabs>
          <w:tab w:val="left" w:pos="0"/>
        </w:tabs>
        <w:spacing w:line="360" w:lineRule="auto"/>
        <w:ind w:firstLine="482"/>
        <w:rPr>
          <w:rFonts w:hint="eastAsia" w:ascii="宋体" w:hAnsi="宋体" w:cs="宋体"/>
          <w:color w:val="auto"/>
          <w:kern w:val="0"/>
          <w:szCs w:val="21"/>
          <w:highlight w:val="none"/>
        </w:rPr>
      </w:pPr>
      <w:r>
        <w:rPr>
          <w:rFonts w:hint="eastAsia" w:ascii="宋体" w:hAnsi="宋体" w:cs="宋体"/>
          <w:color w:val="auto"/>
          <w:kern w:val="0"/>
          <w:szCs w:val="21"/>
          <w:highlight w:val="none"/>
        </w:rPr>
        <w:t>1）已建项目：对已建项目的海绵城市建设相关施工图、竣工图等材料进行技术审查，并根据已建项目建设内容，核算建成项目年径流总量控制率。根据建设主管部门需求提出相应优化整改意见。</w:t>
      </w:r>
    </w:p>
    <w:p w14:paraId="43CC5E0F">
      <w:pPr>
        <w:tabs>
          <w:tab w:val="left" w:pos="0"/>
        </w:tabs>
        <w:spacing w:line="360" w:lineRule="auto"/>
        <w:ind w:firstLine="482"/>
        <w:rPr>
          <w:rFonts w:hint="eastAsia" w:ascii="宋体" w:hAnsi="宋体" w:cs="宋体"/>
          <w:color w:val="auto"/>
          <w:kern w:val="0"/>
          <w:szCs w:val="21"/>
          <w:highlight w:val="none"/>
        </w:rPr>
      </w:pPr>
      <w:r>
        <w:rPr>
          <w:rFonts w:hint="eastAsia" w:ascii="宋体" w:hAnsi="宋体" w:cs="宋体"/>
          <w:color w:val="auto"/>
          <w:kern w:val="0"/>
          <w:szCs w:val="21"/>
          <w:highlight w:val="none"/>
        </w:rPr>
        <w:t>2）在建项目：对在建项目的设计图纸及指标进行审查核算，如不满足既定要求，及时对接项目建设实际进度，提出海绵措施增加的可行性建议和相应修改意见。项目竣工后，根据建设主管部门需求参与项目抽查与验收。</w:t>
      </w:r>
    </w:p>
    <w:p w14:paraId="45AF541D">
      <w:pPr>
        <w:tabs>
          <w:tab w:val="left" w:pos="0"/>
        </w:tabs>
        <w:spacing w:line="360" w:lineRule="auto"/>
        <w:ind w:firstLine="482"/>
        <w:rPr>
          <w:rFonts w:hint="eastAsia" w:ascii="宋体" w:hAnsi="宋体" w:cs="宋体"/>
          <w:color w:val="auto"/>
          <w:kern w:val="0"/>
          <w:szCs w:val="21"/>
          <w:highlight w:val="none"/>
        </w:rPr>
      </w:pPr>
      <w:r>
        <w:rPr>
          <w:rFonts w:hint="eastAsia" w:ascii="宋体" w:hAnsi="宋体" w:cs="宋体"/>
          <w:color w:val="auto"/>
          <w:kern w:val="0"/>
          <w:szCs w:val="21"/>
          <w:highlight w:val="none"/>
        </w:rPr>
        <w:t>3）待建项目：对提交设计审查的项目进行海绵城市建设专篇及图纸技术审查，核算年径流总量控制率指标达标性，出具海绵城市技术审查意见和优化设计建议。对于审查不合格的项目，对设计单位修改后的方案重新复查。</w:t>
      </w:r>
    </w:p>
    <w:p w14:paraId="72EAD587">
      <w:pPr>
        <w:tabs>
          <w:tab w:val="left" w:pos="0"/>
        </w:tabs>
        <w:spacing w:line="360" w:lineRule="auto"/>
        <w:ind w:firstLine="482"/>
        <w:rPr>
          <w:rFonts w:hint="eastAsia" w:ascii="宋体" w:hAnsi="宋体" w:cs="宋体"/>
          <w:color w:val="auto"/>
          <w:kern w:val="0"/>
          <w:szCs w:val="21"/>
          <w:highlight w:val="none"/>
        </w:rPr>
      </w:pPr>
      <w:r>
        <w:rPr>
          <w:rFonts w:hint="eastAsia" w:ascii="宋体" w:hAnsi="宋体" w:cs="宋体"/>
          <w:color w:val="auto"/>
          <w:kern w:val="0"/>
          <w:szCs w:val="21"/>
          <w:highlight w:val="none"/>
        </w:rPr>
        <w:t>4）参加海绵城市建设项目相关协调会议、技术论证会议及工程其他技术会议，并落实会议布置的技术任务。</w:t>
      </w:r>
    </w:p>
    <w:p w14:paraId="345FA9B9">
      <w:pPr>
        <w:tabs>
          <w:tab w:val="left" w:pos="0"/>
        </w:tabs>
        <w:spacing w:line="360" w:lineRule="auto"/>
        <w:ind w:firstLine="482"/>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（2）拱墅区海绵城市考核配合相关的技术服务</w:t>
      </w:r>
    </w:p>
    <w:p w14:paraId="48258B40">
      <w:pPr>
        <w:tabs>
          <w:tab w:val="left" w:pos="0"/>
        </w:tabs>
        <w:spacing w:line="360" w:lineRule="auto"/>
        <w:ind w:firstLine="482"/>
        <w:rPr>
          <w:rFonts w:hint="eastAsia" w:ascii="宋体" w:hAnsi="宋体" w:cs="宋体"/>
          <w:color w:val="auto"/>
          <w:kern w:val="0"/>
          <w:szCs w:val="21"/>
          <w:highlight w:val="none"/>
        </w:rPr>
      </w:pPr>
      <w:r>
        <w:rPr>
          <w:rFonts w:hint="eastAsia" w:ascii="宋体" w:hAnsi="宋体" w:cs="宋体"/>
          <w:color w:val="auto"/>
          <w:kern w:val="0"/>
          <w:szCs w:val="21"/>
          <w:highlight w:val="none"/>
        </w:rPr>
        <w:t>1）及时总结、提炼拱墅区海绵城市建设亮点，形成汇报演示材料（PPT）,供各种会议的展示和汇报使用，并配合拱墅区准备相关资料，协助拱墅区完成迎检考核任务。</w:t>
      </w:r>
    </w:p>
    <w:p w14:paraId="7C46F935">
      <w:pPr>
        <w:tabs>
          <w:tab w:val="left" w:pos="0"/>
        </w:tabs>
        <w:spacing w:line="360" w:lineRule="auto"/>
        <w:ind w:firstLine="482"/>
        <w:rPr>
          <w:rFonts w:hint="eastAsia" w:ascii="宋体" w:hAnsi="宋体" w:cs="宋体"/>
          <w:color w:val="auto"/>
          <w:kern w:val="0"/>
          <w:szCs w:val="21"/>
          <w:highlight w:val="none"/>
        </w:rPr>
      </w:pPr>
      <w:r>
        <w:rPr>
          <w:rFonts w:hint="eastAsia" w:ascii="宋体" w:hAnsi="宋体" w:cs="宋体"/>
          <w:color w:val="auto"/>
          <w:kern w:val="0"/>
          <w:szCs w:val="21"/>
          <w:highlight w:val="none"/>
        </w:rPr>
        <w:t>2）协助编制拱墅区海绵城市建设月报等，协助拱墅区海绵城市相关会议的组织与材料准备。</w:t>
      </w:r>
    </w:p>
    <w:p w14:paraId="621779A1">
      <w:pPr>
        <w:tabs>
          <w:tab w:val="left" w:pos="0"/>
        </w:tabs>
        <w:spacing w:line="360" w:lineRule="auto"/>
        <w:ind w:firstLine="482"/>
        <w:rPr>
          <w:rFonts w:hint="eastAsia" w:ascii="宋体" w:hAnsi="宋体" w:cs="宋体"/>
          <w:color w:val="auto"/>
          <w:kern w:val="0"/>
          <w:szCs w:val="21"/>
          <w:highlight w:val="none"/>
        </w:rPr>
      </w:pPr>
      <w:r>
        <w:rPr>
          <w:rFonts w:hint="eastAsia" w:ascii="宋体" w:hAnsi="宋体" w:cs="宋体"/>
          <w:color w:val="auto"/>
          <w:kern w:val="0"/>
          <w:szCs w:val="21"/>
          <w:highlight w:val="none"/>
        </w:rPr>
        <w:t>3）配合拱墅区进行省级重点项目的申报、评选。</w:t>
      </w:r>
    </w:p>
    <w:p w14:paraId="1EF247C0">
      <w:pPr>
        <w:tabs>
          <w:tab w:val="left" w:pos="0"/>
        </w:tabs>
        <w:spacing w:line="360" w:lineRule="auto"/>
        <w:ind w:firstLine="482"/>
        <w:rPr>
          <w:rFonts w:hint="eastAsia" w:ascii="宋体" w:hAnsi="宋体" w:cs="宋体"/>
          <w:color w:val="auto"/>
          <w:kern w:val="0"/>
          <w:szCs w:val="21"/>
          <w:highlight w:val="none"/>
        </w:rPr>
      </w:pPr>
      <w:r>
        <w:rPr>
          <w:rFonts w:hint="eastAsia" w:ascii="宋体" w:hAnsi="宋体" w:cs="宋体"/>
          <w:color w:val="auto"/>
          <w:kern w:val="0"/>
          <w:szCs w:val="21"/>
          <w:highlight w:val="none"/>
        </w:rPr>
        <w:t>4）配合主管部门，组织海绵城市建设相关专业知识讲解或培训至少一次。</w:t>
      </w:r>
    </w:p>
    <w:p w14:paraId="370E94A7">
      <w:pPr>
        <w:tabs>
          <w:tab w:val="left" w:pos="0"/>
        </w:tabs>
        <w:spacing w:line="360" w:lineRule="auto"/>
        <w:ind w:firstLine="482"/>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（3）形成技术服务报告、总结报告</w:t>
      </w:r>
    </w:p>
    <w:p w14:paraId="65B402CF">
      <w:pPr>
        <w:tabs>
          <w:tab w:val="left" w:pos="0"/>
        </w:tabs>
        <w:spacing w:line="360" w:lineRule="auto"/>
        <w:ind w:firstLine="482"/>
        <w:rPr>
          <w:rFonts w:hint="eastAsia" w:ascii="宋体" w:hAnsi="宋体" w:cs="宋体"/>
          <w:color w:val="auto"/>
          <w:kern w:val="0"/>
          <w:szCs w:val="21"/>
          <w:highlight w:val="none"/>
        </w:rPr>
      </w:pPr>
      <w:r>
        <w:rPr>
          <w:rFonts w:hint="eastAsia" w:ascii="宋体" w:hAnsi="宋体" w:cs="宋体"/>
          <w:color w:val="auto"/>
          <w:kern w:val="0"/>
          <w:szCs w:val="21"/>
          <w:highlight w:val="none"/>
        </w:rPr>
        <w:t>及时记录拱墅区海绵城市建设技术服务工作内容，并结合技术服务工作，总结并归纳拱墅区海绵城市建设亮点示范特色，形成可推广、能应用的拱墅经验。</w:t>
      </w:r>
    </w:p>
    <w:p w14:paraId="55266417">
      <w:pPr>
        <w:tabs>
          <w:tab w:val="left" w:pos="0"/>
        </w:tabs>
        <w:spacing w:line="360" w:lineRule="auto"/>
        <w:ind w:firstLine="482"/>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（4）2025年拱墅区海绵城市建设自评估报告</w:t>
      </w:r>
    </w:p>
    <w:p w14:paraId="2DBA5799">
      <w:pPr>
        <w:tabs>
          <w:tab w:val="left" w:pos="0"/>
        </w:tabs>
        <w:spacing w:line="360" w:lineRule="auto"/>
        <w:ind w:firstLine="482"/>
        <w:rPr>
          <w:rFonts w:hint="eastAsia" w:ascii="宋体" w:hAnsi="宋体" w:cs="宋体"/>
          <w:color w:val="auto"/>
          <w:kern w:val="0"/>
          <w:szCs w:val="21"/>
          <w:highlight w:val="none"/>
        </w:rPr>
      </w:pPr>
      <w:r>
        <w:rPr>
          <w:rFonts w:hint="eastAsia" w:ascii="宋体" w:hAnsi="宋体" w:cs="宋体"/>
          <w:color w:val="auto"/>
          <w:kern w:val="0"/>
          <w:szCs w:val="21"/>
          <w:highlight w:val="none"/>
        </w:rPr>
        <w:t>根据省、市系统化全域推进海绵城市建设要求，编制拱墅区2025年海绵城市建设自评估报告，并协助梳理向上级提交相关材料，给出技术建议等。</w:t>
      </w:r>
    </w:p>
    <w:p w14:paraId="458DF5CD">
      <w:pPr>
        <w:spacing w:line="360" w:lineRule="auto"/>
        <w:ind w:firstLine="211" w:firstLineChars="100"/>
        <w:jc w:val="left"/>
        <w:outlineLvl w:val="1"/>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三、项目组人员要求</w:t>
      </w:r>
    </w:p>
    <w:p w14:paraId="1559221A">
      <w:pPr>
        <w:tabs>
          <w:tab w:val="left" w:pos="0"/>
        </w:tabs>
        <w:spacing w:line="360" w:lineRule="auto"/>
        <w:ind w:firstLine="482"/>
        <w:rPr>
          <w:rFonts w:hint="default" w:ascii="宋体" w:hAnsi="宋体" w:cs="宋体"/>
          <w:color w:val="auto"/>
          <w:szCs w:val="21"/>
          <w:highlight w:val="none"/>
          <w:lang w:val="en-US" w:eastAsia="zh-CN"/>
        </w:rPr>
      </w:pPr>
      <w:r>
        <w:rPr>
          <w:rFonts w:hint="eastAsia" w:ascii="宋体" w:hAnsi="宋体" w:cs="宋体"/>
          <w:color w:val="auto"/>
          <w:szCs w:val="21"/>
          <w:highlight w:val="none"/>
        </w:rPr>
        <w:t>供应商</w:t>
      </w:r>
      <w:r>
        <w:rPr>
          <w:rFonts w:hint="eastAsia" w:ascii="宋体" w:hAnsi="宋体" w:cs="宋体"/>
          <w:color w:val="auto"/>
          <w:szCs w:val="21"/>
          <w:highlight w:val="none"/>
          <w:lang w:val="en-US" w:eastAsia="zh-CN"/>
        </w:rPr>
        <w:t>拟</w:t>
      </w:r>
      <w:r>
        <w:rPr>
          <w:rFonts w:hint="eastAsia" w:ascii="宋体" w:hAnsi="宋体" w:cs="宋体"/>
          <w:color w:val="auto"/>
          <w:szCs w:val="21"/>
          <w:highlight w:val="none"/>
        </w:rPr>
        <w:t>派</w:t>
      </w:r>
      <w:r>
        <w:rPr>
          <w:rFonts w:hint="eastAsia" w:ascii="宋体" w:hAnsi="宋体" w:cs="宋体"/>
          <w:color w:val="auto"/>
          <w:szCs w:val="21"/>
          <w:highlight w:val="none"/>
          <w:lang w:val="en-US" w:eastAsia="zh-CN"/>
        </w:rPr>
        <w:t>项目组成员具有排水专业、景观园林专业、城乡规划专业、道路交通类、工程造价类、结构类等专业人员；优先安排具有国家相应注册证书、高级职称的人员负责本项目的服务。</w:t>
      </w:r>
    </w:p>
    <w:p w14:paraId="778A668C">
      <w:pPr>
        <w:tabs>
          <w:tab w:val="left" w:pos="0"/>
        </w:tabs>
        <w:spacing w:line="360" w:lineRule="auto"/>
        <w:ind w:firstLine="482"/>
        <w:rPr>
          <w:rFonts w:hint="eastAsia" w:ascii="宋体" w:hAnsi="宋体" w:cs="宋体"/>
          <w:b/>
          <w:bCs/>
          <w:color w:val="auto"/>
          <w:kern w:val="0"/>
          <w:szCs w:val="21"/>
          <w:highlight w:val="none"/>
        </w:rPr>
      </w:pPr>
    </w:p>
    <w:p w14:paraId="24E8242F">
      <w:pPr>
        <w:spacing w:line="360" w:lineRule="auto"/>
        <w:ind w:firstLine="211" w:firstLineChars="100"/>
        <w:jc w:val="left"/>
        <w:outlineLvl w:val="1"/>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服务期</w:t>
      </w:r>
    </w:p>
    <w:p w14:paraId="29B51C91">
      <w:pPr>
        <w:tabs>
          <w:tab w:val="left" w:pos="0"/>
        </w:tabs>
        <w:spacing w:line="360" w:lineRule="auto"/>
        <w:ind w:firstLine="482"/>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合同签订后一年</w:t>
      </w:r>
      <w:r>
        <w:rPr>
          <w:rFonts w:hint="eastAsia" w:ascii="宋体" w:hAnsi="宋体" w:cs="宋体"/>
          <w:color w:val="auto"/>
          <w:kern w:val="0"/>
          <w:szCs w:val="21"/>
          <w:highlight w:val="none"/>
          <w:lang w:eastAsia="zh-CN"/>
        </w:rPr>
        <w:t>。</w:t>
      </w:r>
    </w:p>
    <w:p w14:paraId="11D972E3">
      <w:pPr>
        <w:numPr>
          <w:ilvl w:val="0"/>
          <w:numId w:val="0"/>
        </w:numPr>
        <w:snapToGrid w:val="0"/>
        <w:spacing w:line="360" w:lineRule="auto"/>
        <w:ind w:firstLine="211" w:firstLineChars="100"/>
        <w:jc w:val="left"/>
        <w:outlineLvl w:val="1"/>
        <w:rPr>
          <w:rFonts w:hint="eastAsia" w:ascii="宋体" w:hAnsi="宋体" w:cs="宋体"/>
          <w:b/>
          <w:bCs/>
          <w:color w:val="auto"/>
          <w:szCs w:val="21"/>
          <w:highlight w:val="none"/>
          <w:lang w:val="en-US" w:eastAsia="zh-CN"/>
        </w:rPr>
      </w:pPr>
      <w:r>
        <w:rPr>
          <w:rFonts w:hint="eastAsia" w:ascii="宋体" w:hAnsi="宋体" w:cs="宋体"/>
          <w:b/>
          <w:bCs/>
          <w:color w:val="auto"/>
          <w:kern w:val="2"/>
          <w:sz w:val="21"/>
          <w:szCs w:val="21"/>
          <w:highlight w:val="none"/>
          <w:lang w:val="en-US" w:eastAsia="zh-CN" w:bidi="ar-SA"/>
        </w:rPr>
        <w:t>五</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lang w:val="en-US" w:eastAsia="zh-CN"/>
        </w:rPr>
        <w:t>付款条件</w:t>
      </w:r>
    </w:p>
    <w:tbl>
      <w:tblPr>
        <w:tblStyle w:val="63"/>
        <w:tblW w:w="504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73"/>
        <w:gridCol w:w="1428"/>
        <w:gridCol w:w="6277"/>
      </w:tblGrid>
      <w:tr w14:paraId="502D5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892" w:type="pct"/>
            <w:tcBorders>
              <w:top w:val="single" w:color="000000" w:sz="4" w:space="0"/>
              <w:left w:val="single" w:color="000000" w:sz="4" w:space="0"/>
              <w:bottom w:val="single" w:color="000000" w:sz="4" w:space="0"/>
              <w:right w:val="single" w:color="000000" w:sz="4" w:space="0"/>
            </w:tcBorders>
            <w:vAlign w:val="center"/>
          </w:tcPr>
          <w:p w14:paraId="4A9ED25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付费阶段</w:t>
            </w:r>
          </w:p>
        </w:tc>
        <w:tc>
          <w:tcPr>
            <w:tcW w:w="761" w:type="pct"/>
            <w:tcBorders>
              <w:top w:val="single" w:color="000000" w:sz="4" w:space="0"/>
              <w:left w:val="single" w:color="000000" w:sz="4" w:space="0"/>
              <w:bottom w:val="single" w:color="000000" w:sz="4" w:space="0"/>
              <w:right w:val="single" w:color="000000" w:sz="4" w:space="0"/>
            </w:tcBorders>
            <w:vAlign w:val="center"/>
          </w:tcPr>
          <w:p w14:paraId="49F8A1BC">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w:t>
            </w:r>
          </w:p>
        </w:tc>
        <w:tc>
          <w:tcPr>
            <w:tcW w:w="3345" w:type="pct"/>
            <w:tcBorders>
              <w:top w:val="single" w:color="000000" w:sz="4" w:space="0"/>
              <w:left w:val="single" w:color="000000" w:sz="4" w:space="0"/>
              <w:bottom w:val="single" w:color="000000" w:sz="4" w:space="0"/>
              <w:right w:val="single" w:color="000000" w:sz="4" w:space="0"/>
            </w:tcBorders>
            <w:vAlign w:val="center"/>
          </w:tcPr>
          <w:p w14:paraId="6261775F">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付费时间</w:t>
            </w:r>
          </w:p>
        </w:tc>
      </w:tr>
      <w:tr w14:paraId="2C05E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892" w:type="pct"/>
            <w:tcBorders>
              <w:top w:val="single" w:color="000000" w:sz="4" w:space="0"/>
              <w:left w:val="single" w:color="000000" w:sz="4" w:space="0"/>
              <w:bottom w:val="single" w:color="000000" w:sz="4" w:space="0"/>
              <w:right w:val="single" w:color="000000" w:sz="4" w:space="0"/>
            </w:tcBorders>
            <w:vAlign w:val="center"/>
          </w:tcPr>
          <w:p w14:paraId="7723698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第一次付费</w:t>
            </w:r>
          </w:p>
        </w:tc>
        <w:tc>
          <w:tcPr>
            <w:tcW w:w="761" w:type="pct"/>
            <w:tcBorders>
              <w:top w:val="single" w:color="000000" w:sz="4" w:space="0"/>
              <w:left w:val="single" w:color="000000" w:sz="4" w:space="0"/>
              <w:bottom w:val="single" w:color="000000" w:sz="4" w:space="0"/>
              <w:right w:val="single" w:color="000000" w:sz="4" w:space="0"/>
            </w:tcBorders>
            <w:vAlign w:val="center"/>
          </w:tcPr>
          <w:p w14:paraId="2493F37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3345" w:type="pct"/>
            <w:tcBorders>
              <w:top w:val="single" w:color="000000" w:sz="4" w:space="0"/>
              <w:left w:val="single" w:color="000000" w:sz="4" w:space="0"/>
              <w:bottom w:val="single" w:color="000000" w:sz="4" w:space="0"/>
              <w:right w:val="single" w:color="000000" w:sz="4" w:space="0"/>
            </w:tcBorders>
            <w:vAlign w:val="center"/>
          </w:tcPr>
          <w:p w14:paraId="5AEF5E6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签订合同后15个工作日内支付。</w:t>
            </w:r>
          </w:p>
        </w:tc>
      </w:tr>
      <w:tr w14:paraId="2FF30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892" w:type="pct"/>
            <w:tcBorders>
              <w:top w:val="single" w:color="000000" w:sz="4" w:space="0"/>
              <w:left w:val="single" w:color="000000" w:sz="4" w:space="0"/>
              <w:bottom w:val="single" w:color="000000" w:sz="4" w:space="0"/>
              <w:right w:val="single" w:color="000000" w:sz="4" w:space="0"/>
            </w:tcBorders>
            <w:vAlign w:val="center"/>
          </w:tcPr>
          <w:p w14:paraId="79A0D84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第二次付费</w:t>
            </w:r>
          </w:p>
        </w:tc>
        <w:tc>
          <w:tcPr>
            <w:tcW w:w="761" w:type="pct"/>
            <w:tcBorders>
              <w:top w:val="single" w:color="000000" w:sz="4" w:space="0"/>
              <w:left w:val="single" w:color="000000" w:sz="4" w:space="0"/>
              <w:bottom w:val="single" w:color="000000" w:sz="4" w:space="0"/>
              <w:right w:val="single" w:color="000000" w:sz="4" w:space="0"/>
            </w:tcBorders>
            <w:vAlign w:val="center"/>
          </w:tcPr>
          <w:p w14:paraId="2A96FF8E">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3345" w:type="pct"/>
            <w:tcBorders>
              <w:top w:val="single" w:color="000000" w:sz="4" w:space="0"/>
              <w:left w:val="single" w:color="000000" w:sz="4" w:space="0"/>
              <w:bottom w:val="single" w:color="000000" w:sz="4" w:space="0"/>
              <w:right w:val="single" w:color="000000" w:sz="4" w:space="0"/>
            </w:tcBorders>
            <w:vAlign w:val="center"/>
          </w:tcPr>
          <w:p w14:paraId="7DD6AE8B">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服务期满9个月后10个工作日内支付。</w:t>
            </w:r>
          </w:p>
        </w:tc>
      </w:tr>
      <w:tr w14:paraId="367A2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892" w:type="pct"/>
            <w:tcBorders>
              <w:top w:val="single" w:color="000000" w:sz="4" w:space="0"/>
              <w:left w:val="single" w:color="000000" w:sz="4" w:space="0"/>
              <w:bottom w:val="single" w:color="000000" w:sz="4" w:space="0"/>
              <w:right w:val="single" w:color="000000" w:sz="4" w:space="0"/>
            </w:tcBorders>
            <w:vAlign w:val="center"/>
          </w:tcPr>
          <w:p w14:paraId="187B7789">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第三次付费</w:t>
            </w:r>
          </w:p>
        </w:tc>
        <w:tc>
          <w:tcPr>
            <w:tcW w:w="761" w:type="pct"/>
            <w:tcBorders>
              <w:top w:val="single" w:color="000000" w:sz="4" w:space="0"/>
              <w:left w:val="single" w:color="000000" w:sz="4" w:space="0"/>
              <w:bottom w:val="single" w:color="000000" w:sz="4" w:space="0"/>
              <w:right w:val="single" w:color="000000" w:sz="4" w:space="0"/>
            </w:tcBorders>
            <w:vAlign w:val="center"/>
          </w:tcPr>
          <w:p w14:paraId="53A57E4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3345" w:type="pct"/>
            <w:tcBorders>
              <w:top w:val="single" w:color="000000" w:sz="4" w:space="0"/>
              <w:left w:val="single" w:color="000000" w:sz="4" w:space="0"/>
              <w:bottom w:val="single" w:color="000000" w:sz="4" w:space="0"/>
              <w:right w:val="single" w:color="000000" w:sz="4" w:space="0"/>
            </w:tcBorders>
            <w:vAlign w:val="center"/>
          </w:tcPr>
          <w:p w14:paraId="0EE9B2B9">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服务结束后，待终期相关成果提交认可以后在10个工作日内支付。</w:t>
            </w:r>
          </w:p>
        </w:tc>
      </w:tr>
    </w:tbl>
    <w:p w14:paraId="68944F2B">
      <w:pPr>
        <w:snapToGrid w:val="0"/>
        <w:spacing w:line="360" w:lineRule="auto"/>
        <w:ind w:firstLine="422" w:firstLineChars="200"/>
        <w:jc w:val="left"/>
        <w:rPr>
          <w:rFonts w:hint="eastAsia" w:ascii="宋体" w:hAnsi="宋体" w:eastAsia="宋体" w:cs="宋体"/>
          <w:b/>
          <w:bCs/>
          <w:color w:val="auto"/>
          <w:kern w:val="2"/>
          <w:sz w:val="21"/>
          <w:szCs w:val="21"/>
          <w:highlight w:val="none"/>
          <w:lang w:val="en-US" w:eastAsia="zh-CN" w:bidi="ar-SA"/>
        </w:rPr>
      </w:pPr>
    </w:p>
    <w:p w14:paraId="2AEB8C34">
      <w:pPr>
        <w:numPr>
          <w:ilvl w:val="0"/>
          <w:numId w:val="0"/>
        </w:numPr>
        <w:snapToGrid w:val="0"/>
        <w:spacing w:line="360" w:lineRule="auto"/>
        <w:ind w:firstLine="211" w:firstLineChars="100"/>
        <w:jc w:val="left"/>
        <w:outlineLvl w:val="1"/>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六</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验收、交付标准和方法</w:t>
      </w:r>
    </w:p>
    <w:p w14:paraId="2C3CB655">
      <w:pPr>
        <w:tabs>
          <w:tab w:val="left" w:pos="0"/>
        </w:tabs>
        <w:spacing w:line="360" w:lineRule="auto"/>
        <w:ind w:firstLine="482"/>
        <w:rPr>
          <w:rFonts w:hint="eastAsia" w:ascii="宋体" w:hAnsi="宋体" w:cs="宋体"/>
          <w:color w:val="auto"/>
          <w:kern w:val="0"/>
          <w:szCs w:val="21"/>
          <w:highlight w:val="none"/>
        </w:rPr>
      </w:pPr>
      <w:r>
        <w:rPr>
          <w:rFonts w:hint="eastAsia" w:ascii="宋体" w:hAnsi="宋体" w:cs="宋体"/>
          <w:color w:val="auto"/>
          <w:kern w:val="0"/>
          <w:szCs w:val="21"/>
          <w:highlight w:val="none"/>
        </w:rPr>
        <w:t>（1）验收按国家有关规范标准（国家无验收规范标准的按双方合同规定的要求）进行。</w:t>
      </w:r>
    </w:p>
    <w:p w14:paraId="323024EE">
      <w:pPr>
        <w:tabs>
          <w:tab w:val="left" w:pos="0"/>
        </w:tabs>
        <w:spacing w:line="360" w:lineRule="auto"/>
        <w:ind w:firstLine="482"/>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招标人</w:t>
      </w:r>
      <w:r>
        <w:rPr>
          <w:rFonts w:hint="eastAsia" w:ascii="宋体" w:hAnsi="宋体" w:cs="宋体"/>
          <w:color w:val="auto"/>
          <w:kern w:val="0"/>
          <w:szCs w:val="21"/>
          <w:highlight w:val="none"/>
        </w:rPr>
        <w:t>保留邀请第三方机构或相关技术专家参与验收的权利。参与验收的第三方机构的意见作为验收书的参考资料一并存档,相应的费用由</w:t>
      </w:r>
      <w:r>
        <w:rPr>
          <w:rFonts w:hint="eastAsia" w:ascii="宋体" w:hAnsi="宋体" w:cs="宋体"/>
          <w:color w:val="auto"/>
          <w:kern w:val="0"/>
          <w:szCs w:val="21"/>
          <w:highlight w:val="none"/>
          <w:lang w:val="en-US" w:eastAsia="zh-CN"/>
        </w:rPr>
        <w:t>中标人</w:t>
      </w:r>
      <w:r>
        <w:rPr>
          <w:rFonts w:hint="eastAsia" w:ascii="宋体" w:hAnsi="宋体" w:cs="宋体"/>
          <w:color w:val="auto"/>
          <w:kern w:val="0"/>
          <w:szCs w:val="21"/>
          <w:highlight w:val="none"/>
        </w:rPr>
        <w:t>承担</w:t>
      </w:r>
      <w:r>
        <w:rPr>
          <w:rFonts w:hint="eastAsia" w:ascii="宋体" w:hAnsi="宋体" w:cs="宋体"/>
          <w:color w:val="auto"/>
          <w:kern w:val="0"/>
          <w:szCs w:val="21"/>
          <w:highlight w:val="none"/>
          <w:lang w:eastAsia="zh-CN"/>
        </w:rPr>
        <w:t>。</w:t>
      </w:r>
    </w:p>
    <w:p w14:paraId="28535C81">
      <w:pPr>
        <w:rPr>
          <w:color w:val="auto"/>
          <w:highlight w:val="none"/>
        </w:rPr>
      </w:pPr>
    </w:p>
    <w:p w14:paraId="5D9EA2F5">
      <w:pPr>
        <w:spacing w:line="360" w:lineRule="auto"/>
        <w:ind w:firstLine="181" w:firstLineChars="50"/>
        <w:rPr>
          <w:rFonts w:ascii="宋体" w:hAnsi="宋体" w:cs="宋体"/>
          <w:b/>
          <w:color w:val="auto"/>
          <w:sz w:val="36"/>
          <w:szCs w:val="36"/>
          <w:highlight w:val="none"/>
        </w:rPr>
      </w:pPr>
    </w:p>
    <w:p w14:paraId="17DFB713">
      <w:pPr>
        <w:rPr>
          <w:rFonts w:ascii="宋体" w:hAnsi="宋体" w:cs="宋体"/>
          <w:snapToGrid w:val="0"/>
          <w:color w:val="auto"/>
          <w:kern w:val="0"/>
          <w:sz w:val="24"/>
          <w:highlight w:val="none"/>
        </w:rPr>
      </w:pPr>
    </w:p>
    <w:p w14:paraId="1CEA7A3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bookmarkStart w:id="41" w:name="_Toc3353"/>
      <w:r>
        <w:rPr>
          <w:rFonts w:hint="eastAsia" w:ascii="宋体" w:hAnsi="宋体" w:cs="宋体"/>
          <w:b/>
          <w:color w:val="auto"/>
          <w:sz w:val="36"/>
          <w:szCs w:val="36"/>
          <w:highlight w:val="none"/>
        </w:rPr>
        <w:t xml:space="preserve">第四章 </w:t>
      </w:r>
      <w:bookmarkStart w:id="42" w:name="_Toc184314415"/>
      <w:bookmarkEnd w:id="42"/>
      <w:bookmarkStart w:id="43" w:name="_Toc184308072"/>
      <w:bookmarkEnd w:id="43"/>
      <w:bookmarkStart w:id="44" w:name="_Toc184313256"/>
      <w:bookmarkEnd w:id="44"/>
      <w:bookmarkStart w:id="45" w:name="_Toc184312067"/>
      <w:bookmarkEnd w:id="45"/>
      <w:bookmarkStart w:id="46" w:name="_Toc184308065"/>
      <w:bookmarkEnd w:id="46"/>
      <w:bookmarkStart w:id="47" w:name="_Toc184308077"/>
      <w:bookmarkEnd w:id="47"/>
      <w:bookmarkStart w:id="48" w:name="_Toc184314425"/>
      <w:bookmarkEnd w:id="48"/>
      <w:bookmarkStart w:id="49" w:name="_Toc184314419"/>
      <w:bookmarkEnd w:id="49"/>
      <w:bookmarkStart w:id="50" w:name="_Toc184314482"/>
      <w:bookmarkEnd w:id="50"/>
      <w:bookmarkStart w:id="51" w:name="_Toc184310320"/>
      <w:bookmarkEnd w:id="51"/>
      <w:bookmarkStart w:id="52" w:name="_Toc184310289"/>
      <w:bookmarkEnd w:id="52"/>
      <w:bookmarkStart w:id="53" w:name="_Toc184310324"/>
      <w:bookmarkEnd w:id="53"/>
      <w:bookmarkStart w:id="54" w:name="_Toc184312072"/>
      <w:bookmarkEnd w:id="54"/>
      <w:bookmarkStart w:id="55" w:name="_Toc184310305"/>
      <w:bookmarkEnd w:id="55"/>
      <w:bookmarkStart w:id="56" w:name="_Toc184313246"/>
      <w:bookmarkEnd w:id="56"/>
      <w:bookmarkStart w:id="57" w:name="_Toc184312127"/>
      <w:bookmarkEnd w:id="57"/>
      <w:bookmarkStart w:id="58" w:name="_Toc184312074"/>
      <w:bookmarkEnd w:id="58"/>
      <w:bookmarkStart w:id="59" w:name="_Toc184308049"/>
      <w:bookmarkEnd w:id="59"/>
      <w:bookmarkStart w:id="60" w:name="_Toc184312132"/>
      <w:bookmarkEnd w:id="60"/>
      <w:bookmarkStart w:id="61" w:name="_Toc184308083"/>
      <w:bookmarkEnd w:id="61"/>
      <w:bookmarkStart w:id="62" w:name="_Toc184314418"/>
      <w:bookmarkEnd w:id="62"/>
      <w:bookmarkStart w:id="63" w:name="_Toc184310333"/>
      <w:bookmarkEnd w:id="63"/>
      <w:bookmarkStart w:id="64" w:name="_Toc184314414"/>
      <w:bookmarkEnd w:id="64"/>
      <w:bookmarkStart w:id="65" w:name="_Toc184310332"/>
      <w:bookmarkEnd w:id="65"/>
      <w:bookmarkStart w:id="66" w:name="_Toc184310328"/>
      <w:bookmarkEnd w:id="66"/>
      <w:bookmarkStart w:id="67" w:name="_Toc184310335"/>
      <w:bookmarkEnd w:id="67"/>
      <w:bookmarkStart w:id="68" w:name="_Toc184314445"/>
      <w:bookmarkEnd w:id="68"/>
      <w:bookmarkStart w:id="69" w:name="_Toc184314422"/>
      <w:bookmarkEnd w:id="69"/>
      <w:bookmarkStart w:id="70" w:name="_Toc184313271"/>
      <w:bookmarkEnd w:id="70"/>
      <w:bookmarkStart w:id="71" w:name="_Toc184312092"/>
      <w:bookmarkEnd w:id="71"/>
      <w:bookmarkStart w:id="72" w:name="_Toc184313287"/>
      <w:bookmarkEnd w:id="72"/>
      <w:bookmarkStart w:id="73" w:name="_Toc184313270"/>
      <w:bookmarkEnd w:id="73"/>
      <w:bookmarkStart w:id="74" w:name="_Toc184312137"/>
      <w:bookmarkEnd w:id="74"/>
      <w:bookmarkStart w:id="75" w:name="_Toc184313306"/>
      <w:bookmarkEnd w:id="75"/>
      <w:bookmarkStart w:id="76" w:name="_Toc184314416"/>
      <w:bookmarkEnd w:id="76"/>
      <w:bookmarkStart w:id="77" w:name="_Toc184314431"/>
      <w:bookmarkEnd w:id="77"/>
      <w:bookmarkStart w:id="78" w:name="_Toc184308058"/>
      <w:bookmarkEnd w:id="78"/>
      <w:bookmarkStart w:id="79" w:name="_Toc184308070"/>
      <w:bookmarkEnd w:id="79"/>
      <w:bookmarkStart w:id="80" w:name="_Toc184313295"/>
      <w:bookmarkEnd w:id="80"/>
      <w:bookmarkStart w:id="81" w:name="_Toc184314440"/>
      <w:bookmarkEnd w:id="81"/>
      <w:bookmarkStart w:id="82" w:name="_Toc184310343"/>
      <w:bookmarkEnd w:id="82"/>
      <w:bookmarkStart w:id="83" w:name="_Toc184314443"/>
      <w:bookmarkEnd w:id="83"/>
      <w:bookmarkStart w:id="84" w:name="_Toc184313249"/>
      <w:bookmarkEnd w:id="84"/>
      <w:bookmarkStart w:id="85" w:name="_Toc184308040"/>
      <w:bookmarkEnd w:id="85"/>
      <w:bookmarkStart w:id="86" w:name="_Toc184308056"/>
      <w:bookmarkEnd w:id="86"/>
      <w:bookmarkStart w:id="87" w:name="_Toc184310288"/>
      <w:bookmarkEnd w:id="87"/>
      <w:bookmarkStart w:id="88" w:name="_Toc184312076"/>
      <w:bookmarkEnd w:id="88"/>
      <w:bookmarkStart w:id="89" w:name="_Toc184313279"/>
      <w:bookmarkEnd w:id="89"/>
      <w:bookmarkStart w:id="90" w:name="_Toc184313283"/>
      <w:bookmarkEnd w:id="90"/>
      <w:bookmarkStart w:id="91" w:name="_Toc184314460"/>
      <w:bookmarkEnd w:id="91"/>
      <w:bookmarkStart w:id="92" w:name="_Toc184310299"/>
      <w:bookmarkEnd w:id="92"/>
      <w:bookmarkStart w:id="93" w:name="_Toc184313273"/>
      <w:bookmarkEnd w:id="93"/>
      <w:bookmarkStart w:id="94" w:name="_Toc184314455"/>
      <w:bookmarkEnd w:id="94"/>
      <w:bookmarkStart w:id="95" w:name="_Toc184310272"/>
      <w:bookmarkEnd w:id="95"/>
      <w:bookmarkStart w:id="96" w:name="_Toc184314456"/>
      <w:bookmarkEnd w:id="96"/>
      <w:bookmarkStart w:id="97" w:name="_Toc184314437"/>
      <w:bookmarkEnd w:id="97"/>
      <w:bookmarkStart w:id="98" w:name="_Toc184310323"/>
      <w:bookmarkEnd w:id="98"/>
      <w:bookmarkStart w:id="99" w:name="_Toc184312081"/>
      <w:bookmarkEnd w:id="99"/>
      <w:bookmarkStart w:id="100" w:name="_Toc184312138"/>
      <w:bookmarkEnd w:id="100"/>
      <w:bookmarkStart w:id="101" w:name="_Toc184308084"/>
      <w:bookmarkEnd w:id="101"/>
      <w:bookmarkStart w:id="102" w:name="_Toc184313247"/>
      <w:bookmarkEnd w:id="102"/>
      <w:bookmarkStart w:id="103" w:name="_Toc184312069"/>
      <w:bookmarkEnd w:id="103"/>
      <w:bookmarkStart w:id="104" w:name="_Toc184310329"/>
      <w:bookmarkEnd w:id="104"/>
      <w:bookmarkStart w:id="105" w:name="_Toc184313239"/>
      <w:bookmarkEnd w:id="105"/>
      <w:bookmarkStart w:id="106" w:name="_Toc184308079"/>
      <w:bookmarkEnd w:id="106"/>
      <w:bookmarkStart w:id="107" w:name="_Toc184308036"/>
      <w:bookmarkEnd w:id="107"/>
      <w:bookmarkStart w:id="108" w:name="_Toc184312089"/>
      <w:bookmarkEnd w:id="108"/>
      <w:bookmarkStart w:id="109" w:name="_Toc184308087"/>
      <w:bookmarkEnd w:id="109"/>
      <w:bookmarkStart w:id="110" w:name="_Toc184314449"/>
      <w:bookmarkEnd w:id="110"/>
      <w:bookmarkStart w:id="111" w:name="_Toc184314475"/>
      <w:bookmarkEnd w:id="111"/>
      <w:bookmarkStart w:id="112" w:name="_Toc184312068"/>
      <w:bookmarkEnd w:id="112"/>
      <w:bookmarkStart w:id="113" w:name="_Toc184313258"/>
      <w:bookmarkEnd w:id="113"/>
      <w:bookmarkStart w:id="114" w:name="_Toc184313310"/>
      <w:bookmarkEnd w:id="114"/>
      <w:bookmarkStart w:id="115" w:name="_Toc184310286"/>
      <w:bookmarkEnd w:id="115"/>
      <w:bookmarkStart w:id="116" w:name="_Toc184308089"/>
      <w:bookmarkEnd w:id="116"/>
      <w:bookmarkStart w:id="117" w:name="_Toc184314472"/>
      <w:bookmarkEnd w:id="117"/>
      <w:bookmarkStart w:id="118" w:name="_Toc184312111"/>
      <w:bookmarkEnd w:id="118"/>
      <w:bookmarkStart w:id="119" w:name="_Toc184308092"/>
      <w:bookmarkEnd w:id="119"/>
      <w:bookmarkStart w:id="120" w:name="_Toc184312100"/>
      <w:bookmarkEnd w:id="120"/>
      <w:bookmarkStart w:id="121" w:name="_Toc184310307"/>
      <w:bookmarkEnd w:id="121"/>
      <w:bookmarkStart w:id="122" w:name="_Toc184308103"/>
      <w:bookmarkEnd w:id="122"/>
      <w:bookmarkStart w:id="123" w:name="_Toc184310311"/>
      <w:bookmarkEnd w:id="123"/>
      <w:bookmarkStart w:id="124" w:name="_Toc184312129"/>
      <w:bookmarkEnd w:id="124"/>
      <w:bookmarkStart w:id="125" w:name="_Toc184312106"/>
      <w:bookmarkEnd w:id="125"/>
      <w:bookmarkStart w:id="126" w:name="_Toc184314457"/>
      <w:bookmarkEnd w:id="126"/>
      <w:bookmarkStart w:id="127" w:name="_Toc184310282"/>
      <w:bookmarkEnd w:id="127"/>
      <w:bookmarkStart w:id="128" w:name="_Toc184313263"/>
      <w:bookmarkEnd w:id="128"/>
      <w:bookmarkStart w:id="129" w:name="_Toc184312134"/>
      <w:bookmarkEnd w:id="129"/>
      <w:bookmarkStart w:id="130" w:name="_Toc184310308"/>
      <w:bookmarkEnd w:id="130"/>
      <w:bookmarkStart w:id="131" w:name="_Toc184313244"/>
      <w:bookmarkEnd w:id="131"/>
      <w:bookmarkStart w:id="132" w:name="_Toc184312070"/>
      <w:bookmarkEnd w:id="132"/>
      <w:bookmarkStart w:id="133" w:name="_Toc184314446"/>
      <w:bookmarkEnd w:id="133"/>
      <w:bookmarkStart w:id="134" w:name="_Toc184314458"/>
      <w:bookmarkEnd w:id="134"/>
      <w:bookmarkStart w:id="135" w:name="_Toc184308052"/>
      <w:bookmarkEnd w:id="135"/>
      <w:bookmarkStart w:id="136" w:name="_Toc184308066"/>
      <w:bookmarkEnd w:id="136"/>
      <w:bookmarkStart w:id="137" w:name="_Toc184312087"/>
      <w:bookmarkEnd w:id="137"/>
      <w:bookmarkStart w:id="138" w:name="_Toc184314432"/>
      <w:bookmarkEnd w:id="138"/>
      <w:bookmarkStart w:id="139" w:name="_Toc184310331"/>
      <w:bookmarkEnd w:id="139"/>
      <w:bookmarkStart w:id="140" w:name="_Toc184314410"/>
      <w:bookmarkEnd w:id="140"/>
      <w:bookmarkStart w:id="141" w:name="_Toc184310341"/>
      <w:bookmarkEnd w:id="141"/>
      <w:bookmarkStart w:id="142" w:name="_Toc184308101"/>
      <w:bookmarkEnd w:id="142"/>
      <w:bookmarkStart w:id="143" w:name="_Toc184312090"/>
      <w:bookmarkEnd w:id="143"/>
      <w:bookmarkStart w:id="144" w:name="_Toc184308091"/>
      <w:bookmarkEnd w:id="144"/>
      <w:bookmarkStart w:id="145" w:name="_Toc184308107"/>
      <w:bookmarkEnd w:id="145"/>
      <w:bookmarkStart w:id="146" w:name="_Toc184313304"/>
      <w:bookmarkEnd w:id="146"/>
      <w:bookmarkStart w:id="147" w:name="_Toc184308061"/>
      <w:bookmarkEnd w:id="147"/>
      <w:bookmarkStart w:id="148" w:name="_Toc184310294"/>
      <w:bookmarkEnd w:id="148"/>
      <w:bookmarkStart w:id="149" w:name="_Toc184314471"/>
      <w:bookmarkEnd w:id="149"/>
      <w:bookmarkStart w:id="150" w:name="_Toc184308057"/>
      <w:bookmarkEnd w:id="150"/>
      <w:bookmarkStart w:id="151" w:name="_Toc184310314"/>
      <w:bookmarkEnd w:id="151"/>
      <w:bookmarkStart w:id="152" w:name="_Toc184310342"/>
      <w:bookmarkEnd w:id="152"/>
      <w:bookmarkStart w:id="153" w:name="_Toc184314465"/>
      <w:bookmarkEnd w:id="153"/>
      <w:bookmarkStart w:id="154" w:name="_Toc184313243"/>
      <w:bookmarkEnd w:id="154"/>
      <w:bookmarkStart w:id="155" w:name="_Toc184308064"/>
      <w:bookmarkEnd w:id="155"/>
      <w:bookmarkStart w:id="156" w:name="_Toc184313269"/>
      <w:bookmarkEnd w:id="156"/>
      <w:bookmarkStart w:id="157" w:name="_Toc184314453"/>
      <w:bookmarkEnd w:id="157"/>
      <w:bookmarkStart w:id="158" w:name="_Toc184312091"/>
      <w:bookmarkEnd w:id="158"/>
      <w:bookmarkStart w:id="159" w:name="_Toc184312085"/>
      <w:bookmarkEnd w:id="159"/>
      <w:bookmarkStart w:id="160" w:name="_Toc184308078"/>
      <w:bookmarkEnd w:id="160"/>
      <w:bookmarkStart w:id="161" w:name="_Toc184314476"/>
      <w:bookmarkEnd w:id="161"/>
      <w:bookmarkStart w:id="162" w:name="_Toc184310295"/>
      <w:bookmarkEnd w:id="162"/>
      <w:bookmarkStart w:id="163" w:name="_Toc184313285"/>
      <w:bookmarkEnd w:id="163"/>
      <w:bookmarkStart w:id="164" w:name="_Toc184312084"/>
      <w:bookmarkEnd w:id="164"/>
      <w:bookmarkStart w:id="165" w:name="_Toc184313290"/>
      <w:bookmarkEnd w:id="165"/>
      <w:bookmarkStart w:id="166" w:name="_Toc184310298"/>
      <w:bookmarkEnd w:id="166"/>
      <w:bookmarkStart w:id="167" w:name="_Toc184313294"/>
      <w:bookmarkEnd w:id="167"/>
      <w:bookmarkStart w:id="168" w:name="_Toc184310284"/>
      <w:bookmarkEnd w:id="168"/>
      <w:bookmarkStart w:id="169" w:name="_Toc184308098"/>
      <w:bookmarkEnd w:id="169"/>
      <w:bookmarkStart w:id="170" w:name="_Toc184313260"/>
      <w:bookmarkEnd w:id="170"/>
      <w:bookmarkStart w:id="171" w:name="_Toc184313252"/>
      <w:bookmarkEnd w:id="171"/>
      <w:bookmarkStart w:id="172" w:name="_Toc184310278"/>
      <w:bookmarkEnd w:id="172"/>
      <w:bookmarkStart w:id="173" w:name="_Toc184313293"/>
      <w:bookmarkEnd w:id="173"/>
      <w:bookmarkStart w:id="174" w:name="_Toc184310285"/>
      <w:bookmarkEnd w:id="174"/>
      <w:bookmarkStart w:id="175" w:name="_Toc184308062"/>
      <w:bookmarkEnd w:id="175"/>
      <w:bookmarkStart w:id="176" w:name="_Toc184308039"/>
      <w:bookmarkEnd w:id="176"/>
      <w:bookmarkStart w:id="177" w:name="_Toc184312113"/>
      <w:bookmarkEnd w:id="177"/>
      <w:bookmarkStart w:id="178" w:name="_Toc184312102"/>
      <w:bookmarkEnd w:id="178"/>
      <w:bookmarkStart w:id="179" w:name="_Toc184313240"/>
      <w:bookmarkEnd w:id="179"/>
      <w:bookmarkStart w:id="180" w:name="_Toc184313288"/>
      <w:bookmarkEnd w:id="180"/>
      <w:bookmarkStart w:id="181" w:name="_Toc184312099"/>
      <w:bookmarkEnd w:id="181"/>
      <w:bookmarkStart w:id="182" w:name="_Toc184310344"/>
      <w:bookmarkEnd w:id="182"/>
      <w:bookmarkStart w:id="183" w:name="_Toc184314477"/>
      <w:bookmarkEnd w:id="183"/>
      <w:bookmarkStart w:id="184" w:name="_Toc184310293"/>
      <w:bookmarkEnd w:id="184"/>
      <w:bookmarkStart w:id="185" w:name="_Toc184308095"/>
      <w:bookmarkEnd w:id="185"/>
      <w:bookmarkStart w:id="186" w:name="_Toc184308096"/>
      <w:bookmarkEnd w:id="186"/>
      <w:bookmarkStart w:id="187" w:name="_Toc184314459"/>
      <w:bookmarkEnd w:id="187"/>
      <w:bookmarkStart w:id="188" w:name="_Toc184313241"/>
      <w:bookmarkEnd w:id="188"/>
      <w:bookmarkStart w:id="189" w:name="_Toc184313292"/>
      <w:bookmarkEnd w:id="189"/>
      <w:bookmarkStart w:id="190" w:name="_Toc184313291"/>
      <w:bookmarkEnd w:id="190"/>
      <w:bookmarkStart w:id="191" w:name="_Toc184312082"/>
      <w:bookmarkEnd w:id="191"/>
      <w:bookmarkStart w:id="192" w:name="_Toc184308073"/>
      <w:bookmarkEnd w:id="192"/>
      <w:bookmarkStart w:id="193" w:name="_Toc184313265"/>
      <w:bookmarkEnd w:id="193"/>
      <w:bookmarkStart w:id="194" w:name="_Toc184312088"/>
      <w:bookmarkEnd w:id="194"/>
      <w:bookmarkStart w:id="195" w:name="_Toc184310290"/>
      <w:bookmarkEnd w:id="195"/>
      <w:bookmarkStart w:id="196" w:name="_Toc184312104"/>
      <w:bookmarkEnd w:id="196"/>
      <w:bookmarkStart w:id="197" w:name="_Toc184308060"/>
      <w:bookmarkEnd w:id="197"/>
      <w:bookmarkStart w:id="198" w:name="_Toc184313276"/>
      <w:bookmarkEnd w:id="198"/>
      <w:bookmarkStart w:id="199" w:name="_Toc184313259"/>
      <w:bookmarkEnd w:id="199"/>
      <w:bookmarkStart w:id="200" w:name="_Toc184308082"/>
      <w:bookmarkEnd w:id="200"/>
      <w:bookmarkStart w:id="201" w:name="_Toc184310321"/>
      <w:bookmarkEnd w:id="201"/>
      <w:bookmarkStart w:id="202" w:name="_Toc184308048"/>
      <w:bookmarkEnd w:id="202"/>
      <w:bookmarkStart w:id="203" w:name="_Toc184310302"/>
      <w:bookmarkEnd w:id="203"/>
      <w:bookmarkStart w:id="204" w:name="_Toc184312094"/>
      <w:bookmarkEnd w:id="204"/>
      <w:bookmarkStart w:id="205" w:name="_Toc184313257"/>
      <w:bookmarkEnd w:id="205"/>
      <w:bookmarkStart w:id="206" w:name="_Toc184314438"/>
      <w:bookmarkEnd w:id="206"/>
      <w:bookmarkStart w:id="207" w:name="_Toc184308054"/>
      <w:bookmarkEnd w:id="207"/>
      <w:bookmarkStart w:id="208" w:name="_Toc184312119"/>
      <w:bookmarkEnd w:id="208"/>
      <w:bookmarkStart w:id="209" w:name="_Toc184313299"/>
      <w:bookmarkEnd w:id="209"/>
      <w:bookmarkStart w:id="210" w:name="_Toc184314469"/>
      <w:bookmarkEnd w:id="210"/>
      <w:bookmarkStart w:id="211" w:name="_Toc184314433"/>
      <w:bookmarkEnd w:id="211"/>
      <w:bookmarkStart w:id="212" w:name="_Toc184313255"/>
      <w:bookmarkEnd w:id="212"/>
      <w:bookmarkStart w:id="213" w:name="_Toc184314420"/>
      <w:bookmarkEnd w:id="213"/>
      <w:bookmarkStart w:id="214" w:name="_Toc184314428"/>
      <w:bookmarkEnd w:id="214"/>
      <w:bookmarkStart w:id="215" w:name="_Toc184314461"/>
      <w:bookmarkEnd w:id="215"/>
      <w:bookmarkStart w:id="216" w:name="_Toc184314413"/>
      <w:bookmarkEnd w:id="216"/>
      <w:bookmarkStart w:id="217" w:name="_Toc184308045"/>
      <w:bookmarkEnd w:id="217"/>
      <w:bookmarkStart w:id="218" w:name="_Toc184308076"/>
      <w:bookmarkEnd w:id="218"/>
      <w:bookmarkStart w:id="219" w:name="_Toc184314417"/>
      <w:bookmarkEnd w:id="219"/>
      <w:bookmarkStart w:id="220" w:name="_Toc184310280"/>
      <w:bookmarkEnd w:id="220"/>
      <w:bookmarkStart w:id="221" w:name="_Toc184308080"/>
      <w:bookmarkEnd w:id="221"/>
      <w:bookmarkStart w:id="222" w:name="_Toc184313284"/>
      <w:bookmarkEnd w:id="222"/>
      <w:bookmarkStart w:id="223" w:name="_Toc184310273"/>
      <w:bookmarkEnd w:id="223"/>
      <w:bookmarkStart w:id="224" w:name="_Toc184310318"/>
      <w:bookmarkEnd w:id="224"/>
      <w:bookmarkStart w:id="225" w:name="_Toc184314454"/>
      <w:bookmarkEnd w:id="225"/>
      <w:bookmarkStart w:id="226" w:name="_Toc184313303"/>
      <w:bookmarkEnd w:id="226"/>
      <w:bookmarkStart w:id="227" w:name="_Toc184313245"/>
      <w:bookmarkEnd w:id="227"/>
      <w:bookmarkStart w:id="228" w:name="_Toc184313267"/>
      <w:bookmarkEnd w:id="228"/>
      <w:bookmarkStart w:id="229" w:name="_Toc184312136"/>
      <w:bookmarkEnd w:id="229"/>
      <w:bookmarkStart w:id="230" w:name="_Toc184312078"/>
      <w:bookmarkEnd w:id="230"/>
      <w:bookmarkStart w:id="231" w:name="_Toc184310316"/>
      <w:bookmarkEnd w:id="231"/>
      <w:bookmarkStart w:id="232" w:name="_Toc184308047"/>
      <w:bookmarkEnd w:id="232"/>
      <w:bookmarkStart w:id="233" w:name="_Toc184314479"/>
      <w:bookmarkEnd w:id="233"/>
      <w:bookmarkStart w:id="234" w:name="_Toc184313250"/>
      <w:bookmarkEnd w:id="234"/>
      <w:bookmarkStart w:id="235" w:name="_Toc184308086"/>
      <w:bookmarkEnd w:id="235"/>
      <w:bookmarkStart w:id="236" w:name="_Toc184313238"/>
      <w:bookmarkEnd w:id="236"/>
      <w:bookmarkStart w:id="237" w:name="_Toc184314468"/>
      <w:bookmarkEnd w:id="237"/>
      <w:bookmarkStart w:id="238" w:name="_Toc184308102"/>
      <w:bookmarkEnd w:id="238"/>
      <w:bookmarkStart w:id="239" w:name="_Toc184308038"/>
      <w:bookmarkEnd w:id="239"/>
      <w:bookmarkStart w:id="240" w:name="_Toc184310274"/>
      <w:bookmarkEnd w:id="240"/>
      <w:bookmarkStart w:id="241" w:name="_Toc184308108"/>
      <w:bookmarkEnd w:id="241"/>
      <w:bookmarkStart w:id="242" w:name="_Toc184314470"/>
      <w:bookmarkEnd w:id="242"/>
      <w:bookmarkStart w:id="243" w:name="_Toc184314462"/>
      <w:bookmarkEnd w:id="243"/>
      <w:bookmarkStart w:id="244" w:name="_Toc184314473"/>
      <w:bookmarkEnd w:id="244"/>
      <w:bookmarkStart w:id="245" w:name="_Toc184313296"/>
      <w:bookmarkEnd w:id="245"/>
      <w:bookmarkStart w:id="246" w:name="_Toc184314480"/>
      <w:bookmarkEnd w:id="246"/>
      <w:bookmarkStart w:id="247" w:name="_Toc184313305"/>
      <w:bookmarkEnd w:id="247"/>
      <w:bookmarkStart w:id="248" w:name="_Toc184312139"/>
      <w:bookmarkEnd w:id="248"/>
      <w:bookmarkStart w:id="249" w:name="_Toc184308071"/>
      <w:bookmarkEnd w:id="249"/>
      <w:bookmarkStart w:id="250" w:name="_Toc184312117"/>
      <w:bookmarkEnd w:id="250"/>
      <w:bookmarkStart w:id="251" w:name="_Toc184312096"/>
      <w:bookmarkEnd w:id="251"/>
      <w:bookmarkStart w:id="252" w:name="_Toc184312126"/>
      <w:bookmarkEnd w:id="252"/>
      <w:bookmarkStart w:id="253" w:name="_Toc184308044"/>
      <w:bookmarkEnd w:id="253"/>
      <w:bookmarkStart w:id="254" w:name="_Toc184313300"/>
      <w:bookmarkEnd w:id="254"/>
      <w:bookmarkStart w:id="255" w:name="_Toc184308046"/>
      <w:bookmarkEnd w:id="255"/>
      <w:bookmarkStart w:id="256" w:name="_Toc184310337"/>
      <w:bookmarkEnd w:id="256"/>
      <w:bookmarkStart w:id="257" w:name="_Toc184310334"/>
      <w:bookmarkEnd w:id="257"/>
      <w:bookmarkStart w:id="258" w:name="_Toc184310338"/>
      <w:bookmarkEnd w:id="258"/>
      <w:bookmarkStart w:id="259" w:name="_Toc184312130"/>
      <w:bookmarkEnd w:id="259"/>
      <w:bookmarkStart w:id="260" w:name="_Toc184312079"/>
      <w:bookmarkEnd w:id="260"/>
      <w:bookmarkStart w:id="261" w:name="_Toc184310336"/>
      <w:bookmarkEnd w:id="261"/>
      <w:bookmarkStart w:id="262" w:name="_Toc184308106"/>
      <w:bookmarkEnd w:id="262"/>
      <w:bookmarkStart w:id="263" w:name="_Toc184313254"/>
      <w:bookmarkEnd w:id="263"/>
      <w:bookmarkStart w:id="264" w:name="_Toc184310340"/>
      <w:bookmarkEnd w:id="264"/>
      <w:bookmarkStart w:id="265" w:name="_Toc184310283"/>
      <w:bookmarkEnd w:id="265"/>
      <w:bookmarkStart w:id="266" w:name="_Toc184314451"/>
      <w:bookmarkEnd w:id="266"/>
      <w:bookmarkStart w:id="267" w:name="_Toc184310303"/>
      <w:bookmarkEnd w:id="267"/>
      <w:bookmarkStart w:id="268" w:name="_Toc184314439"/>
      <w:bookmarkEnd w:id="268"/>
      <w:bookmarkStart w:id="269" w:name="_Toc184308085"/>
      <w:bookmarkEnd w:id="269"/>
      <w:bookmarkStart w:id="270" w:name="_Toc184312095"/>
      <w:bookmarkEnd w:id="270"/>
      <w:bookmarkStart w:id="271" w:name="_Toc184308050"/>
      <w:bookmarkEnd w:id="271"/>
      <w:bookmarkStart w:id="272" w:name="_Toc184314424"/>
      <w:bookmarkEnd w:id="272"/>
      <w:bookmarkStart w:id="273" w:name="_Toc184308037"/>
      <w:bookmarkEnd w:id="273"/>
      <w:bookmarkStart w:id="274" w:name="_Toc184310325"/>
      <w:bookmarkEnd w:id="274"/>
      <w:bookmarkStart w:id="275" w:name="_Toc184313289"/>
      <w:bookmarkEnd w:id="275"/>
      <w:bookmarkStart w:id="276" w:name="_Toc184313274"/>
      <w:bookmarkEnd w:id="276"/>
      <w:bookmarkStart w:id="277" w:name="_Toc184312121"/>
      <w:bookmarkEnd w:id="277"/>
      <w:bookmarkStart w:id="278" w:name="_Toc184312112"/>
      <w:bookmarkEnd w:id="278"/>
      <w:bookmarkStart w:id="279" w:name="_Toc184308097"/>
      <w:bookmarkEnd w:id="279"/>
      <w:bookmarkStart w:id="280" w:name="_Toc184312071"/>
      <w:bookmarkEnd w:id="280"/>
      <w:bookmarkStart w:id="281" w:name="_Toc184310301"/>
      <w:bookmarkEnd w:id="281"/>
      <w:bookmarkStart w:id="282" w:name="_Toc184313272"/>
      <w:bookmarkEnd w:id="282"/>
      <w:bookmarkStart w:id="283" w:name="_Toc184310292"/>
      <w:bookmarkEnd w:id="283"/>
      <w:bookmarkStart w:id="284" w:name="_Toc184312101"/>
      <w:bookmarkEnd w:id="284"/>
      <w:bookmarkStart w:id="285" w:name="_Toc184312086"/>
      <w:bookmarkEnd w:id="285"/>
      <w:bookmarkStart w:id="286" w:name="_Toc184313286"/>
      <w:bookmarkEnd w:id="286"/>
      <w:bookmarkStart w:id="287" w:name="_Toc184312118"/>
      <w:bookmarkEnd w:id="287"/>
      <w:bookmarkStart w:id="288" w:name="_Toc184312110"/>
      <w:bookmarkEnd w:id="288"/>
      <w:bookmarkStart w:id="289" w:name="_Toc184308069"/>
      <w:bookmarkEnd w:id="289"/>
      <w:bookmarkStart w:id="290" w:name="_Toc184308090"/>
      <w:bookmarkEnd w:id="290"/>
      <w:bookmarkStart w:id="291" w:name="_Toc184310291"/>
      <w:bookmarkEnd w:id="291"/>
      <w:bookmarkStart w:id="292" w:name="_Toc184314426"/>
      <w:bookmarkEnd w:id="292"/>
      <w:bookmarkStart w:id="293" w:name="_Toc184310309"/>
      <w:bookmarkEnd w:id="293"/>
      <w:bookmarkStart w:id="294" w:name="_Toc184312098"/>
      <w:bookmarkEnd w:id="294"/>
      <w:bookmarkStart w:id="295" w:name="_Toc184313262"/>
      <w:bookmarkEnd w:id="295"/>
      <w:bookmarkStart w:id="296" w:name="_Toc184313302"/>
      <w:bookmarkEnd w:id="296"/>
      <w:bookmarkStart w:id="297" w:name="_Toc184312109"/>
      <w:bookmarkEnd w:id="297"/>
      <w:bookmarkStart w:id="298" w:name="_Toc184314434"/>
      <w:bookmarkEnd w:id="298"/>
      <w:bookmarkStart w:id="299" w:name="_Toc184313298"/>
      <w:bookmarkEnd w:id="299"/>
      <w:bookmarkStart w:id="300" w:name="_Toc184312073"/>
      <w:bookmarkEnd w:id="300"/>
      <w:bookmarkStart w:id="301" w:name="_Toc184312105"/>
      <w:bookmarkEnd w:id="301"/>
      <w:bookmarkStart w:id="302" w:name="_Toc184308105"/>
      <w:bookmarkEnd w:id="302"/>
      <w:bookmarkStart w:id="303" w:name="_Toc184314427"/>
      <w:bookmarkEnd w:id="303"/>
      <w:bookmarkStart w:id="304" w:name="_Toc184312123"/>
      <w:bookmarkEnd w:id="304"/>
      <w:bookmarkStart w:id="305" w:name="_Toc184313280"/>
      <w:bookmarkEnd w:id="305"/>
      <w:bookmarkStart w:id="306" w:name="_Toc184312128"/>
      <w:bookmarkEnd w:id="306"/>
      <w:bookmarkStart w:id="307" w:name="_Toc184310319"/>
      <w:bookmarkEnd w:id="307"/>
      <w:bookmarkStart w:id="308" w:name="_Toc184308041"/>
      <w:bookmarkEnd w:id="308"/>
      <w:bookmarkStart w:id="309" w:name="_Toc184313248"/>
      <w:bookmarkEnd w:id="309"/>
      <w:bookmarkStart w:id="310" w:name="_Toc184308051"/>
      <w:bookmarkEnd w:id="310"/>
      <w:bookmarkStart w:id="311" w:name="_Toc184313278"/>
      <w:bookmarkEnd w:id="311"/>
      <w:bookmarkStart w:id="312" w:name="_Toc184308093"/>
      <w:bookmarkEnd w:id="312"/>
      <w:bookmarkStart w:id="313" w:name="_Toc184312131"/>
      <w:bookmarkEnd w:id="313"/>
      <w:bookmarkStart w:id="314" w:name="_Toc184312103"/>
      <w:bookmarkEnd w:id="314"/>
      <w:bookmarkStart w:id="315" w:name="_Toc184312135"/>
      <w:bookmarkEnd w:id="315"/>
      <w:bookmarkStart w:id="316" w:name="_Toc184312080"/>
      <w:bookmarkEnd w:id="316"/>
      <w:bookmarkStart w:id="317" w:name="_Toc184310304"/>
      <w:bookmarkEnd w:id="317"/>
      <w:bookmarkStart w:id="318" w:name="_Toc184310300"/>
      <w:bookmarkEnd w:id="318"/>
      <w:bookmarkStart w:id="319" w:name="_Toc184313282"/>
      <w:bookmarkEnd w:id="319"/>
      <w:bookmarkStart w:id="320" w:name="_Toc184310330"/>
      <w:bookmarkEnd w:id="320"/>
      <w:bookmarkStart w:id="321" w:name="_Toc184314436"/>
      <w:bookmarkEnd w:id="321"/>
      <w:bookmarkStart w:id="322" w:name="_Toc184308059"/>
      <w:bookmarkEnd w:id="322"/>
      <w:bookmarkStart w:id="323" w:name="_Toc184312120"/>
      <w:bookmarkEnd w:id="323"/>
      <w:bookmarkStart w:id="324" w:name="_Toc184308075"/>
      <w:bookmarkEnd w:id="324"/>
      <w:bookmarkStart w:id="325" w:name="_Toc184310327"/>
      <w:bookmarkEnd w:id="325"/>
      <w:bookmarkStart w:id="326" w:name="_Toc184310326"/>
      <w:bookmarkEnd w:id="326"/>
      <w:bookmarkStart w:id="327" w:name="_Toc184312124"/>
      <w:bookmarkEnd w:id="327"/>
      <w:bookmarkStart w:id="328" w:name="_Toc184308100"/>
      <w:bookmarkEnd w:id="328"/>
      <w:bookmarkStart w:id="329" w:name="_Toc184308042"/>
      <w:bookmarkEnd w:id="329"/>
      <w:bookmarkStart w:id="330" w:name="_Toc184310279"/>
      <w:bookmarkEnd w:id="330"/>
      <w:bookmarkStart w:id="331" w:name="_Toc184313266"/>
      <w:bookmarkEnd w:id="331"/>
      <w:bookmarkStart w:id="332" w:name="_Toc184314429"/>
      <w:bookmarkEnd w:id="332"/>
      <w:bookmarkStart w:id="333" w:name="_Toc184312077"/>
      <w:bookmarkEnd w:id="333"/>
      <w:bookmarkStart w:id="334" w:name="_Toc184308074"/>
      <w:bookmarkEnd w:id="334"/>
      <w:bookmarkStart w:id="335" w:name="_Toc184313297"/>
      <w:bookmarkEnd w:id="335"/>
      <w:bookmarkStart w:id="336" w:name="_Toc184310287"/>
      <w:bookmarkEnd w:id="336"/>
      <w:bookmarkStart w:id="337" w:name="_Toc184314466"/>
      <w:bookmarkEnd w:id="337"/>
      <w:bookmarkStart w:id="338" w:name="_Toc184314430"/>
      <w:bookmarkEnd w:id="338"/>
      <w:bookmarkStart w:id="339" w:name="_Toc184310322"/>
      <w:bookmarkEnd w:id="339"/>
      <w:bookmarkStart w:id="340" w:name="_Toc184314441"/>
      <w:bookmarkEnd w:id="340"/>
      <w:bookmarkStart w:id="341" w:name="_Toc184314474"/>
      <w:bookmarkEnd w:id="341"/>
      <w:bookmarkStart w:id="342" w:name="_Toc184313251"/>
      <w:bookmarkEnd w:id="342"/>
      <w:bookmarkStart w:id="343" w:name="_Toc184314447"/>
      <w:bookmarkEnd w:id="343"/>
      <w:bookmarkStart w:id="344" w:name="_Toc184314448"/>
      <w:bookmarkEnd w:id="344"/>
      <w:bookmarkStart w:id="345" w:name="_Toc184308053"/>
      <w:bookmarkEnd w:id="345"/>
      <w:bookmarkStart w:id="346" w:name="_Toc184312114"/>
      <w:bookmarkEnd w:id="346"/>
      <w:bookmarkStart w:id="347" w:name="_Toc184308063"/>
      <w:bookmarkEnd w:id="347"/>
      <w:bookmarkStart w:id="348" w:name="_Toc184312075"/>
      <w:bookmarkEnd w:id="348"/>
      <w:bookmarkStart w:id="349" w:name="_Toc184308099"/>
      <w:bookmarkEnd w:id="349"/>
      <w:bookmarkStart w:id="350" w:name="_Toc184313308"/>
      <w:bookmarkEnd w:id="350"/>
      <w:bookmarkStart w:id="351" w:name="_Toc184310277"/>
      <w:bookmarkEnd w:id="351"/>
      <w:bookmarkStart w:id="352" w:name="_Toc184312097"/>
      <w:bookmarkEnd w:id="352"/>
      <w:bookmarkStart w:id="353" w:name="_Toc184313309"/>
      <w:bookmarkEnd w:id="353"/>
      <w:bookmarkStart w:id="354" w:name="_Toc184313264"/>
      <w:bookmarkEnd w:id="354"/>
      <w:bookmarkStart w:id="355" w:name="_Toc184308067"/>
      <w:bookmarkEnd w:id="355"/>
      <w:bookmarkStart w:id="356" w:name="_Toc184314452"/>
      <w:bookmarkEnd w:id="356"/>
      <w:bookmarkStart w:id="357" w:name="_Toc184310312"/>
      <w:bookmarkEnd w:id="357"/>
      <w:bookmarkStart w:id="358" w:name="_Toc184310296"/>
      <w:bookmarkEnd w:id="358"/>
      <w:bookmarkStart w:id="359" w:name="_Toc184313301"/>
      <w:bookmarkEnd w:id="359"/>
      <w:bookmarkStart w:id="360" w:name="_Toc184314412"/>
      <w:bookmarkEnd w:id="360"/>
      <w:bookmarkStart w:id="361" w:name="_Toc184314421"/>
      <w:bookmarkEnd w:id="361"/>
      <w:bookmarkStart w:id="362" w:name="_Toc184308088"/>
      <w:bookmarkEnd w:id="362"/>
      <w:bookmarkStart w:id="363" w:name="_Toc184313268"/>
      <w:bookmarkEnd w:id="363"/>
      <w:bookmarkStart w:id="364" w:name="_Toc184312125"/>
      <w:bookmarkEnd w:id="364"/>
      <w:bookmarkStart w:id="365" w:name="_Toc184310297"/>
      <w:bookmarkEnd w:id="365"/>
      <w:bookmarkStart w:id="366" w:name="_Toc184313281"/>
      <w:bookmarkEnd w:id="366"/>
      <w:bookmarkStart w:id="367" w:name="_Toc184308081"/>
      <w:bookmarkEnd w:id="367"/>
      <w:bookmarkStart w:id="368" w:name="_Toc184314442"/>
      <w:bookmarkEnd w:id="368"/>
      <w:bookmarkStart w:id="369" w:name="_Toc184312122"/>
      <w:bookmarkEnd w:id="369"/>
      <w:bookmarkStart w:id="370" w:name="_Toc184312108"/>
      <w:bookmarkEnd w:id="370"/>
      <w:bookmarkStart w:id="371" w:name="_Toc184310313"/>
      <w:bookmarkEnd w:id="371"/>
      <w:bookmarkStart w:id="372" w:name="_Toc184312133"/>
      <w:bookmarkEnd w:id="372"/>
      <w:bookmarkStart w:id="373" w:name="_Toc184314481"/>
      <w:bookmarkEnd w:id="373"/>
      <w:bookmarkStart w:id="374" w:name="_Toc184312116"/>
      <w:bookmarkEnd w:id="374"/>
      <w:bookmarkStart w:id="375" w:name="_Toc184310306"/>
      <w:bookmarkEnd w:id="375"/>
      <w:bookmarkStart w:id="376" w:name="_Toc184313242"/>
      <w:bookmarkEnd w:id="376"/>
      <w:bookmarkStart w:id="377" w:name="_Toc184314411"/>
      <w:bookmarkEnd w:id="377"/>
      <w:bookmarkStart w:id="378" w:name="_Toc184313253"/>
      <w:bookmarkEnd w:id="378"/>
      <w:bookmarkStart w:id="379" w:name="_Toc184314435"/>
      <w:bookmarkEnd w:id="379"/>
      <w:bookmarkStart w:id="380" w:name="_Toc184310275"/>
      <w:bookmarkEnd w:id="380"/>
      <w:bookmarkStart w:id="381" w:name="_Toc184314478"/>
      <w:bookmarkEnd w:id="381"/>
      <w:bookmarkStart w:id="382" w:name="_Toc184310317"/>
      <w:bookmarkEnd w:id="382"/>
      <w:bookmarkStart w:id="383" w:name="_Toc184308068"/>
      <w:bookmarkEnd w:id="383"/>
      <w:bookmarkStart w:id="384" w:name="_Toc184313277"/>
      <w:bookmarkEnd w:id="384"/>
      <w:bookmarkStart w:id="385" w:name="_Toc184314464"/>
      <w:bookmarkEnd w:id="385"/>
      <w:bookmarkStart w:id="386" w:name="_Toc184313275"/>
      <w:bookmarkEnd w:id="386"/>
      <w:bookmarkStart w:id="387" w:name="_Toc184310315"/>
      <w:bookmarkEnd w:id="387"/>
      <w:bookmarkStart w:id="388" w:name="_Toc184313307"/>
      <w:bookmarkEnd w:id="388"/>
      <w:bookmarkStart w:id="389" w:name="_Toc184310276"/>
      <w:bookmarkEnd w:id="389"/>
      <w:bookmarkStart w:id="390" w:name="_Toc184312107"/>
      <w:bookmarkEnd w:id="390"/>
      <w:bookmarkStart w:id="391" w:name="_Toc184310310"/>
      <w:bookmarkEnd w:id="391"/>
      <w:bookmarkStart w:id="392" w:name="_Toc184314467"/>
      <w:bookmarkEnd w:id="392"/>
      <w:bookmarkStart w:id="393" w:name="_Toc184308104"/>
      <w:bookmarkEnd w:id="393"/>
      <w:bookmarkStart w:id="394" w:name="_Toc184313261"/>
      <w:bookmarkEnd w:id="394"/>
      <w:bookmarkStart w:id="395" w:name="_Toc184308055"/>
      <w:bookmarkEnd w:id="395"/>
      <w:bookmarkStart w:id="396" w:name="_Toc184312093"/>
      <w:bookmarkEnd w:id="396"/>
      <w:bookmarkStart w:id="397" w:name="_Toc184314450"/>
      <w:bookmarkEnd w:id="397"/>
      <w:bookmarkStart w:id="398" w:name="_Toc184308043"/>
      <w:bookmarkEnd w:id="398"/>
      <w:bookmarkStart w:id="399" w:name="_Toc184310281"/>
      <w:bookmarkEnd w:id="399"/>
      <w:bookmarkStart w:id="400" w:name="_Toc184312083"/>
      <w:bookmarkEnd w:id="400"/>
      <w:bookmarkStart w:id="401" w:name="_Toc184310339"/>
      <w:bookmarkEnd w:id="401"/>
      <w:bookmarkStart w:id="402" w:name="_Toc184314423"/>
      <w:bookmarkEnd w:id="402"/>
      <w:bookmarkStart w:id="403" w:name="_Toc184314463"/>
      <w:bookmarkEnd w:id="403"/>
      <w:bookmarkStart w:id="404" w:name="_Toc184312115"/>
      <w:bookmarkEnd w:id="404"/>
      <w:bookmarkStart w:id="405" w:name="_Toc184314444"/>
      <w:bookmarkEnd w:id="405"/>
      <w:bookmarkStart w:id="406" w:name="_Toc184308094"/>
      <w:bookmarkEnd w:id="406"/>
      <w:r>
        <w:rPr>
          <w:rFonts w:hint="eastAsia" w:ascii="宋体" w:hAnsi="宋体" w:cs="宋体"/>
          <w:b/>
          <w:color w:val="auto"/>
          <w:sz w:val="36"/>
          <w:szCs w:val="36"/>
          <w:highlight w:val="none"/>
        </w:rPr>
        <w:t>评标办法</w:t>
      </w:r>
      <w:bookmarkEnd w:id="41"/>
    </w:p>
    <w:p w14:paraId="3F26BA36">
      <w:pPr>
        <w:snapToGrid w:val="0"/>
        <w:spacing w:line="360" w:lineRule="auto"/>
        <w:jc w:val="center"/>
        <w:outlineLvl w:val="1"/>
        <w:rPr>
          <w:rFonts w:ascii="宋体" w:hAnsi="宋体" w:cs="宋体"/>
          <w:b/>
          <w:color w:val="auto"/>
          <w:sz w:val="32"/>
          <w:szCs w:val="20"/>
          <w:highlight w:val="none"/>
        </w:rPr>
      </w:pPr>
      <w:bookmarkStart w:id="407" w:name="_Toc14874"/>
      <w:r>
        <w:rPr>
          <w:rFonts w:hint="eastAsia" w:ascii="宋体" w:hAnsi="宋体" w:cs="宋体"/>
          <w:b/>
          <w:color w:val="auto"/>
          <w:sz w:val="32"/>
          <w:szCs w:val="20"/>
          <w:highlight w:val="none"/>
        </w:rPr>
        <w:t>评标办法前附表</w:t>
      </w:r>
      <w:bookmarkEnd w:id="407"/>
    </w:p>
    <w:tbl>
      <w:tblPr>
        <w:tblStyle w:val="6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662"/>
        <w:gridCol w:w="4966"/>
        <w:gridCol w:w="624"/>
        <w:gridCol w:w="1134"/>
        <w:gridCol w:w="1590"/>
      </w:tblGrid>
      <w:tr w14:paraId="0976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4" w:type="dxa"/>
            <w:vAlign w:val="center"/>
          </w:tcPr>
          <w:p w14:paraId="020FEAAA">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628" w:type="dxa"/>
            <w:gridSpan w:val="2"/>
            <w:vAlign w:val="center"/>
          </w:tcPr>
          <w:p w14:paraId="4F722243">
            <w:pPr>
              <w:snapToGrid w:val="0"/>
              <w:jc w:val="center"/>
              <w:rPr>
                <w:rFonts w:ascii="宋体" w:hAnsi="宋体" w:cs="宋体"/>
                <w:color w:val="auto"/>
                <w:szCs w:val="21"/>
                <w:highlight w:val="none"/>
              </w:rPr>
            </w:pPr>
            <w:r>
              <w:rPr>
                <w:rFonts w:hint="eastAsia" w:ascii="宋体" w:hAnsi="宋体" w:cs="宋体"/>
                <w:color w:val="auto"/>
                <w:szCs w:val="21"/>
                <w:highlight w:val="none"/>
              </w:rPr>
              <w:t>评标标准</w:t>
            </w:r>
          </w:p>
        </w:tc>
        <w:tc>
          <w:tcPr>
            <w:tcW w:w="624" w:type="dxa"/>
            <w:vAlign w:val="center"/>
          </w:tcPr>
          <w:p w14:paraId="3660455C">
            <w:pPr>
              <w:snapToGrid w:val="0"/>
              <w:jc w:val="center"/>
              <w:rPr>
                <w:rFonts w:ascii="宋体" w:hAnsi="宋体" w:cs="宋体"/>
                <w:color w:val="auto"/>
                <w:szCs w:val="21"/>
                <w:highlight w:val="none"/>
              </w:rPr>
            </w:pPr>
            <w:r>
              <w:rPr>
                <w:rFonts w:hint="eastAsia" w:ascii="宋体" w:hAnsi="宋体" w:cs="宋体"/>
                <w:color w:val="auto"/>
                <w:szCs w:val="21"/>
                <w:highlight w:val="none"/>
              </w:rPr>
              <w:t>权重</w:t>
            </w:r>
          </w:p>
        </w:tc>
        <w:tc>
          <w:tcPr>
            <w:tcW w:w="1134" w:type="dxa"/>
            <w:vAlign w:val="center"/>
          </w:tcPr>
          <w:p w14:paraId="41BEBF71">
            <w:pPr>
              <w:snapToGrid w:val="0"/>
              <w:jc w:val="center"/>
              <w:rPr>
                <w:rFonts w:ascii="宋体" w:hAnsi="宋体" w:cs="宋体"/>
                <w:bCs/>
                <w:color w:val="auto"/>
                <w:szCs w:val="21"/>
                <w:highlight w:val="none"/>
              </w:rPr>
            </w:pPr>
            <w:r>
              <w:rPr>
                <w:rFonts w:hint="eastAsia" w:ascii="宋体" w:hAnsi="宋体" w:cs="宋体"/>
                <w:bCs/>
                <w:color w:val="auto"/>
                <w:szCs w:val="21"/>
                <w:highlight w:val="none"/>
              </w:rPr>
              <w:t>主观分/客观分属性</w:t>
            </w:r>
          </w:p>
        </w:tc>
        <w:tc>
          <w:tcPr>
            <w:tcW w:w="1590" w:type="dxa"/>
          </w:tcPr>
          <w:p w14:paraId="75E72ACD">
            <w:pPr>
              <w:snapToGrid w:val="0"/>
              <w:jc w:val="center"/>
              <w:rPr>
                <w:rFonts w:ascii="宋体" w:hAnsi="宋体" w:cs="宋体"/>
                <w:color w:val="auto"/>
                <w:szCs w:val="21"/>
                <w:highlight w:val="none"/>
              </w:rPr>
            </w:pPr>
            <w:r>
              <w:rPr>
                <w:rFonts w:hint="eastAsia" w:ascii="宋体" w:hAnsi="宋体" w:cs="宋体"/>
                <w:bCs/>
                <w:color w:val="auto"/>
                <w:szCs w:val="21"/>
                <w:highlight w:val="none"/>
              </w:rPr>
              <w:t>投标文件中评标标准相应的商务技术资料目录</w:t>
            </w:r>
          </w:p>
        </w:tc>
      </w:tr>
      <w:tr w14:paraId="3A04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14F9DF32">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5628" w:type="dxa"/>
            <w:gridSpan w:val="2"/>
            <w:vAlign w:val="center"/>
          </w:tcPr>
          <w:p w14:paraId="1E8A18D3">
            <w:pPr>
              <w:snapToGrid w:val="0"/>
              <w:jc w:val="left"/>
              <w:outlineLvl w:val="0"/>
              <w:rPr>
                <w:rFonts w:ascii="宋体" w:hAnsi="宋体" w:cs="宋体"/>
                <w:color w:val="auto"/>
                <w:szCs w:val="21"/>
                <w:highlight w:val="none"/>
              </w:rPr>
            </w:pPr>
            <w:r>
              <w:rPr>
                <w:rFonts w:hint="eastAsia" w:ascii="宋体" w:hAnsi="宋体" w:cs="宋体"/>
                <w:color w:val="auto"/>
                <w:szCs w:val="21"/>
                <w:highlight w:val="none"/>
              </w:rPr>
              <w:t>投标人具有有效的质量管理体系认证证书的得1分；具有有效的环境管理体系认证证书的得1分；具有有效的职业健康安全管理体系认证证书的得1分。（提供证书</w:t>
            </w:r>
            <w:r>
              <w:rPr>
                <w:rFonts w:hint="default" w:ascii="宋体" w:hAnsi="宋体" w:cs="宋体"/>
                <w:color w:val="auto"/>
                <w:szCs w:val="21"/>
                <w:highlight w:val="none"/>
              </w:rPr>
              <w:t>扫描件</w:t>
            </w:r>
            <w:r>
              <w:rPr>
                <w:rFonts w:hint="eastAsia" w:ascii="宋体" w:hAnsi="宋体" w:cs="宋体"/>
                <w:color w:val="auto"/>
                <w:szCs w:val="21"/>
                <w:highlight w:val="none"/>
              </w:rPr>
              <w:t>或复印件及《国家认证认可监督管理委员会》网站（http://www.cnca.gov.cn）查询截图并</w:t>
            </w:r>
            <w:r>
              <w:rPr>
                <w:rFonts w:hint="eastAsia" w:ascii="宋体" w:hAnsi="宋体" w:cs="宋体"/>
                <w:color w:val="auto"/>
                <w:szCs w:val="21"/>
                <w:highlight w:val="none"/>
                <w:lang w:val="en-US" w:eastAsia="zh-CN"/>
              </w:rPr>
              <w:t>加</w:t>
            </w:r>
            <w:r>
              <w:rPr>
                <w:rFonts w:hint="eastAsia" w:ascii="宋体" w:hAnsi="宋体" w:cs="宋体"/>
                <w:color w:val="auto"/>
                <w:szCs w:val="21"/>
                <w:highlight w:val="none"/>
              </w:rPr>
              <w:t>盖公章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否则不得分</w:t>
            </w:r>
            <w:r>
              <w:rPr>
                <w:rFonts w:hint="eastAsia" w:ascii="宋体" w:hAnsi="宋体" w:cs="宋体"/>
                <w:color w:val="auto"/>
                <w:szCs w:val="21"/>
                <w:highlight w:val="none"/>
              </w:rPr>
              <w:t>）</w:t>
            </w:r>
            <w:r>
              <w:rPr>
                <w:rFonts w:hint="eastAsia" w:ascii="宋体" w:hAnsi="宋体" w:cs="宋体"/>
                <w:color w:val="auto"/>
                <w:szCs w:val="21"/>
                <w:highlight w:val="none"/>
              </w:rPr>
              <w:tab/>
            </w:r>
          </w:p>
        </w:tc>
        <w:tc>
          <w:tcPr>
            <w:tcW w:w="624" w:type="dxa"/>
            <w:vAlign w:val="center"/>
          </w:tcPr>
          <w:p w14:paraId="7D898DC1">
            <w:pPr>
              <w:snapToGrid w:val="0"/>
              <w:jc w:val="center"/>
              <w:outlineLvl w:val="0"/>
              <w:rPr>
                <w:rFonts w:hint="default" w:ascii="宋体" w:hAnsi="宋体" w:cs="宋体"/>
                <w:color w:val="auto"/>
                <w:szCs w:val="21"/>
                <w:highlight w:val="none"/>
              </w:rPr>
            </w:pPr>
            <w:r>
              <w:rPr>
                <w:rFonts w:hint="default" w:ascii="宋体" w:hAnsi="宋体" w:cs="宋体"/>
                <w:color w:val="auto"/>
                <w:szCs w:val="21"/>
                <w:highlight w:val="none"/>
              </w:rPr>
              <w:t>3</w:t>
            </w:r>
          </w:p>
        </w:tc>
        <w:tc>
          <w:tcPr>
            <w:tcW w:w="1134" w:type="dxa"/>
            <w:vAlign w:val="center"/>
          </w:tcPr>
          <w:p w14:paraId="78EFC8DE">
            <w:pPr>
              <w:pStyle w:val="26"/>
              <w:snapToGrid w:val="0"/>
              <w:spacing w:line="240" w:lineRule="auto"/>
              <w:ind w:firstLine="210" w:firstLineChars="100"/>
              <w:rPr>
                <w:rFonts w:hAnsi="宋体" w:cs="宋体"/>
                <w:color w:val="auto"/>
                <w:sz w:val="21"/>
                <w:szCs w:val="21"/>
                <w:highlight w:val="none"/>
                <w:lang w:val="en-US"/>
              </w:rPr>
            </w:pPr>
            <w:r>
              <w:rPr>
                <w:rFonts w:hint="eastAsia" w:hAnsi="宋体" w:cs="宋体"/>
                <w:color w:val="auto"/>
                <w:sz w:val="21"/>
                <w:szCs w:val="21"/>
                <w:highlight w:val="none"/>
                <w:lang w:val="en-US"/>
              </w:rPr>
              <w:t>客观分</w:t>
            </w:r>
          </w:p>
        </w:tc>
        <w:tc>
          <w:tcPr>
            <w:tcW w:w="1590" w:type="dxa"/>
          </w:tcPr>
          <w:p w14:paraId="10234D2A">
            <w:pPr>
              <w:snapToGrid w:val="0"/>
              <w:jc w:val="center"/>
              <w:rPr>
                <w:rFonts w:ascii="宋体" w:hAnsi="宋体" w:cs="宋体"/>
                <w:color w:val="auto"/>
                <w:szCs w:val="21"/>
                <w:highlight w:val="none"/>
              </w:rPr>
            </w:pPr>
          </w:p>
        </w:tc>
      </w:tr>
      <w:tr w14:paraId="6951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7504682C">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5628" w:type="dxa"/>
            <w:gridSpan w:val="2"/>
            <w:vAlign w:val="center"/>
          </w:tcPr>
          <w:p w14:paraId="101FBA3C">
            <w:pPr>
              <w:snapToGrid w:val="0"/>
              <w:jc w:val="left"/>
              <w:outlineLvl w:val="0"/>
              <w:rPr>
                <w:rFonts w:hint="eastAsia" w:ascii="宋体" w:hAnsi="宋体" w:cs="宋体"/>
                <w:color w:val="auto"/>
                <w:szCs w:val="21"/>
                <w:highlight w:val="none"/>
              </w:rPr>
            </w:pPr>
            <w:r>
              <w:rPr>
                <w:rFonts w:hint="eastAsia" w:ascii="宋体" w:hAnsi="宋体" w:cs="宋体"/>
                <w:color w:val="auto"/>
                <w:szCs w:val="21"/>
                <w:highlight w:val="none"/>
              </w:rPr>
              <w:t>投标人自2020年1月1日（按合同签订时间为准）以来承担过类似本项目经验的项目（即海绵城市类的技术服务、技术咨询等），每个得0.2分，本项最高得1分。</w:t>
            </w:r>
          </w:p>
          <w:p w14:paraId="2A33BE2B">
            <w:pPr>
              <w:snapToGrid w:val="0"/>
              <w:jc w:val="left"/>
              <w:outlineLvl w:val="0"/>
              <w:rPr>
                <w:rFonts w:ascii="宋体" w:hAnsi="宋体" w:cs="宋体"/>
                <w:color w:val="auto"/>
                <w:szCs w:val="21"/>
                <w:highlight w:val="none"/>
              </w:rPr>
            </w:pPr>
            <w:r>
              <w:rPr>
                <w:rFonts w:hint="eastAsia" w:ascii="宋体" w:hAnsi="宋体" w:cs="宋体"/>
                <w:color w:val="auto"/>
                <w:szCs w:val="21"/>
                <w:highlight w:val="none"/>
              </w:rPr>
              <w:t>（需提供合同复印件并加盖公章,未提供不得分）</w:t>
            </w:r>
          </w:p>
        </w:tc>
        <w:tc>
          <w:tcPr>
            <w:tcW w:w="624" w:type="dxa"/>
            <w:vAlign w:val="center"/>
          </w:tcPr>
          <w:p w14:paraId="155FC6EB">
            <w:pPr>
              <w:snapToGrid w:val="0"/>
              <w:jc w:val="center"/>
              <w:outlineLvl w:val="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134" w:type="dxa"/>
            <w:vAlign w:val="center"/>
          </w:tcPr>
          <w:p w14:paraId="7F93249B">
            <w:pPr>
              <w:pStyle w:val="26"/>
              <w:snapToGrid w:val="0"/>
              <w:spacing w:line="240" w:lineRule="auto"/>
              <w:ind w:firstLine="210" w:firstLineChars="100"/>
              <w:rPr>
                <w:rFonts w:hAnsi="宋体" w:cs="宋体"/>
                <w:color w:val="auto"/>
                <w:sz w:val="21"/>
                <w:szCs w:val="21"/>
                <w:highlight w:val="none"/>
                <w:lang w:val="en-US"/>
              </w:rPr>
            </w:pPr>
            <w:r>
              <w:rPr>
                <w:rFonts w:hint="eastAsia" w:hAnsi="宋体" w:cs="宋体"/>
                <w:color w:val="auto"/>
                <w:sz w:val="21"/>
                <w:szCs w:val="21"/>
                <w:highlight w:val="none"/>
                <w:lang w:val="en-US"/>
              </w:rPr>
              <w:t>客观分</w:t>
            </w:r>
          </w:p>
        </w:tc>
        <w:tc>
          <w:tcPr>
            <w:tcW w:w="1590" w:type="dxa"/>
          </w:tcPr>
          <w:p w14:paraId="2EBFBE41">
            <w:pPr>
              <w:snapToGrid w:val="0"/>
              <w:jc w:val="center"/>
              <w:rPr>
                <w:rFonts w:ascii="宋体" w:hAnsi="宋体" w:cs="宋体"/>
                <w:color w:val="auto"/>
                <w:szCs w:val="21"/>
                <w:highlight w:val="none"/>
              </w:rPr>
            </w:pPr>
          </w:p>
        </w:tc>
      </w:tr>
      <w:tr w14:paraId="313D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504" w:type="dxa"/>
            <w:vMerge w:val="restart"/>
            <w:vAlign w:val="center"/>
          </w:tcPr>
          <w:p w14:paraId="2DB68145">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662" w:type="dxa"/>
            <w:vMerge w:val="restart"/>
            <w:vAlign w:val="center"/>
          </w:tcPr>
          <w:p w14:paraId="5B780B31">
            <w:pPr>
              <w:snapToGrid w:val="0"/>
              <w:jc w:val="left"/>
              <w:outlineLvl w:val="0"/>
              <w:rPr>
                <w:rFonts w:ascii="宋体" w:hAnsi="宋体" w:cs="宋体"/>
                <w:color w:val="auto"/>
                <w:szCs w:val="21"/>
                <w:highlight w:val="none"/>
                <w:lang w:val="zh-CN"/>
              </w:rPr>
            </w:pPr>
            <w:r>
              <w:rPr>
                <w:rFonts w:hint="eastAsia" w:ascii="宋体" w:hAnsi="宋体" w:cs="宋体"/>
                <w:color w:val="auto"/>
                <w:szCs w:val="21"/>
                <w:highlight w:val="none"/>
                <w:lang w:val="zh-CN"/>
              </w:rPr>
              <w:t>项目理解情况</w:t>
            </w:r>
          </w:p>
        </w:tc>
        <w:tc>
          <w:tcPr>
            <w:tcW w:w="4966" w:type="dxa"/>
            <w:vAlign w:val="center"/>
          </w:tcPr>
          <w:p w14:paraId="494E01C0">
            <w:pPr>
              <w:snapToGrid w:val="0"/>
              <w:jc w:val="left"/>
              <w:outlineLvl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3.1根据投标人对规划范围内海绵城市建设现状情况适度调查了解的全面性、针对性及可实现情况等进行评审，评5、4、3、2、1分，完全不满足或未阐述得0分。</w:t>
            </w:r>
          </w:p>
        </w:tc>
        <w:tc>
          <w:tcPr>
            <w:tcW w:w="624" w:type="dxa"/>
            <w:vAlign w:val="center"/>
          </w:tcPr>
          <w:p w14:paraId="04CE7886">
            <w:pPr>
              <w:snapToGrid w:val="0"/>
              <w:jc w:val="center"/>
              <w:outlineLvl w:val="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134" w:type="dxa"/>
            <w:vMerge w:val="restart"/>
            <w:vAlign w:val="center"/>
          </w:tcPr>
          <w:p w14:paraId="6EEF676F">
            <w:pPr>
              <w:pStyle w:val="26"/>
              <w:snapToGrid w:val="0"/>
              <w:spacing w:line="240" w:lineRule="auto"/>
              <w:ind w:firstLine="210" w:firstLineChars="100"/>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主观分</w:t>
            </w:r>
          </w:p>
        </w:tc>
        <w:tc>
          <w:tcPr>
            <w:tcW w:w="1590" w:type="dxa"/>
            <w:vMerge w:val="restart"/>
          </w:tcPr>
          <w:p w14:paraId="08660630">
            <w:pPr>
              <w:snapToGrid w:val="0"/>
              <w:jc w:val="center"/>
              <w:rPr>
                <w:rFonts w:ascii="宋体" w:hAnsi="宋体" w:cs="宋体"/>
                <w:color w:val="auto"/>
                <w:szCs w:val="21"/>
                <w:highlight w:val="none"/>
              </w:rPr>
            </w:pPr>
          </w:p>
        </w:tc>
      </w:tr>
      <w:tr w14:paraId="022B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504" w:type="dxa"/>
            <w:vMerge w:val="continue"/>
            <w:vAlign w:val="center"/>
          </w:tcPr>
          <w:p w14:paraId="27E60B47">
            <w:pPr>
              <w:snapToGrid w:val="0"/>
              <w:jc w:val="left"/>
              <w:outlineLvl w:val="0"/>
              <w:rPr>
                <w:color w:val="auto"/>
                <w:highlight w:val="none"/>
              </w:rPr>
            </w:pPr>
          </w:p>
        </w:tc>
        <w:tc>
          <w:tcPr>
            <w:tcW w:w="662" w:type="dxa"/>
            <w:vMerge w:val="continue"/>
            <w:vAlign w:val="center"/>
          </w:tcPr>
          <w:p w14:paraId="6E6D23D2">
            <w:pPr>
              <w:snapToGrid w:val="0"/>
              <w:jc w:val="left"/>
              <w:outlineLvl w:val="0"/>
              <w:rPr>
                <w:color w:val="auto"/>
                <w:highlight w:val="none"/>
              </w:rPr>
            </w:pPr>
          </w:p>
        </w:tc>
        <w:tc>
          <w:tcPr>
            <w:tcW w:w="4966" w:type="dxa"/>
            <w:vAlign w:val="center"/>
          </w:tcPr>
          <w:p w14:paraId="11C0C651">
            <w:pPr>
              <w:snapToGrid w:val="0"/>
              <w:jc w:val="left"/>
              <w:outlineLvl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3.2根据投标人对现状存在问题进行分析并提出对策思路的全面性、针对性及可实现情况等进行评审，评4、3、2、1分，完全不满足或未阐述得0分。</w:t>
            </w:r>
          </w:p>
        </w:tc>
        <w:tc>
          <w:tcPr>
            <w:tcW w:w="624" w:type="dxa"/>
            <w:vAlign w:val="center"/>
          </w:tcPr>
          <w:p w14:paraId="4C8E04E8">
            <w:pPr>
              <w:snapToGrid w:val="0"/>
              <w:jc w:val="center"/>
              <w:outlineLvl w:val="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134" w:type="dxa"/>
            <w:vMerge w:val="continue"/>
            <w:vAlign w:val="center"/>
          </w:tcPr>
          <w:p w14:paraId="7CB6103C">
            <w:pPr>
              <w:snapToGrid w:val="0"/>
              <w:jc w:val="left"/>
              <w:outlineLvl w:val="0"/>
              <w:rPr>
                <w:rFonts w:ascii="宋体" w:hAnsi="宋体" w:cs="宋体"/>
                <w:color w:val="auto"/>
                <w:szCs w:val="21"/>
                <w:highlight w:val="none"/>
                <w:lang w:val="zh-CN"/>
              </w:rPr>
            </w:pPr>
          </w:p>
        </w:tc>
        <w:tc>
          <w:tcPr>
            <w:tcW w:w="1590" w:type="dxa"/>
            <w:vMerge w:val="continue"/>
          </w:tcPr>
          <w:p w14:paraId="5FA976F0">
            <w:pPr>
              <w:snapToGrid w:val="0"/>
              <w:jc w:val="left"/>
              <w:outlineLvl w:val="0"/>
              <w:rPr>
                <w:rFonts w:ascii="宋体" w:hAnsi="宋体" w:cs="宋体"/>
                <w:color w:val="auto"/>
                <w:szCs w:val="21"/>
                <w:highlight w:val="none"/>
                <w:lang w:val="zh-CN"/>
              </w:rPr>
            </w:pPr>
          </w:p>
        </w:tc>
      </w:tr>
      <w:tr w14:paraId="060A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504" w:type="dxa"/>
            <w:vMerge w:val="continue"/>
            <w:vAlign w:val="center"/>
          </w:tcPr>
          <w:p w14:paraId="466F6B4A">
            <w:pPr>
              <w:snapToGrid w:val="0"/>
              <w:jc w:val="left"/>
              <w:outlineLvl w:val="0"/>
              <w:rPr>
                <w:rFonts w:ascii="宋体" w:hAnsi="宋体" w:cs="宋体"/>
                <w:color w:val="auto"/>
                <w:szCs w:val="21"/>
                <w:highlight w:val="none"/>
                <w:lang w:val="zh-CN"/>
              </w:rPr>
            </w:pPr>
          </w:p>
        </w:tc>
        <w:tc>
          <w:tcPr>
            <w:tcW w:w="662" w:type="dxa"/>
            <w:vMerge w:val="continue"/>
            <w:vAlign w:val="center"/>
          </w:tcPr>
          <w:p w14:paraId="13DCF4BF">
            <w:pPr>
              <w:snapToGrid w:val="0"/>
              <w:jc w:val="left"/>
              <w:outlineLvl w:val="0"/>
              <w:rPr>
                <w:rFonts w:ascii="宋体" w:hAnsi="宋体" w:cs="宋体"/>
                <w:color w:val="auto"/>
                <w:szCs w:val="21"/>
                <w:highlight w:val="none"/>
                <w:lang w:val="zh-CN"/>
              </w:rPr>
            </w:pPr>
          </w:p>
        </w:tc>
        <w:tc>
          <w:tcPr>
            <w:tcW w:w="4966" w:type="dxa"/>
            <w:vAlign w:val="center"/>
          </w:tcPr>
          <w:p w14:paraId="128CD791">
            <w:pPr>
              <w:snapToGrid w:val="0"/>
              <w:jc w:val="left"/>
              <w:outlineLvl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3.3根据投标人对本项目的任务和目标要求理解，对任务和目标进行详细解析情况的全面性、针对性及可实现情况等进行评审，评4、3、2、1分，完全不满足或未阐述得0分。</w:t>
            </w:r>
          </w:p>
        </w:tc>
        <w:tc>
          <w:tcPr>
            <w:tcW w:w="624" w:type="dxa"/>
            <w:vAlign w:val="center"/>
          </w:tcPr>
          <w:p w14:paraId="184718D4">
            <w:pPr>
              <w:snapToGrid w:val="0"/>
              <w:jc w:val="center"/>
              <w:outlineLvl w:val="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134" w:type="dxa"/>
            <w:vMerge w:val="continue"/>
            <w:vAlign w:val="center"/>
          </w:tcPr>
          <w:p w14:paraId="764A1A80">
            <w:pPr>
              <w:snapToGrid w:val="0"/>
              <w:jc w:val="left"/>
              <w:outlineLvl w:val="0"/>
              <w:rPr>
                <w:rFonts w:ascii="宋体" w:hAnsi="宋体" w:cs="宋体"/>
                <w:color w:val="auto"/>
                <w:szCs w:val="21"/>
                <w:highlight w:val="none"/>
                <w:lang w:val="zh-CN"/>
              </w:rPr>
            </w:pPr>
          </w:p>
        </w:tc>
        <w:tc>
          <w:tcPr>
            <w:tcW w:w="1590" w:type="dxa"/>
            <w:vMerge w:val="continue"/>
          </w:tcPr>
          <w:p w14:paraId="2DE8737E">
            <w:pPr>
              <w:snapToGrid w:val="0"/>
              <w:jc w:val="left"/>
              <w:outlineLvl w:val="0"/>
              <w:rPr>
                <w:rFonts w:ascii="宋体" w:hAnsi="宋体" w:cs="宋体"/>
                <w:color w:val="auto"/>
                <w:szCs w:val="21"/>
                <w:highlight w:val="none"/>
                <w:lang w:val="zh-CN"/>
              </w:rPr>
            </w:pPr>
          </w:p>
        </w:tc>
      </w:tr>
      <w:tr w14:paraId="5F6A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504" w:type="dxa"/>
            <w:vMerge w:val="restart"/>
            <w:shd w:val="clear" w:color="auto" w:fill="auto"/>
            <w:vAlign w:val="center"/>
          </w:tcPr>
          <w:p w14:paraId="1C4A5BDF">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662" w:type="dxa"/>
            <w:vMerge w:val="restart"/>
            <w:shd w:val="clear" w:color="auto" w:fill="auto"/>
            <w:vAlign w:val="center"/>
          </w:tcPr>
          <w:p w14:paraId="3D5CBA83">
            <w:pPr>
              <w:snapToGrid w:val="0"/>
              <w:jc w:val="center"/>
              <w:outlineLvl w:val="0"/>
              <w:rPr>
                <w:rFonts w:ascii="宋体" w:hAnsi="宋体" w:cs="宋体"/>
                <w:color w:val="auto"/>
                <w:szCs w:val="21"/>
                <w:highlight w:val="none"/>
                <w:lang w:val="zh-CN"/>
              </w:rPr>
            </w:pPr>
            <w:r>
              <w:rPr>
                <w:rFonts w:hint="eastAsia" w:ascii="宋体" w:hAnsi="宋体" w:cs="宋体"/>
                <w:color w:val="auto"/>
                <w:szCs w:val="21"/>
                <w:highlight w:val="none"/>
                <w:lang w:val="zh-CN"/>
              </w:rPr>
              <w:t>技术方案</w:t>
            </w:r>
          </w:p>
        </w:tc>
        <w:tc>
          <w:tcPr>
            <w:tcW w:w="4966" w:type="dxa"/>
            <w:shd w:val="clear" w:color="auto" w:fill="auto"/>
          </w:tcPr>
          <w:p w14:paraId="2CD90AEF">
            <w:pPr>
              <w:snapToGrid w:val="0"/>
              <w:jc w:val="left"/>
              <w:outlineLvl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4.1根据投标人对海绵项目管控审查技术服务方案完整性、合理性、可行性、创新性等进行评审，评4、3、2、1分，完全不满足或未阐述得0分。</w:t>
            </w:r>
          </w:p>
        </w:tc>
        <w:tc>
          <w:tcPr>
            <w:tcW w:w="624" w:type="dxa"/>
            <w:shd w:val="clear" w:color="auto" w:fill="auto"/>
            <w:vAlign w:val="center"/>
          </w:tcPr>
          <w:p w14:paraId="79998F3C">
            <w:pPr>
              <w:snapToGrid w:val="0"/>
              <w:jc w:val="center"/>
              <w:outlineLvl w:val="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134" w:type="dxa"/>
            <w:vMerge w:val="restart"/>
            <w:shd w:val="clear" w:color="auto" w:fill="auto"/>
            <w:vAlign w:val="center"/>
          </w:tcPr>
          <w:p w14:paraId="0318C0A6">
            <w:pPr>
              <w:pStyle w:val="26"/>
              <w:snapToGrid w:val="0"/>
              <w:spacing w:line="240" w:lineRule="auto"/>
              <w:ind w:firstLine="210" w:firstLineChars="100"/>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主观分</w:t>
            </w:r>
          </w:p>
        </w:tc>
        <w:tc>
          <w:tcPr>
            <w:tcW w:w="1590" w:type="dxa"/>
            <w:vMerge w:val="restart"/>
          </w:tcPr>
          <w:p w14:paraId="7BBFBFD8">
            <w:pPr>
              <w:snapToGrid w:val="0"/>
              <w:jc w:val="center"/>
              <w:rPr>
                <w:rFonts w:ascii="宋体" w:hAnsi="宋体" w:cs="宋体"/>
                <w:color w:val="auto"/>
                <w:szCs w:val="21"/>
                <w:highlight w:val="none"/>
              </w:rPr>
            </w:pPr>
          </w:p>
        </w:tc>
      </w:tr>
      <w:tr w14:paraId="06DC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504" w:type="dxa"/>
            <w:vMerge w:val="continue"/>
            <w:shd w:val="clear" w:color="auto" w:fill="auto"/>
            <w:vAlign w:val="center"/>
          </w:tcPr>
          <w:p w14:paraId="5921E799">
            <w:pPr>
              <w:snapToGrid w:val="0"/>
              <w:jc w:val="left"/>
              <w:outlineLvl w:val="0"/>
              <w:rPr>
                <w:color w:val="auto"/>
                <w:highlight w:val="none"/>
              </w:rPr>
            </w:pPr>
          </w:p>
        </w:tc>
        <w:tc>
          <w:tcPr>
            <w:tcW w:w="662" w:type="dxa"/>
            <w:vMerge w:val="continue"/>
            <w:shd w:val="clear" w:color="auto" w:fill="auto"/>
          </w:tcPr>
          <w:p w14:paraId="3AD30CB2">
            <w:pPr>
              <w:snapToGrid w:val="0"/>
              <w:jc w:val="left"/>
              <w:outlineLvl w:val="0"/>
              <w:rPr>
                <w:color w:val="auto"/>
                <w:highlight w:val="none"/>
              </w:rPr>
            </w:pPr>
          </w:p>
        </w:tc>
        <w:tc>
          <w:tcPr>
            <w:tcW w:w="4966" w:type="dxa"/>
            <w:shd w:val="clear" w:color="auto" w:fill="auto"/>
          </w:tcPr>
          <w:p w14:paraId="4CBE4E51">
            <w:pPr>
              <w:snapToGrid w:val="0"/>
              <w:jc w:val="left"/>
              <w:outlineLvl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4.2根据投标人对配合迎检海绵城市相关考核方案完整性、合理性、可行性进行评审，评4、3、2、1分，完全不满足或未阐述得0分。</w:t>
            </w:r>
          </w:p>
        </w:tc>
        <w:tc>
          <w:tcPr>
            <w:tcW w:w="624" w:type="dxa"/>
            <w:shd w:val="clear" w:color="auto" w:fill="auto"/>
            <w:vAlign w:val="center"/>
          </w:tcPr>
          <w:p w14:paraId="4596E6CA">
            <w:pPr>
              <w:snapToGrid w:val="0"/>
              <w:jc w:val="center"/>
              <w:outlineLvl w:val="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134" w:type="dxa"/>
            <w:vMerge w:val="continue"/>
            <w:shd w:val="clear" w:color="auto" w:fill="auto"/>
            <w:vAlign w:val="center"/>
          </w:tcPr>
          <w:p w14:paraId="19A7C548">
            <w:pPr>
              <w:snapToGrid w:val="0"/>
              <w:jc w:val="left"/>
              <w:outlineLvl w:val="0"/>
              <w:rPr>
                <w:rFonts w:ascii="宋体" w:hAnsi="宋体" w:cs="宋体"/>
                <w:color w:val="auto"/>
                <w:szCs w:val="21"/>
                <w:highlight w:val="none"/>
                <w:lang w:val="zh-CN"/>
              </w:rPr>
            </w:pPr>
          </w:p>
        </w:tc>
        <w:tc>
          <w:tcPr>
            <w:tcW w:w="1590" w:type="dxa"/>
            <w:vMerge w:val="continue"/>
          </w:tcPr>
          <w:p w14:paraId="7A78C9FD">
            <w:pPr>
              <w:snapToGrid w:val="0"/>
              <w:jc w:val="left"/>
              <w:outlineLvl w:val="0"/>
              <w:rPr>
                <w:rFonts w:ascii="宋体" w:hAnsi="宋体" w:cs="宋体"/>
                <w:color w:val="auto"/>
                <w:szCs w:val="21"/>
                <w:highlight w:val="none"/>
                <w:lang w:val="zh-CN"/>
              </w:rPr>
            </w:pPr>
          </w:p>
        </w:tc>
      </w:tr>
      <w:tr w14:paraId="5336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504" w:type="dxa"/>
            <w:vMerge w:val="continue"/>
            <w:shd w:val="clear" w:color="auto" w:fill="auto"/>
            <w:vAlign w:val="center"/>
          </w:tcPr>
          <w:p w14:paraId="7E4EE591">
            <w:pPr>
              <w:snapToGrid w:val="0"/>
              <w:jc w:val="left"/>
              <w:outlineLvl w:val="0"/>
              <w:rPr>
                <w:rFonts w:ascii="宋体" w:hAnsi="宋体" w:cs="宋体"/>
                <w:color w:val="auto"/>
                <w:szCs w:val="21"/>
                <w:highlight w:val="none"/>
                <w:lang w:val="zh-CN"/>
              </w:rPr>
            </w:pPr>
          </w:p>
        </w:tc>
        <w:tc>
          <w:tcPr>
            <w:tcW w:w="662" w:type="dxa"/>
            <w:vMerge w:val="continue"/>
            <w:shd w:val="clear" w:color="auto" w:fill="auto"/>
          </w:tcPr>
          <w:p w14:paraId="4F779611">
            <w:pPr>
              <w:snapToGrid w:val="0"/>
              <w:jc w:val="left"/>
              <w:outlineLvl w:val="0"/>
              <w:rPr>
                <w:rFonts w:ascii="宋体" w:hAnsi="宋体" w:cs="宋体"/>
                <w:color w:val="auto"/>
                <w:szCs w:val="21"/>
                <w:highlight w:val="none"/>
                <w:lang w:val="zh-CN"/>
              </w:rPr>
            </w:pPr>
          </w:p>
        </w:tc>
        <w:tc>
          <w:tcPr>
            <w:tcW w:w="4966" w:type="dxa"/>
            <w:shd w:val="clear" w:color="auto" w:fill="auto"/>
          </w:tcPr>
          <w:p w14:paraId="5FD120DA">
            <w:pPr>
              <w:snapToGrid w:val="0"/>
              <w:jc w:val="left"/>
              <w:outlineLvl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4.3根据投标人对海绵城市建设机制体系方案完整性、合理性、可行性进行评审，评4、3、2、1分，完全不满足或未阐述得0分。</w:t>
            </w:r>
          </w:p>
        </w:tc>
        <w:tc>
          <w:tcPr>
            <w:tcW w:w="624" w:type="dxa"/>
            <w:shd w:val="clear" w:color="auto" w:fill="auto"/>
            <w:vAlign w:val="center"/>
          </w:tcPr>
          <w:p w14:paraId="2C64A01D">
            <w:pPr>
              <w:snapToGrid w:val="0"/>
              <w:jc w:val="center"/>
              <w:outlineLvl w:val="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134" w:type="dxa"/>
            <w:vMerge w:val="continue"/>
            <w:shd w:val="clear" w:color="auto" w:fill="auto"/>
            <w:vAlign w:val="center"/>
          </w:tcPr>
          <w:p w14:paraId="56EE81C9">
            <w:pPr>
              <w:snapToGrid w:val="0"/>
              <w:jc w:val="left"/>
              <w:outlineLvl w:val="0"/>
              <w:rPr>
                <w:rFonts w:ascii="宋体" w:hAnsi="宋体" w:cs="宋体"/>
                <w:color w:val="auto"/>
                <w:szCs w:val="21"/>
                <w:highlight w:val="none"/>
                <w:lang w:val="zh-CN"/>
              </w:rPr>
            </w:pPr>
          </w:p>
        </w:tc>
        <w:tc>
          <w:tcPr>
            <w:tcW w:w="1590" w:type="dxa"/>
            <w:vMerge w:val="continue"/>
          </w:tcPr>
          <w:p w14:paraId="34A86895">
            <w:pPr>
              <w:snapToGrid w:val="0"/>
              <w:jc w:val="left"/>
              <w:outlineLvl w:val="0"/>
              <w:rPr>
                <w:rFonts w:ascii="宋体" w:hAnsi="宋体" w:cs="宋体"/>
                <w:color w:val="auto"/>
                <w:szCs w:val="21"/>
                <w:highlight w:val="none"/>
                <w:lang w:val="zh-CN"/>
              </w:rPr>
            </w:pPr>
          </w:p>
        </w:tc>
      </w:tr>
      <w:tr w14:paraId="08D9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504" w:type="dxa"/>
            <w:vMerge w:val="continue"/>
            <w:shd w:val="clear" w:color="auto" w:fill="auto"/>
            <w:vAlign w:val="center"/>
          </w:tcPr>
          <w:p w14:paraId="0B863D2D">
            <w:pPr>
              <w:snapToGrid w:val="0"/>
              <w:jc w:val="left"/>
              <w:outlineLvl w:val="0"/>
              <w:rPr>
                <w:rFonts w:ascii="宋体" w:hAnsi="宋体" w:cs="宋体"/>
                <w:color w:val="auto"/>
                <w:szCs w:val="21"/>
                <w:highlight w:val="none"/>
                <w:lang w:val="zh-CN"/>
              </w:rPr>
            </w:pPr>
          </w:p>
        </w:tc>
        <w:tc>
          <w:tcPr>
            <w:tcW w:w="662" w:type="dxa"/>
            <w:vMerge w:val="continue"/>
            <w:shd w:val="clear" w:color="auto" w:fill="auto"/>
          </w:tcPr>
          <w:p w14:paraId="4B10C8F9">
            <w:pPr>
              <w:snapToGrid w:val="0"/>
              <w:jc w:val="left"/>
              <w:outlineLvl w:val="0"/>
              <w:rPr>
                <w:rFonts w:ascii="宋体" w:hAnsi="宋体" w:cs="宋体"/>
                <w:color w:val="auto"/>
                <w:szCs w:val="21"/>
                <w:highlight w:val="none"/>
                <w:lang w:val="zh-CN"/>
              </w:rPr>
            </w:pPr>
          </w:p>
        </w:tc>
        <w:tc>
          <w:tcPr>
            <w:tcW w:w="4966" w:type="dxa"/>
            <w:shd w:val="clear" w:color="auto" w:fill="auto"/>
          </w:tcPr>
          <w:p w14:paraId="660B7423">
            <w:pPr>
              <w:snapToGrid w:val="0"/>
              <w:jc w:val="left"/>
              <w:outlineLvl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4.4根据投标人对海绵城市相关服务方案完整性、合理性、可行性、创新性进行评审，评4、3、2、1分，完全不满足或未阐述得0分。</w:t>
            </w:r>
          </w:p>
        </w:tc>
        <w:tc>
          <w:tcPr>
            <w:tcW w:w="624" w:type="dxa"/>
            <w:shd w:val="clear" w:color="auto" w:fill="auto"/>
            <w:vAlign w:val="center"/>
          </w:tcPr>
          <w:p w14:paraId="37ABBEA3">
            <w:pPr>
              <w:snapToGrid w:val="0"/>
              <w:jc w:val="center"/>
              <w:outlineLvl w:val="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134" w:type="dxa"/>
            <w:vMerge w:val="continue"/>
            <w:shd w:val="clear" w:color="auto" w:fill="auto"/>
            <w:vAlign w:val="center"/>
          </w:tcPr>
          <w:p w14:paraId="26830D63">
            <w:pPr>
              <w:snapToGrid w:val="0"/>
              <w:jc w:val="left"/>
              <w:outlineLvl w:val="0"/>
              <w:rPr>
                <w:rFonts w:ascii="宋体" w:hAnsi="宋体" w:cs="宋体"/>
                <w:color w:val="auto"/>
                <w:szCs w:val="21"/>
                <w:highlight w:val="none"/>
                <w:lang w:val="zh-CN"/>
              </w:rPr>
            </w:pPr>
          </w:p>
        </w:tc>
        <w:tc>
          <w:tcPr>
            <w:tcW w:w="1590" w:type="dxa"/>
            <w:vMerge w:val="continue"/>
          </w:tcPr>
          <w:p w14:paraId="3FA373B5">
            <w:pPr>
              <w:snapToGrid w:val="0"/>
              <w:jc w:val="left"/>
              <w:outlineLvl w:val="0"/>
              <w:rPr>
                <w:rFonts w:ascii="宋体" w:hAnsi="宋体" w:cs="宋体"/>
                <w:color w:val="auto"/>
                <w:szCs w:val="21"/>
                <w:highlight w:val="none"/>
                <w:lang w:val="zh-CN"/>
              </w:rPr>
            </w:pPr>
          </w:p>
        </w:tc>
      </w:tr>
      <w:tr w14:paraId="4D02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504" w:type="dxa"/>
            <w:vMerge w:val="continue"/>
            <w:shd w:val="clear" w:color="auto" w:fill="auto"/>
            <w:vAlign w:val="center"/>
          </w:tcPr>
          <w:p w14:paraId="09B73E88">
            <w:pPr>
              <w:snapToGrid w:val="0"/>
              <w:jc w:val="left"/>
              <w:outlineLvl w:val="0"/>
              <w:rPr>
                <w:rFonts w:ascii="宋体" w:hAnsi="宋体" w:cs="宋体"/>
                <w:color w:val="auto"/>
                <w:szCs w:val="21"/>
                <w:highlight w:val="none"/>
                <w:lang w:val="zh-CN"/>
              </w:rPr>
            </w:pPr>
          </w:p>
        </w:tc>
        <w:tc>
          <w:tcPr>
            <w:tcW w:w="662" w:type="dxa"/>
            <w:vMerge w:val="continue"/>
            <w:shd w:val="clear" w:color="auto" w:fill="auto"/>
          </w:tcPr>
          <w:p w14:paraId="28C90CA5">
            <w:pPr>
              <w:snapToGrid w:val="0"/>
              <w:jc w:val="left"/>
              <w:outlineLvl w:val="0"/>
              <w:rPr>
                <w:rFonts w:ascii="宋体" w:hAnsi="宋体" w:cs="宋体"/>
                <w:color w:val="auto"/>
                <w:szCs w:val="21"/>
                <w:highlight w:val="none"/>
                <w:lang w:val="zh-CN"/>
              </w:rPr>
            </w:pPr>
          </w:p>
        </w:tc>
        <w:tc>
          <w:tcPr>
            <w:tcW w:w="4966" w:type="dxa"/>
            <w:shd w:val="clear" w:color="auto" w:fill="auto"/>
          </w:tcPr>
          <w:p w14:paraId="76BAB1A0">
            <w:pPr>
              <w:snapToGrid w:val="0"/>
              <w:jc w:val="left"/>
              <w:outlineLvl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4.5根据投标人对海绵城市建设区域评估方案完整性、合理性、可行性创新性进行评审，评4、3、2、1分，完全不满足或未阐述得0分。</w:t>
            </w:r>
          </w:p>
        </w:tc>
        <w:tc>
          <w:tcPr>
            <w:tcW w:w="624" w:type="dxa"/>
            <w:shd w:val="clear" w:color="auto" w:fill="auto"/>
            <w:vAlign w:val="center"/>
          </w:tcPr>
          <w:p w14:paraId="5AD62049">
            <w:pPr>
              <w:snapToGrid w:val="0"/>
              <w:jc w:val="center"/>
              <w:outlineLvl w:val="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134" w:type="dxa"/>
            <w:vMerge w:val="continue"/>
            <w:shd w:val="clear" w:color="auto" w:fill="auto"/>
            <w:vAlign w:val="center"/>
          </w:tcPr>
          <w:p w14:paraId="5A099354">
            <w:pPr>
              <w:snapToGrid w:val="0"/>
              <w:jc w:val="left"/>
              <w:outlineLvl w:val="0"/>
              <w:rPr>
                <w:rFonts w:ascii="宋体" w:hAnsi="宋体" w:cs="宋体"/>
                <w:color w:val="auto"/>
                <w:szCs w:val="21"/>
                <w:highlight w:val="none"/>
                <w:lang w:val="zh-CN"/>
              </w:rPr>
            </w:pPr>
          </w:p>
        </w:tc>
        <w:tc>
          <w:tcPr>
            <w:tcW w:w="1590" w:type="dxa"/>
            <w:vMerge w:val="continue"/>
          </w:tcPr>
          <w:p w14:paraId="0D2F147A">
            <w:pPr>
              <w:snapToGrid w:val="0"/>
              <w:jc w:val="left"/>
              <w:outlineLvl w:val="0"/>
              <w:rPr>
                <w:rFonts w:ascii="宋体" w:hAnsi="宋体" w:cs="宋体"/>
                <w:color w:val="auto"/>
                <w:szCs w:val="21"/>
                <w:highlight w:val="none"/>
                <w:lang w:val="zh-CN"/>
              </w:rPr>
            </w:pPr>
          </w:p>
        </w:tc>
      </w:tr>
      <w:tr w14:paraId="32F2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shd w:val="clear" w:color="auto" w:fill="auto"/>
            <w:vAlign w:val="center"/>
          </w:tcPr>
          <w:p w14:paraId="174430AB">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5628" w:type="dxa"/>
            <w:gridSpan w:val="2"/>
            <w:vAlign w:val="center"/>
          </w:tcPr>
          <w:p w14:paraId="62DA666F">
            <w:pPr>
              <w:jc w:val="left"/>
              <w:outlineLvl w:val="0"/>
              <w:rPr>
                <w:rFonts w:ascii="宋体" w:hAnsi="宋体" w:cs="宋体"/>
                <w:color w:val="auto"/>
                <w:szCs w:val="21"/>
                <w:highlight w:val="none"/>
                <w:lang w:val="zh-CN"/>
              </w:rPr>
            </w:pPr>
            <w:r>
              <w:rPr>
                <w:rFonts w:hint="eastAsia" w:ascii="宋体" w:hAnsi="宋体" w:cs="宋体"/>
                <w:color w:val="auto"/>
                <w:szCs w:val="21"/>
                <w:highlight w:val="none"/>
                <w:lang w:val="zh-CN"/>
              </w:rPr>
              <w:t>根据投标人提出的方案特色及技术与建议的创新性、实用性情况进行评审，</w:t>
            </w:r>
            <w:r>
              <w:rPr>
                <w:rFonts w:hint="eastAsia" w:ascii="宋体" w:hAnsi="宋体" w:cs="宋体"/>
                <w:color w:val="auto"/>
                <w:szCs w:val="21"/>
                <w:highlight w:val="none"/>
                <w:lang w:val="en-US" w:eastAsia="zh-CN"/>
              </w:rPr>
              <w:t>评4、3、2、1分，完全不满足或未阐述得0分。</w:t>
            </w:r>
          </w:p>
        </w:tc>
        <w:tc>
          <w:tcPr>
            <w:tcW w:w="624" w:type="dxa"/>
            <w:vAlign w:val="center"/>
          </w:tcPr>
          <w:p w14:paraId="3D545F93">
            <w:pPr>
              <w:snapToGrid w:val="0"/>
              <w:jc w:val="center"/>
              <w:outlineLvl w:val="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134" w:type="dxa"/>
            <w:vAlign w:val="center"/>
          </w:tcPr>
          <w:p w14:paraId="73BAEB76">
            <w:pPr>
              <w:pStyle w:val="26"/>
              <w:snapToGrid w:val="0"/>
              <w:spacing w:line="240" w:lineRule="auto"/>
              <w:ind w:firstLine="210" w:firstLineChars="100"/>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主观分</w:t>
            </w:r>
          </w:p>
        </w:tc>
        <w:tc>
          <w:tcPr>
            <w:tcW w:w="1590" w:type="dxa"/>
          </w:tcPr>
          <w:p w14:paraId="1D84867F">
            <w:pPr>
              <w:snapToGrid w:val="0"/>
              <w:jc w:val="center"/>
              <w:rPr>
                <w:rFonts w:ascii="宋体" w:hAnsi="宋体" w:cs="宋体"/>
                <w:color w:val="auto"/>
                <w:szCs w:val="21"/>
                <w:highlight w:val="none"/>
              </w:rPr>
            </w:pPr>
          </w:p>
        </w:tc>
      </w:tr>
      <w:tr w14:paraId="716B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shd w:val="clear" w:color="auto" w:fill="auto"/>
            <w:vAlign w:val="center"/>
          </w:tcPr>
          <w:p w14:paraId="3324A544">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5628" w:type="dxa"/>
            <w:gridSpan w:val="2"/>
            <w:vAlign w:val="center"/>
          </w:tcPr>
          <w:p w14:paraId="540C303B">
            <w:pPr>
              <w:jc w:val="left"/>
              <w:outlineLvl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根据供应商提供的质量保证方案，是否具有针对性应对措施等内容进行评审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评4、3、2、1分，完全不满足或未阐述得0分。</w:t>
            </w:r>
          </w:p>
        </w:tc>
        <w:tc>
          <w:tcPr>
            <w:tcW w:w="624" w:type="dxa"/>
            <w:vAlign w:val="center"/>
          </w:tcPr>
          <w:p w14:paraId="5255D115">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lang w:val="en-US" w:eastAsia="zh-CN"/>
              </w:rPr>
              <w:t>4</w:t>
            </w:r>
          </w:p>
        </w:tc>
        <w:tc>
          <w:tcPr>
            <w:tcW w:w="1134" w:type="dxa"/>
            <w:vAlign w:val="center"/>
          </w:tcPr>
          <w:p w14:paraId="6CA9C958">
            <w:pPr>
              <w:pStyle w:val="26"/>
              <w:snapToGrid w:val="0"/>
              <w:spacing w:line="240" w:lineRule="auto"/>
              <w:ind w:firstLine="210" w:firstLineChars="100"/>
              <w:rPr>
                <w:rFonts w:hAnsi="宋体" w:cs="宋体"/>
                <w:color w:val="auto"/>
                <w:sz w:val="21"/>
                <w:szCs w:val="21"/>
                <w:highlight w:val="none"/>
                <w:lang w:val="en-US"/>
              </w:rPr>
            </w:pPr>
            <w:r>
              <w:rPr>
                <w:rFonts w:hint="eastAsia" w:hAnsi="宋体" w:cs="宋体"/>
                <w:color w:val="auto"/>
                <w:sz w:val="21"/>
                <w:szCs w:val="21"/>
                <w:highlight w:val="none"/>
                <w:lang w:val="en-US" w:eastAsia="zh-CN"/>
              </w:rPr>
              <w:t>主观分</w:t>
            </w:r>
          </w:p>
        </w:tc>
        <w:tc>
          <w:tcPr>
            <w:tcW w:w="1590" w:type="dxa"/>
          </w:tcPr>
          <w:p w14:paraId="59F13900">
            <w:pPr>
              <w:snapToGrid w:val="0"/>
              <w:jc w:val="center"/>
              <w:rPr>
                <w:rFonts w:ascii="宋体" w:hAnsi="宋体" w:cs="宋体"/>
                <w:color w:val="auto"/>
                <w:szCs w:val="21"/>
                <w:highlight w:val="none"/>
              </w:rPr>
            </w:pPr>
          </w:p>
        </w:tc>
      </w:tr>
      <w:tr w14:paraId="6441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shd w:val="clear" w:color="auto" w:fill="auto"/>
            <w:vAlign w:val="center"/>
          </w:tcPr>
          <w:p w14:paraId="541A0CC2">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5628" w:type="dxa"/>
            <w:gridSpan w:val="2"/>
            <w:vAlign w:val="center"/>
          </w:tcPr>
          <w:p w14:paraId="7F3114BE">
            <w:pPr>
              <w:jc w:val="left"/>
              <w:outlineLvl w:val="0"/>
              <w:rPr>
                <w:rFonts w:ascii="宋体" w:hAnsi="宋体" w:cs="宋体"/>
                <w:color w:val="auto"/>
                <w:szCs w:val="21"/>
                <w:highlight w:val="none"/>
                <w:lang w:val="zh-CN"/>
              </w:rPr>
            </w:pPr>
            <w:r>
              <w:rPr>
                <w:rFonts w:hint="eastAsia" w:ascii="宋体" w:hAnsi="宋体" w:cs="宋体"/>
                <w:color w:val="auto"/>
                <w:szCs w:val="21"/>
                <w:highlight w:val="none"/>
                <w:lang w:val="zh-CN"/>
              </w:rPr>
              <w:t>根据供应商提供本项目总体进度安排计划表，进度安排是否符合项目实际要求进行评审，</w:t>
            </w:r>
            <w:r>
              <w:rPr>
                <w:rFonts w:hint="eastAsia" w:ascii="宋体" w:hAnsi="宋体" w:cs="宋体"/>
                <w:color w:val="auto"/>
                <w:szCs w:val="21"/>
                <w:highlight w:val="none"/>
                <w:lang w:val="en-US" w:eastAsia="zh-CN"/>
              </w:rPr>
              <w:t>评3、2、1分，完全不满足或未阐述得0分。</w:t>
            </w:r>
          </w:p>
        </w:tc>
        <w:tc>
          <w:tcPr>
            <w:tcW w:w="624" w:type="dxa"/>
            <w:vAlign w:val="center"/>
          </w:tcPr>
          <w:p w14:paraId="1F000AA3">
            <w:pPr>
              <w:snapToGrid w:val="0"/>
              <w:jc w:val="center"/>
              <w:outlineLvl w:val="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134" w:type="dxa"/>
            <w:vAlign w:val="center"/>
          </w:tcPr>
          <w:p w14:paraId="061CBA14">
            <w:pPr>
              <w:pStyle w:val="26"/>
              <w:snapToGrid w:val="0"/>
              <w:spacing w:line="240" w:lineRule="auto"/>
              <w:ind w:firstLine="210" w:firstLineChars="100"/>
              <w:rPr>
                <w:rFonts w:hAnsi="宋体" w:cs="宋体"/>
                <w:color w:val="auto"/>
                <w:sz w:val="21"/>
                <w:szCs w:val="21"/>
                <w:highlight w:val="none"/>
                <w:lang w:val="en-US"/>
              </w:rPr>
            </w:pPr>
            <w:r>
              <w:rPr>
                <w:rFonts w:hint="eastAsia" w:hAnsi="宋体" w:cs="宋体"/>
                <w:color w:val="auto"/>
                <w:sz w:val="21"/>
                <w:szCs w:val="21"/>
                <w:highlight w:val="none"/>
                <w:lang w:val="en-US" w:eastAsia="zh-CN"/>
              </w:rPr>
              <w:t>主观分</w:t>
            </w:r>
          </w:p>
        </w:tc>
        <w:tc>
          <w:tcPr>
            <w:tcW w:w="1590" w:type="dxa"/>
          </w:tcPr>
          <w:p w14:paraId="6B1D22EC">
            <w:pPr>
              <w:snapToGrid w:val="0"/>
              <w:jc w:val="center"/>
              <w:rPr>
                <w:rFonts w:ascii="宋体" w:hAnsi="宋体" w:cs="宋体"/>
                <w:color w:val="auto"/>
                <w:szCs w:val="21"/>
                <w:highlight w:val="none"/>
              </w:rPr>
            </w:pPr>
          </w:p>
        </w:tc>
      </w:tr>
      <w:tr w14:paraId="0D84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shd w:val="clear" w:color="auto" w:fill="auto"/>
            <w:vAlign w:val="center"/>
          </w:tcPr>
          <w:p w14:paraId="54582E2D">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5628" w:type="dxa"/>
            <w:gridSpan w:val="2"/>
            <w:vAlign w:val="center"/>
          </w:tcPr>
          <w:p w14:paraId="4AE44EC7">
            <w:pPr>
              <w:jc w:val="left"/>
              <w:outlineLvl w:val="0"/>
              <w:rPr>
                <w:rFonts w:ascii="宋体" w:hAnsi="宋体" w:cs="宋体"/>
                <w:color w:val="auto"/>
                <w:szCs w:val="21"/>
                <w:highlight w:val="none"/>
              </w:rPr>
            </w:pPr>
            <w:r>
              <w:rPr>
                <w:rFonts w:hint="eastAsia" w:ascii="宋体" w:hAnsi="宋体" w:cs="宋体"/>
                <w:color w:val="auto"/>
                <w:szCs w:val="21"/>
                <w:highlight w:val="none"/>
              </w:rPr>
              <w:t>根据投标人对本项目海绵城市技术服务质量把关情况的完整性、合理性、可行性进行评审</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评3、2、1分，完全不满足或未阐述得0分。</w:t>
            </w:r>
          </w:p>
        </w:tc>
        <w:tc>
          <w:tcPr>
            <w:tcW w:w="624" w:type="dxa"/>
            <w:vAlign w:val="center"/>
          </w:tcPr>
          <w:p w14:paraId="10E6EDBC">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lang w:val="en-US" w:eastAsia="zh-CN"/>
              </w:rPr>
              <w:t>3</w:t>
            </w:r>
          </w:p>
        </w:tc>
        <w:tc>
          <w:tcPr>
            <w:tcW w:w="1134" w:type="dxa"/>
            <w:vAlign w:val="center"/>
          </w:tcPr>
          <w:p w14:paraId="2D3C3474">
            <w:pPr>
              <w:pStyle w:val="26"/>
              <w:snapToGrid w:val="0"/>
              <w:spacing w:line="240" w:lineRule="auto"/>
              <w:ind w:firstLine="210" w:firstLineChars="100"/>
              <w:rPr>
                <w:rFonts w:hAnsi="宋体" w:cs="宋体"/>
                <w:color w:val="auto"/>
                <w:sz w:val="21"/>
                <w:szCs w:val="21"/>
                <w:highlight w:val="none"/>
                <w:lang w:val="en-US"/>
              </w:rPr>
            </w:pPr>
            <w:r>
              <w:rPr>
                <w:rFonts w:hint="eastAsia" w:hAnsi="宋体" w:cs="宋体"/>
                <w:color w:val="auto"/>
                <w:sz w:val="21"/>
                <w:szCs w:val="21"/>
                <w:highlight w:val="none"/>
                <w:lang w:val="en-US" w:eastAsia="zh-CN"/>
              </w:rPr>
              <w:t>主观分</w:t>
            </w:r>
          </w:p>
        </w:tc>
        <w:tc>
          <w:tcPr>
            <w:tcW w:w="1590" w:type="dxa"/>
          </w:tcPr>
          <w:p w14:paraId="37E08CFE">
            <w:pPr>
              <w:snapToGrid w:val="0"/>
              <w:jc w:val="center"/>
              <w:rPr>
                <w:rFonts w:ascii="宋体" w:hAnsi="宋体" w:cs="宋体"/>
                <w:color w:val="auto"/>
                <w:szCs w:val="21"/>
                <w:highlight w:val="none"/>
              </w:rPr>
            </w:pPr>
          </w:p>
        </w:tc>
      </w:tr>
      <w:tr w14:paraId="41CD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shd w:val="clear" w:color="auto" w:fill="auto"/>
            <w:vAlign w:val="center"/>
          </w:tcPr>
          <w:p w14:paraId="0D1BB100">
            <w:pPr>
              <w:snapToGrid w:val="0"/>
              <w:jc w:val="center"/>
              <w:rPr>
                <w:rFonts w:ascii="宋体" w:hAnsi="宋体" w:cs="宋体"/>
                <w:color w:val="auto"/>
                <w:szCs w:val="21"/>
                <w:highlight w:val="none"/>
              </w:rPr>
            </w:pPr>
            <w:r>
              <w:rPr>
                <w:rFonts w:hint="eastAsia" w:ascii="宋体" w:hAnsi="宋体" w:cs="宋体"/>
                <w:color w:val="auto"/>
                <w:szCs w:val="21"/>
                <w:highlight w:val="none"/>
              </w:rPr>
              <w:t>9</w:t>
            </w:r>
          </w:p>
        </w:tc>
        <w:tc>
          <w:tcPr>
            <w:tcW w:w="5628" w:type="dxa"/>
            <w:gridSpan w:val="2"/>
            <w:shd w:val="clear" w:color="auto" w:fill="auto"/>
            <w:vAlign w:val="center"/>
          </w:tcPr>
          <w:p w14:paraId="2C6EFC30">
            <w:pPr>
              <w:jc w:val="left"/>
              <w:outlineLvl w:val="0"/>
              <w:rPr>
                <w:rFonts w:ascii="宋体" w:hAnsi="宋体" w:cs="宋体"/>
                <w:color w:val="auto"/>
                <w:szCs w:val="21"/>
                <w:highlight w:val="none"/>
              </w:rPr>
            </w:pPr>
            <w:r>
              <w:rPr>
                <w:rFonts w:hint="eastAsia" w:ascii="宋体" w:hAnsi="宋体" w:cs="宋体"/>
                <w:color w:val="auto"/>
                <w:szCs w:val="21"/>
                <w:highlight w:val="none"/>
              </w:rPr>
              <w:t>根据技术服务工作的评审，含针对组织体系、人力资源、设备投入、成果提交、工程进度、服务质量等提出服务承诺的完整性、科学合理性、可行性进行评审</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评3、2、1分，完全不满足或未阐述得0分。</w:t>
            </w:r>
          </w:p>
        </w:tc>
        <w:tc>
          <w:tcPr>
            <w:tcW w:w="624" w:type="dxa"/>
            <w:shd w:val="clear" w:color="auto" w:fill="auto"/>
            <w:vAlign w:val="center"/>
          </w:tcPr>
          <w:p w14:paraId="6FE42651">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lang w:val="en-US" w:eastAsia="zh-CN"/>
              </w:rPr>
              <w:t>3</w:t>
            </w:r>
          </w:p>
        </w:tc>
        <w:tc>
          <w:tcPr>
            <w:tcW w:w="1134" w:type="dxa"/>
            <w:shd w:val="clear" w:color="auto" w:fill="auto"/>
            <w:vAlign w:val="center"/>
          </w:tcPr>
          <w:p w14:paraId="4FC13E98">
            <w:pPr>
              <w:pStyle w:val="26"/>
              <w:snapToGrid w:val="0"/>
              <w:spacing w:line="240" w:lineRule="auto"/>
              <w:ind w:firstLine="210" w:firstLineChars="100"/>
              <w:rPr>
                <w:rFonts w:hAnsi="宋体" w:cs="宋体"/>
                <w:color w:val="auto"/>
                <w:sz w:val="21"/>
                <w:szCs w:val="21"/>
                <w:highlight w:val="none"/>
                <w:lang w:val="en-US"/>
              </w:rPr>
            </w:pPr>
            <w:r>
              <w:rPr>
                <w:rFonts w:hint="eastAsia" w:hAnsi="宋体" w:cs="宋体"/>
                <w:color w:val="auto"/>
                <w:sz w:val="21"/>
                <w:szCs w:val="21"/>
                <w:highlight w:val="none"/>
                <w:lang w:val="en-US" w:eastAsia="zh-CN"/>
              </w:rPr>
              <w:t>主观分</w:t>
            </w:r>
          </w:p>
        </w:tc>
        <w:tc>
          <w:tcPr>
            <w:tcW w:w="1590" w:type="dxa"/>
          </w:tcPr>
          <w:p w14:paraId="6AB871CD">
            <w:pPr>
              <w:snapToGrid w:val="0"/>
              <w:jc w:val="center"/>
              <w:rPr>
                <w:rFonts w:ascii="宋体" w:hAnsi="宋体" w:cs="宋体"/>
                <w:color w:val="auto"/>
                <w:szCs w:val="21"/>
                <w:highlight w:val="none"/>
              </w:rPr>
            </w:pPr>
          </w:p>
        </w:tc>
      </w:tr>
      <w:tr w14:paraId="1B21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shd w:val="clear" w:color="auto" w:fill="auto"/>
            <w:vAlign w:val="center"/>
          </w:tcPr>
          <w:p w14:paraId="1268024A">
            <w:pPr>
              <w:snapToGrid w:val="0"/>
              <w:jc w:val="center"/>
              <w:rPr>
                <w:rFonts w:ascii="宋体" w:hAnsi="宋体" w:cs="宋体"/>
                <w:color w:val="auto"/>
                <w:szCs w:val="21"/>
                <w:highlight w:val="none"/>
              </w:rPr>
            </w:pPr>
            <w:r>
              <w:rPr>
                <w:rFonts w:hint="eastAsia" w:ascii="宋体" w:hAnsi="宋体" w:cs="宋体"/>
                <w:color w:val="auto"/>
                <w:szCs w:val="21"/>
                <w:highlight w:val="none"/>
              </w:rPr>
              <w:t>10</w:t>
            </w:r>
          </w:p>
        </w:tc>
        <w:tc>
          <w:tcPr>
            <w:tcW w:w="5628" w:type="dxa"/>
            <w:gridSpan w:val="2"/>
            <w:shd w:val="clear" w:color="auto" w:fill="auto"/>
            <w:vAlign w:val="center"/>
          </w:tcPr>
          <w:p w14:paraId="3078B68D">
            <w:pPr>
              <w:jc w:val="left"/>
              <w:outlineLvl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合理化建议：根据投标人给采购人合理化建议的可行性及完善性进行评审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评3、2、1分，完全不满足或未阐述得0分。</w:t>
            </w:r>
          </w:p>
        </w:tc>
        <w:tc>
          <w:tcPr>
            <w:tcW w:w="624" w:type="dxa"/>
            <w:shd w:val="clear" w:color="auto" w:fill="auto"/>
            <w:vAlign w:val="center"/>
          </w:tcPr>
          <w:p w14:paraId="6831FA51">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lang w:val="en-US" w:eastAsia="zh-CN"/>
              </w:rPr>
              <w:t>3</w:t>
            </w:r>
          </w:p>
        </w:tc>
        <w:tc>
          <w:tcPr>
            <w:tcW w:w="1134" w:type="dxa"/>
            <w:shd w:val="clear" w:color="auto" w:fill="auto"/>
            <w:vAlign w:val="center"/>
          </w:tcPr>
          <w:p w14:paraId="3DE85C61">
            <w:pPr>
              <w:pStyle w:val="26"/>
              <w:snapToGrid w:val="0"/>
              <w:spacing w:line="240" w:lineRule="auto"/>
              <w:ind w:firstLine="210" w:firstLineChars="100"/>
              <w:rPr>
                <w:rFonts w:hAnsi="宋体" w:cs="宋体"/>
                <w:color w:val="auto"/>
                <w:sz w:val="21"/>
                <w:szCs w:val="21"/>
                <w:highlight w:val="none"/>
                <w:lang w:val="en-US"/>
              </w:rPr>
            </w:pPr>
            <w:r>
              <w:rPr>
                <w:rFonts w:hint="eastAsia" w:hAnsi="宋体" w:cs="宋体"/>
                <w:color w:val="auto"/>
                <w:sz w:val="21"/>
                <w:szCs w:val="21"/>
                <w:highlight w:val="none"/>
                <w:lang w:val="en-US" w:eastAsia="zh-CN"/>
              </w:rPr>
              <w:t>主观分</w:t>
            </w:r>
          </w:p>
        </w:tc>
        <w:tc>
          <w:tcPr>
            <w:tcW w:w="1590" w:type="dxa"/>
          </w:tcPr>
          <w:p w14:paraId="73E2E7A0">
            <w:pPr>
              <w:snapToGrid w:val="0"/>
              <w:jc w:val="center"/>
              <w:rPr>
                <w:rFonts w:ascii="宋体" w:hAnsi="宋体" w:cs="宋体"/>
                <w:color w:val="auto"/>
                <w:szCs w:val="21"/>
                <w:highlight w:val="none"/>
              </w:rPr>
            </w:pPr>
          </w:p>
        </w:tc>
      </w:tr>
      <w:tr w14:paraId="378C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shd w:val="clear" w:color="auto" w:fill="auto"/>
            <w:vAlign w:val="center"/>
          </w:tcPr>
          <w:p w14:paraId="420E9BD1">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5628" w:type="dxa"/>
            <w:gridSpan w:val="2"/>
            <w:shd w:val="clear" w:color="auto" w:fill="auto"/>
            <w:vAlign w:val="center"/>
          </w:tcPr>
          <w:p w14:paraId="3C446C4C">
            <w:pPr>
              <w:jc w:val="left"/>
              <w:outlineLvl w:val="0"/>
              <w:rPr>
                <w:rFonts w:hint="eastAsia" w:ascii="宋体" w:hAnsi="宋体" w:cs="宋体"/>
                <w:color w:val="auto"/>
                <w:sz w:val="21"/>
                <w:szCs w:val="21"/>
                <w:highlight w:val="none"/>
              </w:rPr>
            </w:pPr>
            <w:r>
              <w:rPr>
                <w:rFonts w:hint="eastAsia" w:ascii="宋体" w:hAnsi="宋体" w:cs="宋体"/>
                <w:b/>
                <w:color w:val="auto"/>
                <w:sz w:val="21"/>
                <w:szCs w:val="21"/>
                <w:highlight w:val="none"/>
                <w:lang w:val="en-US" w:eastAsia="zh-CN"/>
              </w:rPr>
              <w:t>技术响应情况</w:t>
            </w:r>
            <w:r>
              <w:rPr>
                <w:rFonts w:hint="eastAsia" w:ascii="宋体" w:hAnsi="宋体" w:eastAsia="宋体" w:cs="宋体"/>
                <w:bCs/>
                <w:color w:val="auto"/>
                <w:sz w:val="21"/>
                <w:szCs w:val="21"/>
                <w:highlight w:val="none"/>
              </w:rPr>
              <w:t>：对采购文件</w:t>
            </w:r>
            <w:r>
              <w:rPr>
                <w:rFonts w:hint="eastAsia" w:ascii="宋体" w:hAnsi="宋体" w:eastAsia="宋体" w:cs="宋体"/>
                <w:color w:val="auto"/>
                <w:sz w:val="21"/>
                <w:szCs w:val="21"/>
                <w:highlight w:val="none"/>
              </w:rPr>
              <w:t>第三章“</w:t>
            </w:r>
            <w:r>
              <w:rPr>
                <w:rFonts w:hint="eastAsia" w:ascii="宋体" w:hAnsi="宋体" w:eastAsia="宋体" w:cs="宋体"/>
                <w:bCs/>
                <w:color w:val="auto"/>
                <w:sz w:val="21"/>
                <w:szCs w:val="21"/>
                <w:highlight w:val="none"/>
              </w:rPr>
              <w:t>采购需求</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二、技术要求</w:t>
            </w:r>
            <w:r>
              <w:rPr>
                <w:rFonts w:hint="default" w:ascii="宋体" w:hAnsi="宋体" w:cs="宋体"/>
                <w:color w:val="auto"/>
                <w:sz w:val="21"/>
                <w:szCs w:val="21"/>
                <w:highlight w:val="none"/>
                <w:lang w:val="en-US" w:eastAsia="zh-CN"/>
              </w:rPr>
              <w:t>”</w:t>
            </w:r>
            <w:r>
              <w:rPr>
                <w:rFonts w:hint="eastAsia" w:ascii="宋体" w:hAnsi="宋体" w:eastAsia="宋体" w:cs="宋体"/>
                <w:bCs/>
                <w:color w:val="auto"/>
                <w:sz w:val="21"/>
                <w:szCs w:val="21"/>
                <w:highlight w:val="none"/>
              </w:rPr>
              <w:t>的响应情况，</w:t>
            </w:r>
            <w:r>
              <w:rPr>
                <w:rFonts w:hint="eastAsia" w:ascii="宋体" w:hAnsi="宋体" w:cs="宋体"/>
                <w:bCs/>
                <w:color w:val="auto"/>
                <w:sz w:val="21"/>
                <w:szCs w:val="21"/>
                <w:highlight w:val="none"/>
                <w:lang w:val="en-US" w:eastAsia="zh-CN"/>
              </w:rPr>
              <w:t>全部响应没有负偏离的得10分，有</w:t>
            </w:r>
            <w:r>
              <w:rPr>
                <w:rFonts w:hint="eastAsia" w:ascii="宋体" w:hAnsi="宋体" w:eastAsia="宋体" w:cs="宋体"/>
                <w:bCs/>
                <w:color w:val="auto"/>
                <w:sz w:val="21"/>
                <w:szCs w:val="21"/>
                <w:highlight w:val="none"/>
              </w:rPr>
              <w:t>不能满足采购文件要求</w:t>
            </w:r>
            <w:r>
              <w:rPr>
                <w:rFonts w:hint="eastAsia" w:ascii="宋体" w:hAnsi="宋体" w:cs="宋体"/>
                <w:bCs/>
                <w:color w:val="auto"/>
                <w:sz w:val="21"/>
                <w:szCs w:val="21"/>
                <w:highlight w:val="none"/>
                <w:lang w:val="en-US" w:eastAsia="zh-CN"/>
              </w:rPr>
              <w:t>有负偏离的，每一条</w:t>
            </w:r>
            <w:r>
              <w:rPr>
                <w:rFonts w:hint="eastAsia" w:ascii="宋体" w:hAnsi="宋体" w:eastAsia="宋体" w:cs="宋体"/>
                <w:bCs/>
                <w:color w:val="auto"/>
                <w:sz w:val="21"/>
                <w:szCs w:val="21"/>
                <w:highlight w:val="none"/>
              </w:rPr>
              <w:t>扣</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分，扣完为止。</w:t>
            </w:r>
          </w:p>
        </w:tc>
        <w:tc>
          <w:tcPr>
            <w:tcW w:w="624" w:type="dxa"/>
            <w:shd w:val="clear" w:color="auto" w:fill="auto"/>
            <w:vAlign w:val="center"/>
          </w:tcPr>
          <w:p w14:paraId="41039DA4">
            <w:pPr>
              <w:snapToGrid w:val="0"/>
              <w:jc w:val="center"/>
              <w:outlineLvl w:val="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134" w:type="dxa"/>
            <w:shd w:val="clear" w:color="auto" w:fill="auto"/>
            <w:vAlign w:val="center"/>
          </w:tcPr>
          <w:p w14:paraId="27BFA24C">
            <w:pPr>
              <w:pStyle w:val="26"/>
              <w:snapToGrid w:val="0"/>
              <w:spacing w:line="240" w:lineRule="auto"/>
              <w:ind w:firstLine="210" w:firstLineChars="10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客观分</w:t>
            </w:r>
          </w:p>
        </w:tc>
        <w:tc>
          <w:tcPr>
            <w:tcW w:w="1590" w:type="dxa"/>
          </w:tcPr>
          <w:p w14:paraId="168D767F">
            <w:pPr>
              <w:snapToGrid w:val="0"/>
              <w:jc w:val="center"/>
              <w:rPr>
                <w:rFonts w:ascii="宋体" w:hAnsi="宋体" w:cs="宋体"/>
                <w:color w:val="auto"/>
                <w:szCs w:val="21"/>
                <w:highlight w:val="none"/>
              </w:rPr>
            </w:pPr>
          </w:p>
        </w:tc>
      </w:tr>
      <w:tr w14:paraId="460F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504" w:type="dxa"/>
            <w:vMerge w:val="restart"/>
            <w:shd w:val="clear" w:color="auto" w:fill="auto"/>
            <w:vAlign w:val="center"/>
          </w:tcPr>
          <w:p w14:paraId="7826A6AD">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p>
        </w:tc>
        <w:tc>
          <w:tcPr>
            <w:tcW w:w="662" w:type="dxa"/>
            <w:vMerge w:val="restart"/>
            <w:shd w:val="clear" w:color="auto" w:fill="auto"/>
            <w:vAlign w:val="center"/>
          </w:tcPr>
          <w:p w14:paraId="374CB954">
            <w:pPr>
              <w:jc w:val="left"/>
              <w:outlineLvl w:val="0"/>
              <w:rPr>
                <w:rFonts w:ascii="宋体" w:hAnsi="宋体" w:cs="宋体"/>
                <w:color w:val="auto"/>
                <w:szCs w:val="21"/>
                <w:highlight w:val="none"/>
              </w:rPr>
            </w:pPr>
            <w:r>
              <w:rPr>
                <w:rFonts w:hint="eastAsia" w:ascii="宋体" w:hAnsi="宋体" w:cs="宋体"/>
                <w:color w:val="auto"/>
                <w:szCs w:val="21"/>
                <w:highlight w:val="none"/>
              </w:rPr>
              <w:t>拟投入本项目团队配置</w:t>
            </w:r>
          </w:p>
        </w:tc>
        <w:tc>
          <w:tcPr>
            <w:tcW w:w="4966" w:type="dxa"/>
            <w:shd w:val="clear" w:color="auto" w:fill="auto"/>
            <w:vAlign w:val="center"/>
          </w:tcPr>
          <w:p w14:paraId="026ED244">
            <w:pPr>
              <w:jc w:val="left"/>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12.1拟投入项目负责人情况：</w:t>
            </w:r>
          </w:p>
          <w:p w14:paraId="4CA559EA">
            <w:pPr>
              <w:jc w:val="left"/>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（1）具有给排水专业高级工程师职称得1分，具有给排水专业正高级工程师职称得2分；具有注册公用设备工程师（给排水）资格证书得2分；具有注册环评工程师资格证书得1分；本项目累计总分不超过5分。</w:t>
            </w:r>
          </w:p>
          <w:p w14:paraId="30B7584B">
            <w:pPr>
              <w:jc w:val="left"/>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（2）项目负责人自2020年1月1日以来(以发布日期为准)编制过海绵城市、低影响开发、排水、水系、雨水、防涝等省级及以上相关的规范、导则、标准、图集、规程的，每1项得0.5分；累计总分不超过3分。</w:t>
            </w:r>
          </w:p>
          <w:p w14:paraId="7C28BCC0">
            <w:pPr>
              <w:jc w:val="left"/>
              <w:outlineLvl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（提供有效证书证明文件及在投标单位缴纳</w:t>
            </w:r>
            <w:r>
              <w:rPr>
                <w:rFonts w:hint="eastAsia" w:ascii="宋体" w:hAnsi="宋体" w:cs="宋体"/>
                <w:color w:val="auto"/>
                <w:szCs w:val="21"/>
                <w:highlight w:val="none"/>
              </w:rPr>
              <w:t>社</w:t>
            </w:r>
            <w:r>
              <w:rPr>
                <w:rFonts w:hint="eastAsia" w:ascii="宋体" w:hAnsi="宋体" w:cs="宋体"/>
                <w:color w:val="auto"/>
                <w:szCs w:val="21"/>
                <w:highlight w:val="none"/>
                <w:lang w:val="en-US" w:eastAsia="zh-CN"/>
              </w:rPr>
              <w:t>保缴纳证明文件并加盖公章，不按要求提供不得分）</w:t>
            </w:r>
          </w:p>
        </w:tc>
        <w:tc>
          <w:tcPr>
            <w:tcW w:w="624" w:type="dxa"/>
            <w:shd w:val="clear" w:color="auto" w:fill="auto"/>
            <w:vAlign w:val="center"/>
          </w:tcPr>
          <w:p w14:paraId="60FC4606">
            <w:pPr>
              <w:snapToGrid w:val="0"/>
              <w:jc w:val="center"/>
              <w:outlineLvl w:val="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1134" w:type="dxa"/>
            <w:vMerge w:val="restart"/>
            <w:shd w:val="clear" w:color="auto" w:fill="auto"/>
            <w:vAlign w:val="center"/>
          </w:tcPr>
          <w:p w14:paraId="76672ED4">
            <w:pPr>
              <w:pStyle w:val="26"/>
              <w:snapToGrid w:val="0"/>
              <w:spacing w:line="240" w:lineRule="auto"/>
              <w:ind w:firstLine="210" w:firstLineChars="100"/>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客观分</w:t>
            </w:r>
          </w:p>
        </w:tc>
        <w:tc>
          <w:tcPr>
            <w:tcW w:w="1590" w:type="dxa"/>
            <w:vMerge w:val="restart"/>
          </w:tcPr>
          <w:p w14:paraId="3714422A">
            <w:pPr>
              <w:snapToGrid w:val="0"/>
              <w:jc w:val="center"/>
              <w:rPr>
                <w:rFonts w:ascii="宋体" w:hAnsi="宋体" w:cs="宋体"/>
                <w:color w:val="auto"/>
                <w:szCs w:val="21"/>
                <w:highlight w:val="none"/>
              </w:rPr>
            </w:pPr>
          </w:p>
        </w:tc>
      </w:tr>
      <w:tr w14:paraId="5B4F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504" w:type="dxa"/>
            <w:vMerge w:val="continue"/>
            <w:shd w:val="clear" w:color="auto" w:fill="auto"/>
            <w:vAlign w:val="center"/>
          </w:tcPr>
          <w:p w14:paraId="52197222">
            <w:pPr>
              <w:jc w:val="left"/>
              <w:outlineLvl w:val="0"/>
              <w:rPr>
                <w:color w:val="auto"/>
                <w:highlight w:val="none"/>
              </w:rPr>
            </w:pPr>
          </w:p>
        </w:tc>
        <w:tc>
          <w:tcPr>
            <w:tcW w:w="662" w:type="dxa"/>
            <w:vMerge w:val="continue"/>
            <w:shd w:val="clear" w:color="auto" w:fill="auto"/>
            <w:vAlign w:val="center"/>
          </w:tcPr>
          <w:p w14:paraId="1FF8007A">
            <w:pPr>
              <w:jc w:val="left"/>
              <w:outlineLvl w:val="0"/>
              <w:rPr>
                <w:color w:val="auto"/>
                <w:highlight w:val="none"/>
              </w:rPr>
            </w:pPr>
          </w:p>
        </w:tc>
        <w:tc>
          <w:tcPr>
            <w:tcW w:w="4966" w:type="dxa"/>
            <w:shd w:val="clear" w:color="auto" w:fill="auto"/>
            <w:vAlign w:val="center"/>
          </w:tcPr>
          <w:p w14:paraId="717B8345">
            <w:pPr>
              <w:jc w:val="left"/>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12.2（1）项目组成员（不包括项目负责人、项目技术总监）具备给排水专业、景观园林专业、城乡规划专业、道路交通类、工程造价类、结构类专业高级及以上职称的，每个专业得1分，具备给排水专业、景观园林专业、城乡规划专业、道路交通类、工程造价类、结构类专业中级职称的，每个专业得0.5分，相同专业不重复计分，同一人员有不同专业证书的不重复计算得分，累计最高得6分。</w:t>
            </w:r>
          </w:p>
          <w:p w14:paraId="5A761B7E">
            <w:pPr>
              <w:jc w:val="left"/>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项目组成员（不包括项目负责人、项目技术总监）具有注册公用设备工程师（给水排水）、注册咨询工程师、注册城乡规划师、注册道路工程师、注册造价工程师、注册环保工程师资格的，每个专业资格得1分，相同专业不重复计分，同一人员有不同专业证书的不重复计算得分，累计最高得6分。</w:t>
            </w:r>
          </w:p>
          <w:p w14:paraId="33181C15">
            <w:pPr>
              <w:jc w:val="left"/>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（3）项目技术总监具有给排水专业正高工程师的得2分，具有给排水专业高级工程师的得1分；具有省级勘察设计大师及以上认证的得1分，累计最高得3分。</w:t>
            </w:r>
          </w:p>
          <w:p w14:paraId="071C6A3C">
            <w:pPr>
              <w:jc w:val="left"/>
              <w:outlineLvl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（提供以上人员有效的证书证明文件及在投标单位缴纳社保缴纳证明文件，不按要求提供不得分）</w:t>
            </w:r>
          </w:p>
        </w:tc>
        <w:tc>
          <w:tcPr>
            <w:tcW w:w="624" w:type="dxa"/>
            <w:shd w:val="clear" w:color="auto" w:fill="auto"/>
            <w:vAlign w:val="center"/>
          </w:tcPr>
          <w:p w14:paraId="1F523E4A">
            <w:pPr>
              <w:jc w:val="center"/>
              <w:outlineLvl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134" w:type="dxa"/>
            <w:vMerge w:val="continue"/>
            <w:shd w:val="clear" w:color="auto" w:fill="auto"/>
            <w:vAlign w:val="center"/>
          </w:tcPr>
          <w:p w14:paraId="05AB48AE">
            <w:pPr>
              <w:jc w:val="left"/>
              <w:outlineLvl w:val="0"/>
              <w:rPr>
                <w:rFonts w:ascii="宋体" w:hAnsi="宋体" w:cs="宋体"/>
                <w:color w:val="auto"/>
                <w:szCs w:val="21"/>
                <w:highlight w:val="none"/>
              </w:rPr>
            </w:pPr>
          </w:p>
        </w:tc>
        <w:tc>
          <w:tcPr>
            <w:tcW w:w="1590" w:type="dxa"/>
            <w:vMerge w:val="continue"/>
          </w:tcPr>
          <w:p w14:paraId="6856BC05">
            <w:pPr>
              <w:jc w:val="left"/>
              <w:outlineLvl w:val="0"/>
              <w:rPr>
                <w:rFonts w:ascii="宋体" w:hAnsi="宋体" w:cs="宋体"/>
                <w:color w:val="auto"/>
                <w:szCs w:val="21"/>
                <w:highlight w:val="none"/>
              </w:rPr>
            </w:pPr>
          </w:p>
        </w:tc>
      </w:tr>
      <w:tr w14:paraId="7B35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334C997D">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5628" w:type="dxa"/>
            <w:gridSpan w:val="2"/>
          </w:tcPr>
          <w:p w14:paraId="0E55EDA6">
            <w:pPr>
              <w:snapToGrid w:val="0"/>
              <w:jc w:val="left"/>
              <w:outlineLvl w:val="0"/>
              <w:rPr>
                <w:rFonts w:ascii="宋体" w:hAnsi="宋体" w:cs="宋体"/>
                <w:color w:val="auto"/>
                <w:szCs w:val="21"/>
                <w:highlight w:val="none"/>
              </w:rPr>
            </w:pPr>
            <w:r>
              <w:rPr>
                <w:rFonts w:hint="eastAsia" w:ascii="宋体" w:hAnsi="宋体" w:cs="宋体"/>
                <w:color w:val="auto"/>
                <w:szCs w:val="21"/>
                <w:highlight w:val="none"/>
              </w:rPr>
              <w:t>有效投标报价的最低价作为评标基准价，其最低报价为满分；按［投标报价得分=（评标基准价/投标报价）*</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］的计算公式计算。</w:t>
            </w:r>
          </w:p>
          <w:p w14:paraId="79ABC98D">
            <w:pPr>
              <w:snapToGrid w:val="0"/>
              <w:jc w:val="left"/>
              <w:outlineLvl w:val="0"/>
              <w:rPr>
                <w:rFonts w:ascii="宋体" w:hAnsi="宋体" w:cs="宋体"/>
                <w:color w:val="auto"/>
                <w:szCs w:val="21"/>
                <w:highlight w:val="none"/>
              </w:rPr>
            </w:pPr>
            <w:r>
              <w:rPr>
                <w:rFonts w:hint="eastAsia" w:ascii="宋体" w:hAnsi="宋体" w:cs="宋体"/>
                <w:color w:val="auto"/>
                <w:szCs w:val="21"/>
                <w:highlight w:val="none"/>
              </w:rPr>
              <w:t>评标过程中，不得去掉报价中的最高报价和最低报价。</w:t>
            </w:r>
          </w:p>
          <w:p w14:paraId="0573F032">
            <w:pPr>
              <w:snapToGrid w:val="0"/>
              <w:jc w:val="left"/>
              <w:outlineLvl w:val="0"/>
              <w:rPr>
                <w:rFonts w:ascii="宋体" w:hAnsi="宋体" w:cs="宋体"/>
                <w:color w:val="auto"/>
                <w:szCs w:val="21"/>
                <w:highlight w:val="none"/>
              </w:rPr>
            </w:pPr>
            <w:r>
              <w:rPr>
                <w:rFonts w:hint="eastAsia" w:ascii="宋体" w:hAnsi="宋体" w:cs="宋体"/>
                <w:color w:val="auto"/>
                <w:szCs w:val="21"/>
                <w:highlight w:val="none"/>
              </w:rPr>
              <w:t>因落实政府采购政策需要进行价格调整的，以调整后的价格计算评标基准价和投标报价。</w:t>
            </w:r>
          </w:p>
          <w:p w14:paraId="67B8BCCC">
            <w:pPr>
              <w:pStyle w:val="25"/>
              <w:snapToGrid w:val="0"/>
              <w:spacing w:line="240" w:lineRule="auto"/>
              <w:rPr>
                <w:rFonts w:hAnsi="宋体" w:cs="宋体"/>
                <w:color w:val="auto"/>
                <w:sz w:val="21"/>
                <w:highlight w:val="none"/>
                <w:lang w:val="en-US"/>
              </w:rPr>
            </w:pPr>
            <w:r>
              <w:rPr>
                <w:rFonts w:hint="eastAsia" w:hAnsi="宋体" w:cs="宋体"/>
                <w:snapToGrid/>
                <w:color w:val="auto"/>
                <w:sz w:val="21"/>
                <w:highlight w:val="none"/>
                <w:lang w:val="en-US"/>
              </w:rPr>
              <w:t>各地、各部门要认真落实《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结合项目实际，对符合规定的小微企业报价原则上按最高优惠幅度</w:t>
            </w:r>
            <w:r>
              <w:rPr>
                <w:rFonts w:hint="eastAsia" w:hAnsi="宋体" w:cs="宋体"/>
                <w:snapToGrid/>
                <w:color w:val="auto"/>
                <w:sz w:val="21"/>
                <w:highlight w:val="none"/>
                <w:lang w:val="en-US" w:eastAsia="zh-CN"/>
              </w:rPr>
              <w:t>1</w:t>
            </w:r>
            <w:r>
              <w:rPr>
                <w:rFonts w:hint="eastAsia" w:hAnsi="宋体" w:cs="宋体"/>
                <w:snapToGrid/>
                <w:color w:val="auto"/>
                <w:sz w:val="21"/>
                <w:highlight w:val="none"/>
                <w:lang w:val="en-US"/>
              </w:rPr>
              <w:t>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w:t>
            </w:r>
          </w:p>
        </w:tc>
        <w:tc>
          <w:tcPr>
            <w:tcW w:w="624" w:type="dxa"/>
            <w:vAlign w:val="center"/>
          </w:tcPr>
          <w:p w14:paraId="34E0686E">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w:t>
            </w:r>
          </w:p>
        </w:tc>
        <w:tc>
          <w:tcPr>
            <w:tcW w:w="1134" w:type="dxa"/>
          </w:tcPr>
          <w:p w14:paraId="248508D7">
            <w:pPr>
              <w:pStyle w:val="26"/>
              <w:snapToGrid w:val="0"/>
              <w:spacing w:line="240" w:lineRule="auto"/>
              <w:ind w:firstLine="210" w:firstLineChars="100"/>
              <w:rPr>
                <w:rFonts w:hAnsi="宋体" w:cs="宋体"/>
                <w:color w:val="auto"/>
                <w:sz w:val="21"/>
                <w:szCs w:val="21"/>
                <w:highlight w:val="none"/>
                <w:lang w:val="en-US"/>
              </w:rPr>
            </w:pPr>
          </w:p>
        </w:tc>
        <w:tc>
          <w:tcPr>
            <w:tcW w:w="1590" w:type="dxa"/>
          </w:tcPr>
          <w:p w14:paraId="1A7A0DEE">
            <w:pPr>
              <w:snapToGrid w:val="0"/>
              <w:jc w:val="center"/>
              <w:rPr>
                <w:rFonts w:ascii="宋体" w:hAnsi="宋体" w:cs="宋体"/>
                <w:color w:val="auto"/>
                <w:szCs w:val="21"/>
                <w:highlight w:val="none"/>
              </w:rPr>
            </w:pPr>
          </w:p>
        </w:tc>
      </w:tr>
      <w:tr w14:paraId="4B99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3B8E18E1">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5628" w:type="dxa"/>
            <w:gridSpan w:val="2"/>
            <w:vAlign w:val="center"/>
          </w:tcPr>
          <w:p w14:paraId="769A4DF9">
            <w:pPr>
              <w:widowControl/>
              <w:shd w:val="clear" w:color="auto" w:fill="FFFFFF"/>
              <w:adjustRightInd/>
              <w:snapToGrid w:val="0"/>
              <w:ind w:firstLine="420"/>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624" w:type="dxa"/>
            <w:vAlign w:val="center"/>
          </w:tcPr>
          <w:p w14:paraId="3C4758A1">
            <w:pPr>
              <w:snapToGrid w:val="0"/>
              <w:jc w:val="center"/>
              <w:rPr>
                <w:rFonts w:hint="default" w:ascii="宋体" w:hAnsi="宋体" w:cs="宋体"/>
                <w:color w:val="auto"/>
                <w:szCs w:val="21"/>
                <w:highlight w:val="none"/>
              </w:rPr>
            </w:pPr>
            <w:r>
              <w:rPr>
                <w:rFonts w:hint="default" w:ascii="宋体" w:hAnsi="宋体" w:cs="宋体"/>
                <w:color w:val="auto"/>
                <w:szCs w:val="21"/>
                <w:highlight w:val="none"/>
              </w:rPr>
              <w:fldChar w:fldCharType="begin"/>
            </w:r>
            <w:r>
              <w:rPr>
                <w:rFonts w:hint="default" w:ascii="宋体" w:hAnsi="宋体" w:cs="宋体"/>
                <w:color w:val="auto"/>
                <w:szCs w:val="21"/>
                <w:highlight w:val="none"/>
              </w:rPr>
              <w:instrText xml:space="preserve"> =SUM(ABOVE) \* MERGEFORMAT </w:instrText>
            </w:r>
            <w:r>
              <w:rPr>
                <w:rFonts w:hint="default" w:ascii="宋体" w:hAnsi="宋体" w:cs="宋体"/>
                <w:color w:val="auto"/>
                <w:szCs w:val="21"/>
                <w:highlight w:val="none"/>
              </w:rPr>
              <w:fldChar w:fldCharType="separate"/>
            </w:r>
            <w:r>
              <w:rPr>
                <w:rFonts w:hint="default" w:ascii="宋体" w:hAnsi="宋体" w:cs="宋体"/>
                <w:color w:val="auto"/>
                <w:szCs w:val="21"/>
                <w:highlight w:val="none"/>
              </w:rPr>
              <w:t>100</w:t>
            </w:r>
            <w:r>
              <w:rPr>
                <w:rFonts w:hint="default" w:ascii="宋体" w:hAnsi="宋体" w:cs="宋体"/>
                <w:color w:val="auto"/>
                <w:szCs w:val="21"/>
                <w:highlight w:val="none"/>
              </w:rPr>
              <w:fldChar w:fldCharType="end"/>
            </w:r>
          </w:p>
        </w:tc>
        <w:tc>
          <w:tcPr>
            <w:tcW w:w="1134" w:type="dxa"/>
            <w:vAlign w:val="center"/>
          </w:tcPr>
          <w:p w14:paraId="7FA8AA29">
            <w:pPr>
              <w:snapToGrid w:val="0"/>
              <w:jc w:val="center"/>
              <w:rPr>
                <w:rFonts w:ascii="宋体" w:hAnsi="宋体" w:cs="宋体"/>
                <w:color w:val="auto"/>
                <w:szCs w:val="21"/>
                <w:highlight w:val="none"/>
              </w:rPr>
            </w:pPr>
          </w:p>
        </w:tc>
        <w:tc>
          <w:tcPr>
            <w:tcW w:w="1590" w:type="dxa"/>
          </w:tcPr>
          <w:p w14:paraId="20BE0FA7">
            <w:pPr>
              <w:snapToGrid w:val="0"/>
              <w:jc w:val="center"/>
              <w:rPr>
                <w:rFonts w:ascii="宋体" w:hAnsi="宋体" w:cs="宋体"/>
                <w:color w:val="auto"/>
                <w:szCs w:val="21"/>
                <w:highlight w:val="none"/>
              </w:rPr>
            </w:pPr>
          </w:p>
        </w:tc>
      </w:tr>
    </w:tbl>
    <w:p w14:paraId="60DB7E8A">
      <w:pPr>
        <w:rPr>
          <w:color w:val="auto"/>
          <w:highlight w:val="none"/>
        </w:rPr>
      </w:pPr>
    </w:p>
    <w:p w14:paraId="63B51067">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备注：</w:t>
      </w:r>
      <w:r>
        <w:rPr>
          <w:rFonts w:hint="eastAsia" w:ascii="宋体" w:hAnsi="宋体" w:cs="宋体"/>
          <w:color w:val="auto"/>
          <w:szCs w:val="21"/>
          <w:highlight w:val="none"/>
        </w:rPr>
        <w:t>投标人编制投标文件（商务技术资信文件部分）时，建议按此目录（序号和内容）提供评标标准相应的商务技术资料。 </w:t>
      </w:r>
    </w:p>
    <w:p w14:paraId="3CF61470">
      <w:pPr>
        <w:snapToGrid w:val="0"/>
        <w:spacing w:before="120" w:beforeLines="50" w:after="120" w:afterLines="50" w:line="360" w:lineRule="auto"/>
        <w:jc w:val="center"/>
        <w:outlineLvl w:val="1"/>
        <w:rPr>
          <w:rFonts w:ascii="宋体" w:hAnsi="宋体" w:cs="宋体"/>
          <w:b/>
          <w:color w:val="auto"/>
          <w:sz w:val="28"/>
          <w:szCs w:val="28"/>
          <w:highlight w:val="none"/>
        </w:rPr>
      </w:pPr>
      <w:bookmarkStart w:id="408" w:name="_Toc14936"/>
      <w:r>
        <w:rPr>
          <w:rFonts w:hint="eastAsia" w:ascii="宋体" w:hAnsi="宋体" w:cs="宋体"/>
          <w:b/>
          <w:color w:val="auto"/>
          <w:sz w:val="28"/>
          <w:szCs w:val="28"/>
          <w:highlight w:val="none"/>
        </w:rPr>
        <w:t>一、评标方法</w:t>
      </w:r>
      <w:bookmarkEnd w:id="408"/>
    </w:p>
    <w:p w14:paraId="0F69AB87">
      <w:pPr>
        <w:adjustRightInd/>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1.本项目采用综合评分法，满分100分。</w:t>
      </w:r>
      <w:r>
        <w:rPr>
          <w:rFonts w:hint="eastAsia" w:ascii="宋体" w:hAnsi="宋体" w:cs="宋体"/>
          <w:color w:val="auto"/>
          <w:kern w:val="0"/>
          <w:szCs w:val="21"/>
          <w:highlight w:val="none"/>
        </w:rPr>
        <w:t>综合评分法，是指投标文件满足采购文件全部实质性要求，且按照评审因素的量化指标评审得分最高的投标人为中标候选人的评标方法。</w:t>
      </w:r>
    </w:p>
    <w:p w14:paraId="205C276D">
      <w:pPr>
        <w:snapToGrid w:val="0"/>
        <w:spacing w:before="120" w:beforeLines="50" w:after="120" w:afterLines="50" w:line="360" w:lineRule="auto"/>
        <w:jc w:val="center"/>
        <w:outlineLvl w:val="1"/>
        <w:rPr>
          <w:rFonts w:ascii="宋体" w:hAnsi="宋体" w:cs="宋体"/>
          <w:b/>
          <w:color w:val="auto"/>
          <w:sz w:val="28"/>
          <w:szCs w:val="28"/>
          <w:highlight w:val="none"/>
        </w:rPr>
      </w:pPr>
      <w:bookmarkStart w:id="409" w:name="_Toc5837"/>
      <w:r>
        <w:rPr>
          <w:rFonts w:hint="eastAsia" w:ascii="宋体" w:hAnsi="宋体" w:cs="宋体"/>
          <w:b/>
          <w:color w:val="auto"/>
          <w:sz w:val="28"/>
          <w:szCs w:val="28"/>
          <w:highlight w:val="none"/>
        </w:rPr>
        <w:t>二、评标标准</w:t>
      </w:r>
      <w:bookmarkEnd w:id="409"/>
    </w:p>
    <w:p w14:paraId="2E75DBCA">
      <w:pPr>
        <w:adjustRightInd/>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color w:val="auto"/>
          <w:szCs w:val="21"/>
          <w:highlight w:val="none"/>
        </w:rPr>
        <w:t>评标标准：</w:t>
      </w:r>
      <w:r>
        <w:rPr>
          <w:rFonts w:hint="eastAsia" w:ascii="宋体" w:hAnsi="宋体" w:cs="宋体"/>
          <w:b/>
          <w:snapToGrid w:val="0"/>
          <w:color w:val="auto"/>
          <w:kern w:val="28"/>
          <w:szCs w:val="21"/>
          <w:highlight w:val="none"/>
        </w:rPr>
        <w:t>详见</w:t>
      </w:r>
      <w:r>
        <w:rPr>
          <w:rFonts w:hint="eastAsia" w:ascii="宋体" w:hAnsi="宋体" w:cs="宋体"/>
          <w:b/>
          <w:color w:val="auto"/>
          <w:kern w:val="0"/>
          <w:szCs w:val="21"/>
          <w:highlight w:val="none"/>
          <w:u w:val="single"/>
        </w:rPr>
        <w:t>《评标方法前附表》</w:t>
      </w:r>
      <w:r>
        <w:rPr>
          <w:rFonts w:hint="eastAsia" w:ascii="宋体" w:hAnsi="宋体" w:cs="宋体"/>
          <w:color w:val="auto"/>
          <w:kern w:val="0"/>
          <w:szCs w:val="21"/>
          <w:highlight w:val="none"/>
        </w:rPr>
        <w:t>。</w:t>
      </w:r>
    </w:p>
    <w:p w14:paraId="0A5EBA2C">
      <w:pPr>
        <w:snapToGrid w:val="0"/>
        <w:spacing w:before="120" w:beforeLines="50" w:after="120" w:afterLines="50" w:line="360" w:lineRule="auto"/>
        <w:jc w:val="center"/>
        <w:outlineLvl w:val="1"/>
        <w:rPr>
          <w:rFonts w:ascii="宋体" w:hAnsi="宋体" w:cs="宋体"/>
          <w:b/>
          <w:color w:val="auto"/>
          <w:sz w:val="28"/>
          <w:szCs w:val="28"/>
          <w:highlight w:val="none"/>
        </w:rPr>
      </w:pPr>
      <w:bookmarkStart w:id="410" w:name="_Toc20752"/>
      <w:r>
        <w:rPr>
          <w:rFonts w:hint="eastAsia" w:ascii="宋体" w:hAnsi="宋体" w:cs="宋体"/>
          <w:b/>
          <w:color w:val="auto"/>
          <w:sz w:val="28"/>
          <w:szCs w:val="28"/>
          <w:highlight w:val="none"/>
        </w:rPr>
        <w:t>三、评标程序</w:t>
      </w:r>
      <w:bookmarkEnd w:id="410"/>
    </w:p>
    <w:p w14:paraId="1612A37F">
      <w:pPr>
        <w:spacing w:line="360" w:lineRule="auto"/>
        <w:ind w:firstLine="413" w:firstLineChars="196"/>
        <w:outlineLvl w:val="2"/>
        <w:rPr>
          <w:rFonts w:ascii="宋体" w:hAnsi="宋体" w:cs="宋体"/>
          <w:b/>
          <w:color w:val="auto"/>
          <w:kern w:val="0"/>
          <w:szCs w:val="21"/>
          <w:highlight w:val="none"/>
        </w:rPr>
      </w:pPr>
      <w:r>
        <w:rPr>
          <w:rFonts w:hint="eastAsia" w:ascii="宋体" w:hAnsi="宋体" w:cs="宋体"/>
          <w:b/>
          <w:color w:val="auto"/>
          <w:kern w:val="0"/>
          <w:szCs w:val="21"/>
          <w:highlight w:val="none"/>
        </w:rPr>
        <w:t>3.1符合性审查</w:t>
      </w:r>
    </w:p>
    <w:p w14:paraId="7E633057">
      <w:pPr>
        <w:spacing w:line="360" w:lineRule="auto"/>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评标委员会应当对符合资格的投标人的投标文件进行符合性审查，以确定其是否满足采购文件的实质性要求。</w:t>
      </w:r>
      <w:r>
        <w:rPr>
          <w:rFonts w:hint="eastAsia" w:ascii="宋体" w:hAnsi="宋体" w:cs="宋体"/>
          <w:b/>
          <w:bCs/>
          <w:color w:val="auto"/>
          <w:kern w:val="0"/>
          <w:szCs w:val="21"/>
          <w:highlight w:val="none"/>
          <w:u w:val="single"/>
        </w:rPr>
        <w:t>不满足采购文件的实质性要求的，投标无效</w:t>
      </w:r>
      <w:r>
        <w:rPr>
          <w:rFonts w:hint="eastAsia" w:ascii="宋体" w:hAnsi="宋体" w:cs="宋体"/>
          <w:color w:val="auto"/>
          <w:kern w:val="0"/>
          <w:szCs w:val="21"/>
          <w:highlight w:val="none"/>
        </w:rPr>
        <w:t>。</w:t>
      </w:r>
    </w:p>
    <w:p w14:paraId="7C0D5DC4">
      <w:pPr>
        <w:spacing w:line="360" w:lineRule="auto"/>
        <w:ind w:firstLine="413" w:firstLineChars="196"/>
        <w:outlineLvl w:val="2"/>
        <w:rPr>
          <w:rFonts w:ascii="宋体" w:hAnsi="宋体" w:cs="宋体"/>
          <w:b/>
          <w:color w:val="auto"/>
          <w:kern w:val="0"/>
          <w:szCs w:val="21"/>
          <w:highlight w:val="none"/>
        </w:rPr>
      </w:pPr>
      <w:r>
        <w:rPr>
          <w:rFonts w:hint="eastAsia" w:ascii="宋体" w:hAnsi="宋体" w:cs="宋体"/>
          <w:b/>
          <w:color w:val="auto"/>
          <w:kern w:val="0"/>
          <w:szCs w:val="21"/>
          <w:highlight w:val="none"/>
        </w:rPr>
        <w:t>3.2 比较与评价</w:t>
      </w:r>
    </w:p>
    <w:p w14:paraId="0DF813B3">
      <w:pPr>
        <w:spacing w:line="360" w:lineRule="auto"/>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评标委员会应当按照采购文件中规定的评标方法和标准，对符合性审查合格的投标文件进行商务和技术评估，综合比较与评价。</w:t>
      </w:r>
    </w:p>
    <w:p w14:paraId="70E87CCA">
      <w:pPr>
        <w:spacing w:line="360" w:lineRule="auto"/>
        <w:ind w:firstLine="413" w:firstLineChars="196"/>
        <w:outlineLvl w:val="2"/>
        <w:rPr>
          <w:rFonts w:ascii="宋体" w:hAnsi="宋体" w:cs="宋体"/>
          <w:b/>
          <w:color w:val="auto"/>
          <w:kern w:val="0"/>
          <w:szCs w:val="21"/>
          <w:highlight w:val="none"/>
        </w:rPr>
      </w:pPr>
      <w:r>
        <w:rPr>
          <w:rFonts w:hint="eastAsia" w:ascii="宋体" w:hAnsi="宋体" w:cs="宋体"/>
          <w:b/>
          <w:color w:val="auto"/>
          <w:kern w:val="0"/>
          <w:szCs w:val="21"/>
          <w:highlight w:val="none"/>
        </w:rPr>
        <w:t>3.3汇总商务技术得分</w:t>
      </w:r>
    </w:p>
    <w:p w14:paraId="4B2A5BC5">
      <w:pPr>
        <w:spacing w:line="360" w:lineRule="auto"/>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评标委员会各成员应当独立对每个投标人的商务和技术文件进行评价，并汇总商务技术得分情况。</w:t>
      </w:r>
    </w:p>
    <w:p w14:paraId="4932C29A">
      <w:pPr>
        <w:spacing w:line="360" w:lineRule="auto"/>
        <w:ind w:firstLine="413" w:firstLineChars="196"/>
        <w:outlineLvl w:val="2"/>
        <w:rPr>
          <w:rFonts w:ascii="宋体" w:hAnsi="宋体" w:cs="宋体"/>
          <w:b/>
          <w:color w:val="auto"/>
          <w:kern w:val="0"/>
          <w:szCs w:val="21"/>
          <w:highlight w:val="none"/>
        </w:rPr>
      </w:pPr>
      <w:r>
        <w:rPr>
          <w:rFonts w:hint="eastAsia" w:ascii="宋体" w:hAnsi="宋体" w:cs="宋体"/>
          <w:b/>
          <w:color w:val="auto"/>
          <w:kern w:val="0"/>
          <w:szCs w:val="21"/>
          <w:highlight w:val="none"/>
        </w:rPr>
        <w:t>3.4报价评审。</w:t>
      </w:r>
    </w:p>
    <w:p w14:paraId="524BAF09">
      <w:pPr>
        <w:pStyle w:val="131"/>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w:t>
      </w:r>
      <w:r>
        <w:rPr>
          <w:rFonts w:hint="eastAsia" w:ascii="宋体" w:hAnsi="宋体" w:cs="宋体"/>
          <w:b/>
          <w:bCs/>
          <w:color w:val="auto"/>
          <w:kern w:val="0"/>
          <w:sz w:val="21"/>
          <w:szCs w:val="21"/>
          <w:highlight w:val="none"/>
        </w:rPr>
        <w:t>投标文件报价出现前后不一致的，按照下列规定修正</w:t>
      </w:r>
      <w:r>
        <w:rPr>
          <w:rFonts w:hint="eastAsia" w:ascii="宋体" w:hAnsi="宋体" w:cs="宋体"/>
          <w:color w:val="auto"/>
          <w:kern w:val="0"/>
          <w:sz w:val="21"/>
          <w:szCs w:val="21"/>
          <w:highlight w:val="none"/>
        </w:rPr>
        <w:t>：</w:t>
      </w:r>
    </w:p>
    <w:p w14:paraId="33EBDA67">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7E05370D">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28783EE2">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3FEC7551">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1715858D">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FD4C7F4">
      <w:pPr>
        <w:pStyle w:val="131"/>
        <w:spacing w:before="0"/>
        <w:ind w:firstLine="428"/>
        <w:rPr>
          <w:rFonts w:ascii="宋体" w:hAnsi="宋体" w:cs="宋体"/>
          <w:color w:val="auto"/>
          <w:kern w:val="0"/>
          <w:sz w:val="21"/>
          <w:szCs w:val="21"/>
          <w:highlight w:val="none"/>
        </w:rPr>
      </w:pPr>
      <w:r>
        <w:rPr>
          <w:rFonts w:hint="eastAsia" w:ascii="宋体" w:hAnsi="宋体" w:cs="宋体"/>
          <w:b/>
          <w:bCs/>
          <w:color w:val="auto"/>
          <w:kern w:val="0"/>
          <w:sz w:val="21"/>
          <w:szCs w:val="21"/>
          <w:highlight w:val="none"/>
          <w:u w:val="single"/>
        </w:rPr>
        <w:t>备注：供应商在“政府采购云平台”进行标书关联时，在“政府采购云平台”上单独填报的开标一览表（报价表）内容与传输递交的报价文件中提交的开标一览表内容不一致时，以传输递交的报价文件中提交的开标一览表（报价表）为准进行修正。</w:t>
      </w:r>
    </w:p>
    <w:p w14:paraId="347D5DF0">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3.4.2</w:t>
      </w:r>
      <w:r>
        <w:rPr>
          <w:rFonts w:hint="eastAsia" w:ascii="宋体" w:hAnsi="宋体" w:cs="宋体"/>
          <w:b/>
          <w:bCs/>
          <w:color w:val="auto"/>
          <w:kern w:val="0"/>
          <w:szCs w:val="21"/>
          <w:highlight w:val="none"/>
          <w:u w:val="single"/>
        </w:rPr>
        <w:t>投标文件出现不是唯一的、有选择性投标报价的，投标无效</w:t>
      </w:r>
      <w:r>
        <w:rPr>
          <w:rFonts w:hint="eastAsia" w:ascii="宋体" w:hAnsi="宋体" w:cs="宋体"/>
          <w:color w:val="auto"/>
          <w:kern w:val="0"/>
          <w:szCs w:val="21"/>
          <w:highlight w:val="none"/>
        </w:rPr>
        <w:t>。</w:t>
      </w:r>
    </w:p>
    <w:p w14:paraId="400CD212">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3.4.3</w:t>
      </w:r>
      <w:r>
        <w:rPr>
          <w:rFonts w:hint="eastAsia" w:ascii="宋体" w:hAnsi="宋体" w:cs="宋体"/>
          <w:b/>
          <w:bCs/>
          <w:color w:val="auto"/>
          <w:kern w:val="0"/>
          <w:szCs w:val="21"/>
          <w:highlight w:val="none"/>
          <w:u w:val="single"/>
        </w:rPr>
        <w:t>投标报价超过采购文件中规定的预算金额或者最高限价的，投标无效</w:t>
      </w:r>
      <w:r>
        <w:rPr>
          <w:rFonts w:hint="eastAsia" w:ascii="宋体" w:hAnsi="宋体" w:cs="宋体"/>
          <w:color w:val="auto"/>
          <w:kern w:val="0"/>
          <w:szCs w:val="21"/>
          <w:highlight w:val="none"/>
        </w:rPr>
        <w:t>。</w:t>
      </w:r>
    </w:p>
    <w:p w14:paraId="693F6B90">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w:t>
      </w:r>
      <w:r>
        <w:rPr>
          <w:rFonts w:hint="eastAsia" w:ascii="宋体" w:hAnsi="宋体" w:cs="宋体"/>
          <w:b/>
          <w:bCs/>
          <w:color w:val="auto"/>
          <w:kern w:val="0"/>
          <w:sz w:val="21"/>
          <w:szCs w:val="21"/>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b/>
          <w:bCs/>
          <w:color w:val="auto"/>
          <w:kern w:val="0"/>
          <w:sz w:val="21"/>
          <w:szCs w:val="21"/>
          <w:highlight w:val="none"/>
          <w:u w:val="single"/>
        </w:rPr>
        <w:t>投标人不能证明其报价合理性的，评标委员会应当将其作为无效投标处理</w:t>
      </w:r>
      <w:r>
        <w:rPr>
          <w:rFonts w:hint="eastAsia" w:ascii="宋体" w:hAnsi="宋体" w:cs="宋体"/>
          <w:color w:val="auto"/>
          <w:kern w:val="0"/>
          <w:sz w:val="21"/>
          <w:szCs w:val="21"/>
          <w:highlight w:val="none"/>
        </w:rPr>
        <w:t>。</w:t>
      </w:r>
    </w:p>
    <w:p w14:paraId="7EDE21F0">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3.4.5对于未预留份额专门面向中小企业的政府采购服务项目，以及预留份额政府采购服务项目中的非预留部分标项，</w:t>
      </w:r>
      <w:r>
        <w:rPr>
          <w:rFonts w:hint="eastAsia" w:ascii="宋体" w:hAnsi="宋体" w:cs="宋体"/>
          <w:b/>
          <w:bCs/>
          <w:color w:val="auto"/>
          <w:kern w:val="0"/>
          <w:sz w:val="21"/>
          <w:szCs w:val="21"/>
          <w:highlight w:val="none"/>
        </w:rPr>
        <w:t>对小型和微型企业的投标报价给予</w:t>
      </w:r>
      <w:r>
        <w:rPr>
          <w:rFonts w:hint="eastAsia" w:ascii="宋体" w:hAnsi="宋体" w:cs="宋体"/>
          <w:b/>
          <w:bCs/>
          <w:color w:val="auto"/>
          <w:kern w:val="0"/>
          <w:sz w:val="21"/>
          <w:szCs w:val="21"/>
          <w:highlight w:val="none"/>
          <w:lang w:val="en-US" w:eastAsia="zh-CN"/>
        </w:rPr>
        <w:t>1</w:t>
      </w:r>
      <w:r>
        <w:rPr>
          <w:rFonts w:hint="eastAsia" w:ascii="宋体" w:hAnsi="宋体" w:cs="宋体"/>
          <w:b/>
          <w:bCs/>
          <w:color w:val="auto"/>
          <w:kern w:val="0"/>
          <w:sz w:val="21"/>
          <w:szCs w:val="21"/>
          <w:highlight w:val="none"/>
        </w:rPr>
        <w:t>0%的扣除</w:t>
      </w:r>
      <w:r>
        <w:rPr>
          <w:rFonts w:hint="eastAsia" w:ascii="宋体" w:hAnsi="宋体" w:cs="宋体"/>
          <w:color w:val="auto"/>
          <w:kern w:val="0"/>
          <w:sz w:val="21"/>
          <w:szCs w:val="21"/>
          <w:highlight w:val="none"/>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w:t>
      </w:r>
      <w:r>
        <w:rPr>
          <w:rFonts w:hint="eastAsia" w:ascii="宋体" w:hAnsi="宋体" w:cs="宋体"/>
          <w:b/>
          <w:bCs/>
          <w:color w:val="auto"/>
          <w:kern w:val="0"/>
          <w:sz w:val="21"/>
          <w:szCs w:val="21"/>
          <w:highlight w:val="none"/>
        </w:rPr>
        <w:t>对联合体或者大中型企业的报价给予6%的扣除</w:t>
      </w:r>
      <w:r>
        <w:rPr>
          <w:rFonts w:hint="eastAsia" w:ascii="宋体" w:hAnsi="宋体" w:cs="宋体"/>
          <w:color w:val="auto"/>
          <w:kern w:val="0"/>
          <w:sz w:val="21"/>
          <w:szCs w:val="21"/>
          <w:highlight w:val="none"/>
        </w:rPr>
        <w:t>，用扣除后的价格参加评审。组成联合体或者接受分包的小微企业与联合体内其他企业、分包企业之间存在直接控股、管理关系的，不享受价格扣除优惠政策。</w:t>
      </w:r>
    </w:p>
    <w:p w14:paraId="741C98F6">
      <w:pPr>
        <w:spacing w:line="360" w:lineRule="auto"/>
        <w:ind w:firstLine="422" w:firstLineChars="200"/>
        <w:outlineLvl w:val="2"/>
        <w:rPr>
          <w:rFonts w:ascii="宋体" w:hAnsi="宋体" w:cs="宋体"/>
          <w:b/>
          <w:color w:val="auto"/>
          <w:kern w:val="0"/>
          <w:szCs w:val="21"/>
          <w:highlight w:val="none"/>
        </w:rPr>
      </w:pPr>
      <w:r>
        <w:rPr>
          <w:rFonts w:hint="eastAsia" w:ascii="宋体" w:hAnsi="宋体" w:cs="宋体"/>
          <w:b/>
          <w:color w:val="auto"/>
          <w:kern w:val="0"/>
          <w:szCs w:val="21"/>
          <w:highlight w:val="none"/>
        </w:rPr>
        <w:t>3.5排序与推荐</w:t>
      </w:r>
    </w:p>
    <w:p w14:paraId="65E137A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1</w:t>
      </w:r>
      <w:r>
        <w:rPr>
          <w:rFonts w:hint="eastAsia" w:ascii="宋体" w:hAnsi="宋体" w:cs="宋体"/>
          <w:color w:val="auto"/>
          <w:kern w:val="0"/>
          <w:szCs w:val="21"/>
          <w:highlight w:val="none"/>
        </w:rPr>
        <w:t>。</w:t>
      </w:r>
    </w:p>
    <w:p w14:paraId="3BA5ED55">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10AE630">
      <w:pPr>
        <w:spacing w:line="360" w:lineRule="auto"/>
        <w:ind w:firstLine="422" w:firstLineChars="200"/>
        <w:outlineLvl w:val="2"/>
        <w:rPr>
          <w:rFonts w:ascii="宋体" w:hAnsi="宋体" w:cs="宋体"/>
          <w:b/>
          <w:color w:val="auto"/>
          <w:kern w:val="0"/>
          <w:szCs w:val="21"/>
          <w:highlight w:val="none"/>
        </w:rPr>
      </w:pPr>
      <w:r>
        <w:rPr>
          <w:rFonts w:hint="eastAsia" w:ascii="宋体" w:hAnsi="宋体" w:cs="宋体"/>
          <w:b/>
          <w:color w:val="auto"/>
          <w:kern w:val="0"/>
          <w:szCs w:val="21"/>
          <w:highlight w:val="none"/>
        </w:rPr>
        <w:t>3.6编写评标报告</w:t>
      </w:r>
    </w:p>
    <w:p w14:paraId="484D92F8">
      <w:pPr>
        <w:spacing w:line="360" w:lineRule="auto"/>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7B81E3">
      <w:pPr>
        <w:snapToGrid w:val="0"/>
        <w:spacing w:before="120" w:beforeLines="50" w:after="120" w:afterLines="50" w:line="360" w:lineRule="auto"/>
        <w:jc w:val="center"/>
        <w:outlineLvl w:val="1"/>
        <w:rPr>
          <w:rFonts w:ascii="宋体" w:hAnsi="宋体" w:cs="宋体"/>
          <w:b/>
          <w:color w:val="auto"/>
          <w:sz w:val="28"/>
          <w:szCs w:val="28"/>
          <w:highlight w:val="none"/>
        </w:rPr>
      </w:pPr>
      <w:bookmarkStart w:id="411" w:name="_Toc15831"/>
      <w:r>
        <w:rPr>
          <w:rFonts w:hint="eastAsia" w:ascii="宋体" w:hAnsi="宋体" w:cs="宋体"/>
          <w:b/>
          <w:color w:val="auto"/>
          <w:sz w:val="28"/>
          <w:szCs w:val="28"/>
          <w:highlight w:val="none"/>
        </w:rPr>
        <w:t>四、评标中的其他事项</w:t>
      </w:r>
      <w:bookmarkEnd w:id="411"/>
    </w:p>
    <w:p w14:paraId="6D6C3D83">
      <w:pPr>
        <w:pStyle w:val="131"/>
        <w:spacing w:before="0"/>
        <w:ind w:firstLine="413" w:firstLineChars="196"/>
        <w:outlineLvl w:val="2"/>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4.1投标人澄清、说明或者补正。</w:t>
      </w:r>
    </w:p>
    <w:p w14:paraId="61C1654F">
      <w:pPr>
        <w:pStyle w:val="131"/>
        <w:spacing w:before="0"/>
        <w:ind w:firstLine="411" w:firstLineChars="196"/>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BD60F59">
      <w:pPr>
        <w:pStyle w:val="27"/>
        <w:spacing w:line="360" w:lineRule="auto"/>
        <w:ind w:left="954" w:leftChars="226" w:hanging="479" w:firstLineChars="0"/>
        <w:outlineLvl w:val="2"/>
        <w:rPr>
          <w:rFonts w:cs="宋体"/>
          <w:b/>
          <w:color w:val="auto"/>
          <w:kern w:val="0"/>
          <w:sz w:val="21"/>
          <w:szCs w:val="21"/>
          <w:highlight w:val="none"/>
        </w:rPr>
      </w:pPr>
      <w:r>
        <w:rPr>
          <w:rFonts w:hint="eastAsia" w:cs="宋体"/>
          <w:b/>
          <w:color w:val="auto"/>
          <w:kern w:val="0"/>
          <w:sz w:val="21"/>
          <w:szCs w:val="21"/>
          <w:highlight w:val="none"/>
        </w:rPr>
        <w:t>4.2投标无效。</w:t>
      </w:r>
    </w:p>
    <w:p w14:paraId="388BC950">
      <w:pPr>
        <w:pStyle w:val="27"/>
        <w:spacing w:line="360" w:lineRule="auto"/>
        <w:ind w:left="954" w:leftChars="226" w:hanging="479" w:firstLineChars="0"/>
        <w:rPr>
          <w:rFonts w:cs="宋体"/>
          <w:color w:val="auto"/>
          <w:sz w:val="21"/>
          <w:szCs w:val="21"/>
          <w:highlight w:val="none"/>
        </w:rPr>
      </w:pPr>
      <w:r>
        <w:rPr>
          <w:rFonts w:hint="eastAsia" w:cs="宋体"/>
          <w:b/>
          <w:bCs/>
          <w:color w:val="auto"/>
          <w:sz w:val="21"/>
          <w:szCs w:val="21"/>
          <w:highlight w:val="none"/>
        </w:rPr>
        <w:t>有下列情形之一的，投标无效：</w:t>
      </w:r>
    </w:p>
    <w:p w14:paraId="15A89EFE">
      <w:pPr>
        <w:spacing w:line="360" w:lineRule="auto"/>
        <w:ind w:firstLine="422" w:firstLineChars="200"/>
        <w:rPr>
          <w:rFonts w:hint="eastAsia"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4.2.1投标人不具备招标文件中规定的资格要求的（投标人未提供有效的资格文件的，视为投标人不具备招标文件中规定的资格要求）；</w:t>
      </w:r>
    </w:p>
    <w:p w14:paraId="15F0AFB3">
      <w:pPr>
        <w:spacing w:line="360" w:lineRule="auto"/>
        <w:ind w:firstLine="422" w:firstLineChars="200"/>
        <w:rPr>
          <w:rFonts w:hint="eastAsia"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4.2.2投标文件未按照招标文件要求签署、盖章的；</w:t>
      </w:r>
    </w:p>
    <w:p w14:paraId="7B3232E5">
      <w:pPr>
        <w:spacing w:line="360" w:lineRule="auto"/>
        <w:ind w:firstLine="422" w:firstLineChars="200"/>
        <w:rPr>
          <w:rFonts w:hint="eastAsia"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4.2.3采购人拟采购的产品属于政府强制采购的节能产品品目清单范围的，投标人相应的投标产品未获得国家确定的认证机构出具的、处于有效期之内的节能产品认证证书的；</w:t>
      </w:r>
    </w:p>
    <w:p w14:paraId="57408AAE">
      <w:pPr>
        <w:spacing w:line="360" w:lineRule="auto"/>
        <w:ind w:firstLine="422" w:firstLineChars="200"/>
        <w:rPr>
          <w:rFonts w:hint="eastAsia"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4.2.4投标文件含有采购人不能接受的附加条件的；</w:t>
      </w:r>
    </w:p>
    <w:p w14:paraId="3ABFCDEC">
      <w:pPr>
        <w:spacing w:line="360" w:lineRule="auto"/>
        <w:ind w:firstLine="422" w:firstLineChars="200"/>
        <w:rPr>
          <w:rFonts w:hint="eastAsia"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4.2.5投标文件中承诺的投标有效期少于招标文件中载明的投标有效期的；</w:t>
      </w:r>
    </w:p>
    <w:p w14:paraId="48C3858B">
      <w:pPr>
        <w:spacing w:line="360" w:lineRule="auto"/>
        <w:ind w:firstLine="422" w:firstLineChars="200"/>
        <w:rPr>
          <w:rFonts w:hint="eastAsia"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4.2.6投标文件出现不是唯一的、有选择性投标报价的;</w:t>
      </w:r>
    </w:p>
    <w:p w14:paraId="0791BDBA">
      <w:pPr>
        <w:spacing w:line="360" w:lineRule="auto"/>
        <w:ind w:firstLine="422" w:firstLineChars="200"/>
        <w:rPr>
          <w:rFonts w:hint="eastAsia"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4.2.7投标报价超过招标文件中规定的预算金额或者最高限价的;</w:t>
      </w:r>
    </w:p>
    <w:p w14:paraId="43BADF59">
      <w:pPr>
        <w:spacing w:line="360" w:lineRule="auto"/>
        <w:ind w:firstLine="422" w:firstLineChars="200"/>
        <w:rPr>
          <w:rFonts w:hint="eastAsia"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4.2.8投标人对根据修正原则修正后的报价不确认的；</w:t>
      </w:r>
    </w:p>
    <w:p w14:paraId="513D45FB">
      <w:pPr>
        <w:spacing w:line="360" w:lineRule="auto"/>
        <w:ind w:firstLine="422" w:firstLineChars="200"/>
        <w:rPr>
          <w:rFonts w:hint="eastAsia"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4.2.9投标人提供虚假材料投标的；</w:t>
      </w:r>
    </w:p>
    <w:p w14:paraId="170B0232">
      <w:pPr>
        <w:spacing w:line="360" w:lineRule="auto"/>
        <w:ind w:firstLine="422" w:firstLineChars="200"/>
        <w:rPr>
          <w:rFonts w:hint="eastAsia"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4.2.10投标人有恶意串通、妨碍其他投标人的竞争行为、损害采购人或者其他投标人的合法权益情形的；</w:t>
      </w:r>
    </w:p>
    <w:p w14:paraId="402E8DE4">
      <w:pPr>
        <w:spacing w:line="360" w:lineRule="auto"/>
        <w:ind w:firstLine="422" w:firstLineChars="200"/>
        <w:rPr>
          <w:rFonts w:hint="eastAsia"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5D047EC">
      <w:pPr>
        <w:spacing w:line="360" w:lineRule="auto"/>
        <w:ind w:firstLine="422" w:firstLineChars="200"/>
        <w:rPr>
          <w:rFonts w:hint="eastAsia"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4.2.12投标人仅提交备份投标文件，未在电子交易平台传输递交投标文件的，投标无效；</w:t>
      </w:r>
    </w:p>
    <w:p w14:paraId="7667CC3F">
      <w:pPr>
        <w:spacing w:line="360" w:lineRule="auto"/>
        <w:ind w:firstLine="422" w:firstLineChars="200"/>
        <w:rPr>
          <w:rFonts w:hint="eastAsia"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4.2.13 投标文件不满足招标文件的其它实质性要求的；</w:t>
      </w:r>
    </w:p>
    <w:p w14:paraId="4232E9E6">
      <w:pPr>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u w:val="single"/>
        </w:rPr>
        <w:t>4.2.14法律、法规、规章（适用本市的）及省级以上规范性文件（适用本市的）规定的其他无效情形。</w:t>
      </w:r>
    </w:p>
    <w:p w14:paraId="463966BA">
      <w:pPr>
        <w:pStyle w:val="27"/>
        <w:spacing w:line="360" w:lineRule="auto"/>
        <w:ind w:left="954" w:leftChars="226" w:hanging="479" w:firstLineChars="0"/>
        <w:outlineLvl w:val="2"/>
        <w:rPr>
          <w:rFonts w:cs="宋体"/>
          <w:b/>
          <w:color w:val="auto"/>
          <w:sz w:val="21"/>
          <w:szCs w:val="21"/>
          <w:highlight w:val="none"/>
        </w:rPr>
      </w:pPr>
      <w:r>
        <w:rPr>
          <w:rFonts w:hint="eastAsia" w:cs="宋体"/>
          <w:b/>
          <w:color w:val="auto"/>
          <w:sz w:val="21"/>
          <w:szCs w:val="21"/>
          <w:highlight w:val="none"/>
        </w:rPr>
        <w:t>4.3废标。</w:t>
      </w:r>
    </w:p>
    <w:p w14:paraId="7969D129">
      <w:pPr>
        <w:pStyle w:val="27"/>
        <w:spacing w:line="360" w:lineRule="auto"/>
        <w:ind w:firstLine="420"/>
        <w:rPr>
          <w:rFonts w:cs="宋体"/>
          <w:color w:val="auto"/>
          <w:sz w:val="21"/>
          <w:szCs w:val="21"/>
          <w:highlight w:val="none"/>
        </w:rPr>
      </w:pPr>
      <w:r>
        <w:rPr>
          <w:rFonts w:hint="eastAsia" w:cs="宋体"/>
          <w:color w:val="auto"/>
          <w:sz w:val="21"/>
          <w:szCs w:val="21"/>
          <w:highlight w:val="none"/>
        </w:rPr>
        <w:t>根据《</w:t>
      </w:r>
      <w:r>
        <w:rPr>
          <w:rFonts w:hint="eastAsia" w:cs="宋体"/>
          <w:b/>
          <w:bCs/>
          <w:color w:val="auto"/>
          <w:sz w:val="21"/>
          <w:szCs w:val="21"/>
          <w:highlight w:val="none"/>
        </w:rPr>
        <w:t>中华人民共和国政府采购法</w:t>
      </w:r>
      <w:r>
        <w:rPr>
          <w:rFonts w:hint="eastAsia" w:cs="宋体"/>
          <w:color w:val="auto"/>
          <w:sz w:val="21"/>
          <w:szCs w:val="21"/>
          <w:highlight w:val="none"/>
        </w:rPr>
        <w:t>》第三十六条之规定，在采购中，出现下列情形之一的，应予废标：</w:t>
      </w:r>
    </w:p>
    <w:p w14:paraId="6A5301FF">
      <w:pPr>
        <w:pStyle w:val="27"/>
        <w:snapToGrid w:val="0"/>
        <w:spacing w:line="360" w:lineRule="auto"/>
        <w:ind w:firstLine="420"/>
        <w:rPr>
          <w:rFonts w:cs="宋体"/>
          <w:color w:val="auto"/>
          <w:sz w:val="21"/>
          <w:szCs w:val="21"/>
          <w:highlight w:val="none"/>
        </w:rPr>
      </w:pPr>
      <w:r>
        <w:rPr>
          <w:rFonts w:hint="eastAsia" w:cs="宋体"/>
          <w:color w:val="auto"/>
          <w:kern w:val="0"/>
          <w:sz w:val="21"/>
          <w:szCs w:val="21"/>
          <w:highlight w:val="none"/>
        </w:rPr>
        <w:t>4.3</w:t>
      </w:r>
      <w:r>
        <w:rPr>
          <w:rFonts w:hint="eastAsia" w:cs="宋体"/>
          <w:color w:val="auto"/>
          <w:sz w:val="21"/>
          <w:szCs w:val="21"/>
          <w:highlight w:val="none"/>
        </w:rPr>
        <w:t>.1符合专业条件的供应商或者对采购文件作实质响应的供应商不足3家的；</w:t>
      </w:r>
    </w:p>
    <w:p w14:paraId="65473910">
      <w:pPr>
        <w:pStyle w:val="27"/>
        <w:snapToGrid w:val="0"/>
        <w:spacing w:line="360" w:lineRule="auto"/>
        <w:ind w:firstLine="420"/>
        <w:rPr>
          <w:rFonts w:cs="宋体"/>
          <w:color w:val="auto"/>
          <w:sz w:val="21"/>
          <w:szCs w:val="21"/>
          <w:highlight w:val="none"/>
        </w:rPr>
      </w:pPr>
      <w:r>
        <w:rPr>
          <w:rFonts w:hint="eastAsia" w:cs="宋体"/>
          <w:color w:val="auto"/>
          <w:kern w:val="0"/>
          <w:sz w:val="21"/>
          <w:szCs w:val="21"/>
          <w:highlight w:val="none"/>
        </w:rPr>
        <w:t>4.3.</w:t>
      </w:r>
      <w:r>
        <w:rPr>
          <w:rFonts w:hint="eastAsia" w:cs="宋体"/>
          <w:color w:val="auto"/>
          <w:sz w:val="21"/>
          <w:szCs w:val="21"/>
          <w:highlight w:val="none"/>
        </w:rPr>
        <w:t>2出现影响采购公正的违法、违规行为的；</w:t>
      </w:r>
    </w:p>
    <w:p w14:paraId="6011C52C">
      <w:pPr>
        <w:pStyle w:val="27"/>
        <w:snapToGrid w:val="0"/>
        <w:spacing w:line="360" w:lineRule="auto"/>
        <w:ind w:firstLine="420"/>
        <w:rPr>
          <w:rFonts w:cs="宋体"/>
          <w:color w:val="auto"/>
          <w:sz w:val="21"/>
          <w:szCs w:val="21"/>
          <w:highlight w:val="none"/>
        </w:rPr>
      </w:pPr>
      <w:r>
        <w:rPr>
          <w:rFonts w:hint="eastAsia" w:cs="宋体"/>
          <w:color w:val="auto"/>
          <w:kern w:val="0"/>
          <w:sz w:val="21"/>
          <w:szCs w:val="21"/>
          <w:highlight w:val="none"/>
        </w:rPr>
        <w:t>4.3</w:t>
      </w:r>
      <w:r>
        <w:rPr>
          <w:rFonts w:hint="eastAsia" w:cs="宋体"/>
          <w:color w:val="auto"/>
          <w:sz w:val="21"/>
          <w:szCs w:val="21"/>
          <w:highlight w:val="none"/>
        </w:rPr>
        <w:t>.3投标人的报价均超过了采购预算，采购人不能支付的；</w:t>
      </w:r>
    </w:p>
    <w:p w14:paraId="5D5D703B">
      <w:pPr>
        <w:pStyle w:val="27"/>
        <w:snapToGrid w:val="0"/>
        <w:spacing w:line="360" w:lineRule="auto"/>
        <w:ind w:firstLine="420"/>
        <w:rPr>
          <w:rFonts w:cs="宋体"/>
          <w:color w:val="auto"/>
          <w:sz w:val="21"/>
          <w:szCs w:val="21"/>
          <w:highlight w:val="none"/>
        </w:rPr>
      </w:pPr>
      <w:r>
        <w:rPr>
          <w:rFonts w:hint="eastAsia" w:cs="宋体"/>
          <w:color w:val="auto"/>
          <w:kern w:val="0"/>
          <w:sz w:val="21"/>
          <w:szCs w:val="21"/>
          <w:highlight w:val="none"/>
        </w:rPr>
        <w:t>4.3.</w:t>
      </w:r>
      <w:r>
        <w:rPr>
          <w:rFonts w:hint="eastAsia" w:cs="宋体"/>
          <w:color w:val="auto"/>
          <w:sz w:val="21"/>
          <w:szCs w:val="21"/>
          <w:highlight w:val="none"/>
        </w:rPr>
        <w:t>4因重大变故，采购任务取消的。</w:t>
      </w:r>
    </w:p>
    <w:p w14:paraId="43E35BAB">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废标后，采购人、采购代理机构应当将废标理由通知所有投标人。</w:t>
      </w:r>
    </w:p>
    <w:p w14:paraId="22D8D4F5">
      <w:pPr>
        <w:pStyle w:val="27"/>
        <w:spacing w:line="360" w:lineRule="auto"/>
        <w:ind w:left="954" w:leftChars="226" w:hanging="479" w:firstLineChars="0"/>
        <w:outlineLvl w:val="2"/>
        <w:rPr>
          <w:rFonts w:cs="宋体"/>
          <w:b/>
          <w:color w:val="auto"/>
          <w:sz w:val="21"/>
          <w:szCs w:val="21"/>
          <w:highlight w:val="none"/>
        </w:rPr>
      </w:pPr>
      <w:r>
        <w:rPr>
          <w:rFonts w:hint="eastAsia" w:cs="宋体"/>
          <w:b/>
          <w:color w:val="auto"/>
          <w:sz w:val="21"/>
          <w:szCs w:val="21"/>
          <w:highlight w:val="none"/>
        </w:rPr>
        <w:t>4.4修改采购文件，重新组织采购活动。</w:t>
      </w:r>
    </w:p>
    <w:p w14:paraId="32794224">
      <w:pPr>
        <w:pStyle w:val="27"/>
        <w:spacing w:line="360" w:lineRule="auto"/>
        <w:ind w:firstLine="420"/>
        <w:rPr>
          <w:rFonts w:cs="宋体"/>
          <w:color w:val="auto"/>
          <w:sz w:val="21"/>
          <w:szCs w:val="21"/>
          <w:highlight w:val="none"/>
        </w:rPr>
      </w:pPr>
      <w:r>
        <w:rPr>
          <w:rFonts w:hint="eastAsia" w:cs="宋体"/>
          <w:color w:val="auto"/>
          <w:sz w:val="21"/>
          <w:szCs w:val="21"/>
          <w:highlight w:val="none"/>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2349588D">
      <w:pPr>
        <w:pStyle w:val="27"/>
        <w:spacing w:line="360" w:lineRule="auto"/>
        <w:ind w:left="954" w:leftChars="226" w:hanging="479" w:firstLineChars="0"/>
        <w:outlineLvl w:val="2"/>
        <w:rPr>
          <w:rFonts w:cs="宋体"/>
          <w:b/>
          <w:color w:val="auto"/>
          <w:kern w:val="0"/>
          <w:sz w:val="21"/>
          <w:szCs w:val="21"/>
          <w:highlight w:val="none"/>
        </w:rPr>
      </w:pPr>
      <w:r>
        <w:rPr>
          <w:rFonts w:hint="eastAsia" w:cs="宋体"/>
          <w:b/>
          <w:color w:val="auto"/>
          <w:kern w:val="0"/>
          <w:sz w:val="21"/>
          <w:szCs w:val="21"/>
          <w:highlight w:val="none"/>
        </w:rPr>
        <w:t>4.5重新</w:t>
      </w:r>
      <w:r>
        <w:rPr>
          <w:rFonts w:hint="eastAsia" w:cs="宋体"/>
          <w:b/>
          <w:color w:val="auto"/>
          <w:sz w:val="21"/>
          <w:szCs w:val="21"/>
          <w:highlight w:val="none"/>
        </w:rPr>
        <w:t>开展</w:t>
      </w:r>
      <w:r>
        <w:rPr>
          <w:rFonts w:hint="eastAsia" w:cs="宋体"/>
          <w:b/>
          <w:color w:val="auto"/>
          <w:kern w:val="0"/>
          <w:sz w:val="21"/>
          <w:szCs w:val="21"/>
          <w:highlight w:val="none"/>
        </w:rPr>
        <w:t>采购。</w:t>
      </w:r>
    </w:p>
    <w:p w14:paraId="10C63655">
      <w:pPr>
        <w:pStyle w:val="27"/>
        <w:spacing w:line="360" w:lineRule="auto"/>
        <w:ind w:firstLine="420"/>
        <w:rPr>
          <w:rFonts w:cs="宋体"/>
          <w:color w:val="auto"/>
          <w:sz w:val="21"/>
          <w:szCs w:val="21"/>
          <w:highlight w:val="none"/>
        </w:rPr>
      </w:pPr>
      <w:r>
        <w:rPr>
          <w:rFonts w:hint="eastAsia" w:cs="宋体"/>
          <w:color w:val="auto"/>
          <w:sz w:val="21"/>
          <w:szCs w:val="21"/>
          <w:highlight w:val="none"/>
        </w:rPr>
        <w:t>有《</w:t>
      </w:r>
      <w:r>
        <w:rPr>
          <w:rFonts w:hint="eastAsia" w:cs="宋体"/>
          <w:color w:val="auto"/>
          <w:sz w:val="21"/>
          <w:szCs w:val="21"/>
          <w:highlight w:val="none"/>
          <w:lang w:val="en-US" w:eastAsia="zh-CN"/>
        </w:rPr>
        <w:t>中华人民共和国</w:t>
      </w:r>
      <w:r>
        <w:rPr>
          <w:rFonts w:hint="eastAsia" w:cs="宋体"/>
          <w:color w:val="auto"/>
          <w:sz w:val="21"/>
          <w:szCs w:val="21"/>
          <w:highlight w:val="none"/>
        </w:rPr>
        <w:t>政府采购法》第七十一条、第七十二条规定的违法行为之一，影响或者可能影响中标结果的，依照下列规定处理：</w:t>
      </w:r>
    </w:p>
    <w:p w14:paraId="7D688889">
      <w:pPr>
        <w:pStyle w:val="27"/>
        <w:snapToGrid w:val="0"/>
        <w:spacing w:line="360" w:lineRule="auto"/>
        <w:ind w:firstLine="420"/>
        <w:rPr>
          <w:rFonts w:cs="宋体"/>
          <w:color w:val="auto"/>
          <w:sz w:val="21"/>
          <w:szCs w:val="21"/>
          <w:highlight w:val="none"/>
        </w:rPr>
      </w:pPr>
      <w:r>
        <w:rPr>
          <w:rFonts w:hint="eastAsia" w:cs="宋体"/>
          <w:color w:val="auto"/>
          <w:kern w:val="0"/>
          <w:sz w:val="21"/>
          <w:szCs w:val="21"/>
          <w:highlight w:val="none"/>
        </w:rPr>
        <w:t>4.5</w:t>
      </w:r>
      <w:r>
        <w:rPr>
          <w:rFonts w:hint="eastAsia" w:cs="宋体"/>
          <w:color w:val="auto"/>
          <w:sz w:val="21"/>
          <w:szCs w:val="21"/>
          <w:highlight w:val="none"/>
        </w:rPr>
        <w:t>.1未确定中标供应商的，终止本次政府采购活动，重新开展政府采购活动。</w:t>
      </w:r>
    </w:p>
    <w:p w14:paraId="57206F2B">
      <w:pPr>
        <w:pStyle w:val="27"/>
        <w:snapToGrid w:val="0"/>
        <w:spacing w:line="360" w:lineRule="auto"/>
        <w:ind w:firstLine="420"/>
        <w:rPr>
          <w:rFonts w:cs="宋体"/>
          <w:color w:val="auto"/>
          <w:sz w:val="21"/>
          <w:szCs w:val="21"/>
          <w:highlight w:val="none"/>
        </w:rPr>
      </w:pPr>
      <w:r>
        <w:rPr>
          <w:rFonts w:hint="eastAsia" w:cs="宋体"/>
          <w:color w:val="auto"/>
          <w:kern w:val="0"/>
          <w:sz w:val="21"/>
          <w:szCs w:val="21"/>
          <w:highlight w:val="none"/>
        </w:rPr>
        <w:t>4.5</w:t>
      </w:r>
      <w:r>
        <w:rPr>
          <w:rFonts w:hint="eastAsia" w:cs="宋体"/>
          <w:color w:val="auto"/>
          <w:sz w:val="21"/>
          <w:szCs w:val="21"/>
          <w:highlight w:val="none"/>
        </w:rPr>
        <w:t>.2已确定中标供应商但尚未签订政府采购合同的，中标结果无效，从合格的中标候选人中另行确定中标供应商；没有合格的中标候选人的，重新开展政府采购活动。</w:t>
      </w:r>
    </w:p>
    <w:p w14:paraId="492E57DE">
      <w:pPr>
        <w:pStyle w:val="27"/>
        <w:snapToGrid w:val="0"/>
        <w:spacing w:line="360" w:lineRule="auto"/>
        <w:ind w:firstLine="420"/>
        <w:rPr>
          <w:rFonts w:cs="宋体"/>
          <w:color w:val="auto"/>
          <w:sz w:val="21"/>
          <w:szCs w:val="21"/>
          <w:highlight w:val="none"/>
        </w:rPr>
      </w:pPr>
      <w:r>
        <w:rPr>
          <w:rFonts w:hint="eastAsia" w:cs="宋体"/>
          <w:color w:val="auto"/>
          <w:kern w:val="0"/>
          <w:sz w:val="21"/>
          <w:szCs w:val="21"/>
          <w:highlight w:val="none"/>
        </w:rPr>
        <w:t>4.5</w:t>
      </w:r>
      <w:r>
        <w:rPr>
          <w:rFonts w:hint="eastAsia" w:cs="宋体"/>
          <w:color w:val="auto"/>
          <w:sz w:val="21"/>
          <w:szCs w:val="21"/>
          <w:highlight w:val="none"/>
        </w:rPr>
        <w:t>.3政府采购合同已签订但尚未履行的，撤销合同，从合格的中标候选人中另行确定中标供应商；没有合格的中标候选人的，重新开展政府采购活动。</w:t>
      </w:r>
    </w:p>
    <w:p w14:paraId="055DBD16">
      <w:pPr>
        <w:pStyle w:val="27"/>
        <w:snapToGrid w:val="0"/>
        <w:spacing w:line="360" w:lineRule="auto"/>
        <w:ind w:firstLine="420"/>
        <w:rPr>
          <w:rFonts w:cs="宋体"/>
          <w:color w:val="auto"/>
          <w:sz w:val="21"/>
          <w:szCs w:val="21"/>
          <w:highlight w:val="none"/>
        </w:rPr>
      </w:pPr>
      <w:r>
        <w:rPr>
          <w:rFonts w:hint="eastAsia" w:cs="宋体"/>
          <w:color w:val="auto"/>
          <w:kern w:val="0"/>
          <w:sz w:val="21"/>
          <w:szCs w:val="21"/>
          <w:highlight w:val="none"/>
        </w:rPr>
        <w:t>4.5</w:t>
      </w:r>
      <w:r>
        <w:rPr>
          <w:rFonts w:hint="eastAsia" w:cs="宋体"/>
          <w:color w:val="auto"/>
          <w:sz w:val="21"/>
          <w:szCs w:val="21"/>
          <w:highlight w:val="none"/>
        </w:rPr>
        <w:t>.4政府采购合同已经履行，给采购人、供应商造成损失的，由责任人承担赔偿责任。</w:t>
      </w:r>
    </w:p>
    <w:p w14:paraId="4EB41F15">
      <w:pPr>
        <w:pStyle w:val="27"/>
        <w:snapToGrid w:val="0"/>
        <w:spacing w:line="360" w:lineRule="auto"/>
        <w:ind w:firstLine="420"/>
        <w:rPr>
          <w:rFonts w:cs="宋体"/>
          <w:color w:val="auto"/>
          <w:sz w:val="21"/>
          <w:szCs w:val="21"/>
          <w:highlight w:val="none"/>
        </w:rPr>
      </w:pPr>
      <w:r>
        <w:rPr>
          <w:rFonts w:hint="eastAsia" w:cs="宋体"/>
          <w:color w:val="auto"/>
          <w:kern w:val="0"/>
          <w:sz w:val="21"/>
          <w:szCs w:val="21"/>
          <w:highlight w:val="none"/>
        </w:rPr>
        <w:t>4.5</w:t>
      </w:r>
      <w:r>
        <w:rPr>
          <w:rFonts w:hint="eastAsia" w:cs="宋体"/>
          <w:color w:val="auto"/>
          <w:sz w:val="21"/>
          <w:szCs w:val="21"/>
          <w:highlight w:val="none"/>
        </w:rPr>
        <w:t>.5政府采购当事人有其他违反政府采购法或者政府采购法实施条例等法律法规规定的行为，经改正后仍然影响或者可能影响中标结果或者依法被认定为中标无效的，依照</w:t>
      </w:r>
      <w:r>
        <w:rPr>
          <w:rFonts w:hint="eastAsia" w:cs="宋体"/>
          <w:color w:val="auto"/>
          <w:kern w:val="0"/>
          <w:sz w:val="21"/>
          <w:szCs w:val="21"/>
          <w:highlight w:val="none"/>
        </w:rPr>
        <w:t>4.5</w:t>
      </w:r>
      <w:r>
        <w:rPr>
          <w:rFonts w:hint="eastAsia" w:cs="宋体"/>
          <w:color w:val="auto"/>
          <w:sz w:val="21"/>
          <w:szCs w:val="21"/>
          <w:highlight w:val="none"/>
        </w:rPr>
        <w:t>.1-</w:t>
      </w:r>
      <w:r>
        <w:rPr>
          <w:rFonts w:hint="eastAsia" w:cs="宋体"/>
          <w:color w:val="auto"/>
          <w:kern w:val="0"/>
          <w:sz w:val="21"/>
          <w:szCs w:val="21"/>
          <w:highlight w:val="none"/>
        </w:rPr>
        <w:t>4.5</w:t>
      </w:r>
      <w:r>
        <w:rPr>
          <w:rFonts w:hint="eastAsia" w:cs="宋体"/>
          <w:color w:val="auto"/>
          <w:sz w:val="21"/>
          <w:szCs w:val="21"/>
          <w:highlight w:val="none"/>
        </w:rPr>
        <w:t>.4规定处理。</w:t>
      </w:r>
    </w:p>
    <w:p w14:paraId="696FB4D7">
      <w:pPr>
        <w:pStyle w:val="27"/>
        <w:spacing w:line="360" w:lineRule="auto"/>
        <w:ind w:left="954" w:leftChars="226" w:hanging="479" w:firstLineChars="0"/>
        <w:outlineLvl w:val="2"/>
        <w:rPr>
          <w:rFonts w:cs="宋体"/>
          <w:b/>
          <w:color w:val="auto"/>
          <w:sz w:val="21"/>
          <w:szCs w:val="21"/>
          <w:highlight w:val="none"/>
        </w:rPr>
      </w:pPr>
      <w:r>
        <w:rPr>
          <w:rFonts w:hint="eastAsia" w:cs="宋体"/>
          <w:b/>
          <w:color w:val="auto"/>
          <w:sz w:val="21"/>
          <w:szCs w:val="21"/>
          <w:highlight w:val="none"/>
        </w:rPr>
        <w:t>4.6 评审特殊情况处理（如有）</w:t>
      </w:r>
    </w:p>
    <w:p w14:paraId="20D13BA7">
      <w:pPr>
        <w:spacing w:line="360" w:lineRule="auto"/>
        <w:ind w:firstLine="369" w:firstLineChars="175"/>
        <w:rPr>
          <w:rFonts w:ascii="宋体" w:hAnsi="宋体" w:cs="宋体"/>
          <w:b/>
          <w:color w:val="auto"/>
          <w:szCs w:val="21"/>
          <w:highlight w:val="none"/>
        </w:rPr>
      </w:pPr>
      <w:r>
        <w:rPr>
          <w:rFonts w:hint="eastAsia" w:ascii="宋体" w:hAnsi="宋体" w:cs="宋体"/>
          <w:b/>
          <w:color w:val="auto"/>
          <w:szCs w:val="21"/>
          <w:highlight w:val="none"/>
        </w:rPr>
        <w:t>4.6.1评标结果修改</w:t>
      </w:r>
    </w:p>
    <w:p w14:paraId="242CEA16">
      <w:pPr>
        <w:spacing w:line="360" w:lineRule="auto"/>
        <w:ind w:firstLine="369" w:firstLineChars="175"/>
        <w:rPr>
          <w:rFonts w:ascii="宋体" w:hAnsi="宋体" w:cs="宋体"/>
          <w:b/>
          <w:color w:val="auto"/>
          <w:szCs w:val="21"/>
          <w:highlight w:val="none"/>
        </w:rPr>
      </w:pPr>
      <w:r>
        <w:rPr>
          <w:rFonts w:hint="eastAsia" w:ascii="宋体" w:hAnsi="宋体" w:cs="宋体"/>
          <w:b/>
          <w:color w:val="auto"/>
          <w:szCs w:val="21"/>
          <w:highlight w:val="none"/>
        </w:rPr>
        <w:t>评审报告签署前，评审结果经复核发现存在以下情形之一的，评标委员会将当场修改评审结果，并在评审报告中记载：</w:t>
      </w:r>
    </w:p>
    <w:p w14:paraId="0F00657D">
      <w:pPr>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（1）分值汇总计算错误的；</w:t>
      </w:r>
    </w:p>
    <w:p w14:paraId="579F5769">
      <w:pPr>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（2）分项评分超出评分标准范围的；</w:t>
      </w:r>
    </w:p>
    <w:p w14:paraId="62E29F1E">
      <w:pPr>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（3）评标委员会成员对客观评审因素评分不一致的；</w:t>
      </w:r>
    </w:p>
    <w:p w14:paraId="07724E37">
      <w:pPr>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（4）经评标委员会认定评分畸高、畸低的。</w:t>
      </w:r>
    </w:p>
    <w:p w14:paraId="2DE328FA">
      <w:pPr>
        <w:spacing w:line="360" w:lineRule="auto"/>
        <w:ind w:firstLine="373" w:firstLineChars="177"/>
        <w:rPr>
          <w:rFonts w:ascii="宋体" w:hAnsi="宋体" w:cs="宋体"/>
          <w:color w:val="auto"/>
          <w:szCs w:val="21"/>
          <w:highlight w:val="none"/>
        </w:rPr>
      </w:pPr>
      <w:r>
        <w:rPr>
          <w:rFonts w:hint="eastAsia" w:ascii="宋体" w:hAnsi="宋体" w:cs="宋体"/>
          <w:b/>
          <w:color w:val="auto"/>
          <w:szCs w:val="21"/>
          <w:highlight w:val="none"/>
        </w:rPr>
        <w:t>除上述情形外，任何人不得修改评标结果。</w:t>
      </w:r>
    </w:p>
    <w:p w14:paraId="07B04447">
      <w:pPr>
        <w:spacing w:line="360" w:lineRule="auto"/>
        <w:ind w:firstLine="371" w:firstLineChars="176"/>
        <w:rPr>
          <w:rFonts w:ascii="宋体" w:hAnsi="宋体" w:cs="宋体"/>
          <w:b/>
          <w:color w:val="auto"/>
          <w:szCs w:val="21"/>
          <w:highlight w:val="none"/>
        </w:rPr>
      </w:pPr>
      <w:r>
        <w:rPr>
          <w:rFonts w:hint="eastAsia" w:ascii="宋体" w:hAnsi="宋体" w:cs="宋体"/>
          <w:b/>
          <w:color w:val="auto"/>
          <w:szCs w:val="21"/>
          <w:highlight w:val="none"/>
        </w:rPr>
        <w:t>4.6.2重新评审</w:t>
      </w:r>
    </w:p>
    <w:p w14:paraId="3B2347D0">
      <w:pPr>
        <w:spacing w:line="360" w:lineRule="auto"/>
        <w:ind w:firstLine="371" w:firstLineChars="176"/>
        <w:rPr>
          <w:rFonts w:ascii="宋体" w:hAnsi="宋体" w:cs="宋体"/>
          <w:b/>
          <w:color w:val="auto"/>
          <w:szCs w:val="21"/>
          <w:highlight w:val="none"/>
        </w:rPr>
      </w:pPr>
      <w:r>
        <w:rPr>
          <w:rFonts w:hint="eastAsia" w:ascii="宋体" w:hAnsi="宋体" w:cs="宋体"/>
          <w:b/>
          <w:color w:val="auto"/>
          <w:szCs w:val="21"/>
          <w:highlight w:val="none"/>
        </w:rPr>
        <w:t>评审报告签署后，采购人或者采购代理机构发现存在下列情形之一的，将组织原评标委员会进行重新评审，重新评审改变评标结果的，将书面报告同级财政监督管理部门：</w:t>
      </w:r>
    </w:p>
    <w:p w14:paraId="7621C4A2">
      <w:pPr>
        <w:spacing w:line="360" w:lineRule="auto"/>
        <w:ind w:firstLine="369" w:firstLineChars="176"/>
        <w:rPr>
          <w:rFonts w:ascii="宋体" w:hAnsi="宋体" w:cs="宋体"/>
          <w:color w:val="auto"/>
          <w:szCs w:val="21"/>
          <w:highlight w:val="none"/>
        </w:rPr>
      </w:pPr>
      <w:r>
        <w:rPr>
          <w:rFonts w:hint="eastAsia" w:ascii="宋体" w:hAnsi="宋体" w:cs="宋体"/>
          <w:color w:val="auto"/>
          <w:szCs w:val="21"/>
          <w:highlight w:val="none"/>
        </w:rPr>
        <w:t>（1）分值汇总计算错误的；</w:t>
      </w:r>
    </w:p>
    <w:p w14:paraId="5B96C127">
      <w:pPr>
        <w:spacing w:line="360" w:lineRule="auto"/>
        <w:ind w:firstLine="369" w:firstLineChars="176"/>
        <w:rPr>
          <w:rFonts w:ascii="宋体" w:hAnsi="宋体" w:cs="宋体"/>
          <w:color w:val="auto"/>
          <w:szCs w:val="21"/>
          <w:highlight w:val="none"/>
        </w:rPr>
      </w:pPr>
      <w:r>
        <w:rPr>
          <w:rFonts w:hint="eastAsia" w:ascii="宋体" w:hAnsi="宋体" w:cs="宋体"/>
          <w:color w:val="auto"/>
          <w:szCs w:val="21"/>
          <w:highlight w:val="none"/>
        </w:rPr>
        <w:t>（2）分项评分超出评分标准范围的；</w:t>
      </w:r>
    </w:p>
    <w:p w14:paraId="6C478ACD">
      <w:pPr>
        <w:spacing w:line="360" w:lineRule="auto"/>
        <w:ind w:firstLine="369" w:firstLineChars="176"/>
        <w:rPr>
          <w:rFonts w:ascii="宋体" w:hAnsi="宋体" w:cs="宋体"/>
          <w:color w:val="auto"/>
          <w:szCs w:val="21"/>
          <w:highlight w:val="none"/>
        </w:rPr>
      </w:pPr>
      <w:r>
        <w:rPr>
          <w:rFonts w:hint="eastAsia" w:ascii="宋体" w:hAnsi="宋体" w:cs="宋体"/>
          <w:color w:val="auto"/>
          <w:szCs w:val="21"/>
          <w:highlight w:val="none"/>
        </w:rPr>
        <w:t>（3）评标委员会成员对客观评审因素评分不一致的；</w:t>
      </w:r>
    </w:p>
    <w:p w14:paraId="0AAA24FC">
      <w:pPr>
        <w:spacing w:line="360" w:lineRule="auto"/>
        <w:ind w:firstLine="369" w:firstLineChars="176"/>
        <w:rPr>
          <w:rFonts w:ascii="宋体" w:hAnsi="宋体" w:cs="宋体"/>
          <w:color w:val="auto"/>
          <w:szCs w:val="21"/>
          <w:highlight w:val="none"/>
        </w:rPr>
      </w:pPr>
      <w:r>
        <w:rPr>
          <w:rFonts w:hint="eastAsia" w:ascii="宋体" w:hAnsi="宋体" w:cs="宋体"/>
          <w:color w:val="auto"/>
          <w:szCs w:val="21"/>
          <w:highlight w:val="none"/>
        </w:rPr>
        <w:t>（4）经评标委员会认定评分畸高、畸低的。</w:t>
      </w:r>
    </w:p>
    <w:p w14:paraId="037F54EA">
      <w:pPr>
        <w:pStyle w:val="27"/>
        <w:spacing w:line="360" w:lineRule="auto"/>
        <w:ind w:left="954" w:leftChars="226" w:hanging="479" w:firstLineChars="0"/>
        <w:outlineLvl w:val="2"/>
        <w:rPr>
          <w:rFonts w:cs="宋体"/>
          <w:b/>
          <w:color w:val="auto"/>
          <w:kern w:val="0"/>
          <w:sz w:val="21"/>
          <w:szCs w:val="21"/>
          <w:highlight w:val="none"/>
        </w:rPr>
      </w:pPr>
      <w:r>
        <w:rPr>
          <w:rFonts w:hint="eastAsia" w:cs="宋体"/>
          <w:b/>
          <w:color w:val="auto"/>
          <w:kern w:val="0"/>
          <w:sz w:val="21"/>
          <w:szCs w:val="21"/>
          <w:highlight w:val="none"/>
        </w:rPr>
        <w:t>4.7 串通投标的认定</w:t>
      </w:r>
    </w:p>
    <w:p w14:paraId="27F238DE">
      <w:pPr>
        <w:spacing w:line="360" w:lineRule="auto"/>
        <w:ind w:firstLine="405" w:firstLineChars="192"/>
        <w:rPr>
          <w:rFonts w:ascii="宋体" w:hAnsi="宋体" w:cs="宋体"/>
          <w:b/>
          <w:color w:val="auto"/>
          <w:kern w:val="0"/>
          <w:szCs w:val="21"/>
          <w:highlight w:val="none"/>
        </w:rPr>
      </w:pPr>
      <w:r>
        <w:rPr>
          <w:rFonts w:hint="eastAsia" w:ascii="宋体" w:hAnsi="宋体" w:cs="宋体"/>
          <w:b/>
          <w:color w:val="auto"/>
          <w:kern w:val="0"/>
          <w:szCs w:val="21"/>
          <w:highlight w:val="none"/>
        </w:rPr>
        <w:t>4.7.1在评审过程中发现以下情形，被视为串通投标的：</w:t>
      </w:r>
    </w:p>
    <w:p w14:paraId="49A9FB7A">
      <w:pPr>
        <w:spacing w:line="360" w:lineRule="auto"/>
        <w:ind w:firstLine="403" w:firstLineChars="192"/>
        <w:rPr>
          <w:rFonts w:ascii="宋体" w:hAnsi="宋体" w:cs="宋体"/>
          <w:color w:val="auto"/>
          <w:kern w:val="0"/>
          <w:szCs w:val="21"/>
          <w:highlight w:val="none"/>
        </w:rPr>
      </w:pPr>
      <w:r>
        <w:rPr>
          <w:rFonts w:hint="eastAsia" w:ascii="宋体" w:hAnsi="宋体" w:cs="宋体"/>
          <w:color w:val="auto"/>
          <w:kern w:val="0"/>
          <w:szCs w:val="21"/>
          <w:highlight w:val="none"/>
        </w:rPr>
        <w:t>（1）不同投标人的投标文件由同一单位或个人编制；</w:t>
      </w:r>
    </w:p>
    <w:p w14:paraId="6A1285CE">
      <w:pPr>
        <w:spacing w:line="360" w:lineRule="auto"/>
        <w:ind w:firstLine="403" w:firstLineChars="192"/>
        <w:rPr>
          <w:rFonts w:ascii="宋体" w:hAnsi="宋体" w:cs="宋体"/>
          <w:color w:val="auto"/>
          <w:kern w:val="0"/>
          <w:szCs w:val="21"/>
          <w:highlight w:val="none"/>
        </w:rPr>
      </w:pPr>
      <w:r>
        <w:rPr>
          <w:rFonts w:hint="eastAsia" w:ascii="宋体" w:hAnsi="宋体" w:cs="宋体"/>
          <w:color w:val="auto"/>
          <w:kern w:val="0"/>
          <w:szCs w:val="21"/>
          <w:highlight w:val="none"/>
        </w:rPr>
        <w:t>（2）不同投标人委托同一单位或个人办理投标事宜；</w:t>
      </w:r>
    </w:p>
    <w:p w14:paraId="533DE6DF">
      <w:pPr>
        <w:spacing w:line="360" w:lineRule="auto"/>
        <w:ind w:firstLine="403" w:firstLineChars="192"/>
        <w:rPr>
          <w:rFonts w:ascii="宋体" w:hAnsi="宋体" w:cs="宋体"/>
          <w:color w:val="auto"/>
          <w:kern w:val="0"/>
          <w:szCs w:val="21"/>
          <w:highlight w:val="none"/>
        </w:rPr>
      </w:pPr>
      <w:r>
        <w:rPr>
          <w:rFonts w:hint="eastAsia" w:ascii="宋体" w:hAnsi="宋体" w:cs="宋体"/>
          <w:color w:val="auto"/>
          <w:kern w:val="0"/>
          <w:szCs w:val="21"/>
          <w:highlight w:val="none"/>
        </w:rPr>
        <w:t>（3）不同投标人的投标文件载明的项目管理成员或联系人员为同一人；</w:t>
      </w:r>
    </w:p>
    <w:p w14:paraId="364E473B">
      <w:pPr>
        <w:spacing w:line="360" w:lineRule="auto"/>
        <w:ind w:firstLine="403" w:firstLineChars="192"/>
        <w:rPr>
          <w:rFonts w:ascii="宋体" w:hAnsi="宋体" w:cs="宋体"/>
          <w:color w:val="auto"/>
          <w:kern w:val="0"/>
          <w:szCs w:val="21"/>
          <w:highlight w:val="none"/>
        </w:rPr>
      </w:pPr>
      <w:r>
        <w:rPr>
          <w:rFonts w:hint="eastAsia" w:ascii="宋体" w:hAnsi="宋体" w:cs="宋体"/>
          <w:color w:val="auto"/>
          <w:kern w:val="0"/>
          <w:szCs w:val="21"/>
          <w:highlight w:val="none"/>
        </w:rPr>
        <w:t>（4）不同投标人的投标文件异常一致或者投标报价呈规律性差异；</w:t>
      </w:r>
    </w:p>
    <w:p w14:paraId="3F2D0DF1">
      <w:pPr>
        <w:spacing w:line="360" w:lineRule="auto"/>
        <w:ind w:firstLine="403" w:firstLineChars="192"/>
        <w:rPr>
          <w:rFonts w:ascii="宋体" w:hAnsi="宋体" w:cs="宋体"/>
          <w:b/>
          <w:color w:val="auto"/>
          <w:kern w:val="0"/>
          <w:szCs w:val="21"/>
          <w:highlight w:val="none"/>
        </w:rPr>
      </w:pPr>
      <w:r>
        <w:rPr>
          <w:rFonts w:hint="eastAsia" w:ascii="宋体" w:hAnsi="宋体" w:cs="宋体"/>
          <w:color w:val="auto"/>
          <w:kern w:val="0"/>
          <w:szCs w:val="21"/>
          <w:highlight w:val="none"/>
        </w:rPr>
        <w:t>（5）不同投标人的投标文件互相混装。</w:t>
      </w:r>
    </w:p>
    <w:p w14:paraId="474A8457">
      <w:pPr>
        <w:spacing w:line="360" w:lineRule="auto"/>
        <w:ind w:firstLine="405" w:firstLineChars="192"/>
        <w:rPr>
          <w:rFonts w:ascii="宋体" w:hAnsi="宋体" w:cs="宋体"/>
          <w:b/>
          <w:color w:val="auto"/>
          <w:kern w:val="0"/>
          <w:szCs w:val="21"/>
          <w:highlight w:val="none"/>
        </w:rPr>
      </w:pPr>
      <w:r>
        <w:rPr>
          <w:rFonts w:hint="eastAsia" w:ascii="宋体" w:hAnsi="宋体" w:cs="宋体"/>
          <w:b/>
          <w:color w:val="auto"/>
          <w:kern w:val="0"/>
          <w:szCs w:val="21"/>
          <w:highlight w:val="none"/>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5F065E49">
      <w:pPr>
        <w:pStyle w:val="27"/>
        <w:spacing w:line="360" w:lineRule="auto"/>
        <w:ind w:left="954" w:leftChars="226" w:hanging="479" w:firstLineChars="0"/>
        <w:outlineLvl w:val="2"/>
        <w:rPr>
          <w:rFonts w:cs="宋体"/>
          <w:b/>
          <w:color w:val="auto"/>
          <w:kern w:val="0"/>
          <w:sz w:val="21"/>
          <w:szCs w:val="21"/>
          <w:highlight w:val="none"/>
        </w:rPr>
      </w:pPr>
      <w:r>
        <w:rPr>
          <w:rFonts w:hint="eastAsia" w:cs="宋体"/>
          <w:b/>
          <w:color w:val="auto"/>
          <w:kern w:val="0"/>
          <w:sz w:val="21"/>
          <w:szCs w:val="21"/>
          <w:highlight w:val="none"/>
        </w:rPr>
        <w:t>4.8 投标人违法等重大事项的处理</w:t>
      </w:r>
    </w:p>
    <w:p w14:paraId="10BAA3F6">
      <w:pPr>
        <w:spacing w:line="360" w:lineRule="auto"/>
        <w:ind w:firstLine="369" w:firstLineChars="175"/>
        <w:rPr>
          <w:rFonts w:ascii="宋体" w:hAnsi="宋体" w:cs="宋体"/>
          <w:b/>
          <w:color w:val="auto"/>
          <w:kern w:val="0"/>
          <w:szCs w:val="21"/>
          <w:highlight w:val="none"/>
        </w:rPr>
      </w:pPr>
      <w:r>
        <w:rPr>
          <w:rFonts w:hint="eastAsia" w:ascii="宋体" w:hAnsi="宋体" w:cs="宋体"/>
          <w:b/>
          <w:color w:val="auto"/>
          <w:kern w:val="0"/>
          <w:szCs w:val="21"/>
          <w:highlight w:val="none"/>
        </w:rPr>
        <w:t>投标人有下列情形之一的，投标无效且将《投标文件》、《询标记录》等报同级政府采购监管部门或有关职能部门查处：</w:t>
      </w:r>
    </w:p>
    <w:p w14:paraId="37D82764">
      <w:pPr>
        <w:spacing w:line="360" w:lineRule="auto"/>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（1）未如实提供债权债务、重大违法记录、利害关系等信息，影响或者可能影响中标结果的；</w:t>
      </w:r>
    </w:p>
    <w:p w14:paraId="5F7EA6FB">
      <w:pPr>
        <w:spacing w:line="360" w:lineRule="auto"/>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（2）不遵循公平竞争原则、恶意串通、妨碍其他投标人的竞争、损害采购人或其他投标人合法权益的；</w:t>
      </w:r>
    </w:p>
    <w:p w14:paraId="0F82B544">
      <w:pPr>
        <w:spacing w:line="360" w:lineRule="auto"/>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（3）政府采购活动中存在违法行为的；</w:t>
      </w:r>
    </w:p>
    <w:p w14:paraId="1A48D9C6">
      <w:pPr>
        <w:spacing w:line="360" w:lineRule="auto"/>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（4）其他严重干扰招投标秩序的行为的。</w:t>
      </w:r>
    </w:p>
    <w:p w14:paraId="2959796C">
      <w:pPr>
        <w:pStyle w:val="27"/>
        <w:spacing w:line="360" w:lineRule="auto"/>
        <w:ind w:left="954" w:leftChars="226" w:hanging="479" w:firstLineChars="0"/>
        <w:outlineLvl w:val="2"/>
        <w:rPr>
          <w:rFonts w:cs="宋体"/>
          <w:b/>
          <w:color w:val="auto"/>
          <w:kern w:val="0"/>
          <w:sz w:val="21"/>
          <w:szCs w:val="21"/>
          <w:highlight w:val="none"/>
        </w:rPr>
      </w:pPr>
      <w:r>
        <w:rPr>
          <w:rFonts w:hint="eastAsia" w:cs="宋体"/>
          <w:b/>
          <w:color w:val="auto"/>
          <w:kern w:val="0"/>
          <w:sz w:val="21"/>
          <w:szCs w:val="21"/>
          <w:highlight w:val="none"/>
        </w:rPr>
        <w:t>4.9 评审中合格投标人不足法定数量的处理</w:t>
      </w:r>
    </w:p>
    <w:p w14:paraId="703CFD9B">
      <w:pPr>
        <w:pStyle w:val="724"/>
        <w:spacing w:line="360" w:lineRule="auto"/>
        <w:ind w:firstLine="369" w:firstLineChars="175"/>
        <w:rPr>
          <w:rFonts w:cs="宋体"/>
          <w:color w:val="auto"/>
          <w:sz w:val="21"/>
          <w:szCs w:val="21"/>
          <w:highlight w:val="none"/>
        </w:rPr>
      </w:pPr>
      <w:r>
        <w:rPr>
          <w:rFonts w:hint="eastAsia" w:cs="宋体"/>
          <w:b/>
          <w:color w:val="auto"/>
          <w:sz w:val="21"/>
          <w:szCs w:val="21"/>
          <w:highlight w:val="none"/>
        </w:rPr>
        <w:t>公开招标的采购项目，在评审过程中，若某个标项的有效投标人不足三家的，除采购任务取消情形外，采购人可选择以下方式之一处理：</w:t>
      </w:r>
    </w:p>
    <w:p w14:paraId="468B349B">
      <w:pPr>
        <w:pStyle w:val="724"/>
        <w:spacing w:line="360" w:lineRule="auto"/>
        <w:ind w:firstLine="367" w:firstLineChars="175"/>
        <w:rPr>
          <w:rFonts w:cs="宋体"/>
          <w:color w:val="auto"/>
          <w:sz w:val="21"/>
          <w:szCs w:val="21"/>
          <w:highlight w:val="none"/>
        </w:rPr>
      </w:pPr>
      <w:r>
        <w:rPr>
          <w:rFonts w:hint="eastAsia" w:cs="宋体"/>
          <w:color w:val="auto"/>
          <w:sz w:val="21"/>
          <w:szCs w:val="21"/>
          <w:highlight w:val="none"/>
        </w:rPr>
        <w:t>（1）将本标项作废标处理，重新组织采购；</w:t>
      </w:r>
    </w:p>
    <w:p w14:paraId="563C58D3">
      <w:pPr>
        <w:pStyle w:val="724"/>
        <w:spacing w:after="240" w:line="360" w:lineRule="auto"/>
        <w:ind w:firstLine="367" w:firstLineChars="175"/>
        <w:rPr>
          <w:rFonts w:cs="宋体"/>
          <w:color w:val="auto"/>
          <w:szCs w:val="22"/>
          <w:highlight w:val="none"/>
        </w:rPr>
      </w:pPr>
      <w:r>
        <w:rPr>
          <w:rFonts w:hint="eastAsia" w:cs="宋体"/>
          <w:color w:val="auto"/>
          <w:sz w:val="21"/>
          <w:szCs w:val="21"/>
          <w:highlight w:val="none"/>
        </w:rPr>
        <w:t>（2）按同级政府采购监督管理部门的审批意见采用其他采购方式组织采购。</w:t>
      </w:r>
    </w:p>
    <w:p w14:paraId="29C10B61">
      <w:pPr>
        <w:rPr>
          <w:rFonts w:cs="宋体"/>
          <w:color w:val="auto"/>
          <w:szCs w:val="22"/>
          <w:highlight w:val="none"/>
        </w:rPr>
      </w:pPr>
      <w:r>
        <w:rPr>
          <w:rFonts w:hint="eastAsia" w:cs="宋体"/>
          <w:color w:val="auto"/>
          <w:szCs w:val="22"/>
          <w:highlight w:val="none"/>
        </w:rPr>
        <w:br w:type="page"/>
      </w:r>
    </w:p>
    <w:p w14:paraId="27CD9C3B">
      <w:pPr>
        <w:pStyle w:val="724"/>
        <w:spacing w:after="240" w:line="360" w:lineRule="auto"/>
        <w:ind w:firstLine="420" w:firstLineChars="175"/>
        <w:rPr>
          <w:rFonts w:cs="宋体"/>
          <w:color w:val="auto"/>
          <w:szCs w:val="22"/>
          <w:highlight w:val="none"/>
        </w:rPr>
      </w:pPr>
    </w:p>
    <w:bookmarkEnd w:id="40"/>
    <w:p w14:paraId="7F86F354">
      <w:pPr>
        <w:spacing w:line="360" w:lineRule="auto"/>
        <w:jc w:val="center"/>
        <w:outlineLvl w:val="0"/>
        <w:rPr>
          <w:rFonts w:hint="eastAsia" w:ascii="宋体" w:hAnsi="宋体" w:cs="宋体"/>
          <w:b/>
          <w:color w:val="auto"/>
          <w:sz w:val="36"/>
          <w:szCs w:val="36"/>
          <w:highlight w:val="none"/>
        </w:rPr>
      </w:pPr>
      <w:bookmarkStart w:id="412" w:name="_Toc17791"/>
      <w:bookmarkStart w:id="413" w:name="第五部分"/>
      <w:bookmarkStart w:id="414" w:name="_Toc86217003"/>
      <w:r>
        <w:rPr>
          <w:rFonts w:hint="eastAsia" w:ascii="宋体" w:hAnsi="宋体" w:cs="宋体"/>
          <w:b/>
          <w:color w:val="auto"/>
          <w:sz w:val="36"/>
          <w:szCs w:val="36"/>
          <w:highlight w:val="none"/>
        </w:rPr>
        <w:t>第五章 拟签订的合同文本</w:t>
      </w:r>
      <w:bookmarkEnd w:id="412"/>
    </w:p>
    <w:p w14:paraId="6D6622A0">
      <w:pPr>
        <w:jc w:val="center"/>
        <w:rPr>
          <w:rFonts w:ascii="宋体" w:hAnsi="宋体" w:cs="宋体"/>
          <w:color w:val="auto"/>
          <w:sz w:val="24"/>
          <w:highlight w:val="none"/>
          <w:u w:val="single"/>
        </w:rPr>
      </w:pPr>
    </w:p>
    <w:p w14:paraId="73C34EEB">
      <w:pPr>
        <w:spacing w:line="480" w:lineRule="auto"/>
        <w:jc w:val="center"/>
        <w:rPr>
          <w:rFonts w:ascii="宋体" w:hAnsi="宋体" w:cs="宋体"/>
          <w:b/>
          <w:color w:val="auto"/>
          <w:sz w:val="28"/>
          <w:szCs w:val="28"/>
          <w:highlight w:val="none"/>
        </w:rPr>
      </w:pPr>
    </w:p>
    <w:p w14:paraId="26F22737">
      <w:pPr>
        <w:spacing w:line="480" w:lineRule="auto"/>
        <w:jc w:val="center"/>
        <w:rPr>
          <w:rFonts w:ascii="宋体" w:hAnsi="宋体" w:cs="宋体"/>
          <w:b/>
          <w:color w:val="auto"/>
          <w:sz w:val="24"/>
          <w:highlight w:val="none"/>
        </w:rPr>
      </w:pPr>
    </w:p>
    <w:p w14:paraId="2670C1B1">
      <w:pPr>
        <w:spacing w:line="480" w:lineRule="auto"/>
        <w:jc w:val="center"/>
        <w:outlineLvl w:val="1"/>
        <w:rPr>
          <w:rFonts w:ascii="宋体" w:hAnsi="宋体" w:cs="宋体"/>
          <w:b/>
          <w:color w:val="auto"/>
          <w:sz w:val="36"/>
          <w:szCs w:val="36"/>
          <w:highlight w:val="none"/>
        </w:rPr>
      </w:pPr>
      <w:bookmarkStart w:id="415" w:name="_Toc8827"/>
      <w:r>
        <w:rPr>
          <w:rFonts w:hint="eastAsia" w:ascii="宋体" w:hAnsi="宋体" w:cs="宋体"/>
          <w:b/>
          <w:color w:val="auto"/>
          <w:sz w:val="36"/>
          <w:szCs w:val="36"/>
          <w:highlight w:val="none"/>
        </w:rPr>
        <w:t>政府采购合同参考范本</w:t>
      </w:r>
      <w:bookmarkEnd w:id="415"/>
    </w:p>
    <w:p w14:paraId="5AD29D11">
      <w:pPr>
        <w:spacing w:line="360" w:lineRule="auto"/>
        <w:jc w:val="center"/>
        <w:rPr>
          <w:rFonts w:ascii="华文中宋" w:hAnsi="华文中宋" w:eastAsia="华文中宋"/>
          <w:b/>
          <w:color w:val="auto"/>
          <w:sz w:val="48"/>
          <w:szCs w:val="40"/>
          <w:highlight w:val="none"/>
        </w:rPr>
      </w:pPr>
    </w:p>
    <w:p w14:paraId="11B3EFF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BD02D03">
      <w:pPr>
        <w:spacing w:before="120" w:line="22" w:lineRule="atLeast"/>
        <w:rPr>
          <w:rFonts w:ascii="宋体" w:hAnsi="宋体" w:cs="宋体"/>
          <w:color w:val="auto"/>
          <w:sz w:val="24"/>
          <w:highlight w:val="none"/>
        </w:rPr>
      </w:pPr>
    </w:p>
    <w:p w14:paraId="63856975">
      <w:pPr>
        <w:tabs>
          <w:tab w:val="left" w:pos="432"/>
        </w:tabs>
        <w:rPr>
          <w:color w:val="auto"/>
          <w:highlight w:val="none"/>
        </w:rPr>
      </w:pPr>
    </w:p>
    <w:p w14:paraId="2211E775">
      <w:pPr>
        <w:spacing w:before="120" w:line="22" w:lineRule="atLeast"/>
        <w:ind w:left="96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拱墅区2025年海绵城市建设技术服务项目</w:t>
      </w:r>
    </w:p>
    <w:p w14:paraId="41DA43F3">
      <w:pPr>
        <w:pStyle w:val="599"/>
        <w:spacing w:before="120" w:line="22" w:lineRule="atLeast"/>
        <w:rPr>
          <w:rFonts w:ascii="宋体" w:hAnsi="宋体" w:eastAsia="宋体" w:cs="宋体"/>
          <w:color w:val="auto"/>
          <w:szCs w:val="24"/>
          <w:highlight w:val="none"/>
        </w:rPr>
      </w:pPr>
    </w:p>
    <w:p w14:paraId="79958FCA">
      <w:pPr>
        <w:rPr>
          <w:rFonts w:ascii="宋体" w:hAnsi="宋体" w:cs="宋体"/>
          <w:color w:val="auto"/>
          <w:sz w:val="24"/>
          <w:highlight w:val="none"/>
        </w:rPr>
      </w:pPr>
    </w:p>
    <w:p w14:paraId="02A141F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lang w:eastAsia="zh-CN"/>
        </w:rPr>
        <w:t>杭州市拱墅区住房和城市建设局</w:t>
      </w:r>
      <w:r>
        <w:rPr>
          <w:rFonts w:hint="eastAsia" w:ascii="宋体" w:hAnsi="宋体" w:cs="宋体"/>
          <w:color w:val="auto"/>
          <w:sz w:val="24"/>
          <w:highlight w:val="none"/>
          <w:u w:val="single"/>
        </w:rPr>
        <w:t xml:space="preserve"> </w:t>
      </w:r>
    </w:p>
    <w:p w14:paraId="3F8E5516">
      <w:pPr>
        <w:spacing w:before="120" w:line="22" w:lineRule="atLeast"/>
        <w:rPr>
          <w:rFonts w:ascii="宋体" w:hAnsi="宋体" w:cs="宋体"/>
          <w:color w:val="auto"/>
          <w:sz w:val="24"/>
          <w:highlight w:val="none"/>
        </w:rPr>
      </w:pPr>
    </w:p>
    <w:p w14:paraId="239E5FB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ACA83C2">
      <w:pPr>
        <w:spacing w:before="120" w:line="22" w:lineRule="atLeast"/>
        <w:rPr>
          <w:rFonts w:ascii="宋体" w:hAnsi="宋体" w:cs="宋体"/>
          <w:color w:val="auto"/>
          <w:sz w:val="24"/>
          <w:highlight w:val="none"/>
        </w:rPr>
      </w:pPr>
    </w:p>
    <w:p w14:paraId="54C2B6A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杭州市拱墅区         </w:t>
      </w:r>
    </w:p>
    <w:p w14:paraId="05E59019">
      <w:pPr>
        <w:spacing w:before="120" w:line="22" w:lineRule="atLeast"/>
        <w:rPr>
          <w:rFonts w:ascii="宋体" w:hAnsi="宋体" w:cs="宋体"/>
          <w:color w:val="auto"/>
          <w:sz w:val="24"/>
          <w:highlight w:val="none"/>
        </w:rPr>
      </w:pPr>
    </w:p>
    <w:p w14:paraId="5CD669EE">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BBCEC17">
      <w:pPr>
        <w:widowControl/>
        <w:jc w:val="left"/>
        <w:rPr>
          <w:rFonts w:ascii="宋体" w:hAnsi="宋体" w:cs="宋体"/>
          <w:color w:val="auto"/>
          <w:kern w:val="0"/>
          <w:sz w:val="24"/>
          <w:highlight w:val="none"/>
        </w:rPr>
      </w:pPr>
    </w:p>
    <w:p w14:paraId="0A98A6F2">
      <w:pPr>
        <w:widowControl/>
        <w:jc w:val="left"/>
        <w:rPr>
          <w:rFonts w:ascii="宋体" w:hAnsi="宋体" w:cs="宋体"/>
          <w:color w:val="auto"/>
          <w:kern w:val="0"/>
          <w:sz w:val="24"/>
          <w:highlight w:val="none"/>
        </w:rPr>
      </w:pPr>
    </w:p>
    <w:p w14:paraId="0727F19B">
      <w:pPr>
        <w:widowControl/>
        <w:jc w:val="left"/>
        <w:rPr>
          <w:rFonts w:ascii="宋体" w:hAnsi="宋体" w:cs="宋体"/>
          <w:color w:val="auto"/>
          <w:kern w:val="0"/>
          <w:sz w:val="24"/>
          <w:highlight w:val="none"/>
        </w:rPr>
      </w:pPr>
    </w:p>
    <w:p w14:paraId="46455B04">
      <w:pPr>
        <w:widowControl/>
        <w:jc w:val="left"/>
        <w:rPr>
          <w:rFonts w:ascii="宋体" w:hAnsi="宋体" w:cs="宋体"/>
          <w:color w:val="auto"/>
          <w:kern w:val="0"/>
          <w:sz w:val="24"/>
          <w:highlight w:val="none"/>
        </w:rPr>
      </w:pPr>
    </w:p>
    <w:p w14:paraId="0AACA24F">
      <w:pPr>
        <w:widowControl/>
        <w:jc w:val="left"/>
        <w:rPr>
          <w:rFonts w:ascii="宋体" w:hAnsi="宋体" w:cs="宋体"/>
          <w:color w:val="auto"/>
          <w:kern w:val="0"/>
          <w:sz w:val="24"/>
          <w:highlight w:val="none"/>
        </w:rPr>
      </w:pPr>
    </w:p>
    <w:p w14:paraId="6C1E3968">
      <w:pPr>
        <w:rPr>
          <w:rFonts w:ascii="宋体" w:hAnsi="宋体" w:cs="宋体"/>
          <w:color w:val="auto"/>
          <w:kern w:val="0"/>
          <w:sz w:val="24"/>
          <w:highlight w:val="none"/>
        </w:rPr>
      </w:pPr>
      <w:r>
        <w:rPr>
          <w:rFonts w:ascii="宋体" w:hAnsi="宋体" w:cs="宋体"/>
          <w:color w:val="auto"/>
          <w:kern w:val="0"/>
          <w:sz w:val="24"/>
          <w:highlight w:val="none"/>
        </w:rPr>
        <w:br w:type="page"/>
      </w:r>
    </w:p>
    <w:p w14:paraId="01842A05">
      <w:pPr>
        <w:keepNext w:val="0"/>
        <w:keepLines w:val="0"/>
        <w:pageBreakBefore w:val="0"/>
        <w:widowControl w:val="0"/>
        <w:kinsoku/>
        <w:wordWrap/>
        <w:overflowPunct/>
        <w:topLinePunct w:val="0"/>
        <w:autoSpaceDE/>
        <w:autoSpaceDN/>
        <w:bidi w:val="0"/>
        <w:adjustRightInd w:val="0"/>
        <w:snapToGrid/>
        <w:spacing w:before="240" w:beforeLines="100" w:line="360" w:lineRule="auto"/>
        <w:jc w:val="center"/>
        <w:textAlignment w:val="auto"/>
        <w:outlineLvl w:val="1"/>
        <w:rPr>
          <w:rFonts w:hint="eastAsia" w:ascii="宋体" w:hAnsi="宋体" w:cs="宋体"/>
          <w:b/>
          <w:color w:val="auto"/>
          <w:sz w:val="30"/>
          <w:szCs w:val="30"/>
          <w:highlight w:val="none"/>
          <w:lang w:val="zh-CN"/>
        </w:rPr>
      </w:pPr>
      <w:r>
        <w:rPr>
          <w:rFonts w:hint="eastAsia" w:ascii="宋体" w:hAnsi="宋体" w:cs="宋体"/>
          <w:b/>
          <w:color w:val="auto"/>
          <w:sz w:val="30"/>
          <w:szCs w:val="30"/>
          <w:highlight w:val="none"/>
        </w:rPr>
        <w:t>第</w:t>
      </w:r>
      <w:r>
        <w:rPr>
          <w:rFonts w:hint="eastAsia" w:ascii="宋体" w:hAnsi="宋体" w:cs="宋体"/>
          <w:b/>
          <w:color w:val="auto"/>
          <w:sz w:val="30"/>
          <w:szCs w:val="30"/>
          <w:highlight w:val="none"/>
          <w:lang w:val="en-US" w:eastAsia="zh-CN"/>
        </w:rPr>
        <w:t>一</w:t>
      </w:r>
      <w:r>
        <w:rPr>
          <w:rFonts w:hint="eastAsia" w:ascii="宋体" w:hAnsi="宋体" w:cs="宋体"/>
          <w:b/>
          <w:color w:val="auto"/>
          <w:sz w:val="30"/>
          <w:szCs w:val="30"/>
          <w:highlight w:val="none"/>
        </w:rPr>
        <w:t>部分 合同书</w:t>
      </w:r>
    </w:p>
    <w:p w14:paraId="1E1EC36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u w:val="single"/>
          <w:lang w:eastAsia="zh-CN"/>
        </w:rPr>
        <w:t>杭州市拱墅区住房和城市建设局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公开招标方式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拱墅区2025年海绵城市建设技术服务项目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进行了采购。经评标委员会会评定，</w:t>
      </w:r>
      <w:r>
        <w:rPr>
          <w:rFonts w:hint="eastAsia" w:ascii="宋体" w:hAnsi="宋体" w:eastAsia="宋体" w:cs="宋体"/>
          <w:color w:val="auto"/>
          <w:sz w:val="21"/>
          <w:szCs w:val="21"/>
          <w:highlight w:val="none"/>
          <w:u w:val="single"/>
        </w:rPr>
        <w:t xml:space="preserve">   （中标或者成交供应商名称） </w:t>
      </w:r>
      <w:r>
        <w:rPr>
          <w:rFonts w:hint="eastAsia" w:ascii="宋体" w:hAnsi="宋体" w:eastAsia="宋体" w:cs="宋体"/>
          <w:color w:val="auto"/>
          <w:sz w:val="21"/>
          <w:szCs w:val="21"/>
          <w:highlight w:val="none"/>
        </w:rPr>
        <w:t>为该项目中标或者成交供应商。现于中标或者成交通知书发出之日起10个工作日内，按照采购文件确定的事项签订本合同。</w:t>
      </w:r>
    </w:p>
    <w:p w14:paraId="6022D91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lang w:eastAsia="zh-CN"/>
        </w:rPr>
        <w:t>杭州市拱墅区住房和城市建设局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(以下简称：甲方)和</w:t>
      </w:r>
      <w:r>
        <w:rPr>
          <w:rFonts w:hint="eastAsia" w:ascii="宋体" w:hAnsi="宋体" w:eastAsia="宋体" w:cs="宋体"/>
          <w:color w:val="auto"/>
          <w:sz w:val="21"/>
          <w:szCs w:val="21"/>
          <w:highlight w:val="none"/>
          <w:u w:val="single"/>
        </w:rPr>
        <w:t xml:space="preserve">   （中或者成交标供应商名称）   </w:t>
      </w:r>
      <w:r>
        <w:rPr>
          <w:rFonts w:hint="eastAsia" w:ascii="宋体" w:hAnsi="宋体" w:eastAsia="宋体" w:cs="宋体"/>
          <w:color w:val="auto"/>
          <w:sz w:val="21"/>
          <w:szCs w:val="21"/>
          <w:highlight w:val="none"/>
          <w:lang w:val="zh-CN"/>
        </w:rPr>
        <w:t>(以下简称：乙方)协商一致，约定以下合同</w:t>
      </w:r>
      <w:r>
        <w:rPr>
          <w:rFonts w:hint="eastAsia" w:ascii="宋体" w:hAnsi="宋体" w:eastAsia="宋体" w:cs="宋体"/>
          <w:color w:val="auto"/>
          <w:sz w:val="21"/>
          <w:szCs w:val="21"/>
          <w:highlight w:val="none"/>
        </w:rPr>
        <w:t>条款，以兹共同遵守、全面履行。</w:t>
      </w:r>
    </w:p>
    <w:p w14:paraId="4D93D80D">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color w:val="auto"/>
          <w:sz w:val="21"/>
          <w:szCs w:val="21"/>
          <w:highlight w:val="none"/>
        </w:rPr>
      </w:pPr>
      <w:bookmarkStart w:id="416" w:name="_Toc15367"/>
      <w:bookmarkStart w:id="417" w:name="_Toc22967"/>
      <w:bookmarkStart w:id="418" w:name="_Toc20421"/>
      <w:bookmarkStart w:id="419" w:name="_Toc28855"/>
      <w:bookmarkStart w:id="420" w:name="_Toc19273"/>
      <w:r>
        <w:rPr>
          <w:rFonts w:hint="eastAsia" w:ascii="宋体" w:hAnsi="宋体" w:eastAsia="宋体" w:cs="宋体"/>
          <w:b/>
          <w:color w:val="auto"/>
          <w:sz w:val="21"/>
          <w:szCs w:val="21"/>
          <w:highlight w:val="none"/>
        </w:rPr>
        <w:t>1.1 合同组成部分</w:t>
      </w:r>
      <w:bookmarkEnd w:id="416"/>
      <w:bookmarkEnd w:id="417"/>
      <w:bookmarkEnd w:id="418"/>
      <w:bookmarkEnd w:id="419"/>
      <w:bookmarkEnd w:id="420"/>
    </w:p>
    <w:p w14:paraId="7BE97B44">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9CBBA2E">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本合同及其补充合同、变更协议；</w:t>
      </w:r>
    </w:p>
    <w:p w14:paraId="37776AD0">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中标或者成交通知书；</w:t>
      </w:r>
    </w:p>
    <w:p w14:paraId="5CBF7D07">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投标或者响应文件（含澄清或者说明文件）；</w:t>
      </w:r>
    </w:p>
    <w:p w14:paraId="60D12ACA">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采购文件（含澄清或者修改文件）；</w:t>
      </w:r>
    </w:p>
    <w:p w14:paraId="61D03D8A">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其他相关采购文件。</w:t>
      </w:r>
    </w:p>
    <w:p w14:paraId="33C3B789">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21" w:name="_Toc2918"/>
      <w:bookmarkStart w:id="422" w:name="_Toc6773"/>
      <w:bookmarkStart w:id="423" w:name="_Toc18585"/>
      <w:bookmarkStart w:id="424" w:name="_Toc22185"/>
      <w:bookmarkStart w:id="425" w:name="_Toc6311"/>
      <w:r>
        <w:rPr>
          <w:rFonts w:hint="eastAsia" w:ascii="宋体" w:hAnsi="宋体" w:eastAsia="宋体" w:cs="宋体"/>
          <w:b/>
          <w:color w:val="auto"/>
          <w:sz w:val="21"/>
          <w:szCs w:val="21"/>
          <w:highlight w:val="none"/>
        </w:rPr>
        <w:t>1.2 标的</w:t>
      </w:r>
      <w:bookmarkEnd w:id="421"/>
      <w:bookmarkEnd w:id="422"/>
      <w:bookmarkEnd w:id="423"/>
      <w:bookmarkEnd w:id="424"/>
      <w:bookmarkEnd w:id="425"/>
    </w:p>
    <w:p w14:paraId="6A6B2D81">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1.2.1 服务内容：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00C8192">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1.2.2 服务标准：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FB84F8E">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1.2.3 技术保障：</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14:paraId="7102C427">
      <w:pPr>
        <w:keepNext w:val="0"/>
        <w:keepLines w:val="0"/>
        <w:pageBreakBefore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服务人员组成：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7EC9240">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26" w:name="_Toc13918"/>
      <w:bookmarkStart w:id="427" w:name="_Toc4929"/>
      <w:bookmarkStart w:id="428" w:name="_Toc1386"/>
      <w:bookmarkStart w:id="429" w:name="_Toc5635"/>
      <w:bookmarkStart w:id="430" w:name="_Toc21124"/>
      <w:r>
        <w:rPr>
          <w:rFonts w:hint="eastAsia" w:ascii="宋体" w:hAnsi="宋体" w:eastAsia="宋体" w:cs="宋体"/>
          <w:b/>
          <w:color w:val="auto"/>
          <w:sz w:val="21"/>
          <w:szCs w:val="21"/>
          <w:highlight w:val="none"/>
        </w:rPr>
        <w:t>1.3 价款</w:t>
      </w:r>
      <w:bookmarkEnd w:id="426"/>
      <w:bookmarkEnd w:id="427"/>
      <w:bookmarkEnd w:id="428"/>
      <w:bookmarkEnd w:id="429"/>
      <w:bookmarkEnd w:id="430"/>
    </w:p>
    <w:p w14:paraId="798796C3">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1.3.1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条款规定的计价方式计价。</w:t>
      </w:r>
    </w:p>
    <w:p w14:paraId="264EBBDF">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1.3.1总价合同，本合同总价（含税）为：￥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2AD041D0">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31" w:name="_Toc10340"/>
      <w:bookmarkStart w:id="432" w:name="_Toc1814"/>
      <w:bookmarkStart w:id="433" w:name="_Toc22618"/>
      <w:bookmarkStart w:id="434" w:name="_Toc4760"/>
      <w:bookmarkStart w:id="435" w:name="_Toc8772"/>
      <w:bookmarkStart w:id="436" w:name="_Toc3625"/>
      <w:bookmarkStart w:id="437" w:name="_Toc11108"/>
      <w:bookmarkStart w:id="438" w:name="_Toc31421"/>
      <w:r>
        <w:rPr>
          <w:rFonts w:hint="eastAsia" w:ascii="宋体" w:hAnsi="宋体" w:eastAsia="宋体" w:cs="宋体"/>
          <w:b/>
          <w:color w:val="auto"/>
          <w:sz w:val="21"/>
          <w:szCs w:val="21"/>
          <w:highlight w:val="none"/>
        </w:rPr>
        <w:t>1.4履约保证金</w:t>
      </w:r>
    </w:p>
    <w:p w14:paraId="0F8F6753">
      <w:pPr>
        <w:pStyle w:val="960"/>
        <w:pageBreakBefore w:val="0"/>
        <w:kinsoku/>
        <w:wordWrap/>
        <w:overflowPunct/>
        <w:topLinePunct w:val="0"/>
        <w:bidi w:val="0"/>
        <w:snapToGrid/>
        <w:spacing w:before="0" w:beforeAutospacing="0" w:after="0" w:afterAutospacing="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需要支付履约保证金。若需要支付履约保证金的，则：</w:t>
      </w:r>
    </w:p>
    <w:p w14:paraId="50A7E983">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1.4.1履约</w:t>
      </w:r>
      <w:r>
        <w:rPr>
          <w:rFonts w:hint="eastAsia" w:ascii="宋体" w:hAnsi="宋体" w:eastAsia="宋体" w:cs="宋体"/>
          <w:color w:val="auto"/>
          <w:sz w:val="21"/>
          <w:szCs w:val="21"/>
          <w:highlight w:val="none"/>
        </w:rPr>
        <w:t>保证金</w:t>
      </w:r>
      <w:r>
        <w:rPr>
          <w:rFonts w:hint="eastAsia" w:ascii="宋体" w:hAnsi="宋体" w:eastAsia="宋体" w:cs="宋体"/>
          <w:color w:val="auto"/>
          <w:kern w:val="0"/>
          <w:sz w:val="21"/>
          <w:szCs w:val="21"/>
          <w:highlight w:val="none"/>
        </w:rPr>
        <w:t>的比例为合同金额的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21BE03E">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1.4.2履约保证金支付方式详见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D1126D0">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kern w:val="0"/>
          <w:sz w:val="21"/>
          <w:szCs w:val="21"/>
          <w:highlight w:val="none"/>
          <w:lang w:val="en-US"/>
        </w:rPr>
        <w:t>1.4.3 如果</w:t>
      </w:r>
      <w:r>
        <w:rPr>
          <w:rFonts w:hint="eastAsia" w:ascii="宋体" w:hAnsi="宋体" w:eastAsia="宋体" w:cs="宋体"/>
          <w:color w:val="auto"/>
          <w:sz w:val="21"/>
          <w:szCs w:val="21"/>
          <w:highlight w:val="none"/>
          <w:lang w:val="en-US"/>
        </w:rPr>
        <w:t>乙方</w:t>
      </w:r>
      <w:r>
        <w:rPr>
          <w:rFonts w:hint="eastAsia" w:ascii="宋体" w:hAnsi="宋体" w:eastAsia="宋体" w:cs="宋体"/>
          <w:b w:val="0"/>
          <w:bCs w:val="0"/>
          <w:color w:val="auto"/>
          <w:kern w:val="0"/>
          <w:sz w:val="21"/>
          <w:szCs w:val="21"/>
          <w:highlight w:val="none"/>
          <w:lang w:val="en-US"/>
        </w:rPr>
        <w:t>不履行合同，履约保证金不予退还；如果乙方未能按合同约定全面履行义务，那么甲方有权从履约保证金中取得补偿或赔偿，同时不影响甲方要求乙方承担合同约定的超过履约保证金的违约责任的权利；</w:t>
      </w:r>
    </w:p>
    <w:p w14:paraId="5B6AF3F5">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1.4.4甲方在</w:t>
      </w:r>
      <w:r>
        <w:rPr>
          <w:rFonts w:hint="eastAsia" w:ascii="宋体" w:hAnsi="宋体" w:eastAsia="宋体" w:cs="宋体"/>
          <w:color w:val="auto"/>
          <w:sz w:val="21"/>
          <w:szCs w:val="21"/>
          <w:highlight w:val="none"/>
        </w:rPr>
        <w:t>项目</w:t>
      </w:r>
      <w:r>
        <w:rPr>
          <w:rFonts w:hint="eastAsia" w:ascii="宋体" w:hAnsi="宋体" w:eastAsia="宋体" w:cs="宋体"/>
          <w:color w:val="auto"/>
          <w:kern w:val="0"/>
          <w:sz w:val="21"/>
          <w:szCs w:val="21"/>
          <w:highlight w:val="none"/>
        </w:rPr>
        <w:t>验收结束后及时退还履约保证金。甲方在项目通过验收之日起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1"/>
          <w:szCs w:val="21"/>
          <w:highlight w:val="none"/>
          <w:u w:val="single"/>
        </w:rPr>
        <w:t xml:space="preserve">  0.05（可根据情况修改）  </w:t>
      </w:r>
      <w:r>
        <w:rPr>
          <w:rFonts w:hint="eastAsia" w:ascii="宋体" w:hAnsi="宋体" w:eastAsia="宋体" w:cs="宋体"/>
          <w:color w:val="auto"/>
          <w:kern w:val="0"/>
          <w:sz w:val="21"/>
          <w:szCs w:val="21"/>
          <w:highlight w:val="none"/>
        </w:rPr>
        <w:t>%计算，最高限额为本合同履约保证金的</w:t>
      </w:r>
      <w:r>
        <w:rPr>
          <w:rFonts w:hint="eastAsia" w:ascii="宋体" w:hAnsi="宋体" w:eastAsia="宋体" w:cs="宋体"/>
          <w:color w:val="auto"/>
          <w:kern w:val="0"/>
          <w:sz w:val="21"/>
          <w:szCs w:val="21"/>
          <w:highlight w:val="none"/>
          <w:u w:val="single"/>
        </w:rPr>
        <w:t xml:space="preserve">  20  </w:t>
      </w:r>
      <w:r>
        <w:rPr>
          <w:rFonts w:hint="eastAsia" w:ascii="宋体" w:hAnsi="宋体" w:eastAsia="宋体" w:cs="宋体"/>
          <w:color w:val="auto"/>
          <w:kern w:val="0"/>
          <w:sz w:val="21"/>
          <w:szCs w:val="21"/>
          <w:highlight w:val="none"/>
        </w:rPr>
        <w:t xml:space="preserve"> %。</w:t>
      </w:r>
    </w:p>
    <w:p w14:paraId="465323D1">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bookmarkEnd w:id="431"/>
      <w:bookmarkEnd w:id="432"/>
      <w:bookmarkEnd w:id="433"/>
      <w:r>
        <w:rPr>
          <w:rFonts w:hint="eastAsia" w:ascii="宋体" w:hAnsi="宋体" w:eastAsia="宋体" w:cs="宋体"/>
          <w:b/>
          <w:color w:val="auto"/>
          <w:sz w:val="21"/>
          <w:szCs w:val="21"/>
          <w:highlight w:val="none"/>
        </w:rPr>
        <w:t>预付款</w:t>
      </w:r>
    </w:p>
    <w:p w14:paraId="345275FE">
      <w:pPr>
        <w:pStyle w:val="960"/>
        <w:pageBreakBefore w:val="0"/>
        <w:kinsoku/>
        <w:wordWrap/>
        <w:overflowPunct/>
        <w:topLinePunct w:val="0"/>
        <w:bidi w:val="0"/>
        <w:snapToGrid/>
        <w:spacing w:before="0" w:beforeAutospacing="0" w:after="0" w:afterAutospacing="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需要支付预付款。若需要支付预付款的，则：</w:t>
      </w:r>
    </w:p>
    <w:p w14:paraId="1043DB8C">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1.5.1预付款比例、支付方式、时间详见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E0EE710">
      <w:pPr>
        <w:pStyle w:val="960"/>
        <w:pageBreakBefore w:val="0"/>
        <w:kinsoku/>
        <w:wordWrap/>
        <w:overflowPunct/>
        <w:topLinePunct w:val="0"/>
        <w:bidi w:val="0"/>
        <w:snapToGrid/>
        <w:spacing w:before="0" w:beforeAutospacing="0" w:after="0" w:afterAutospacing="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1.5.2预付款的扣回方式详见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106095F">
      <w:pPr>
        <w:pStyle w:val="960"/>
        <w:pageBreakBefore w:val="0"/>
        <w:kinsoku/>
        <w:wordWrap/>
        <w:overflowPunct/>
        <w:topLinePunct w:val="0"/>
        <w:bidi w:val="0"/>
        <w:snapToGrid/>
        <w:spacing w:before="0" w:beforeAutospacing="0" w:after="0" w:afterAutospacing="0" w:line="360" w:lineRule="auto"/>
        <w:ind w:firstLine="48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1.5.3预付款的担保措施详见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42A3407">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1.6资金支付</w:t>
      </w:r>
    </w:p>
    <w:p w14:paraId="44CC6F15">
      <w:pPr>
        <w:pStyle w:val="960"/>
        <w:pageBreakBefore w:val="0"/>
        <w:kinsoku/>
        <w:wordWrap/>
        <w:overflowPunct/>
        <w:topLinePunct w:val="0"/>
        <w:bidi w:val="0"/>
        <w:snapToGrid/>
        <w:spacing w:before="0" w:beforeAutospacing="0" w:after="0" w:afterAutospacing="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1E43B9D">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1.6.2资金支付的方式、时间和条件详见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540C5E18">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 履行期限、地点和方式</w:t>
      </w:r>
      <w:bookmarkEnd w:id="434"/>
      <w:bookmarkEnd w:id="435"/>
      <w:bookmarkEnd w:id="436"/>
      <w:bookmarkEnd w:id="437"/>
      <w:bookmarkEnd w:id="438"/>
    </w:p>
    <w:p w14:paraId="1B86C109">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1.7.1 服务交付（实施）的时间（期限）：</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1CA2781B">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服务交付（实施）的地点（地域范围）：</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6B668966">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 服务交付（实施）的方式：</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413F636F">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bookmarkStart w:id="439" w:name="_Toc2375"/>
      <w:bookmarkStart w:id="440" w:name="_Toc5698"/>
      <w:bookmarkStart w:id="441" w:name="_Toc3079"/>
      <w:bookmarkStart w:id="442" w:name="_Toc8586"/>
      <w:bookmarkStart w:id="443" w:name="_Toc24662"/>
      <w:r>
        <w:rPr>
          <w:rFonts w:hint="eastAsia" w:ascii="宋体" w:hAnsi="宋体" w:eastAsia="宋体" w:cs="宋体"/>
          <w:bCs/>
          <w:color w:val="auto"/>
          <w:sz w:val="21"/>
          <w:szCs w:val="21"/>
          <w:highlight w:val="none"/>
        </w:rPr>
        <w:t>1.7.4若服务涉及货物的，则货物的：</w:t>
      </w:r>
    </w:p>
    <w:p w14:paraId="46679650">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1.7.4.1 交付期限：详见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42690856">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1.7.4.2 交付地点：</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03F58242">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1.7.4.3 交付方式：</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780F1DCC">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1.8违约责任</w:t>
      </w:r>
      <w:bookmarkEnd w:id="439"/>
      <w:bookmarkEnd w:id="440"/>
      <w:bookmarkEnd w:id="441"/>
      <w:bookmarkEnd w:id="442"/>
      <w:bookmarkEnd w:id="443"/>
    </w:p>
    <w:p w14:paraId="6F9E3E08">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1"/>
          <w:szCs w:val="21"/>
          <w:highlight w:val="none"/>
          <w:u w:val="single"/>
        </w:rPr>
        <w:t xml:space="preserve">0.05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20   </w:t>
      </w:r>
      <w:r>
        <w:rPr>
          <w:rFonts w:hint="eastAsia" w:ascii="宋体" w:hAnsi="宋体" w:eastAsia="宋体" w:cs="宋体"/>
          <w:color w:val="auto"/>
          <w:sz w:val="21"/>
          <w:szCs w:val="21"/>
          <w:highlight w:val="none"/>
        </w:rPr>
        <w:t>%；迟延履行的违约金计算数额达到前述最高限额之日起，甲方有权在要求乙方支付违约金的同时，书面通知乙方解除本合同；</w:t>
      </w:r>
    </w:p>
    <w:p w14:paraId="0F3E7F00">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1"/>
          <w:szCs w:val="21"/>
          <w:highlight w:val="none"/>
          <w:u w:val="single"/>
          <w:lang w:val="en-US"/>
        </w:rPr>
        <w:t xml:space="preserve">  0.0</w:t>
      </w:r>
      <w:r>
        <w:rPr>
          <w:rFonts w:hint="eastAsia" w:ascii="宋体" w:hAnsi="宋体" w:eastAsia="宋体" w:cs="宋体"/>
          <w:b w:val="0"/>
          <w:bCs w:val="0"/>
          <w:color w:val="auto"/>
          <w:sz w:val="21"/>
          <w:szCs w:val="21"/>
          <w:highlight w:val="none"/>
          <w:lang w:val="en-US"/>
        </w:rPr>
        <w:t xml:space="preserve">5（可根据情况修改） </w:t>
      </w:r>
      <w:r>
        <w:rPr>
          <w:rFonts w:hint="eastAsia" w:ascii="宋体" w:hAnsi="宋体" w:eastAsia="宋体" w:cs="宋体"/>
          <w:b w:val="0"/>
          <w:bCs w:val="0"/>
          <w:color w:val="auto"/>
          <w:sz w:val="21"/>
          <w:szCs w:val="21"/>
          <w:highlight w:val="none"/>
          <w:u w:val="single"/>
          <w:lang w:val="en-US"/>
        </w:rPr>
        <w:t xml:space="preserve">  </w:t>
      </w:r>
      <w:r>
        <w:rPr>
          <w:rFonts w:hint="eastAsia" w:ascii="宋体" w:hAnsi="宋体" w:eastAsia="宋体" w:cs="宋体"/>
          <w:b w:val="0"/>
          <w:bCs w:val="0"/>
          <w:color w:val="auto"/>
          <w:sz w:val="21"/>
          <w:szCs w:val="21"/>
          <w:highlight w:val="none"/>
          <w:lang w:val="en-US"/>
        </w:rPr>
        <w:t>%计算，最高限额为本合同总价的</w:t>
      </w:r>
      <w:r>
        <w:rPr>
          <w:rFonts w:hint="eastAsia" w:ascii="宋体" w:hAnsi="宋体" w:eastAsia="宋体" w:cs="宋体"/>
          <w:b w:val="0"/>
          <w:bCs w:val="0"/>
          <w:color w:val="auto"/>
          <w:sz w:val="21"/>
          <w:szCs w:val="21"/>
          <w:highlight w:val="none"/>
          <w:u w:val="single"/>
          <w:lang w:val="en-US"/>
        </w:rPr>
        <w:t xml:space="preserve">  20  </w:t>
      </w:r>
      <w:r>
        <w:rPr>
          <w:rFonts w:hint="eastAsia" w:ascii="宋体" w:hAnsi="宋体" w:eastAsia="宋体" w:cs="宋体"/>
          <w:b w:val="0"/>
          <w:bCs w:val="0"/>
          <w:color w:val="auto"/>
          <w:sz w:val="21"/>
          <w:szCs w:val="21"/>
          <w:highlight w:val="none"/>
          <w:lang w:val="en-US"/>
        </w:rPr>
        <w:t>%；迟延交付货物的违约金计算数额达到前述最高限额之日起，甲方有权在要求乙方支付违约金的同时，书面通知乙方解除本合同；</w:t>
      </w:r>
    </w:p>
    <w:p w14:paraId="03BC71CD">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 xml:space="preserve">   0.05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20</w:t>
      </w:r>
      <w:r>
        <w:rPr>
          <w:rFonts w:hint="eastAsia" w:ascii="宋体" w:hAnsi="宋体" w:eastAsia="宋体" w:cs="宋体"/>
          <w:color w:val="auto"/>
          <w:kern w:val="0"/>
          <w:sz w:val="21"/>
          <w:szCs w:val="21"/>
          <w:highlight w:val="none"/>
          <w:u w:val="single"/>
        </w:rPr>
        <w:t>（可根据情况修改）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35A60D13">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bookmarkStart w:id="444" w:name="_Toc30329"/>
      <w:bookmarkStart w:id="445" w:name="_Toc26807"/>
      <w:bookmarkStart w:id="446" w:name="_Toc32454"/>
      <w:bookmarkStart w:id="447" w:name="_Toc9497"/>
      <w:bookmarkStart w:id="448" w:name="_Toc18683"/>
      <w:r>
        <w:rPr>
          <w:rFonts w:hint="eastAsia" w:ascii="宋体" w:hAnsi="宋体" w:eastAsia="宋体" w:cs="宋体"/>
          <w:color w:val="auto"/>
          <w:sz w:val="21"/>
          <w:szCs w:val="21"/>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4325B21">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6DB80C2">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30A2586">
      <w:pPr>
        <w:pageBreakBefore w:val="0"/>
        <w:kinsoku/>
        <w:wordWrap/>
        <w:overflowPunct/>
        <w:topLinePunct w:val="0"/>
        <w:bidi w:val="0"/>
        <w:snapToGrid/>
        <w:spacing w:line="360" w:lineRule="auto"/>
        <w:ind w:right="-420" w:righ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1.8.7违约责任</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另有约定的，从其约定。</w:t>
      </w:r>
    </w:p>
    <w:bookmarkEnd w:id="444"/>
    <w:bookmarkEnd w:id="445"/>
    <w:bookmarkEnd w:id="446"/>
    <w:bookmarkEnd w:id="447"/>
    <w:bookmarkEnd w:id="448"/>
    <w:p w14:paraId="4BDAECCC">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49" w:name="_Toc28375"/>
      <w:bookmarkStart w:id="450" w:name="_Toc15583"/>
      <w:bookmarkStart w:id="451" w:name="_Toc16021"/>
      <w:r>
        <w:rPr>
          <w:rFonts w:hint="eastAsia" w:ascii="宋体" w:hAnsi="宋体" w:eastAsia="宋体" w:cs="宋体"/>
          <w:b/>
          <w:color w:val="auto"/>
          <w:sz w:val="21"/>
          <w:szCs w:val="21"/>
          <w:highlight w:val="none"/>
        </w:rPr>
        <w:t>1.9合同争议的解决</w:t>
      </w:r>
      <w:bookmarkEnd w:id="449"/>
      <w:bookmarkEnd w:id="450"/>
      <w:bookmarkEnd w:id="451"/>
    </w:p>
    <w:p w14:paraId="2B9107DD">
      <w:pPr>
        <w:pageBreakBefore w:val="0"/>
        <w:kinsoku/>
        <w:wordWrap/>
        <w:overflowPunct/>
        <w:topLinePunct w:val="0"/>
        <w:bidi w:val="0"/>
        <w:snapToGrid/>
        <w:spacing w:line="360" w:lineRule="auto"/>
        <w:ind w:left="-61" w:leftChars="-29" w:right="-420" w:rightChars="-20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1"/>
          <w:szCs w:val="21"/>
          <w:highlight w:val="none"/>
          <w:u w:val="single"/>
        </w:rPr>
        <w:t xml:space="preserve">  </w:t>
      </w:r>
      <w:r>
        <w:rPr>
          <w:rFonts w:hint="eastAsia" w:ascii="宋体" w:hAnsi="宋体" w:eastAsia="宋体" w:cs="宋体"/>
          <w:b/>
          <w:i/>
          <w:color w:val="auto"/>
          <w:sz w:val="21"/>
          <w:szCs w:val="21"/>
          <w:highlight w:val="none"/>
          <w:u w:val="single"/>
          <w:lang w:val="en-US" w:eastAsia="zh-CN"/>
        </w:rPr>
        <w:t>1.9.2</w:t>
      </w:r>
      <w:r>
        <w:rPr>
          <w:rFonts w:hint="eastAsia" w:ascii="宋体" w:hAnsi="宋体" w:eastAsia="宋体" w:cs="宋体"/>
          <w:b/>
          <w:i/>
          <w:color w:val="auto"/>
          <w:sz w:val="21"/>
          <w:szCs w:val="21"/>
          <w:highlight w:val="none"/>
          <w:u w:val="single"/>
        </w:rPr>
        <w:t xml:space="preserve">  </w:t>
      </w:r>
      <w:r>
        <w:rPr>
          <w:rFonts w:hint="eastAsia" w:ascii="宋体" w:hAnsi="宋体" w:eastAsia="宋体" w:cs="宋体"/>
          <w:color w:val="auto"/>
          <w:sz w:val="21"/>
          <w:szCs w:val="21"/>
          <w:highlight w:val="none"/>
        </w:rPr>
        <w:t>条款规定的方式解决：</w:t>
      </w:r>
    </w:p>
    <w:p w14:paraId="1EB48FEA">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将争议提交</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仲裁委员会依申请仲裁时其现行有效的仲裁规则裁决；</w:t>
      </w:r>
    </w:p>
    <w:p w14:paraId="6F33FA30">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向</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人民法院起诉。</w:t>
      </w:r>
    </w:p>
    <w:p w14:paraId="2B67FDF8">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52" w:name="_Toc15322"/>
      <w:bookmarkStart w:id="453" w:name="_Toc7245"/>
      <w:bookmarkStart w:id="454" w:name="_Toc11173"/>
      <w:r>
        <w:rPr>
          <w:rFonts w:hint="eastAsia" w:ascii="宋体" w:hAnsi="宋体" w:eastAsia="宋体" w:cs="宋体"/>
          <w:b/>
          <w:color w:val="auto"/>
          <w:sz w:val="21"/>
          <w:szCs w:val="21"/>
          <w:highlight w:val="none"/>
          <w:lang w:val="en-US" w:eastAsia="zh-CN"/>
        </w:rPr>
        <w:t>1.10</w:t>
      </w:r>
      <w:r>
        <w:rPr>
          <w:rFonts w:hint="eastAsia" w:ascii="宋体" w:hAnsi="宋体" w:eastAsia="宋体" w:cs="宋体"/>
          <w:b/>
          <w:color w:val="auto"/>
          <w:sz w:val="21"/>
          <w:szCs w:val="21"/>
          <w:highlight w:val="none"/>
        </w:rPr>
        <w:t xml:space="preserve"> 合同生效</w:t>
      </w:r>
      <w:bookmarkEnd w:id="452"/>
      <w:bookmarkEnd w:id="453"/>
      <w:bookmarkEnd w:id="454"/>
    </w:p>
    <w:p w14:paraId="7B8D3969">
      <w:pPr>
        <w:pageBreakBefore w:val="0"/>
        <w:kinsoku/>
        <w:wordWrap/>
        <w:overflowPunct/>
        <w:topLinePunct w:val="0"/>
        <w:bidi w:val="0"/>
        <w:snapToGrid/>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本合同自双方当事人盖章签字时生效。</w:t>
      </w:r>
    </w:p>
    <w:p w14:paraId="6B57F339">
      <w:pPr>
        <w:pageBreakBefore w:val="0"/>
        <w:kinsoku/>
        <w:wordWrap/>
        <w:overflowPunct/>
        <w:topLinePunct w:val="0"/>
        <w:autoSpaceDE w:val="0"/>
        <w:autoSpaceDN w:val="0"/>
        <w:bidi w:val="0"/>
        <w:snapToGrid/>
        <w:spacing w:line="360" w:lineRule="auto"/>
        <w:textAlignment w:val="auto"/>
        <w:rPr>
          <w:rFonts w:hint="eastAsia" w:ascii="宋体" w:hAnsi="宋体" w:eastAsia="宋体" w:cs="宋体"/>
          <w:color w:val="auto"/>
          <w:sz w:val="21"/>
          <w:szCs w:val="21"/>
          <w:highlight w:val="none"/>
          <w:lang w:val="zh-CN"/>
        </w:rPr>
      </w:pPr>
    </w:p>
    <w:p w14:paraId="106C0396">
      <w:pPr>
        <w:pageBreakBefore w:val="0"/>
        <w:kinsoku/>
        <w:wordWrap/>
        <w:overflowPunct/>
        <w:topLinePunct w:val="0"/>
        <w:autoSpaceDE w:val="0"/>
        <w:autoSpaceDN w:val="0"/>
        <w:bidi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 xml:space="preserve">      乙方</w:t>
      </w:r>
      <w:r>
        <w:rPr>
          <w:rFonts w:hint="eastAsia" w:ascii="宋体" w:hAnsi="宋体" w:eastAsia="宋体" w:cs="宋体"/>
          <w:color w:val="auto"/>
          <w:sz w:val="21"/>
          <w:szCs w:val="21"/>
          <w:highlight w:val="none"/>
          <w:lang w:val="zh-CN"/>
        </w:rPr>
        <w:t>：</w:t>
      </w:r>
    </w:p>
    <w:p w14:paraId="00234D58">
      <w:pPr>
        <w:pageBreakBefore w:val="0"/>
        <w:kinsoku/>
        <w:wordWrap/>
        <w:overflowPunct/>
        <w:topLinePunct w:val="0"/>
        <w:autoSpaceDE w:val="0"/>
        <w:autoSpaceDN w:val="0"/>
        <w:bidi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                        统一社会信用代码或身份证号码：</w:t>
      </w:r>
    </w:p>
    <w:p w14:paraId="7BDF96DC">
      <w:pPr>
        <w:pageBreakBefore w:val="0"/>
        <w:kinsoku/>
        <w:wordWrap/>
        <w:overflowPunct/>
        <w:topLinePunct w:val="0"/>
        <w:autoSpaceDE w:val="0"/>
        <w:autoSpaceDN w:val="0"/>
        <w:bidi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14:paraId="6A653797">
      <w:pPr>
        <w:pageBreakBefore w:val="0"/>
        <w:kinsoku/>
        <w:wordWrap/>
        <w:overflowPunct/>
        <w:topLinePunct w:val="0"/>
        <w:autoSpaceDE w:val="0"/>
        <w:autoSpaceDN w:val="0"/>
        <w:bidi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                             法定代表人或</w:t>
      </w:r>
    </w:p>
    <w:p w14:paraId="714571C1">
      <w:pPr>
        <w:pageBreakBefore w:val="0"/>
        <w:kinsoku/>
        <w:wordWrap/>
        <w:overflowPunct/>
        <w:topLinePunct w:val="0"/>
        <w:autoSpaceDE w:val="0"/>
        <w:autoSpaceDN w:val="0"/>
        <w:bidi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授权代表（签字）：                       授权代表（签字）: </w:t>
      </w:r>
    </w:p>
    <w:p w14:paraId="1816BDCD">
      <w:pPr>
        <w:pageBreakBefore w:val="0"/>
        <w:kinsoku/>
        <w:wordWrap/>
        <w:overflowPunct/>
        <w:topLinePunct w:val="0"/>
        <w:autoSpaceDE w:val="0"/>
        <w:autoSpaceDN w:val="0"/>
        <w:bidi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                                 联系人：</w:t>
      </w:r>
    </w:p>
    <w:p w14:paraId="13F967E9">
      <w:pPr>
        <w:pageBreakBefore w:val="0"/>
        <w:kinsoku/>
        <w:wordWrap/>
        <w:overflowPunct/>
        <w:topLinePunct w:val="0"/>
        <w:autoSpaceDE w:val="0"/>
        <w:autoSpaceDN w:val="0"/>
        <w:bidi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约定送达地址：                           约定送达地址：</w:t>
      </w:r>
    </w:p>
    <w:p w14:paraId="2C7BA70B">
      <w:pPr>
        <w:pageBreakBefore w:val="0"/>
        <w:kinsoku/>
        <w:wordWrap/>
        <w:overflowPunct/>
        <w:topLinePunct w:val="0"/>
        <w:autoSpaceDE w:val="0"/>
        <w:autoSpaceDN w:val="0"/>
        <w:bidi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14:paraId="0F3AAEAB">
      <w:pPr>
        <w:pageBreakBefore w:val="0"/>
        <w:kinsoku/>
        <w:wordWrap/>
        <w:overflowPunct/>
        <w:topLinePunct w:val="0"/>
        <w:autoSpaceDE w:val="0"/>
        <w:autoSpaceDN w:val="0"/>
        <w:bidi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14:paraId="17BF2EEF">
      <w:pPr>
        <w:pageBreakBefore w:val="0"/>
        <w:kinsoku/>
        <w:wordWrap/>
        <w:overflowPunct/>
        <w:topLinePunct w:val="0"/>
        <w:autoSpaceDE w:val="0"/>
        <w:autoSpaceDN w:val="0"/>
        <w:bidi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传真:                                    传真:</w:t>
      </w:r>
    </w:p>
    <w:p w14:paraId="1D619947">
      <w:pPr>
        <w:pageBreakBefore w:val="0"/>
        <w:kinsoku/>
        <w:wordWrap/>
        <w:overflowPunct/>
        <w:topLinePunct w:val="0"/>
        <w:autoSpaceDE w:val="0"/>
        <w:autoSpaceDN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电子邮箱：                               电子邮箱：</w:t>
      </w:r>
    </w:p>
    <w:p w14:paraId="0F6BADF1">
      <w:pPr>
        <w:pageBreakBefore w:val="0"/>
        <w:kinsoku/>
        <w:wordWrap/>
        <w:overflowPunct/>
        <w:topLinePunct w:val="0"/>
        <w:autoSpaceDE w:val="0"/>
        <w:autoSpaceDN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0A578D6D">
      <w:pPr>
        <w:pageBreakBefore w:val="0"/>
        <w:kinsoku/>
        <w:wordWrap/>
        <w:overflowPunct/>
        <w:topLinePunct w:val="0"/>
        <w:autoSpaceDE w:val="0"/>
        <w:autoSpaceDN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                               开户名称： </w:t>
      </w:r>
    </w:p>
    <w:p w14:paraId="187FA419">
      <w:pPr>
        <w:pageBreakBefore w:val="0"/>
        <w:kinsoku/>
        <w:wordWrap/>
        <w:overflowPunct/>
        <w:topLinePunct w:val="0"/>
        <w:autoSpaceDE w:val="0"/>
        <w:autoSpaceDN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开户账号：</w:t>
      </w:r>
    </w:p>
    <w:p w14:paraId="5580A71E">
      <w:pPr>
        <w:widowControl/>
        <w:spacing w:line="560" w:lineRule="exact"/>
        <w:jc w:val="left"/>
        <w:rPr>
          <w:rFonts w:ascii="宋体" w:hAnsi="宋体"/>
          <w:b/>
          <w:color w:val="auto"/>
          <w:sz w:val="24"/>
          <w:highlight w:val="none"/>
        </w:rPr>
      </w:pPr>
    </w:p>
    <w:p w14:paraId="22E8202B">
      <w:pPr>
        <w:keepNext w:val="0"/>
        <w:keepLines w:val="0"/>
        <w:pageBreakBefore w:val="0"/>
        <w:widowControl w:val="0"/>
        <w:kinsoku/>
        <w:wordWrap/>
        <w:overflowPunct/>
        <w:topLinePunct w:val="0"/>
        <w:autoSpaceDE/>
        <w:autoSpaceDN/>
        <w:bidi w:val="0"/>
        <w:adjustRightInd w:val="0"/>
        <w:snapToGrid/>
        <w:spacing w:before="240" w:beforeLines="100" w:line="360" w:lineRule="auto"/>
        <w:jc w:val="center"/>
        <w:textAlignment w:val="auto"/>
        <w:outlineLvl w:val="1"/>
        <w:rPr>
          <w:rFonts w:hint="eastAsia" w:ascii="宋体" w:hAnsi="宋体" w:cs="宋体"/>
          <w:b/>
          <w:color w:val="auto"/>
          <w:sz w:val="30"/>
          <w:szCs w:val="30"/>
          <w:highlight w:val="none"/>
        </w:rPr>
      </w:pPr>
      <w:r>
        <w:rPr>
          <w:rFonts w:hint="eastAsia" w:ascii="宋体" w:hAnsi="宋体" w:cs="宋体"/>
          <w:b/>
          <w:color w:val="auto"/>
          <w:sz w:val="30"/>
          <w:szCs w:val="30"/>
          <w:highlight w:val="none"/>
        </w:rPr>
        <w:t>第二部分 合同一般条款</w:t>
      </w:r>
    </w:p>
    <w:p w14:paraId="3BE53D89">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55" w:name="_Toc19680"/>
      <w:bookmarkStart w:id="456" w:name="_Toc31297"/>
      <w:bookmarkStart w:id="457" w:name="_Toc25079"/>
      <w:bookmarkStart w:id="458" w:name="_Toc14021"/>
      <w:bookmarkStart w:id="459" w:name="_Toc5228"/>
      <w:r>
        <w:rPr>
          <w:rFonts w:hint="eastAsia" w:ascii="宋体" w:hAnsi="宋体" w:eastAsia="宋体" w:cs="宋体"/>
          <w:b/>
          <w:color w:val="auto"/>
          <w:sz w:val="21"/>
          <w:szCs w:val="21"/>
          <w:highlight w:val="none"/>
        </w:rPr>
        <w:t>2.1 定义</w:t>
      </w:r>
      <w:bookmarkEnd w:id="455"/>
      <w:bookmarkEnd w:id="456"/>
      <w:bookmarkEnd w:id="457"/>
      <w:bookmarkEnd w:id="458"/>
      <w:bookmarkEnd w:id="459"/>
    </w:p>
    <w:p w14:paraId="5C944AFB">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14:paraId="1C8BCE3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“合同”系指采购人和中标或成交供应商签订的载明双方当事人所达成的协议，并包括所有的附件、附录和构成合同的其他文件。</w:t>
      </w:r>
    </w:p>
    <w:p w14:paraId="14892F5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“合同价”系指根据合同约定，中标或成交供应商在完全履行合同义务后，采购人应支付给中标或成交供应商的价格。</w:t>
      </w:r>
    </w:p>
    <w:p w14:paraId="0A185CF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“服务”系指中标或成交供应商根据合同约定应向采购人履行的除货物和工程以外的其他政府采购对象，包括采购人自身需要的服务和向社会公众提供的公共服务。</w:t>
      </w:r>
    </w:p>
    <w:p w14:paraId="1C6DE1F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 “甲方”系指与中标或成交供应商签署合同的采购人；采购人委托采购代理机构代表其与乙方签订合同的，采购人的授权委托书作为合同附件。</w:t>
      </w:r>
    </w:p>
    <w:p w14:paraId="1CB6A57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37A271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 “现场”系指合同约定提供服务的地点。</w:t>
      </w:r>
    </w:p>
    <w:p w14:paraId="23AFC6FA">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60" w:name="_Toc16752"/>
      <w:bookmarkStart w:id="461" w:name="_Toc19539"/>
      <w:bookmarkStart w:id="462" w:name="_Toc23289"/>
      <w:bookmarkStart w:id="463" w:name="_Toc3769"/>
      <w:bookmarkStart w:id="464" w:name="_Toc31402"/>
      <w:r>
        <w:rPr>
          <w:rFonts w:hint="eastAsia" w:ascii="宋体" w:hAnsi="宋体" w:eastAsia="宋体" w:cs="宋体"/>
          <w:b/>
          <w:color w:val="auto"/>
          <w:sz w:val="21"/>
          <w:szCs w:val="21"/>
          <w:highlight w:val="none"/>
        </w:rPr>
        <w:t>2.2 技术规范</w:t>
      </w:r>
      <w:bookmarkEnd w:id="460"/>
      <w:bookmarkEnd w:id="461"/>
      <w:bookmarkEnd w:id="462"/>
      <w:bookmarkEnd w:id="463"/>
      <w:bookmarkEnd w:id="464"/>
    </w:p>
    <w:p w14:paraId="4C25A4D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FE77141">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65" w:name="_Toc4133"/>
      <w:bookmarkStart w:id="466" w:name="_Toc27945"/>
      <w:bookmarkStart w:id="467" w:name="_Toc13673"/>
      <w:bookmarkStart w:id="468" w:name="_Toc12412"/>
      <w:bookmarkStart w:id="469" w:name="_Toc9161"/>
      <w:r>
        <w:rPr>
          <w:rFonts w:hint="eastAsia" w:ascii="宋体" w:hAnsi="宋体" w:eastAsia="宋体" w:cs="宋体"/>
          <w:b/>
          <w:color w:val="auto"/>
          <w:sz w:val="21"/>
          <w:szCs w:val="21"/>
          <w:highlight w:val="none"/>
        </w:rPr>
        <w:t>2.3 知识产权</w:t>
      </w:r>
      <w:bookmarkEnd w:id="465"/>
      <w:bookmarkEnd w:id="466"/>
      <w:bookmarkEnd w:id="467"/>
      <w:bookmarkEnd w:id="468"/>
      <w:bookmarkEnd w:id="469"/>
    </w:p>
    <w:p w14:paraId="6698CD6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F741A6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 合同涉及技术成果的归属和收益的分成办法的，详见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6E0A2A1E">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 履约检查和问题反馈</w:t>
      </w:r>
    </w:p>
    <w:p w14:paraId="4177EC9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7FAB895">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合同履行期间，甲方有权将履行过程中出现的问题反馈给乙方，双方当事人应以书面形式约定需要完善和改进的内容。</w:t>
      </w:r>
    </w:p>
    <w:p w14:paraId="6E726CAF">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70" w:name="_Toc26555"/>
      <w:bookmarkStart w:id="471" w:name="_Toc31233"/>
      <w:bookmarkStart w:id="472" w:name="_Toc15447"/>
      <w:bookmarkStart w:id="473" w:name="_Toc22011"/>
      <w:bookmarkStart w:id="474" w:name="_Toc32670"/>
      <w:r>
        <w:rPr>
          <w:rFonts w:hint="eastAsia" w:ascii="宋体" w:hAnsi="宋体" w:eastAsia="宋体" w:cs="宋体"/>
          <w:b/>
          <w:color w:val="auto"/>
          <w:sz w:val="21"/>
          <w:szCs w:val="21"/>
          <w:highlight w:val="none"/>
        </w:rPr>
        <w:t>2.5 结算方式和付款条件</w:t>
      </w:r>
      <w:bookmarkEnd w:id="470"/>
      <w:bookmarkEnd w:id="471"/>
      <w:bookmarkEnd w:id="472"/>
      <w:bookmarkEnd w:id="473"/>
      <w:bookmarkEnd w:id="474"/>
    </w:p>
    <w:p w14:paraId="32ED48D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593B96FD">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75" w:name="_Toc16163"/>
      <w:bookmarkStart w:id="476" w:name="_Toc13467"/>
      <w:bookmarkStart w:id="477" w:name="_Toc30507"/>
      <w:bookmarkStart w:id="478" w:name="_Toc13154"/>
      <w:bookmarkStart w:id="479" w:name="_Toc18990"/>
      <w:r>
        <w:rPr>
          <w:rFonts w:hint="eastAsia" w:ascii="宋体" w:hAnsi="宋体" w:eastAsia="宋体" w:cs="宋体"/>
          <w:b/>
          <w:color w:val="auto"/>
          <w:sz w:val="21"/>
          <w:szCs w:val="21"/>
          <w:highlight w:val="none"/>
        </w:rPr>
        <w:t>2.6 技术资料和保密义务</w:t>
      </w:r>
      <w:bookmarkEnd w:id="475"/>
      <w:bookmarkEnd w:id="476"/>
      <w:bookmarkEnd w:id="477"/>
      <w:bookmarkEnd w:id="478"/>
      <w:bookmarkEnd w:id="479"/>
    </w:p>
    <w:p w14:paraId="6342A60B">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 乙方有权依据合同约定和项目需要，向甲方了解有关情况，调阅有关资料等，甲方应予积极配合；</w:t>
      </w:r>
    </w:p>
    <w:p w14:paraId="35915DB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 乙方有义务妥善保管和保护由甲方提供的前款信息和资料等；</w:t>
      </w:r>
    </w:p>
    <w:p w14:paraId="12B1D92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A589EBD">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80" w:name="_Toc19069"/>
      <w:r>
        <w:rPr>
          <w:rFonts w:hint="eastAsia" w:ascii="宋体" w:hAnsi="宋体" w:eastAsia="宋体" w:cs="宋体"/>
          <w:b/>
          <w:color w:val="auto"/>
          <w:sz w:val="21"/>
          <w:szCs w:val="21"/>
          <w:highlight w:val="none"/>
        </w:rPr>
        <w:t>2.7 质量保证</w:t>
      </w:r>
      <w:bookmarkEnd w:id="480"/>
    </w:p>
    <w:p w14:paraId="6D34938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 乙方应建立和完善履行合同的内部质量保证体系，并提供相关内部规章制度给甲方，以便甲方进行监督检查；</w:t>
      </w:r>
    </w:p>
    <w:p w14:paraId="4E56840F">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 乙方应保证履行合同的人员数量和素质、软件和硬件设备的配置、场地、环境和设施等满足全面履行合同的要求，并应接受甲方的监督检查。</w:t>
      </w:r>
    </w:p>
    <w:p w14:paraId="6A8F9534">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81" w:name="_Toc22267"/>
      <w:r>
        <w:rPr>
          <w:rFonts w:hint="eastAsia" w:ascii="宋体" w:hAnsi="宋体" w:eastAsia="宋体" w:cs="宋体"/>
          <w:b/>
          <w:color w:val="auto"/>
          <w:sz w:val="21"/>
          <w:szCs w:val="21"/>
          <w:highlight w:val="none"/>
        </w:rPr>
        <w:t>2.8 延迟履行</w:t>
      </w:r>
      <w:bookmarkEnd w:id="481"/>
    </w:p>
    <w:p w14:paraId="2AC3EE4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749B6F2">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82" w:name="_Toc10611"/>
      <w:r>
        <w:rPr>
          <w:rFonts w:hint="eastAsia" w:ascii="宋体" w:hAnsi="宋体" w:eastAsia="宋体" w:cs="宋体"/>
          <w:b/>
          <w:color w:val="auto"/>
          <w:sz w:val="21"/>
          <w:szCs w:val="21"/>
          <w:highlight w:val="none"/>
        </w:rPr>
        <w:t>2.9 合同变更</w:t>
      </w:r>
      <w:bookmarkEnd w:id="482"/>
    </w:p>
    <w:p w14:paraId="392797A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p>
    <w:p w14:paraId="6FC82C5A">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83" w:name="_Toc10663"/>
      <w:bookmarkStart w:id="484" w:name="_Toc23368"/>
      <w:bookmarkStart w:id="485" w:name="_Toc42"/>
      <w:bookmarkStart w:id="486" w:name="_Toc21830"/>
      <w:bookmarkStart w:id="487" w:name="_Toc26689"/>
      <w:r>
        <w:rPr>
          <w:rFonts w:hint="eastAsia" w:ascii="宋体" w:hAnsi="宋体" w:eastAsia="宋体" w:cs="宋体"/>
          <w:b/>
          <w:color w:val="auto"/>
          <w:sz w:val="21"/>
          <w:szCs w:val="21"/>
          <w:highlight w:val="none"/>
        </w:rPr>
        <w:t>2.10 合同转让和分包</w:t>
      </w:r>
      <w:bookmarkEnd w:id="483"/>
      <w:bookmarkEnd w:id="484"/>
      <w:bookmarkEnd w:id="485"/>
      <w:bookmarkEnd w:id="486"/>
      <w:bookmarkEnd w:id="487"/>
    </w:p>
    <w:p w14:paraId="6DEA4D3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FE7026A">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88" w:name="_Toc25571"/>
      <w:bookmarkStart w:id="489" w:name="_Toc4720"/>
      <w:bookmarkStart w:id="490" w:name="_Toc14371"/>
      <w:bookmarkStart w:id="491" w:name="_Toc32494"/>
      <w:bookmarkStart w:id="492" w:name="_Toc26633"/>
      <w:r>
        <w:rPr>
          <w:rFonts w:hint="eastAsia" w:ascii="宋体" w:hAnsi="宋体" w:eastAsia="宋体" w:cs="宋体"/>
          <w:b/>
          <w:color w:val="auto"/>
          <w:sz w:val="21"/>
          <w:szCs w:val="21"/>
          <w:highlight w:val="none"/>
        </w:rPr>
        <w:t>2.11 不可抗力</w:t>
      </w:r>
      <w:bookmarkEnd w:id="488"/>
      <w:bookmarkEnd w:id="489"/>
      <w:bookmarkEnd w:id="490"/>
      <w:bookmarkEnd w:id="491"/>
      <w:bookmarkEnd w:id="492"/>
    </w:p>
    <w:p w14:paraId="1F0E268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2.11.1如果任何一方遭遇法律规定的不可抗力，致使合同履行受阻时，履行合同的期限应予延长，延长的期限应相当于不可抗力所影响的时间；</w:t>
      </w:r>
    </w:p>
    <w:p w14:paraId="6DB1DDF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2.11.2 因不可抗力致使不能实现合同目的的，当事人可以解除合同；</w:t>
      </w:r>
    </w:p>
    <w:p w14:paraId="697464C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2.11.3 因不可抗力致使合同有变更必要的，双方当事人应在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约定时间内以书面形式变更合同；</w:t>
      </w:r>
    </w:p>
    <w:p w14:paraId="4C3D517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2.11.4受不可抗力影响的一方在不可抗力发生后，应在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约定时间内以书面形式通知对方当事人，并在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约定时间内，将有关部门出具的证明文件送达对方当事人。</w:t>
      </w:r>
    </w:p>
    <w:p w14:paraId="04DCEF69">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2.12 税费</w:t>
      </w:r>
    </w:p>
    <w:p w14:paraId="36D1748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与合同有关的一切税费，均按照中华人民共和国法律的相关规定缴纳。</w:t>
      </w:r>
    </w:p>
    <w:p w14:paraId="3D456B6E">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93" w:name="_Toc30105"/>
      <w:bookmarkStart w:id="494" w:name="_Toc25525"/>
      <w:bookmarkStart w:id="495" w:name="_Toc14814"/>
      <w:bookmarkStart w:id="496" w:name="_Toc7315"/>
      <w:bookmarkStart w:id="497" w:name="_Toc26883"/>
      <w:r>
        <w:rPr>
          <w:rFonts w:hint="eastAsia" w:ascii="宋体" w:hAnsi="宋体" w:eastAsia="宋体" w:cs="宋体"/>
          <w:b/>
          <w:color w:val="auto"/>
          <w:sz w:val="21"/>
          <w:szCs w:val="21"/>
          <w:highlight w:val="none"/>
        </w:rPr>
        <w:t>2.13 乙方破产</w:t>
      </w:r>
      <w:bookmarkEnd w:id="493"/>
      <w:bookmarkEnd w:id="494"/>
      <w:bookmarkEnd w:id="495"/>
      <w:bookmarkEnd w:id="496"/>
      <w:bookmarkEnd w:id="497"/>
    </w:p>
    <w:p w14:paraId="213B8435">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0D88B5E">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498" w:name="_Toc2016"/>
      <w:bookmarkStart w:id="499" w:name="_Toc23323"/>
      <w:bookmarkStart w:id="500" w:name="_Toc1123"/>
      <w:r>
        <w:rPr>
          <w:rFonts w:hint="eastAsia" w:ascii="宋体" w:hAnsi="宋体" w:eastAsia="宋体" w:cs="宋体"/>
          <w:b/>
          <w:color w:val="auto"/>
          <w:sz w:val="21"/>
          <w:szCs w:val="21"/>
          <w:highlight w:val="none"/>
        </w:rPr>
        <w:t>2.14 合同中止、终止</w:t>
      </w:r>
      <w:bookmarkEnd w:id="498"/>
      <w:bookmarkEnd w:id="499"/>
      <w:bookmarkEnd w:id="500"/>
    </w:p>
    <w:p w14:paraId="272F185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2.14.1 双方当事人不得擅自中止或者终止合同；</w:t>
      </w:r>
    </w:p>
    <w:p w14:paraId="24DAAAF5">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2.14.2合同继续履行将损害国家利益和社会公共利益的，双方当事人应当中止或者终止合同。有过错的一方应当承担赔偿责任，双方当事人都有过错的，各自承担相应的责任。</w:t>
      </w:r>
    </w:p>
    <w:p w14:paraId="31A6A20C">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501" w:name="_Toc1969"/>
      <w:bookmarkStart w:id="502" w:name="_Toc17363"/>
      <w:bookmarkStart w:id="503" w:name="_Toc14525"/>
      <w:r>
        <w:rPr>
          <w:rFonts w:hint="eastAsia" w:ascii="宋体" w:hAnsi="宋体" w:eastAsia="宋体" w:cs="宋体"/>
          <w:b/>
          <w:color w:val="auto"/>
          <w:sz w:val="21"/>
          <w:szCs w:val="21"/>
          <w:highlight w:val="none"/>
        </w:rPr>
        <w:t>2.15 检验和验收</w:t>
      </w:r>
      <w:bookmarkEnd w:id="501"/>
      <w:bookmarkEnd w:id="502"/>
      <w:bookmarkEnd w:id="503"/>
    </w:p>
    <w:p w14:paraId="7D67DD74">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2.15.1 乙方按照</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的约定，定期提交服务报告，甲方按照</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的约定进行定期验收；</w:t>
      </w:r>
    </w:p>
    <w:p w14:paraId="419E0350">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F0CFE4D">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2.15.3 检验和验收标准、程序等具体内容以及前述验收书的效力详见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i/>
          <w:color w:val="auto"/>
          <w:sz w:val="21"/>
          <w:szCs w:val="21"/>
          <w:highlight w:val="none"/>
        </w:rPr>
        <w:t>。</w:t>
      </w:r>
    </w:p>
    <w:p w14:paraId="287EC2BA">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504" w:name="_Toc25198"/>
      <w:bookmarkStart w:id="505" w:name="_Toc2308"/>
      <w:bookmarkStart w:id="506" w:name="_Toc12666"/>
      <w:bookmarkStart w:id="507" w:name="_Toc9808"/>
      <w:bookmarkStart w:id="508" w:name="_Toc31892"/>
      <w:r>
        <w:rPr>
          <w:rFonts w:hint="eastAsia" w:ascii="宋体" w:hAnsi="宋体" w:eastAsia="宋体" w:cs="宋体"/>
          <w:b/>
          <w:color w:val="auto"/>
          <w:sz w:val="21"/>
          <w:szCs w:val="21"/>
          <w:highlight w:val="none"/>
        </w:rPr>
        <w:t>2.16 通知和送达</w:t>
      </w:r>
      <w:bookmarkEnd w:id="504"/>
      <w:bookmarkEnd w:id="505"/>
      <w:bookmarkEnd w:id="506"/>
      <w:bookmarkEnd w:id="507"/>
      <w:bookmarkEnd w:id="508"/>
    </w:p>
    <w:p w14:paraId="70DD0DB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bookmarkStart w:id="509" w:name="_Toc18401"/>
      <w:bookmarkStart w:id="510" w:name="_Toc27674"/>
      <w:r>
        <w:rPr>
          <w:rFonts w:hint="eastAsia" w:ascii="宋体" w:hAnsi="宋体" w:eastAsia="宋体" w:cs="宋体"/>
          <w:color w:val="auto"/>
          <w:sz w:val="21"/>
          <w:szCs w:val="21"/>
          <w:highlight w:val="none"/>
        </w:rPr>
        <w:t xml:space="preserve">2.17.1任何一方因履行合同而以合同第一部分尾部所列明的传真或电子邮件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个工作日内书面通知对方当事人，在对方当事人收到有关变更通知之前，变更前的约定送达方式或者地址仍视为有效。</w:t>
      </w:r>
    </w:p>
    <w:p w14:paraId="5FD8216F">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9"/>
      <w:bookmarkEnd w:id="510"/>
    </w:p>
    <w:p w14:paraId="65474E5F">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511" w:name="_Toc5063"/>
      <w:bookmarkStart w:id="512" w:name="_Toc12254"/>
      <w:bookmarkStart w:id="513" w:name="_Toc27644"/>
      <w:bookmarkStart w:id="514" w:name="_Toc20808"/>
      <w:bookmarkStart w:id="515" w:name="_Toc28906"/>
      <w:r>
        <w:rPr>
          <w:rFonts w:hint="eastAsia" w:ascii="宋体" w:hAnsi="宋体" w:eastAsia="宋体" w:cs="宋体"/>
          <w:b/>
          <w:color w:val="auto"/>
          <w:sz w:val="21"/>
          <w:szCs w:val="21"/>
          <w:highlight w:val="none"/>
        </w:rPr>
        <w:t>2.17 合同使用的文字和适用的法律</w:t>
      </w:r>
      <w:bookmarkEnd w:id="511"/>
      <w:bookmarkEnd w:id="512"/>
      <w:bookmarkEnd w:id="513"/>
      <w:bookmarkEnd w:id="514"/>
      <w:bookmarkEnd w:id="515"/>
    </w:p>
    <w:p w14:paraId="06409A7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2.17.1 合同使用汉语书就、变更和解释；</w:t>
      </w:r>
    </w:p>
    <w:p w14:paraId="48E0393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2.17.2 </w:t>
      </w:r>
      <w:r>
        <w:rPr>
          <w:rFonts w:hint="eastAsia" w:ascii="宋体" w:hAnsi="宋体" w:eastAsia="宋体" w:cs="宋体"/>
          <w:b/>
          <w:color w:val="auto"/>
          <w:sz w:val="21"/>
          <w:szCs w:val="21"/>
          <w:highlight w:val="none"/>
        </w:rPr>
        <w:t>合同</w:t>
      </w:r>
      <w:r>
        <w:rPr>
          <w:rFonts w:hint="eastAsia" w:ascii="宋体" w:hAnsi="宋体" w:eastAsia="宋体" w:cs="宋体"/>
          <w:color w:val="auto"/>
          <w:sz w:val="21"/>
          <w:szCs w:val="21"/>
          <w:highlight w:val="none"/>
        </w:rPr>
        <w:t>适用中华人民共和国法律。</w:t>
      </w:r>
    </w:p>
    <w:p w14:paraId="45493EDD">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bookmarkStart w:id="516" w:name="_Toc18540"/>
      <w:bookmarkStart w:id="517" w:name="_Toc4355"/>
      <w:bookmarkStart w:id="518" w:name="_Toc30599"/>
      <w:r>
        <w:rPr>
          <w:rFonts w:hint="eastAsia" w:ascii="宋体" w:hAnsi="宋体" w:eastAsia="宋体" w:cs="宋体"/>
          <w:b/>
          <w:color w:val="auto"/>
          <w:sz w:val="21"/>
          <w:szCs w:val="21"/>
          <w:highlight w:val="none"/>
        </w:rPr>
        <w:t>2.18 计量单位</w:t>
      </w:r>
      <w:bookmarkEnd w:id="516"/>
      <w:bookmarkEnd w:id="517"/>
      <w:bookmarkEnd w:id="518"/>
    </w:p>
    <w:p w14:paraId="4BFE309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除技术规范中另有规定外,合同的计量单位均使用国家法定计量单位。</w:t>
      </w:r>
    </w:p>
    <w:p w14:paraId="7A433F54">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2.19合同份数</w:t>
      </w:r>
    </w:p>
    <w:p w14:paraId="24BFC3B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合同份数按</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规定，每份均具有同等法律效力。</w:t>
      </w:r>
    </w:p>
    <w:p w14:paraId="33CDA47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1"/>
        <w:rPr>
          <w:rFonts w:hint="eastAsia" w:ascii="宋体" w:hAnsi="宋体" w:cs="宋体"/>
          <w:b/>
          <w:color w:val="auto"/>
          <w:sz w:val="30"/>
          <w:szCs w:val="30"/>
          <w:highlight w:val="none"/>
        </w:rPr>
      </w:pPr>
      <w:r>
        <w:rPr>
          <w:rFonts w:hint="eastAsia" w:ascii="宋体" w:hAnsi="宋体" w:cs="宋体"/>
          <w:color w:val="auto"/>
          <w:kern w:val="0"/>
          <w:highlight w:val="none"/>
        </w:rPr>
        <w:br w:type="page"/>
      </w:r>
      <w:r>
        <w:rPr>
          <w:rFonts w:hint="eastAsia" w:ascii="宋体" w:hAnsi="宋体" w:cs="宋体"/>
          <w:b/>
          <w:color w:val="auto"/>
          <w:sz w:val="30"/>
          <w:szCs w:val="30"/>
          <w:highlight w:val="none"/>
        </w:rPr>
        <w:t>第三部分 合同专用条款</w:t>
      </w:r>
    </w:p>
    <w:p w14:paraId="304EF028">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50"/>
      </w:tblGrid>
      <w:tr w14:paraId="78C56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21ADF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条款号</w:t>
            </w:r>
          </w:p>
        </w:tc>
        <w:tc>
          <w:tcPr>
            <w:tcW w:w="4464" w:type="pct"/>
            <w:vAlign w:val="center"/>
          </w:tcPr>
          <w:p w14:paraId="09723D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约定内容</w:t>
            </w:r>
          </w:p>
        </w:tc>
      </w:tr>
      <w:tr w14:paraId="60579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535" w:type="pct"/>
            <w:tcBorders>
              <w:left w:val="single" w:color="auto" w:sz="4" w:space="0"/>
            </w:tcBorders>
            <w:vAlign w:val="center"/>
          </w:tcPr>
          <w:p w14:paraId="36AC97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1.4.2</w:t>
            </w:r>
          </w:p>
        </w:tc>
        <w:tc>
          <w:tcPr>
            <w:tcW w:w="4464" w:type="pct"/>
            <w:vAlign w:val="center"/>
          </w:tcPr>
          <w:p w14:paraId="04286BF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zh-TW" w:eastAsia="zh-TW"/>
              </w:rPr>
              <w:t>履约保证金支付方式</w:t>
            </w:r>
            <w:r>
              <w:rPr>
                <w:rFonts w:hint="eastAsia" w:ascii="宋体" w:hAnsi="宋体" w:cs="宋体"/>
                <w:color w:val="auto"/>
                <w:szCs w:val="21"/>
                <w:highlight w:val="none"/>
                <w:lang w:val="zh-TW"/>
              </w:rPr>
              <w:t>：</w:t>
            </w:r>
            <w:r>
              <w:rPr>
                <w:rFonts w:hint="eastAsia" w:ascii="宋体" w:hAnsi="宋体" w:cs="宋体"/>
                <w:b/>
                <w:bCs/>
                <w:color w:val="auto"/>
                <w:szCs w:val="21"/>
                <w:highlight w:val="none"/>
                <w:u w:val="single"/>
                <w:lang w:val="zh-TW" w:eastAsia="zh-TW"/>
              </w:rPr>
              <w:t>本项目无需缴纳</w:t>
            </w:r>
            <w:r>
              <w:rPr>
                <w:rFonts w:hint="eastAsia" w:ascii="宋体" w:hAnsi="宋体" w:cs="宋体"/>
                <w:b/>
                <w:bCs/>
                <w:color w:val="auto"/>
                <w:szCs w:val="21"/>
                <w:highlight w:val="none"/>
                <w:u w:val="single"/>
                <w:lang w:val="zh-TW"/>
              </w:rPr>
              <w:t>。</w:t>
            </w:r>
          </w:p>
        </w:tc>
      </w:tr>
      <w:tr w14:paraId="543B5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535" w:type="pct"/>
            <w:tcBorders>
              <w:left w:val="single" w:color="auto" w:sz="4" w:space="0"/>
            </w:tcBorders>
            <w:vAlign w:val="center"/>
          </w:tcPr>
          <w:p w14:paraId="0E2B5D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1.5.1</w:t>
            </w:r>
          </w:p>
        </w:tc>
        <w:tc>
          <w:tcPr>
            <w:tcW w:w="4464" w:type="pct"/>
            <w:vAlign w:val="center"/>
          </w:tcPr>
          <w:p w14:paraId="1F2049C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预付款比例、支付方式、时间</w:t>
            </w:r>
            <w:r>
              <w:rPr>
                <w:rFonts w:hint="eastAsia" w:ascii="宋体" w:hAnsi="宋体" w:cs="宋体"/>
                <w:color w:val="auto"/>
                <w:kern w:val="0"/>
                <w:sz w:val="21"/>
                <w:szCs w:val="21"/>
                <w:highlight w:val="none"/>
                <w:lang w:val="en-US" w:eastAsia="zh-CN"/>
              </w:rPr>
              <w:t>:</w:t>
            </w:r>
            <w:r>
              <w:rPr>
                <w:rFonts w:hint="eastAsia" w:ascii="宋体" w:hAnsi="宋体" w:cs="宋体"/>
                <w:b/>
                <w:bCs/>
                <w:color w:val="auto"/>
                <w:szCs w:val="21"/>
                <w:highlight w:val="none"/>
                <w:u w:val="single"/>
              </w:rPr>
              <w:t>见</w:t>
            </w:r>
            <w:r>
              <w:rPr>
                <w:rFonts w:hint="eastAsia" w:ascii="宋体" w:hAnsi="宋体" w:cs="宋体"/>
                <w:b/>
                <w:bCs/>
                <w:color w:val="auto"/>
                <w:szCs w:val="21"/>
                <w:highlight w:val="none"/>
                <w:u w:val="single"/>
                <w:lang w:val="zh-TW" w:eastAsia="zh-TW"/>
              </w:rPr>
              <w:t>1.6.2</w:t>
            </w:r>
            <w:r>
              <w:rPr>
                <w:rFonts w:hint="eastAsia" w:ascii="宋体" w:hAnsi="宋体" w:cs="宋体"/>
                <w:b/>
                <w:bCs/>
                <w:color w:val="auto"/>
                <w:szCs w:val="21"/>
                <w:highlight w:val="none"/>
                <w:u w:val="single"/>
              </w:rPr>
              <w:t>条</w:t>
            </w:r>
            <w:r>
              <w:rPr>
                <w:rFonts w:hint="eastAsia" w:ascii="宋体" w:hAnsi="宋体" w:cs="宋体"/>
                <w:b/>
                <w:bCs/>
                <w:color w:val="auto"/>
                <w:szCs w:val="21"/>
                <w:highlight w:val="none"/>
                <w:u w:val="single"/>
                <w:lang w:val="zh-TW"/>
              </w:rPr>
              <w:t>。</w:t>
            </w:r>
          </w:p>
        </w:tc>
      </w:tr>
      <w:tr w14:paraId="757D2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535" w:type="pct"/>
            <w:tcBorders>
              <w:left w:val="single" w:color="auto" w:sz="4" w:space="0"/>
            </w:tcBorders>
            <w:vAlign w:val="center"/>
          </w:tcPr>
          <w:p w14:paraId="149733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1.5.2</w:t>
            </w:r>
          </w:p>
        </w:tc>
        <w:tc>
          <w:tcPr>
            <w:tcW w:w="8150" w:type="dxa"/>
            <w:vAlign w:val="center"/>
          </w:tcPr>
          <w:p w14:paraId="4776173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zh-TW" w:eastAsia="zh-TW"/>
              </w:rPr>
              <w:t>预付款的扣回方式</w:t>
            </w:r>
            <w:r>
              <w:rPr>
                <w:rFonts w:hint="eastAsia" w:ascii="宋体" w:hAnsi="宋体" w:cs="宋体"/>
                <w:color w:val="auto"/>
                <w:szCs w:val="21"/>
                <w:highlight w:val="none"/>
                <w:lang w:val="zh-TW"/>
              </w:rPr>
              <w:t>：</w:t>
            </w:r>
            <w:r>
              <w:rPr>
                <w:rFonts w:hint="eastAsia" w:ascii="宋体" w:hAnsi="宋体" w:cs="宋体"/>
                <w:b/>
                <w:bCs/>
                <w:color w:val="auto"/>
                <w:szCs w:val="21"/>
                <w:highlight w:val="none"/>
                <w:u w:val="single"/>
                <w:lang w:val="zh-TW" w:eastAsia="zh-TW"/>
              </w:rPr>
              <w:t>无</w:t>
            </w:r>
            <w:r>
              <w:rPr>
                <w:rFonts w:hint="eastAsia" w:ascii="宋体" w:hAnsi="宋体" w:cs="宋体"/>
                <w:b/>
                <w:bCs/>
                <w:color w:val="auto"/>
                <w:szCs w:val="21"/>
                <w:highlight w:val="none"/>
                <w:u w:val="single"/>
                <w:lang w:val="zh-TW"/>
              </w:rPr>
              <w:t>。</w:t>
            </w:r>
          </w:p>
        </w:tc>
      </w:tr>
      <w:tr w14:paraId="30C2B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535" w:type="pct"/>
            <w:tcBorders>
              <w:left w:val="single" w:color="auto" w:sz="4" w:space="0"/>
            </w:tcBorders>
            <w:vAlign w:val="center"/>
          </w:tcPr>
          <w:p w14:paraId="57C8A5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1.5.3</w:t>
            </w:r>
          </w:p>
        </w:tc>
        <w:tc>
          <w:tcPr>
            <w:tcW w:w="8150" w:type="dxa"/>
            <w:vAlign w:val="center"/>
          </w:tcPr>
          <w:p w14:paraId="0C80BC8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val="zh-TW" w:eastAsia="zh-TW"/>
              </w:rPr>
              <w:t>预付款的担保措施：</w:t>
            </w:r>
            <w:r>
              <w:rPr>
                <w:rFonts w:hint="eastAsia" w:ascii="宋体" w:hAnsi="宋体" w:cs="宋体"/>
                <w:b/>
                <w:bCs/>
                <w:color w:val="auto"/>
                <w:szCs w:val="21"/>
                <w:highlight w:val="none"/>
                <w:u w:val="single"/>
                <w:lang w:val="zh-TW" w:eastAsia="zh-TW"/>
              </w:rPr>
              <w:t>无</w:t>
            </w:r>
            <w:r>
              <w:rPr>
                <w:rFonts w:hint="eastAsia" w:ascii="宋体" w:hAnsi="宋体" w:cs="宋体"/>
                <w:b/>
                <w:bCs/>
                <w:color w:val="auto"/>
                <w:szCs w:val="21"/>
                <w:highlight w:val="none"/>
                <w:u w:val="single"/>
                <w:lang w:val="zh-TW"/>
              </w:rPr>
              <w:t>。</w:t>
            </w:r>
          </w:p>
        </w:tc>
      </w:tr>
      <w:tr w14:paraId="6AA05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381C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1.6.2</w:t>
            </w:r>
          </w:p>
        </w:tc>
        <w:tc>
          <w:tcPr>
            <w:tcW w:w="4464" w:type="pct"/>
            <w:vAlign w:val="center"/>
          </w:tcPr>
          <w:p w14:paraId="276110A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Cs w:val="21"/>
                <w:highlight w:val="none"/>
                <w:lang w:val="zh-TW"/>
              </w:rPr>
            </w:pPr>
            <w:r>
              <w:rPr>
                <w:rFonts w:hint="eastAsia" w:ascii="宋体" w:hAnsi="宋体" w:cs="宋体"/>
                <w:color w:val="auto"/>
                <w:szCs w:val="21"/>
                <w:highlight w:val="none"/>
                <w:lang w:val="zh-TW" w:eastAsia="zh-TW"/>
              </w:rPr>
              <w:t>资金支付的方式、时间和条件</w:t>
            </w:r>
            <w:r>
              <w:rPr>
                <w:rFonts w:hint="eastAsia" w:ascii="宋体" w:hAnsi="宋体" w:cs="宋体"/>
                <w:color w:val="auto"/>
                <w:szCs w:val="21"/>
                <w:highlight w:val="none"/>
                <w:lang w:val="zh-TW"/>
              </w:rPr>
              <w:t>：</w:t>
            </w:r>
          </w:p>
          <w:p w14:paraId="7F76F1D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bCs/>
                <w:color w:val="auto"/>
                <w:szCs w:val="21"/>
                <w:highlight w:val="none"/>
                <w:lang w:eastAsia="zh-Hans"/>
              </w:rPr>
            </w:pPr>
            <w:r>
              <w:rPr>
                <w:rFonts w:hint="eastAsia" w:ascii="宋体" w:hAnsi="宋体" w:cs="宋体"/>
                <w:b/>
                <w:bCs/>
                <w:color w:val="auto"/>
                <w:szCs w:val="21"/>
                <w:highlight w:val="none"/>
                <w:lang w:eastAsia="zh-Hans"/>
              </w:rPr>
              <w:t>本次项目合同总价（</w:t>
            </w:r>
            <w:r>
              <w:rPr>
                <w:rFonts w:hint="eastAsia" w:ascii="宋体" w:hAnsi="宋体" w:cs="宋体"/>
                <w:b/>
                <w:bCs/>
                <w:color w:val="auto"/>
                <w:szCs w:val="21"/>
                <w:highlight w:val="none"/>
              </w:rPr>
              <w:t>含税</w:t>
            </w:r>
            <w:r>
              <w:rPr>
                <w:rFonts w:hint="eastAsia" w:ascii="宋体" w:hAnsi="宋体" w:cs="宋体"/>
                <w:b/>
                <w:bCs/>
                <w:color w:val="auto"/>
                <w:szCs w:val="21"/>
                <w:highlight w:val="none"/>
                <w:lang w:eastAsia="zh-Hans"/>
              </w:rPr>
              <w:t>）为大写人民币</w:t>
            </w:r>
            <w:r>
              <w:rPr>
                <w:rFonts w:hint="eastAsia" w:ascii="宋体" w:hAnsi="宋体" w:cs="宋体"/>
                <w:b/>
                <w:bCs/>
                <w:color w:val="auto"/>
                <w:szCs w:val="21"/>
                <w:highlight w:val="none"/>
                <w:u w:val="single"/>
                <w:lang w:eastAsia="zh-Hans"/>
              </w:rPr>
              <w:t xml:space="preserve">           </w:t>
            </w:r>
            <w:r>
              <w:rPr>
                <w:rFonts w:hint="eastAsia" w:ascii="宋体" w:hAnsi="宋体" w:cs="宋体"/>
                <w:b/>
                <w:bCs/>
                <w:color w:val="auto"/>
                <w:szCs w:val="21"/>
                <w:highlight w:val="none"/>
                <w:lang w:eastAsia="zh-Hans"/>
              </w:rPr>
              <w:t>元整（￥</w:t>
            </w:r>
            <w:r>
              <w:rPr>
                <w:rFonts w:hint="eastAsia" w:ascii="宋体" w:hAnsi="宋体" w:cs="宋体"/>
                <w:b/>
                <w:bCs/>
                <w:color w:val="auto"/>
                <w:szCs w:val="21"/>
                <w:highlight w:val="none"/>
                <w:u w:val="single"/>
                <w:lang w:eastAsia="zh-Hans"/>
              </w:rPr>
              <w:t xml:space="preserve">           </w:t>
            </w:r>
            <w:r>
              <w:rPr>
                <w:rFonts w:hint="eastAsia" w:ascii="宋体" w:hAnsi="宋体" w:cs="宋体"/>
                <w:b/>
                <w:bCs/>
                <w:color w:val="auto"/>
                <w:szCs w:val="21"/>
                <w:highlight w:val="none"/>
                <w:lang w:eastAsia="zh-Hans"/>
              </w:rPr>
              <w:t>元），采用分期付款方式，具体如下：</w:t>
            </w:r>
          </w:p>
          <w:p w14:paraId="45C7EF5C">
            <w:pPr>
              <w:pStyle w:val="62"/>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auto"/>
              <w:ind w:left="0" w:leftChars="0" w:firstLine="0" w:firstLineChars="0"/>
              <w:textAlignment w:val="auto"/>
              <w:rPr>
                <w:rFonts w:cs="宋体"/>
                <w:b/>
                <w:bCs/>
                <w:color w:val="auto"/>
                <w:szCs w:val="21"/>
                <w:highlight w:val="none"/>
                <w:lang w:eastAsia="zh-Hans"/>
              </w:rPr>
            </w:pPr>
            <w:r>
              <w:rPr>
                <w:rFonts w:hint="eastAsia" w:cs="宋体"/>
                <w:b/>
                <w:bCs/>
                <w:color w:val="auto"/>
                <w:szCs w:val="21"/>
                <w:highlight w:val="none"/>
                <w:lang w:eastAsia="zh-Hans"/>
              </w:rPr>
              <w:t>第一期付款：采购合同签订生效后</w:t>
            </w:r>
            <w:r>
              <w:rPr>
                <w:rFonts w:hint="eastAsia" w:cs="宋体"/>
                <w:b/>
                <w:bCs/>
                <w:color w:val="auto"/>
                <w:szCs w:val="21"/>
                <w:highlight w:val="none"/>
              </w:rPr>
              <w:t>，</w:t>
            </w:r>
            <w:r>
              <w:rPr>
                <w:rFonts w:hint="eastAsia" w:cs="宋体"/>
                <w:b/>
                <w:bCs/>
                <w:color w:val="auto"/>
                <w:szCs w:val="21"/>
                <w:highlight w:val="none"/>
                <w:lang w:val="en-US" w:eastAsia="zh-CN"/>
              </w:rPr>
              <w:t>在</w:t>
            </w:r>
            <w:r>
              <w:rPr>
                <w:rFonts w:hint="eastAsia" w:cs="宋体"/>
                <w:b/>
                <w:bCs/>
                <w:color w:val="auto"/>
                <w:szCs w:val="21"/>
                <w:highlight w:val="none"/>
                <w:lang w:eastAsia="zh-Hans"/>
              </w:rPr>
              <w:t>甲方于收到乙方开具的等额发票</w:t>
            </w:r>
            <w:r>
              <w:rPr>
                <w:rFonts w:hint="eastAsia" w:cs="宋体"/>
                <w:b/>
                <w:bCs/>
                <w:color w:val="auto"/>
                <w:szCs w:val="21"/>
                <w:highlight w:val="none"/>
                <w:lang w:val="en-US" w:eastAsia="zh-CN"/>
              </w:rPr>
              <w:t>15</w:t>
            </w:r>
            <w:r>
              <w:rPr>
                <w:rFonts w:hint="eastAsia" w:cs="宋体"/>
                <w:b/>
                <w:bCs/>
                <w:color w:val="auto"/>
                <w:szCs w:val="21"/>
                <w:highlight w:val="none"/>
                <w:lang w:eastAsia="zh-Hans"/>
              </w:rPr>
              <w:t>个工作日内支付合同总价</w:t>
            </w:r>
            <w:r>
              <w:rPr>
                <w:rFonts w:hint="eastAsia" w:cs="宋体"/>
                <w:b/>
                <w:bCs/>
                <w:color w:val="auto"/>
                <w:szCs w:val="21"/>
                <w:highlight w:val="none"/>
              </w:rPr>
              <w:t>的</w:t>
            </w:r>
            <w:r>
              <w:rPr>
                <w:rFonts w:hint="eastAsia" w:cs="宋体"/>
                <w:b/>
                <w:bCs/>
                <w:color w:val="auto"/>
                <w:szCs w:val="21"/>
                <w:highlight w:val="none"/>
                <w:lang w:val="en-US" w:eastAsia="zh-CN"/>
              </w:rPr>
              <w:t>4</w:t>
            </w:r>
            <w:r>
              <w:rPr>
                <w:rFonts w:hint="eastAsia" w:cs="宋体"/>
                <w:b/>
                <w:bCs/>
                <w:color w:val="auto"/>
                <w:szCs w:val="21"/>
                <w:highlight w:val="none"/>
                <w:lang w:eastAsia="zh-Hans"/>
              </w:rPr>
              <w:t>0%</w:t>
            </w:r>
            <w:r>
              <w:rPr>
                <w:rFonts w:hint="eastAsia" w:cs="宋体"/>
                <w:b/>
                <w:bCs/>
                <w:color w:val="auto"/>
                <w:szCs w:val="21"/>
                <w:highlight w:val="none"/>
              </w:rPr>
              <w:t>作为</w:t>
            </w:r>
            <w:r>
              <w:rPr>
                <w:rFonts w:hint="eastAsia" w:cs="宋体"/>
                <w:b/>
                <w:bCs/>
                <w:color w:val="auto"/>
                <w:szCs w:val="21"/>
                <w:highlight w:val="none"/>
                <w:lang w:eastAsia="zh-Hans"/>
              </w:rPr>
              <w:t>预付款项</w:t>
            </w:r>
            <w:r>
              <w:rPr>
                <w:rFonts w:hint="eastAsia" w:cs="宋体"/>
                <w:b/>
                <w:bCs/>
                <w:color w:val="auto"/>
                <w:szCs w:val="21"/>
                <w:highlight w:val="none"/>
                <w:lang w:eastAsia="zh-CN"/>
              </w:rPr>
              <w:t>。</w:t>
            </w:r>
            <w:r>
              <w:rPr>
                <w:rFonts w:hint="eastAsia" w:cs="宋体"/>
                <w:b/>
                <w:bCs/>
                <w:color w:val="auto"/>
                <w:szCs w:val="21"/>
                <w:highlight w:val="none"/>
                <w:lang w:eastAsia="zh-Hans"/>
              </w:rPr>
              <w:t xml:space="preserve"> </w:t>
            </w:r>
          </w:p>
          <w:p w14:paraId="040C3045">
            <w:pPr>
              <w:pStyle w:val="62"/>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auto"/>
              <w:ind w:left="0" w:leftChars="0" w:firstLine="0" w:firstLineChars="0"/>
              <w:textAlignment w:val="auto"/>
              <w:rPr>
                <w:rFonts w:hint="eastAsia" w:cs="宋体"/>
                <w:b/>
                <w:bCs/>
                <w:color w:val="auto"/>
                <w:szCs w:val="21"/>
                <w:highlight w:val="none"/>
                <w:lang w:eastAsia="zh-Hans"/>
              </w:rPr>
            </w:pPr>
            <w:r>
              <w:rPr>
                <w:rFonts w:hint="eastAsia" w:cs="宋体"/>
                <w:b/>
                <w:bCs/>
                <w:color w:val="auto"/>
                <w:szCs w:val="21"/>
                <w:highlight w:val="none"/>
                <w:lang w:eastAsia="zh-Hans"/>
              </w:rPr>
              <w:t>第二期付款：乙方在服务满9个月后</w:t>
            </w:r>
            <w:r>
              <w:rPr>
                <w:rFonts w:hint="eastAsia" w:cs="宋体"/>
                <w:b/>
                <w:bCs/>
                <w:color w:val="auto"/>
                <w:szCs w:val="21"/>
                <w:highlight w:val="none"/>
                <w:lang w:eastAsia="zh-CN"/>
              </w:rPr>
              <w:t>，</w:t>
            </w:r>
            <w:r>
              <w:rPr>
                <w:rFonts w:hint="eastAsia" w:cs="宋体"/>
                <w:b/>
                <w:bCs/>
                <w:color w:val="auto"/>
                <w:szCs w:val="21"/>
                <w:highlight w:val="none"/>
                <w:lang w:val="en-US" w:eastAsia="zh-CN"/>
              </w:rPr>
              <w:t>在</w:t>
            </w:r>
            <w:r>
              <w:rPr>
                <w:rFonts w:hint="eastAsia" w:cs="宋体"/>
                <w:b/>
                <w:bCs/>
                <w:color w:val="auto"/>
                <w:szCs w:val="21"/>
                <w:highlight w:val="none"/>
                <w:lang w:eastAsia="zh-Hans"/>
              </w:rPr>
              <w:t>甲方于收到乙方开具的等额发票10个工作日内支付合同总价的</w:t>
            </w:r>
            <w:r>
              <w:rPr>
                <w:rFonts w:hint="eastAsia" w:cs="宋体"/>
                <w:b/>
                <w:bCs/>
                <w:color w:val="auto"/>
                <w:szCs w:val="21"/>
                <w:highlight w:val="none"/>
                <w:lang w:val="en-US" w:eastAsia="zh-CN"/>
              </w:rPr>
              <w:t>4</w:t>
            </w:r>
            <w:r>
              <w:rPr>
                <w:rFonts w:hint="eastAsia" w:cs="宋体"/>
                <w:b/>
                <w:bCs/>
                <w:color w:val="auto"/>
                <w:szCs w:val="21"/>
                <w:highlight w:val="none"/>
                <w:lang w:eastAsia="zh-Hans"/>
              </w:rPr>
              <w:t>0%。</w:t>
            </w:r>
          </w:p>
          <w:p w14:paraId="41AE6B38">
            <w:pPr>
              <w:pStyle w:val="62"/>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auto"/>
              <w:ind w:left="0" w:leftChars="0" w:firstLine="0" w:firstLineChars="0"/>
              <w:textAlignment w:val="auto"/>
              <w:rPr>
                <w:rFonts w:hint="eastAsia" w:cs="宋体"/>
                <w:b/>
                <w:bCs/>
                <w:color w:val="auto"/>
                <w:szCs w:val="21"/>
                <w:highlight w:val="none"/>
                <w:lang w:eastAsia="zh-Hans"/>
              </w:rPr>
            </w:pPr>
            <w:r>
              <w:rPr>
                <w:rFonts w:hint="eastAsia" w:cs="宋体"/>
                <w:b/>
                <w:bCs/>
                <w:color w:val="auto"/>
                <w:szCs w:val="21"/>
                <w:highlight w:val="none"/>
                <w:lang w:val="en-US" w:eastAsia="zh-CN"/>
              </w:rPr>
              <w:t>第三期付款：</w:t>
            </w:r>
            <w:r>
              <w:rPr>
                <w:rFonts w:hint="eastAsia" w:cs="宋体"/>
                <w:b/>
                <w:bCs/>
                <w:color w:val="auto"/>
                <w:szCs w:val="21"/>
                <w:highlight w:val="none"/>
                <w:lang w:eastAsia="zh-Hans"/>
              </w:rPr>
              <w:t>服务结束后，待</w:t>
            </w:r>
            <w:r>
              <w:rPr>
                <w:rFonts w:hint="eastAsia" w:cs="宋体"/>
                <w:b/>
                <w:bCs/>
                <w:color w:val="auto"/>
                <w:szCs w:val="21"/>
                <w:highlight w:val="none"/>
                <w:lang w:val="en-US" w:eastAsia="zh-CN"/>
              </w:rPr>
              <w:t>乙方</w:t>
            </w:r>
            <w:r>
              <w:rPr>
                <w:rFonts w:hint="eastAsia" w:cs="宋体"/>
                <w:b/>
                <w:bCs/>
                <w:color w:val="auto"/>
                <w:szCs w:val="21"/>
                <w:highlight w:val="none"/>
                <w:lang w:eastAsia="zh-Hans"/>
              </w:rPr>
              <w:t>终期相关成果提交认可以后</w:t>
            </w:r>
            <w:r>
              <w:rPr>
                <w:rFonts w:hint="eastAsia" w:cs="宋体"/>
                <w:b/>
                <w:bCs/>
                <w:color w:val="auto"/>
                <w:szCs w:val="21"/>
                <w:highlight w:val="none"/>
                <w:lang w:eastAsia="zh-CN"/>
              </w:rPr>
              <w:t>，</w:t>
            </w:r>
            <w:r>
              <w:rPr>
                <w:rFonts w:hint="eastAsia" w:cs="宋体"/>
                <w:b/>
                <w:bCs/>
                <w:color w:val="auto"/>
                <w:szCs w:val="21"/>
                <w:highlight w:val="none"/>
                <w:lang w:eastAsia="zh-Hans"/>
              </w:rPr>
              <w:t>在甲方于收到乙方开具的等额发票10个工作日内支付合同总价的</w:t>
            </w:r>
            <w:r>
              <w:rPr>
                <w:rFonts w:hint="eastAsia" w:cs="宋体"/>
                <w:b/>
                <w:bCs/>
                <w:color w:val="auto"/>
                <w:szCs w:val="21"/>
                <w:highlight w:val="none"/>
                <w:lang w:val="en-US" w:eastAsia="zh-CN"/>
              </w:rPr>
              <w:t>2</w:t>
            </w:r>
            <w:r>
              <w:rPr>
                <w:rFonts w:hint="eastAsia" w:cs="宋体"/>
                <w:b/>
                <w:bCs/>
                <w:color w:val="auto"/>
                <w:szCs w:val="21"/>
                <w:highlight w:val="none"/>
                <w:lang w:eastAsia="zh-Hans"/>
              </w:rPr>
              <w:t>0%。</w:t>
            </w:r>
          </w:p>
          <w:p w14:paraId="5E3FC4E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1"/>
                <w:szCs w:val="21"/>
                <w:highlight w:val="none"/>
              </w:rPr>
            </w:pPr>
            <w:r>
              <w:rPr>
                <w:rFonts w:hint="eastAsia" w:ascii="宋体" w:hAnsi="宋体" w:cs="宋体"/>
                <w:b/>
                <w:bCs/>
                <w:color w:val="auto"/>
                <w:szCs w:val="21"/>
                <w:highlight w:val="none"/>
                <w:lang w:eastAsia="zh-Hans"/>
              </w:rPr>
              <w:t>注：每次付款前，乙方提供</w:t>
            </w:r>
            <w:r>
              <w:rPr>
                <w:rFonts w:hint="eastAsia" w:ascii="宋体" w:hAnsi="宋体" w:cs="宋体"/>
                <w:b/>
                <w:bCs/>
                <w:color w:val="auto"/>
                <w:szCs w:val="21"/>
                <w:highlight w:val="none"/>
              </w:rPr>
              <w:t>符合</w:t>
            </w:r>
            <w:r>
              <w:rPr>
                <w:rFonts w:hint="eastAsia" w:ascii="宋体" w:hAnsi="宋体" w:cs="宋体"/>
                <w:b/>
                <w:bCs/>
                <w:color w:val="auto"/>
                <w:szCs w:val="21"/>
                <w:highlight w:val="none"/>
                <w:lang w:eastAsia="zh-Hans"/>
              </w:rPr>
              <w:t>甲方要求的</w:t>
            </w:r>
            <w:r>
              <w:rPr>
                <w:rFonts w:hint="eastAsia" w:ascii="宋体" w:hAnsi="宋体" w:cs="宋体"/>
                <w:b/>
                <w:bCs/>
                <w:color w:val="auto"/>
                <w:szCs w:val="21"/>
                <w:highlight w:val="none"/>
              </w:rPr>
              <w:t>增值税</w:t>
            </w:r>
            <w:r>
              <w:rPr>
                <w:rFonts w:hint="eastAsia" w:ascii="宋体" w:hAnsi="宋体" w:cs="宋体"/>
                <w:b/>
                <w:bCs/>
                <w:color w:val="auto"/>
                <w:szCs w:val="21"/>
                <w:highlight w:val="none"/>
                <w:lang w:eastAsia="zh-Hans"/>
              </w:rPr>
              <w:t>发票</w:t>
            </w:r>
            <w:r>
              <w:rPr>
                <w:rFonts w:hint="eastAsia" w:ascii="宋体" w:hAnsi="宋体" w:cs="宋体"/>
                <w:b/>
                <w:bCs/>
                <w:color w:val="auto"/>
                <w:szCs w:val="21"/>
                <w:highlight w:val="none"/>
              </w:rPr>
              <w:t>；否则，甲方无需向乙方支付任何款项，且不属于甲方逾期付款</w:t>
            </w:r>
            <w:r>
              <w:rPr>
                <w:rFonts w:hint="eastAsia" w:ascii="宋体" w:hAnsi="宋体" w:cs="宋体"/>
                <w:b/>
                <w:bCs/>
                <w:color w:val="auto"/>
                <w:szCs w:val="21"/>
                <w:highlight w:val="none"/>
                <w:lang w:eastAsia="zh-Hans"/>
              </w:rPr>
              <w:t>。</w:t>
            </w:r>
          </w:p>
        </w:tc>
      </w:tr>
      <w:tr w14:paraId="7DFF9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CDD9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1.7.1</w:t>
            </w:r>
          </w:p>
        </w:tc>
        <w:tc>
          <w:tcPr>
            <w:tcW w:w="4464" w:type="pct"/>
            <w:vAlign w:val="center"/>
          </w:tcPr>
          <w:p w14:paraId="6746504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1"/>
                <w:szCs w:val="21"/>
                <w:highlight w:val="none"/>
              </w:rPr>
            </w:pPr>
            <w:r>
              <w:rPr>
                <w:rFonts w:hint="eastAsia" w:ascii="宋体" w:hAnsi="宋体" w:cs="宋体"/>
                <w:color w:val="auto"/>
                <w:szCs w:val="21"/>
                <w:highlight w:val="none"/>
                <w:lang w:val="zh-TW" w:eastAsia="zh-TW"/>
              </w:rPr>
              <w:t>服务交付（实施）的时间（期限）：</w:t>
            </w:r>
            <w:r>
              <w:rPr>
                <w:rFonts w:hint="eastAsia" w:ascii="宋体" w:hAnsi="宋体" w:cs="宋体"/>
                <w:b/>
                <w:bCs/>
                <w:color w:val="auto"/>
                <w:szCs w:val="21"/>
                <w:highlight w:val="none"/>
                <w:u w:val="single"/>
                <w:lang w:val="zh-TW" w:eastAsia="zh-TW"/>
              </w:rPr>
              <w:t>1年</w:t>
            </w:r>
            <w:r>
              <w:rPr>
                <w:rFonts w:hint="eastAsia" w:ascii="宋体" w:hAnsi="宋体" w:cs="宋体"/>
                <w:b/>
                <w:bCs/>
                <w:color w:val="auto"/>
                <w:szCs w:val="21"/>
                <w:highlight w:val="none"/>
                <w:u w:val="single"/>
                <w:lang w:val="zh-TW"/>
              </w:rPr>
              <w:t>，</w:t>
            </w:r>
            <w:r>
              <w:rPr>
                <w:rFonts w:hint="eastAsia" w:ascii="宋体" w:hAnsi="宋体" w:cs="宋体"/>
                <w:b/>
                <w:bCs/>
                <w:color w:val="auto"/>
                <w:szCs w:val="21"/>
                <w:highlight w:val="none"/>
                <w:u w:val="single"/>
              </w:rPr>
              <w:t>自甲方确认之日起</w:t>
            </w:r>
            <w:r>
              <w:rPr>
                <w:rFonts w:hint="eastAsia" w:ascii="宋体" w:hAnsi="宋体" w:cs="宋体"/>
                <w:b/>
                <w:bCs/>
                <w:color w:val="auto"/>
                <w:szCs w:val="21"/>
                <w:highlight w:val="none"/>
                <w:u w:val="single"/>
                <w:lang w:val="zh-TW"/>
              </w:rPr>
              <w:t>。</w:t>
            </w:r>
          </w:p>
        </w:tc>
      </w:tr>
      <w:tr w14:paraId="11318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66A6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1.7.2</w:t>
            </w:r>
          </w:p>
        </w:tc>
        <w:tc>
          <w:tcPr>
            <w:tcW w:w="4464" w:type="pct"/>
            <w:vAlign w:val="center"/>
          </w:tcPr>
          <w:p w14:paraId="7225A65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1"/>
                <w:szCs w:val="21"/>
                <w:highlight w:val="none"/>
              </w:rPr>
            </w:pPr>
            <w:r>
              <w:rPr>
                <w:rFonts w:hint="eastAsia" w:ascii="宋体" w:hAnsi="宋体" w:cs="宋体"/>
                <w:color w:val="auto"/>
                <w:szCs w:val="21"/>
                <w:highlight w:val="none"/>
                <w:lang w:val="zh-TW" w:eastAsia="zh-TW"/>
              </w:rPr>
              <w:t>服务交付（实施）的地点（地域范围）：</w:t>
            </w:r>
            <w:r>
              <w:rPr>
                <w:rFonts w:hint="eastAsia" w:ascii="宋体" w:hAnsi="宋体" w:cs="宋体"/>
                <w:b/>
                <w:bCs/>
                <w:color w:val="auto"/>
                <w:szCs w:val="21"/>
                <w:highlight w:val="none"/>
                <w:u w:val="single"/>
                <w:lang w:val="zh-TW" w:eastAsia="zh-TW"/>
              </w:rPr>
              <w:t>杭州市</w:t>
            </w:r>
            <w:r>
              <w:rPr>
                <w:rFonts w:hint="eastAsia" w:ascii="宋体" w:hAnsi="宋体" w:cs="宋体"/>
                <w:b/>
                <w:bCs/>
                <w:color w:val="auto"/>
                <w:szCs w:val="21"/>
                <w:highlight w:val="none"/>
                <w:u w:val="single"/>
                <w:lang w:val="en-US" w:eastAsia="zh-CN"/>
              </w:rPr>
              <w:t>拱墅</w:t>
            </w:r>
            <w:r>
              <w:rPr>
                <w:rFonts w:hint="eastAsia" w:ascii="宋体" w:hAnsi="宋体" w:cs="宋体"/>
                <w:b/>
                <w:bCs/>
                <w:color w:val="auto"/>
                <w:szCs w:val="21"/>
                <w:highlight w:val="none"/>
                <w:u w:val="single"/>
                <w:lang w:val="zh-TW" w:eastAsia="zh-TW"/>
              </w:rPr>
              <w:t>区</w:t>
            </w:r>
            <w:r>
              <w:rPr>
                <w:rFonts w:hint="eastAsia" w:ascii="宋体" w:hAnsi="宋体" w:cs="宋体"/>
                <w:b/>
                <w:bCs/>
                <w:color w:val="auto"/>
                <w:szCs w:val="21"/>
                <w:highlight w:val="none"/>
                <w:u w:val="single"/>
                <w:lang w:val="zh-TW"/>
              </w:rPr>
              <w:t>。</w:t>
            </w:r>
          </w:p>
        </w:tc>
      </w:tr>
      <w:tr w14:paraId="5D1FE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276E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1.7.3</w:t>
            </w:r>
          </w:p>
        </w:tc>
        <w:tc>
          <w:tcPr>
            <w:tcW w:w="4464" w:type="pct"/>
            <w:vAlign w:val="center"/>
          </w:tcPr>
          <w:p w14:paraId="4BD9999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1"/>
                <w:szCs w:val="21"/>
                <w:highlight w:val="none"/>
              </w:rPr>
            </w:pPr>
            <w:r>
              <w:rPr>
                <w:rFonts w:hint="eastAsia" w:ascii="宋体" w:hAnsi="宋体" w:cs="宋体"/>
                <w:color w:val="auto"/>
                <w:szCs w:val="21"/>
                <w:highlight w:val="none"/>
                <w:lang w:val="zh-TW" w:eastAsia="zh-TW"/>
              </w:rPr>
              <w:t>服务交付（实施）的方式：</w:t>
            </w:r>
            <w:r>
              <w:rPr>
                <w:rFonts w:hint="eastAsia" w:ascii="宋体" w:hAnsi="宋体" w:cs="宋体"/>
                <w:b/>
                <w:bCs/>
                <w:color w:val="auto"/>
                <w:szCs w:val="21"/>
                <w:highlight w:val="none"/>
                <w:u w:val="single"/>
                <w:lang w:val="zh-TW" w:eastAsia="zh-TW"/>
              </w:rPr>
              <w:t>乙方应严格按照合同的有关约定和规定，提供符合合同要求的技术服务并通过甲方组织的验收。</w:t>
            </w:r>
          </w:p>
        </w:tc>
      </w:tr>
      <w:tr w14:paraId="3AFDE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535" w:type="pct"/>
            <w:tcBorders>
              <w:left w:val="single" w:color="auto" w:sz="4" w:space="0"/>
            </w:tcBorders>
            <w:vAlign w:val="center"/>
          </w:tcPr>
          <w:p w14:paraId="0D6ED2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1.7.4.1</w:t>
            </w:r>
          </w:p>
        </w:tc>
        <w:tc>
          <w:tcPr>
            <w:tcW w:w="8150" w:type="dxa"/>
            <w:vAlign w:val="center"/>
          </w:tcPr>
          <w:p w14:paraId="6E4192D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1"/>
                <w:szCs w:val="21"/>
                <w:highlight w:val="none"/>
              </w:rPr>
            </w:pPr>
            <w:r>
              <w:rPr>
                <w:rFonts w:hint="eastAsia" w:ascii="宋体" w:hAnsi="宋体" w:cs="宋体"/>
                <w:color w:val="auto"/>
                <w:szCs w:val="21"/>
                <w:highlight w:val="none"/>
                <w:lang w:val="zh-TW" w:eastAsia="zh-TW"/>
              </w:rPr>
              <w:t>项目涉及货物的交付期限：</w:t>
            </w:r>
            <w:r>
              <w:rPr>
                <w:rFonts w:hint="eastAsia" w:ascii="宋体" w:hAnsi="宋体" w:cs="宋体"/>
                <w:b/>
                <w:bCs/>
                <w:color w:val="auto"/>
                <w:szCs w:val="21"/>
                <w:highlight w:val="none"/>
                <w:u w:val="single"/>
                <w:lang w:val="zh-TW" w:eastAsia="zh-TW"/>
              </w:rPr>
              <w:t>无</w:t>
            </w:r>
            <w:r>
              <w:rPr>
                <w:rFonts w:hint="eastAsia" w:ascii="宋体" w:hAnsi="宋体" w:cs="宋体"/>
                <w:b/>
                <w:bCs/>
                <w:color w:val="auto"/>
                <w:szCs w:val="21"/>
                <w:highlight w:val="none"/>
                <w:u w:val="single"/>
                <w:lang w:val="zh-TW"/>
              </w:rPr>
              <w:t>。</w:t>
            </w:r>
          </w:p>
        </w:tc>
      </w:tr>
      <w:tr w14:paraId="56763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535" w:type="pct"/>
            <w:tcBorders>
              <w:left w:val="single" w:color="auto" w:sz="4" w:space="0"/>
            </w:tcBorders>
            <w:vAlign w:val="center"/>
          </w:tcPr>
          <w:p w14:paraId="101785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1.7.4.2</w:t>
            </w:r>
          </w:p>
        </w:tc>
        <w:tc>
          <w:tcPr>
            <w:tcW w:w="8150" w:type="dxa"/>
            <w:vAlign w:val="center"/>
          </w:tcPr>
          <w:p w14:paraId="7F20E4D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1"/>
                <w:szCs w:val="21"/>
                <w:highlight w:val="none"/>
              </w:rPr>
            </w:pPr>
            <w:r>
              <w:rPr>
                <w:rFonts w:hint="eastAsia" w:ascii="宋体" w:hAnsi="宋体" w:cs="宋体"/>
                <w:color w:val="auto"/>
                <w:szCs w:val="21"/>
                <w:highlight w:val="none"/>
                <w:lang w:val="zh-TW" w:eastAsia="zh-TW"/>
              </w:rPr>
              <w:t>项目涉及货物的交付地点：</w:t>
            </w:r>
            <w:r>
              <w:rPr>
                <w:rFonts w:hint="eastAsia" w:ascii="宋体" w:hAnsi="宋体" w:cs="宋体"/>
                <w:b/>
                <w:bCs/>
                <w:color w:val="auto"/>
                <w:szCs w:val="21"/>
                <w:highlight w:val="none"/>
                <w:u w:val="single"/>
                <w:lang w:val="zh-TW" w:eastAsia="zh-TW"/>
              </w:rPr>
              <w:t>无</w:t>
            </w:r>
            <w:r>
              <w:rPr>
                <w:rFonts w:hint="eastAsia" w:ascii="宋体" w:hAnsi="宋体" w:cs="宋体"/>
                <w:b/>
                <w:bCs/>
                <w:color w:val="auto"/>
                <w:szCs w:val="21"/>
                <w:highlight w:val="none"/>
                <w:u w:val="single"/>
                <w:lang w:val="zh-TW"/>
              </w:rPr>
              <w:t>。</w:t>
            </w:r>
          </w:p>
        </w:tc>
      </w:tr>
      <w:tr w14:paraId="1A9CC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535" w:type="pct"/>
            <w:tcBorders>
              <w:left w:val="single" w:color="auto" w:sz="4" w:space="0"/>
            </w:tcBorders>
            <w:vAlign w:val="center"/>
          </w:tcPr>
          <w:p w14:paraId="5F5D69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1.7.4.3</w:t>
            </w:r>
          </w:p>
        </w:tc>
        <w:tc>
          <w:tcPr>
            <w:tcW w:w="8150" w:type="dxa"/>
            <w:vAlign w:val="center"/>
          </w:tcPr>
          <w:p w14:paraId="2899374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1"/>
                <w:szCs w:val="21"/>
                <w:highlight w:val="none"/>
              </w:rPr>
            </w:pPr>
            <w:r>
              <w:rPr>
                <w:rFonts w:hint="eastAsia" w:ascii="宋体" w:hAnsi="宋体" w:cs="宋体"/>
                <w:color w:val="auto"/>
                <w:szCs w:val="21"/>
                <w:highlight w:val="none"/>
                <w:lang w:val="zh-TW" w:eastAsia="zh-TW"/>
              </w:rPr>
              <w:t>项目涉及货物的交付方式：</w:t>
            </w:r>
            <w:r>
              <w:rPr>
                <w:rFonts w:hint="eastAsia" w:ascii="宋体" w:hAnsi="宋体" w:cs="宋体"/>
                <w:b/>
                <w:bCs/>
                <w:color w:val="auto"/>
                <w:szCs w:val="21"/>
                <w:highlight w:val="none"/>
                <w:u w:val="single"/>
                <w:lang w:val="zh-TW" w:eastAsia="zh-TW"/>
              </w:rPr>
              <w:t>无</w:t>
            </w:r>
            <w:r>
              <w:rPr>
                <w:rFonts w:hint="eastAsia" w:ascii="宋体" w:hAnsi="宋体" w:cs="宋体"/>
                <w:b/>
                <w:bCs/>
                <w:color w:val="auto"/>
                <w:szCs w:val="21"/>
                <w:highlight w:val="none"/>
                <w:u w:val="single"/>
                <w:lang w:val="zh-TW"/>
              </w:rPr>
              <w:t>。</w:t>
            </w:r>
          </w:p>
        </w:tc>
      </w:tr>
      <w:tr w14:paraId="1596E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68AC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1.8.7</w:t>
            </w:r>
          </w:p>
        </w:tc>
        <w:tc>
          <w:tcPr>
            <w:tcW w:w="4464" w:type="pct"/>
            <w:vAlign w:val="center"/>
          </w:tcPr>
          <w:p w14:paraId="3563E3C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违约责任特殊约定： </w:t>
            </w:r>
          </w:p>
          <w:p w14:paraId="543E78EA">
            <w:pPr>
              <w:pStyle w:val="27"/>
              <w:snapToGrid w:val="0"/>
              <w:spacing w:line="360" w:lineRule="auto"/>
              <w:ind w:firstLine="0" w:firstLineChars="0"/>
              <w:rPr>
                <w:rFonts w:cs="宋体"/>
                <w:color w:val="auto"/>
                <w:sz w:val="21"/>
                <w:szCs w:val="21"/>
                <w:highlight w:val="none"/>
                <w:lang w:val="zh-TW" w:eastAsia="zh-TW"/>
              </w:rPr>
            </w:pPr>
            <w:r>
              <w:rPr>
                <w:rFonts w:cs="宋体"/>
                <w:color w:val="auto"/>
                <w:sz w:val="21"/>
                <w:szCs w:val="21"/>
                <w:highlight w:val="none"/>
                <w:lang w:val="zh-TW" w:eastAsia="zh-TW"/>
              </w:rPr>
              <w:t>(1)</w:t>
            </w:r>
            <w:r>
              <w:rPr>
                <w:rFonts w:hint="eastAsia" w:cs="宋体"/>
                <w:color w:val="auto"/>
                <w:sz w:val="21"/>
                <w:szCs w:val="21"/>
                <w:highlight w:val="none"/>
                <w:lang w:val="zh-TW" w:eastAsia="zh-TW"/>
              </w:rPr>
              <w:t>一方未按合同约定履行义务，导致另一方产生损失的，守约方有权要求违约方赔偿损失。双方在本合同项下的责任仅限于直接损失，对于任何间接损失（包括但不限于数据损失、利润损失或商誉损失等）双方均不承担赔偿责任。无论本合同中的条款是否有相反规定，双方在合同内对另一方的总责任（无论是基于违约或侵权或其它，包括违约金）累计不超过本合同总价的20%。</w:t>
            </w:r>
          </w:p>
          <w:p w14:paraId="7EDCEB9F">
            <w:pPr>
              <w:pStyle w:val="27"/>
              <w:snapToGrid w:val="0"/>
              <w:spacing w:line="360" w:lineRule="auto"/>
              <w:ind w:firstLine="0" w:firstLineChars="0"/>
              <w:rPr>
                <w:rFonts w:cs="宋体"/>
                <w:color w:val="auto"/>
                <w:sz w:val="21"/>
                <w:szCs w:val="21"/>
                <w:highlight w:val="none"/>
                <w:lang w:val="zh-TW" w:eastAsia="zh-TW"/>
              </w:rPr>
            </w:pPr>
            <w:r>
              <w:rPr>
                <w:rFonts w:cs="宋体"/>
                <w:color w:val="auto"/>
                <w:sz w:val="21"/>
                <w:szCs w:val="21"/>
                <w:highlight w:val="none"/>
                <w:lang w:val="zh-TW" w:eastAsia="zh-TW"/>
              </w:rPr>
              <w:t>(2)</w:t>
            </w:r>
            <w:r>
              <w:rPr>
                <w:rFonts w:hint="eastAsia" w:cs="宋体"/>
                <w:color w:val="auto"/>
                <w:sz w:val="21"/>
                <w:szCs w:val="21"/>
                <w:highlight w:val="none"/>
                <w:lang w:val="zh-TW" w:eastAsia="zh-TW"/>
              </w:rPr>
              <w:t>当乙方无正当理由，未履行本合同项下的义务时，甲方可向乙方发出指明其未履行义务的通知。若甲方发出通知后15个工作日内未收到乙方答复，甲方有权单方面解除合同，乙方负责赔偿所造成的损失和违约责任。</w:t>
            </w:r>
          </w:p>
          <w:p w14:paraId="43E2D005">
            <w:pPr>
              <w:pStyle w:val="27"/>
              <w:snapToGrid w:val="0"/>
              <w:spacing w:line="360" w:lineRule="auto"/>
              <w:ind w:firstLine="0" w:firstLineChars="0"/>
              <w:rPr>
                <w:rFonts w:cs="宋体"/>
                <w:color w:val="auto"/>
                <w:sz w:val="21"/>
                <w:szCs w:val="21"/>
                <w:highlight w:val="none"/>
                <w:lang w:val="zh-TW" w:eastAsia="zh-TW"/>
              </w:rPr>
            </w:pPr>
            <w:r>
              <w:rPr>
                <w:rFonts w:cs="宋体"/>
                <w:color w:val="auto"/>
                <w:sz w:val="21"/>
                <w:szCs w:val="21"/>
                <w:highlight w:val="none"/>
                <w:lang w:val="zh-TW" w:eastAsia="zh-TW"/>
              </w:rPr>
              <w:t>(3)</w:t>
            </w:r>
            <w:r>
              <w:rPr>
                <w:rFonts w:hint="eastAsia" w:cs="宋体"/>
                <w:color w:val="auto"/>
                <w:sz w:val="21"/>
                <w:szCs w:val="21"/>
                <w:highlight w:val="none"/>
                <w:lang w:val="zh-TW" w:eastAsia="zh-TW"/>
              </w:rPr>
              <w:t>若乙方因自身原因未按约定时间提供与合同相关的相应服务或出具成果性文件的，除不可抗力因素外，每逾期一天，乙方按照合同总价的1%乘以对应成果交付物的权重比例缴纳违约金。超过15个工作日的，甲方有权单方面解除合同，且无需承担违约责任。乙方完成的有效工作以甲乙双方认可的内容或委托第三方专业机构鉴定结果内容进行结算，有效工作内容归甲方所有（包括2.3.2条款中的相关内容）。由此造成的甲方的损失，违约金不足以弥补的，乙方还需继续承担赔偿责任。</w:t>
            </w:r>
          </w:p>
          <w:p w14:paraId="2F8F0732">
            <w:pPr>
              <w:pStyle w:val="27"/>
              <w:snapToGrid w:val="0"/>
              <w:spacing w:line="360" w:lineRule="auto"/>
              <w:ind w:firstLine="0" w:firstLineChars="0"/>
              <w:rPr>
                <w:rFonts w:cs="宋体"/>
                <w:color w:val="auto"/>
                <w:sz w:val="21"/>
                <w:szCs w:val="21"/>
                <w:highlight w:val="none"/>
                <w:lang w:val="zh-TW" w:eastAsia="zh-TW"/>
              </w:rPr>
            </w:pPr>
            <w:r>
              <w:rPr>
                <w:rFonts w:cs="宋体"/>
                <w:color w:val="auto"/>
                <w:sz w:val="21"/>
                <w:szCs w:val="21"/>
                <w:highlight w:val="none"/>
                <w:lang w:val="zh-TW" w:eastAsia="zh-TW"/>
              </w:rPr>
              <w:t>(4)</w:t>
            </w:r>
            <w:r>
              <w:rPr>
                <w:rFonts w:hint="eastAsia" w:cs="宋体"/>
                <w:color w:val="auto"/>
                <w:sz w:val="21"/>
                <w:szCs w:val="21"/>
                <w:highlight w:val="none"/>
                <w:lang w:val="zh-TW" w:eastAsia="zh-TW"/>
              </w:rPr>
              <w:t>因甲方的原因致使乙方迟于合同规定时间提供服务时间延误，乙方应将此情况与可能产生的影响及时通知甲方，甲方应采取相应的措施，并与乙方协商延长提供服务时间。提供服务时间延长超过</w:t>
            </w:r>
            <w:r>
              <w:rPr>
                <w:rFonts w:hint="eastAsia" w:cs="宋体"/>
                <w:color w:val="auto"/>
                <w:sz w:val="21"/>
                <w:szCs w:val="21"/>
                <w:highlight w:val="none"/>
                <w:lang w:val="en-US" w:eastAsia="zh-CN"/>
              </w:rPr>
              <w:t>30</w:t>
            </w:r>
            <w:r>
              <w:rPr>
                <w:rFonts w:hint="eastAsia" w:cs="宋体"/>
                <w:color w:val="auto"/>
                <w:sz w:val="21"/>
                <w:szCs w:val="21"/>
                <w:highlight w:val="none"/>
                <w:lang w:val="zh-TW" w:eastAsia="zh-TW"/>
              </w:rPr>
              <w:t>个工作日后，乙方可向甲方申请支付一定的补偿金，补偿金金额由双方协商确定。</w:t>
            </w:r>
          </w:p>
          <w:p w14:paraId="4164AEEA">
            <w:pPr>
              <w:pStyle w:val="27"/>
              <w:snapToGrid w:val="0"/>
              <w:spacing w:line="360" w:lineRule="auto"/>
              <w:ind w:firstLine="0" w:firstLineChars="0"/>
              <w:rPr>
                <w:rFonts w:cs="宋体"/>
                <w:color w:val="auto"/>
                <w:sz w:val="21"/>
                <w:szCs w:val="21"/>
                <w:highlight w:val="none"/>
                <w:lang w:val="zh-TW" w:eastAsia="zh-TW"/>
              </w:rPr>
            </w:pPr>
            <w:r>
              <w:rPr>
                <w:rFonts w:cs="宋体"/>
                <w:color w:val="auto"/>
                <w:sz w:val="21"/>
                <w:szCs w:val="21"/>
                <w:highlight w:val="none"/>
                <w:lang w:val="zh-TW" w:eastAsia="zh-TW"/>
              </w:rPr>
              <w:t>(5)</w:t>
            </w:r>
            <w:r>
              <w:rPr>
                <w:rFonts w:hint="eastAsia" w:cs="宋体"/>
                <w:color w:val="auto"/>
                <w:sz w:val="21"/>
                <w:szCs w:val="21"/>
                <w:highlight w:val="none"/>
                <w:lang w:val="zh-TW" w:eastAsia="zh-TW"/>
              </w:rPr>
              <w:t>甲方对提供的基础材料的真实性和可靠性负责，乙方对其出具的服务成果物文件的真实性、公允性负责，若因乙方故意或重大过失出具报告不实，导致甲方损失的，乙方应赔偿甲方因此受到的直接损失及甲方为维护自身权益出支出的全部费用（包括诉讼费、律师代理费、鉴定费、保全费、差旅费、公告费等）。</w:t>
            </w:r>
          </w:p>
          <w:p w14:paraId="5BFF7819">
            <w:pPr>
              <w:pStyle w:val="27"/>
              <w:snapToGrid w:val="0"/>
              <w:spacing w:line="360" w:lineRule="auto"/>
              <w:ind w:firstLine="0" w:firstLineChars="0"/>
              <w:rPr>
                <w:rFonts w:cs="宋体"/>
                <w:color w:val="auto"/>
                <w:sz w:val="21"/>
                <w:szCs w:val="21"/>
                <w:highlight w:val="none"/>
                <w:lang w:val="zh-TW" w:eastAsia="zh-TW"/>
              </w:rPr>
            </w:pPr>
            <w:r>
              <w:rPr>
                <w:rFonts w:cs="宋体"/>
                <w:color w:val="auto"/>
                <w:sz w:val="21"/>
                <w:szCs w:val="21"/>
                <w:highlight w:val="none"/>
                <w:lang w:val="zh-TW" w:eastAsia="zh-TW"/>
              </w:rPr>
              <w:t>(6)</w:t>
            </w:r>
            <w:r>
              <w:rPr>
                <w:rFonts w:hint="eastAsia" w:cs="宋体"/>
                <w:color w:val="auto"/>
                <w:sz w:val="21"/>
                <w:szCs w:val="21"/>
                <w:highlight w:val="none"/>
                <w:lang w:val="zh-TW" w:eastAsia="zh-TW"/>
              </w:rPr>
              <w:t>任意一方违反保密义务的，应向相对方赔偿合同总价5％的违约金，违约金不足以弥补相对方损失的，则应继续承担赔偿责任。</w:t>
            </w:r>
          </w:p>
          <w:p w14:paraId="59B6DCE4">
            <w:pPr>
              <w:pStyle w:val="27"/>
              <w:snapToGrid w:val="0"/>
              <w:spacing w:line="360" w:lineRule="auto"/>
              <w:ind w:firstLine="0" w:firstLineChars="0"/>
              <w:rPr>
                <w:rFonts w:cs="宋体"/>
                <w:color w:val="auto"/>
                <w:sz w:val="21"/>
                <w:szCs w:val="21"/>
                <w:highlight w:val="none"/>
                <w:lang w:val="zh-TW" w:eastAsia="zh-TW"/>
              </w:rPr>
            </w:pPr>
            <w:r>
              <w:rPr>
                <w:rFonts w:cs="宋体"/>
                <w:color w:val="auto"/>
                <w:sz w:val="21"/>
                <w:szCs w:val="21"/>
                <w:highlight w:val="none"/>
                <w:lang w:val="zh-TW" w:eastAsia="zh-TW"/>
              </w:rPr>
              <w:t>(7)</w:t>
            </w:r>
            <w:r>
              <w:rPr>
                <w:rFonts w:hint="eastAsia" w:cs="宋体"/>
                <w:color w:val="auto"/>
                <w:sz w:val="21"/>
                <w:szCs w:val="21"/>
                <w:highlight w:val="none"/>
                <w:lang w:val="zh-TW" w:eastAsia="zh-TW"/>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为免疑义，付款义务属于绝对义务，不应受限于不可抗力而甲方拒绝付款，但因不可抗力因素应允许甲方迟于合同规定时间付款。</w:t>
            </w:r>
          </w:p>
          <w:p w14:paraId="1C14C520">
            <w:pPr>
              <w:spacing w:line="360" w:lineRule="auto"/>
              <w:jc w:val="left"/>
              <w:rPr>
                <w:rFonts w:ascii="宋体" w:hAnsi="宋体" w:cs="宋体"/>
                <w:color w:val="auto"/>
                <w:sz w:val="21"/>
                <w:szCs w:val="21"/>
                <w:highlight w:val="none"/>
              </w:rPr>
            </w:pPr>
            <w:r>
              <w:rPr>
                <w:rFonts w:hint="eastAsia" w:cs="宋体"/>
                <w:color w:val="auto"/>
                <w:sz w:val="21"/>
                <w:szCs w:val="21"/>
                <w:highlight w:val="none"/>
                <w:lang w:val="zh-TW" w:eastAsia="zh-TW"/>
              </w:rPr>
              <w:t>（</w:t>
            </w:r>
            <w:r>
              <w:rPr>
                <w:rFonts w:hint="eastAsia" w:cs="宋体"/>
                <w:color w:val="auto"/>
                <w:sz w:val="21"/>
                <w:szCs w:val="21"/>
                <w:highlight w:val="none"/>
                <w:lang w:val="en-US" w:eastAsia="zh-CN"/>
              </w:rPr>
              <w:t>8</w:t>
            </w:r>
            <w:r>
              <w:rPr>
                <w:rFonts w:hint="eastAsia" w:cs="宋体"/>
                <w:color w:val="auto"/>
                <w:sz w:val="21"/>
                <w:szCs w:val="21"/>
                <w:highlight w:val="none"/>
                <w:lang w:val="zh-TW" w:eastAsia="zh-TW"/>
              </w:rPr>
              <w:t>）如本合同提前解除的，乙方有权就合同解除前已履约部分的工作量按本合同定价标准收取相应款项</w:t>
            </w:r>
            <w:r>
              <w:rPr>
                <w:rFonts w:hint="eastAsia" w:cs="宋体"/>
                <w:color w:val="auto"/>
                <w:sz w:val="21"/>
                <w:szCs w:val="21"/>
                <w:highlight w:val="none"/>
                <w:lang w:val="zh-TW"/>
              </w:rPr>
              <w:t>。</w:t>
            </w:r>
          </w:p>
        </w:tc>
      </w:tr>
      <w:tr w14:paraId="2BE28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1298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1.9.1</w:t>
            </w:r>
          </w:p>
        </w:tc>
        <w:tc>
          <w:tcPr>
            <w:tcW w:w="8150" w:type="dxa"/>
            <w:vAlign w:val="center"/>
          </w:tcPr>
          <w:p w14:paraId="3A5043C9">
            <w:pPr>
              <w:spacing w:line="360" w:lineRule="auto"/>
              <w:rPr>
                <w:rFonts w:ascii="宋体" w:hAnsi="宋体" w:cs="宋体"/>
                <w:color w:val="auto"/>
                <w:sz w:val="21"/>
                <w:szCs w:val="21"/>
                <w:highlight w:val="none"/>
              </w:rPr>
            </w:pPr>
            <w:r>
              <w:rPr>
                <w:rFonts w:hint="eastAsia" w:ascii="宋体" w:hAnsi="宋体" w:cs="宋体"/>
                <w:color w:val="auto"/>
                <w:szCs w:val="21"/>
                <w:highlight w:val="none"/>
                <w:lang w:val="zh-TW" w:eastAsia="zh-TW"/>
              </w:rPr>
              <w:t>仲裁机构：将争议提交</w:t>
            </w:r>
            <w:r>
              <w:rPr>
                <w:rFonts w:hint="eastAsia" w:ascii="宋体" w:hAnsi="宋体" w:cs="宋体"/>
                <w:b/>
                <w:bCs/>
                <w:color w:val="auto"/>
                <w:szCs w:val="21"/>
                <w:highlight w:val="none"/>
                <w:u w:val="single"/>
                <w:lang w:val="zh-TW" w:eastAsia="zh-TW"/>
              </w:rPr>
              <w:t>杭州市仲裁委员会依申请仲裁</w:t>
            </w:r>
            <w:r>
              <w:rPr>
                <w:rFonts w:hint="eastAsia" w:ascii="宋体" w:hAnsi="宋体" w:cs="宋体"/>
                <w:color w:val="auto"/>
                <w:szCs w:val="21"/>
                <w:highlight w:val="none"/>
                <w:lang w:val="zh-TW" w:eastAsia="zh-TW"/>
              </w:rPr>
              <w:t>时其现行有效的仲裁规则裁决。</w:t>
            </w:r>
          </w:p>
        </w:tc>
      </w:tr>
      <w:tr w14:paraId="2C553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81FD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1.9.2</w:t>
            </w:r>
          </w:p>
        </w:tc>
        <w:tc>
          <w:tcPr>
            <w:tcW w:w="8150" w:type="dxa"/>
            <w:vAlign w:val="center"/>
          </w:tcPr>
          <w:p w14:paraId="5596D29C">
            <w:pPr>
              <w:spacing w:line="360" w:lineRule="auto"/>
              <w:rPr>
                <w:rFonts w:ascii="宋体" w:hAnsi="宋体" w:cs="宋体"/>
                <w:color w:val="auto"/>
                <w:sz w:val="21"/>
                <w:szCs w:val="21"/>
                <w:highlight w:val="none"/>
              </w:rPr>
            </w:pPr>
            <w:r>
              <w:rPr>
                <w:rFonts w:hint="eastAsia" w:ascii="宋体" w:hAnsi="宋体" w:cs="宋体"/>
                <w:color w:val="auto"/>
                <w:szCs w:val="21"/>
                <w:highlight w:val="none"/>
                <w:lang w:val="zh-TW" w:eastAsia="zh-TW"/>
              </w:rPr>
              <w:t>诉讼法院：</w:t>
            </w:r>
            <w:r>
              <w:rPr>
                <w:rFonts w:hint="eastAsia" w:ascii="宋体" w:hAnsi="宋体" w:cs="宋体"/>
                <w:b/>
                <w:bCs/>
                <w:color w:val="auto"/>
                <w:szCs w:val="21"/>
                <w:highlight w:val="none"/>
                <w:u w:val="single"/>
                <w:lang w:val="zh-TW" w:eastAsia="zh-TW"/>
              </w:rPr>
              <w:t>向杭州市</w:t>
            </w:r>
            <w:r>
              <w:rPr>
                <w:rFonts w:hint="eastAsia" w:ascii="宋体" w:hAnsi="宋体" w:cs="宋体"/>
                <w:b/>
                <w:bCs/>
                <w:color w:val="auto"/>
                <w:szCs w:val="21"/>
                <w:highlight w:val="none"/>
                <w:u w:val="single"/>
                <w:lang w:val="en-US" w:eastAsia="zh-CN"/>
              </w:rPr>
              <w:t>拱墅</w:t>
            </w:r>
            <w:r>
              <w:rPr>
                <w:rFonts w:hint="eastAsia" w:ascii="宋体" w:hAnsi="宋体" w:cs="宋体"/>
                <w:b/>
                <w:bCs/>
                <w:color w:val="auto"/>
                <w:szCs w:val="21"/>
                <w:highlight w:val="none"/>
                <w:u w:val="single"/>
                <w:lang w:val="zh-TW" w:eastAsia="zh-TW"/>
              </w:rPr>
              <w:t>区人民法院起诉</w:t>
            </w:r>
            <w:r>
              <w:rPr>
                <w:rFonts w:hint="eastAsia" w:ascii="宋体" w:hAnsi="宋体" w:cs="宋体"/>
                <w:color w:val="auto"/>
                <w:szCs w:val="21"/>
                <w:highlight w:val="none"/>
                <w:lang w:val="zh-TW" w:eastAsia="zh-TW"/>
              </w:rPr>
              <w:t>。</w:t>
            </w:r>
          </w:p>
        </w:tc>
      </w:tr>
      <w:tr w14:paraId="5BDC8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D6C9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2.3.2</w:t>
            </w:r>
          </w:p>
        </w:tc>
        <w:tc>
          <w:tcPr>
            <w:tcW w:w="4464" w:type="pct"/>
            <w:vAlign w:val="center"/>
          </w:tcPr>
          <w:p w14:paraId="3E05D25E">
            <w:pPr>
              <w:pStyle w:val="27"/>
              <w:snapToGrid w:val="0"/>
              <w:spacing w:line="360" w:lineRule="auto"/>
              <w:ind w:firstLine="0" w:firstLineChars="0"/>
              <w:rPr>
                <w:rFonts w:cs="宋体"/>
                <w:color w:val="auto"/>
                <w:sz w:val="21"/>
                <w:szCs w:val="21"/>
                <w:highlight w:val="none"/>
                <w:lang w:val="zh-TW" w:eastAsia="zh-TW"/>
              </w:rPr>
            </w:pPr>
            <w:r>
              <w:rPr>
                <w:rFonts w:hint="eastAsia" w:cs="宋体"/>
                <w:color w:val="auto"/>
                <w:sz w:val="21"/>
                <w:szCs w:val="21"/>
                <w:highlight w:val="none"/>
                <w:lang w:val="zh-TW"/>
              </w:rPr>
              <w:t>（</w:t>
            </w:r>
            <w:r>
              <w:rPr>
                <w:rFonts w:hint="eastAsia" w:cs="宋体"/>
                <w:color w:val="auto"/>
                <w:sz w:val="21"/>
                <w:szCs w:val="21"/>
                <w:highlight w:val="none"/>
                <w:lang w:val="en-US" w:eastAsia="zh-CN"/>
              </w:rPr>
              <w:t>1</w:t>
            </w:r>
            <w:r>
              <w:rPr>
                <w:rFonts w:hint="eastAsia" w:cs="宋体"/>
                <w:color w:val="auto"/>
                <w:sz w:val="21"/>
                <w:szCs w:val="21"/>
                <w:highlight w:val="none"/>
              </w:rPr>
              <w:t>）</w:t>
            </w:r>
            <w:r>
              <w:rPr>
                <w:rFonts w:hint="eastAsia" w:cs="宋体"/>
                <w:color w:val="auto"/>
                <w:sz w:val="21"/>
                <w:szCs w:val="21"/>
                <w:highlight w:val="none"/>
                <w:lang w:val="zh-TW" w:eastAsia="zh-TW"/>
              </w:rPr>
              <w:t>乙方对所提供的技术和服务等拥有合法的占有和处置权，并对涉及项目的所有内容可能侵权行为指控负责，保证不伤害甲方的利益。在法律范围内，如出现文字、图片、商标和技术等侵权行为而造成的纠纷和产生的一切费用，甲方概不负责，由此给甲方造成损失的，乙方要承担相应后果，并负责赔偿。乙方为执行本项目合同而提供的技术资料等归甲方所有。</w:t>
            </w:r>
          </w:p>
          <w:p w14:paraId="628C8D7F">
            <w:pPr>
              <w:pStyle w:val="27"/>
              <w:snapToGrid w:val="0"/>
              <w:spacing w:line="360" w:lineRule="auto"/>
              <w:ind w:firstLine="0" w:firstLineChars="0"/>
              <w:rPr>
                <w:rFonts w:cs="宋体"/>
                <w:color w:val="auto"/>
                <w:sz w:val="21"/>
                <w:szCs w:val="21"/>
                <w:highlight w:val="none"/>
                <w:lang w:val="zh-TW" w:eastAsia="zh-TW"/>
              </w:rPr>
            </w:pPr>
            <w:r>
              <w:rPr>
                <w:rFonts w:hint="eastAsia" w:cs="宋体"/>
                <w:color w:val="auto"/>
                <w:sz w:val="21"/>
                <w:szCs w:val="21"/>
                <w:highlight w:val="none"/>
                <w:lang w:val="zh-TW"/>
              </w:rPr>
              <w:t>（</w:t>
            </w:r>
            <w:r>
              <w:rPr>
                <w:rFonts w:hint="eastAsia" w:cs="宋体"/>
                <w:color w:val="auto"/>
                <w:sz w:val="21"/>
                <w:szCs w:val="21"/>
                <w:highlight w:val="none"/>
                <w:lang w:val="en-US" w:eastAsia="zh-CN"/>
              </w:rPr>
              <w:t>2</w:t>
            </w:r>
            <w:r>
              <w:rPr>
                <w:rFonts w:hint="eastAsia" w:cs="宋体"/>
                <w:color w:val="auto"/>
                <w:sz w:val="21"/>
                <w:szCs w:val="21"/>
                <w:highlight w:val="none"/>
              </w:rPr>
              <w:t>）</w:t>
            </w:r>
            <w:r>
              <w:rPr>
                <w:rFonts w:hint="eastAsia" w:cs="宋体"/>
                <w:color w:val="auto"/>
                <w:sz w:val="21"/>
                <w:szCs w:val="21"/>
                <w:highlight w:val="none"/>
                <w:lang w:val="zh-TW" w:eastAsia="zh-TW"/>
              </w:rPr>
              <w:t>乙方应保证所提供的产品、技术和服务其任何一部分均不会侵犯任何第三方的知识产权。</w:t>
            </w:r>
          </w:p>
          <w:p w14:paraId="24E18596">
            <w:pPr>
              <w:spacing w:line="360" w:lineRule="auto"/>
              <w:ind w:left="-420" w:leftChars="-200" w:right="-420" w:rightChars="-200" w:firstLine="420" w:firstLineChars="200"/>
              <w:jc w:val="left"/>
              <w:rPr>
                <w:rFonts w:ascii="宋体" w:hAnsi="宋体" w:cs="宋体"/>
                <w:color w:val="auto"/>
                <w:sz w:val="21"/>
                <w:szCs w:val="21"/>
                <w:highlight w:val="none"/>
              </w:rPr>
            </w:pPr>
            <w:r>
              <w:rPr>
                <w:rFonts w:hint="eastAsia" w:cs="宋体"/>
                <w:color w:val="auto"/>
                <w:sz w:val="21"/>
                <w:szCs w:val="21"/>
                <w:highlight w:val="none"/>
                <w:lang w:val="zh-TW"/>
              </w:rPr>
              <w:t>（</w:t>
            </w:r>
            <w:r>
              <w:rPr>
                <w:rFonts w:hint="eastAsia" w:cs="宋体"/>
                <w:color w:val="auto"/>
                <w:sz w:val="21"/>
                <w:szCs w:val="21"/>
                <w:highlight w:val="none"/>
                <w:lang w:val="en-US" w:eastAsia="zh-CN"/>
              </w:rPr>
              <w:t>3</w:t>
            </w:r>
            <w:r>
              <w:rPr>
                <w:rFonts w:hint="eastAsia" w:cs="宋体"/>
                <w:color w:val="auto"/>
                <w:sz w:val="21"/>
                <w:szCs w:val="21"/>
                <w:highlight w:val="none"/>
              </w:rPr>
              <w:t>）乙方保证</w:t>
            </w:r>
            <w:r>
              <w:rPr>
                <w:rFonts w:hint="eastAsia" w:cs="宋体"/>
                <w:color w:val="auto"/>
                <w:sz w:val="21"/>
                <w:szCs w:val="21"/>
                <w:highlight w:val="none"/>
                <w:lang w:val="zh-TW" w:eastAsia="zh-TW"/>
              </w:rPr>
              <w:t>所交付的产品、技术和服务的所有权完全属于乙方且无任何抵押、</w:t>
            </w:r>
            <w:r>
              <w:rPr>
                <w:rFonts w:hint="eastAsia" w:cs="宋体"/>
                <w:color w:val="auto"/>
                <w:sz w:val="21"/>
                <w:szCs w:val="21"/>
                <w:highlight w:val="none"/>
              </w:rPr>
              <w:t>查封等产权瑕疵。</w:t>
            </w:r>
          </w:p>
        </w:tc>
      </w:tr>
      <w:tr w14:paraId="4922F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BEA2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5</w:t>
            </w:r>
          </w:p>
        </w:tc>
        <w:tc>
          <w:tcPr>
            <w:tcW w:w="4464" w:type="pct"/>
            <w:vAlign w:val="center"/>
          </w:tcPr>
          <w:p w14:paraId="527727EA">
            <w:pPr>
              <w:spacing w:line="360" w:lineRule="auto"/>
              <w:ind w:left="-420" w:leftChars="-200" w:right="-420" w:rightChars="-200" w:firstLine="420" w:firstLineChars="200"/>
              <w:jc w:val="left"/>
              <w:rPr>
                <w:rFonts w:ascii="宋体" w:hAnsi="宋体" w:cs="宋体"/>
                <w:color w:val="auto"/>
                <w:sz w:val="21"/>
                <w:szCs w:val="21"/>
                <w:highlight w:val="none"/>
              </w:rPr>
            </w:pPr>
            <w:r>
              <w:rPr>
                <w:rFonts w:hint="eastAsia" w:ascii="宋体" w:hAnsi="宋体" w:cs="宋体"/>
                <w:color w:val="auto"/>
                <w:szCs w:val="21"/>
                <w:highlight w:val="none"/>
              </w:rPr>
              <w:t>结算方式和付款条件：</w:t>
            </w:r>
            <w:r>
              <w:rPr>
                <w:rFonts w:hint="eastAsia" w:ascii="宋体" w:hAnsi="宋体" w:cs="宋体"/>
                <w:b/>
                <w:bCs/>
                <w:color w:val="auto"/>
                <w:szCs w:val="21"/>
                <w:highlight w:val="none"/>
                <w:u w:val="single"/>
              </w:rPr>
              <w:t>见</w:t>
            </w:r>
            <w:r>
              <w:rPr>
                <w:rFonts w:hint="eastAsia" w:ascii="宋体" w:hAnsi="宋体" w:cs="宋体"/>
                <w:b/>
                <w:bCs/>
                <w:color w:val="auto"/>
                <w:szCs w:val="21"/>
                <w:highlight w:val="none"/>
                <w:u w:val="single"/>
                <w:lang w:val="zh-TW" w:eastAsia="zh-TW"/>
              </w:rPr>
              <w:t>1.6.2</w:t>
            </w:r>
            <w:r>
              <w:rPr>
                <w:rFonts w:hint="eastAsia" w:ascii="宋体" w:hAnsi="宋体" w:cs="宋体"/>
                <w:b/>
                <w:bCs/>
                <w:color w:val="auto"/>
                <w:szCs w:val="21"/>
                <w:highlight w:val="none"/>
                <w:u w:val="single"/>
              </w:rPr>
              <w:t>条</w:t>
            </w:r>
            <w:r>
              <w:rPr>
                <w:rFonts w:hint="eastAsia" w:ascii="宋体" w:hAnsi="宋体" w:cs="宋体"/>
                <w:b/>
                <w:bCs/>
                <w:color w:val="auto"/>
                <w:szCs w:val="21"/>
                <w:highlight w:val="none"/>
                <w:u w:val="single"/>
                <w:lang w:val="zh-TW"/>
              </w:rPr>
              <w:t>。</w:t>
            </w:r>
          </w:p>
        </w:tc>
      </w:tr>
      <w:tr w14:paraId="4500F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71AD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11</w:t>
            </w:r>
            <w:r>
              <w:rPr>
                <w:rFonts w:hint="eastAsia" w:ascii="宋体" w:hAnsi="宋体" w:cs="宋体"/>
                <w:color w:val="auto"/>
                <w:sz w:val="21"/>
                <w:szCs w:val="21"/>
                <w:highlight w:val="none"/>
              </w:rPr>
              <w:t>.</w:t>
            </w:r>
            <w:r>
              <w:rPr>
                <w:rFonts w:ascii="宋体" w:hAnsi="宋体" w:cs="宋体"/>
                <w:color w:val="auto"/>
                <w:sz w:val="21"/>
                <w:szCs w:val="21"/>
                <w:highlight w:val="none"/>
              </w:rPr>
              <w:t>3</w:t>
            </w:r>
          </w:p>
        </w:tc>
        <w:tc>
          <w:tcPr>
            <w:tcW w:w="4464" w:type="pct"/>
            <w:vAlign w:val="center"/>
          </w:tcPr>
          <w:p w14:paraId="334E54FA">
            <w:pPr>
              <w:spacing w:line="360" w:lineRule="auto"/>
              <w:jc w:val="left"/>
              <w:rPr>
                <w:rFonts w:ascii="宋体" w:hAnsi="宋体" w:cs="宋体"/>
                <w:color w:val="auto"/>
                <w:sz w:val="21"/>
                <w:szCs w:val="21"/>
                <w:highlight w:val="none"/>
              </w:rPr>
            </w:pPr>
            <w:r>
              <w:rPr>
                <w:rFonts w:hint="eastAsia" w:ascii="宋体" w:hAnsi="宋体" w:cs="宋体"/>
                <w:color w:val="auto"/>
                <w:szCs w:val="21"/>
                <w:highlight w:val="none"/>
              </w:rPr>
              <w:t>不可抗力合同变更：</w:t>
            </w:r>
            <w:r>
              <w:rPr>
                <w:rFonts w:hint="eastAsia" w:ascii="宋体" w:hAnsi="宋体" w:cs="宋体"/>
                <w:b/>
                <w:color w:val="auto"/>
                <w:szCs w:val="21"/>
                <w:highlight w:val="none"/>
                <w:u w:val="single"/>
              </w:rPr>
              <w:t>因不可抗力致使合同有变更必要的，双方当事人协商确定后应在15日内以书面形式变更合同。</w:t>
            </w:r>
          </w:p>
        </w:tc>
      </w:tr>
      <w:tr w14:paraId="482D7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03CB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11.4</w:t>
            </w:r>
          </w:p>
        </w:tc>
        <w:tc>
          <w:tcPr>
            <w:tcW w:w="4464" w:type="pct"/>
          </w:tcPr>
          <w:p w14:paraId="65E0D60C">
            <w:pPr>
              <w:spacing w:line="360" w:lineRule="auto"/>
              <w:jc w:val="left"/>
              <w:rPr>
                <w:rFonts w:ascii="宋体" w:hAnsi="宋体" w:cs="宋体"/>
                <w:color w:val="auto"/>
                <w:sz w:val="21"/>
                <w:szCs w:val="21"/>
                <w:highlight w:val="none"/>
              </w:rPr>
            </w:pPr>
            <w:r>
              <w:rPr>
                <w:rFonts w:hint="eastAsia" w:ascii="宋体" w:hAnsi="宋体" w:cs="宋体"/>
                <w:color w:val="auto"/>
                <w:szCs w:val="21"/>
                <w:highlight w:val="none"/>
              </w:rPr>
              <w:t>不可抗力通知和送达：</w:t>
            </w:r>
            <w:r>
              <w:rPr>
                <w:rFonts w:hint="eastAsia" w:ascii="宋体" w:hAnsi="宋体" w:cs="宋体"/>
                <w:b/>
                <w:color w:val="auto"/>
                <w:szCs w:val="21"/>
                <w:highlight w:val="none"/>
                <w:u w:val="single"/>
              </w:rPr>
              <w:t>受不可抗力影响的一方在不可抗力发生后，应在 15日内以书面形式通知对方当事人，并在 15日内，将有关部门出具的证明文件送达对方当事人</w:t>
            </w:r>
            <w:r>
              <w:rPr>
                <w:rFonts w:hint="eastAsia" w:ascii="宋体" w:hAnsi="宋体" w:cs="宋体"/>
                <w:color w:val="auto"/>
                <w:szCs w:val="21"/>
                <w:highlight w:val="none"/>
              </w:rPr>
              <w:t>。</w:t>
            </w:r>
          </w:p>
        </w:tc>
      </w:tr>
      <w:tr w14:paraId="75217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FA334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15</w:t>
            </w:r>
            <w:r>
              <w:rPr>
                <w:rFonts w:hint="eastAsia" w:ascii="宋体" w:hAnsi="宋体" w:cs="宋体"/>
                <w:color w:val="auto"/>
                <w:sz w:val="21"/>
                <w:szCs w:val="21"/>
                <w:highlight w:val="none"/>
              </w:rPr>
              <w:t>.</w:t>
            </w:r>
            <w:r>
              <w:rPr>
                <w:rFonts w:ascii="宋体" w:hAnsi="宋体" w:cs="宋体"/>
                <w:color w:val="auto"/>
                <w:sz w:val="21"/>
                <w:szCs w:val="21"/>
                <w:highlight w:val="none"/>
              </w:rPr>
              <w:t>1</w:t>
            </w:r>
          </w:p>
        </w:tc>
        <w:tc>
          <w:tcPr>
            <w:tcW w:w="4464" w:type="pct"/>
            <w:vAlign w:val="center"/>
          </w:tcPr>
          <w:p w14:paraId="467CC4C9">
            <w:pPr>
              <w:spacing w:line="360" w:lineRule="auto"/>
              <w:rPr>
                <w:rFonts w:ascii="宋体" w:hAnsi="宋体" w:cs="宋体"/>
                <w:color w:val="auto"/>
                <w:szCs w:val="21"/>
                <w:highlight w:val="none"/>
              </w:rPr>
            </w:pPr>
            <w:r>
              <w:rPr>
                <w:rFonts w:hint="eastAsia" w:ascii="宋体" w:hAnsi="宋体" w:cs="宋体"/>
                <w:color w:val="auto"/>
                <w:szCs w:val="21"/>
                <w:highlight w:val="none"/>
                <w:lang w:val="zh-TW" w:eastAsia="zh-TW"/>
              </w:rPr>
              <w:t>（1）供应商应按招标文件规定的技术服务要求、质量标准向采购人提供满足本项目采购需求要求的技术服务。</w:t>
            </w:r>
          </w:p>
          <w:p w14:paraId="4CB8E97F">
            <w:pPr>
              <w:spacing w:line="360" w:lineRule="auto"/>
              <w:rPr>
                <w:rFonts w:ascii="宋体" w:hAnsi="宋体" w:cs="宋体"/>
                <w:color w:val="auto"/>
                <w:szCs w:val="21"/>
                <w:highlight w:val="none"/>
              </w:rPr>
            </w:pPr>
            <w:r>
              <w:rPr>
                <w:rFonts w:hint="eastAsia" w:ascii="宋体" w:hAnsi="宋体" w:cs="宋体"/>
                <w:color w:val="auto"/>
                <w:szCs w:val="21"/>
                <w:highlight w:val="none"/>
                <w:lang w:val="zh-TW" w:eastAsia="zh-TW"/>
              </w:rPr>
              <w:t>（2）应当符合招投标文件、采购合同的约定，未进行相应约定的，应当符合国家强制性规定、政策要求、安全标准、行业或企业有关标准等。</w:t>
            </w:r>
            <w:r>
              <w:rPr>
                <w:rFonts w:hint="eastAsia" w:ascii="宋体" w:hAnsi="宋体" w:cs="宋体"/>
                <w:b/>
                <w:bCs/>
                <w:color w:val="auto"/>
                <w:szCs w:val="21"/>
                <w:highlight w:val="none"/>
              </w:rPr>
              <w:t>招标文件与投标文件不一致时，原则上以招标文件为准；若投标文件更有利于采购人的，以投标文件为准。</w:t>
            </w:r>
          </w:p>
          <w:p w14:paraId="4C326480">
            <w:pPr>
              <w:spacing w:line="360" w:lineRule="auto"/>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（3）大型或复杂的、关系到生命财产安全、社会关注度高的项目原则上应邀请国家认可的质量检测机构参加验收工作。</w:t>
            </w:r>
          </w:p>
          <w:p w14:paraId="42048A2F">
            <w:pPr>
              <w:spacing w:line="360" w:lineRule="auto"/>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4）项目文档成果：项目验收后供应商应提供详细的技术服务文档资料。供应商在交付前应对技术服务内容作出全面检查和对验收文件进行整理，并列出清单，作为采购人接收验收和使用的技术条件依据，检验的结果应随技术服务内容交采购人。</w:t>
            </w:r>
          </w:p>
          <w:p w14:paraId="433CA222">
            <w:pPr>
              <w:spacing w:line="360" w:lineRule="auto"/>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（5）验收时供应商必须在现场，验收完毕后作出验收结果报告。</w:t>
            </w:r>
          </w:p>
          <w:p w14:paraId="7F600B65">
            <w:pPr>
              <w:spacing w:line="360" w:lineRule="auto"/>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6）本项目验收根据《杭州市政府采购履约验收暂行办法》（杭财采监[2019]10号）的要求。按照一般程序进行验收，验收方法为一次性验收。履约验收产生的费用，属于首次验收过程中产生的，由采购人承担；属于首次验收不合格，重新验收过程中产生的，由供应商承担。如果首次验收不合格，甲方将出具整改通知，乙方应在10个工作日内完成整改通知中相关内容；如乙方未在规定时间内完成整改要求的，甲方有权单方面解除合同，且无需承担违约责任。乙方完成的有效工作以甲乙双方认可的内容或委托第三方专业机构鉴定结果内容进行结算，有效工作内容归甲方所有（包括2.3.2条款中的相关内容）。</w:t>
            </w:r>
          </w:p>
          <w:p w14:paraId="67797BB6">
            <w:pPr>
              <w:spacing w:line="360" w:lineRule="auto"/>
              <w:jc w:val="left"/>
              <w:rPr>
                <w:rFonts w:ascii="宋体" w:hAnsi="宋体" w:cs="宋体"/>
                <w:color w:val="auto"/>
                <w:sz w:val="21"/>
                <w:szCs w:val="21"/>
                <w:highlight w:val="none"/>
              </w:rPr>
            </w:pPr>
            <w:r>
              <w:rPr>
                <w:rFonts w:hint="eastAsia" w:ascii="宋体" w:hAnsi="宋体" w:cs="宋体"/>
                <w:color w:val="auto"/>
                <w:szCs w:val="21"/>
                <w:highlight w:val="none"/>
                <w:lang w:val="zh-TW" w:eastAsia="zh-TW"/>
              </w:rPr>
              <w:t>（7）验收合格后，采购人依据验收报告和供应商的交付申请等办理交付和接收手续。</w:t>
            </w:r>
          </w:p>
        </w:tc>
      </w:tr>
      <w:tr w14:paraId="61CFC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F624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15</w:t>
            </w:r>
            <w:r>
              <w:rPr>
                <w:rFonts w:hint="eastAsia" w:ascii="宋体" w:hAnsi="宋体" w:cs="宋体"/>
                <w:color w:val="auto"/>
                <w:sz w:val="21"/>
                <w:szCs w:val="21"/>
                <w:highlight w:val="none"/>
              </w:rPr>
              <w:t>.</w:t>
            </w:r>
            <w:r>
              <w:rPr>
                <w:rFonts w:ascii="宋体" w:hAnsi="宋体" w:cs="宋体"/>
                <w:color w:val="auto"/>
                <w:sz w:val="21"/>
                <w:szCs w:val="21"/>
                <w:highlight w:val="none"/>
              </w:rPr>
              <w:t>3</w:t>
            </w:r>
          </w:p>
        </w:tc>
        <w:tc>
          <w:tcPr>
            <w:tcW w:w="4464" w:type="pct"/>
            <w:vAlign w:val="center"/>
          </w:tcPr>
          <w:p w14:paraId="2683EB4C">
            <w:pPr>
              <w:spacing w:line="360" w:lineRule="auto"/>
              <w:jc w:val="left"/>
              <w:rPr>
                <w:rFonts w:ascii="宋体" w:hAnsi="宋体" w:cs="宋体"/>
                <w:color w:val="auto"/>
                <w:sz w:val="21"/>
                <w:szCs w:val="21"/>
                <w:highlight w:val="none"/>
              </w:rPr>
            </w:pPr>
            <w:r>
              <w:rPr>
                <w:rFonts w:hint="eastAsia" w:ascii="宋体" w:hAnsi="宋体" w:cs="宋体"/>
                <w:color w:val="auto"/>
                <w:szCs w:val="21"/>
                <w:highlight w:val="none"/>
              </w:rPr>
              <w:t>检验和验收标准、程序等具体内容以及前述验收书的效力：</w:t>
            </w:r>
            <w:r>
              <w:rPr>
                <w:rFonts w:hint="eastAsia" w:ascii="宋体" w:hAnsi="宋体" w:cs="宋体"/>
                <w:b/>
                <w:bCs/>
                <w:color w:val="auto"/>
                <w:szCs w:val="21"/>
                <w:highlight w:val="none"/>
                <w:u w:val="single"/>
              </w:rPr>
              <w:t>采用本行业通用标准</w:t>
            </w:r>
            <w:r>
              <w:rPr>
                <w:rFonts w:hint="eastAsia" w:ascii="宋体" w:hAnsi="宋体" w:cs="宋体"/>
                <w:b/>
                <w:bCs/>
                <w:color w:val="auto"/>
                <w:szCs w:val="21"/>
                <w:highlight w:val="none"/>
                <w:u w:val="single"/>
                <w:lang w:eastAsia="zh-Hans"/>
              </w:rPr>
              <w:t>及</w:t>
            </w:r>
            <w:r>
              <w:rPr>
                <w:rFonts w:hint="eastAsia" w:ascii="宋体" w:hAnsi="宋体" w:cs="宋体"/>
                <w:b/>
                <w:bCs/>
                <w:color w:val="auto"/>
                <w:szCs w:val="21"/>
                <w:highlight w:val="none"/>
                <w:u w:val="single"/>
              </w:rPr>
              <w:t>《杭州市政府采购履约验收暂行办法》</w:t>
            </w:r>
            <w:r>
              <w:rPr>
                <w:rFonts w:hint="eastAsia" w:ascii="宋体" w:hAnsi="宋体" w:cs="宋体"/>
                <w:b/>
                <w:bCs/>
                <w:color w:val="auto"/>
                <w:szCs w:val="21"/>
                <w:highlight w:val="none"/>
                <w:u w:val="single"/>
                <w:lang w:eastAsia="zh-Hans"/>
              </w:rPr>
              <w:t>，有最新标准的按最新标准进行。</w:t>
            </w:r>
          </w:p>
        </w:tc>
      </w:tr>
      <w:tr w14:paraId="6973B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vAlign w:val="center"/>
          </w:tcPr>
          <w:p w14:paraId="2D75C3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2.19</w:t>
            </w:r>
          </w:p>
        </w:tc>
        <w:tc>
          <w:tcPr>
            <w:tcW w:w="4464" w:type="pct"/>
          </w:tcPr>
          <w:p w14:paraId="063F6200">
            <w:pPr>
              <w:spacing w:line="360" w:lineRule="auto"/>
              <w:jc w:val="left"/>
              <w:rPr>
                <w:rFonts w:ascii="宋体" w:hAnsi="宋体" w:cs="宋体"/>
                <w:color w:val="auto"/>
                <w:sz w:val="21"/>
                <w:szCs w:val="21"/>
                <w:highlight w:val="none"/>
              </w:rPr>
            </w:pPr>
            <w:r>
              <w:rPr>
                <w:rFonts w:hint="eastAsia" w:ascii="宋体" w:hAnsi="宋体" w:cs="宋体"/>
                <w:color w:val="auto"/>
                <w:szCs w:val="21"/>
                <w:highlight w:val="none"/>
              </w:rPr>
              <w:t>合同份数：</w:t>
            </w:r>
            <w:r>
              <w:rPr>
                <w:rFonts w:hint="eastAsia" w:ascii="宋体" w:hAnsi="宋体" w:cs="宋体"/>
                <w:b/>
                <w:bCs/>
                <w:color w:val="auto"/>
                <w:szCs w:val="21"/>
                <w:highlight w:val="none"/>
                <w:u w:val="single"/>
              </w:rPr>
              <w:t>本合同壹式 陆 份，甲方执 叁 份，乙方执 叁 份</w:t>
            </w:r>
            <w:r>
              <w:rPr>
                <w:rFonts w:hint="eastAsia" w:ascii="宋体" w:hAnsi="宋体" w:cs="宋体"/>
                <w:color w:val="auto"/>
                <w:szCs w:val="21"/>
                <w:highlight w:val="none"/>
              </w:rPr>
              <w:t>。每份均具有同等法律效力</w:t>
            </w:r>
          </w:p>
        </w:tc>
      </w:tr>
    </w:tbl>
    <w:p w14:paraId="07E82BF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p>
    <w:p w14:paraId="0A3F3A93">
      <w:pPr>
        <w:pStyle w:val="2"/>
        <w:rPr>
          <w:rFonts w:hint="eastAsia" w:ascii="宋体" w:hAnsi="宋体" w:eastAsia="宋体" w:cs="宋体"/>
          <w:color w:val="auto"/>
          <w:sz w:val="21"/>
          <w:szCs w:val="21"/>
          <w:highlight w:val="none"/>
        </w:rPr>
      </w:pPr>
    </w:p>
    <w:p w14:paraId="18864D7A">
      <w:pPr>
        <w:pStyle w:val="2"/>
        <w:rPr>
          <w:rFonts w:hint="eastAsia" w:ascii="宋体" w:hAnsi="宋体" w:eastAsia="宋体" w:cs="宋体"/>
          <w:color w:val="auto"/>
          <w:sz w:val="21"/>
          <w:szCs w:val="21"/>
          <w:highlight w:val="none"/>
        </w:rPr>
      </w:pPr>
    </w:p>
    <w:p w14:paraId="11353CC3">
      <w:pPr>
        <w:pStyle w:val="2"/>
        <w:rPr>
          <w:rFonts w:hint="eastAsia" w:ascii="宋体" w:hAnsi="宋体" w:eastAsia="宋体" w:cs="宋体"/>
          <w:color w:val="auto"/>
          <w:sz w:val="21"/>
          <w:szCs w:val="21"/>
          <w:highlight w:val="none"/>
        </w:rPr>
      </w:pPr>
    </w:p>
    <w:p w14:paraId="63F37B63">
      <w:pPr>
        <w:spacing w:before="240" w:beforeLines="100" w:after="240" w:afterLines="100" w:line="360" w:lineRule="auto"/>
        <w:jc w:val="center"/>
        <w:outlineLvl w:val="0"/>
        <w:rPr>
          <w:rFonts w:ascii="宋体" w:hAnsi="宋体" w:cs="宋体"/>
          <w:b/>
          <w:color w:val="auto"/>
          <w:sz w:val="36"/>
          <w:szCs w:val="20"/>
          <w:highlight w:val="none"/>
        </w:rPr>
      </w:pPr>
      <w:bookmarkStart w:id="519" w:name="_Toc7996"/>
      <w:bookmarkStart w:id="520" w:name="_Toc25783"/>
      <w:bookmarkStart w:id="521" w:name="_Toc3638"/>
      <w:bookmarkStart w:id="522" w:name="_Toc14115"/>
      <w:bookmarkStart w:id="523" w:name="_Toc23854"/>
      <w:bookmarkStart w:id="524" w:name="_Toc24465"/>
      <w:r>
        <w:rPr>
          <w:rFonts w:hint="eastAsia" w:ascii="宋体" w:hAnsi="宋体" w:cs="宋体"/>
          <w:b/>
          <w:color w:val="auto"/>
          <w:sz w:val="36"/>
          <w:szCs w:val="20"/>
          <w:highlight w:val="none"/>
        </w:rPr>
        <w:t>第六章 应提交的有关格式范例</w:t>
      </w:r>
      <w:bookmarkEnd w:id="519"/>
    </w:p>
    <w:p w14:paraId="01964FF9">
      <w:pPr>
        <w:spacing w:line="360" w:lineRule="auto"/>
        <w:jc w:val="center"/>
        <w:rPr>
          <w:rFonts w:ascii="宋体" w:hAnsi="宋体" w:cs="宋体"/>
          <w:b/>
          <w:color w:val="auto"/>
          <w:kern w:val="0"/>
          <w:sz w:val="36"/>
          <w:szCs w:val="36"/>
          <w:highlight w:val="none"/>
        </w:rPr>
      </w:pPr>
    </w:p>
    <w:p w14:paraId="1033BACF">
      <w:pPr>
        <w:spacing w:line="360" w:lineRule="auto"/>
        <w:jc w:val="center"/>
        <w:outlineLvl w:val="1"/>
        <w:rPr>
          <w:rFonts w:ascii="宋体" w:hAnsi="宋体" w:cs="宋体"/>
          <w:b/>
          <w:color w:val="auto"/>
          <w:kern w:val="0"/>
          <w:sz w:val="36"/>
          <w:szCs w:val="36"/>
          <w:highlight w:val="none"/>
        </w:rPr>
      </w:pPr>
      <w:bookmarkStart w:id="525" w:name="_Toc18382"/>
      <w:r>
        <w:rPr>
          <w:rFonts w:hint="eastAsia" w:ascii="宋体" w:hAnsi="宋体" w:cs="宋体"/>
          <w:b/>
          <w:color w:val="auto"/>
          <w:kern w:val="0"/>
          <w:sz w:val="36"/>
          <w:szCs w:val="36"/>
          <w:highlight w:val="none"/>
        </w:rPr>
        <w:t>第一部分 资格文件</w:t>
      </w:r>
      <w:bookmarkEnd w:id="525"/>
    </w:p>
    <w:p w14:paraId="0EA67C84">
      <w:pPr>
        <w:spacing w:line="360" w:lineRule="auto"/>
        <w:jc w:val="center"/>
        <w:outlineLvl w:val="2"/>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2D44633">
      <w:pPr>
        <w:spacing w:line="360" w:lineRule="auto"/>
        <w:jc w:val="center"/>
        <w:rPr>
          <w:rFonts w:ascii="宋体" w:hAnsi="宋体" w:cs="宋体"/>
          <w:b/>
          <w:color w:val="auto"/>
          <w:kern w:val="0"/>
          <w:sz w:val="36"/>
          <w:szCs w:val="36"/>
          <w:highlight w:val="none"/>
        </w:rPr>
      </w:pPr>
    </w:p>
    <w:p w14:paraId="6D7396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B17C9E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CE728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6BF323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2C8C29B">
      <w:pPr>
        <w:snapToGrid w:val="0"/>
        <w:spacing w:line="360" w:lineRule="auto"/>
        <w:ind w:firstLine="480" w:firstLineChars="200"/>
        <w:rPr>
          <w:rFonts w:ascii="宋体" w:hAnsi="宋体" w:cs="宋体"/>
          <w:color w:val="auto"/>
          <w:sz w:val="24"/>
          <w:highlight w:val="none"/>
        </w:rPr>
      </w:pPr>
    </w:p>
    <w:p w14:paraId="3E80D188">
      <w:pPr>
        <w:spacing w:line="360" w:lineRule="auto"/>
        <w:ind w:firstLine="480" w:firstLineChars="200"/>
        <w:rPr>
          <w:rFonts w:ascii="宋体" w:hAnsi="宋体" w:cs="宋体"/>
          <w:color w:val="auto"/>
          <w:sz w:val="24"/>
          <w:highlight w:val="none"/>
        </w:rPr>
      </w:pPr>
    </w:p>
    <w:p w14:paraId="796C70E9">
      <w:pPr>
        <w:snapToGrid w:val="0"/>
        <w:spacing w:line="360" w:lineRule="auto"/>
        <w:ind w:right="480"/>
        <w:jc w:val="left"/>
        <w:outlineLvl w:val="2"/>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color w:val="auto"/>
          <w:highlight w:val="none"/>
        </w:rPr>
        <w:t>▲</w:t>
      </w:r>
      <w:r>
        <w:rPr>
          <w:rFonts w:hint="eastAsia" w:ascii="宋体" w:hAnsi="宋体" w:cs="宋体"/>
          <w:b/>
          <w:color w:val="auto"/>
          <w:kern w:val="0"/>
          <w:szCs w:val="21"/>
          <w:highlight w:val="none"/>
        </w:rPr>
        <w:t>一、符合参加政府采购活动应当具备的一般条件的承诺函</w:t>
      </w:r>
    </w:p>
    <w:p w14:paraId="29831D76">
      <w:pPr>
        <w:snapToGrid w:val="0"/>
        <w:spacing w:line="360" w:lineRule="auto"/>
        <w:jc w:val="center"/>
        <w:rPr>
          <w:rFonts w:ascii="宋体" w:hAnsi="宋体" w:cs="宋体"/>
          <w:b/>
          <w:color w:val="auto"/>
          <w:kern w:val="0"/>
          <w:sz w:val="32"/>
          <w:szCs w:val="32"/>
          <w:highlight w:val="none"/>
        </w:rPr>
      </w:pPr>
    </w:p>
    <w:p w14:paraId="2EFAA893">
      <w:pPr>
        <w:snapToGrid w:val="0"/>
        <w:spacing w:line="360" w:lineRule="auto"/>
        <w:jc w:val="center"/>
        <w:rPr>
          <w:rFonts w:ascii="宋体" w:hAnsi="宋体"/>
          <w:b/>
          <w:bCs/>
          <w:color w:val="auto"/>
          <w:szCs w:val="21"/>
          <w:highlight w:val="none"/>
          <w:u w:val="single"/>
        </w:rPr>
      </w:pPr>
      <w:r>
        <w:rPr>
          <w:rFonts w:hint="eastAsia" w:ascii="宋体" w:hAnsi="宋体" w:cs="宋体"/>
          <w:b/>
          <w:color w:val="auto"/>
          <w:kern w:val="0"/>
          <w:sz w:val="32"/>
          <w:szCs w:val="32"/>
          <w:highlight w:val="none"/>
        </w:rPr>
        <w:t>符合参加政府采购活动应当具备的一般条件的承诺函</w:t>
      </w:r>
    </w:p>
    <w:p w14:paraId="5D360919">
      <w:pPr>
        <w:snapToGrid w:val="0"/>
        <w:spacing w:line="360" w:lineRule="auto"/>
        <w:rPr>
          <w:rFonts w:ascii="宋体" w:hAnsi="宋体"/>
          <w:b/>
          <w:bCs/>
          <w:color w:val="auto"/>
          <w:szCs w:val="21"/>
          <w:highlight w:val="none"/>
          <w:u w:val="single"/>
        </w:rPr>
      </w:pPr>
    </w:p>
    <w:p w14:paraId="7B6EDA6A">
      <w:pPr>
        <w:snapToGrid w:val="0"/>
        <w:spacing w:line="360" w:lineRule="auto"/>
        <w:rPr>
          <w:rFonts w:ascii="宋体" w:hAnsi="宋体" w:cs="宋体"/>
          <w:color w:val="auto"/>
          <w:szCs w:val="21"/>
          <w:highlight w:val="none"/>
        </w:rPr>
      </w:pPr>
      <w:r>
        <w:rPr>
          <w:rFonts w:hint="eastAsia" w:ascii="宋体" w:hAnsi="宋体" w:cs="宋体"/>
          <w:b/>
          <w:bCs/>
          <w:color w:val="auto"/>
          <w:szCs w:val="21"/>
          <w:highlight w:val="none"/>
          <w:u w:val="single"/>
          <w:lang w:eastAsia="zh-CN"/>
        </w:rPr>
        <w:t>杭州市拱墅区住房和城市建设局</w:t>
      </w:r>
      <w:r>
        <w:rPr>
          <w:rFonts w:hint="eastAsia" w:ascii="宋体" w:hAnsi="宋体" w:cs="宋体"/>
          <w:b/>
          <w:bCs/>
          <w:color w:val="auto"/>
          <w:szCs w:val="21"/>
          <w:highlight w:val="none"/>
          <w:u w:val="single"/>
        </w:rPr>
        <w:t>、浙江省成套招标代理有限公司</w:t>
      </w:r>
      <w:r>
        <w:rPr>
          <w:rFonts w:hint="eastAsia" w:ascii="宋体" w:hAnsi="宋体" w:cs="宋体"/>
          <w:color w:val="auto"/>
          <w:szCs w:val="21"/>
          <w:highlight w:val="none"/>
        </w:rPr>
        <w:t>：</w:t>
      </w:r>
    </w:p>
    <w:p w14:paraId="1EB8992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我方参与</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【项目编号：（项目编号）】政府采购活动，郑重承诺：</w:t>
      </w:r>
    </w:p>
    <w:p w14:paraId="0643679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14:paraId="546CAD6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3A576ED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14:paraId="6EC545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7E5D412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7FB8102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28C4DA8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6、具有法律、行政法规规定的其他条件。</w:t>
      </w:r>
    </w:p>
    <w:p w14:paraId="49DB714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二、未被信用中国（www.creditchina.gov.cn)、中国政府采购网（www.ccgp.gov.cn）列入失信被执行人、重大税收违法案件当事人名单、政府采购严重违法失信行为记录名单。</w:t>
      </w:r>
    </w:p>
    <w:p w14:paraId="7EDE515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三、不存在以下情况</w:t>
      </w:r>
    </w:p>
    <w:p w14:paraId="74879A3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1、单位负责人为同一人或者存在直接控股、管理关系的不同供应商参加同一合同项下的政府采购活动的；</w:t>
      </w:r>
    </w:p>
    <w:p w14:paraId="711C66B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2、为采购项目提供整体设计、规范编制或者项目管理、监理、检测等服务后再参加该采购项目的其他采购活动的。</w:t>
      </w:r>
    </w:p>
    <w:p w14:paraId="761C1BFF">
      <w:pPr>
        <w:pStyle w:val="26"/>
        <w:rPr>
          <w:rFonts w:hAnsi="宋体" w:cs="宋体"/>
          <w:color w:val="auto"/>
          <w:sz w:val="21"/>
          <w:szCs w:val="21"/>
          <w:highlight w:val="none"/>
          <w:lang w:val="en-US"/>
        </w:rPr>
      </w:pPr>
      <w:r>
        <w:rPr>
          <w:rFonts w:hint="eastAsia" w:hAnsi="宋体" w:cs="宋体"/>
          <w:color w:val="auto"/>
          <w:sz w:val="21"/>
          <w:szCs w:val="21"/>
          <w:highlight w:val="none"/>
          <w:lang w:val="en-US"/>
        </w:rPr>
        <w:t>四、我单位独立参加本项目投标，没有与任何单位组成联合体。</w:t>
      </w:r>
    </w:p>
    <w:p w14:paraId="4EB40CEC">
      <w:pPr>
        <w:pStyle w:val="52"/>
        <w:rPr>
          <w:color w:val="auto"/>
          <w:highlight w:val="none"/>
        </w:rPr>
      </w:pPr>
    </w:p>
    <w:p w14:paraId="70BBDDB4">
      <w:pPr>
        <w:snapToGrid w:val="0"/>
        <w:spacing w:line="360" w:lineRule="auto"/>
        <w:ind w:firstLine="4830" w:firstLineChars="2300"/>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投标人名称(电子签名)：</w:t>
      </w:r>
    </w:p>
    <w:p w14:paraId="633EBF63">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03025369">
      <w:pPr>
        <w:snapToGrid w:val="0"/>
        <w:spacing w:line="360" w:lineRule="auto"/>
        <w:ind w:right="480"/>
        <w:jc w:val="center"/>
        <w:rPr>
          <w:rFonts w:ascii="宋体" w:hAnsi="宋体" w:cs="宋体"/>
          <w:b/>
          <w:color w:val="auto"/>
          <w:kern w:val="0"/>
          <w:szCs w:val="21"/>
          <w:highlight w:val="none"/>
        </w:rPr>
      </w:pPr>
    </w:p>
    <w:p w14:paraId="5CB3A339">
      <w:pPr>
        <w:autoSpaceDE w:val="0"/>
        <w:autoSpaceDN w:val="0"/>
        <w:snapToGrid w:val="0"/>
        <w:spacing w:line="360" w:lineRule="auto"/>
        <w:ind w:firstLine="371" w:firstLineChars="176"/>
        <w:rPr>
          <w:rFonts w:ascii="宋体" w:hAnsi="宋体" w:cs="宋体"/>
          <w:iCs/>
          <w:color w:val="auto"/>
          <w:szCs w:val="21"/>
          <w:highlight w:val="none"/>
        </w:rPr>
      </w:pPr>
      <w:r>
        <w:rPr>
          <w:rFonts w:hint="eastAsia" w:ascii="宋体" w:hAnsi="宋体" w:cs="宋体"/>
          <w:b/>
          <w:iCs/>
          <w:color w:val="auto"/>
          <w:kern w:val="0"/>
          <w:szCs w:val="21"/>
          <w:highlight w:val="none"/>
        </w:rPr>
        <w:t>备注：1.</w:t>
      </w:r>
      <w:r>
        <w:rPr>
          <w:rFonts w:hint="eastAsia" w:ascii="宋体" w:hAnsi="宋体" w:cs="宋体"/>
          <w:b/>
          <w:iCs/>
          <w:color w:val="auto"/>
          <w:szCs w:val="21"/>
          <w:highlight w:val="none"/>
          <w:u w:val="single"/>
        </w:rPr>
        <w:t>投标人须按本格式和要求提供本函，否则投标无效。</w:t>
      </w:r>
    </w:p>
    <w:p w14:paraId="0C9CEEB0">
      <w:pPr>
        <w:rPr>
          <w:color w:val="auto"/>
          <w:highlight w:val="none"/>
        </w:rPr>
      </w:pPr>
      <w:r>
        <w:rPr>
          <w:color w:val="auto"/>
          <w:highlight w:val="none"/>
        </w:rPr>
        <w:br w:type="page"/>
      </w:r>
    </w:p>
    <w:p w14:paraId="51652FC9">
      <w:pPr>
        <w:rPr>
          <w:color w:val="auto"/>
          <w:highlight w:val="none"/>
        </w:rPr>
      </w:pPr>
    </w:p>
    <w:p w14:paraId="7E9BD0E6">
      <w:pPr>
        <w:snapToGrid w:val="0"/>
        <w:spacing w:line="360" w:lineRule="auto"/>
        <w:ind w:right="480"/>
        <w:jc w:val="center"/>
        <w:rPr>
          <w:rFonts w:ascii="宋体" w:hAnsi="宋体" w:cs="宋体"/>
          <w:b/>
          <w:color w:val="auto"/>
          <w:kern w:val="0"/>
          <w:sz w:val="32"/>
          <w:szCs w:val="32"/>
          <w:highlight w:val="none"/>
        </w:rPr>
      </w:pPr>
      <w:r>
        <w:rPr>
          <w:rFonts w:hint="eastAsia"/>
          <w:b/>
          <w:bCs/>
          <w:color w:val="auto"/>
          <w:sz w:val="28"/>
          <w:szCs w:val="28"/>
          <w:highlight w:val="none"/>
        </w:rPr>
        <w:t>投标人（联合体各方）营业执照（或其他同类证明文件）</w:t>
      </w:r>
    </w:p>
    <w:tbl>
      <w:tblPr>
        <w:tblStyle w:val="63"/>
        <w:tblW w:w="9037" w:type="dxa"/>
        <w:tblInd w:w="108" w:type="dxa"/>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Layout w:type="fixed"/>
        <w:tblCellMar>
          <w:top w:w="0" w:type="dxa"/>
          <w:left w:w="108" w:type="dxa"/>
          <w:bottom w:w="0" w:type="dxa"/>
          <w:right w:w="108" w:type="dxa"/>
        </w:tblCellMar>
      </w:tblPr>
      <w:tblGrid>
        <w:gridCol w:w="9037"/>
      </w:tblGrid>
      <w:tr w14:paraId="3BA36A85">
        <w:tblPrEx>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CellMar>
            <w:top w:w="0" w:type="dxa"/>
            <w:left w:w="108" w:type="dxa"/>
            <w:bottom w:w="0" w:type="dxa"/>
            <w:right w:w="108" w:type="dxa"/>
          </w:tblCellMar>
        </w:tblPrEx>
        <w:trPr>
          <w:trHeight w:val="3019" w:hRule="atLeast"/>
        </w:trPr>
        <w:tc>
          <w:tcPr>
            <w:tcW w:w="9037" w:type="dxa"/>
            <w:vAlign w:val="center"/>
          </w:tcPr>
          <w:p w14:paraId="2DA009AD">
            <w:pPr>
              <w:spacing w:line="360" w:lineRule="auto"/>
              <w:jc w:val="center"/>
              <w:rPr>
                <w:rFonts w:ascii="宋体" w:hAnsi="宋体" w:cs="Arial"/>
                <w:b/>
                <w:color w:val="auto"/>
                <w:kern w:val="0"/>
                <w:sz w:val="32"/>
                <w:szCs w:val="28"/>
                <w:highlight w:val="none"/>
              </w:rPr>
            </w:pPr>
            <w:r>
              <w:rPr>
                <w:rFonts w:hint="eastAsia" w:ascii="仿宋" w:hAnsi="仿宋" w:eastAsia="仿宋"/>
                <w:color w:val="auto"/>
                <w:sz w:val="32"/>
                <w:highlight w:val="none"/>
              </w:rPr>
              <w:t>提供扫描件，加盖投标人（联合体各方）电子签名或公章</w:t>
            </w:r>
          </w:p>
        </w:tc>
      </w:tr>
    </w:tbl>
    <w:p w14:paraId="6BDB6D8E">
      <w:pPr>
        <w:snapToGrid w:val="0"/>
        <w:spacing w:line="360" w:lineRule="auto"/>
        <w:ind w:right="480"/>
        <w:jc w:val="center"/>
        <w:rPr>
          <w:rFonts w:ascii="宋体" w:hAnsi="宋体" w:cs="宋体"/>
          <w:b/>
          <w:color w:val="auto"/>
          <w:kern w:val="0"/>
          <w:sz w:val="32"/>
          <w:szCs w:val="32"/>
          <w:highlight w:val="none"/>
        </w:rPr>
      </w:pPr>
    </w:p>
    <w:p w14:paraId="1108AB75">
      <w:pPr>
        <w:autoSpaceDE w:val="0"/>
        <w:autoSpaceDN w:val="0"/>
        <w:spacing w:line="360" w:lineRule="auto"/>
        <w:ind w:firstLine="424" w:firstLineChars="176"/>
        <w:rPr>
          <w:rFonts w:ascii="新宋体" w:hAnsi="新宋体" w:eastAsia="新宋体" w:cs="宋体"/>
          <w:b/>
          <w:iCs/>
          <w:color w:val="auto"/>
          <w:kern w:val="0"/>
          <w:sz w:val="24"/>
          <w:szCs w:val="22"/>
          <w:highlight w:val="none"/>
        </w:rPr>
      </w:pPr>
      <w:r>
        <w:rPr>
          <w:rFonts w:hint="eastAsia" w:ascii="新宋体" w:hAnsi="新宋体" w:eastAsia="新宋体"/>
          <w:b/>
          <w:i/>
          <w:color w:val="auto"/>
          <w:sz w:val="24"/>
          <w:highlight w:val="none"/>
        </w:rPr>
        <w:t>备注：</w:t>
      </w:r>
      <w:r>
        <w:rPr>
          <w:rFonts w:hint="eastAsia" w:ascii="新宋体" w:hAnsi="新宋体" w:eastAsia="新宋体" w:cs="宋体"/>
          <w:b/>
          <w:iCs/>
          <w:color w:val="auto"/>
          <w:kern w:val="0"/>
          <w:sz w:val="24"/>
          <w:szCs w:val="22"/>
          <w:highlight w:val="none"/>
        </w:rPr>
        <w:t>（1）营业执照（或同类证明文件）不强制提供。</w:t>
      </w:r>
    </w:p>
    <w:p w14:paraId="24F83DBD">
      <w:pPr>
        <w:autoSpaceDE w:val="0"/>
        <w:autoSpaceDN w:val="0"/>
        <w:spacing w:line="360" w:lineRule="auto"/>
        <w:ind w:firstLine="422" w:firstLineChars="176"/>
        <w:rPr>
          <w:rFonts w:ascii="宋体" w:hAnsi="宋体" w:cs="宋体"/>
          <w:b/>
          <w:color w:val="auto"/>
          <w:kern w:val="0"/>
          <w:sz w:val="32"/>
          <w:szCs w:val="32"/>
          <w:highlight w:val="none"/>
        </w:rPr>
      </w:pPr>
      <w:r>
        <w:rPr>
          <w:rFonts w:hint="eastAsia" w:ascii="新宋体" w:hAnsi="新宋体" w:eastAsia="新宋体" w:cs="宋体"/>
          <w:bCs/>
          <w:iCs/>
          <w:color w:val="auto"/>
          <w:kern w:val="0"/>
          <w:sz w:val="24"/>
          <w:szCs w:val="22"/>
          <w:highlight w:val="none"/>
        </w:rPr>
        <w:t>（2）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14:paraId="52EA32E5">
      <w:pPr>
        <w:widowControl/>
        <w:spacing w:line="360" w:lineRule="auto"/>
        <w:ind w:firstLine="643" w:firstLineChars="200"/>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二、联合协议（如果是）</w:t>
      </w:r>
    </w:p>
    <w:p w14:paraId="6BD27FA3">
      <w:pPr>
        <w:widowControl/>
        <w:spacing w:line="360" w:lineRule="auto"/>
        <w:jc w:val="left"/>
        <w:rPr>
          <w:rFonts w:ascii="宋体" w:hAnsi="宋体" w:cs="宋体"/>
          <w:b/>
          <w:color w:val="auto"/>
          <w:sz w:val="24"/>
          <w:highlight w:val="none"/>
        </w:rPr>
      </w:pPr>
      <w:r>
        <w:rPr>
          <w:rFonts w:hint="eastAsia" w:ascii="宋体" w:hAnsi="宋体" w:cs="宋体"/>
          <w:b/>
          <w:color w:val="auto"/>
          <w:sz w:val="24"/>
          <w:highlight w:val="none"/>
        </w:rPr>
        <w:t>备注：</w:t>
      </w:r>
    </w:p>
    <w:p w14:paraId="7DF2AABD">
      <w:pPr>
        <w:widowControl/>
        <w:spacing w:line="360" w:lineRule="auto"/>
        <w:ind w:firstLine="422" w:firstLineChars="200"/>
        <w:jc w:val="left"/>
        <w:rPr>
          <w:rFonts w:ascii="宋体" w:hAnsi="宋体" w:eastAsia="新宋体" w:cs="宋体"/>
          <w:b/>
          <w:color w:val="auto"/>
          <w:sz w:val="24"/>
          <w:highlight w:val="none"/>
        </w:rPr>
      </w:pPr>
      <w:r>
        <w:rPr>
          <w:rFonts w:hint="eastAsia"/>
          <w:b/>
          <w:bCs/>
          <w:color w:val="auto"/>
          <w:highlight w:val="none"/>
          <w:u w:val="single"/>
        </w:rPr>
        <w:t>▲</w:t>
      </w:r>
      <w:r>
        <w:rPr>
          <w:rFonts w:hint="eastAsia" w:ascii="宋体" w:hAnsi="宋体" w:cs="宋体"/>
          <w:b/>
          <w:bCs/>
          <w:color w:val="auto"/>
          <w:sz w:val="24"/>
          <w:highlight w:val="none"/>
          <w:u w:val="single"/>
        </w:rPr>
        <w:t>投标人以联合体形式投标的，应当提供联合体协议，否则投标无效</w:t>
      </w:r>
      <w:r>
        <w:rPr>
          <w:rFonts w:hint="eastAsia" w:ascii="宋体" w:hAnsi="宋体" w:cs="宋体"/>
          <w:b/>
          <w:color w:val="auto"/>
          <w:sz w:val="24"/>
          <w:highlight w:val="none"/>
        </w:rPr>
        <w:t>,格式见第七章附件5；本项目不接受联合体投标或者投标人不以联合体形式投标的，则不需要提供</w:t>
      </w:r>
      <w:r>
        <w:rPr>
          <w:rFonts w:hint="eastAsia" w:ascii="宋体" w:hAnsi="宋体" w:cs="宋体"/>
          <w:b/>
          <w:color w:val="auto"/>
          <w:sz w:val="24"/>
          <w:highlight w:val="none"/>
          <w:u w:val="single"/>
        </w:rPr>
        <w:t>（政采云平台材料上传时，上传全空白页面即可）</w:t>
      </w:r>
      <w:r>
        <w:rPr>
          <w:rFonts w:hint="eastAsia" w:ascii="宋体" w:hAnsi="宋体" w:cs="宋体"/>
          <w:b/>
          <w:color w:val="auto"/>
          <w:sz w:val="24"/>
          <w:highlight w:val="none"/>
        </w:rPr>
        <w:t>。</w:t>
      </w:r>
    </w:p>
    <w:p w14:paraId="70FB57A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24"/>
          <w:highlight w:val="none"/>
          <w:u w:val="single"/>
        </w:rPr>
        <w:t>本项目不接受联合体投标</w:t>
      </w:r>
    </w:p>
    <w:p w14:paraId="1CC3C494">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8DCE469">
      <w:pPr>
        <w:pStyle w:val="60"/>
        <w:rPr>
          <w:color w:val="auto"/>
          <w:highlight w:val="none"/>
        </w:rPr>
      </w:pPr>
    </w:p>
    <w:p w14:paraId="2F2D97D1">
      <w:pPr>
        <w:widowControl/>
        <w:spacing w:line="360" w:lineRule="auto"/>
        <w:ind w:firstLine="643" w:firstLineChars="200"/>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C7CC6B2">
      <w:pPr>
        <w:snapToGrid w:val="0"/>
        <w:spacing w:before="50" w:after="50"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03D5243">
      <w:pPr>
        <w:spacing w:line="360" w:lineRule="auto"/>
        <w:ind w:firstLine="480" w:firstLineChars="200"/>
        <w:rPr>
          <w:rFonts w:ascii="宋体" w:hAnsi="宋体" w:cs="宋体"/>
          <w:color w:val="auto"/>
          <w:sz w:val="24"/>
          <w:highlight w:val="none"/>
        </w:rPr>
      </w:pPr>
    </w:p>
    <w:p w14:paraId="29C49B1D">
      <w:pPr>
        <w:widowControl/>
        <w:spacing w:line="360" w:lineRule="auto"/>
        <w:ind w:left="150"/>
        <w:jc w:val="center"/>
        <w:rPr>
          <w:rFonts w:ascii="宋体" w:hAnsi="宋体" w:cs="宋体"/>
          <w:b/>
          <w:color w:val="auto"/>
          <w:kern w:val="0"/>
          <w:sz w:val="32"/>
          <w:szCs w:val="32"/>
          <w:highlight w:val="none"/>
        </w:rPr>
      </w:pPr>
    </w:p>
    <w:p w14:paraId="4CF1900D">
      <w:pPr>
        <w:widowControl/>
        <w:spacing w:line="360" w:lineRule="auto"/>
        <w:ind w:firstLine="643" w:firstLineChars="200"/>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3C959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0B00B4F">
      <w:pPr>
        <w:spacing w:line="360" w:lineRule="auto"/>
        <w:ind w:firstLine="482" w:firstLineChars="200"/>
        <w:jc w:val="center"/>
        <w:rPr>
          <w:rFonts w:ascii="宋体" w:hAnsi="宋体" w:cs="宋体"/>
          <w:color w:val="auto"/>
          <w:highlight w:val="none"/>
        </w:rPr>
      </w:pPr>
      <w:r>
        <w:rPr>
          <w:rFonts w:hint="eastAsia" w:ascii="宋体" w:hAnsi="宋体" w:cs="宋体"/>
          <w:b/>
          <w:bCs/>
          <w:color w:val="auto"/>
          <w:sz w:val="24"/>
          <w:highlight w:val="none"/>
          <w:u w:val="single"/>
        </w:rPr>
        <w:t>本项目要求：</w:t>
      </w:r>
      <w:r>
        <w:rPr>
          <w:rFonts w:hint="eastAsia" w:ascii="宋体" w:hAnsi="宋体" w:cs="宋体"/>
          <w:color w:val="auto"/>
          <w:sz w:val="24"/>
          <w:highlight w:val="none"/>
        </w:rPr>
        <w:t>投标人具有城乡规划编制单位甲级资质</w:t>
      </w:r>
      <w:r>
        <w:rPr>
          <w:rFonts w:hint="eastAsia" w:ascii="宋体" w:hAnsi="宋体" w:cs="宋体"/>
          <w:b/>
          <w:bCs/>
          <w:color w:val="auto"/>
          <w:szCs w:val="21"/>
          <w:highlight w:val="none"/>
        </w:rPr>
        <w:t>。</w:t>
      </w:r>
    </w:p>
    <w:p w14:paraId="626B17E9">
      <w:pPr>
        <w:rPr>
          <w:rFonts w:ascii="宋体" w:hAnsi="宋体" w:cs="宋体"/>
          <w:color w:val="auto"/>
          <w:highlight w:val="none"/>
        </w:rPr>
      </w:pPr>
    </w:p>
    <w:p w14:paraId="4EAB77C1">
      <w:pPr>
        <w:snapToGrid w:val="0"/>
        <w:spacing w:line="360" w:lineRule="auto"/>
        <w:ind w:right="480"/>
        <w:jc w:val="center"/>
        <w:rPr>
          <w:rFonts w:ascii="宋体" w:hAnsi="宋体" w:cs="宋体"/>
          <w:b/>
          <w:color w:val="auto"/>
          <w:kern w:val="0"/>
          <w:sz w:val="32"/>
          <w:szCs w:val="32"/>
          <w:highlight w:val="none"/>
        </w:rPr>
      </w:pPr>
    </w:p>
    <w:p w14:paraId="5B7756EB">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8466A75">
      <w:pPr>
        <w:spacing w:line="360" w:lineRule="auto"/>
        <w:jc w:val="center"/>
        <w:outlineLvl w:val="1"/>
        <w:rPr>
          <w:rFonts w:ascii="宋体" w:hAnsi="宋体" w:cs="宋体"/>
          <w:b/>
          <w:color w:val="auto"/>
          <w:kern w:val="0"/>
          <w:sz w:val="36"/>
          <w:szCs w:val="36"/>
          <w:highlight w:val="none"/>
        </w:rPr>
      </w:pPr>
      <w:bookmarkStart w:id="526" w:name="_Toc16888"/>
      <w:r>
        <w:rPr>
          <w:rFonts w:hint="eastAsia" w:ascii="宋体" w:hAnsi="宋体" w:cs="宋体"/>
          <w:b/>
          <w:color w:val="auto"/>
          <w:kern w:val="0"/>
          <w:sz w:val="36"/>
          <w:szCs w:val="36"/>
          <w:highlight w:val="none"/>
        </w:rPr>
        <w:t>第二部分 商务技术文件</w:t>
      </w:r>
      <w:bookmarkEnd w:id="526"/>
    </w:p>
    <w:p w14:paraId="1F9FD95E">
      <w:pPr>
        <w:spacing w:line="360" w:lineRule="auto"/>
        <w:jc w:val="center"/>
        <w:rPr>
          <w:rFonts w:ascii="宋体" w:hAnsi="宋体" w:cs="宋体"/>
          <w:b/>
          <w:color w:val="auto"/>
          <w:kern w:val="0"/>
          <w:sz w:val="24"/>
          <w:highlight w:val="none"/>
        </w:rPr>
      </w:pPr>
    </w:p>
    <w:p w14:paraId="1B81282C">
      <w:pPr>
        <w:spacing w:line="360" w:lineRule="auto"/>
        <w:jc w:val="center"/>
        <w:outlineLvl w:val="2"/>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1CC831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9EEA7D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67C3F1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08FAB5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04CFB8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C4B50DD">
      <w:pPr>
        <w:snapToGrid w:val="0"/>
        <w:spacing w:line="360" w:lineRule="auto"/>
        <w:jc w:val="center"/>
        <w:rPr>
          <w:rFonts w:ascii="宋体" w:hAnsi="宋体" w:cs="宋体"/>
          <w:b/>
          <w:color w:val="auto"/>
          <w:kern w:val="0"/>
          <w:sz w:val="32"/>
          <w:szCs w:val="32"/>
          <w:highlight w:val="none"/>
          <w:lang w:val="zh-CN"/>
        </w:rPr>
      </w:pPr>
    </w:p>
    <w:p w14:paraId="3BD6B3D0">
      <w:pPr>
        <w:snapToGrid w:val="0"/>
        <w:spacing w:line="360" w:lineRule="auto"/>
        <w:jc w:val="center"/>
        <w:rPr>
          <w:rFonts w:ascii="宋体" w:hAnsi="宋体" w:cs="宋体"/>
          <w:b/>
          <w:color w:val="auto"/>
          <w:kern w:val="0"/>
          <w:sz w:val="32"/>
          <w:szCs w:val="32"/>
          <w:highlight w:val="none"/>
          <w:lang w:val="zh-CN"/>
        </w:rPr>
      </w:pPr>
    </w:p>
    <w:p w14:paraId="227AABF6">
      <w:pPr>
        <w:snapToGrid w:val="0"/>
        <w:spacing w:line="360" w:lineRule="auto"/>
        <w:jc w:val="center"/>
        <w:rPr>
          <w:rFonts w:ascii="宋体" w:hAnsi="宋体" w:cs="宋体"/>
          <w:b/>
          <w:color w:val="auto"/>
          <w:kern w:val="0"/>
          <w:sz w:val="32"/>
          <w:szCs w:val="32"/>
          <w:highlight w:val="none"/>
          <w:lang w:val="zh-CN"/>
        </w:rPr>
      </w:pPr>
    </w:p>
    <w:p w14:paraId="0E3599BE">
      <w:pPr>
        <w:snapToGrid w:val="0"/>
        <w:spacing w:line="360" w:lineRule="auto"/>
        <w:jc w:val="center"/>
        <w:rPr>
          <w:rFonts w:ascii="宋体" w:hAnsi="宋体" w:cs="宋体"/>
          <w:b/>
          <w:color w:val="auto"/>
          <w:kern w:val="0"/>
          <w:sz w:val="32"/>
          <w:szCs w:val="32"/>
          <w:highlight w:val="none"/>
          <w:lang w:val="zh-CN"/>
        </w:rPr>
      </w:pPr>
    </w:p>
    <w:p w14:paraId="7DA6F7DC">
      <w:pPr>
        <w:snapToGrid w:val="0"/>
        <w:spacing w:line="360" w:lineRule="auto"/>
        <w:jc w:val="center"/>
        <w:rPr>
          <w:rFonts w:ascii="宋体" w:hAnsi="宋体" w:cs="宋体"/>
          <w:b/>
          <w:color w:val="auto"/>
          <w:kern w:val="0"/>
          <w:sz w:val="32"/>
          <w:szCs w:val="32"/>
          <w:highlight w:val="none"/>
          <w:lang w:val="zh-CN"/>
        </w:rPr>
      </w:pPr>
    </w:p>
    <w:p w14:paraId="5918A4B7">
      <w:pPr>
        <w:snapToGrid w:val="0"/>
        <w:spacing w:line="360" w:lineRule="auto"/>
        <w:jc w:val="center"/>
        <w:rPr>
          <w:rFonts w:ascii="宋体" w:hAnsi="宋体" w:cs="宋体"/>
          <w:b/>
          <w:color w:val="auto"/>
          <w:kern w:val="0"/>
          <w:sz w:val="32"/>
          <w:szCs w:val="32"/>
          <w:highlight w:val="none"/>
          <w:lang w:val="zh-CN"/>
        </w:rPr>
      </w:pPr>
    </w:p>
    <w:p w14:paraId="196BE82A">
      <w:pPr>
        <w:snapToGrid w:val="0"/>
        <w:spacing w:line="360" w:lineRule="auto"/>
        <w:jc w:val="center"/>
        <w:rPr>
          <w:rFonts w:ascii="宋体" w:hAnsi="宋体" w:cs="宋体"/>
          <w:b/>
          <w:color w:val="auto"/>
          <w:kern w:val="0"/>
          <w:sz w:val="32"/>
          <w:szCs w:val="32"/>
          <w:highlight w:val="none"/>
          <w:lang w:val="zh-CN"/>
        </w:rPr>
      </w:pPr>
    </w:p>
    <w:p w14:paraId="2C40E37C">
      <w:pPr>
        <w:snapToGrid w:val="0"/>
        <w:spacing w:line="360" w:lineRule="auto"/>
        <w:jc w:val="center"/>
        <w:rPr>
          <w:rFonts w:ascii="宋体" w:hAnsi="宋体" w:cs="宋体"/>
          <w:b/>
          <w:color w:val="auto"/>
          <w:kern w:val="0"/>
          <w:sz w:val="32"/>
          <w:szCs w:val="32"/>
          <w:highlight w:val="none"/>
          <w:lang w:val="zh-CN"/>
        </w:rPr>
      </w:pPr>
    </w:p>
    <w:p w14:paraId="78288F60">
      <w:pPr>
        <w:snapToGrid w:val="0"/>
        <w:spacing w:line="360" w:lineRule="auto"/>
        <w:jc w:val="center"/>
        <w:rPr>
          <w:rFonts w:ascii="宋体" w:hAnsi="宋体" w:cs="宋体"/>
          <w:b/>
          <w:color w:val="auto"/>
          <w:kern w:val="0"/>
          <w:sz w:val="32"/>
          <w:szCs w:val="32"/>
          <w:highlight w:val="none"/>
          <w:lang w:val="zh-CN"/>
        </w:rPr>
      </w:pPr>
    </w:p>
    <w:p w14:paraId="292C543E">
      <w:pPr>
        <w:snapToGrid w:val="0"/>
        <w:spacing w:line="360" w:lineRule="auto"/>
        <w:jc w:val="center"/>
        <w:rPr>
          <w:rFonts w:ascii="宋体" w:hAnsi="宋体" w:cs="宋体"/>
          <w:b/>
          <w:color w:val="auto"/>
          <w:kern w:val="0"/>
          <w:sz w:val="32"/>
          <w:szCs w:val="32"/>
          <w:highlight w:val="none"/>
          <w:lang w:val="zh-CN"/>
        </w:rPr>
      </w:pPr>
    </w:p>
    <w:p w14:paraId="6D1D5DF8">
      <w:pPr>
        <w:snapToGrid w:val="0"/>
        <w:spacing w:line="360" w:lineRule="auto"/>
        <w:jc w:val="center"/>
        <w:rPr>
          <w:rFonts w:ascii="宋体" w:hAnsi="宋体" w:cs="宋体"/>
          <w:b/>
          <w:color w:val="auto"/>
          <w:kern w:val="0"/>
          <w:sz w:val="32"/>
          <w:szCs w:val="32"/>
          <w:highlight w:val="none"/>
          <w:lang w:val="zh-CN"/>
        </w:rPr>
      </w:pPr>
    </w:p>
    <w:p w14:paraId="694BE5D9">
      <w:pPr>
        <w:snapToGrid w:val="0"/>
        <w:spacing w:line="360" w:lineRule="auto"/>
        <w:jc w:val="center"/>
        <w:rPr>
          <w:rFonts w:ascii="宋体" w:hAnsi="宋体" w:cs="宋体"/>
          <w:b/>
          <w:color w:val="auto"/>
          <w:kern w:val="0"/>
          <w:sz w:val="32"/>
          <w:szCs w:val="32"/>
          <w:highlight w:val="none"/>
          <w:lang w:val="zh-CN"/>
        </w:rPr>
      </w:pPr>
    </w:p>
    <w:p w14:paraId="107C908C">
      <w:pPr>
        <w:rPr>
          <w:rFonts w:ascii="宋体" w:hAnsi="宋体" w:cs="宋体"/>
          <w:b/>
          <w:color w:val="auto"/>
          <w:kern w:val="0"/>
          <w:sz w:val="32"/>
          <w:szCs w:val="32"/>
          <w:highlight w:val="none"/>
          <w:lang w:val="zh-CN"/>
        </w:rPr>
      </w:pPr>
    </w:p>
    <w:p w14:paraId="6AFA371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A404DCD">
      <w:pPr>
        <w:snapToGrid w:val="0"/>
        <w:spacing w:line="360" w:lineRule="auto"/>
        <w:jc w:val="left"/>
        <w:outlineLvl w:val="2"/>
        <w:rPr>
          <w:rFonts w:ascii="宋体" w:hAnsi="宋体" w:cs="宋体"/>
          <w:b/>
          <w:color w:val="auto"/>
          <w:szCs w:val="21"/>
          <w:highlight w:val="none"/>
        </w:rPr>
      </w:pPr>
      <w:r>
        <w:rPr>
          <w:rFonts w:hint="eastAsia"/>
          <w:color w:val="auto"/>
          <w:highlight w:val="none"/>
        </w:rPr>
        <w:t>▲</w:t>
      </w:r>
      <w:r>
        <w:rPr>
          <w:rFonts w:hint="eastAsia" w:ascii="宋体" w:hAnsi="宋体" w:cs="宋体"/>
          <w:b/>
          <w:color w:val="auto"/>
          <w:kern w:val="0"/>
          <w:szCs w:val="21"/>
          <w:highlight w:val="none"/>
        </w:rPr>
        <w:t>一、投标</w:t>
      </w:r>
      <w:r>
        <w:rPr>
          <w:rFonts w:hint="eastAsia" w:ascii="宋体" w:hAnsi="宋体" w:cs="宋体"/>
          <w:b/>
          <w:color w:val="auto"/>
          <w:szCs w:val="21"/>
          <w:highlight w:val="none"/>
        </w:rPr>
        <w:t>函</w:t>
      </w:r>
    </w:p>
    <w:p w14:paraId="312F78E0">
      <w:pPr>
        <w:snapToGrid w:val="0"/>
        <w:spacing w:before="240" w:beforeLines="100"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投标函</w:t>
      </w:r>
    </w:p>
    <w:p w14:paraId="5F2746B9">
      <w:pPr>
        <w:snapToGrid w:val="0"/>
        <w:spacing w:line="360" w:lineRule="auto"/>
        <w:rPr>
          <w:rFonts w:ascii="宋体" w:hAnsi="宋体" w:cs="宋体"/>
          <w:color w:val="auto"/>
          <w:sz w:val="24"/>
          <w:highlight w:val="none"/>
        </w:rPr>
      </w:pPr>
      <w:r>
        <w:rPr>
          <w:rFonts w:hint="eastAsia" w:ascii="宋体" w:hAnsi="宋体"/>
          <w:b/>
          <w:bCs/>
          <w:color w:val="auto"/>
          <w:szCs w:val="21"/>
          <w:highlight w:val="none"/>
          <w:u w:val="single"/>
          <w:lang w:eastAsia="zh-CN"/>
        </w:rPr>
        <w:t>杭州市拱墅区住房和城市建设局</w:t>
      </w:r>
      <w:r>
        <w:rPr>
          <w:rFonts w:hint="eastAsia" w:ascii="宋体" w:hAnsi="宋体"/>
          <w:b/>
          <w:bCs/>
          <w:color w:val="auto"/>
          <w:szCs w:val="21"/>
          <w:highlight w:val="none"/>
          <w:u w:val="single"/>
        </w:rPr>
        <w:t>、浙江省成套招标代理有限公司</w:t>
      </w:r>
      <w:r>
        <w:rPr>
          <w:rFonts w:hint="eastAsia" w:ascii="宋体" w:hAnsi="宋体" w:cs="宋体"/>
          <w:color w:val="auto"/>
          <w:szCs w:val="21"/>
          <w:highlight w:val="none"/>
        </w:rPr>
        <w:t>：</w:t>
      </w:r>
    </w:p>
    <w:p w14:paraId="4654987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我方参加你方组织的</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【项目编号：（项目编号）】招标的有关活动，并对此项目进行投标。为此：</w:t>
      </w:r>
    </w:p>
    <w:p w14:paraId="7692500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1、我方承诺投标有效期从提交投标文件的截止之日起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天（不少于90天），本投标文件在投标有效期满之前均具有约束力。</w:t>
      </w:r>
    </w:p>
    <w:p w14:paraId="16AC557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2、我方的投标文件包括以下内容：资格文件、商务技术</w:t>
      </w:r>
      <w:r>
        <w:rPr>
          <w:rFonts w:hint="eastAsia" w:ascii="宋体" w:hAnsi="宋体" w:cs="宋体"/>
          <w:color w:val="auto"/>
          <w:szCs w:val="21"/>
          <w:highlight w:val="none"/>
          <w:lang w:val="zh-CN"/>
        </w:rPr>
        <w:t>文件、</w:t>
      </w:r>
      <w:r>
        <w:rPr>
          <w:rFonts w:hint="eastAsia" w:ascii="宋体" w:hAnsi="宋体" w:cs="宋体"/>
          <w:color w:val="auto"/>
          <w:szCs w:val="21"/>
          <w:highlight w:val="none"/>
        </w:rPr>
        <w:t>报价文件。</w:t>
      </w:r>
    </w:p>
    <w:p w14:paraId="070980B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3、我方承诺除商务技术偏离表列出的偏离外，我方响应招标文件的全部要求。对投标文件中材料的真实性、合法性负责，积极配合采购人、采购代理机构复核投标文件中的资料。</w:t>
      </w:r>
    </w:p>
    <w:p w14:paraId="37EC0CF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4、如我方中标，我方承诺：</w:t>
      </w:r>
    </w:p>
    <w:p w14:paraId="3E7D0F1F">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4.1在收到中标通知书后，在中标通知书规定的期限内与你方签订合同； </w:t>
      </w:r>
    </w:p>
    <w:p w14:paraId="7F392742">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4.2在签订合同时不向你方提出附加条件； </w:t>
      </w:r>
    </w:p>
    <w:p w14:paraId="41F8599C">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4.3按照采购文件要求提交履约保证金（如有）； </w:t>
      </w:r>
    </w:p>
    <w:p w14:paraId="250C3330">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4.4在合同约定的期限内完成合同规定的全部义务。 </w:t>
      </w:r>
    </w:p>
    <w:p w14:paraId="584A0932">
      <w:pPr>
        <w:numPr>
          <w:ilvl w:val="0"/>
          <w:numId w:val="0"/>
        </w:numPr>
        <w:spacing w:line="360" w:lineRule="auto"/>
        <w:ind w:firstLine="369" w:firstLineChars="176"/>
        <w:rPr>
          <w:rFonts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3F90050">
      <w:pPr>
        <w:numPr>
          <w:ilvl w:val="0"/>
          <w:numId w:val="0"/>
        </w:numPr>
        <w:spacing w:line="360" w:lineRule="auto"/>
        <w:ind w:firstLine="369" w:firstLineChars="176"/>
        <w:rPr>
          <w:rFonts w:ascii="宋体" w:hAnsi="宋体" w:cs="宋体"/>
          <w:color w:val="auto"/>
          <w:szCs w:val="21"/>
          <w:highlight w:val="none"/>
        </w:rPr>
      </w:pPr>
      <w:r>
        <w:rPr>
          <w:rFonts w:hint="eastAsia" w:ascii="宋体" w:hAnsi="宋体" w:cs="宋体"/>
          <w:color w:val="auto"/>
          <w:kern w:val="2"/>
          <w:sz w:val="21"/>
          <w:szCs w:val="21"/>
          <w:highlight w:val="none"/>
          <w:lang w:val="en-US" w:eastAsia="zh-CN" w:bidi="ar-SA"/>
        </w:rPr>
        <w:t>6、</w:t>
      </w:r>
      <w:r>
        <w:rPr>
          <w:rFonts w:hint="eastAsia" w:ascii="宋体" w:hAnsi="宋体" w:cs="宋体"/>
          <w:color w:val="auto"/>
          <w:szCs w:val="21"/>
          <w:highlight w:val="none"/>
        </w:rPr>
        <w:t>其他补充说明:</w:t>
      </w:r>
    </w:p>
    <w:p w14:paraId="4FE50930">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1）我方已详细阅读全部采购文件，包括澄清、修改文件（如有）以及全部参考资料和有关附件；我方在投标之前已经与贵方进行了充分的沟通，完全理解并接受采购文件的各项规定和要求，对采购文件的合理性、合法性不再有异议；</w:t>
      </w:r>
    </w:p>
    <w:p w14:paraId="6ED6CBB0">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（2）我方承诺，如中标，按采购文件规定在采购结果发布后5日内一次性向采购代理机构缴纳采购代理服务费；</w:t>
      </w:r>
    </w:p>
    <w:p w14:paraId="5F4ECFCC">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（3）如我方拒绝签订合同，承诺按以下规定进行赔偿。</w:t>
      </w:r>
    </w:p>
    <w:p w14:paraId="4B1C7A46">
      <w:pPr>
        <w:snapToGrid w:val="0"/>
        <w:spacing w:line="360" w:lineRule="auto"/>
        <w:ind w:left="210" w:leftChars="100" w:firstLine="422" w:firstLineChars="200"/>
        <w:rPr>
          <w:rFonts w:ascii="宋体" w:hAnsi="宋体" w:cs="宋体"/>
          <w:b/>
          <w:color w:val="auto"/>
          <w:szCs w:val="21"/>
          <w:highlight w:val="none"/>
        </w:rPr>
      </w:pPr>
      <w:r>
        <w:rPr>
          <w:rFonts w:hint="eastAsia" w:ascii="宋体" w:hAnsi="宋体" w:cs="宋体"/>
          <w:b/>
          <w:color w:val="auto"/>
          <w:kern w:val="0"/>
          <w:szCs w:val="21"/>
          <w:highlight w:val="none"/>
        </w:rPr>
        <w:t>中标供应商</w:t>
      </w:r>
      <w:r>
        <w:rPr>
          <w:rFonts w:hint="eastAsia" w:ascii="宋体" w:hAnsi="宋体" w:cs="宋体"/>
          <w:b/>
          <w:color w:val="auto"/>
          <w:szCs w:val="21"/>
          <w:highlight w:val="none"/>
        </w:rPr>
        <w:t>拒绝与采购人签订合同的</w:t>
      </w:r>
      <w:r>
        <w:rPr>
          <w:rFonts w:hint="eastAsia" w:ascii="宋体" w:hAnsi="宋体" w:cs="宋体"/>
          <w:b/>
          <w:color w:val="auto"/>
          <w:kern w:val="0"/>
          <w:szCs w:val="21"/>
          <w:highlight w:val="none"/>
        </w:rPr>
        <w:t>，</w:t>
      </w:r>
      <w:r>
        <w:rPr>
          <w:rFonts w:hint="eastAsia" w:ascii="宋体" w:hAnsi="宋体" w:cs="宋体"/>
          <w:b/>
          <w:color w:val="auto"/>
          <w:szCs w:val="21"/>
          <w:highlight w:val="none"/>
        </w:rPr>
        <w:t>须按项目中标金额的【</w:t>
      </w:r>
      <w:r>
        <w:rPr>
          <w:rFonts w:hint="eastAsia" w:ascii="宋体" w:hAnsi="宋体" w:cs="宋体"/>
          <w:b/>
          <w:i/>
          <w:color w:val="auto"/>
          <w:szCs w:val="21"/>
          <w:highlight w:val="none"/>
          <w:u w:val="single"/>
        </w:rPr>
        <w:t>2.5％</w:t>
      </w:r>
      <w:r>
        <w:rPr>
          <w:rFonts w:hint="eastAsia" w:ascii="宋体" w:hAnsi="宋体" w:cs="宋体"/>
          <w:b/>
          <w:color w:val="auto"/>
          <w:szCs w:val="21"/>
          <w:highlight w:val="none"/>
        </w:rPr>
        <w:t>】向采购人、采购代理机构进行赔偿，赔偿用于支付采购代理服务费、专家评审费、其他采购组织费用以及因中标供应商拒绝签订合同给采购人、采购代理机构造成的其他损失，同时采购人或采购代理机构将视情对其失信行为上报至同级政府采购监督管理部门对其依法处理。</w:t>
      </w:r>
    </w:p>
    <w:p w14:paraId="208D4360">
      <w:pPr>
        <w:pStyle w:val="60"/>
        <w:rPr>
          <w:color w:val="auto"/>
          <w:highlight w:val="none"/>
        </w:rPr>
      </w:pPr>
    </w:p>
    <w:p w14:paraId="42A3A82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D4E0F2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BE1371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7F57D2">
      <w:pPr>
        <w:rPr>
          <w:rFonts w:ascii="宋体" w:hAnsi="宋体" w:cs="宋体"/>
          <w:color w:val="auto"/>
          <w:sz w:val="24"/>
          <w:highlight w:val="none"/>
        </w:rPr>
      </w:pPr>
      <w:r>
        <w:rPr>
          <w:rFonts w:hint="eastAsia" w:ascii="宋体" w:hAnsi="宋体" w:cs="宋体"/>
          <w:color w:val="auto"/>
          <w:sz w:val="24"/>
          <w:highlight w:val="none"/>
        </w:rPr>
        <w:br w:type="page"/>
      </w:r>
    </w:p>
    <w:p w14:paraId="6CFFB948">
      <w:pPr>
        <w:pStyle w:val="26"/>
        <w:rPr>
          <w:color w:val="auto"/>
          <w:highlight w:val="none"/>
          <w:lang w:val="en-US"/>
        </w:rPr>
      </w:pPr>
    </w:p>
    <w:p w14:paraId="5931C1D9">
      <w:pPr>
        <w:rPr>
          <w:color w:val="auto"/>
          <w:highlight w:val="none"/>
        </w:rPr>
      </w:pPr>
    </w:p>
    <w:p w14:paraId="6E21C995">
      <w:pPr>
        <w:jc w:val="center"/>
        <w:outlineLvl w:val="2"/>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8635561">
      <w:pPr>
        <w:pStyle w:val="7"/>
        <w:ind w:firstLine="355"/>
        <w:rPr>
          <w:rFonts w:hAnsi="宋体" w:cs="宋体"/>
          <w:color w:val="auto"/>
          <w:sz w:val="24"/>
          <w:highlight w:val="none"/>
        </w:rPr>
      </w:pPr>
      <w:r>
        <w:rPr>
          <w:rFonts w:hint="eastAsia" w:hAnsi="宋体" w:cs="宋体"/>
          <w:color w:val="auto"/>
          <w:sz w:val="24"/>
          <w:highlight w:val="none"/>
        </w:rPr>
        <w:t xml:space="preserve"> </w:t>
      </w:r>
    </w:p>
    <w:p w14:paraId="5883896A">
      <w:pPr>
        <w:pStyle w:val="7"/>
        <w:spacing w:line="360" w:lineRule="auto"/>
        <w:ind w:firstLine="357"/>
        <w:rPr>
          <w:rFonts w:eastAsia="新宋体"/>
          <w:color w:val="auto"/>
          <w:highlight w:val="none"/>
        </w:rPr>
      </w:pPr>
      <w:r>
        <w:rPr>
          <w:rFonts w:hint="eastAsia" w:ascii="新宋体" w:hAnsi="新宋体" w:eastAsia="新宋体"/>
          <w:b/>
          <w:iCs/>
          <w:color w:val="auto"/>
          <w:highlight w:val="none"/>
        </w:rPr>
        <w:t>法定代表人（单位负责人、自然人本人）以外的其他员工代表投标人参加投标的，提供《授权委托书》；</w:t>
      </w:r>
      <w:r>
        <w:rPr>
          <w:rFonts w:hint="eastAsia" w:ascii="新宋体" w:hAnsi="新宋体" w:eastAsia="新宋体"/>
          <w:b/>
          <w:iCs/>
          <w:color w:val="auto"/>
          <w:szCs w:val="22"/>
          <w:highlight w:val="none"/>
        </w:rPr>
        <w:t>法定代表人、单位负责人或自然人本人代表投标人参加投标的，提供《法定代表人、单位负责人或自然人本人身份证明》。</w:t>
      </w:r>
    </w:p>
    <w:p w14:paraId="1BAFA825">
      <w:pPr>
        <w:snapToGrid w:val="0"/>
        <w:spacing w:line="360" w:lineRule="auto"/>
        <w:rPr>
          <w:rFonts w:ascii="宋体" w:hAnsi="宋体" w:cs="宋体"/>
          <w:color w:val="auto"/>
          <w:sz w:val="24"/>
          <w:highlight w:val="none"/>
        </w:rPr>
      </w:pPr>
    </w:p>
    <w:p w14:paraId="7E27ECDE">
      <w:pPr>
        <w:pStyle w:val="60"/>
        <w:rPr>
          <w:color w:val="auto"/>
          <w:highlight w:val="none"/>
        </w:rPr>
      </w:pPr>
    </w:p>
    <w:p w14:paraId="7E0395A8">
      <w:pPr>
        <w:snapToGrid w:val="0"/>
        <w:spacing w:line="360" w:lineRule="auto"/>
        <w:jc w:val="center"/>
        <w:outlineLvl w:val="3"/>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p>
    <w:p w14:paraId="266514B2">
      <w:pPr>
        <w:snapToGrid w:val="0"/>
        <w:spacing w:line="360" w:lineRule="auto"/>
        <w:rPr>
          <w:rFonts w:ascii="宋体" w:hAnsi="宋体" w:cs="宋体"/>
          <w:color w:val="auto"/>
          <w:kern w:val="0"/>
          <w:sz w:val="24"/>
          <w:highlight w:val="none"/>
        </w:rPr>
      </w:pPr>
      <w:r>
        <w:rPr>
          <w:rFonts w:hint="eastAsia" w:ascii="宋体" w:hAnsi="宋体"/>
          <w:b/>
          <w:bCs/>
          <w:color w:val="auto"/>
          <w:sz w:val="24"/>
          <w:highlight w:val="none"/>
          <w:u w:val="single"/>
          <w:lang w:eastAsia="zh-CN"/>
        </w:rPr>
        <w:t>杭州市拱墅区住房和城市建设局</w:t>
      </w:r>
      <w:r>
        <w:rPr>
          <w:rFonts w:hint="eastAsia" w:ascii="宋体" w:hAnsi="宋体"/>
          <w:b/>
          <w:bCs/>
          <w:color w:val="auto"/>
          <w:sz w:val="24"/>
          <w:highlight w:val="none"/>
          <w:u w:val="single"/>
        </w:rPr>
        <w:t>、浙江省成套招标代理有限公司</w:t>
      </w:r>
      <w:r>
        <w:rPr>
          <w:rFonts w:hint="eastAsia" w:ascii="宋体" w:hAnsi="宋体" w:cs="宋体"/>
          <w:color w:val="auto"/>
          <w:kern w:val="0"/>
          <w:sz w:val="24"/>
          <w:highlight w:val="none"/>
          <w:lang w:val="zh-CN"/>
        </w:rPr>
        <w:t>：</w:t>
      </w:r>
    </w:p>
    <w:p w14:paraId="3763250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b/>
          <w:color w:val="auto"/>
          <w:sz w:val="24"/>
          <w:highlight w:val="none"/>
          <w:u w:val="single"/>
          <w:lang w:eastAsia="zh-CN"/>
        </w:rPr>
        <w:t>拱墅区2025年海绵城市建设技术服务项目</w:t>
      </w:r>
      <w:r>
        <w:rPr>
          <w:rFonts w:hint="eastAsia" w:ascii="宋体" w:hAnsi="宋体" w:cs="宋体"/>
          <w:color w:val="auto"/>
          <w:sz w:val="24"/>
          <w:highlight w:val="none"/>
        </w:rPr>
        <w:t>【项目编号：（项目编号）】</w:t>
      </w:r>
      <w:r>
        <w:rPr>
          <w:rFonts w:hint="eastAsia" w:ascii="宋体" w:hAnsi="宋体" w:cs="宋体"/>
          <w:color w:val="auto"/>
          <w:kern w:val="0"/>
          <w:sz w:val="24"/>
          <w:highlight w:val="none"/>
          <w:lang w:val="zh-CN"/>
        </w:rPr>
        <w:t>政府采购投标的一切事项，其法律后果由我方承担。</w:t>
      </w:r>
    </w:p>
    <w:p w14:paraId="4B29039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F649B4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9A0C01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联合体成员名称(电子签名)：</w:t>
      </w:r>
    </w:p>
    <w:p w14:paraId="2F6E3FD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C4B4A5F">
      <w:pPr>
        <w:pStyle w:val="60"/>
        <w:rPr>
          <w:color w:val="auto"/>
          <w:highlight w:val="none"/>
          <w:lang w:val="zh-CN"/>
        </w:rPr>
      </w:pPr>
    </w:p>
    <w:p w14:paraId="2F13C464">
      <w:pPr>
        <w:snapToGrid w:val="0"/>
        <w:spacing w:line="360" w:lineRule="auto"/>
        <w:ind w:firstLine="422" w:firstLineChars="200"/>
        <w:rPr>
          <w:rFonts w:ascii="宋体" w:hAnsi="宋体" w:cs="宋体"/>
          <w:color w:val="auto"/>
          <w:kern w:val="0"/>
          <w:sz w:val="24"/>
          <w:highlight w:val="none"/>
          <w:lang w:val="zh-CN"/>
        </w:rPr>
      </w:pPr>
      <w:r>
        <w:rPr>
          <w:rFonts w:hint="eastAsia" w:ascii="新宋体" w:hAnsi="新宋体" w:eastAsia="新宋体" w:cs="Arial"/>
          <w:b/>
          <w:iCs/>
          <w:color w:val="auto"/>
          <w:kern w:val="0"/>
          <w:szCs w:val="21"/>
          <w:highlight w:val="none"/>
        </w:rPr>
        <w:t>备注：1.</w:t>
      </w:r>
      <w:r>
        <w:rPr>
          <w:rFonts w:hint="eastAsia" w:ascii="新宋体" w:hAnsi="新宋体" w:eastAsia="新宋体"/>
          <w:b/>
          <w:iCs/>
          <w:color w:val="auto"/>
          <w:szCs w:val="21"/>
          <w:highlight w:val="none"/>
        </w:rPr>
        <w:t>法定代表人（单位负责人、自然人本人）以外的其他员工代表投标人参加投标时，按本格式要求编制、提交《</w:t>
      </w:r>
      <w:r>
        <w:rPr>
          <w:rFonts w:ascii="新宋体" w:hAnsi="新宋体" w:eastAsia="新宋体"/>
          <w:b/>
          <w:iCs/>
          <w:color w:val="auto"/>
          <w:szCs w:val="21"/>
          <w:highlight w:val="none"/>
        </w:rPr>
        <w:t>授权委托书</w:t>
      </w:r>
      <w:r>
        <w:rPr>
          <w:rFonts w:hint="eastAsia" w:ascii="新宋体" w:hAnsi="新宋体" w:eastAsia="新宋体"/>
          <w:b/>
          <w:iCs/>
          <w:color w:val="auto"/>
          <w:szCs w:val="21"/>
          <w:highlight w:val="none"/>
        </w:rPr>
        <w:t>》。</w:t>
      </w:r>
      <w:r>
        <w:rPr>
          <w:rFonts w:hint="eastAsia" w:ascii="新宋体" w:hAnsi="新宋体" w:eastAsia="新宋体" w:cs="Arial"/>
          <w:b/>
          <w:iCs/>
          <w:color w:val="auto"/>
          <w:kern w:val="0"/>
          <w:szCs w:val="21"/>
          <w:highlight w:val="none"/>
        </w:rPr>
        <w:t>2.投标人为联合体的，联合体各方均需加盖公章或电子签名。</w:t>
      </w:r>
    </w:p>
    <w:p w14:paraId="0A23B52A">
      <w:pPr>
        <w:autoSpaceDE w:val="0"/>
        <w:autoSpaceDN w:val="0"/>
        <w:spacing w:line="360" w:lineRule="auto"/>
        <w:jc w:val="center"/>
        <w:rPr>
          <w:rFonts w:ascii="宋体" w:hAnsi="宋体" w:cs="宋体"/>
          <w:b/>
          <w:color w:val="auto"/>
          <w:kern w:val="0"/>
          <w:sz w:val="32"/>
          <w:szCs w:val="32"/>
          <w:highlight w:val="none"/>
          <w:lang w:val="zh-CN"/>
        </w:rPr>
      </w:pPr>
    </w:p>
    <w:p w14:paraId="2FEBCAC0">
      <w:pPr>
        <w:autoSpaceDE w:val="0"/>
        <w:autoSpaceDN w:val="0"/>
        <w:spacing w:line="360" w:lineRule="auto"/>
        <w:jc w:val="center"/>
        <w:rPr>
          <w:rFonts w:ascii="宋体" w:hAnsi="宋体" w:cs="宋体"/>
          <w:b/>
          <w:color w:val="auto"/>
          <w:kern w:val="0"/>
          <w:sz w:val="32"/>
          <w:szCs w:val="32"/>
          <w:highlight w:val="none"/>
          <w:lang w:val="zh-CN"/>
        </w:rPr>
      </w:pPr>
    </w:p>
    <w:p w14:paraId="11E2884A">
      <w:pPr>
        <w:rPr>
          <w:rFonts w:ascii="宋体" w:hAnsi="宋体" w:cs="宋体"/>
          <w:b/>
          <w:color w:val="auto"/>
          <w:kern w:val="0"/>
          <w:sz w:val="32"/>
          <w:szCs w:val="32"/>
          <w:highlight w:val="none"/>
          <w:lang w:val="zh-CN"/>
        </w:rPr>
      </w:pPr>
      <w:r>
        <w:rPr>
          <w:rFonts w:ascii="宋体" w:hAnsi="宋体" w:cs="宋体"/>
          <w:b/>
          <w:color w:val="auto"/>
          <w:kern w:val="0"/>
          <w:sz w:val="32"/>
          <w:szCs w:val="32"/>
          <w:highlight w:val="none"/>
          <w:lang w:val="zh-CN"/>
        </w:rPr>
        <w:br w:type="page"/>
      </w:r>
    </w:p>
    <w:p w14:paraId="138A72D8">
      <w:pPr>
        <w:pStyle w:val="60"/>
        <w:rPr>
          <w:color w:val="auto"/>
          <w:highlight w:val="none"/>
          <w:lang w:val="zh-CN"/>
        </w:rPr>
      </w:pPr>
    </w:p>
    <w:p w14:paraId="219A2986">
      <w:pPr>
        <w:autoSpaceDE w:val="0"/>
        <w:autoSpaceDN w:val="0"/>
        <w:spacing w:line="360" w:lineRule="auto"/>
        <w:jc w:val="center"/>
        <w:outlineLvl w:val="3"/>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w:t>
      </w:r>
    </w:p>
    <w:p w14:paraId="6A1F7558">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AEE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BC6739">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9C8A0CF">
            <w:pPr>
              <w:pStyle w:val="149"/>
              <w:adjustRightInd w:val="0"/>
              <w:spacing w:line="360" w:lineRule="auto"/>
              <w:rPr>
                <w:rFonts w:hAnsi="宋体" w:cs="宋体"/>
                <w:bCs/>
                <w:color w:val="auto"/>
                <w:sz w:val="24"/>
                <w:highlight w:val="none"/>
              </w:rPr>
            </w:pPr>
          </w:p>
        </w:tc>
      </w:tr>
    </w:tbl>
    <w:p w14:paraId="341687F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D7713FD">
      <w:pPr>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756E2B86">
      <w:pPr>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EF442C0">
      <w:pPr>
        <w:jc w:val="center"/>
        <w:rPr>
          <w:rFonts w:ascii="宋体" w:hAnsi="宋体" w:cs="宋体"/>
          <w:b/>
          <w:color w:val="auto"/>
          <w:kern w:val="0"/>
          <w:sz w:val="32"/>
          <w:szCs w:val="32"/>
          <w:highlight w:val="none"/>
        </w:rPr>
      </w:pPr>
    </w:p>
    <w:p w14:paraId="092C9536">
      <w:pPr>
        <w:jc w:val="center"/>
        <w:rPr>
          <w:rFonts w:ascii="宋体" w:hAnsi="宋体" w:cs="宋体"/>
          <w:b/>
          <w:color w:val="auto"/>
          <w:kern w:val="0"/>
          <w:sz w:val="32"/>
          <w:szCs w:val="32"/>
          <w:highlight w:val="none"/>
        </w:rPr>
      </w:pPr>
    </w:p>
    <w:p w14:paraId="574CAA55">
      <w:pPr>
        <w:snapToGrid w:val="0"/>
        <w:spacing w:line="360" w:lineRule="auto"/>
        <w:ind w:firstLine="422" w:firstLineChars="200"/>
        <w:rPr>
          <w:rFonts w:ascii="新宋体" w:hAnsi="新宋体" w:eastAsia="新宋体"/>
          <w:b/>
          <w:iCs/>
          <w:color w:val="auto"/>
          <w:szCs w:val="21"/>
          <w:highlight w:val="none"/>
        </w:rPr>
      </w:pPr>
      <w:r>
        <w:rPr>
          <w:rFonts w:hint="eastAsia" w:ascii="新宋体" w:hAnsi="新宋体" w:eastAsia="新宋体"/>
          <w:b/>
          <w:iCs/>
          <w:color w:val="auto"/>
          <w:szCs w:val="21"/>
          <w:highlight w:val="none"/>
        </w:rPr>
        <w:t>备注：法定代表人、单位负责人或自然人本人代表投标人参加投标的，提供法定代表人（单位负责人、自然人本人）身份证明扫描件或复印件。</w:t>
      </w:r>
    </w:p>
    <w:p w14:paraId="5D9C0D1A">
      <w:pPr>
        <w:jc w:val="center"/>
        <w:rPr>
          <w:rFonts w:ascii="宋体" w:hAnsi="宋体" w:cs="宋体"/>
          <w:b/>
          <w:color w:val="auto"/>
          <w:kern w:val="0"/>
          <w:sz w:val="32"/>
          <w:szCs w:val="32"/>
          <w:highlight w:val="none"/>
        </w:rPr>
      </w:pPr>
    </w:p>
    <w:p w14:paraId="465A03B2">
      <w:pPr>
        <w:jc w:val="center"/>
        <w:rPr>
          <w:rFonts w:ascii="宋体" w:hAnsi="宋体" w:cs="宋体"/>
          <w:b/>
          <w:color w:val="auto"/>
          <w:kern w:val="0"/>
          <w:sz w:val="32"/>
          <w:szCs w:val="32"/>
          <w:highlight w:val="none"/>
        </w:rPr>
      </w:pPr>
    </w:p>
    <w:p w14:paraId="4CCBDA92">
      <w:pPr>
        <w:jc w:val="center"/>
        <w:rPr>
          <w:rFonts w:ascii="宋体" w:hAnsi="宋体" w:cs="宋体"/>
          <w:b/>
          <w:color w:val="auto"/>
          <w:kern w:val="0"/>
          <w:sz w:val="32"/>
          <w:szCs w:val="32"/>
          <w:highlight w:val="none"/>
        </w:rPr>
      </w:pPr>
    </w:p>
    <w:p w14:paraId="66E96362">
      <w:pPr>
        <w:jc w:val="center"/>
        <w:rPr>
          <w:rFonts w:ascii="宋体" w:hAnsi="宋体" w:cs="宋体"/>
          <w:b/>
          <w:color w:val="auto"/>
          <w:kern w:val="0"/>
          <w:sz w:val="32"/>
          <w:szCs w:val="32"/>
          <w:highlight w:val="none"/>
        </w:rPr>
      </w:pPr>
    </w:p>
    <w:p w14:paraId="7EA31513">
      <w:pPr>
        <w:jc w:val="center"/>
        <w:rPr>
          <w:rFonts w:ascii="宋体" w:hAnsi="宋体" w:cs="宋体"/>
          <w:b/>
          <w:color w:val="auto"/>
          <w:kern w:val="0"/>
          <w:sz w:val="32"/>
          <w:szCs w:val="32"/>
          <w:highlight w:val="none"/>
        </w:rPr>
      </w:pPr>
    </w:p>
    <w:p w14:paraId="4D650B35">
      <w:pPr>
        <w:jc w:val="center"/>
        <w:rPr>
          <w:rFonts w:ascii="宋体" w:hAnsi="宋体" w:cs="宋体"/>
          <w:b/>
          <w:color w:val="auto"/>
          <w:kern w:val="0"/>
          <w:sz w:val="32"/>
          <w:szCs w:val="32"/>
          <w:highlight w:val="none"/>
        </w:rPr>
      </w:pPr>
    </w:p>
    <w:p w14:paraId="170E2463">
      <w:pPr>
        <w:jc w:val="center"/>
        <w:rPr>
          <w:rFonts w:ascii="宋体" w:hAnsi="宋体" w:cs="宋体"/>
          <w:b/>
          <w:color w:val="auto"/>
          <w:kern w:val="0"/>
          <w:sz w:val="32"/>
          <w:szCs w:val="32"/>
          <w:highlight w:val="none"/>
        </w:rPr>
      </w:pPr>
    </w:p>
    <w:p w14:paraId="4D75158C">
      <w:pPr>
        <w:jc w:val="center"/>
        <w:rPr>
          <w:rFonts w:ascii="宋体" w:hAnsi="宋体" w:cs="宋体"/>
          <w:b/>
          <w:color w:val="auto"/>
          <w:kern w:val="0"/>
          <w:sz w:val="32"/>
          <w:szCs w:val="32"/>
          <w:highlight w:val="none"/>
        </w:rPr>
      </w:pPr>
    </w:p>
    <w:p w14:paraId="7F27177E">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5" w:h="16838"/>
          <w:pgMar w:top="1134" w:right="1417" w:bottom="1417" w:left="1417" w:header="709" w:footer="992" w:gutter="0"/>
          <w:cols w:space="0" w:num="1"/>
          <w:titlePg/>
          <w:docGrid w:linePitch="312" w:charSpace="0"/>
        </w:sectPr>
      </w:pPr>
    </w:p>
    <w:p w14:paraId="349275CB">
      <w:pPr>
        <w:snapToGrid w:val="0"/>
        <w:spacing w:before="240" w:beforeLines="100" w:line="360" w:lineRule="auto"/>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2601234">
      <w:pPr>
        <w:pStyle w:val="7"/>
        <w:spacing w:line="360" w:lineRule="auto"/>
        <w:ind w:firstLine="357"/>
        <w:rPr>
          <w:rFonts w:ascii="新宋体" w:hAnsi="新宋体" w:eastAsia="新宋体"/>
          <w:b/>
          <w:iCs/>
          <w:color w:val="auto"/>
          <w:highlight w:val="none"/>
        </w:rPr>
      </w:pPr>
    </w:p>
    <w:p w14:paraId="1639B850">
      <w:pPr>
        <w:pStyle w:val="7"/>
        <w:spacing w:line="360" w:lineRule="auto"/>
        <w:ind w:firstLine="357"/>
        <w:rPr>
          <w:rFonts w:ascii="新宋体" w:hAnsi="新宋体" w:eastAsia="新宋体"/>
          <w:b/>
          <w:iCs/>
          <w:color w:val="auto"/>
          <w:highlight w:val="none"/>
        </w:rPr>
      </w:pPr>
      <w:r>
        <w:rPr>
          <w:rFonts w:hint="eastAsia" w:ascii="新宋体" w:hAnsi="新宋体" w:eastAsia="新宋体"/>
          <w:b/>
          <w:iCs/>
          <w:color w:val="auto"/>
          <w:highlight w:val="none"/>
        </w:rPr>
        <w:t>投标人中标后拟以分包方式履行合同的，提供分包意向协议(见第七章附件6)；采购人不同意分包或者投标人中标后不以分包方式履行合同的，则不需要提供。</w:t>
      </w:r>
    </w:p>
    <w:p w14:paraId="57F809EA">
      <w:pPr>
        <w:snapToGrid w:val="0"/>
        <w:spacing w:line="360" w:lineRule="auto"/>
        <w:jc w:val="center"/>
        <w:rPr>
          <w:rFonts w:ascii="宋体" w:hAnsi="宋体" w:cs="宋体"/>
          <w:b/>
          <w:color w:val="auto"/>
          <w:sz w:val="24"/>
          <w:highlight w:val="none"/>
          <w:u w:val="single"/>
        </w:rPr>
      </w:pPr>
      <w:r>
        <w:rPr>
          <w:rFonts w:hint="eastAsia" w:ascii="宋体" w:hAnsi="宋体" w:cs="宋体"/>
          <w:b/>
          <w:color w:val="auto"/>
          <w:sz w:val="24"/>
          <w:highlight w:val="none"/>
          <w:u w:val="single"/>
        </w:rPr>
        <w:t>本项目采购人不同意分包</w:t>
      </w:r>
    </w:p>
    <w:p w14:paraId="51005617">
      <w:pPr>
        <w:pStyle w:val="26"/>
        <w:rPr>
          <w:color w:val="auto"/>
          <w:highlight w:val="none"/>
        </w:rPr>
      </w:pPr>
    </w:p>
    <w:p w14:paraId="474DE84D">
      <w:pPr>
        <w:snapToGrid w:val="0"/>
        <w:spacing w:before="240" w:beforeLines="100" w:line="360" w:lineRule="auto"/>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06F4C5C">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8"/>
        <w:gridCol w:w="3294"/>
        <w:gridCol w:w="1418"/>
      </w:tblGrid>
      <w:tr w14:paraId="2EE7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E513F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248" w:type="dxa"/>
            <w:vAlign w:val="center"/>
          </w:tcPr>
          <w:p w14:paraId="2008025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294" w:type="dxa"/>
            <w:vAlign w:val="center"/>
          </w:tcPr>
          <w:p w14:paraId="0CB77B6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8D6659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A48EDC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7B1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5FEE9F">
            <w:pPr>
              <w:jc w:val="center"/>
              <w:rPr>
                <w:rFonts w:ascii="宋体" w:hAnsi="宋体" w:cs="宋体"/>
                <w:color w:val="auto"/>
                <w:sz w:val="24"/>
                <w:highlight w:val="none"/>
              </w:rPr>
            </w:pPr>
            <w:r>
              <w:rPr>
                <w:rFonts w:hint="eastAsia" w:ascii="宋体" w:hAnsi="宋体" w:cs="宋体"/>
                <w:color w:val="auto"/>
                <w:sz w:val="24"/>
                <w:highlight w:val="none"/>
              </w:rPr>
              <w:t>1</w:t>
            </w:r>
          </w:p>
        </w:tc>
        <w:tc>
          <w:tcPr>
            <w:tcW w:w="4248" w:type="dxa"/>
            <w:vAlign w:val="center"/>
          </w:tcPr>
          <w:p w14:paraId="61029E9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投标文件按照采购文件要求签署、盖章。</w:t>
            </w:r>
          </w:p>
        </w:tc>
        <w:tc>
          <w:tcPr>
            <w:tcW w:w="3294" w:type="dxa"/>
            <w:vAlign w:val="center"/>
          </w:tcPr>
          <w:p w14:paraId="01E1A734">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1661B9A0">
            <w:pPr>
              <w:jc w:val="center"/>
              <w:rPr>
                <w:rFonts w:ascii="宋体" w:hAnsi="宋体" w:cs="宋体"/>
                <w:color w:val="auto"/>
                <w:sz w:val="24"/>
                <w:highlight w:val="none"/>
              </w:rPr>
            </w:pPr>
          </w:p>
          <w:p w14:paraId="63A51E86">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3B9612CF">
            <w:pPr>
              <w:jc w:val="center"/>
              <w:rPr>
                <w:rFonts w:ascii="宋体" w:hAnsi="宋体" w:cs="宋体"/>
                <w:color w:val="auto"/>
                <w:sz w:val="24"/>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EAC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CCFD21">
            <w:pPr>
              <w:jc w:val="center"/>
              <w:rPr>
                <w:rFonts w:ascii="宋体" w:hAnsi="宋体" w:cs="宋体"/>
                <w:color w:val="auto"/>
                <w:sz w:val="24"/>
                <w:highlight w:val="none"/>
              </w:rPr>
            </w:pPr>
            <w:r>
              <w:rPr>
                <w:rFonts w:hint="eastAsia" w:ascii="宋体" w:hAnsi="宋体" w:cs="宋体"/>
                <w:color w:val="auto"/>
                <w:sz w:val="24"/>
                <w:highlight w:val="none"/>
              </w:rPr>
              <w:t>2</w:t>
            </w:r>
          </w:p>
        </w:tc>
        <w:tc>
          <w:tcPr>
            <w:tcW w:w="4248" w:type="dxa"/>
            <w:vAlign w:val="center"/>
          </w:tcPr>
          <w:p w14:paraId="72DE5E2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投标文件中承诺的投标有效期不少于采购文件中载明的投标有效期。</w:t>
            </w:r>
          </w:p>
        </w:tc>
        <w:tc>
          <w:tcPr>
            <w:tcW w:w="3294" w:type="dxa"/>
            <w:vAlign w:val="center"/>
          </w:tcPr>
          <w:p w14:paraId="630FB25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429933E0">
            <w:pPr>
              <w:jc w:val="cente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3C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0A1242">
            <w:pPr>
              <w:jc w:val="center"/>
              <w:rPr>
                <w:rFonts w:ascii="宋体" w:hAnsi="宋体" w:cs="宋体"/>
                <w:color w:val="auto"/>
                <w:sz w:val="24"/>
                <w:highlight w:val="none"/>
              </w:rPr>
            </w:pPr>
            <w:r>
              <w:rPr>
                <w:rFonts w:hint="eastAsia" w:ascii="宋体" w:hAnsi="宋体" w:cs="宋体"/>
                <w:color w:val="auto"/>
                <w:sz w:val="24"/>
                <w:highlight w:val="none"/>
              </w:rPr>
              <w:t>3</w:t>
            </w:r>
          </w:p>
        </w:tc>
        <w:tc>
          <w:tcPr>
            <w:tcW w:w="4248" w:type="dxa"/>
            <w:vAlign w:val="center"/>
          </w:tcPr>
          <w:p w14:paraId="7F08F39C">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投标文件满足采购文件的其它实质性要求。</w:t>
            </w:r>
          </w:p>
        </w:tc>
        <w:tc>
          <w:tcPr>
            <w:tcW w:w="3294" w:type="dxa"/>
            <w:vAlign w:val="center"/>
          </w:tcPr>
          <w:p w14:paraId="1EFC5090">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3571959C">
            <w:pPr>
              <w:jc w:val="cente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0516031">
      <w:pPr>
        <w:jc w:val="both"/>
        <w:rPr>
          <w:rFonts w:ascii="宋体" w:hAnsi="宋体" w:cs="宋体"/>
          <w:b/>
          <w:color w:val="auto"/>
          <w:kern w:val="0"/>
          <w:sz w:val="32"/>
          <w:szCs w:val="32"/>
          <w:highlight w:val="none"/>
        </w:rPr>
      </w:pPr>
      <w:r>
        <w:rPr>
          <w:rFonts w:hint="eastAsia" w:ascii="宋体" w:hAnsi="宋体" w:eastAsia="宋体" w:cs="宋体"/>
          <w:color w:val="auto"/>
          <w:sz w:val="24"/>
          <w:highlight w:val="none"/>
        </w:rPr>
        <w:t>2、招标文件中实质性要求必须明确响应。</w:t>
      </w:r>
    </w:p>
    <w:p w14:paraId="71FCCB9C">
      <w:pPr>
        <w:pStyle w:val="60"/>
        <w:rPr>
          <w:color w:val="auto"/>
          <w:highlight w:val="none"/>
        </w:rPr>
      </w:pPr>
    </w:p>
    <w:p w14:paraId="3B29890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投标人名称(电子签名)：                              </w:t>
      </w:r>
    </w:p>
    <w:p w14:paraId="1986449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E25EE9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A5935C6">
      <w:pPr>
        <w:jc w:val="center"/>
        <w:rPr>
          <w:rFonts w:ascii="宋体" w:hAnsi="宋体" w:cs="宋体"/>
          <w:b/>
          <w:color w:val="auto"/>
          <w:kern w:val="0"/>
          <w:sz w:val="32"/>
          <w:szCs w:val="32"/>
          <w:highlight w:val="none"/>
        </w:rPr>
      </w:pPr>
    </w:p>
    <w:p w14:paraId="21B0B129">
      <w:pPr>
        <w:jc w:val="center"/>
        <w:rPr>
          <w:rFonts w:ascii="宋体" w:hAnsi="宋体" w:cs="宋体"/>
          <w:b/>
          <w:color w:val="auto"/>
          <w:kern w:val="0"/>
          <w:sz w:val="32"/>
          <w:szCs w:val="32"/>
          <w:highlight w:val="none"/>
        </w:rPr>
      </w:pPr>
    </w:p>
    <w:p w14:paraId="3459D887">
      <w:pPr>
        <w:jc w:val="center"/>
        <w:rPr>
          <w:rFonts w:ascii="宋体" w:hAnsi="宋体" w:cs="宋体"/>
          <w:b/>
          <w:color w:val="auto"/>
          <w:kern w:val="0"/>
          <w:sz w:val="32"/>
          <w:szCs w:val="32"/>
          <w:highlight w:val="none"/>
        </w:rPr>
      </w:pPr>
    </w:p>
    <w:p w14:paraId="31889FAD">
      <w:pPr>
        <w:jc w:val="center"/>
        <w:rPr>
          <w:rFonts w:ascii="宋体" w:hAnsi="宋体" w:cs="宋体"/>
          <w:b/>
          <w:color w:val="auto"/>
          <w:kern w:val="0"/>
          <w:sz w:val="32"/>
          <w:szCs w:val="32"/>
          <w:highlight w:val="none"/>
        </w:rPr>
      </w:pPr>
    </w:p>
    <w:p w14:paraId="52C703B8">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51B391F">
      <w:pPr>
        <w:snapToGrid w:val="0"/>
        <w:spacing w:before="240" w:beforeLines="100" w:line="360" w:lineRule="auto"/>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五、评标标准相应的商务技术资信资料</w:t>
      </w:r>
    </w:p>
    <w:p w14:paraId="425C0220">
      <w:pPr>
        <w:pStyle w:val="7"/>
        <w:spacing w:line="360" w:lineRule="auto"/>
        <w:ind w:firstLine="357"/>
        <w:rPr>
          <w:rFonts w:hAnsi="宋体" w:cs="宋体"/>
          <w:b/>
          <w:color w:val="auto"/>
          <w:sz w:val="24"/>
          <w:highlight w:val="none"/>
        </w:rPr>
      </w:pPr>
      <w:r>
        <w:rPr>
          <w:rFonts w:hint="eastAsia" w:hAnsi="宋体" w:cs="宋体"/>
          <w:b/>
          <w:color w:val="auto"/>
          <w:sz w:val="24"/>
          <w:highlight w:val="none"/>
        </w:rPr>
        <w:t>按采购文件“第四章评标办法前附表”中评标标准相应的商务技术资信要求提供证明资料。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7AFAE6C">
      <w:pPr>
        <w:pStyle w:val="6"/>
        <w:numPr>
          <w:ilvl w:val="0"/>
          <w:numId w:val="4"/>
        </w:numPr>
        <w:rPr>
          <w:color w:val="auto"/>
          <w:highlight w:val="none"/>
        </w:rPr>
      </w:pPr>
      <w:r>
        <w:rPr>
          <w:rFonts w:hint="eastAsia"/>
          <w:color w:val="auto"/>
          <w:highlight w:val="none"/>
        </w:rPr>
        <w:t>投标人基本履约能力评价证明材料</w:t>
      </w:r>
    </w:p>
    <w:p w14:paraId="2219334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根据评标标准要求，提供合格证明材料</w:t>
      </w:r>
    </w:p>
    <w:p w14:paraId="627BF9D3">
      <w:pPr>
        <w:pStyle w:val="6"/>
        <w:rPr>
          <w:color w:val="auto"/>
          <w:highlight w:val="none"/>
        </w:rPr>
      </w:pPr>
      <w:r>
        <w:rPr>
          <w:rFonts w:hint="eastAsia"/>
          <w:color w:val="auto"/>
          <w:highlight w:val="none"/>
        </w:rPr>
        <w:t>（2）项目业绩汇总表及证明材料</w:t>
      </w:r>
    </w:p>
    <w:tbl>
      <w:tblPr>
        <w:tblStyle w:val="63"/>
        <w:tblW w:w="9072"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699"/>
        <w:gridCol w:w="1873"/>
        <w:gridCol w:w="1276"/>
        <w:gridCol w:w="1984"/>
        <w:gridCol w:w="1559"/>
      </w:tblGrid>
      <w:tr w14:paraId="60F6A9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14:paraId="4CDAAE93">
            <w:pPr>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699" w:type="dxa"/>
            <w:vAlign w:val="center"/>
          </w:tcPr>
          <w:p w14:paraId="7C702563">
            <w:pPr>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甲方单位</w:t>
            </w:r>
          </w:p>
        </w:tc>
        <w:tc>
          <w:tcPr>
            <w:tcW w:w="1873" w:type="dxa"/>
            <w:vAlign w:val="center"/>
          </w:tcPr>
          <w:p w14:paraId="00D46D32">
            <w:pPr>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合同内容</w:t>
            </w:r>
          </w:p>
        </w:tc>
        <w:tc>
          <w:tcPr>
            <w:tcW w:w="1276" w:type="dxa"/>
            <w:vAlign w:val="center"/>
          </w:tcPr>
          <w:p w14:paraId="49438A4D">
            <w:pPr>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合同金额</w:t>
            </w:r>
          </w:p>
        </w:tc>
        <w:tc>
          <w:tcPr>
            <w:tcW w:w="1984" w:type="dxa"/>
            <w:vAlign w:val="center"/>
          </w:tcPr>
          <w:p w14:paraId="5CAE45D3">
            <w:pPr>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甲方单位联系人及电话</w:t>
            </w:r>
          </w:p>
        </w:tc>
        <w:tc>
          <w:tcPr>
            <w:tcW w:w="1559" w:type="dxa"/>
            <w:vAlign w:val="center"/>
          </w:tcPr>
          <w:p w14:paraId="64276F42">
            <w:pPr>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证明材料页码</w:t>
            </w:r>
          </w:p>
        </w:tc>
      </w:tr>
      <w:tr w14:paraId="35B504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14:paraId="0DF17532">
            <w:pPr>
              <w:jc w:val="center"/>
              <w:rPr>
                <w:rFonts w:ascii="宋体" w:hAnsi="宋体" w:cs="宋体"/>
                <w:color w:val="auto"/>
                <w:szCs w:val="21"/>
                <w:highlight w:val="none"/>
              </w:rPr>
            </w:pPr>
          </w:p>
        </w:tc>
        <w:tc>
          <w:tcPr>
            <w:tcW w:w="1699" w:type="dxa"/>
            <w:vAlign w:val="center"/>
          </w:tcPr>
          <w:p w14:paraId="3E6EA14F">
            <w:pPr>
              <w:jc w:val="center"/>
              <w:rPr>
                <w:rFonts w:ascii="宋体" w:hAnsi="宋体" w:cs="宋体"/>
                <w:color w:val="auto"/>
                <w:szCs w:val="21"/>
                <w:highlight w:val="none"/>
              </w:rPr>
            </w:pPr>
          </w:p>
        </w:tc>
        <w:tc>
          <w:tcPr>
            <w:tcW w:w="1873" w:type="dxa"/>
            <w:vAlign w:val="center"/>
          </w:tcPr>
          <w:p w14:paraId="39894B8A">
            <w:pPr>
              <w:jc w:val="center"/>
              <w:rPr>
                <w:rFonts w:ascii="宋体" w:hAnsi="宋体" w:cs="宋体"/>
                <w:color w:val="auto"/>
                <w:szCs w:val="21"/>
                <w:highlight w:val="none"/>
              </w:rPr>
            </w:pPr>
          </w:p>
        </w:tc>
        <w:tc>
          <w:tcPr>
            <w:tcW w:w="1276" w:type="dxa"/>
            <w:vAlign w:val="center"/>
          </w:tcPr>
          <w:p w14:paraId="217D5A9D">
            <w:pPr>
              <w:jc w:val="center"/>
              <w:rPr>
                <w:rFonts w:ascii="宋体" w:hAnsi="宋体" w:cs="宋体"/>
                <w:color w:val="auto"/>
                <w:szCs w:val="21"/>
                <w:highlight w:val="none"/>
              </w:rPr>
            </w:pPr>
          </w:p>
        </w:tc>
        <w:tc>
          <w:tcPr>
            <w:tcW w:w="1984" w:type="dxa"/>
            <w:vAlign w:val="center"/>
          </w:tcPr>
          <w:p w14:paraId="54A60647">
            <w:pPr>
              <w:jc w:val="center"/>
              <w:rPr>
                <w:rFonts w:ascii="宋体" w:hAnsi="宋体" w:cs="宋体"/>
                <w:color w:val="auto"/>
                <w:szCs w:val="21"/>
                <w:highlight w:val="none"/>
              </w:rPr>
            </w:pPr>
          </w:p>
        </w:tc>
        <w:tc>
          <w:tcPr>
            <w:tcW w:w="1559" w:type="dxa"/>
            <w:vAlign w:val="center"/>
          </w:tcPr>
          <w:p w14:paraId="24364A6B">
            <w:pPr>
              <w:jc w:val="center"/>
              <w:rPr>
                <w:rFonts w:ascii="宋体" w:hAnsi="宋体" w:cs="宋体"/>
                <w:color w:val="auto"/>
                <w:szCs w:val="21"/>
                <w:highlight w:val="none"/>
              </w:rPr>
            </w:pPr>
          </w:p>
        </w:tc>
      </w:tr>
      <w:tr w14:paraId="488377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14:paraId="6AB3439B">
            <w:pPr>
              <w:jc w:val="center"/>
              <w:rPr>
                <w:rFonts w:ascii="宋体" w:hAnsi="宋体" w:cs="宋体"/>
                <w:color w:val="auto"/>
                <w:szCs w:val="21"/>
                <w:highlight w:val="none"/>
              </w:rPr>
            </w:pPr>
          </w:p>
        </w:tc>
        <w:tc>
          <w:tcPr>
            <w:tcW w:w="1699" w:type="dxa"/>
            <w:vAlign w:val="center"/>
          </w:tcPr>
          <w:p w14:paraId="181CBBFE">
            <w:pPr>
              <w:jc w:val="center"/>
              <w:rPr>
                <w:rFonts w:ascii="宋体" w:hAnsi="宋体" w:cs="宋体"/>
                <w:color w:val="auto"/>
                <w:szCs w:val="21"/>
                <w:highlight w:val="none"/>
              </w:rPr>
            </w:pPr>
          </w:p>
        </w:tc>
        <w:tc>
          <w:tcPr>
            <w:tcW w:w="1873" w:type="dxa"/>
            <w:vAlign w:val="center"/>
          </w:tcPr>
          <w:p w14:paraId="0EC2D6FE">
            <w:pPr>
              <w:jc w:val="center"/>
              <w:rPr>
                <w:rFonts w:ascii="宋体" w:hAnsi="宋体" w:cs="宋体"/>
                <w:color w:val="auto"/>
                <w:szCs w:val="21"/>
                <w:highlight w:val="none"/>
              </w:rPr>
            </w:pPr>
          </w:p>
        </w:tc>
        <w:tc>
          <w:tcPr>
            <w:tcW w:w="1276" w:type="dxa"/>
            <w:vAlign w:val="center"/>
          </w:tcPr>
          <w:p w14:paraId="43B5DAE7">
            <w:pPr>
              <w:jc w:val="center"/>
              <w:rPr>
                <w:rFonts w:ascii="宋体" w:hAnsi="宋体" w:cs="宋体"/>
                <w:color w:val="auto"/>
                <w:szCs w:val="21"/>
                <w:highlight w:val="none"/>
              </w:rPr>
            </w:pPr>
          </w:p>
        </w:tc>
        <w:tc>
          <w:tcPr>
            <w:tcW w:w="1984" w:type="dxa"/>
            <w:vAlign w:val="center"/>
          </w:tcPr>
          <w:p w14:paraId="4A2606D0">
            <w:pPr>
              <w:jc w:val="center"/>
              <w:rPr>
                <w:rFonts w:ascii="宋体" w:hAnsi="宋体" w:cs="宋体"/>
                <w:color w:val="auto"/>
                <w:szCs w:val="21"/>
                <w:highlight w:val="none"/>
              </w:rPr>
            </w:pPr>
          </w:p>
        </w:tc>
        <w:tc>
          <w:tcPr>
            <w:tcW w:w="1559" w:type="dxa"/>
            <w:vAlign w:val="center"/>
          </w:tcPr>
          <w:p w14:paraId="4DA5401C">
            <w:pPr>
              <w:jc w:val="center"/>
              <w:rPr>
                <w:rFonts w:ascii="宋体" w:hAnsi="宋体" w:cs="宋体"/>
                <w:color w:val="auto"/>
                <w:szCs w:val="21"/>
                <w:highlight w:val="none"/>
              </w:rPr>
            </w:pPr>
          </w:p>
        </w:tc>
      </w:tr>
      <w:tr w14:paraId="1BCA0A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14:paraId="053441D8">
            <w:pPr>
              <w:jc w:val="center"/>
              <w:rPr>
                <w:rFonts w:ascii="宋体" w:hAnsi="宋体" w:cs="宋体"/>
                <w:color w:val="auto"/>
                <w:szCs w:val="21"/>
                <w:highlight w:val="none"/>
              </w:rPr>
            </w:pPr>
          </w:p>
        </w:tc>
        <w:tc>
          <w:tcPr>
            <w:tcW w:w="1699" w:type="dxa"/>
            <w:vAlign w:val="center"/>
          </w:tcPr>
          <w:p w14:paraId="10DD0800">
            <w:pPr>
              <w:jc w:val="center"/>
              <w:rPr>
                <w:rFonts w:ascii="宋体" w:hAnsi="宋体" w:cs="宋体"/>
                <w:color w:val="auto"/>
                <w:szCs w:val="21"/>
                <w:highlight w:val="none"/>
              </w:rPr>
            </w:pPr>
          </w:p>
        </w:tc>
        <w:tc>
          <w:tcPr>
            <w:tcW w:w="1873" w:type="dxa"/>
            <w:vAlign w:val="center"/>
          </w:tcPr>
          <w:p w14:paraId="4765CE95">
            <w:pPr>
              <w:jc w:val="center"/>
              <w:rPr>
                <w:rFonts w:ascii="宋体" w:hAnsi="宋体" w:cs="宋体"/>
                <w:color w:val="auto"/>
                <w:szCs w:val="21"/>
                <w:highlight w:val="none"/>
              </w:rPr>
            </w:pPr>
          </w:p>
        </w:tc>
        <w:tc>
          <w:tcPr>
            <w:tcW w:w="1276" w:type="dxa"/>
            <w:vAlign w:val="center"/>
          </w:tcPr>
          <w:p w14:paraId="542B3C69">
            <w:pPr>
              <w:jc w:val="center"/>
              <w:rPr>
                <w:rFonts w:ascii="宋体" w:hAnsi="宋体" w:cs="宋体"/>
                <w:color w:val="auto"/>
                <w:szCs w:val="21"/>
                <w:highlight w:val="none"/>
              </w:rPr>
            </w:pPr>
          </w:p>
        </w:tc>
        <w:tc>
          <w:tcPr>
            <w:tcW w:w="1984" w:type="dxa"/>
            <w:vAlign w:val="center"/>
          </w:tcPr>
          <w:p w14:paraId="3A65289D">
            <w:pPr>
              <w:jc w:val="center"/>
              <w:rPr>
                <w:rFonts w:ascii="宋体" w:hAnsi="宋体" w:cs="宋体"/>
                <w:color w:val="auto"/>
                <w:szCs w:val="21"/>
                <w:highlight w:val="none"/>
              </w:rPr>
            </w:pPr>
          </w:p>
        </w:tc>
        <w:tc>
          <w:tcPr>
            <w:tcW w:w="1559" w:type="dxa"/>
            <w:vAlign w:val="center"/>
          </w:tcPr>
          <w:p w14:paraId="5418603C">
            <w:pPr>
              <w:jc w:val="center"/>
              <w:rPr>
                <w:rFonts w:ascii="宋体" w:hAnsi="宋体" w:cs="宋体"/>
                <w:color w:val="auto"/>
                <w:szCs w:val="21"/>
                <w:highlight w:val="none"/>
              </w:rPr>
            </w:pPr>
          </w:p>
        </w:tc>
      </w:tr>
    </w:tbl>
    <w:p w14:paraId="0CE88B59">
      <w:pPr>
        <w:pStyle w:val="7"/>
        <w:ind w:firstLine="371" w:firstLineChars="176"/>
        <w:rPr>
          <w:color w:val="auto"/>
          <w:sz w:val="24"/>
          <w:highlight w:val="none"/>
        </w:rPr>
      </w:pPr>
      <w:r>
        <w:rPr>
          <w:rFonts w:hint="eastAsia" w:hAnsi="宋体" w:cs="宋体"/>
          <w:b/>
          <w:iCs/>
          <w:color w:val="auto"/>
          <w:highlight w:val="none"/>
        </w:rPr>
        <w:t>备注：</w:t>
      </w:r>
      <w:r>
        <w:rPr>
          <w:rFonts w:hint="eastAsia" w:hAnsi="宋体" w:cs="宋体"/>
          <w:b/>
          <w:iCs/>
          <w:color w:val="auto"/>
          <w:highlight w:val="none"/>
          <w:u w:val="single"/>
        </w:rPr>
        <w:t>后附证明材料，要求见评标标准</w:t>
      </w:r>
      <w:r>
        <w:rPr>
          <w:rFonts w:hint="eastAsia" w:hAnsi="宋体" w:cs="宋体"/>
          <w:b/>
          <w:iCs/>
          <w:color w:val="auto"/>
          <w:highlight w:val="none"/>
        </w:rPr>
        <w:t>。</w:t>
      </w:r>
    </w:p>
    <w:p w14:paraId="14FAFCC3">
      <w:pPr>
        <w:spacing w:line="360" w:lineRule="auto"/>
        <w:jc w:val="left"/>
        <w:rPr>
          <w:rFonts w:ascii="宋体" w:hAnsi="宋体" w:cs="宋体"/>
          <w:color w:val="auto"/>
          <w:kern w:val="0"/>
          <w:sz w:val="24"/>
          <w:highlight w:val="none"/>
          <w:lang w:val="zh-CN"/>
        </w:rPr>
      </w:pPr>
    </w:p>
    <w:p w14:paraId="15681E73">
      <w:pPr>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171B956F">
      <w:pPr>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686881C">
      <w:pPr>
        <w:pStyle w:val="7"/>
        <w:rPr>
          <w:color w:val="auto"/>
          <w:szCs w:val="22"/>
          <w:highlight w:val="none"/>
        </w:rPr>
      </w:pPr>
    </w:p>
    <w:p w14:paraId="7A517C3A">
      <w:pPr>
        <w:jc w:val="center"/>
        <w:rPr>
          <w:rFonts w:ascii="宋体" w:hAnsi="宋体" w:cs="宋体"/>
          <w:b/>
          <w:color w:val="auto"/>
          <w:kern w:val="0"/>
          <w:sz w:val="32"/>
          <w:szCs w:val="32"/>
          <w:highlight w:val="none"/>
        </w:rPr>
      </w:pPr>
    </w:p>
    <w:p w14:paraId="72D5C11C">
      <w:pPr>
        <w:pStyle w:val="6"/>
        <w:rPr>
          <w:color w:val="auto"/>
          <w:highlight w:val="none"/>
        </w:rPr>
      </w:pPr>
      <w:r>
        <w:rPr>
          <w:rFonts w:hint="eastAsia"/>
          <w:color w:val="auto"/>
          <w:highlight w:val="none"/>
        </w:rPr>
        <w:t>（3）技术（服务）方案</w:t>
      </w:r>
    </w:p>
    <w:p w14:paraId="7EA9ED48">
      <w:pPr>
        <w:spacing w:line="360" w:lineRule="auto"/>
        <w:jc w:val="center"/>
        <w:rPr>
          <w:rFonts w:ascii="宋体" w:hAnsi="宋体" w:cs="宋体"/>
          <w:color w:val="auto"/>
          <w:kern w:val="0"/>
          <w:sz w:val="24"/>
          <w:highlight w:val="none"/>
        </w:rPr>
      </w:pPr>
      <w:r>
        <w:rPr>
          <w:rFonts w:hint="eastAsia" w:ascii="宋体" w:hAnsi="宋体" w:cs="宋体"/>
          <w:b/>
          <w:bCs/>
          <w:color w:val="auto"/>
          <w:kern w:val="0"/>
          <w:sz w:val="24"/>
          <w:highlight w:val="none"/>
        </w:rPr>
        <w:t>根据评标标准要求，提供技术方案。</w:t>
      </w:r>
    </w:p>
    <w:p w14:paraId="360007BC">
      <w:pPr>
        <w:pStyle w:val="60"/>
        <w:rPr>
          <w:color w:val="auto"/>
          <w:highlight w:val="none"/>
          <w:lang w:val="zh-CN"/>
        </w:rPr>
      </w:pPr>
    </w:p>
    <w:p w14:paraId="1EF05083">
      <w:pPr>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09C12BFD">
      <w:pPr>
        <w:spacing w:line="360" w:lineRule="auto"/>
        <w:jc w:val="left"/>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日期：  年  月  日</w:t>
      </w:r>
    </w:p>
    <w:p w14:paraId="23A04F51">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621BA55">
      <w:pPr>
        <w:pStyle w:val="60"/>
        <w:rPr>
          <w:color w:val="auto"/>
          <w:highlight w:val="none"/>
        </w:rPr>
      </w:pPr>
    </w:p>
    <w:p w14:paraId="60D1F583">
      <w:pPr>
        <w:numPr>
          <w:ilvl w:val="0"/>
          <w:numId w:val="5"/>
        </w:numPr>
        <w:snapToGrid w:val="0"/>
        <w:spacing w:before="240" w:beforeLines="100" w:line="360" w:lineRule="auto"/>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投标标的清单列表</w:t>
      </w:r>
    </w:p>
    <w:p w14:paraId="723AB312">
      <w:pPr>
        <w:pStyle w:val="60"/>
        <w:jc w:val="both"/>
        <w:rPr>
          <w:color w:val="auto"/>
          <w:highlight w:val="none"/>
          <w:lang w:val="en-US"/>
        </w:rPr>
      </w:pPr>
      <w:r>
        <w:rPr>
          <w:rFonts w:hint="eastAsia"/>
          <w:color w:val="auto"/>
          <w:highlight w:val="none"/>
          <w:lang w:val="en-US"/>
        </w:rPr>
        <w:t>根据采购文件采购要求，填写本表格。</w:t>
      </w:r>
    </w:p>
    <w:tbl>
      <w:tblPr>
        <w:tblStyle w:val="63"/>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70"/>
        <w:gridCol w:w="1860"/>
        <w:gridCol w:w="1819"/>
        <w:gridCol w:w="1831"/>
      </w:tblGrid>
      <w:tr w14:paraId="22EE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D69C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C74AA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470" w:type="dxa"/>
            <w:tcBorders>
              <w:top w:val="single" w:color="auto" w:sz="4" w:space="0"/>
              <w:left w:val="single" w:color="auto" w:sz="4" w:space="0"/>
              <w:bottom w:val="single" w:color="auto" w:sz="4" w:space="0"/>
              <w:right w:val="single" w:color="auto" w:sz="4" w:space="0"/>
            </w:tcBorders>
            <w:vAlign w:val="center"/>
          </w:tcPr>
          <w:p w14:paraId="2A39000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860" w:type="dxa"/>
            <w:tcBorders>
              <w:top w:val="single" w:color="auto" w:sz="4" w:space="0"/>
              <w:left w:val="single" w:color="auto" w:sz="4" w:space="0"/>
              <w:bottom w:val="single" w:color="auto" w:sz="4" w:space="0"/>
              <w:right w:val="single" w:color="auto" w:sz="4" w:space="0"/>
            </w:tcBorders>
            <w:vAlign w:val="center"/>
          </w:tcPr>
          <w:p w14:paraId="73DDED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819" w:type="dxa"/>
            <w:tcBorders>
              <w:top w:val="single" w:color="auto" w:sz="4" w:space="0"/>
              <w:left w:val="single" w:color="auto" w:sz="4" w:space="0"/>
              <w:bottom w:val="single" w:color="auto" w:sz="4" w:space="0"/>
              <w:right w:val="single" w:color="auto" w:sz="4" w:space="0"/>
            </w:tcBorders>
            <w:vAlign w:val="center"/>
          </w:tcPr>
          <w:p w14:paraId="7E67AF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1" w:type="dxa"/>
            <w:tcBorders>
              <w:top w:val="single" w:color="auto" w:sz="4" w:space="0"/>
              <w:left w:val="single" w:color="auto" w:sz="4" w:space="0"/>
              <w:bottom w:val="single" w:color="auto" w:sz="4" w:space="0"/>
              <w:right w:val="single" w:color="auto" w:sz="4" w:space="0"/>
            </w:tcBorders>
            <w:vAlign w:val="center"/>
          </w:tcPr>
          <w:p w14:paraId="2BA150D3">
            <w:pPr>
              <w:spacing w:line="360" w:lineRule="auto"/>
              <w:jc w:val="center"/>
              <w:rPr>
                <w:rFonts w:ascii="宋体" w:hAnsi="宋体" w:cs="宋体"/>
                <w:b/>
                <w:color w:val="auto"/>
                <w:sz w:val="24"/>
                <w:highlight w:val="none"/>
              </w:rPr>
            </w:pPr>
          </w:p>
          <w:p w14:paraId="7123E5C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46A441C">
            <w:pPr>
              <w:spacing w:line="360" w:lineRule="auto"/>
              <w:jc w:val="center"/>
              <w:rPr>
                <w:rFonts w:ascii="宋体" w:hAnsi="宋体" w:cs="宋体"/>
                <w:b/>
                <w:color w:val="auto"/>
                <w:sz w:val="24"/>
                <w:highlight w:val="none"/>
              </w:rPr>
            </w:pPr>
          </w:p>
        </w:tc>
      </w:tr>
      <w:tr w14:paraId="2442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8A5D1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F60463D">
            <w:pPr>
              <w:snapToGrid w:val="0"/>
              <w:spacing w:line="360" w:lineRule="auto"/>
              <w:jc w:val="center"/>
              <w:rPr>
                <w:rFonts w:ascii="宋体" w:hAnsi="宋体" w:cs="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4937FBF5">
            <w:pPr>
              <w:snapToGrid w:val="0"/>
              <w:spacing w:line="360" w:lineRule="auto"/>
              <w:jc w:val="center"/>
              <w:rPr>
                <w:rFonts w:ascii="宋体" w:hAnsi="宋体" w:cs="宋体"/>
                <w:color w:val="auto"/>
                <w:sz w:val="24"/>
                <w:highlight w:val="none"/>
              </w:rPr>
            </w:pPr>
          </w:p>
        </w:tc>
        <w:tc>
          <w:tcPr>
            <w:tcW w:w="1860" w:type="dxa"/>
            <w:tcBorders>
              <w:top w:val="single" w:color="auto" w:sz="4" w:space="0"/>
              <w:left w:val="single" w:color="auto" w:sz="4" w:space="0"/>
              <w:bottom w:val="single" w:color="auto" w:sz="4" w:space="0"/>
              <w:right w:val="single" w:color="auto" w:sz="4" w:space="0"/>
            </w:tcBorders>
            <w:vAlign w:val="center"/>
          </w:tcPr>
          <w:p w14:paraId="4FF8ECE8">
            <w:pPr>
              <w:snapToGrid w:val="0"/>
              <w:spacing w:line="360" w:lineRule="auto"/>
              <w:jc w:val="center"/>
              <w:rPr>
                <w:rFonts w:ascii="宋体" w:hAnsi="宋体" w:cs="宋体"/>
                <w:color w:val="auto"/>
                <w:sz w:val="24"/>
                <w:highlight w:val="none"/>
              </w:rPr>
            </w:pPr>
          </w:p>
        </w:tc>
        <w:tc>
          <w:tcPr>
            <w:tcW w:w="1819" w:type="dxa"/>
            <w:tcBorders>
              <w:top w:val="single" w:color="auto" w:sz="4" w:space="0"/>
              <w:left w:val="single" w:color="auto" w:sz="4" w:space="0"/>
              <w:bottom w:val="single" w:color="auto" w:sz="4" w:space="0"/>
              <w:right w:val="single" w:color="auto" w:sz="4" w:space="0"/>
            </w:tcBorders>
            <w:vAlign w:val="center"/>
          </w:tcPr>
          <w:p w14:paraId="4D0AA2F8">
            <w:pP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25EFB386">
            <w:pPr>
              <w:spacing w:line="360" w:lineRule="auto"/>
              <w:jc w:val="center"/>
              <w:rPr>
                <w:rFonts w:ascii="宋体" w:hAnsi="宋体" w:cs="宋体"/>
                <w:color w:val="auto"/>
                <w:sz w:val="24"/>
                <w:highlight w:val="none"/>
              </w:rPr>
            </w:pPr>
          </w:p>
        </w:tc>
      </w:tr>
      <w:tr w14:paraId="2990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4ACCE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F32060B">
            <w:pPr>
              <w:snapToGrid w:val="0"/>
              <w:spacing w:line="360" w:lineRule="auto"/>
              <w:jc w:val="center"/>
              <w:rPr>
                <w:rFonts w:ascii="宋体" w:hAnsi="宋体" w:cs="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377D8A71">
            <w:pPr>
              <w:snapToGrid w:val="0"/>
              <w:spacing w:line="360" w:lineRule="auto"/>
              <w:jc w:val="center"/>
              <w:rPr>
                <w:rFonts w:ascii="宋体" w:hAnsi="宋体" w:cs="宋体"/>
                <w:color w:val="auto"/>
                <w:sz w:val="24"/>
                <w:highlight w:val="none"/>
              </w:rPr>
            </w:pPr>
          </w:p>
        </w:tc>
        <w:tc>
          <w:tcPr>
            <w:tcW w:w="1860" w:type="dxa"/>
            <w:tcBorders>
              <w:top w:val="single" w:color="auto" w:sz="4" w:space="0"/>
              <w:left w:val="single" w:color="auto" w:sz="4" w:space="0"/>
              <w:bottom w:val="single" w:color="auto" w:sz="4" w:space="0"/>
              <w:right w:val="single" w:color="auto" w:sz="4" w:space="0"/>
            </w:tcBorders>
            <w:vAlign w:val="center"/>
          </w:tcPr>
          <w:p w14:paraId="7093DAB2">
            <w:pPr>
              <w:snapToGrid w:val="0"/>
              <w:spacing w:line="360" w:lineRule="auto"/>
              <w:jc w:val="center"/>
              <w:rPr>
                <w:rFonts w:ascii="宋体" w:hAnsi="宋体" w:cs="宋体"/>
                <w:color w:val="auto"/>
                <w:sz w:val="24"/>
                <w:highlight w:val="none"/>
              </w:rPr>
            </w:pPr>
          </w:p>
        </w:tc>
        <w:tc>
          <w:tcPr>
            <w:tcW w:w="1819" w:type="dxa"/>
            <w:tcBorders>
              <w:top w:val="single" w:color="auto" w:sz="4" w:space="0"/>
              <w:left w:val="single" w:color="auto" w:sz="4" w:space="0"/>
              <w:bottom w:val="single" w:color="auto" w:sz="4" w:space="0"/>
              <w:right w:val="single" w:color="auto" w:sz="4" w:space="0"/>
            </w:tcBorders>
            <w:vAlign w:val="center"/>
          </w:tcPr>
          <w:p w14:paraId="2B1F02A2">
            <w:pP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FEB68B5">
            <w:pPr>
              <w:spacing w:line="360" w:lineRule="auto"/>
              <w:jc w:val="center"/>
              <w:rPr>
                <w:rFonts w:ascii="宋体" w:hAnsi="宋体" w:cs="宋体"/>
                <w:color w:val="auto"/>
                <w:sz w:val="24"/>
                <w:highlight w:val="none"/>
              </w:rPr>
            </w:pPr>
          </w:p>
        </w:tc>
      </w:tr>
      <w:tr w14:paraId="0CE7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2AFD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0B9EBA3">
            <w:pPr>
              <w:snapToGrid w:val="0"/>
              <w:spacing w:line="360" w:lineRule="auto"/>
              <w:jc w:val="center"/>
              <w:rPr>
                <w:rFonts w:ascii="宋体" w:hAnsi="宋体" w:cs="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3C3E45C8">
            <w:pPr>
              <w:snapToGrid w:val="0"/>
              <w:spacing w:line="360" w:lineRule="auto"/>
              <w:jc w:val="center"/>
              <w:rPr>
                <w:rFonts w:ascii="宋体" w:hAnsi="宋体" w:cs="宋体"/>
                <w:color w:val="auto"/>
                <w:sz w:val="24"/>
                <w:highlight w:val="none"/>
              </w:rPr>
            </w:pPr>
          </w:p>
        </w:tc>
        <w:tc>
          <w:tcPr>
            <w:tcW w:w="1860" w:type="dxa"/>
            <w:tcBorders>
              <w:top w:val="single" w:color="auto" w:sz="4" w:space="0"/>
              <w:left w:val="single" w:color="auto" w:sz="4" w:space="0"/>
              <w:bottom w:val="single" w:color="auto" w:sz="4" w:space="0"/>
              <w:right w:val="single" w:color="auto" w:sz="4" w:space="0"/>
            </w:tcBorders>
            <w:vAlign w:val="center"/>
          </w:tcPr>
          <w:p w14:paraId="6C53F428">
            <w:pPr>
              <w:snapToGrid w:val="0"/>
              <w:spacing w:line="360" w:lineRule="auto"/>
              <w:jc w:val="center"/>
              <w:rPr>
                <w:rFonts w:ascii="宋体" w:hAnsi="宋体" w:cs="宋体"/>
                <w:color w:val="auto"/>
                <w:sz w:val="24"/>
                <w:highlight w:val="none"/>
              </w:rPr>
            </w:pPr>
          </w:p>
        </w:tc>
        <w:tc>
          <w:tcPr>
            <w:tcW w:w="1819" w:type="dxa"/>
            <w:tcBorders>
              <w:top w:val="single" w:color="auto" w:sz="4" w:space="0"/>
              <w:left w:val="single" w:color="auto" w:sz="4" w:space="0"/>
              <w:bottom w:val="single" w:color="auto" w:sz="4" w:space="0"/>
              <w:right w:val="single" w:color="auto" w:sz="4" w:space="0"/>
            </w:tcBorders>
            <w:vAlign w:val="center"/>
          </w:tcPr>
          <w:p w14:paraId="31C4D631">
            <w:pP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6529890">
            <w:pPr>
              <w:spacing w:line="360" w:lineRule="auto"/>
              <w:jc w:val="center"/>
              <w:rPr>
                <w:rFonts w:ascii="宋体" w:hAnsi="宋体" w:cs="宋体"/>
                <w:color w:val="auto"/>
                <w:sz w:val="24"/>
                <w:highlight w:val="none"/>
              </w:rPr>
            </w:pPr>
          </w:p>
        </w:tc>
      </w:tr>
    </w:tbl>
    <w:p w14:paraId="3CC433F8">
      <w:pPr>
        <w:rPr>
          <w:color w:val="auto"/>
          <w:highlight w:val="none"/>
        </w:rPr>
      </w:pPr>
    </w:p>
    <w:p w14:paraId="2AD0EAAA">
      <w:pPr>
        <w:pStyle w:val="52"/>
        <w:ind w:leftChars="200" w:hanging="1680" w:hangingChars="700"/>
        <w:jc w:val="left"/>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AF3F7E">
      <w:pPr>
        <w:pStyle w:val="60"/>
        <w:rPr>
          <w:color w:val="auto"/>
          <w:highlight w:val="none"/>
        </w:rPr>
      </w:pPr>
    </w:p>
    <w:p w14:paraId="514A80CB">
      <w:pPr>
        <w:rPr>
          <w:color w:val="auto"/>
          <w:highlight w:val="none"/>
        </w:rPr>
      </w:pPr>
    </w:p>
    <w:p w14:paraId="46D790DC">
      <w:pPr>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73958F2F">
      <w:pPr>
        <w:spacing w:line="360" w:lineRule="auto"/>
        <w:jc w:val="left"/>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日期：  年  月  日</w:t>
      </w:r>
    </w:p>
    <w:p w14:paraId="14AFEF48">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4F644C3">
      <w:pPr>
        <w:snapToGrid w:val="0"/>
        <w:spacing w:before="240" w:beforeLines="100" w:line="360" w:lineRule="auto"/>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p w14:paraId="681192B8">
      <w:pPr>
        <w:pStyle w:val="60"/>
        <w:jc w:val="both"/>
        <w:rPr>
          <w:color w:val="auto"/>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B46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A9B220">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3683" w:type="dxa"/>
          </w:tcPr>
          <w:p w14:paraId="102846A1">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采购文件章节及具体内容</w:t>
            </w:r>
          </w:p>
        </w:tc>
        <w:tc>
          <w:tcPr>
            <w:tcW w:w="3546" w:type="dxa"/>
          </w:tcPr>
          <w:p w14:paraId="5910C8DC">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投标文件章节及具体内容</w:t>
            </w:r>
          </w:p>
        </w:tc>
        <w:tc>
          <w:tcPr>
            <w:tcW w:w="1276" w:type="dxa"/>
          </w:tcPr>
          <w:p w14:paraId="21DDB52D">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偏离说明</w:t>
            </w:r>
          </w:p>
        </w:tc>
      </w:tr>
      <w:tr w14:paraId="4094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70FB88">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3683" w:type="dxa"/>
          </w:tcPr>
          <w:p w14:paraId="1A6DC746">
            <w:pPr>
              <w:jc w:val="center"/>
              <w:rPr>
                <w:rFonts w:ascii="宋体" w:hAnsi="宋体" w:cs="宋体"/>
                <w:b/>
                <w:color w:val="auto"/>
                <w:kern w:val="0"/>
                <w:sz w:val="24"/>
                <w:szCs w:val="24"/>
                <w:highlight w:val="none"/>
              </w:rPr>
            </w:pPr>
          </w:p>
        </w:tc>
        <w:tc>
          <w:tcPr>
            <w:tcW w:w="3546" w:type="dxa"/>
          </w:tcPr>
          <w:p w14:paraId="77976231">
            <w:pPr>
              <w:jc w:val="center"/>
              <w:rPr>
                <w:rFonts w:ascii="宋体" w:hAnsi="宋体" w:cs="宋体"/>
                <w:b/>
                <w:color w:val="auto"/>
                <w:kern w:val="0"/>
                <w:sz w:val="24"/>
                <w:szCs w:val="24"/>
                <w:highlight w:val="none"/>
              </w:rPr>
            </w:pPr>
          </w:p>
        </w:tc>
        <w:tc>
          <w:tcPr>
            <w:tcW w:w="1276" w:type="dxa"/>
          </w:tcPr>
          <w:p w14:paraId="591D1F81">
            <w:pPr>
              <w:jc w:val="center"/>
              <w:rPr>
                <w:rFonts w:ascii="宋体" w:hAnsi="宋体" w:cs="宋体"/>
                <w:b/>
                <w:color w:val="auto"/>
                <w:kern w:val="0"/>
                <w:sz w:val="24"/>
                <w:szCs w:val="24"/>
                <w:highlight w:val="none"/>
              </w:rPr>
            </w:pPr>
          </w:p>
        </w:tc>
      </w:tr>
      <w:tr w14:paraId="45F1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FE5875">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3683" w:type="dxa"/>
          </w:tcPr>
          <w:p w14:paraId="38B48531">
            <w:pPr>
              <w:jc w:val="center"/>
              <w:rPr>
                <w:rFonts w:ascii="宋体" w:hAnsi="宋体" w:cs="宋体"/>
                <w:b/>
                <w:color w:val="auto"/>
                <w:kern w:val="0"/>
                <w:sz w:val="24"/>
                <w:szCs w:val="24"/>
                <w:highlight w:val="none"/>
              </w:rPr>
            </w:pPr>
          </w:p>
        </w:tc>
        <w:tc>
          <w:tcPr>
            <w:tcW w:w="3546" w:type="dxa"/>
          </w:tcPr>
          <w:p w14:paraId="46D8504B">
            <w:pPr>
              <w:jc w:val="center"/>
              <w:rPr>
                <w:rFonts w:ascii="宋体" w:hAnsi="宋体" w:cs="宋体"/>
                <w:b/>
                <w:color w:val="auto"/>
                <w:kern w:val="0"/>
                <w:sz w:val="24"/>
                <w:szCs w:val="24"/>
                <w:highlight w:val="none"/>
              </w:rPr>
            </w:pPr>
          </w:p>
        </w:tc>
        <w:tc>
          <w:tcPr>
            <w:tcW w:w="1276" w:type="dxa"/>
          </w:tcPr>
          <w:p w14:paraId="24F6AC61">
            <w:pPr>
              <w:jc w:val="center"/>
              <w:rPr>
                <w:rFonts w:ascii="宋体" w:hAnsi="宋体" w:cs="宋体"/>
                <w:b/>
                <w:color w:val="auto"/>
                <w:kern w:val="0"/>
                <w:sz w:val="24"/>
                <w:szCs w:val="24"/>
                <w:highlight w:val="none"/>
              </w:rPr>
            </w:pPr>
          </w:p>
        </w:tc>
      </w:tr>
      <w:tr w14:paraId="61A2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72268F">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3683" w:type="dxa"/>
          </w:tcPr>
          <w:p w14:paraId="56BA972C">
            <w:pPr>
              <w:jc w:val="center"/>
              <w:rPr>
                <w:rFonts w:ascii="宋体" w:hAnsi="宋体" w:cs="宋体"/>
                <w:b/>
                <w:color w:val="auto"/>
                <w:kern w:val="0"/>
                <w:sz w:val="24"/>
                <w:szCs w:val="24"/>
                <w:highlight w:val="none"/>
              </w:rPr>
            </w:pPr>
          </w:p>
        </w:tc>
        <w:tc>
          <w:tcPr>
            <w:tcW w:w="3546" w:type="dxa"/>
          </w:tcPr>
          <w:p w14:paraId="28E02DB6">
            <w:pPr>
              <w:jc w:val="center"/>
              <w:rPr>
                <w:rFonts w:ascii="宋体" w:hAnsi="宋体" w:cs="宋体"/>
                <w:b/>
                <w:color w:val="auto"/>
                <w:kern w:val="0"/>
                <w:sz w:val="24"/>
                <w:szCs w:val="24"/>
                <w:highlight w:val="none"/>
              </w:rPr>
            </w:pPr>
          </w:p>
        </w:tc>
        <w:tc>
          <w:tcPr>
            <w:tcW w:w="1276" w:type="dxa"/>
          </w:tcPr>
          <w:p w14:paraId="1C7713B7">
            <w:pPr>
              <w:jc w:val="center"/>
              <w:rPr>
                <w:rFonts w:ascii="宋体" w:hAnsi="宋体" w:cs="宋体"/>
                <w:b/>
                <w:color w:val="auto"/>
                <w:kern w:val="0"/>
                <w:sz w:val="24"/>
                <w:szCs w:val="24"/>
                <w:highlight w:val="none"/>
              </w:rPr>
            </w:pPr>
          </w:p>
        </w:tc>
      </w:tr>
    </w:tbl>
    <w:p w14:paraId="3B23961A">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投标人保证：除商务技术偏离表列出的偏离外，投标人响应采购文件的全部要求</w:t>
      </w:r>
    </w:p>
    <w:p w14:paraId="3EF250E7">
      <w:pPr>
        <w:spacing w:line="360" w:lineRule="auto"/>
        <w:ind w:right="420"/>
        <w:rPr>
          <w:rFonts w:hint="eastAsia" w:ascii="宋体" w:hAnsi="宋体" w:cs="宋体"/>
          <w:color w:val="auto"/>
          <w:sz w:val="24"/>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4E9ADBCC">
      <w:pPr>
        <w:spacing w:line="360" w:lineRule="auto"/>
        <w:jc w:val="left"/>
        <w:rPr>
          <w:rFonts w:ascii="宋体" w:hAnsi="宋体" w:cs="宋体"/>
          <w:color w:val="auto"/>
          <w:kern w:val="0"/>
          <w:sz w:val="24"/>
          <w:szCs w:val="24"/>
          <w:highlight w:val="none"/>
          <w:lang w:val="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674F2AC">
      <w:pPr>
        <w:spacing w:line="360" w:lineRule="auto"/>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投标人名称(电子签名)：</w:t>
      </w:r>
    </w:p>
    <w:p w14:paraId="5B24B376">
      <w:pPr>
        <w:spacing w:line="360" w:lineRule="auto"/>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日期：  年  月  日</w:t>
      </w:r>
    </w:p>
    <w:p w14:paraId="43DCFAD9">
      <w:pPr>
        <w:jc w:val="center"/>
        <w:rPr>
          <w:rFonts w:ascii="宋体" w:hAnsi="宋体" w:cs="宋体"/>
          <w:b/>
          <w:color w:val="auto"/>
          <w:kern w:val="0"/>
          <w:sz w:val="24"/>
          <w:szCs w:val="24"/>
          <w:highlight w:val="none"/>
        </w:rPr>
      </w:pPr>
    </w:p>
    <w:p w14:paraId="4B3E7E1C">
      <w:pPr>
        <w:spacing w:line="360" w:lineRule="auto"/>
        <w:ind w:right="420"/>
        <w:rPr>
          <w:rFonts w:ascii="宋体" w:hAnsi="宋体" w:cs="宋体"/>
          <w:color w:val="auto"/>
          <w:sz w:val="24"/>
          <w:highlight w:val="none"/>
        </w:rPr>
      </w:pPr>
      <w:r>
        <w:rPr>
          <w:rFonts w:hint="eastAsia" w:ascii="宋体" w:hAnsi="宋体" w:cs="宋体"/>
          <w:color w:val="auto"/>
          <w:sz w:val="24"/>
          <w:szCs w:val="24"/>
          <w:highlight w:val="none"/>
        </w:rPr>
        <w:t>注：</w:t>
      </w:r>
      <w:r>
        <w:rPr>
          <w:rFonts w:hint="eastAsia" w:ascii="宋体" w:hAnsi="宋体" w:cs="宋体"/>
          <w:color w:val="auto"/>
          <w:kern w:val="0"/>
          <w:sz w:val="24"/>
          <w:szCs w:val="24"/>
          <w:highlight w:val="none"/>
        </w:rPr>
        <w:t>投标人按本格式和要求提供本表。</w:t>
      </w:r>
    </w:p>
    <w:p w14:paraId="0CD144BF">
      <w:pPr>
        <w:ind w:firstLine="1911" w:firstLineChars="595"/>
        <w:rPr>
          <w:rFonts w:ascii="宋体" w:hAnsi="宋体" w:cs="宋体"/>
          <w:b/>
          <w:bCs/>
          <w:color w:val="auto"/>
          <w:sz w:val="32"/>
          <w:szCs w:val="32"/>
          <w:highlight w:val="none"/>
        </w:rPr>
      </w:pPr>
    </w:p>
    <w:p w14:paraId="2A3C9DF8">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0D7D16C">
      <w:pPr>
        <w:snapToGrid w:val="0"/>
        <w:spacing w:before="240" w:beforeLines="100" w:line="360" w:lineRule="auto"/>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八、</w:t>
      </w:r>
      <w:r>
        <w:rPr>
          <w:rFonts w:hint="eastAsia" w:ascii="宋体" w:hAnsi="宋体" w:cs="宋体"/>
          <w:b/>
          <w:color w:val="auto"/>
          <w:kern w:val="0"/>
          <w:sz w:val="32"/>
          <w:szCs w:val="32"/>
          <w:highlight w:val="none"/>
          <w:lang w:val="zh-CN"/>
        </w:rPr>
        <w:t>政府采购供应商廉洁自律承诺书</w:t>
      </w:r>
    </w:p>
    <w:p w14:paraId="5FED1FEA">
      <w:pPr>
        <w:snapToGrid w:val="0"/>
        <w:spacing w:line="360" w:lineRule="auto"/>
        <w:rPr>
          <w:rFonts w:ascii="宋体" w:hAnsi="宋体" w:cs="宋体"/>
          <w:color w:val="auto"/>
          <w:sz w:val="24"/>
          <w:highlight w:val="none"/>
        </w:rPr>
      </w:pPr>
    </w:p>
    <w:p w14:paraId="4780FE04">
      <w:pPr>
        <w:snapToGrid w:val="0"/>
        <w:spacing w:line="360" w:lineRule="auto"/>
        <w:rPr>
          <w:rFonts w:ascii="宋体" w:hAnsi="宋体" w:cs="宋体"/>
          <w:color w:val="auto"/>
          <w:kern w:val="0"/>
          <w:sz w:val="24"/>
          <w:highlight w:val="none"/>
        </w:rPr>
      </w:pPr>
      <w:r>
        <w:rPr>
          <w:rFonts w:hint="eastAsia" w:ascii="宋体" w:hAnsi="宋体"/>
          <w:b/>
          <w:bCs/>
          <w:color w:val="auto"/>
          <w:sz w:val="24"/>
          <w:highlight w:val="none"/>
          <w:u w:val="single"/>
          <w:lang w:eastAsia="zh-CN"/>
        </w:rPr>
        <w:t>杭州市拱墅区住房和城市建设局</w:t>
      </w:r>
      <w:r>
        <w:rPr>
          <w:rFonts w:hint="eastAsia" w:ascii="宋体" w:hAnsi="宋体"/>
          <w:b/>
          <w:bCs/>
          <w:color w:val="auto"/>
          <w:sz w:val="24"/>
          <w:highlight w:val="none"/>
          <w:u w:val="single"/>
        </w:rPr>
        <w:t>、浙江省成套招标代理有限公司</w:t>
      </w:r>
      <w:r>
        <w:rPr>
          <w:rFonts w:hint="eastAsia" w:ascii="宋体" w:hAnsi="宋体" w:cs="宋体"/>
          <w:color w:val="auto"/>
          <w:kern w:val="0"/>
          <w:sz w:val="24"/>
          <w:highlight w:val="none"/>
          <w:lang w:val="zh-CN"/>
        </w:rPr>
        <w:t>：</w:t>
      </w:r>
    </w:p>
    <w:p w14:paraId="735A713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w:t>
      </w:r>
      <w:r>
        <w:rPr>
          <w:rFonts w:hint="eastAsia" w:ascii="宋体" w:hAnsi="宋体" w:cs="宋体"/>
          <w:color w:val="auto"/>
          <w:kern w:val="0"/>
          <w:sz w:val="24"/>
          <w:highlight w:val="none"/>
        </w:rPr>
        <w:t>采购</w:t>
      </w:r>
      <w:r>
        <w:rPr>
          <w:rFonts w:hint="eastAsia" w:ascii="宋体" w:hAnsi="宋体" w:cs="宋体"/>
          <w:color w:val="auto"/>
          <w:kern w:val="0"/>
          <w:sz w:val="24"/>
          <w:highlight w:val="none"/>
          <w:lang w:val="zh-CN"/>
        </w:rPr>
        <w:t>要求参加投标。在这次投标过程中和中标后，我们将严格遵守国家法律法规要求，并郑重承诺：</w:t>
      </w:r>
    </w:p>
    <w:p w14:paraId="558DF3D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79D17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9FED86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C56BEC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B26932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61F65B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7C2F2F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208030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EC21BE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rPr>
        <w:t>财政监督管理部门</w:t>
      </w:r>
      <w:r>
        <w:rPr>
          <w:rFonts w:hint="eastAsia" w:ascii="宋体" w:hAnsi="宋体" w:cs="宋体"/>
          <w:color w:val="auto"/>
          <w:kern w:val="0"/>
          <w:sz w:val="24"/>
          <w:highlight w:val="none"/>
          <w:lang w:val="zh-CN"/>
        </w:rPr>
        <w:t>。由此引起的相应损失均由我单位承担。</w:t>
      </w:r>
    </w:p>
    <w:p w14:paraId="106B85C6">
      <w:pPr>
        <w:autoSpaceDE w:val="0"/>
        <w:autoSpaceDN w:val="0"/>
        <w:spacing w:line="360" w:lineRule="auto"/>
        <w:ind w:left="2"/>
        <w:jc w:val="left"/>
        <w:rPr>
          <w:rFonts w:ascii="宋体" w:hAnsi="宋体" w:cs="宋体"/>
          <w:color w:val="auto"/>
          <w:kern w:val="0"/>
          <w:sz w:val="24"/>
          <w:highlight w:val="none"/>
          <w:lang w:val="zh-CN"/>
        </w:rPr>
      </w:pPr>
    </w:p>
    <w:p w14:paraId="64BA2B5E">
      <w:pPr>
        <w:autoSpaceDE w:val="0"/>
        <w:autoSpaceDN w:val="0"/>
        <w:spacing w:line="360" w:lineRule="auto"/>
        <w:ind w:left="2"/>
        <w:jc w:val="left"/>
        <w:rPr>
          <w:rFonts w:ascii="宋体" w:hAnsi="宋体" w:cs="宋体"/>
          <w:color w:val="auto"/>
          <w:kern w:val="0"/>
          <w:sz w:val="24"/>
          <w:highlight w:val="none"/>
          <w:lang w:val="zh-CN"/>
        </w:rPr>
      </w:pPr>
    </w:p>
    <w:p w14:paraId="6932B84C">
      <w:pPr>
        <w:autoSpaceDE w:val="0"/>
        <w:autoSpaceDN w:val="0"/>
        <w:spacing w:line="360" w:lineRule="auto"/>
        <w:ind w:left="2"/>
        <w:jc w:val="left"/>
        <w:rPr>
          <w:rFonts w:ascii="宋体" w:hAnsi="宋体" w:cs="宋体"/>
          <w:color w:val="auto"/>
          <w:kern w:val="0"/>
          <w:sz w:val="24"/>
          <w:highlight w:val="none"/>
          <w:lang w:val="zh-CN"/>
        </w:rPr>
      </w:pPr>
    </w:p>
    <w:p w14:paraId="45E8C5A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B7D581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F1D2557">
      <w:pPr>
        <w:spacing w:line="360" w:lineRule="auto"/>
        <w:jc w:val="center"/>
        <w:rPr>
          <w:rFonts w:ascii="宋体" w:hAnsi="宋体" w:cs="宋体"/>
          <w:b/>
          <w:bCs/>
          <w:color w:val="auto"/>
          <w:sz w:val="24"/>
          <w:highlight w:val="none"/>
        </w:rPr>
      </w:pPr>
    </w:p>
    <w:p w14:paraId="0B3A581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48814F">
      <w:pPr>
        <w:spacing w:line="360" w:lineRule="auto"/>
        <w:jc w:val="center"/>
        <w:rPr>
          <w:rFonts w:ascii="宋体" w:hAnsi="宋体" w:cs="宋体"/>
          <w:b/>
          <w:bCs/>
          <w:color w:val="auto"/>
          <w:sz w:val="24"/>
          <w:highlight w:val="none"/>
        </w:rPr>
        <w:sectPr>
          <w:headerReference r:id="rId13" w:type="first"/>
          <w:footerReference r:id="rId14" w:type="first"/>
          <w:headerReference r:id="rId12" w:type="default"/>
          <w:pgSz w:w="11905" w:h="16838"/>
          <w:pgMar w:top="1134" w:right="1417" w:bottom="1417" w:left="1417" w:header="709" w:footer="992" w:gutter="0"/>
          <w:cols w:space="0" w:num="1"/>
          <w:titlePg/>
          <w:docGrid w:linePitch="312" w:charSpace="0"/>
        </w:sectPr>
      </w:pPr>
    </w:p>
    <w:p w14:paraId="3951C9BA">
      <w:pPr>
        <w:spacing w:line="360" w:lineRule="auto"/>
        <w:jc w:val="center"/>
        <w:rPr>
          <w:rFonts w:ascii="宋体" w:hAnsi="宋体" w:cs="宋体"/>
          <w:b/>
          <w:color w:val="auto"/>
          <w:kern w:val="0"/>
          <w:sz w:val="36"/>
          <w:szCs w:val="36"/>
          <w:highlight w:val="none"/>
        </w:rPr>
      </w:pPr>
    </w:p>
    <w:p w14:paraId="39F3B3D8">
      <w:pPr>
        <w:spacing w:line="360" w:lineRule="auto"/>
        <w:jc w:val="center"/>
        <w:outlineLvl w:val="1"/>
        <w:rPr>
          <w:rFonts w:ascii="宋体" w:hAnsi="宋体" w:cs="宋体"/>
          <w:b/>
          <w:color w:val="auto"/>
          <w:kern w:val="0"/>
          <w:sz w:val="36"/>
          <w:szCs w:val="36"/>
          <w:highlight w:val="none"/>
        </w:rPr>
      </w:pPr>
      <w:bookmarkStart w:id="527" w:name="_Toc13961"/>
      <w:r>
        <w:rPr>
          <w:rFonts w:hint="eastAsia" w:ascii="宋体" w:hAnsi="宋体" w:cs="宋体"/>
          <w:b/>
          <w:color w:val="auto"/>
          <w:kern w:val="0"/>
          <w:sz w:val="36"/>
          <w:szCs w:val="36"/>
          <w:highlight w:val="none"/>
        </w:rPr>
        <w:t>第三部分 报价文件</w:t>
      </w:r>
      <w:bookmarkEnd w:id="527"/>
    </w:p>
    <w:p w14:paraId="7E62B2CE">
      <w:pPr>
        <w:spacing w:line="360" w:lineRule="auto"/>
        <w:jc w:val="center"/>
        <w:outlineLvl w:val="2"/>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A85DBBC">
      <w:pPr>
        <w:spacing w:line="360" w:lineRule="auto"/>
        <w:jc w:val="center"/>
        <w:rPr>
          <w:rFonts w:ascii="宋体" w:hAnsi="宋体" w:cs="宋体"/>
          <w:b/>
          <w:color w:val="auto"/>
          <w:kern w:val="0"/>
          <w:sz w:val="36"/>
          <w:szCs w:val="36"/>
          <w:highlight w:val="none"/>
        </w:rPr>
      </w:pPr>
    </w:p>
    <w:p w14:paraId="0733AE75">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2A6392DF">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报价情况说明（如供应商报价低于项目预算50%的，应当提交本文档，详细阐述不影响产品质量或者诚信履约的具体原因）</w:t>
      </w:r>
    </w:p>
    <w:p w14:paraId="03C2A8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093AA239">
      <w:pPr>
        <w:snapToGrid w:val="0"/>
        <w:spacing w:line="360" w:lineRule="auto"/>
        <w:ind w:right="480"/>
        <w:jc w:val="center"/>
        <w:rPr>
          <w:rFonts w:ascii="宋体" w:hAnsi="宋体" w:cs="宋体"/>
          <w:b/>
          <w:color w:val="auto"/>
          <w:kern w:val="0"/>
          <w:sz w:val="32"/>
          <w:szCs w:val="32"/>
          <w:highlight w:val="none"/>
        </w:rPr>
      </w:pPr>
    </w:p>
    <w:p w14:paraId="4DB1E9F3">
      <w:pPr>
        <w:snapToGrid w:val="0"/>
        <w:spacing w:line="360" w:lineRule="auto"/>
        <w:ind w:right="480"/>
        <w:jc w:val="center"/>
        <w:rPr>
          <w:rFonts w:ascii="宋体" w:hAnsi="宋体" w:cs="宋体"/>
          <w:b/>
          <w:color w:val="auto"/>
          <w:kern w:val="0"/>
          <w:sz w:val="32"/>
          <w:szCs w:val="32"/>
          <w:highlight w:val="none"/>
        </w:rPr>
      </w:pPr>
    </w:p>
    <w:p w14:paraId="36989086">
      <w:pPr>
        <w:snapToGrid w:val="0"/>
        <w:spacing w:line="360" w:lineRule="auto"/>
        <w:ind w:right="480"/>
        <w:jc w:val="center"/>
        <w:rPr>
          <w:rFonts w:ascii="宋体" w:hAnsi="宋体" w:cs="宋体"/>
          <w:b/>
          <w:color w:val="auto"/>
          <w:kern w:val="0"/>
          <w:sz w:val="32"/>
          <w:szCs w:val="32"/>
          <w:highlight w:val="none"/>
        </w:rPr>
      </w:pPr>
    </w:p>
    <w:p w14:paraId="5569774E">
      <w:pPr>
        <w:snapToGrid w:val="0"/>
        <w:spacing w:line="360" w:lineRule="auto"/>
        <w:ind w:right="480"/>
        <w:jc w:val="center"/>
        <w:rPr>
          <w:rFonts w:ascii="宋体" w:hAnsi="宋体" w:cs="宋体"/>
          <w:b/>
          <w:color w:val="auto"/>
          <w:kern w:val="0"/>
          <w:sz w:val="32"/>
          <w:szCs w:val="32"/>
          <w:highlight w:val="none"/>
        </w:rPr>
      </w:pPr>
    </w:p>
    <w:p w14:paraId="530E3D49">
      <w:pPr>
        <w:snapToGrid w:val="0"/>
        <w:spacing w:line="360" w:lineRule="auto"/>
        <w:ind w:right="480"/>
        <w:jc w:val="center"/>
        <w:rPr>
          <w:rFonts w:ascii="宋体" w:hAnsi="宋体" w:cs="宋体"/>
          <w:b/>
          <w:color w:val="auto"/>
          <w:kern w:val="0"/>
          <w:sz w:val="32"/>
          <w:szCs w:val="32"/>
          <w:highlight w:val="none"/>
        </w:rPr>
      </w:pPr>
    </w:p>
    <w:p w14:paraId="1F76B875">
      <w:pPr>
        <w:snapToGrid w:val="0"/>
        <w:spacing w:line="360" w:lineRule="auto"/>
        <w:ind w:right="480"/>
        <w:jc w:val="center"/>
        <w:rPr>
          <w:rFonts w:ascii="宋体" w:hAnsi="宋体" w:cs="宋体"/>
          <w:b/>
          <w:color w:val="auto"/>
          <w:kern w:val="0"/>
          <w:sz w:val="32"/>
          <w:szCs w:val="32"/>
          <w:highlight w:val="none"/>
        </w:rPr>
      </w:pPr>
    </w:p>
    <w:p w14:paraId="33855527">
      <w:pPr>
        <w:snapToGrid w:val="0"/>
        <w:spacing w:line="360" w:lineRule="auto"/>
        <w:ind w:right="480"/>
        <w:jc w:val="center"/>
        <w:rPr>
          <w:rFonts w:ascii="宋体" w:hAnsi="宋体" w:cs="宋体"/>
          <w:b/>
          <w:color w:val="auto"/>
          <w:kern w:val="0"/>
          <w:sz w:val="32"/>
          <w:szCs w:val="32"/>
          <w:highlight w:val="none"/>
        </w:rPr>
      </w:pPr>
    </w:p>
    <w:p w14:paraId="16BB5B87">
      <w:pPr>
        <w:snapToGrid w:val="0"/>
        <w:spacing w:line="360" w:lineRule="auto"/>
        <w:ind w:right="480"/>
        <w:jc w:val="center"/>
        <w:rPr>
          <w:rFonts w:ascii="宋体" w:hAnsi="宋体" w:cs="宋体"/>
          <w:b/>
          <w:color w:val="auto"/>
          <w:kern w:val="0"/>
          <w:sz w:val="32"/>
          <w:szCs w:val="32"/>
          <w:highlight w:val="none"/>
        </w:rPr>
      </w:pPr>
    </w:p>
    <w:p w14:paraId="3DE9DA80">
      <w:pPr>
        <w:snapToGrid w:val="0"/>
        <w:spacing w:line="360" w:lineRule="auto"/>
        <w:ind w:right="480"/>
        <w:jc w:val="center"/>
        <w:rPr>
          <w:rFonts w:ascii="宋体" w:hAnsi="宋体" w:cs="宋体"/>
          <w:b/>
          <w:color w:val="auto"/>
          <w:kern w:val="0"/>
          <w:sz w:val="32"/>
          <w:szCs w:val="32"/>
          <w:highlight w:val="none"/>
        </w:rPr>
      </w:pPr>
    </w:p>
    <w:p w14:paraId="4540A742">
      <w:pPr>
        <w:snapToGrid w:val="0"/>
        <w:spacing w:line="360" w:lineRule="auto"/>
        <w:ind w:right="480"/>
        <w:jc w:val="center"/>
        <w:rPr>
          <w:rFonts w:ascii="宋体" w:hAnsi="宋体" w:cs="宋体"/>
          <w:b/>
          <w:color w:val="auto"/>
          <w:kern w:val="0"/>
          <w:sz w:val="32"/>
          <w:szCs w:val="32"/>
          <w:highlight w:val="none"/>
        </w:rPr>
      </w:pPr>
    </w:p>
    <w:p w14:paraId="0A3CB12C">
      <w:pPr>
        <w:snapToGrid w:val="0"/>
        <w:spacing w:line="360" w:lineRule="auto"/>
        <w:ind w:right="480"/>
        <w:jc w:val="center"/>
        <w:rPr>
          <w:rFonts w:ascii="宋体" w:hAnsi="宋体" w:cs="宋体"/>
          <w:b/>
          <w:color w:val="auto"/>
          <w:kern w:val="0"/>
          <w:sz w:val="32"/>
          <w:szCs w:val="32"/>
          <w:highlight w:val="none"/>
        </w:rPr>
      </w:pPr>
    </w:p>
    <w:p w14:paraId="190A212B">
      <w:pPr>
        <w:snapToGrid w:val="0"/>
        <w:spacing w:line="360" w:lineRule="auto"/>
        <w:ind w:right="480"/>
        <w:jc w:val="center"/>
        <w:rPr>
          <w:rFonts w:ascii="宋体" w:hAnsi="宋体" w:cs="宋体"/>
          <w:b/>
          <w:color w:val="auto"/>
          <w:kern w:val="0"/>
          <w:sz w:val="32"/>
          <w:szCs w:val="32"/>
          <w:highlight w:val="none"/>
        </w:rPr>
      </w:pPr>
    </w:p>
    <w:p w14:paraId="6A1E30A6">
      <w:pPr>
        <w:snapToGrid w:val="0"/>
        <w:spacing w:line="360" w:lineRule="auto"/>
        <w:ind w:right="480"/>
        <w:jc w:val="center"/>
        <w:rPr>
          <w:rFonts w:ascii="宋体" w:hAnsi="宋体" w:cs="宋体"/>
          <w:b/>
          <w:color w:val="auto"/>
          <w:kern w:val="0"/>
          <w:sz w:val="32"/>
          <w:szCs w:val="32"/>
          <w:highlight w:val="none"/>
        </w:rPr>
      </w:pPr>
    </w:p>
    <w:p w14:paraId="51F62E05">
      <w:pPr>
        <w:snapToGrid w:val="0"/>
        <w:spacing w:line="360" w:lineRule="auto"/>
        <w:ind w:right="480"/>
        <w:jc w:val="center"/>
        <w:rPr>
          <w:rFonts w:ascii="宋体" w:hAnsi="宋体" w:cs="宋体"/>
          <w:b/>
          <w:color w:val="auto"/>
          <w:kern w:val="0"/>
          <w:sz w:val="32"/>
          <w:szCs w:val="32"/>
          <w:highlight w:val="none"/>
        </w:rPr>
      </w:pPr>
    </w:p>
    <w:p w14:paraId="7467D768">
      <w:pPr>
        <w:snapToGrid w:val="0"/>
        <w:spacing w:line="360" w:lineRule="auto"/>
        <w:ind w:right="480"/>
        <w:jc w:val="center"/>
        <w:rPr>
          <w:rFonts w:ascii="宋体" w:hAnsi="宋体" w:cs="宋体"/>
          <w:b/>
          <w:color w:val="auto"/>
          <w:kern w:val="0"/>
          <w:sz w:val="32"/>
          <w:szCs w:val="32"/>
          <w:highlight w:val="none"/>
        </w:rPr>
      </w:pPr>
    </w:p>
    <w:p w14:paraId="58FDE22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6" w:type="first"/>
          <w:footerReference r:id="rId18" w:type="first"/>
          <w:headerReference r:id="rId15" w:type="default"/>
          <w:footerReference r:id="rId17" w:type="default"/>
          <w:pgSz w:w="11905" w:h="16838"/>
          <w:pgMar w:top="1134" w:right="1417" w:bottom="1417" w:left="1417" w:header="709" w:footer="992" w:gutter="0"/>
          <w:cols w:space="0" w:num="1"/>
          <w:titlePg/>
          <w:docGrid w:linePitch="312" w:charSpace="0"/>
        </w:sectPr>
      </w:pPr>
    </w:p>
    <w:p w14:paraId="4C8B354F">
      <w:pPr>
        <w:spacing w:before="240" w:beforeLines="100" w:line="360" w:lineRule="auto"/>
        <w:jc w:val="center"/>
        <w:outlineLvl w:val="2"/>
        <w:rPr>
          <w:rFonts w:ascii="宋体" w:hAnsi="宋体" w:cs="宋体"/>
          <w:b/>
          <w:bCs/>
          <w:color w:val="auto"/>
          <w:sz w:val="36"/>
          <w:szCs w:val="36"/>
          <w:highlight w:val="none"/>
        </w:rPr>
      </w:pPr>
      <w:r>
        <w:rPr>
          <w:rFonts w:hint="eastAsia" w:ascii="宋体" w:hAnsi="宋体" w:cs="宋体"/>
          <w:b/>
          <w:bCs/>
          <w:color w:val="auto"/>
          <w:sz w:val="36"/>
          <w:szCs w:val="36"/>
          <w:highlight w:val="none"/>
        </w:rPr>
        <w:t>▲一、开标一览表（报价表）</w:t>
      </w:r>
    </w:p>
    <w:p w14:paraId="5CC5DB5A">
      <w:pPr>
        <w:snapToGrid w:val="0"/>
        <w:spacing w:line="360" w:lineRule="auto"/>
        <w:rPr>
          <w:rFonts w:ascii="宋体" w:hAnsi="宋体" w:cs="宋体"/>
          <w:color w:val="auto"/>
          <w:kern w:val="0"/>
          <w:sz w:val="24"/>
          <w:highlight w:val="none"/>
        </w:rPr>
      </w:pPr>
      <w:r>
        <w:rPr>
          <w:rFonts w:hint="eastAsia" w:ascii="宋体" w:hAnsi="宋体"/>
          <w:b/>
          <w:bCs/>
          <w:color w:val="auto"/>
          <w:sz w:val="24"/>
          <w:highlight w:val="none"/>
          <w:u w:val="single"/>
          <w:lang w:eastAsia="zh-CN"/>
        </w:rPr>
        <w:t>杭州市拱墅区住房和城市建设局</w:t>
      </w:r>
      <w:r>
        <w:rPr>
          <w:rFonts w:hint="eastAsia" w:ascii="宋体" w:hAnsi="宋体"/>
          <w:b/>
          <w:bCs/>
          <w:color w:val="auto"/>
          <w:sz w:val="24"/>
          <w:highlight w:val="none"/>
          <w:u w:val="single"/>
        </w:rPr>
        <w:t>、浙江省成套招标代理有限公司</w:t>
      </w:r>
      <w:r>
        <w:rPr>
          <w:rFonts w:hint="eastAsia" w:ascii="宋体" w:hAnsi="宋体" w:cs="宋体"/>
          <w:color w:val="auto"/>
          <w:kern w:val="0"/>
          <w:sz w:val="24"/>
          <w:highlight w:val="none"/>
          <w:lang w:val="zh-CN"/>
        </w:rPr>
        <w:t>：</w:t>
      </w:r>
    </w:p>
    <w:p w14:paraId="03244E2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按你方采购文件要求，我们，本投标文件签字方，谨此向你方发出要约如下：如你方接受本投标，我方承诺按照如下开标一览表（报价表）的价格完成</w:t>
      </w:r>
      <w:r>
        <w:rPr>
          <w:rFonts w:hint="eastAsia" w:ascii="宋体" w:hAnsi="宋体" w:cs="宋体"/>
          <w:b/>
          <w:bCs/>
          <w:color w:val="auto"/>
          <w:sz w:val="24"/>
          <w:highlight w:val="none"/>
          <w:u w:val="single"/>
          <w:lang w:eastAsia="zh-CN"/>
        </w:rPr>
        <w:t>拱墅区2025年海绵城市建设技术服务项目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rPr>
        <w:t>（项目编号）】的实施</w:t>
      </w:r>
      <w:r>
        <w:rPr>
          <w:rFonts w:hint="eastAsia" w:ascii="宋体" w:hAnsi="宋体" w:cs="宋体"/>
          <w:color w:val="auto"/>
          <w:kern w:val="0"/>
          <w:sz w:val="24"/>
          <w:highlight w:val="none"/>
          <w:lang w:val="zh-CN"/>
        </w:rPr>
        <w:t>。</w:t>
      </w:r>
    </w:p>
    <w:p w14:paraId="2FDE59B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4111"/>
        <w:gridCol w:w="708"/>
        <w:gridCol w:w="708"/>
        <w:gridCol w:w="3212"/>
      </w:tblGrid>
      <w:tr w14:paraId="2A76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7694442A">
            <w:pPr>
              <w:jc w:val="center"/>
              <w:rPr>
                <w:rFonts w:cs="Calibri"/>
                <w:b/>
                <w:color w:val="auto"/>
                <w:highlight w:val="none"/>
              </w:rPr>
            </w:pPr>
            <w:r>
              <w:rPr>
                <w:rFonts w:cs="Calibri"/>
                <w:b/>
                <w:color w:val="auto"/>
                <w:highlight w:val="none"/>
              </w:rPr>
              <w:t>序号</w:t>
            </w:r>
          </w:p>
        </w:tc>
        <w:tc>
          <w:tcPr>
            <w:tcW w:w="4111" w:type="dxa"/>
            <w:vAlign w:val="center"/>
          </w:tcPr>
          <w:p w14:paraId="52EF7666">
            <w:pPr>
              <w:jc w:val="center"/>
              <w:rPr>
                <w:rFonts w:cs="Calibri"/>
                <w:b/>
                <w:color w:val="auto"/>
                <w:highlight w:val="none"/>
              </w:rPr>
            </w:pPr>
            <w:r>
              <w:rPr>
                <w:rFonts w:cs="Calibri"/>
                <w:b/>
                <w:color w:val="auto"/>
                <w:highlight w:val="none"/>
              </w:rPr>
              <w:t>标项名称</w:t>
            </w:r>
          </w:p>
        </w:tc>
        <w:tc>
          <w:tcPr>
            <w:tcW w:w="708" w:type="dxa"/>
            <w:vAlign w:val="center"/>
          </w:tcPr>
          <w:p w14:paraId="2969C2A5">
            <w:pPr>
              <w:jc w:val="center"/>
              <w:rPr>
                <w:rFonts w:cs="Calibri"/>
                <w:b/>
                <w:color w:val="auto"/>
                <w:highlight w:val="none"/>
              </w:rPr>
            </w:pPr>
            <w:r>
              <w:rPr>
                <w:rFonts w:cs="Calibri"/>
                <w:b/>
                <w:color w:val="auto"/>
                <w:highlight w:val="none"/>
              </w:rPr>
              <w:t>数量</w:t>
            </w:r>
          </w:p>
        </w:tc>
        <w:tc>
          <w:tcPr>
            <w:tcW w:w="708" w:type="dxa"/>
            <w:vAlign w:val="center"/>
          </w:tcPr>
          <w:p w14:paraId="22C6E5BB">
            <w:pPr>
              <w:jc w:val="center"/>
              <w:rPr>
                <w:rFonts w:cs="Calibri"/>
                <w:b/>
                <w:color w:val="auto"/>
                <w:highlight w:val="none"/>
              </w:rPr>
            </w:pPr>
            <w:r>
              <w:rPr>
                <w:rFonts w:cs="Calibri"/>
                <w:b/>
                <w:color w:val="auto"/>
                <w:highlight w:val="none"/>
              </w:rPr>
              <w:t>单位</w:t>
            </w:r>
          </w:p>
        </w:tc>
        <w:tc>
          <w:tcPr>
            <w:tcW w:w="3212" w:type="dxa"/>
            <w:vAlign w:val="center"/>
          </w:tcPr>
          <w:p w14:paraId="3475AB30">
            <w:pPr>
              <w:jc w:val="center"/>
              <w:rPr>
                <w:rFonts w:cs="Calibri"/>
                <w:b/>
                <w:color w:val="auto"/>
                <w:highlight w:val="none"/>
              </w:rPr>
            </w:pPr>
            <w:r>
              <w:rPr>
                <w:rFonts w:hint="eastAsia" w:cs="Calibri"/>
                <w:b/>
                <w:color w:val="auto"/>
                <w:highlight w:val="none"/>
              </w:rPr>
              <w:t>服务</w:t>
            </w:r>
            <w:r>
              <w:rPr>
                <w:rFonts w:cs="Calibri"/>
                <w:b/>
                <w:color w:val="auto"/>
                <w:highlight w:val="none"/>
              </w:rPr>
              <w:t>期</w:t>
            </w:r>
          </w:p>
        </w:tc>
      </w:tr>
      <w:tr w14:paraId="7E57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36BD23B0">
            <w:pPr>
              <w:widowControl/>
              <w:jc w:val="center"/>
              <w:rPr>
                <w:rFonts w:cs="Calibri"/>
                <w:color w:val="auto"/>
                <w:kern w:val="0"/>
                <w:szCs w:val="21"/>
                <w:highlight w:val="none"/>
              </w:rPr>
            </w:pPr>
            <w:r>
              <w:rPr>
                <w:rFonts w:cs="Calibri"/>
                <w:color w:val="auto"/>
                <w:kern w:val="0"/>
                <w:szCs w:val="21"/>
                <w:highlight w:val="none"/>
              </w:rPr>
              <w:t>1</w:t>
            </w:r>
          </w:p>
        </w:tc>
        <w:tc>
          <w:tcPr>
            <w:tcW w:w="4111" w:type="dxa"/>
            <w:vAlign w:val="center"/>
          </w:tcPr>
          <w:p w14:paraId="597362DB">
            <w:pPr>
              <w:widowControl/>
              <w:jc w:val="center"/>
              <w:rPr>
                <w:rFonts w:cs="Calibri"/>
                <w:color w:val="auto"/>
                <w:kern w:val="0"/>
                <w:szCs w:val="21"/>
                <w:highlight w:val="none"/>
              </w:rPr>
            </w:pPr>
            <w:r>
              <w:rPr>
                <w:rFonts w:hint="eastAsia" w:cs="Calibri"/>
                <w:color w:val="auto"/>
                <w:highlight w:val="none"/>
              </w:rPr>
              <w:t>拱墅区2025年海绵城市建设技术服务项目</w:t>
            </w:r>
          </w:p>
        </w:tc>
        <w:tc>
          <w:tcPr>
            <w:tcW w:w="708" w:type="dxa"/>
            <w:vAlign w:val="center"/>
          </w:tcPr>
          <w:p w14:paraId="28D69843">
            <w:pPr>
              <w:widowControl/>
              <w:jc w:val="center"/>
              <w:rPr>
                <w:rFonts w:cs="Calibri"/>
                <w:color w:val="auto"/>
                <w:kern w:val="0"/>
                <w:szCs w:val="21"/>
                <w:highlight w:val="none"/>
              </w:rPr>
            </w:pPr>
            <w:r>
              <w:rPr>
                <w:rFonts w:cs="Calibri"/>
                <w:color w:val="auto"/>
                <w:szCs w:val="21"/>
                <w:highlight w:val="none"/>
              </w:rPr>
              <w:t>1</w:t>
            </w:r>
          </w:p>
        </w:tc>
        <w:tc>
          <w:tcPr>
            <w:tcW w:w="708" w:type="dxa"/>
            <w:vAlign w:val="center"/>
          </w:tcPr>
          <w:p w14:paraId="2936DA8C">
            <w:pPr>
              <w:widowControl/>
              <w:jc w:val="center"/>
              <w:rPr>
                <w:rFonts w:cs="Calibri"/>
                <w:color w:val="auto"/>
                <w:kern w:val="0"/>
                <w:szCs w:val="21"/>
                <w:highlight w:val="none"/>
              </w:rPr>
            </w:pPr>
            <w:r>
              <w:rPr>
                <w:rFonts w:cs="Calibri"/>
                <w:color w:val="auto"/>
                <w:kern w:val="0"/>
                <w:szCs w:val="21"/>
                <w:highlight w:val="none"/>
              </w:rPr>
              <w:t>项</w:t>
            </w:r>
          </w:p>
        </w:tc>
        <w:tc>
          <w:tcPr>
            <w:tcW w:w="3212" w:type="dxa"/>
            <w:vAlign w:val="center"/>
          </w:tcPr>
          <w:p w14:paraId="408F1E4B">
            <w:pPr>
              <w:jc w:val="center"/>
              <w:rPr>
                <w:rFonts w:cs="Calibri"/>
                <w:b/>
                <w:color w:val="auto"/>
                <w:highlight w:val="none"/>
              </w:rPr>
            </w:pPr>
            <w:r>
              <w:rPr>
                <w:rFonts w:hint="eastAsia" w:cs="Calibri"/>
                <w:b/>
                <w:bCs/>
                <w:color w:val="auto"/>
                <w:highlight w:val="none"/>
              </w:rPr>
              <w:t xml:space="preserve"> 合同签订后一年</w:t>
            </w:r>
          </w:p>
        </w:tc>
      </w:tr>
      <w:tr w14:paraId="45E5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604F5B28">
            <w:pPr>
              <w:jc w:val="center"/>
              <w:rPr>
                <w:rFonts w:cs="Calibri"/>
                <w:b/>
                <w:color w:val="auto"/>
                <w:highlight w:val="none"/>
              </w:rPr>
            </w:pPr>
            <w:r>
              <w:rPr>
                <w:rFonts w:cs="Calibri"/>
                <w:b/>
                <w:color w:val="auto"/>
                <w:highlight w:val="none"/>
              </w:rPr>
              <w:t>2</w:t>
            </w:r>
          </w:p>
        </w:tc>
        <w:tc>
          <w:tcPr>
            <w:tcW w:w="4111" w:type="dxa"/>
            <w:vAlign w:val="center"/>
          </w:tcPr>
          <w:p w14:paraId="7483DB31">
            <w:pPr>
              <w:jc w:val="center"/>
              <w:rPr>
                <w:rFonts w:cs="Calibri"/>
                <w:b/>
                <w:color w:val="auto"/>
                <w:highlight w:val="none"/>
              </w:rPr>
            </w:pPr>
            <w:r>
              <w:rPr>
                <w:rFonts w:cs="Calibri"/>
                <w:color w:val="auto"/>
                <w:highlight w:val="none"/>
              </w:rPr>
              <w:t>报价合计</w:t>
            </w:r>
          </w:p>
        </w:tc>
        <w:tc>
          <w:tcPr>
            <w:tcW w:w="4628" w:type="dxa"/>
            <w:gridSpan w:val="3"/>
            <w:vAlign w:val="center"/>
          </w:tcPr>
          <w:p w14:paraId="1B9E5240">
            <w:pPr>
              <w:rPr>
                <w:rFonts w:cs="Calibri"/>
                <w:color w:val="auto"/>
                <w:highlight w:val="none"/>
              </w:rPr>
            </w:pPr>
            <w:r>
              <w:rPr>
                <w:rFonts w:cs="Calibri"/>
                <w:color w:val="auto"/>
                <w:highlight w:val="none"/>
              </w:rPr>
              <w:t>小写：￥</w:t>
            </w:r>
          </w:p>
          <w:p w14:paraId="42D4122E">
            <w:pPr>
              <w:rPr>
                <w:rFonts w:cs="Calibri"/>
                <w:b/>
                <w:color w:val="auto"/>
                <w:highlight w:val="none"/>
              </w:rPr>
            </w:pPr>
            <w:r>
              <w:rPr>
                <w:rFonts w:cs="Calibri"/>
                <w:color w:val="auto"/>
                <w:highlight w:val="none"/>
              </w:rPr>
              <w:t>大写：人民币</w:t>
            </w:r>
          </w:p>
        </w:tc>
      </w:tr>
    </w:tbl>
    <w:p w14:paraId="65003393">
      <w:pPr>
        <w:snapToGrid w:val="0"/>
        <w:spacing w:line="360" w:lineRule="auto"/>
        <w:ind w:left="480"/>
        <w:rPr>
          <w:rFonts w:ascii="宋体" w:hAnsi="宋体" w:cs="宋体"/>
          <w:b/>
          <w:color w:val="auto"/>
          <w:kern w:val="0"/>
          <w:sz w:val="24"/>
          <w:highlight w:val="none"/>
          <w:lang w:val="zh-CN"/>
        </w:rPr>
      </w:pPr>
    </w:p>
    <w:p w14:paraId="38A7E5D3">
      <w:pPr>
        <w:snapToGrid w:val="0"/>
        <w:spacing w:line="360" w:lineRule="auto"/>
        <w:rPr>
          <w:rFonts w:ascii="宋体" w:hAnsi="宋体" w:cs="宋体"/>
          <w:b/>
          <w:color w:val="auto"/>
          <w:kern w:val="0"/>
          <w:sz w:val="24"/>
          <w:highlight w:val="none"/>
          <w:lang w:val="zh-CN"/>
        </w:rPr>
      </w:pPr>
      <w:r>
        <w:rPr>
          <w:rFonts w:hint="eastAsia" w:ascii="宋体" w:hAnsi="宋体" w:cs="宋体"/>
          <w:b/>
          <w:color w:val="auto"/>
          <w:kern w:val="0"/>
          <w:sz w:val="24"/>
          <w:highlight w:val="none"/>
        </w:rPr>
        <w:t>备</w:t>
      </w:r>
      <w:r>
        <w:rPr>
          <w:rFonts w:hint="eastAsia" w:ascii="宋体" w:hAnsi="宋体" w:cs="宋体"/>
          <w:b/>
          <w:color w:val="auto"/>
          <w:kern w:val="0"/>
          <w:sz w:val="24"/>
          <w:highlight w:val="none"/>
          <w:lang w:val="zh-CN"/>
        </w:rPr>
        <w:t>注：</w:t>
      </w:r>
    </w:p>
    <w:p w14:paraId="630A599C">
      <w:pPr>
        <w:snapToGrid w:val="0"/>
        <w:spacing w:before="120" w:before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lang w:val="zh-CN"/>
        </w:rPr>
        <w:t>投标人需按本表格式填写，不得自行更改</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sz w:val="24"/>
          <w:highlight w:val="none"/>
        </w:rPr>
        <w:t>。</w:t>
      </w:r>
    </w:p>
    <w:p w14:paraId="6A49E50D">
      <w:pPr>
        <w:snapToGrid w:val="0"/>
        <w:spacing w:before="120" w:beforeLines="50"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w:t>
      </w:r>
      <w:r>
        <w:rPr>
          <w:rFonts w:hint="eastAsia" w:ascii="宋体" w:hAnsi="宋体" w:cs="宋体"/>
          <w:b/>
          <w:bCs/>
          <w:color w:val="auto"/>
          <w:kern w:val="0"/>
          <w:sz w:val="24"/>
          <w:highlight w:val="none"/>
        </w:rPr>
        <w:t>如供应商承诺提供赠品、回扣、采购预算中本身不包含的其他商品或服务，视作无效承诺</w:t>
      </w:r>
      <w:r>
        <w:rPr>
          <w:rFonts w:hint="eastAsia" w:ascii="宋体" w:hAnsi="宋体" w:cs="宋体"/>
          <w:color w:val="auto"/>
          <w:kern w:val="0"/>
          <w:sz w:val="24"/>
          <w:highlight w:val="none"/>
        </w:rPr>
        <w:t>，</w:t>
      </w:r>
      <w:r>
        <w:rPr>
          <w:rFonts w:hint="eastAsia" w:ascii="宋体" w:hAnsi="宋体" w:cs="宋体"/>
          <w:b/>
          <w:bCs/>
          <w:color w:val="auto"/>
          <w:kern w:val="0"/>
          <w:sz w:val="24"/>
          <w:highlight w:val="none"/>
        </w:rPr>
        <w:t>不得因无效承诺对供应商实行差别待遇或者歧视待遇</w:t>
      </w:r>
      <w:r>
        <w:rPr>
          <w:rFonts w:hint="eastAsia" w:ascii="宋体" w:hAnsi="宋体" w:cs="宋体"/>
          <w:color w:val="auto"/>
          <w:kern w:val="0"/>
          <w:sz w:val="24"/>
          <w:highlight w:val="none"/>
        </w:rPr>
        <w:t>，也不得将其作为中标（成交）条件或者合同签订条件；</w:t>
      </w:r>
      <w:r>
        <w:rPr>
          <w:rFonts w:hint="eastAsia" w:ascii="宋体" w:hAnsi="宋体" w:cs="宋体"/>
          <w:color w:val="auto"/>
          <w:kern w:val="0"/>
          <w:sz w:val="24"/>
          <w:highlight w:val="none"/>
          <w:lang w:val="zh-CN"/>
        </w:rPr>
        <w:t>总价不为零，报价明细表中部分产品、服务单价为零的，视作已包含在总价中。采购内容未包含在《开标一览表（报价表）》名称栏中，</w:t>
      </w:r>
      <w:r>
        <w:rPr>
          <w:rFonts w:hint="eastAsia" w:ascii="宋体" w:hAnsi="宋体" w:cs="宋体"/>
          <w:b/>
          <w:bCs/>
          <w:color w:val="auto"/>
          <w:kern w:val="0"/>
          <w:sz w:val="24"/>
          <w:highlight w:val="none"/>
          <w:lang w:val="zh-CN"/>
        </w:rPr>
        <w:t>投标人不能作出合理解释的，视为投标文件含有采购人不能接受的附加条件的，投标无效</w:t>
      </w:r>
      <w:r>
        <w:rPr>
          <w:rFonts w:hint="eastAsia" w:ascii="宋体" w:hAnsi="宋体" w:cs="宋体"/>
          <w:color w:val="auto"/>
          <w:kern w:val="0"/>
          <w:sz w:val="24"/>
          <w:highlight w:val="none"/>
          <w:lang w:val="zh-CN"/>
        </w:rPr>
        <w:t>。</w:t>
      </w:r>
    </w:p>
    <w:p w14:paraId="58E271BF">
      <w:pPr>
        <w:snapToGrid w:val="0"/>
        <w:spacing w:line="360" w:lineRule="auto"/>
        <w:ind w:firstLine="480" w:firstLineChars="200"/>
        <w:jc w:val="left"/>
        <w:rPr>
          <w:color w:val="auto"/>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w:t>
      </w:r>
      <w:r>
        <w:rPr>
          <w:rFonts w:ascii="宋体" w:hAnsi="宋体" w:cs="仿宋_GB2312"/>
          <w:color w:val="auto"/>
          <w:kern w:val="0"/>
          <w:sz w:val="24"/>
          <w:highlight w:val="none"/>
          <w:lang w:val="zh-CN"/>
        </w:rPr>
        <w:t>特别提示：</w:t>
      </w:r>
      <w:r>
        <w:rPr>
          <w:rFonts w:hint="eastAsia" w:ascii="宋体" w:hAnsi="宋体" w:cs="仿宋_GB2312"/>
          <w:color w:val="auto"/>
          <w:kern w:val="0"/>
          <w:sz w:val="24"/>
          <w:highlight w:val="none"/>
          <w:lang w:val="zh-CN"/>
        </w:rPr>
        <w:t>采购代理机构</w:t>
      </w:r>
      <w:r>
        <w:rPr>
          <w:rFonts w:ascii="宋体" w:hAnsi="宋体" w:cs="仿宋_GB2312"/>
          <w:color w:val="auto"/>
          <w:kern w:val="0"/>
          <w:sz w:val="24"/>
          <w:highlight w:val="none"/>
          <w:lang w:val="zh-CN"/>
        </w:rPr>
        <w:t>将对项目名称和项目编号，中标供应商名称、地址和中标金额，</w:t>
      </w:r>
      <w:r>
        <w:rPr>
          <w:rFonts w:hint="eastAsia" w:ascii="宋体" w:hAnsi="宋体" w:cs="宋体"/>
          <w:color w:val="auto"/>
          <w:kern w:val="0"/>
          <w:sz w:val="24"/>
          <w:highlight w:val="none"/>
          <w:lang w:val="zh-CN"/>
        </w:rPr>
        <w:t>主要中标标的名称、服务范围、服务要求、服务时间、服务标准等予以公示</w:t>
      </w:r>
      <w:r>
        <w:rPr>
          <w:rFonts w:hint="eastAsia" w:ascii="宋体" w:hAnsi="宋体" w:cs="仿宋_GB2312"/>
          <w:color w:val="auto"/>
          <w:kern w:val="0"/>
          <w:sz w:val="24"/>
          <w:highlight w:val="none"/>
          <w:lang w:val="zh-CN"/>
        </w:rPr>
        <w:t>。</w:t>
      </w:r>
    </w:p>
    <w:p w14:paraId="767E9D8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符合采购文件中列明的可享受中小企业扶持政策的投标人，请填写中小企业声明函。注：《中小企业声明函》填写企业类型错误，导致该企业享受本不能享受的中小企业扶持政策，投标无效并依法承担法律责任。</w:t>
      </w:r>
    </w:p>
    <w:p w14:paraId="2B212890">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5、</w:t>
      </w:r>
      <w:r>
        <w:rPr>
          <w:rFonts w:hint="eastAsia" w:ascii="宋体" w:hAnsi="宋体" w:cs="宋体"/>
          <w:color w:val="auto"/>
          <w:kern w:val="0"/>
          <w:sz w:val="24"/>
          <w:highlight w:val="none"/>
          <w:lang w:val="zh-CN"/>
        </w:rPr>
        <w:t>投标人在“政府采购云平台”进行标书关联时，在“政府采购云平台”上单独填报的开标一览表内容与加密的报价文件中提交的开标一览表内容不一致时，以加密的报价文件中提交的开标一览表（报价表）为准进行修正。</w:t>
      </w:r>
    </w:p>
    <w:p w14:paraId="6D3B80C4">
      <w:pPr>
        <w:snapToGrid w:val="0"/>
        <w:spacing w:line="360" w:lineRule="auto"/>
        <w:ind w:firstLine="480" w:firstLineChars="200"/>
        <w:jc w:val="left"/>
        <w:rPr>
          <w:color w:val="auto"/>
          <w:highlight w:val="none"/>
        </w:rPr>
      </w:pPr>
      <w:r>
        <w:rPr>
          <w:rFonts w:hint="eastAsia"/>
          <w:color w:val="auto"/>
          <w:sz w:val="24"/>
          <w:highlight w:val="none"/>
        </w:rPr>
        <w:t>6、</w:t>
      </w:r>
      <w:r>
        <w:rPr>
          <w:rFonts w:hint="eastAsia" w:ascii="宋体" w:hAnsi="宋体" w:cs="宋体"/>
          <w:b/>
          <w:color w:val="auto"/>
          <w:kern w:val="0"/>
          <w:sz w:val="24"/>
          <w:highlight w:val="none"/>
          <w:u w:val="single"/>
          <w:lang w:val="zh-CN"/>
        </w:rPr>
        <w:t>供应商报价低于项目预算（</w:t>
      </w:r>
      <w:r>
        <w:rPr>
          <w:rFonts w:hint="eastAsia" w:ascii="宋体" w:hAnsi="宋体" w:cs="宋体"/>
          <w:b/>
          <w:color w:val="auto"/>
          <w:kern w:val="0"/>
          <w:sz w:val="24"/>
          <w:highlight w:val="none"/>
          <w:u w:val="single"/>
        </w:rPr>
        <w:t>最高限价</w:t>
      </w:r>
      <w:r>
        <w:rPr>
          <w:rFonts w:hint="eastAsia" w:ascii="宋体" w:hAnsi="宋体" w:cs="宋体"/>
          <w:b/>
          <w:color w:val="auto"/>
          <w:kern w:val="0"/>
          <w:sz w:val="24"/>
          <w:highlight w:val="none"/>
          <w:u w:val="single"/>
          <w:lang w:val="zh-CN"/>
        </w:rPr>
        <w:t>）50%的，应当在报价文件中详细阐述不影响产品质量或者诚信履约的具体原因</w:t>
      </w:r>
    </w:p>
    <w:p w14:paraId="11DF210F">
      <w:pPr>
        <w:pStyle w:val="60"/>
        <w:rPr>
          <w:color w:val="auto"/>
          <w:highlight w:val="none"/>
          <w:lang w:val="zh-CN"/>
        </w:rPr>
      </w:pPr>
    </w:p>
    <w:p w14:paraId="33381FEE">
      <w:pPr>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36589AD2">
      <w:pPr>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BF3FFBE">
      <w:pPr>
        <w:spacing w:line="360" w:lineRule="auto"/>
        <w:ind w:firstLine="482" w:firstLineChars="200"/>
        <w:rPr>
          <w:rFonts w:ascii="宋体" w:hAnsi="宋体" w:cs="宋体"/>
          <w:b/>
          <w:color w:val="auto"/>
          <w:kern w:val="0"/>
          <w:sz w:val="24"/>
          <w:highlight w:val="none"/>
        </w:rPr>
      </w:pPr>
    </w:p>
    <w:p w14:paraId="549B0AD9">
      <w:pPr>
        <w:spacing w:before="240" w:beforeLines="100" w:line="360" w:lineRule="auto"/>
        <w:jc w:val="center"/>
        <w:outlineLvl w:val="2"/>
        <w:rPr>
          <w:rFonts w:ascii="宋体" w:hAnsi="宋体" w:cs="宋体"/>
          <w:color w:val="auto"/>
          <w:sz w:val="32"/>
          <w:szCs w:val="32"/>
          <w:highlight w:val="none"/>
        </w:rPr>
      </w:pPr>
      <w:r>
        <w:rPr>
          <w:rFonts w:hint="eastAsia" w:ascii="宋体" w:hAnsi="宋体" w:cs="宋体"/>
          <w:b/>
          <w:bCs/>
          <w:color w:val="auto"/>
          <w:sz w:val="36"/>
          <w:szCs w:val="36"/>
          <w:highlight w:val="none"/>
        </w:rPr>
        <w:t>二、中小企业声明函（如果有）</w:t>
      </w:r>
    </w:p>
    <w:p w14:paraId="00820006">
      <w:pPr>
        <w:pStyle w:val="7"/>
        <w:spacing w:line="360" w:lineRule="auto"/>
        <w:ind w:firstLine="357"/>
        <w:rPr>
          <w:color w:val="auto"/>
          <w:highlight w:val="none"/>
        </w:rPr>
      </w:pPr>
      <w:r>
        <w:rPr>
          <w:rFonts w:hint="eastAsia" w:ascii="新宋体" w:hAnsi="新宋体" w:eastAsia="新宋体"/>
          <w:b/>
          <w:iCs/>
          <w:color w:val="auto"/>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格式见第七章附件7）。</w:t>
      </w:r>
      <w:bookmarkEnd w:id="520"/>
      <w:bookmarkEnd w:id="521"/>
      <w:bookmarkEnd w:id="522"/>
      <w:bookmarkEnd w:id="523"/>
      <w:bookmarkEnd w:id="524"/>
    </w:p>
    <w:bookmarkEnd w:id="413"/>
    <w:bookmarkEnd w:id="414"/>
    <w:p w14:paraId="75838451">
      <w:pPr>
        <w:pStyle w:val="3"/>
        <w:keepNext w:val="0"/>
        <w:keepLines w:val="0"/>
        <w:pageBreakBefore/>
        <w:widowControl/>
        <w:spacing w:before="100" w:beforeAutospacing="1" w:after="100" w:afterAutospacing="1" w:line="360" w:lineRule="auto"/>
        <w:ind w:left="10" w:hanging="10"/>
        <w:jc w:val="center"/>
        <w:rPr>
          <w:rFonts w:ascii="宋体" w:hAnsi="宋体" w:cs="宋体"/>
          <w:color w:val="auto"/>
          <w:highlight w:val="none"/>
        </w:rPr>
      </w:pPr>
      <w:bookmarkStart w:id="528" w:name="_Toc13207"/>
      <w:r>
        <w:rPr>
          <w:rFonts w:hint="eastAsia" w:ascii="宋体" w:hAnsi="宋体" w:cs="宋体"/>
          <w:color w:val="auto"/>
          <w:highlight w:val="none"/>
        </w:rPr>
        <w:t>第七章 附件</w:t>
      </w:r>
      <w:bookmarkEnd w:id="528"/>
    </w:p>
    <w:p w14:paraId="2B60859A">
      <w:pPr>
        <w:spacing w:line="360" w:lineRule="auto"/>
        <w:outlineLvl w:val="1"/>
        <w:rPr>
          <w:rFonts w:ascii="宋体" w:hAnsi="宋体" w:cs="宋体"/>
          <w:b/>
          <w:color w:val="auto"/>
          <w:spacing w:val="6"/>
          <w:sz w:val="32"/>
          <w:szCs w:val="32"/>
          <w:highlight w:val="none"/>
        </w:rPr>
      </w:pPr>
      <w:bookmarkStart w:id="529" w:name="_Toc24669"/>
      <w:r>
        <w:rPr>
          <w:rFonts w:hint="eastAsia" w:ascii="宋体" w:hAnsi="宋体" w:cs="宋体"/>
          <w:b/>
          <w:color w:val="auto"/>
          <w:spacing w:val="6"/>
          <w:sz w:val="24"/>
          <w:highlight w:val="none"/>
        </w:rPr>
        <w:t>附件1：残疾人福利性单位声明函</w:t>
      </w:r>
      <w:bookmarkEnd w:id="529"/>
    </w:p>
    <w:p w14:paraId="4209A568">
      <w:pPr>
        <w:spacing w:before="240" w:beforeLines="100" w:line="360" w:lineRule="auto"/>
        <w:jc w:val="center"/>
        <w:rPr>
          <w:rFonts w:ascii="宋体" w:hAnsi="宋体" w:cs="宋体"/>
          <w:b/>
          <w:color w:val="auto"/>
          <w:spacing w:val="6"/>
          <w:sz w:val="32"/>
          <w:szCs w:val="32"/>
          <w:highlight w:val="none"/>
        </w:rPr>
      </w:pPr>
      <w:bookmarkStart w:id="530" w:name="OLE_LINK14"/>
      <w:bookmarkStart w:id="531" w:name="OLE_LINK13"/>
      <w:r>
        <w:rPr>
          <w:rFonts w:hint="eastAsia" w:ascii="宋体" w:hAnsi="宋体" w:cs="宋体"/>
          <w:b/>
          <w:color w:val="auto"/>
          <w:spacing w:val="6"/>
          <w:sz w:val="32"/>
          <w:szCs w:val="32"/>
          <w:highlight w:val="none"/>
        </w:rPr>
        <w:t>残疾人福利性单位声明函</w:t>
      </w:r>
    </w:p>
    <w:bookmarkEnd w:id="530"/>
    <w:bookmarkEnd w:id="531"/>
    <w:p w14:paraId="73526512">
      <w:pPr>
        <w:spacing w:line="360" w:lineRule="auto"/>
        <w:rPr>
          <w:rFonts w:ascii="宋体" w:hAnsi="宋体" w:cs="宋体"/>
          <w:b/>
          <w:color w:val="auto"/>
          <w:spacing w:val="6"/>
          <w:sz w:val="30"/>
          <w:szCs w:val="30"/>
          <w:highlight w:val="none"/>
        </w:rPr>
      </w:pPr>
    </w:p>
    <w:p w14:paraId="2D8EBF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w:t>
      </w:r>
      <w:r>
        <w:rPr>
          <w:rFonts w:hint="eastAsia" w:ascii="宋体" w:hAnsi="宋体" w:cs="宋体"/>
          <w:b/>
          <w:bCs/>
          <w:color w:val="auto"/>
          <w:sz w:val="24"/>
          <w:highlight w:val="none"/>
        </w:rPr>
        <w:t>符合条件的残疾人福利性单位</w:t>
      </w:r>
      <w:r>
        <w:rPr>
          <w:rFonts w:hint="eastAsia" w:ascii="宋体" w:hAnsi="宋体" w:cs="宋体"/>
          <w:color w:val="auto"/>
          <w:sz w:val="24"/>
          <w:highlight w:val="none"/>
        </w:rPr>
        <w:t xml:space="preserve">，且本单位参加 </w:t>
      </w:r>
      <w:r>
        <w:rPr>
          <w:rFonts w:hint="eastAsia" w:ascii="宋体" w:hAnsi="宋体" w:cs="宋体"/>
          <w:b/>
          <w:bCs/>
          <w:color w:val="auto"/>
          <w:sz w:val="24"/>
          <w:highlight w:val="none"/>
          <w:u w:val="single"/>
          <w:lang w:eastAsia="zh-CN"/>
        </w:rPr>
        <w:t>杭州市拱墅区住房和城市建设局</w:t>
      </w:r>
      <w:r>
        <w:rPr>
          <w:rFonts w:hint="eastAsia" w:ascii="宋体" w:hAnsi="宋体" w:cs="宋体"/>
          <w:color w:val="auto"/>
          <w:sz w:val="24"/>
          <w:highlight w:val="none"/>
        </w:rPr>
        <w:t>_单位的_</w:t>
      </w:r>
      <w:r>
        <w:rPr>
          <w:rFonts w:hint="eastAsia" w:ascii="宋体" w:hAnsi="宋体" w:cs="宋体"/>
          <w:b/>
          <w:bCs/>
          <w:color w:val="auto"/>
          <w:sz w:val="24"/>
          <w:highlight w:val="none"/>
          <w:u w:val="single"/>
          <w:lang w:eastAsia="zh-CN"/>
        </w:rPr>
        <w:t>拱墅区2025年海绵城市建设技术服务项目</w:t>
      </w:r>
      <w:r>
        <w:rPr>
          <w:rFonts w:hint="eastAsia" w:ascii="宋体" w:hAnsi="宋体" w:cs="宋体"/>
          <w:color w:val="auto"/>
          <w:sz w:val="24"/>
          <w:highlight w:val="none"/>
        </w:rPr>
        <w:t>采购活动由本单位提供服务，或者提供其他残疾人福利性单位制造的货物（不包括使用非残疾人福利性单位注册商标的货物）。</w:t>
      </w:r>
    </w:p>
    <w:p w14:paraId="52B29C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w:t>
      </w:r>
      <w:r>
        <w:rPr>
          <w:rFonts w:hint="eastAsia" w:ascii="宋体" w:hAnsi="宋体" w:cs="宋体"/>
          <w:b/>
          <w:bCs/>
          <w:color w:val="auto"/>
          <w:sz w:val="24"/>
          <w:highlight w:val="none"/>
        </w:rPr>
        <w:t>如有虚假，将依法承担相应责任</w:t>
      </w:r>
      <w:r>
        <w:rPr>
          <w:rFonts w:hint="eastAsia" w:ascii="宋体" w:hAnsi="宋体" w:cs="宋体"/>
          <w:color w:val="auto"/>
          <w:sz w:val="24"/>
          <w:highlight w:val="none"/>
        </w:rPr>
        <w:t>。</w:t>
      </w:r>
    </w:p>
    <w:p w14:paraId="53BDE590">
      <w:pPr>
        <w:spacing w:line="360" w:lineRule="auto"/>
        <w:ind w:firstLine="480" w:firstLineChars="200"/>
        <w:rPr>
          <w:rFonts w:ascii="宋体" w:hAnsi="宋体" w:cs="宋体"/>
          <w:color w:val="auto"/>
          <w:sz w:val="24"/>
          <w:highlight w:val="none"/>
        </w:rPr>
      </w:pPr>
    </w:p>
    <w:p w14:paraId="2D2E9658">
      <w:pPr>
        <w:spacing w:line="360" w:lineRule="auto"/>
        <w:ind w:firstLine="480" w:firstLineChars="200"/>
        <w:rPr>
          <w:rFonts w:ascii="宋体" w:hAnsi="宋体" w:cs="宋体"/>
          <w:color w:val="auto"/>
          <w:sz w:val="24"/>
          <w:highlight w:val="none"/>
        </w:rPr>
      </w:pPr>
    </w:p>
    <w:p w14:paraId="43AD3260">
      <w:pPr>
        <w:tabs>
          <w:tab w:val="left" w:pos="4860"/>
        </w:tabs>
        <w:spacing w:line="360" w:lineRule="auto"/>
        <w:ind w:right="1560"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C20A79E">
      <w:pPr>
        <w:tabs>
          <w:tab w:val="left" w:pos="4860"/>
        </w:tabs>
        <w:spacing w:line="360" w:lineRule="auto"/>
        <w:ind w:right="1560" w:firstLine="480" w:firstLineChars="200"/>
        <w:jc w:val="left"/>
        <w:rPr>
          <w:rFonts w:ascii="宋体" w:hAnsi="宋体" w:cs="宋体"/>
          <w:color w:val="auto"/>
          <w:sz w:val="24"/>
          <w:highlight w:val="none"/>
        </w:rPr>
      </w:pPr>
      <w:r>
        <w:rPr>
          <w:rFonts w:hint="eastAsia" w:ascii="宋体" w:hAnsi="宋体" w:cs="宋体"/>
          <w:color w:val="auto"/>
          <w:sz w:val="24"/>
          <w:highlight w:val="none"/>
        </w:rPr>
        <w:t>日  期：</w:t>
      </w:r>
    </w:p>
    <w:p w14:paraId="6D2DEA66">
      <w:pPr>
        <w:spacing w:line="360" w:lineRule="auto"/>
        <w:ind w:firstLine="480" w:firstLineChars="200"/>
        <w:rPr>
          <w:rFonts w:ascii="宋体" w:hAnsi="宋体" w:cs="宋体"/>
          <w:color w:val="auto"/>
          <w:sz w:val="24"/>
          <w:highlight w:val="none"/>
        </w:rPr>
      </w:pPr>
    </w:p>
    <w:p w14:paraId="14C3D311">
      <w:pPr>
        <w:pStyle w:val="7"/>
        <w:rPr>
          <w:rFonts w:hAnsi="宋体" w:cs="宋体"/>
          <w:b/>
          <w:iCs/>
          <w:color w:val="auto"/>
          <w:sz w:val="28"/>
          <w:szCs w:val="22"/>
          <w:highlight w:val="none"/>
        </w:rPr>
      </w:pPr>
      <w:r>
        <w:rPr>
          <w:rFonts w:hint="eastAsia" w:hAnsi="宋体" w:cs="宋体"/>
          <w:b/>
          <w:iCs/>
          <w:color w:val="auto"/>
          <w:sz w:val="28"/>
          <w:szCs w:val="22"/>
          <w:highlight w:val="none"/>
        </w:rPr>
        <w:t>备注：投标人应实事求是填写并提供本函，非残疾人福利性单位可不提供。</w:t>
      </w:r>
    </w:p>
    <w:p w14:paraId="34D62126">
      <w:pPr>
        <w:spacing w:line="360" w:lineRule="auto"/>
        <w:ind w:firstLine="420" w:firstLineChars="200"/>
        <w:rPr>
          <w:rFonts w:ascii="宋体" w:hAnsi="宋体" w:cs="宋体"/>
          <w:color w:val="auto"/>
          <w:highlight w:val="none"/>
        </w:rPr>
      </w:pPr>
    </w:p>
    <w:p w14:paraId="2060B931">
      <w:pPr>
        <w:spacing w:line="360" w:lineRule="auto"/>
        <w:ind w:firstLine="420" w:firstLineChars="200"/>
        <w:rPr>
          <w:rFonts w:ascii="宋体" w:hAnsi="宋体" w:cs="宋体"/>
          <w:color w:val="auto"/>
          <w:highlight w:val="none"/>
        </w:rPr>
      </w:pPr>
    </w:p>
    <w:p w14:paraId="45BBF428">
      <w:pPr>
        <w:spacing w:line="360" w:lineRule="auto"/>
        <w:ind w:firstLine="420" w:firstLineChars="200"/>
        <w:rPr>
          <w:rFonts w:ascii="宋体" w:hAnsi="宋体" w:cs="宋体"/>
          <w:color w:val="auto"/>
          <w:highlight w:val="none"/>
        </w:rPr>
      </w:pPr>
    </w:p>
    <w:p w14:paraId="1F23B7A0">
      <w:pPr>
        <w:spacing w:line="360" w:lineRule="auto"/>
        <w:ind w:firstLine="420" w:firstLineChars="200"/>
        <w:rPr>
          <w:rFonts w:ascii="宋体" w:hAnsi="宋体" w:cs="宋体"/>
          <w:color w:val="auto"/>
          <w:highlight w:val="none"/>
        </w:rPr>
      </w:pPr>
    </w:p>
    <w:p w14:paraId="4A5220F8">
      <w:pPr>
        <w:spacing w:line="360" w:lineRule="auto"/>
        <w:rPr>
          <w:rFonts w:ascii="宋体" w:hAnsi="宋体" w:cs="宋体"/>
          <w:b/>
          <w:color w:val="auto"/>
          <w:sz w:val="24"/>
          <w:highlight w:val="none"/>
        </w:rPr>
      </w:pPr>
    </w:p>
    <w:p w14:paraId="228AE814">
      <w:pPr>
        <w:spacing w:line="360" w:lineRule="auto"/>
        <w:rPr>
          <w:rFonts w:ascii="宋体" w:hAnsi="宋体" w:cs="宋体"/>
          <w:b/>
          <w:color w:val="auto"/>
          <w:sz w:val="24"/>
          <w:highlight w:val="none"/>
        </w:rPr>
      </w:pPr>
    </w:p>
    <w:p w14:paraId="6C70FC01">
      <w:pPr>
        <w:spacing w:line="360" w:lineRule="auto"/>
        <w:rPr>
          <w:rFonts w:ascii="宋体" w:hAnsi="宋体" w:cs="宋体"/>
          <w:b/>
          <w:color w:val="auto"/>
          <w:sz w:val="24"/>
          <w:highlight w:val="none"/>
        </w:rPr>
      </w:pPr>
    </w:p>
    <w:p w14:paraId="7B121AA8">
      <w:pPr>
        <w:spacing w:line="360" w:lineRule="auto"/>
        <w:rPr>
          <w:rFonts w:ascii="宋体" w:hAnsi="宋体" w:cs="宋体"/>
          <w:b/>
          <w:color w:val="auto"/>
          <w:sz w:val="24"/>
          <w:highlight w:val="none"/>
        </w:rPr>
      </w:pPr>
    </w:p>
    <w:p w14:paraId="68C057F7">
      <w:pPr>
        <w:spacing w:line="360" w:lineRule="auto"/>
        <w:rPr>
          <w:rFonts w:ascii="宋体" w:hAnsi="宋体" w:cs="宋体"/>
          <w:b/>
          <w:color w:val="auto"/>
          <w:sz w:val="24"/>
          <w:highlight w:val="none"/>
        </w:rPr>
      </w:pPr>
    </w:p>
    <w:p w14:paraId="7AC92A7B">
      <w:pPr>
        <w:spacing w:line="360" w:lineRule="auto"/>
        <w:rPr>
          <w:rFonts w:ascii="宋体" w:hAnsi="宋体" w:cs="宋体"/>
          <w:b/>
          <w:color w:val="auto"/>
          <w:sz w:val="24"/>
          <w:highlight w:val="none"/>
        </w:rPr>
      </w:pPr>
    </w:p>
    <w:p w14:paraId="4A7612D9">
      <w:pPr>
        <w:spacing w:line="360" w:lineRule="auto"/>
        <w:rPr>
          <w:rFonts w:ascii="宋体" w:hAnsi="宋体" w:cs="宋体"/>
          <w:b/>
          <w:color w:val="auto"/>
          <w:sz w:val="24"/>
          <w:highlight w:val="none"/>
        </w:rPr>
      </w:pPr>
    </w:p>
    <w:p w14:paraId="6FE00AFE">
      <w:pPr>
        <w:spacing w:line="360" w:lineRule="auto"/>
        <w:rPr>
          <w:rFonts w:ascii="宋体" w:hAnsi="宋体" w:cs="宋体"/>
          <w:b/>
          <w:color w:val="auto"/>
          <w:sz w:val="24"/>
          <w:highlight w:val="none"/>
        </w:rPr>
      </w:pPr>
    </w:p>
    <w:p w14:paraId="375DF454">
      <w:pPr>
        <w:spacing w:line="360" w:lineRule="auto"/>
        <w:rPr>
          <w:rFonts w:ascii="宋体" w:hAnsi="宋体" w:cs="宋体"/>
          <w:b/>
          <w:color w:val="auto"/>
          <w:sz w:val="24"/>
          <w:highlight w:val="none"/>
        </w:rPr>
      </w:pPr>
    </w:p>
    <w:p w14:paraId="0A14E1F6">
      <w:pPr>
        <w:spacing w:line="360" w:lineRule="auto"/>
        <w:outlineLvl w:val="1"/>
        <w:rPr>
          <w:rFonts w:ascii="宋体" w:hAnsi="宋体" w:cs="宋体"/>
          <w:b/>
          <w:color w:val="auto"/>
          <w:spacing w:val="6"/>
          <w:sz w:val="24"/>
          <w:highlight w:val="none"/>
        </w:rPr>
      </w:pPr>
      <w:bookmarkStart w:id="532" w:name="_Toc4517"/>
      <w:r>
        <w:rPr>
          <w:rFonts w:hint="eastAsia" w:ascii="宋体" w:hAnsi="宋体" w:cs="宋体"/>
          <w:b/>
          <w:color w:val="auto"/>
          <w:spacing w:val="6"/>
          <w:sz w:val="24"/>
          <w:highlight w:val="none"/>
        </w:rPr>
        <w:t>附件2：质疑函范本及制作说明</w:t>
      </w:r>
      <w:bookmarkEnd w:id="532"/>
    </w:p>
    <w:p w14:paraId="2AC074B0">
      <w:pPr>
        <w:spacing w:before="240" w:beforeLines="100"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85CF14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4E1EC4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9CBE41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A5F10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B6A9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6B813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B26466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EF9F96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B096E4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D7325B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9AA1D7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B217C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BF54F3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F5AB57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CE6A8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573B0B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7BC52C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A4973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8E586A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FFE183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A2BA01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9F11F6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C7AFE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76447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8617287">
      <w:pPr>
        <w:spacing w:line="360" w:lineRule="auto"/>
        <w:jc w:val="center"/>
        <w:rPr>
          <w:rFonts w:ascii="宋体" w:hAnsi="宋体" w:cs="宋体"/>
          <w:b/>
          <w:bCs/>
          <w:color w:val="auto"/>
          <w:sz w:val="24"/>
          <w:highlight w:val="none"/>
        </w:rPr>
      </w:pPr>
    </w:p>
    <w:p w14:paraId="7D1BB93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AFD7CB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321CE4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B5420E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02936A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C35CC6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F358FC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0D6806E">
      <w:pPr>
        <w:widowControl/>
        <w:spacing w:line="360" w:lineRule="auto"/>
        <w:ind w:firstLine="600" w:firstLineChars="200"/>
        <w:jc w:val="left"/>
        <w:rPr>
          <w:rFonts w:ascii="宋体" w:hAnsi="宋体" w:cs="宋体"/>
          <w:color w:val="auto"/>
          <w:sz w:val="30"/>
          <w:szCs w:val="30"/>
          <w:highlight w:val="none"/>
        </w:rPr>
      </w:pPr>
    </w:p>
    <w:p w14:paraId="15DAECAB">
      <w:pPr>
        <w:spacing w:line="360" w:lineRule="auto"/>
        <w:jc w:val="center"/>
        <w:rPr>
          <w:rFonts w:ascii="宋体" w:hAnsi="宋体" w:cs="宋体"/>
          <w:b/>
          <w:color w:val="auto"/>
          <w:spacing w:val="6"/>
          <w:sz w:val="32"/>
          <w:szCs w:val="32"/>
          <w:highlight w:val="none"/>
        </w:rPr>
      </w:pPr>
    </w:p>
    <w:p w14:paraId="52AA6B21">
      <w:pPr>
        <w:spacing w:line="360" w:lineRule="auto"/>
        <w:jc w:val="center"/>
        <w:rPr>
          <w:rFonts w:ascii="宋体" w:hAnsi="宋体" w:cs="宋体"/>
          <w:b/>
          <w:color w:val="auto"/>
          <w:spacing w:val="6"/>
          <w:sz w:val="32"/>
          <w:szCs w:val="32"/>
          <w:highlight w:val="none"/>
        </w:rPr>
      </w:pPr>
    </w:p>
    <w:p w14:paraId="152D083D">
      <w:pPr>
        <w:spacing w:line="360" w:lineRule="auto"/>
        <w:jc w:val="center"/>
        <w:rPr>
          <w:rFonts w:ascii="宋体" w:hAnsi="宋体" w:cs="宋体"/>
          <w:b/>
          <w:color w:val="auto"/>
          <w:spacing w:val="6"/>
          <w:sz w:val="32"/>
          <w:szCs w:val="32"/>
          <w:highlight w:val="none"/>
        </w:rPr>
      </w:pPr>
    </w:p>
    <w:p w14:paraId="5549BAA1">
      <w:pPr>
        <w:spacing w:line="360" w:lineRule="auto"/>
        <w:jc w:val="center"/>
        <w:rPr>
          <w:rFonts w:ascii="宋体" w:hAnsi="宋体" w:cs="宋体"/>
          <w:b/>
          <w:color w:val="auto"/>
          <w:spacing w:val="6"/>
          <w:sz w:val="32"/>
          <w:szCs w:val="32"/>
          <w:highlight w:val="none"/>
        </w:rPr>
      </w:pPr>
    </w:p>
    <w:p w14:paraId="11B4A75A">
      <w:pPr>
        <w:spacing w:line="360" w:lineRule="auto"/>
        <w:jc w:val="center"/>
        <w:rPr>
          <w:rFonts w:ascii="宋体" w:hAnsi="宋体" w:cs="宋体"/>
          <w:b/>
          <w:color w:val="auto"/>
          <w:spacing w:val="6"/>
          <w:sz w:val="32"/>
          <w:szCs w:val="32"/>
          <w:highlight w:val="none"/>
        </w:rPr>
      </w:pPr>
    </w:p>
    <w:p w14:paraId="2B78970B">
      <w:pPr>
        <w:spacing w:line="360" w:lineRule="auto"/>
        <w:jc w:val="center"/>
        <w:rPr>
          <w:rFonts w:ascii="宋体" w:hAnsi="宋体" w:cs="宋体"/>
          <w:b/>
          <w:color w:val="auto"/>
          <w:spacing w:val="6"/>
          <w:sz w:val="32"/>
          <w:szCs w:val="32"/>
          <w:highlight w:val="none"/>
        </w:rPr>
      </w:pPr>
    </w:p>
    <w:p w14:paraId="2C23C99C">
      <w:pPr>
        <w:spacing w:line="360" w:lineRule="auto"/>
        <w:jc w:val="center"/>
        <w:rPr>
          <w:rFonts w:ascii="宋体" w:hAnsi="宋体" w:cs="宋体"/>
          <w:b/>
          <w:color w:val="auto"/>
          <w:spacing w:val="6"/>
          <w:sz w:val="32"/>
          <w:szCs w:val="32"/>
          <w:highlight w:val="none"/>
        </w:rPr>
      </w:pPr>
    </w:p>
    <w:p w14:paraId="1686A096">
      <w:pPr>
        <w:spacing w:line="360" w:lineRule="auto"/>
        <w:jc w:val="center"/>
        <w:rPr>
          <w:rFonts w:ascii="宋体" w:hAnsi="宋体" w:cs="宋体"/>
          <w:b/>
          <w:color w:val="auto"/>
          <w:spacing w:val="6"/>
          <w:sz w:val="32"/>
          <w:szCs w:val="32"/>
          <w:highlight w:val="none"/>
        </w:rPr>
      </w:pPr>
    </w:p>
    <w:p w14:paraId="1A10BD98">
      <w:pPr>
        <w:spacing w:line="360" w:lineRule="auto"/>
        <w:jc w:val="center"/>
        <w:rPr>
          <w:rFonts w:ascii="宋体" w:hAnsi="宋体" w:cs="宋体"/>
          <w:b/>
          <w:color w:val="auto"/>
          <w:spacing w:val="6"/>
          <w:sz w:val="32"/>
          <w:szCs w:val="32"/>
          <w:highlight w:val="none"/>
        </w:rPr>
      </w:pPr>
    </w:p>
    <w:p w14:paraId="55FC78C5">
      <w:pPr>
        <w:spacing w:line="360" w:lineRule="auto"/>
        <w:jc w:val="center"/>
        <w:rPr>
          <w:rFonts w:ascii="宋体" w:hAnsi="宋体" w:cs="宋体"/>
          <w:b/>
          <w:color w:val="auto"/>
          <w:spacing w:val="6"/>
          <w:sz w:val="32"/>
          <w:szCs w:val="32"/>
          <w:highlight w:val="none"/>
        </w:rPr>
      </w:pPr>
    </w:p>
    <w:p w14:paraId="04B7B5DE">
      <w:pPr>
        <w:spacing w:line="360" w:lineRule="auto"/>
        <w:jc w:val="center"/>
        <w:rPr>
          <w:rFonts w:ascii="宋体" w:hAnsi="宋体" w:cs="宋体"/>
          <w:b/>
          <w:color w:val="auto"/>
          <w:spacing w:val="6"/>
          <w:sz w:val="32"/>
          <w:szCs w:val="32"/>
          <w:highlight w:val="none"/>
        </w:rPr>
      </w:pPr>
    </w:p>
    <w:p w14:paraId="21F23BD2">
      <w:pPr>
        <w:spacing w:line="360" w:lineRule="auto"/>
        <w:jc w:val="center"/>
        <w:rPr>
          <w:rFonts w:ascii="宋体" w:hAnsi="宋体" w:cs="宋体"/>
          <w:b/>
          <w:color w:val="auto"/>
          <w:spacing w:val="6"/>
          <w:sz w:val="32"/>
          <w:szCs w:val="32"/>
          <w:highlight w:val="none"/>
        </w:rPr>
      </w:pPr>
    </w:p>
    <w:p w14:paraId="252BAF7F">
      <w:pPr>
        <w:spacing w:line="360" w:lineRule="auto"/>
        <w:jc w:val="left"/>
        <w:rPr>
          <w:rFonts w:ascii="宋体" w:hAnsi="宋体" w:cs="宋体"/>
          <w:b/>
          <w:color w:val="auto"/>
          <w:spacing w:val="6"/>
          <w:sz w:val="32"/>
          <w:szCs w:val="32"/>
          <w:highlight w:val="none"/>
        </w:rPr>
      </w:pPr>
    </w:p>
    <w:p w14:paraId="7C8F2645">
      <w:pPr>
        <w:spacing w:line="360" w:lineRule="auto"/>
        <w:jc w:val="left"/>
        <w:rPr>
          <w:rFonts w:ascii="宋体" w:hAnsi="宋体" w:cs="宋体"/>
          <w:b/>
          <w:color w:val="auto"/>
          <w:spacing w:val="6"/>
          <w:sz w:val="32"/>
          <w:szCs w:val="32"/>
          <w:highlight w:val="none"/>
        </w:rPr>
      </w:pPr>
    </w:p>
    <w:p w14:paraId="61628E32">
      <w:pPr>
        <w:rPr>
          <w:rFonts w:ascii="宋体" w:hAnsi="宋体" w:cs="宋体"/>
          <w:b/>
          <w:color w:val="auto"/>
          <w:spacing w:val="6"/>
          <w:sz w:val="24"/>
          <w:highlight w:val="none"/>
        </w:rPr>
      </w:pPr>
      <w:bookmarkStart w:id="533" w:name="_Toc11440"/>
      <w:r>
        <w:rPr>
          <w:rFonts w:hint="eastAsia" w:ascii="宋体" w:hAnsi="宋体" w:cs="宋体"/>
          <w:b/>
          <w:color w:val="auto"/>
          <w:spacing w:val="6"/>
          <w:sz w:val="24"/>
          <w:highlight w:val="none"/>
        </w:rPr>
        <w:br w:type="page"/>
      </w:r>
    </w:p>
    <w:p w14:paraId="6EEDE92D">
      <w:pPr>
        <w:spacing w:line="360" w:lineRule="auto"/>
        <w:outlineLvl w:val="1"/>
        <w:rPr>
          <w:rFonts w:ascii="宋体" w:hAnsi="宋体" w:cs="宋体"/>
          <w:b/>
          <w:color w:val="auto"/>
          <w:spacing w:val="6"/>
          <w:sz w:val="32"/>
          <w:szCs w:val="32"/>
          <w:highlight w:val="none"/>
        </w:rPr>
      </w:pPr>
      <w:r>
        <w:rPr>
          <w:rFonts w:hint="eastAsia" w:ascii="宋体" w:hAnsi="宋体" w:cs="宋体"/>
          <w:b/>
          <w:color w:val="auto"/>
          <w:spacing w:val="6"/>
          <w:sz w:val="24"/>
          <w:highlight w:val="none"/>
        </w:rPr>
        <w:t>附件3：投诉书范本及制作说明</w:t>
      </w:r>
      <w:bookmarkEnd w:id="533"/>
    </w:p>
    <w:p w14:paraId="7B5AE3CA">
      <w:pPr>
        <w:spacing w:before="240" w:beforeLines="100"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102F06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E8B43C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B92B43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D0C2D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1C046B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64B7BB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D710C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E01FB7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3AE05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723A1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59EE2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4B6257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3788E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FF91FB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AEA9B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E1B311">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97F0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4793A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05E76B">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4604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3240A9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D28414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78D15B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B7A114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9F1693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7652C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40C3D0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1E6E6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0206A9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E21290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9CA29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48646A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D0710C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BED6A5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95E0E0">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E70088F">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F5717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25F284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6D186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5108F90">
      <w:pPr>
        <w:spacing w:line="360" w:lineRule="auto"/>
        <w:rPr>
          <w:rFonts w:ascii="宋体" w:hAnsi="宋体" w:cs="宋体"/>
          <w:b/>
          <w:color w:val="auto"/>
          <w:sz w:val="24"/>
          <w:highlight w:val="none"/>
        </w:rPr>
      </w:pPr>
    </w:p>
    <w:p w14:paraId="1A265971">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806802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F2B09B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6BFC16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EAE161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B525DB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1AED5C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897C99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6BEA0B2">
      <w:pPr>
        <w:spacing w:line="360" w:lineRule="auto"/>
        <w:rPr>
          <w:rFonts w:ascii="宋体" w:hAnsi="宋体" w:cs="宋体"/>
          <w:b/>
          <w:color w:val="auto"/>
          <w:sz w:val="24"/>
          <w:highlight w:val="none"/>
        </w:rPr>
      </w:pPr>
    </w:p>
    <w:p w14:paraId="33A5DF87">
      <w:pPr>
        <w:autoSpaceDE w:val="0"/>
        <w:autoSpaceDN w:val="0"/>
        <w:jc w:val="center"/>
        <w:rPr>
          <w:rFonts w:ascii="宋体" w:hAnsi="宋体" w:cs="宋体"/>
          <w:b/>
          <w:color w:val="auto"/>
          <w:spacing w:val="6"/>
          <w:sz w:val="32"/>
          <w:szCs w:val="32"/>
          <w:highlight w:val="none"/>
        </w:rPr>
      </w:pPr>
    </w:p>
    <w:p w14:paraId="5009B880">
      <w:pPr>
        <w:autoSpaceDE w:val="0"/>
        <w:autoSpaceDN w:val="0"/>
        <w:jc w:val="center"/>
        <w:rPr>
          <w:rFonts w:ascii="宋体" w:hAnsi="宋体" w:cs="宋体"/>
          <w:b/>
          <w:color w:val="auto"/>
          <w:spacing w:val="6"/>
          <w:sz w:val="32"/>
          <w:szCs w:val="32"/>
          <w:highlight w:val="none"/>
        </w:rPr>
      </w:pPr>
    </w:p>
    <w:p w14:paraId="5BAFC88C">
      <w:pPr>
        <w:rPr>
          <w:rFonts w:ascii="宋体" w:hAnsi="宋体" w:cs="宋体"/>
          <w:b/>
          <w:color w:val="auto"/>
          <w:spacing w:val="6"/>
          <w:sz w:val="24"/>
          <w:highlight w:val="none"/>
        </w:rPr>
      </w:pPr>
      <w:bookmarkStart w:id="534" w:name="_Toc3542"/>
      <w:r>
        <w:rPr>
          <w:rFonts w:hint="eastAsia" w:ascii="宋体" w:hAnsi="宋体" w:cs="宋体"/>
          <w:b/>
          <w:color w:val="auto"/>
          <w:spacing w:val="6"/>
          <w:sz w:val="24"/>
          <w:highlight w:val="none"/>
        </w:rPr>
        <w:br w:type="page"/>
      </w:r>
    </w:p>
    <w:p w14:paraId="2578C48C">
      <w:pPr>
        <w:spacing w:line="360" w:lineRule="auto"/>
        <w:outlineLvl w:val="1"/>
        <w:rPr>
          <w:rFonts w:ascii="宋体" w:hAnsi="宋体" w:cs="宋体"/>
          <w:b/>
          <w:color w:val="auto"/>
          <w:spacing w:val="6"/>
          <w:sz w:val="24"/>
          <w:highlight w:val="none"/>
        </w:rPr>
      </w:pPr>
      <w:r>
        <w:rPr>
          <w:rFonts w:hint="eastAsia" w:ascii="宋体" w:hAnsi="宋体" w:cs="宋体"/>
          <w:b/>
          <w:color w:val="auto"/>
          <w:spacing w:val="6"/>
          <w:sz w:val="24"/>
          <w:highlight w:val="none"/>
        </w:rPr>
        <w:t>附件4：业务专用章使用说明函</w:t>
      </w:r>
      <w:bookmarkEnd w:id="534"/>
    </w:p>
    <w:p w14:paraId="02B40EAA">
      <w:pPr>
        <w:spacing w:before="240" w:beforeLines="100"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业务专用章使用说明函</w:t>
      </w:r>
    </w:p>
    <w:p w14:paraId="0E83FA93">
      <w:pPr>
        <w:spacing w:line="360" w:lineRule="auto"/>
        <w:rPr>
          <w:rFonts w:ascii="宋体" w:hAnsi="宋体"/>
          <w:b/>
          <w:bCs/>
          <w:color w:val="auto"/>
          <w:sz w:val="24"/>
          <w:highlight w:val="none"/>
          <w:u w:val="single"/>
        </w:rPr>
      </w:pPr>
    </w:p>
    <w:p w14:paraId="7BEAC0B1">
      <w:pPr>
        <w:spacing w:line="360" w:lineRule="auto"/>
        <w:rPr>
          <w:rFonts w:ascii="宋体" w:hAnsi="宋体" w:cs="宋体"/>
          <w:color w:val="auto"/>
          <w:sz w:val="24"/>
          <w:highlight w:val="none"/>
        </w:rPr>
      </w:pPr>
      <w:r>
        <w:rPr>
          <w:rFonts w:hint="eastAsia" w:ascii="宋体" w:hAnsi="宋体"/>
          <w:b/>
          <w:bCs/>
          <w:color w:val="auto"/>
          <w:sz w:val="24"/>
          <w:highlight w:val="none"/>
          <w:u w:val="single"/>
          <w:lang w:eastAsia="zh-CN"/>
        </w:rPr>
        <w:t>杭州市拱墅区住房和城市建设局</w:t>
      </w:r>
      <w:r>
        <w:rPr>
          <w:rFonts w:hint="eastAsia" w:ascii="宋体" w:hAnsi="宋体"/>
          <w:b/>
          <w:bCs/>
          <w:color w:val="auto"/>
          <w:sz w:val="24"/>
          <w:highlight w:val="none"/>
          <w:u w:val="single"/>
        </w:rPr>
        <w:t>、浙江省成套招标代理有限公司</w:t>
      </w:r>
      <w:r>
        <w:rPr>
          <w:rFonts w:hint="eastAsia" w:ascii="宋体" w:hAnsi="宋体" w:cs="宋体"/>
          <w:color w:val="auto"/>
          <w:sz w:val="24"/>
          <w:highlight w:val="none"/>
        </w:rPr>
        <w:t>：</w:t>
      </w:r>
    </w:p>
    <w:p w14:paraId="688AA2D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b/>
          <w:bCs/>
          <w:color w:val="auto"/>
          <w:sz w:val="24"/>
          <w:highlight w:val="none"/>
          <w:u w:val="single"/>
          <w:lang w:eastAsia="zh-CN"/>
        </w:rPr>
        <w:t>拱墅区2025年海绵城市建设技术服务项目</w:t>
      </w:r>
      <w:r>
        <w:rPr>
          <w:rFonts w:hint="eastAsia" w:ascii="宋体" w:hAnsi="宋体" w:cs="宋体"/>
          <w:color w:val="auto"/>
          <w:sz w:val="24"/>
          <w:highlight w:val="none"/>
        </w:rPr>
        <w:t>【项目编号：（项目编号）】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我方所使用的【</w:t>
      </w:r>
      <w:r>
        <w:rPr>
          <w:rFonts w:hint="eastAsia" w:ascii="宋体" w:hAnsi="宋体" w:cs="宋体"/>
          <w:color w:val="auto"/>
          <w:sz w:val="24"/>
          <w:highlight w:val="none"/>
          <w:u w:val="single"/>
        </w:rPr>
        <w:t xml:space="preserve">  “XX专用章” </w:t>
      </w:r>
      <w:r>
        <w:rPr>
          <w:rFonts w:hint="eastAsia" w:ascii="宋体" w:hAnsi="宋体" w:cs="宋体"/>
          <w:color w:val="auto"/>
          <w:sz w:val="24"/>
          <w:highlight w:val="none"/>
        </w:rPr>
        <w:t>】与法定名称章具有同等的法律效力，对使用【</w:t>
      </w:r>
      <w:r>
        <w:rPr>
          <w:rFonts w:hint="eastAsia" w:ascii="宋体" w:hAnsi="宋体" w:cs="宋体"/>
          <w:color w:val="auto"/>
          <w:sz w:val="24"/>
          <w:highlight w:val="none"/>
          <w:u w:val="single"/>
        </w:rPr>
        <w:t xml:space="preserve">  “XX专用章”  </w:t>
      </w:r>
      <w:r>
        <w:rPr>
          <w:rFonts w:hint="eastAsia" w:ascii="宋体" w:hAnsi="宋体" w:cs="宋体"/>
          <w:color w:val="auto"/>
          <w:sz w:val="24"/>
          <w:highlight w:val="none"/>
        </w:rPr>
        <w:t xml:space="preserve">】的行为予以完全承认，并愿意承担相应责任。   </w:t>
      </w:r>
    </w:p>
    <w:p w14:paraId="06C863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D4C894A">
      <w:pPr>
        <w:spacing w:line="360" w:lineRule="auto"/>
        <w:ind w:firstLine="494"/>
        <w:rPr>
          <w:rFonts w:ascii="宋体" w:hAnsi="宋体" w:cs="宋体"/>
          <w:color w:val="auto"/>
          <w:sz w:val="24"/>
          <w:highlight w:val="none"/>
        </w:rPr>
      </w:pPr>
    </w:p>
    <w:p w14:paraId="65C49462">
      <w:pPr>
        <w:spacing w:line="360" w:lineRule="auto"/>
        <w:ind w:firstLine="494"/>
        <w:rPr>
          <w:rFonts w:ascii="宋体" w:hAnsi="宋体" w:cs="宋体"/>
          <w:color w:val="auto"/>
          <w:sz w:val="24"/>
          <w:highlight w:val="none"/>
        </w:rPr>
      </w:pPr>
    </w:p>
    <w:p w14:paraId="1D8A5933">
      <w:pPr>
        <w:spacing w:line="360" w:lineRule="auto"/>
        <w:ind w:firstLine="494"/>
        <w:rPr>
          <w:rFonts w:ascii="宋体" w:hAnsi="宋体" w:cs="宋体"/>
          <w:color w:val="auto"/>
          <w:sz w:val="24"/>
          <w:highlight w:val="none"/>
        </w:rPr>
      </w:pPr>
    </w:p>
    <w:p w14:paraId="2DE72B45">
      <w:pPr>
        <w:spacing w:line="360" w:lineRule="auto"/>
        <w:ind w:firstLine="494"/>
        <w:rPr>
          <w:rFonts w:ascii="宋体" w:hAnsi="宋体" w:cs="宋体"/>
          <w:color w:val="auto"/>
          <w:sz w:val="24"/>
          <w:highlight w:val="none"/>
        </w:rPr>
      </w:pPr>
    </w:p>
    <w:p w14:paraId="254A643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A1CF6C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29693C6">
      <w:pPr>
        <w:rPr>
          <w:rFonts w:ascii="宋体" w:hAnsi="宋体" w:cs="宋体"/>
          <w:color w:val="auto"/>
          <w:sz w:val="24"/>
          <w:highlight w:val="none"/>
        </w:rPr>
      </w:pPr>
      <w:r>
        <w:rPr>
          <w:rFonts w:hint="eastAsia" w:ascii="宋体" w:hAnsi="宋体" w:cs="宋体"/>
          <w:b/>
          <w:bCs/>
          <w:color w:val="auto"/>
          <w:sz w:val="24"/>
          <w:highlight w:val="none"/>
        </w:rPr>
        <w:t>附：</w:t>
      </w:r>
    </w:p>
    <w:p w14:paraId="41FE832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A19D38E">
      <w:pPr>
        <w:autoSpaceDE w:val="0"/>
        <w:autoSpaceDN w:val="0"/>
        <w:jc w:val="center"/>
        <w:rPr>
          <w:rFonts w:ascii="宋体" w:hAnsi="宋体" w:cs="宋体"/>
          <w:b/>
          <w:color w:val="auto"/>
          <w:spacing w:val="6"/>
          <w:sz w:val="32"/>
          <w:szCs w:val="32"/>
          <w:highlight w:val="none"/>
        </w:rPr>
      </w:pPr>
    </w:p>
    <w:p w14:paraId="595B6DDB">
      <w:pPr>
        <w:autoSpaceDE w:val="0"/>
        <w:autoSpaceDN w:val="0"/>
        <w:jc w:val="center"/>
        <w:rPr>
          <w:rFonts w:ascii="宋体" w:hAnsi="宋体" w:cs="宋体"/>
          <w:b/>
          <w:color w:val="auto"/>
          <w:spacing w:val="6"/>
          <w:sz w:val="32"/>
          <w:szCs w:val="32"/>
          <w:highlight w:val="none"/>
        </w:rPr>
      </w:pPr>
    </w:p>
    <w:p w14:paraId="05FBCE23">
      <w:pPr>
        <w:autoSpaceDE w:val="0"/>
        <w:autoSpaceDN w:val="0"/>
        <w:jc w:val="center"/>
        <w:rPr>
          <w:rFonts w:ascii="宋体" w:hAnsi="宋体" w:cs="宋体"/>
          <w:b/>
          <w:color w:val="auto"/>
          <w:spacing w:val="6"/>
          <w:sz w:val="32"/>
          <w:szCs w:val="32"/>
          <w:highlight w:val="none"/>
        </w:rPr>
      </w:pPr>
    </w:p>
    <w:p w14:paraId="04656201">
      <w:pPr>
        <w:autoSpaceDE w:val="0"/>
        <w:autoSpaceDN w:val="0"/>
        <w:jc w:val="center"/>
        <w:rPr>
          <w:rFonts w:ascii="宋体" w:hAnsi="宋体" w:cs="宋体"/>
          <w:b/>
          <w:color w:val="auto"/>
          <w:spacing w:val="6"/>
          <w:sz w:val="32"/>
          <w:szCs w:val="32"/>
          <w:highlight w:val="none"/>
        </w:rPr>
      </w:pPr>
    </w:p>
    <w:p w14:paraId="22245A73">
      <w:pPr>
        <w:autoSpaceDE w:val="0"/>
        <w:autoSpaceDN w:val="0"/>
        <w:jc w:val="center"/>
        <w:rPr>
          <w:rFonts w:ascii="宋体" w:hAnsi="宋体" w:cs="宋体"/>
          <w:b/>
          <w:color w:val="auto"/>
          <w:spacing w:val="6"/>
          <w:sz w:val="32"/>
          <w:szCs w:val="32"/>
          <w:highlight w:val="none"/>
        </w:rPr>
      </w:pPr>
    </w:p>
    <w:p w14:paraId="7F3DA295">
      <w:pPr>
        <w:autoSpaceDE w:val="0"/>
        <w:autoSpaceDN w:val="0"/>
        <w:jc w:val="center"/>
        <w:rPr>
          <w:rFonts w:ascii="宋体" w:hAnsi="宋体" w:cs="宋体"/>
          <w:b/>
          <w:color w:val="auto"/>
          <w:spacing w:val="6"/>
          <w:sz w:val="32"/>
          <w:szCs w:val="32"/>
          <w:highlight w:val="none"/>
        </w:rPr>
      </w:pPr>
    </w:p>
    <w:p w14:paraId="78519178">
      <w:pPr>
        <w:autoSpaceDE w:val="0"/>
        <w:autoSpaceDN w:val="0"/>
        <w:jc w:val="center"/>
        <w:rPr>
          <w:rFonts w:ascii="宋体" w:hAnsi="宋体" w:cs="宋体"/>
          <w:b/>
          <w:color w:val="auto"/>
          <w:spacing w:val="6"/>
          <w:sz w:val="32"/>
          <w:szCs w:val="32"/>
          <w:highlight w:val="none"/>
        </w:rPr>
      </w:pPr>
    </w:p>
    <w:p w14:paraId="4CABCA47">
      <w:pPr>
        <w:autoSpaceDE w:val="0"/>
        <w:autoSpaceDN w:val="0"/>
        <w:jc w:val="center"/>
        <w:rPr>
          <w:rFonts w:ascii="宋体" w:hAnsi="宋体" w:cs="宋体"/>
          <w:b/>
          <w:color w:val="auto"/>
          <w:spacing w:val="6"/>
          <w:sz w:val="32"/>
          <w:szCs w:val="32"/>
          <w:highlight w:val="none"/>
        </w:rPr>
      </w:pPr>
    </w:p>
    <w:p w14:paraId="124C0097">
      <w:pPr>
        <w:autoSpaceDE w:val="0"/>
        <w:autoSpaceDN w:val="0"/>
        <w:jc w:val="center"/>
        <w:rPr>
          <w:rFonts w:ascii="宋体" w:hAnsi="宋体" w:cs="宋体"/>
          <w:b/>
          <w:color w:val="auto"/>
          <w:spacing w:val="6"/>
          <w:sz w:val="32"/>
          <w:szCs w:val="32"/>
          <w:highlight w:val="none"/>
        </w:rPr>
      </w:pPr>
    </w:p>
    <w:p w14:paraId="30690A2E">
      <w:pPr>
        <w:autoSpaceDE w:val="0"/>
        <w:autoSpaceDN w:val="0"/>
        <w:jc w:val="center"/>
        <w:rPr>
          <w:rFonts w:ascii="宋体" w:hAnsi="宋体" w:cs="宋体"/>
          <w:b/>
          <w:color w:val="auto"/>
          <w:spacing w:val="6"/>
          <w:sz w:val="32"/>
          <w:szCs w:val="32"/>
          <w:highlight w:val="none"/>
        </w:rPr>
      </w:pPr>
    </w:p>
    <w:p w14:paraId="38C10F29">
      <w:pPr>
        <w:autoSpaceDE w:val="0"/>
        <w:autoSpaceDN w:val="0"/>
        <w:jc w:val="center"/>
        <w:rPr>
          <w:rFonts w:ascii="宋体" w:hAnsi="宋体" w:cs="宋体"/>
          <w:b/>
          <w:color w:val="auto"/>
          <w:spacing w:val="6"/>
          <w:sz w:val="32"/>
          <w:szCs w:val="32"/>
          <w:highlight w:val="none"/>
        </w:rPr>
      </w:pPr>
    </w:p>
    <w:p w14:paraId="5784653E">
      <w:pPr>
        <w:autoSpaceDE w:val="0"/>
        <w:autoSpaceDN w:val="0"/>
        <w:jc w:val="center"/>
        <w:rPr>
          <w:rFonts w:ascii="宋体" w:hAnsi="宋体" w:cs="宋体"/>
          <w:b/>
          <w:color w:val="auto"/>
          <w:spacing w:val="6"/>
          <w:sz w:val="32"/>
          <w:szCs w:val="32"/>
          <w:highlight w:val="none"/>
        </w:rPr>
      </w:pPr>
    </w:p>
    <w:p w14:paraId="4DB98D30">
      <w:pPr>
        <w:autoSpaceDE w:val="0"/>
        <w:autoSpaceDN w:val="0"/>
        <w:jc w:val="center"/>
        <w:rPr>
          <w:rFonts w:ascii="宋体" w:hAnsi="宋体" w:cs="宋体"/>
          <w:b/>
          <w:color w:val="auto"/>
          <w:spacing w:val="6"/>
          <w:sz w:val="32"/>
          <w:szCs w:val="32"/>
          <w:highlight w:val="none"/>
        </w:rPr>
      </w:pPr>
    </w:p>
    <w:p w14:paraId="74C7495B">
      <w:pPr>
        <w:rPr>
          <w:rFonts w:ascii="宋体" w:hAnsi="宋体" w:cs="宋体"/>
          <w:b/>
          <w:color w:val="auto"/>
          <w:spacing w:val="6"/>
          <w:sz w:val="24"/>
          <w:highlight w:val="none"/>
        </w:rPr>
      </w:pPr>
      <w:bookmarkStart w:id="535" w:name="_Toc22207"/>
      <w:r>
        <w:rPr>
          <w:rFonts w:hint="eastAsia" w:ascii="宋体" w:hAnsi="宋体" w:cs="宋体"/>
          <w:b/>
          <w:color w:val="auto"/>
          <w:spacing w:val="6"/>
          <w:sz w:val="24"/>
          <w:highlight w:val="none"/>
        </w:rPr>
        <w:br w:type="page"/>
      </w:r>
    </w:p>
    <w:p w14:paraId="3D2062C8">
      <w:pPr>
        <w:spacing w:line="360" w:lineRule="auto"/>
        <w:outlineLvl w:val="1"/>
        <w:rPr>
          <w:rFonts w:ascii="宋体" w:hAnsi="宋体" w:cs="宋体"/>
          <w:b/>
          <w:color w:val="auto"/>
          <w:spacing w:val="6"/>
          <w:sz w:val="24"/>
          <w:highlight w:val="none"/>
          <w:lang w:val="zh-CN"/>
        </w:rPr>
      </w:pPr>
      <w:r>
        <w:rPr>
          <w:rFonts w:hint="eastAsia" w:ascii="宋体" w:hAnsi="宋体" w:cs="宋体"/>
          <w:b/>
          <w:color w:val="auto"/>
          <w:spacing w:val="6"/>
          <w:sz w:val="24"/>
          <w:highlight w:val="none"/>
        </w:rPr>
        <w:t>附件5：</w:t>
      </w:r>
      <w:r>
        <w:rPr>
          <w:rFonts w:hint="eastAsia" w:ascii="宋体" w:hAnsi="宋体" w:cs="宋体"/>
          <w:b/>
          <w:color w:val="auto"/>
          <w:spacing w:val="6"/>
          <w:sz w:val="24"/>
          <w:highlight w:val="none"/>
          <w:lang w:val="zh-CN"/>
        </w:rPr>
        <w:t>联合协议</w:t>
      </w:r>
      <w:bookmarkEnd w:id="535"/>
    </w:p>
    <w:p w14:paraId="7356A36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（投标人以联合体形式投标的，</w:t>
      </w:r>
      <w:r>
        <w:rPr>
          <w:rFonts w:hint="eastAsia"/>
          <w:color w:val="auto"/>
          <w:highlight w:val="none"/>
        </w:rPr>
        <w:t>▲</w:t>
      </w:r>
      <w:r>
        <w:rPr>
          <w:rFonts w:hint="eastAsia" w:ascii="宋体" w:hAnsi="宋体" w:cs="宋体"/>
          <w:b/>
          <w:color w:val="auto"/>
          <w:sz w:val="24"/>
          <w:highlight w:val="none"/>
          <w:u w:val="single"/>
        </w:rPr>
        <w:t>应提供联合协议，否则投标无效</w:t>
      </w:r>
      <w:r>
        <w:rPr>
          <w:rFonts w:hint="eastAsia" w:ascii="宋体" w:hAnsi="宋体" w:cs="宋体"/>
          <w:b/>
          <w:color w:val="auto"/>
          <w:sz w:val="24"/>
          <w:highlight w:val="none"/>
        </w:rPr>
        <w:t>；本项目不接受联合体投标或者投标人不以联合体形式投标的，则不需要提供）</w:t>
      </w:r>
    </w:p>
    <w:p w14:paraId="69380262">
      <w:pPr>
        <w:spacing w:before="240" w:beforeLines="100"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lang w:val="zh-CN"/>
        </w:rPr>
        <w:t>联合协议</w:t>
      </w:r>
    </w:p>
    <w:p w14:paraId="06E14F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b/>
          <w:bCs/>
          <w:color w:val="auto"/>
          <w:sz w:val="24"/>
          <w:highlight w:val="none"/>
          <w:u w:val="single"/>
          <w:lang w:eastAsia="zh-CN"/>
        </w:rPr>
        <w:t>拱墅区2025年海绵城市建设技术服务项目</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（项目编号）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9D422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 xml:space="preserve">   （某联合体成员名称）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8643F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授权代表根据采购文件规定及投标内容而对采购人、采购代理机构所作的任何合法承诺，包括书面澄清及相应等均对联合投标各方产生约束力。</w:t>
      </w:r>
    </w:p>
    <w:p w14:paraId="7E192D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1EDE9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F53D8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4E34A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6FC85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F691D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3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3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37"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37"/>
      <w:r>
        <w:rPr>
          <w:rFonts w:hint="eastAsia" w:ascii="宋体" w:hAnsi="宋体" w:cs="宋体"/>
          <w:b/>
          <w:color w:val="auto"/>
          <w:kern w:val="0"/>
          <w:sz w:val="24"/>
          <w:highlight w:val="none"/>
          <w:lang w:val="zh-CN"/>
        </w:rPr>
        <w:t>）</w:t>
      </w:r>
    </w:p>
    <w:p w14:paraId="63B0AE0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3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要求以联合体形式参加的项目或采购包，供应商按采购文件第一章招标公告申请人的资格要求中规定的联合协议中中小企业、小微企业合同金额应当达到的比例要求填写。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38"/>
    </w:p>
    <w:p w14:paraId="4E89BB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139A8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C55DA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FB34B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EEAB3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04352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01304C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E3115C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85A179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FC16DE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29BECFB">
      <w:pPr>
        <w:autoSpaceDE w:val="0"/>
        <w:autoSpaceDN w:val="0"/>
        <w:jc w:val="center"/>
        <w:rPr>
          <w:rFonts w:ascii="宋体" w:hAnsi="宋体" w:cs="宋体"/>
          <w:b/>
          <w:color w:val="auto"/>
          <w:spacing w:val="6"/>
          <w:sz w:val="32"/>
          <w:szCs w:val="32"/>
          <w:highlight w:val="none"/>
        </w:rPr>
      </w:pPr>
    </w:p>
    <w:p w14:paraId="1A0C91F7">
      <w:pPr>
        <w:autoSpaceDE w:val="0"/>
        <w:autoSpaceDN w:val="0"/>
        <w:jc w:val="center"/>
        <w:rPr>
          <w:rFonts w:ascii="宋体" w:hAnsi="宋体" w:cs="宋体"/>
          <w:b/>
          <w:color w:val="auto"/>
          <w:spacing w:val="6"/>
          <w:sz w:val="32"/>
          <w:szCs w:val="32"/>
          <w:highlight w:val="none"/>
        </w:rPr>
      </w:pPr>
    </w:p>
    <w:p w14:paraId="0F809A00">
      <w:pPr>
        <w:autoSpaceDE w:val="0"/>
        <w:autoSpaceDN w:val="0"/>
        <w:jc w:val="center"/>
        <w:rPr>
          <w:rFonts w:ascii="宋体" w:hAnsi="宋体" w:cs="宋体"/>
          <w:b/>
          <w:color w:val="auto"/>
          <w:spacing w:val="6"/>
          <w:sz w:val="32"/>
          <w:szCs w:val="32"/>
          <w:highlight w:val="none"/>
        </w:rPr>
      </w:pPr>
    </w:p>
    <w:p w14:paraId="73581A77">
      <w:pPr>
        <w:autoSpaceDE w:val="0"/>
        <w:autoSpaceDN w:val="0"/>
        <w:jc w:val="center"/>
        <w:rPr>
          <w:rFonts w:ascii="宋体" w:hAnsi="宋体" w:cs="宋体"/>
          <w:b/>
          <w:color w:val="auto"/>
          <w:spacing w:val="6"/>
          <w:sz w:val="32"/>
          <w:szCs w:val="32"/>
          <w:highlight w:val="none"/>
        </w:rPr>
      </w:pPr>
    </w:p>
    <w:p w14:paraId="32583DE4">
      <w:pPr>
        <w:autoSpaceDE w:val="0"/>
        <w:autoSpaceDN w:val="0"/>
        <w:jc w:val="center"/>
        <w:rPr>
          <w:rFonts w:ascii="宋体" w:hAnsi="宋体" w:cs="宋体"/>
          <w:b/>
          <w:color w:val="auto"/>
          <w:spacing w:val="6"/>
          <w:sz w:val="32"/>
          <w:szCs w:val="32"/>
          <w:highlight w:val="none"/>
        </w:rPr>
      </w:pPr>
    </w:p>
    <w:p w14:paraId="4C5DDFB6">
      <w:pPr>
        <w:autoSpaceDE w:val="0"/>
        <w:autoSpaceDN w:val="0"/>
        <w:jc w:val="center"/>
        <w:rPr>
          <w:rFonts w:ascii="宋体" w:hAnsi="宋体" w:cs="宋体"/>
          <w:b/>
          <w:color w:val="auto"/>
          <w:spacing w:val="6"/>
          <w:sz w:val="32"/>
          <w:szCs w:val="32"/>
          <w:highlight w:val="none"/>
        </w:rPr>
      </w:pPr>
    </w:p>
    <w:p w14:paraId="67F73526">
      <w:pPr>
        <w:snapToGrid w:val="0"/>
        <w:spacing w:line="360" w:lineRule="auto"/>
        <w:ind w:firstLine="3666" w:firstLineChars="1100"/>
        <w:rPr>
          <w:rFonts w:ascii="宋体" w:hAnsi="宋体" w:cs="宋体"/>
          <w:b/>
          <w:color w:val="auto"/>
          <w:spacing w:val="6"/>
          <w:sz w:val="32"/>
          <w:szCs w:val="32"/>
          <w:highlight w:val="none"/>
        </w:rPr>
      </w:pPr>
    </w:p>
    <w:p w14:paraId="5126401D">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8063AA0">
      <w:pPr>
        <w:spacing w:line="360" w:lineRule="auto"/>
        <w:outlineLvl w:val="1"/>
        <w:rPr>
          <w:rFonts w:ascii="宋体" w:hAnsi="宋体" w:cs="宋体"/>
          <w:b/>
          <w:color w:val="auto"/>
          <w:spacing w:val="6"/>
          <w:sz w:val="24"/>
          <w:highlight w:val="none"/>
        </w:rPr>
      </w:pPr>
      <w:bookmarkStart w:id="539" w:name="_Toc28006"/>
      <w:r>
        <w:rPr>
          <w:rFonts w:hint="eastAsia" w:ascii="宋体" w:hAnsi="宋体" w:cs="宋体"/>
          <w:b/>
          <w:color w:val="auto"/>
          <w:spacing w:val="6"/>
          <w:sz w:val="24"/>
          <w:highlight w:val="none"/>
        </w:rPr>
        <w:t>附件6：分包</w:t>
      </w:r>
      <w:r>
        <w:rPr>
          <w:rFonts w:hint="eastAsia" w:ascii="宋体" w:hAnsi="宋体" w:cs="宋体"/>
          <w:b/>
          <w:color w:val="auto"/>
          <w:spacing w:val="6"/>
          <w:sz w:val="24"/>
          <w:highlight w:val="none"/>
          <w:lang w:val="zh-CN"/>
        </w:rPr>
        <w:t>意向</w:t>
      </w:r>
      <w:r>
        <w:rPr>
          <w:rFonts w:hint="eastAsia" w:ascii="宋体" w:hAnsi="宋体" w:cs="宋体"/>
          <w:b/>
          <w:color w:val="auto"/>
          <w:spacing w:val="6"/>
          <w:sz w:val="24"/>
          <w:highlight w:val="none"/>
        </w:rPr>
        <w:t>协议</w:t>
      </w:r>
      <w:bookmarkEnd w:id="539"/>
    </w:p>
    <w:p w14:paraId="651AC51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B405C89">
      <w:pPr>
        <w:spacing w:before="240" w:beforeLines="100" w:line="360" w:lineRule="auto"/>
        <w:jc w:val="center"/>
        <w:rPr>
          <w:rFonts w:ascii="宋体" w:hAnsi="宋体" w:cs="宋体"/>
          <w:b/>
          <w:color w:val="auto"/>
          <w:spacing w:val="6"/>
          <w:sz w:val="32"/>
          <w:szCs w:val="32"/>
          <w:highlight w:val="none"/>
          <w:lang w:val="zh-CN"/>
        </w:rPr>
      </w:pPr>
      <w:r>
        <w:rPr>
          <w:rFonts w:hint="eastAsia" w:ascii="宋体" w:hAnsi="宋体" w:cs="宋体"/>
          <w:b/>
          <w:color w:val="auto"/>
          <w:spacing w:val="6"/>
          <w:sz w:val="32"/>
          <w:szCs w:val="32"/>
          <w:highlight w:val="none"/>
          <w:lang w:val="zh-CN"/>
        </w:rPr>
        <w:t>分包意向协议</w:t>
      </w:r>
    </w:p>
    <w:p w14:paraId="0CF0BF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kern w:val="0"/>
          <w:sz w:val="24"/>
          <w:highlight w:val="none"/>
          <w:u w:val="single"/>
        </w:rPr>
        <w:t xml:space="preserve">  </w:t>
      </w:r>
      <w:r>
        <w:rPr>
          <w:rFonts w:hint="eastAsia" w:ascii="宋体" w:hAnsi="宋体" w:cs="宋体"/>
          <w:b/>
          <w:bCs/>
          <w:color w:val="auto"/>
          <w:sz w:val="24"/>
          <w:highlight w:val="none"/>
          <w:u w:val="single"/>
          <w:lang w:eastAsia="zh-CN"/>
        </w:rPr>
        <w:t>拱墅区2025年海绵城市建设技术服务项目</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（项目编号）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14FA7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5A694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sz w:val="24"/>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相应资质条件且不得再次分包；</w:t>
      </w:r>
    </w:p>
    <w:p w14:paraId="70E746DA">
      <w:pPr>
        <w:tabs>
          <w:tab w:val="left" w:pos="432"/>
        </w:tabs>
        <w:snapToGrid w:val="0"/>
        <w:spacing w:line="360" w:lineRule="auto"/>
        <w:ind w:left="664" w:leftChars="316" w:firstLine="228" w:firstLineChars="95"/>
        <w:rPr>
          <w:rFonts w:ascii="宋体" w:hAnsi="宋体" w:cs="宋体"/>
          <w:color w:val="auto"/>
          <w:kern w:val="0"/>
          <w:sz w:val="24"/>
          <w:highlight w:val="none"/>
        </w:rPr>
      </w:pPr>
      <w:r>
        <w:rPr>
          <w:rFonts w:hint="eastAsia" w:ascii="宋体" w:hAnsi="宋体" w:cs="宋体"/>
          <w:color w:val="auto"/>
          <w:kern w:val="0"/>
          <w:sz w:val="24"/>
          <w:highlight w:val="none"/>
        </w:rPr>
        <w:t>……</w:t>
      </w:r>
    </w:p>
    <w:p w14:paraId="6BC5D12B">
      <w:pPr>
        <w:snapToGrid w:val="0"/>
        <w:spacing w:line="360" w:lineRule="auto"/>
        <w:rPr>
          <w:color w:val="auto"/>
          <w:sz w:val="24"/>
          <w:highlight w:val="none"/>
        </w:rPr>
      </w:pPr>
      <w:r>
        <w:rPr>
          <w:rFonts w:hint="eastAsia"/>
          <w:color w:val="auto"/>
          <w:sz w:val="24"/>
          <w:highlight w:val="none"/>
          <w:lang w:val="zh-CN"/>
        </w:rPr>
        <w:t xml:space="preserve"> </w:t>
      </w:r>
    </w:p>
    <w:p w14:paraId="447E6B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5B7CC3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sz w:val="24"/>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CD96EFD">
      <w:pPr>
        <w:snapToGrid w:val="0"/>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要求合同分包形式参加的项目或采购包，供应商按采购文件第一章招标公告申请人的资格要求中规定的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14677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3FF8955">
      <w:pPr>
        <w:snapToGrid w:val="0"/>
        <w:spacing w:line="360" w:lineRule="auto"/>
        <w:ind w:firstLine="576"/>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73B659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01385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p>
    <w:p w14:paraId="321130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00374F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p>
    <w:p w14:paraId="2D4D4AD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32C7D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p>
    <w:p w14:paraId="059B6A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564C7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p>
    <w:p w14:paraId="31AB63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876A9D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30FD01B">
      <w:pPr>
        <w:snapToGrid w:val="0"/>
        <w:spacing w:line="360" w:lineRule="auto"/>
        <w:ind w:left="5758" w:leftChars="342" w:hanging="5040" w:hangingChars="2100"/>
        <w:rPr>
          <w:rFonts w:ascii="宋体" w:hAnsi="宋体" w:cs="宋体"/>
          <w:color w:val="auto"/>
          <w:kern w:val="0"/>
          <w:sz w:val="24"/>
          <w:highlight w:val="none"/>
          <w:lang w:val="zh-CN"/>
        </w:rPr>
      </w:pPr>
    </w:p>
    <w:p w14:paraId="48B89F0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7946A11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CA07816">
      <w:pPr>
        <w:snapToGrid w:val="0"/>
        <w:spacing w:line="360" w:lineRule="auto"/>
        <w:jc w:val="left"/>
        <w:rPr>
          <w:rFonts w:ascii="宋体" w:hAnsi="宋体" w:cs="宋体"/>
          <w:color w:val="auto"/>
          <w:sz w:val="24"/>
          <w:highlight w:val="none"/>
        </w:rPr>
      </w:pPr>
      <w:r>
        <w:rPr>
          <w:rFonts w:hint="eastAsia" w:ascii="宋体" w:hAnsi="宋体" w:cs="宋体"/>
          <w:color w:val="auto"/>
          <w:kern w:val="0"/>
          <w:sz w:val="24"/>
          <w:highlight w:val="none"/>
          <w:lang w:val="zh-CN"/>
        </w:rPr>
        <w:t>……</w:t>
      </w:r>
    </w:p>
    <w:p w14:paraId="721AEC6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E0EC8A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B06FC53">
      <w:pPr>
        <w:autoSpaceDE w:val="0"/>
        <w:autoSpaceDN w:val="0"/>
        <w:jc w:val="center"/>
        <w:rPr>
          <w:rFonts w:ascii="宋体" w:hAnsi="宋体" w:cs="宋体"/>
          <w:b/>
          <w:color w:val="auto"/>
          <w:spacing w:val="6"/>
          <w:sz w:val="32"/>
          <w:szCs w:val="32"/>
          <w:highlight w:val="none"/>
        </w:rPr>
      </w:pPr>
    </w:p>
    <w:p w14:paraId="4E9831B7">
      <w:pPr>
        <w:autoSpaceDE w:val="0"/>
        <w:autoSpaceDN w:val="0"/>
        <w:jc w:val="center"/>
        <w:rPr>
          <w:rFonts w:ascii="宋体" w:hAnsi="宋体" w:cs="宋体"/>
          <w:b/>
          <w:color w:val="auto"/>
          <w:spacing w:val="6"/>
          <w:sz w:val="32"/>
          <w:szCs w:val="32"/>
          <w:highlight w:val="none"/>
        </w:rPr>
      </w:pPr>
    </w:p>
    <w:p w14:paraId="21438DB8">
      <w:pPr>
        <w:autoSpaceDE w:val="0"/>
        <w:autoSpaceDN w:val="0"/>
        <w:jc w:val="center"/>
        <w:rPr>
          <w:rFonts w:ascii="宋体" w:hAnsi="宋体" w:cs="宋体"/>
          <w:b/>
          <w:color w:val="auto"/>
          <w:spacing w:val="6"/>
          <w:sz w:val="32"/>
          <w:szCs w:val="32"/>
          <w:highlight w:val="none"/>
        </w:rPr>
      </w:pPr>
    </w:p>
    <w:p w14:paraId="4E6B6865">
      <w:pPr>
        <w:autoSpaceDE w:val="0"/>
        <w:autoSpaceDN w:val="0"/>
        <w:jc w:val="center"/>
        <w:rPr>
          <w:rFonts w:ascii="宋体" w:hAnsi="宋体" w:cs="宋体"/>
          <w:b/>
          <w:color w:val="auto"/>
          <w:spacing w:val="6"/>
          <w:sz w:val="32"/>
          <w:szCs w:val="32"/>
          <w:highlight w:val="none"/>
        </w:rPr>
      </w:pPr>
    </w:p>
    <w:p w14:paraId="491640DA">
      <w:pPr>
        <w:autoSpaceDE w:val="0"/>
        <w:autoSpaceDN w:val="0"/>
        <w:jc w:val="center"/>
        <w:rPr>
          <w:rFonts w:ascii="宋体" w:hAnsi="宋体" w:cs="宋体"/>
          <w:b/>
          <w:color w:val="auto"/>
          <w:spacing w:val="6"/>
          <w:sz w:val="32"/>
          <w:szCs w:val="32"/>
          <w:highlight w:val="none"/>
        </w:rPr>
      </w:pPr>
    </w:p>
    <w:p w14:paraId="2B189ED1">
      <w:pPr>
        <w:autoSpaceDE w:val="0"/>
        <w:autoSpaceDN w:val="0"/>
        <w:jc w:val="center"/>
        <w:rPr>
          <w:rFonts w:ascii="宋体" w:hAnsi="宋体" w:cs="宋体"/>
          <w:b/>
          <w:color w:val="auto"/>
          <w:spacing w:val="6"/>
          <w:sz w:val="32"/>
          <w:szCs w:val="32"/>
          <w:highlight w:val="none"/>
        </w:rPr>
      </w:pPr>
    </w:p>
    <w:p w14:paraId="1B88EC71">
      <w:pPr>
        <w:autoSpaceDE w:val="0"/>
        <w:autoSpaceDN w:val="0"/>
        <w:jc w:val="center"/>
        <w:rPr>
          <w:rFonts w:ascii="宋体" w:hAnsi="宋体" w:cs="宋体"/>
          <w:b/>
          <w:color w:val="auto"/>
          <w:spacing w:val="6"/>
          <w:sz w:val="32"/>
          <w:szCs w:val="32"/>
          <w:highlight w:val="none"/>
        </w:rPr>
      </w:pPr>
    </w:p>
    <w:p w14:paraId="1094F038">
      <w:pPr>
        <w:autoSpaceDE w:val="0"/>
        <w:autoSpaceDN w:val="0"/>
        <w:jc w:val="center"/>
        <w:rPr>
          <w:rFonts w:ascii="宋体" w:hAnsi="宋体" w:cs="宋体"/>
          <w:b/>
          <w:color w:val="auto"/>
          <w:spacing w:val="6"/>
          <w:sz w:val="32"/>
          <w:szCs w:val="32"/>
          <w:highlight w:val="none"/>
        </w:rPr>
      </w:pPr>
    </w:p>
    <w:p w14:paraId="33EB1B66">
      <w:pPr>
        <w:autoSpaceDE w:val="0"/>
        <w:autoSpaceDN w:val="0"/>
        <w:jc w:val="center"/>
        <w:rPr>
          <w:rFonts w:ascii="宋体" w:hAnsi="宋体" w:cs="宋体"/>
          <w:b/>
          <w:color w:val="auto"/>
          <w:spacing w:val="6"/>
          <w:sz w:val="32"/>
          <w:szCs w:val="32"/>
          <w:highlight w:val="none"/>
        </w:rPr>
      </w:pPr>
    </w:p>
    <w:p w14:paraId="14B49F13">
      <w:pPr>
        <w:autoSpaceDE w:val="0"/>
        <w:autoSpaceDN w:val="0"/>
        <w:jc w:val="center"/>
        <w:rPr>
          <w:rFonts w:ascii="宋体" w:hAnsi="宋体" w:cs="宋体"/>
          <w:b/>
          <w:color w:val="auto"/>
          <w:spacing w:val="6"/>
          <w:sz w:val="32"/>
          <w:szCs w:val="32"/>
          <w:highlight w:val="none"/>
        </w:rPr>
      </w:pPr>
    </w:p>
    <w:p w14:paraId="070DCEB3">
      <w:pPr>
        <w:autoSpaceDE w:val="0"/>
        <w:autoSpaceDN w:val="0"/>
        <w:jc w:val="center"/>
        <w:rPr>
          <w:rFonts w:ascii="宋体" w:hAnsi="宋体" w:cs="宋体"/>
          <w:b/>
          <w:color w:val="auto"/>
          <w:spacing w:val="6"/>
          <w:sz w:val="32"/>
          <w:szCs w:val="32"/>
          <w:highlight w:val="none"/>
        </w:rPr>
      </w:pPr>
    </w:p>
    <w:p w14:paraId="35D1B56D">
      <w:pPr>
        <w:autoSpaceDE w:val="0"/>
        <w:autoSpaceDN w:val="0"/>
        <w:jc w:val="center"/>
        <w:rPr>
          <w:rFonts w:ascii="宋体" w:hAnsi="宋体" w:cs="宋体"/>
          <w:b/>
          <w:color w:val="auto"/>
          <w:spacing w:val="6"/>
          <w:sz w:val="32"/>
          <w:szCs w:val="32"/>
          <w:highlight w:val="none"/>
        </w:rPr>
      </w:pPr>
    </w:p>
    <w:p w14:paraId="33E0A0DC">
      <w:pPr>
        <w:autoSpaceDE w:val="0"/>
        <w:autoSpaceDN w:val="0"/>
        <w:jc w:val="center"/>
        <w:rPr>
          <w:rFonts w:ascii="宋体" w:hAnsi="宋体" w:cs="宋体"/>
          <w:b/>
          <w:color w:val="auto"/>
          <w:spacing w:val="6"/>
          <w:sz w:val="32"/>
          <w:szCs w:val="32"/>
          <w:highlight w:val="none"/>
        </w:rPr>
      </w:pPr>
    </w:p>
    <w:p w14:paraId="1EC1F175">
      <w:pPr>
        <w:autoSpaceDE w:val="0"/>
        <w:autoSpaceDN w:val="0"/>
        <w:jc w:val="center"/>
        <w:rPr>
          <w:rFonts w:ascii="宋体" w:hAnsi="宋体" w:cs="宋体"/>
          <w:b/>
          <w:color w:val="auto"/>
          <w:spacing w:val="6"/>
          <w:sz w:val="32"/>
          <w:szCs w:val="32"/>
          <w:highlight w:val="none"/>
        </w:rPr>
      </w:pPr>
    </w:p>
    <w:p w14:paraId="1E954BF6">
      <w:pPr>
        <w:autoSpaceDE w:val="0"/>
        <w:autoSpaceDN w:val="0"/>
        <w:jc w:val="center"/>
        <w:rPr>
          <w:rFonts w:ascii="宋体" w:hAnsi="宋体" w:cs="宋体"/>
          <w:b/>
          <w:color w:val="auto"/>
          <w:spacing w:val="6"/>
          <w:sz w:val="32"/>
          <w:szCs w:val="32"/>
          <w:highlight w:val="none"/>
        </w:rPr>
      </w:pPr>
    </w:p>
    <w:p w14:paraId="00EE3860">
      <w:pPr>
        <w:autoSpaceDE w:val="0"/>
        <w:autoSpaceDN w:val="0"/>
        <w:jc w:val="center"/>
        <w:rPr>
          <w:rFonts w:ascii="宋体" w:hAnsi="宋体" w:cs="宋体"/>
          <w:b/>
          <w:color w:val="auto"/>
          <w:spacing w:val="6"/>
          <w:sz w:val="32"/>
          <w:szCs w:val="32"/>
          <w:highlight w:val="none"/>
        </w:rPr>
      </w:pPr>
    </w:p>
    <w:p w14:paraId="46A58989">
      <w:pPr>
        <w:autoSpaceDE w:val="0"/>
        <w:autoSpaceDN w:val="0"/>
        <w:jc w:val="center"/>
        <w:rPr>
          <w:rFonts w:ascii="宋体" w:hAnsi="宋体" w:cs="宋体"/>
          <w:b/>
          <w:color w:val="auto"/>
          <w:spacing w:val="6"/>
          <w:sz w:val="32"/>
          <w:szCs w:val="32"/>
          <w:highlight w:val="none"/>
        </w:rPr>
      </w:pPr>
    </w:p>
    <w:p w14:paraId="4E244935">
      <w:pPr>
        <w:autoSpaceDE w:val="0"/>
        <w:autoSpaceDN w:val="0"/>
        <w:jc w:val="center"/>
        <w:rPr>
          <w:rFonts w:ascii="宋体" w:hAnsi="宋体" w:cs="宋体"/>
          <w:b/>
          <w:color w:val="auto"/>
          <w:spacing w:val="6"/>
          <w:sz w:val="32"/>
          <w:szCs w:val="32"/>
          <w:highlight w:val="none"/>
        </w:rPr>
      </w:pPr>
    </w:p>
    <w:p w14:paraId="701D6728">
      <w:pPr>
        <w:autoSpaceDE w:val="0"/>
        <w:autoSpaceDN w:val="0"/>
        <w:jc w:val="center"/>
        <w:rPr>
          <w:rFonts w:ascii="宋体" w:hAnsi="宋体" w:cs="宋体"/>
          <w:b/>
          <w:color w:val="auto"/>
          <w:spacing w:val="6"/>
          <w:sz w:val="32"/>
          <w:szCs w:val="32"/>
          <w:highlight w:val="none"/>
        </w:rPr>
      </w:pPr>
    </w:p>
    <w:p w14:paraId="0BBAFD95">
      <w:pPr>
        <w:autoSpaceDE w:val="0"/>
        <w:autoSpaceDN w:val="0"/>
        <w:jc w:val="center"/>
        <w:rPr>
          <w:rFonts w:ascii="宋体" w:hAnsi="宋体" w:cs="宋体"/>
          <w:b/>
          <w:color w:val="auto"/>
          <w:spacing w:val="6"/>
          <w:sz w:val="32"/>
          <w:szCs w:val="32"/>
          <w:highlight w:val="none"/>
        </w:rPr>
      </w:pPr>
    </w:p>
    <w:p w14:paraId="39AE0FF3">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24D74318">
      <w:pPr>
        <w:spacing w:line="360" w:lineRule="auto"/>
        <w:outlineLvl w:val="1"/>
        <w:rPr>
          <w:rFonts w:ascii="宋体" w:hAnsi="宋体" w:cs="宋体"/>
          <w:b/>
          <w:color w:val="auto"/>
          <w:spacing w:val="6"/>
          <w:sz w:val="24"/>
          <w:highlight w:val="none"/>
        </w:rPr>
      </w:pPr>
      <w:bookmarkStart w:id="540" w:name="_Toc29186"/>
      <w:r>
        <w:rPr>
          <w:rFonts w:hint="eastAsia" w:ascii="宋体" w:hAnsi="宋体" w:cs="宋体"/>
          <w:b/>
          <w:color w:val="auto"/>
          <w:spacing w:val="6"/>
          <w:sz w:val="24"/>
          <w:highlight w:val="none"/>
        </w:rPr>
        <w:t>附件7：</w:t>
      </w:r>
      <w:r>
        <w:rPr>
          <w:rFonts w:hint="eastAsia" w:ascii="宋体" w:hAnsi="宋体" w:cs="宋体"/>
          <w:b/>
          <w:color w:val="auto"/>
          <w:spacing w:val="6"/>
          <w:sz w:val="24"/>
          <w:highlight w:val="none"/>
          <w:lang w:val="zh-CN"/>
        </w:rPr>
        <w:t>中小企业</w:t>
      </w:r>
      <w:r>
        <w:rPr>
          <w:rFonts w:hint="eastAsia" w:ascii="宋体" w:hAnsi="宋体" w:cs="宋体"/>
          <w:b/>
          <w:color w:val="auto"/>
          <w:spacing w:val="6"/>
          <w:sz w:val="24"/>
          <w:highlight w:val="none"/>
        </w:rPr>
        <w:t>声明函</w:t>
      </w:r>
      <w:bookmarkEnd w:id="540"/>
    </w:p>
    <w:p w14:paraId="4DC489D1">
      <w:pPr>
        <w:spacing w:before="240" w:beforeLines="100"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中小企业声明函（服务）</w:t>
      </w:r>
    </w:p>
    <w:p w14:paraId="3872827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b/>
          <w:color w:val="auto"/>
          <w:kern w:val="0"/>
          <w:sz w:val="24"/>
          <w:highlight w:val="none"/>
          <w:u w:val="single"/>
          <w:lang w:eastAsia="zh-CN"/>
        </w:rPr>
        <w:t>杭州市拱墅区住房和城市建设局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lang w:eastAsia="zh-CN"/>
        </w:rPr>
        <w:t>拱墅区2025年海绵城市建设技术服务项目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w:t>
      </w:r>
      <w:r>
        <w:rPr>
          <w:rFonts w:hint="eastAsia" w:ascii="宋体" w:hAnsi="宋体" w:cs="宋体"/>
          <w:b/>
          <w:color w:val="auto"/>
          <w:kern w:val="0"/>
          <w:sz w:val="24"/>
          <w:highlight w:val="none"/>
          <w:u w:val="single"/>
        </w:rPr>
        <w:t>提供的服务全部由符合政策要求的中小企业承接</w:t>
      </w:r>
      <w:r>
        <w:rPr>
          <w:rFonts w:hint="eastAsia" w:ascii="宋体" w:hAnsi="宋体" w:cs="宋体"/>
          <w:color w:val="auto"/>
          <w:sz w:val="24"/>
          <w:highlight w:val="none"/>
        </w:rPr>
        <w:t>。相关企业（含联合体中的中小企业、签订分包意向协议的中小企业）的具体情况如下：</w:t>
      </w:r>
    </w:p>
    <w:p w14:paraId="0C9AA5E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b/>
          <w:bCs/>
          <w:color w:val="auto"/>
          <w:sz w:val="24"/>
          <w:highlight w:val="none"/>
          <w:u w:val="single"/>
          <w:lang w:eastAsia="zh-CN"/>
        </w:rPr>
        <w:t>拱墅区2025年海绵城市建设技术服务项目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其他未列明行业 </w:t>
      </w:r>
      <w:r>
        <w:rPr>
          <w:rFonts w:hint="eastAsia" w:ascii="宋体" w:hAnsi="宋体" w:cs="宋体"/>
          <w:color w:val="auto"/>
          <w:sz w:val="24"/>
          <w:highlight w:val="none"/>
        </w:rPr>
        <w:t>；承接企业为 【</w:t>
      </w:r>
      <w:r>
        <w:rPr>
          <w:rFonts w:hint="eastAsia" w:ascii="宋体" w:hAnsi="宋体" w:cs="宋体"/>
          <w:color w:val="auto"/>
          <w:sz w:val="24"/>
          <w:highlight w:val="none"/>
          <w:u w:val="single"/>
        </w:rPr>
        <w:t xml:space="preserve">（企业名称） </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三选一（</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FF46F8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lang w:eastAsia="zh-CN"/>
        </w:rPr>
        <w:t>拱墅区2025年海绵城市建设技术服务项目</w:t>
      </w:r>
      <w:r>
        <w:rPr>
          <w:rFonts w:hint="eastAsia" w:ascii="宋体" w:hAnsi="宋体" w:cs="宋体"/>
          <w:b/>
          <w:bCs/>
          <w:color w:val="auto"/>
          <w:sz w:val="24"/>
          <w:highlight w:val="none"/>
        </w:rPr>
        <w:t>，</w:t>
      </w:r>
      <w:r>
        <w:rPr>
          <w:rFonts w:hint="eastAsia" w:ascii="宋体" w:hAnsi="宋体" w:cs="宋体"/>
          <w:color w:val="auto"/>
          <w:sz w:val="24"/>
          <w:highlight w:val="none"/>
        </w:rPr>
        <w:t xml:space="preserve">属于 </w:t>
      </w:r>
      <w:r>
        <w:rPr>
          <w:rFonts w:hint="eastAsia" w:ascii="宋体" w:hAnsi="宋体" w:cs="宋体"/>
          <w:b/>
          <w:bCs/>
          <w:color w:val="auto"/>
          <w:sz w:val="24"/>
          <w:highlight w:val="none"/>
          <w:u w:val="single"/>
        </w:rPr>
        <w:t xml:space="preserve">其他未列明行业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三选一（</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108BF1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6A5BE7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7A83A4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w:t>
      </w:r>
      <w:r>
        <w:rPr>
          <w:rFonts w:hint="eastAsia" w:ascii="宋体" w:hAnsi="宋体" w:cs="宋体"/>
          <w:b/>
          <w:bCs/>
          <w:color w:val="auto"/>
          <w:sz w:val="24"/>
          <w:highlight w:val="none"/>
        </w:rPr>
        <w:t>如有虚假，将依法承担相应责任</w:t>
      </w:r>
      <w:r>
        <w:rPr>
          <w:rFonts w:hint="eastAsia" w:ascii="宋体" w:hAnsi="宋体" w:cs="宋体"/>
          <w:color w:val="auto"/>
          <w:sz w:val="24"/>
          <w:highlight w:val="none"/>
        </w:rPr>
        <w:t>。</w:t>
      </w:r>
    </w:p>
    <w:p w14:paraId="5690175B">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B9E2BD6">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935EB7A">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77074190">
      <w:pPr>
        <w:spacing w:line="360" w:lineRule="auto"/>
        <w:ind w:right="420"/>
        <w:rPr>
          <w:rFonts w:ascii="宋体" w:hAnsi="宋体" w:cs="宋体"/>
          <w:color w:val="auto"/>
          <w:sz w:val="24"/>
          <w:highlight w:val="none"/>
        </w:rPr>
      </w:pPr>
    </w:p>
    <w:p w14:paraId="2D59EE8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备注</w:t>
      </w:r>
      <w:r>
        <w:rPr>
          <w:rFonts w:hint="eastAsia" w:ascii="宋体" w:hAnsi="宋体" w:cs="宋体"/>
          <w:color w:val="auto"/>
          <w:sz w:val="24"/>
          <w:highlight w:val="none"/>
        </w:rPr>
        <w:t>：</w:t>
      </w:r>
    </w:p>
    <w:p w14:paraId="5FED24E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4EC92038">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8996CAF">
      <w:pPr>
        <w:tabs>
          <w:tab w:val="left" w:pos="432"/>
        </w:tabs>
        <w:rPr>
          <w:rFonts w:ascii="宋体" w:hAnsi="宋体" w:cs="宋体"/>
          <w:color w:val="auto"/>
          <w:highlight w:val="none"/>
        </w:rPr>
      </w:pPr>
    </w:p>
    <w:p w14:paraId="4A82E01F">
      <w:pPr>
        <w:rPr>
          <w:rFonts w:ascii="宋体" w:hAnsi="宋体" w:cs="宋体"/>
          <w:color w:val="auto"/>
          <w:highlight w:val="none"/>
        </w:rPr>
      </w:pPr>
      <w:r>
        <w:rPr>
          <w:rFonts w:ascii="宋体" w:hAnsi="宋体" w:cs="宋体"/>
          <w:color w:val="auto"/>
          <w:highlight w:val="none"/>
        </w:rPr>
        <w:br w:type="page"/>
      </w:r>
    </w:p>
    <w:p w14:paraId="15BFB86E">
      <w:pPr>
        <w:spacing w:line="360" w:lineRule="auto"/>
        <w:outlineLvl w:val="1"/>
        <w:rPr>
          <w:rFonts w:ascii="宋体" w:hAnsi="宋体" w:cs="宋体"/>
          <w:b/>
          <w:color w:val="auto"/>
          <w:spacing w:val="6"/>
          <w:sz w:val="24"/>
          <w:highlight w:val="none"/>
        </w:rPr>
      </w:pPr>
      <w:bookmarkStart w:id="541" w:name="_Toc29800"/>
      <w:r>
        <w:rPr>
          <w:rFonts w:hint="eastAsia" w:ascii="宋体" w:hAnsi="宋体" w:cs="宋体"/>
          <w:b/>
          <w:color w:val="auto"/>
          <w:spacing w:val="6"/>
          <w:sz w:val="24"/>
          <w:highlight w:val="none"/>
        </w:rPr>
        <w:t>附件8：政府采购支持中小企业信用融资相关事项通知</w:t>
      </w:r>
      <w:bookmarkEnd w:id="541"/>
    </w:p>
    <w:p w14:paraId="491FB5F4">
      <w:pPr>
        <w:spacing w:before="240" w:beforeLines="100"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政府采购支持中小企业信用融资相关事项通知</w:t>
      </w:r>
    </w:p>
    <w:p w14:paraId="7E30758B">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14:paraId="68069C75">
      <w:pPr>
        <w:spacing w:line="360" w:lineRule="auto"/>
        <w:ind w:firstLine="426" w:firstLineChars="177"/>
        <w:rPr>
          <w:rFonts w:ascii="宋体" w:hAnsi="宋体" w:cs="宋体"/>
          <w:b/>
          <w:color w:val="auto"/>
          <w:sz w:val="24"/>
          <w:highlight w:val="none"/>
        </w:rPr>
      </w:pPr>
      <w:r>
        <w:rPr>
          <w:rFonts w:hint="eastAsia" w:ascii="宋体" w:hAnsi="宋体" w:cs="宋体"/>
          <w:b/>
          <w:color w:val="auto"/>
          <w:sz w:val="24"/>
          <w:highlight w:val="none"/>
        </w:rPr>
        <w:t>一、适用对象</w:t>
      </w:r>
    </w:p>
    <w:p w14:paraId="5E1B610D">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凡已在浙江政府采购网上注册入库，并取得杭州市政府采购合同的中小企业供应商（以下简称“供应商”），均可申请政府采购信用融资。</w:t>
      </w:r>
    </w:p>
    <w:p w14:paraId="3BA589F5">
      <w:pPr>
        <w:spacing w:line="360" w:lineRule="auto"/>
        <w:ind w:firstLine="426" w:firstLineChars="177"/>
        <w:rPr>
          <w:rFonts w:ascii="宋体" w:hAnsi="宋体" w:cs="宋体"/>
          <w:b/>
          <w:color w:val="auto"/>
          <w:sz w:val="24"/>
          <w:highlight w:val="none"/>
        </w:rPr>
      </w:pPr>
      <w:r>
        <w:rPr>
          <w:rFonts w:hint="eastAsia" w:ascii="宋体" w:hAnsi="宋体" w:cs="宋体"/>
          <w:b/>
          <w:color w:val="auto"/>
          <w:sz w:val="24"/>
          <w:highlight w:val="none"/>
        </w:rPr>
        <w:t>二、相关信息获取方式</w:t>
      </w:r>
    </w:p>
    <w:p w14:paraId="4C531D66">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F70AB3B">
      <w:pPr>
        <w:spacing w:line="360" w:lineRule="auto"/>
        <w:ind w:firstLine="426" w:firstLineChars="177"/>
        <w:rPr>
          <w:rFonts w:ascii="宋体" w:hAnsi="宋体" w:cs="宋体"/>
          <w:b/>
          <w:color w:val="auto"/>
          <w:sz w:val="24"/>
          <w:highlight w:val="none"/>
        </w:rPr>
      </w:pPr>
      <w:r>
        <w:rPr>
          <w:rFonts w:hint="eastAsia" w:ascii="宋体" w:hAnsi="宋体" w:cs="宋体"/>
          <w:b/>
          <w:color w:val="auto"/>
          <w:sz w:val="24"/>
          <w:highlight w:val="none"/>
        </w:rPr>
        <w:t>三、政府采购信用融资操作流程</w:t>
      </w:r>
    </w:p>
    <w:p w14:paraId="60CF5738">
      <w:pPr>
        <w:spacing w:line="360" w:lineRule="auto"/>
        <w:ind w:firstLine="426" w:firstLineChars="177"/>
        <w:rPr>
          <w:rFonts w:ascii="宋体" w:hAnsi="宋体" w:cs="宋体"/>
          <w:b/>
          <w:color w:val="auto"/>
          <w:sz w:val="24"/>
          <w:highlight w:val="none"/>
        </w:rPr>
      </w:pPr>
      <w:r>
        <w:rPr>
          <w:rFonts w:hint="eastAsia" w:ascii="宋体" w:hAnsi="宋体" w:cs="宋体"/>
          <w:b/>
          <w:color w:val="auto"/>
          <w:sz w:val="24"/>
          <w:highlight w:val="none"/>
        </w:rPr>
        <w:t>（一）线上融资模式：</w:t>
      </w:r>
    </w:p>
    <w:p w14:paraId="141740BF">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1.供应商根据合作银行提供的方案，自行选择金融产品，并办理开户等手续；</w:t>
      </w:r>
    </w:p>
    <w:p w14:paraId="1296A134">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2.供应商中标后，可通过杭州市政府采购网或“浙里办”测算授信额度；</w:t>
      </w:r>
    </w:p>
    <w:p w14:paraId="1ACB26CC">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3.采购合同签订后，供应商在杭州市政府采购网或“浙里办”向合作银行发出融资申请；</w:t>
      </w:r>
    </w:p>
    <w:p w14:paraId="2DB5BCE3">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4.审批通过后，在线办理放贷手续。</w:t>
      </w:r>
    </w:p>
    <w:p w14:paraId="2D2C25A9">
      <w:pPr>
        <w:spacing w:line="360" w:lineRule="auto"/>
        <w:ind w:firstLine="426" w:firstLineChars="177"/>
        <w:rPr>
          <w:rFonts w:ascii="宋体" w:hAnsi="宋体" w:cs="宋体"/>
          <w:b/>
          <w:color w:val="auto"/>
          <w:sz w:val="24"/>
          <w:highlight w:val="none"/>
        </w:rPr>
      </w:pPr>
      <w:r>
        <w:rPr>
          <w:rFonts w:hint="eastAsia" w:ascii="宋体" w:hAnsi="宋体" w:cs="宋体"/>
          <w:b/>
          <w:color w:val="auto"/>
          <w:sz w:val="24"/>
          <w:highlight w:val="none"/>
        </w:rPr>
        <w:t>（二）线下融资模式：</w:t>
      </w:r>
    </w:p>
    <w:p w14:paraId="2F9667AD">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1.供应商根据合作银行提供的方案，自行选择金融产品，向合作银行提出信用资格预审，并办理开户等手续；</w:t>
      </w:r>
    </w:p>
    <w:p w14:paraId="5F8E249E">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2.采购合同签订后，供应商在杭州市政府采购网或“浙里办”向合作银行发出融资申请；</w:t>
      </w:r>
    </w:p>
    <w:p w14:paraId="7644D8A9">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3.合作银行在信用融资模块受理申请后，供应商提供审批材料。合作银行应对申请信用融资的供应商及备案的政府采购合同信息进行核对和审查；</w:t>
      </w:r>
    </w:p>
    <w:p w14:paraId="7AE039C2">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4.审批通过后，合作银行应按照合作备忘录中约定的审批放款期限和优惠利率及时予以放款。</w:t>
      </w:r>
    </w:p>
    <w:p w14:paraId="3E918ECB">
      <w:pPr>
        <w:spacing w:line="360" w:lineRule="auto"/>
        <w:ind w:firstLine="426" w:firstLineChars="177"/>
        <w:rPr>
          <w:rFonts w:ascii="宋体" w:hAnsi="宋体" w:cs="宋体"/>
          <w:b/>
          <w:color w:val="auto"/>
          <w:sz w:val="24"/>
          <w:highlight w:val="none"/>
        </w:rPr>
      </w:pPr>
      <w:r>
        <w:rPr>
          <w:rFonts w:hint="eastAsia" w:ascii="宋体" w:hAnsi="宋体" w:cs="宋体"/>
          <w:b/>
          <w:color w:val="auto"/>
          <w:sz w:val="24"/>
          <w:highlight w:val="none"/>
        </w:rPr>
        <w:t>（三）杭州e融平台申请融资</w:t>
      </w:r>
    </w:p>
    <w:p w14:paraId="3E9453EA">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供应商通过杭州e融平台政采贷专区，自行选择金融产品，按规定手续办理贷款流程。</w:t>
      </w:r>
    </w:p>
    <w:p w14:paraId="1329D543">
      <w:pPr>
        <w:spacing w:line="360" w:lineRule="auto"/>
        <w:ind w:firstLine="426" w:firstLineChars="177"/>
        <w:rPr>
          <w:rFonts w:ascii="宋体" w:hAnsi="宋体" w:cs="宋体"/>
          <w:b/>
          <w:color w:val="auto"/>
          <w:sz w:val="24"/>
          <w:highlight w:val="none"/>
        </w:rPr>
      </w:pPr>
      <w:r>
        <w:rPr>
          <w:rFonts w:hint="eastAsia" w:ascii="宋体" w:hAnsi="宋体" w:cs="宋体"/>
          <w:b/>
          <w:color w:val="auto"/>
          <w:sz w:val="24"/>
          <w:highlight w:val="none"/>
        </w:rPr>
        <w:t>四、注意事项</w:t>
      </w:r>
    </w:p>
    <w:p w14:paraId="19764D1F">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（一）对拟用于信用融资的政府采购合同，供应商在签订合同时应当在合同中注明融资银行名称及账号，作为在该银行的唯一收款账号。</w:t>
      </w:r>
    </w:p>
    <w:p w14:paraId="4125A176">
      <w:pPr>
        <w:spacing w:line="360" w:lineRule="auto"/>
        <w:ind w:firstLine="424" w:firstLineChars="177"/>
        <w:rPr>
          <w:rFonts w:ascii="宋体" w:hAnsi="宋体" w:cs="宋体"/>
          <w:color w:val="auto"/>
          <w:highlight w:val="none"/>
        </w:rPr>
      </w:pPr>
      <w:r>
        <w:rPr>
          <w:rFonts w:hint="eastAsia" w:ascii="宋体" w:hAnsi="宋体" w:cs="宋体"/>
          <w:color w:val="auto"/>
          <w:sz w:val="24"/>
          <w:highlight w:val="none"/>
        </w:rPr>
        <w:t>（二）供应商弄虚作假或以伪造政府采购合同等方式违规获取政府采购信用融资，或不及时还款，或出现其他违反本办法规定情形的，按融资合同约定承担违约责任；涉嫌犯罪的，移送司法机关处理。</w:t>
      </w:r>
    </w:p>
    <w:p w14:paraId="7106DC79">
      <w:pPr>
        <w:pStyle w:val="60"/>
        <w:rPr>
          <w:color w:val="auto"/>
          <w:highlight w:val="none"/>
        </w:rPr>
      </w:pPr>
    </w:p>
    <w:p w14:paraId="4FF4233A">
      <w:pPr>
        <w:spacing w:line="360" w:lineRule="auto"/>
        <w:rPr>
          <w:rFonts w:ascii="宋体" w:hAnsi="宋体" w:cs="宋体"/>
          <w:bCs/>
          <w:color w:val="auto"/>
          <w:sz w:val="24"/>
          <w:highlight w:val="none"/>
        </w:rPr>
      </w:pPr>
    </w:p>
    <w:sectPr>
      <w:headerReference r:id="rId20" w:type="first"/>
      <w:footerReference r:id="rId23" w:type="first"/>
      <w:headerReference r:id="rId19" w:type="default"/>
      <w:footerReference r:id="rId21" w:type="default"/>
      <w:footerReference r:id="rId22" w:type="even"/>
      <w:pgSz w:w="11905" w:h="16838"/>
      <w:pgMar w:top="1134" w:right="1417" w:bottom="1417" w:left="1417" w:header="709"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Futura Bk">
    <w:altName w:val="Arial"/>
    <w:panose1 w:val="020B0602020204020303"/>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604020202020204"/>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20B0604020202020204"/>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Arial"/>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E98DA">
    <w:pPr>
      <w:pStyle w:val="41"/>
      <w:pBdr>
        <w:top w:val="single" w:color="auto" w:sz="4" w:space="0"/>
      </w:pBdr>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FEF0E">
    <w:pPr>
      <w:pStyle w:val="41"/>
      <w:framePr w:wrap="around" w:vAnchor="text" w:hAnchor="margin" w:xAlign="right" w:y="1"/>
      <w:rPr>
        <w:rStyle w:val="73"/>
      </w:rPr>
    </w:pPr>
    <w:r>
      <w:fldChar w:fldCharType="begin"/>
    </w:r>
    <w:r>
      <w:rPr>
        <w:rStyle w:val="73"/>
      </w:rPr>
      <w:instrText xml:space="preserve">PAGE  </w:instrText>
    </w:r>
    <w:r>
      <w:fldChar w:fldCharType="end"/>
    </w:r>
  </w:p>
  <w:p w14:paraId="2DD6FB48">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94CE">
    <w:pPr>
      <w:pStyle w:val="41"/>
      <w:pBdr>
        <w:top w:val="single" w:color="auto" w:sz="4" w:space="0"/>
      </w:pBdr>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bookmarkStart w:id="542" w:name="_Toc131845147"/>
    <w:bookmarkStart w:id="543" w:name="_Toc91899912"/>
    <w:bookmarkStart w:id="544" w:name="_Toc164085800"/>
    <w:bookmarkStart w:id="545" w:name="_Toc36110187"/>
    <w:r>
      <w:rPr>
        <w:rFonts w:hint="eastAsia" w:ascii="仿宋_GB2312" w:eastAsia="仿宋_GB2312"/>
        <w:kern w:val="0"/>
        <w:szCs w:val="21"/>
      </w:rPr>
      <w:t xml:space="preserve"> 页</w:t>
    </w:r>
    <w:bookmarkEnd w:id="542"/>
    <w:bookmarkEnd w:id="543"/>
    <w:bookmarkEnd w:id="544"/>
    <w:bookmarkEnd w:id="54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3A352">
    <w:pPr>
      <w:pStyle w:val="41"/>
      <w:framePr w:wrap="around" w:vAnchor="text" w:hAnchor="margin" w:xAlign="right" w:y="1"/>
      <w:rPr>
        <w:rStyle w:val="73"/>
      </w:rPr>
    </w:pPr>
    <w:r>
      <w:fldChar w:fldCharType="begin"/>
    </w:r>
    <w:r>
      <w:rPr>
        <w:rStyle w:val="73"/>
      </w:rPr>
      <w:instrText xml:space="preserve">PAGE  </w:instrText>
    </w:r>
    <w:r>
      <w:fldChar w:fldCharType="end"/>
    </w:r>
  </w:p>
  <w:p w14:paraId="50153A56">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E409E">
    <w:pPr>
      <w:pStyle w:val="41"/>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6EC9C">
    <w:pPr>
      <w:pStyle w:val="41"/>
      <w:pBdr>
        <w:top w:val="single" w:color="auto" w:sz="4" w:space="0"/>
      </w:pBdr>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35888">
    <w:pPr>
      <w:pStyle w:val="41"/>
      <w:pBdr>
        <w:top w:val="single" w:color="auto" w:sz="4" w:space="0"/>
      </w:pBdr>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D322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w:t>
    </w:r>
  </w:p>
  <w:p w14:paraId="7909E05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61DAF">
    <w:pPr>
      <w:pStyle w:val="41"/>
      <w:pBdr>
        <w:top w:val="single" w:color="auto" w:sz="4" w:space="0"/>
      </w:pBdr>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A7D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4F0110C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7DACB">
    <w:pPr>
      <w:pStyle w:val="41"/>
      <w:pBdr>
        <w:top w:val="single" w:color="auto" w:sz="4" w:space="0"/>
      </w:pBdr>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99454">
    <w:pPr>
      <w:pStyle w:val="42"/>
      <w:pBdr>
        <w:bottom w:val="single" w:color="auto" w:sz="6" w:space="4"/>
      </w:pBdr>
      <w:jc w:val="right"/>
    </w:pPr>
    <w:r>
      <w:t></w:t>
    </w:r>
    <w:r>
      <w:rPr>
        <w:rFonts w:hint="eastAsia"/>
      </w:rPr>
      <w:t xml:space="preserve">             </w:t>
    </w:r>
    <w:r>
      <w:t>杭州市政府采购公开</w:t>
    </w:r>
    <w:r>
      <w:rPr>
        <w:rFonts w:hint="eastAsia"/>
      </w:rPr>
      <w:t>采购文件</w:t>
    </w:r>
  </w:p>
  <w:p w14:paraId="1D9E98B8">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94FDD">
    <w:pPr>
      <w:pStyle w:val="42"/>
    </w:pPr>
    <w:r>
      <w:t></w:t>
    </w:r>
    <w:r>
      <w:rPr>
        <w:rFonts w:hint="eastAsia"/>
      </w:rPr>
      <w:t xml:space="preserve">                                             </w:t>
    </w:r>
    <w:r>
      <w:t>杭州市政府采购公开</w:t>
    </w:r>
    <w:r>
      <w:rPr>
        <w:rFonts w:hint="eastAsia"/>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6E6B6">
    <w:pPr>
      <w:pStyle w:val="42"/>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906F1">
    <w:pPr>
      <w:pStyle w:val="42"/>
      <w:rPr>
        <w:rFonts w:ascii="仿宋_GB2312"/>
        <w:b/>
        <w:i/>
        <w:u w:val="single"/>
      </w:rPr>
    </w:pPr>
    <w:r>
      <w:t></w:t>
    </w:r>
    <w:r>
      <w:rPr>
        <w:rFonts w:hint="eastAsia"/>
      </w:rPr>
      <w:t xml:space="preserve">                                                  </w:t>
    </w:r>
    <w:r>
      <w:t xml:space="preserve">             杭州市政府采购公开</w:t>
    </w:r>
    <w:r>
      <w:rPr>
        <w:rFonts w:hint="eastAsia"/>
      </w:rPr>
      <w:t>采购文件</w:t>
    </w:r>
  </w:p>
  <w:p w14:paraId="1D1A4FB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5A033">
    <w:pPr>
      <w:pStyle w:val="42"/>
    </w:pPr>
    <w:r>
      <w:t>杭州市政府采购公开</w:t>
    </w:r>
    <w:r>
      <w:rPr>
        <w:rFonts w:hint="eastAsia"/>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8F293">
    <w:pPr>
      <w:pStyle w:val="42"/>
      <w:rPr>
        <w:rFonts w:ascii="仿宋_GB2312"/>
        <w:b/>
        <w:i/>
        <w:u w:val="single"/>
      </w:rPr>
    </w:pPr>
    <w:r>
      <w:t></w:t>
    </w:r>
    <w:r>
      <w:rPr>
        <w:rFonts w:hint="eastAsia"/>
      </w:rPr>
      <w:t xml:space="preserve">                                                  </w:t>
    </w:r>
    <w:r>
      <w:t>杭州市政府采购公开</w:t>
    </w:r>
    <w:r>
      <w:rPr>
        <w:rFonts w:hint="eastAsia"/>
      </w:rPr>
      <w:t>采购文件</w:t>
    </w:r>
  </w:p>
  <w:p w14:paraId="4296BDE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996A">
    <w:pPr>
      <w:pStyle w:val="42"/>
      <w:jc w:val="right"/>
    </w:pPr>
    <w:r>
      <w:t></w:t>
    </w:r>
    <w:r>
      <w:rPr>
        <w:rFonts w:hint="eastAsia"/>
      </w:rPr>
      <w:t xml:space="preserve">                 </w:t>
    </w:r>
    <w:r>
      <w:t xml:space="preserve">                                </w:t>
    </w:r>
    <w:r>
      <w:rPr>
        <w:rFonts w:hint="eastAsia"/>
      </w:rPr>
      <w:t xml:space="preserve">         </w:t>
    </w:r>
    <w:r>
      <w:t>杭州市政府采购公开</w:t>
    </w:r>
    <w:r>
      <w:rPr>
        <w:rFonts w:hint="eastAsia"/>
      </w:rPr>
      <w:t>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71690">
    <w:pPr>
      <w:pStyle w:val="42"/>
      <w:jc w:val="right"/>
      <w:rPr>
        <w:rFonts w:ascii="仿宋_GB2312"/>
        <w:b/>
        <w:i/>
        <w:u w:val="single"/>
      </w:rPr>
    </w:pPr>
    <w:r>
      <w:rPr>
        <w:rFonts w:hint="eastAsia"/>
      </w:rPr>
      <w:t xml:space="preserve">                                  </w:t>
    </w:r>
    <w:r>
      <w:t>杭州市政府采购公开</w:t>
    </w:r>
    <w:r>
      <w:rPr>
        <w:rFonts w:hint="eastAsia"/>
      </w:rPr>
      <w:t>采购文件</w:t>
    </w:r>
  </w:p>
  <w:p w14:paraId="5B7249D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E170B">
    <w:pPr>
      <w:pStyle w:val="42"/>
      <w:jc w:val="right"/>
    </w:pPr>
    <w:r>
      <w:t>杭州市政府采购公开</w:t>
    </w:r>
    <w:r>
      <w:rPr>
        <w:rFonts w:hint="eastAsia"/>
      </w:rPr>
      <w:t>采购文件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83432">
    <w:pPr>
      <w:pStyle w:val="42"/>
      <w:jc w:val="right"/>
      <w:rPr>
        <w:rFonts w:ascii="仿宋_GB2312"/>
        <w:b/>
        <w:i/>
        <w:iCs/>
        <w:u w:val="single"/>
      </w:rPr>
    </w:pPr>
    <w:r>
      <w:t>杭州市政府采购公开</w:t>
    </w:r>
    <w:r>
      <w:rPr>
        <w:rFonts w:hint="eastAsia"/>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66E82"/>
    <w:multiLevelType w:val="singleLevel"/>
    <w:tmpl w:val="93466E82"/>
    <w:lvl w:ilvl="0" w:tentative="0">
      <w:start w:val="2"/>
      <w:numFmt w:val="decimal"/>
      <w:suff w:val="space"/>
      <w:lvlText w:val="%1."/>
      <w:lvlJc w:val="left"/>
    </w:lvl>
  </w:abstractNum>
  <w:abstractNum w:abstractNumId="1">
    <w:nsid w:val="963AD275"/>
    <w:multiLevelType w:val="singleLevel"/>
    <w:tmpl w:val="963AD275"/>
    <w:lvl w:ilvl="0" w:tentative="0">
      <w:start w:val="1"/>
      <w:numFmt w:val="decimal"/>
      <w:suff w:val="nothing"/>
      <w:lvlText w:val="（%1）"/>
      <w:lvlJc w:val="left"/>
    </w:lvl>
  </w:abstractNum>
  <w:abstractNum w:abstractNumId="2">
    <w:nsid w:val="B0BFC9A5"/>
    <w:multiLevelType w:val="singleLevel"/>
    <w:tmpl w:val="B0BFC9A5"/>
    <w:lvl w:ilvl="0" w:tentative="0">
      <w:start w:val="1"/>
      <w:numFmt w:val="decimal"/>
      <w:suff w:val="nothing"/>
      <w:lvlText w:val="%1、"/>
      <w:lvlJc w:val="left"/>
    </w:lvl>
  </w:abstractNum>
  <w:abstractNum w:abstractNumId="3">
    <w:nsid w:val="B524ECF8"/>
    <w:multiLevelType w:val="singleLevel"/>
    <w:tmpl w:val="B524ECF8"/>
    <w:lvl w:ilvl="0" w:tentative="0">
      <w:start w:val="1"/>
      <w:numFmt w:val="decimal"/>
      <w:suff w:val="nothing"/>
      <w:lvlText w:val="（%1）"/>
      <w:lvlJc w:val="left"/>
    </w:lvl>
  </w:abstractNum>
  <w:abstractNum w:abstractNumId="4">
    <w:nsid w:val="592A6B5A"/>
    <w:multiLevelType w:val="singleLevel"/>
    <w:tmpl w:val="592A6B5A"/>
    <w:lvl w:ilvl="0" w:tentative="0">
      <w:start w:val="1"/>
      <w:numFmt w:val="decimal"/>
      <w:suff w:val="nothing"/>
      <w:lvlText w:val="（%1）"/>
      <w:lvlJc w:val="left"/>
    </w:lvl>
  </w:abstractNum>
  <w:abstractNum w:abstractNumId="5">
    <w:nsid w:val="7924CD16"/>
    <w:multiLevelType w:val="singleLevel"/>
    <w:tmpl w:val="7924CD16"/>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Zjk5OTJjMDE1YTY1MTcyODljZTQ5ZjA2MjJlNj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4AF"/>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5BA"/>
    <w:rsid w:val="00241F94"/>
    <w:rsid w:val="00242510"/>
    <w:rsid w:val="00242B3C"/>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3AD8"/>
    <w:rsid w:val="00253CC8"/>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14"/>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813"/>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05B"/>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472"/>
    <w:rsid w:val="0034257E"/>
    <w:rsid w:val="003429A1"/>
    <w:rsid w:val="003429FC"/>
    <w:rsid w:val="00343079"/>
    <w:rsid w:val="00343127"/>
    <w:rsid w:val="00343320"/>
    <w:rsid w:val="00344066"/>
    <w:rsid w:val="0034411C"/>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56D0"/>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B4F"/>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3EB0"/>
    <w:rsid w:val="005256D6"/>
    <w:rsid w:val="00525AD8"/>
    <w:rsid w:val="00526429"/>
    <w:rsid w:val="005266C1"/>
    <w:rsid w:val="005267F4"/>
    <w:rsid w:val="005269D3"/>
    <w:rsid w:val="00527317"/>
    <w:rsid w:val="00527ED6"/>
    <w:rsid w:val="0053024F"/>
    <w:rsid w:val="00531064"/>
    <w:rsid w:val="005312CB"/>
    <w:rsid w:val="005313B2"/>
    <w:rsid w:val="00531911"/>
    <w:rsid w:val="00531AB3"/>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DC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5AE3"/>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1A3"/>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935"/>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895"/>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5770"/>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A60"/>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3FA"/>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4F1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07C"/>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3848"/>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87B"/>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B790D"/>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5F07"/>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B1B"/>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74D1"/>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18C"/>
    <w:rsid w:val="00A65EFB"/>
    <w:rsid w:val="00A66E28"/>
    <w:rsid w:val="00A6707F"/>
    <w:rsid w:val="00A6710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688"/>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DB9"/>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23F"/>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B2A"/>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DB6"/>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C49"/>
    <w:rsid w:val="00BA1E2F"/>
    <w:rsid w:val="00BA1EB8"/>
    <w:rsid w:val="00BA2C82"/>
    <w:rsid w:val="00BA3869"/>
    <w:rsid w:val="00BA4399"/>
    <w:rsid w:val="00BA4452"/>
    <w:rsid w:val="00BA46C6"/>
    <w:rsid w:val="00BA4ACF"/>
    <w:rsid w:val="00BA4DB9"/>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44"/>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1E8"/>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F87"/>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1E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A5"/>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6EC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3ADD"/>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1EF"/>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C5E"/>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2E28"/>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7DC"/>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472A4"/>
    <w:rsid w:val="010651D9"/>
    <w:rsid w:val="010D442C"/>
    <w:rsid w:val="011F6449"/>
    <w:rsid w:val="01236AFB"/>
    <w:rsid w:val="01503E86"/>
    <w:rsid w:val="019F7441"/>
    <w:rsid w:val="01A93FA3"/>
    <w:rsid w:val="01B37585"/>
    <w:rsid w:val="01B841E6"/>
    <w:rsid w:val="01D55165"/>
    <w:rsid w:val="01DF6BF8"/>
    <w:rsid w:val="01EC2C57"/>
    <w:rsid w:val="01F40F97"/>
    <w:rsid w:val="02245ED1"/>
    <w:rsid w:val="02390242"/>
    <w:rsid w:val="023C6129"/>
    <w:rsid w:val="023F1C2D"/>
    <w:rsid w:val="025D4D8E"/>
    <w:rsid w:val="025F0711"/>
    <w:rsid w:val="026B2E25"/>
    <w:rsid w:val="02824D4D"/>
    <w:rsid w:val="029967D5"/>
    <w:rsid w:val="029D33DC"/>
    <w:rsid w:val="02B52540"/>
    <w:rsid w:val="02B53A58"/>
    <w:rsid w:val="02DC4B10"/>
    <w:rsid w:val="02DD76CE"/>
    <w:rsid w:val="02F36323"/>
    <w:rsid w:val="02F5619C"/>
    <w:rsid w:val="03033699"/>
    <w:rsid w:val="0326446A"/>
    <w:rsid w:val="032D5555"/>
    <w:rsid w:val="036634D2"/>
    <w:rsid w:val="036D3D7F"/>
    <w:rsid w:val="03717785"/>
    <w:rsid w:val="03936AA9"/>
    <w:rsid w:val="03DD35E4"/>
    <w:rsid w:val="04076900"/>
    <w:rsid w:val="041A5A3B"/>
    <w:rsid w:val="042311BA"/>
    <w:rsid w:val="042B157A"/>
    <w:rsid w:val="0441651A"/>
    <w:rsid w:val="04563443"/>
    <w:rsid w:val="045D14AE"/>
    <w:rsid w:val="048F763B"/>
    <w:rsid w:val="049F330E"/>
    <w:rsid w:val="04AA775C"/>
    <w:rsid w:val="04AF1889"/>
    <w:rsid w:val="04F66F48"/>
    <w:rsid w:val="05251E14"/>
    <w:rsid w:val="05A16594"/>
    <w:rsid w:val="05A30A30"/>
    <w:rsid w:val="05A7762D"/>
    <w:rsid w:val="05C173E2"/>
    <w:rsid w:val="05E7425E"/>
    <w:rsid w:val="06032AA1"/>
    <w:rsid w:val="060E5941"/>
    <w:rsid w:val="06110FAF"/>
    <w:rsid w:val="0624037E"/>
    <w:rsid w:val="06493CA7"/>
    <w:rsid w:val="065A6178"/>
    <w:rsid w:val="066F1CF3"/>
    <w:rsid w:val="06930BB8"/>
    <w:rsid w:val="069B2B5B"/>
    <w:rsid w:val="069F3BC7"/>
    <w:rsid w:val="070447E6"/>
    <w:rsid w:val="07245D42"/>
    <w:rsid w:val="07264C62"/>
    <w:rsid w:val="072929CB"/>
    <w:rsid w:val="0779354C"/>
    <w:rsid w:val="077C27CB"/>
    <w:rsid w:val="07D02598"/>
    <w:rsid w:val="07E84ACF"/>
    <w:rsid w:val="08061376"/>
    <w:rsid w:val="080A142A"/>
    <w:rsid w:val="08452D77"/>
    <w:rsid w:val="086401F8"/>
    <w:rsid w:val="08751CAA"/>
    <w:rsid w:val="087E4C40"/>
    <w:rsid w:val="08A871D0"/>
    <w:rsid w:val="08D66AD6"/>
    <w:rsid w:val="08DA33A3"/>
    <w:rsid w:val="08E80F13"/>
    <w:rsid w:val="08ED6E6B"/>
    <w:rsid w:val="09335624"/>
    <w:rsid w:val="0944690F"/>
    <w:rsid w:val="09486E48"/>
    <w:rsid w:val="094E10DB"/>
    <w:rsid w:val="09535675"/>
    <w:rsid w:val="095742E5"/>
    <w:rsid w:val="095F057D"/>
    <w:rsid w:val="09642282"/>
    <w:rsid w:val="09733572"/>
    <w:rsid w:val="09772C16"/>
    <w:rsid w:val="09825910"/>
    <w:rsid w:val="098353B5"/>
    <w:rsid w:val="09A92330"/>
    <w:rsid w:val="09AC3981"/>
    <w:rsid w:val="09B06B87"/>
    <w:rsid w:val="09C13146"/>
    <w:rsid w:val="09E013D8"/>
    <w:rsid w:val="09E04166"/>
    <w:rsid w:val="0A1C0718"/>
    <w:rsid w:val="0A261F24"/>
    <w:rsid w:val="0A3E7710"/>
    <w:rsid w:val="0A5B7E63"/>
    <w:rsid w:val="0A5C178A"/>
    <w:rsid w:val="0A656ED5"/>
    <w:rsid w:val="0AA374A5"/>
    <w:rsid w:val="0AAB7649"/>
    <w:rsid w:val="0ABC5606"/>
    <w:rsid w:val="0B051E7E"/>
    <w:rsid w:val="0B30404E"/>
    <w:rsid w:val="0B4C6C14"/>
    <w:rsid w:val="0B536D2E"/>
    <w:rsid w:val="0B547599"/>
    <w:rsid w:val="0B631A88"/>
    <w:rsid w:val="0B636FD0"/>
    <w:rsid w:val="0B683D45"/>
    <w:rsid w:val="0B7F3F11"/>
    <w:rsid w:val="0B884417"/>
    <w:rsid w:val="0B95796E"/>
    <w:rsid w:val="0B9A2CA3"/>
    <w:rsid w:val="0BB43249"/>
    <w:rsid w:val="0BF6188C"/>
    <w:rsid w:val="0BF73C91"/>
    <w:rsid w:val="0C170175"/>
    <w:rsid w:val="0C197F77"/>
    <w:rsid w:val="0C37316A"/>
    <w:rsid w:val="0C571A41"/>
    <w:rsid w:val="0C5C1171"/>
    <w:rsid w:val="0C5E1CBC"/>
    <w:rsid w:val="0C615B50"/>
    <w:rsid w:val="0C6C4485"/>
    <w:rsid w:val="0C6F11F9"/>
    <w:rsid w:val="0C8445DA"/>
    <w:rsid w:val="0C87121B"/>
    <w:rsid w:val="0CB06EE4"/>
    <w:rsid w:val="0CC007F7"/>
    <w:rsid w:val="0CC617AC"/>
    <w:rsid w:val="0CE618DF"/>
    <w:rsid w:val="0CFE707A"/>
    <w:rsid w:val="0D063BDA"/>
    <w:rsid w:val="0D08375F"/>
    <w:rsid w:val="0D184CFB"/>
    <w:rsid w:val="0D47253E"/>
    <w:rsid w:val="0D4A7419"/>
    <w:rsid w:val="0D4C27B6"/>
    <w:rsid w:val="0D827401"/>
    <w:rsid w:val="0D84094E"/>
    <w:rsid w:val="0D8A00E9"/>
    <w:rsid w:val="0D8D589E"/>
    <w:rsid w:val="0DA01C73"/>
    <w:rsid w:val="0DAB37C5"/>
    <w:rsid w:val="0DD617CD"/>
    <w:rsid w:val="0DD63300"/>
    <w:rsid w:val="0DF50604"/>
    <w:rsid w:val="0DF702FE"/>
    <w:rsid w:val="0DFC36AD"/>
    <w:rsid w:val="0E060E51"/>
    <w:rsid w:val="0E5604B2"/>
    <w:rsid w:val="0E5A4E62"/>
    <w:rsid w:val="0E6D5D79"/>
    <w:rsid w:val="0E7A1DC9"/>
    <w:rsid w:val="0E9D0089"/>
    <w:rsid w:val="0EB54244"/>
    <w:rsid w:val="0EB803EE"/>
    <w:rsid w:val="0EC3241C"/>
    <w:rsid w:val="0EF94D4B"/>
    <w:rsid w:val="0F1B7B63"/>
    <w:rsid w:val="0F4958DC"/>
    <w:rsid w:val="0F515DF7"/>
    <w:rsid w:val="0F596BA8"/>
    <w:rsid w:val="0F6248D2"/>
    <w:rsid w:val="0F646B34"/>
    <w:rsid w:val="0F693536"/>
    <w:rsid w:val="0F7539AF"/>
    <w:rsid w:val="0F7B0511"/>
    <w:rsid w:val="0F7B76D9"/>
    <w:rsid w:val="0F816ACD"/>
    <w:rsid w:val="0F9832DB"/>
    <w:rsid w:val="0FA027C1"/>
    <w:rsid w:val="0FB57DFE"/>
    <w:rsid w:val="0FBF3FD2"/>
    <w:rsid w:val="0FBF7FF3"/>
    <w:rsid w:val="10293A8F"/>
    <w:rsid w:val="10443D41"/>
    <w:rsid w:val="10646583"/>
    <w:rsid w:val="10771710"/>
    <w:rsid w:val="107D4B15"/>
    <w:rsid w:val="108A3C80"/>
    <w:rsid w:val="1091064D"/>
    <w:rsid w:val="10C26171"/>
    <w:rsid w:val="10F33360"/>
    <w:rsid w:val="10F36003"/>
    <w:rsid w:val="10FC16EA"/>
    <w:rsid w:val="110F1D40"/>
    <w:rsid w:val="110F5540"/>
    <w:rsid w:val="11113DCB"/>
    <w:rsid w:val="11266F33"/>
    <w:rsid w:val="113818F0"/>
    <w:rsid w:val="116E020B"/>
    <w:rsid w:val="118963A1"/>
    <w:rsid w:val="11C2338F"/>
    <w:rsid w:val="11C6522A"/>
    <w:rsid w:val="11C664AC"/>
    <w:rsid w:val="11E104CC"/>
    <w:rsid w:val="11E20309"/>
    <w:rsid w:val="11FE4ADE"/>
    <w:rsid w:val="121327AA"/>
    <w:rsid w:val="12255233"/>
    <w:rsid w:val="124B7181"/>
    <w:rsid w:val="12530213"/>
    <w:rsid w:val="127723A9"/>
    <w:rsid w:val="12794C71"/>
    <w:rsid w:val="12862074"/>
    <w:rsid w:val="12883966"/>
    <w:rsid w:val="129C57C0"/>
    <w:rsid w:val="129E45B4"/>
    <w:rsid w:val="12AB07CB"/>
    <w:rsid w:val="12AE3BA0"/>
    <w:rsid w:val="12BA7A8D"/>
    <w:rsid w:val="12D60169"/>
    <w:rsid w:val="12D81596"/>
    <w:rsid w:val="13024973"/>
    <w:rsid w:val="13072A44"/>
    <w:rsid w:val="1319216C"/>
    <w:rsid w:val="133301A1"/>
    <w:rsid w:val="135D042D"/>
    <w:rsid w:val="135F4BE2"/>
    <w:rsid w:val="13707342"/>
    <w:rsid w:val="13820404"/>
    <w:rsid w:val="139B1A0A"/>
    <w:rsid w:val="139D25C7"/>
    <w:rsid w:val="13A32776"/>
    <w:rsid w:val="13BF3CE4"/>
    <w:rsid w:val="13FE023D"/>
    <w:rsid w:val="140314BF"/>
    <w:rsid w:val="141008D8"/>
    <w:rsid w:val="14125FE6"/>
    <w:rsid w:val="146D271E"/>
    <w:rsid w:val="147B758D"/>
    <w:rsid w:val="14982588"/>
    <w:rsid w:val="149A5AD9"/>
    <w:rsid w:val="149F6AB5"/>
    <w:rsid w:val="14A7619D"/>
    <w:rsid w:val="14E3669A"/>
    <w:rsid w:val="14EE644B"/>
    <w:rsid w:val="150536C3"/>
    <w:rsid w:val="150C1963"/>
    <w:rsid w:val="151447A0"/>
    <w:rsid w:val="152651E4"/>
    <w:rsid w:val="154A6454"/>
    <w:rsid w:val="15761F97"/>
    <w:rsid w:val="15762120"/>
    <w:rsid w:val="1585182D"/>
    <w:rsid w:val="159468C1"/>
    <w:rsid w:val="15AA7221"/>
    <w:rsid w:val="15B01759"/>
    <w:rsid w:val="15CD3545"/>
    <w:rsid w:val="15FB249C"/>
    <w:rsid w:val="162858ED"/>
    <w:rsid w:val="16395B29"/>
    <w:rsid w:val="167849FE"/>
    <w:rsid w:val="16A8729C"/>
    <w:rsid w:val="16B33777"/>
    <w:rsid w:val="16BC70A7"/>
    <w:rsid w:val="16C6339E"/>
    <w:rsid w:val="16C904D0"/>
    <w:rsid w:val="16E71FC1"/>
    <w:rsid w:val="172F2D79"/>
    <w:rsid w:val="17557BEF"/>
    <w:rsid w:val="17A13EBA"/>
    <w:rsid w:val="17C718F9"/>
    <w:rsid w:val="17D349C1"/>
    <w:rsid w:val="17FF64B2"/>
    <w:rsid w:val="182932F0"/>
    <w:rsid w:val="1830729E"/>
    <w:rsid w:val="18371374"/>
    <w:rsid w:val="185F5CC0"/>
    <w:rsid w:val="1870062C"/>
    <w:rsid w:val="18817102"/>
    <w:rsid w:val="18830A15"/>
    <w:rsid w:val="18852B28"/>
    <w:rsid w:val="188B5321"/>
    <w:rsid w:val="189425C6"/>
    <w:rsid w:val="18C13529"/>
    <w:rsid w:val="18C80D5B"/>
    <w:rsid w:val="18D57666"/>
    <w:rsid w:val="191E2412"/>
    <w:rsid w:val="1927738E"/>
    <w:rsid w:val="195856AA"/>
    <w:rsid w:val="195A7388"/>
    <w:rsid w:val="195D42D9"/>
    <w:rsid w:val="19932372"/>
    <w:rsid w:val="19A20DD5"/>
    <w:rsid w:val="19AE03F1"/>
    <w:rsid w:val="19F65454"/>
    <w:rsid w:val="1A071A03"/>
    <w:rsid w:val="1A11102A"/>
    <w:rsid w:val="1A152D2E"/>
    <w:rsid w:val="1A1F16AE"/>
    <w:rsid w:val="1A36719B"/>
    <w:rsid w:val="1A3B5C77"/>
    <w:rsid w:val="1A646EEB"/>
    <w:rsid w:val="1A984BAD"/>
    <w:rsid w:val="1AB8220E"/>
    <w:rsid w:val="1AE4166C"/>
    <w:rsid w:val="1AF06CFB"/>
    <w:rsid w:val="1AF11B8D"/>
    <w:rsid w:val="1AF334FD"/>
    <w:rsid w:val="1B11359C"/>
    <w:rsid w:val="1B27566B"/>
    <w:rsid w:val="1B2A271F"/>
    <w:rsid w:val="1B2D5E3E"/>
    <w:rsid w:val="1B3665DF"/>
    <w:rsid w:val="1B48001A"/>
    <w:rsid w:val="1B530544"/>
    <w:rsid w:val="1B53331E"/>
    <w:rsid w:val="1B685842"/>
    <w:rsid w:val="1B713184"/>
    <w:rsid w:val="1B9A52D6"/>
    <w:rsid w:val="1BA209CF"/>
    <w:rsid w:val="1BB4777D"/>
    <w:rsid w:val="1BBB24A7"/>
    <w:rsid w:val="1BD75AB8"/>
    <w:rsid w:val="1BFD0D1C"/>
    <w:rsid w:val="1C0459C2"/>
    <w:rsid w:val="1C1B3B4A"/>
    <w:rsid w:val="1C1E632E"/>
    <w:rsid w:val="1C330DA9"/>
    <w:rsid w:val="1C88086E"/>
    <w:rsid w:val="1CB35CE2"/>
    <w:rsid w:val="1CE7377A"/>
    <w:rsid w:val="1D1635A2"/>
    <w:rsid w:val="1D266CE1"/>
    <w:rsid w:val="1D350989"/>
    <w:rsid w:val="1D3963AF"/>
    <w:rsid w:val="1D507571"/>
    <w:rsid w:val="1D6A673C"/>
    <w:rsid w:val="1D9247AE"/>
    <w:rsid w:val="1DB567EC"/>
    <w:rsid w:val="1DBC67A0"/>
    <w:rsid w:val="1DF51A98"/>
    <w:rsid w:val="1E0C3C6C"/>
    <w:rsid w:val="1E3938C6"/>
    <w:rsid w:val="1E3D060F"/>
    <w:rsid w:val="1E3F7D2E"/>
    <w:rsid w:val="1E4134E4"/>
    <w:rsid w:val="1E5062B3"/>
    <w:rsid w:val="1E523514"/>
    <w:rsid w:val="1E714A66"/>
    <w:rsid w:val="1E7C0BAA"/>
    <w:rsid w:val="1E802593"/>
    <w:rsid w:val="1E8B6156"/>
    <w:rsid w:val="1EA2746D"/>
    <w:rsid w:val="1EA703CC"/>
    <w:rsid w:val="1EB7330C"/>
    <w:rsid w:val="1F0A0FF3"/>
    <w:rsid w:val="1F242A63"/>
    <w:rsid w:val="1F340831"/>
    <w:rsid w:val="1F53227A"/>
    <w:rsid w:val="1F5771FF"/>
    <w:rsid w:val="1F9E0AE3"/>
    <w:rsid w:val="1FC95EAD"/>
    <w:rsid w:val="1FE868A9"/>
    <w:rsid w:val="20034907"/>
    <w:rsid w:val="20173E4B"/>
    <w:rsid w:val="204E48BC"/>
    <w:rsid w:val="20613038"/>
    <w:rsid w:val="208921B3"/>
    <w:rsid w:val="20973DEB"/>
    <w:rsid w:val="20B26522"/>
    <w:rsid w:val="20B44310"/>
    <w:rsid w:val="211116EB"/>
    <w:rsid w:val="2125701E"/>
    <w:rsid w:val="214F509A"/>
    <w:rsid w:val="215533A8"/>
    <w:rsid w:val="21567D8F"/>
    <w:rsid w:val="216133FC"/>
    <w:rsid w:val="21D56769"/>
    <w:rsid w:val="21E52EF3"/>
    <w:rsid w:val="21FB5D7B"/>
    <w:rsid w:val="22015E94"/>
    <w:rsid w:val="220B1C3D"/>
    <w:rsid w:val="221D1D20"/>
    <w:rsid w:val="22293DC9"/>
    <w:rsid w:val="22334A87"/>
    <w:rsid w:val="22443B0F"/>
    <w:rsid w:val="22616A0F"/>
    <w:rsid w:val="22630065"/>
    <w:rsid w:val="2288745C"/>
    <w:rsid w:val="22A85156"/>
    <w:rsid w:val="22BE6801"/>
    <w:rsid w:val="22CA2533"/>
    <w:rsid w:val="22DB538B"/>
    <w:rsid w:val="2322301B"/>
    <w:rsid w:val="23227407"/>
    <w:rsid w:val="233500BF"/>
    <w:rsid w:val="23377FF7"/>
    <w:rsid w:val="23580F5A"/>
    <w:rsid w:val="23694EE9"/>
    <w:rsid w:val="236B425F"/>
    <w:rsid w:val="23836192"/>
    <w:rsid w:val="23901F29"/>
    <w:rsid w:val="239C0061"/>
    <w:rsid w:val="23B908A4"/>
    <w:rsid w:val="23DC7B42"/>
    <w:rsid w:val="23E95BEF"/>
    <w:rsid w:val="23E96D5B"/>
    <w:rsid w:val="23FD0064"/>
    <w:rsid w:val="245375B0"/>
    <w:rsid w:val="24642C0A"/>
    <w:rsid w:val="248270A4"/>
    <w:rsid w:val="24973176"/>
    <w:rsid w:val="24B22173"/>
    <w:rsid w:val="24B95AD9"/>
    <w:rsid w:val="24BC0CDA"/>
    <w:rsid w:val="24BE24DA"/>
    <w:rsid w:val="24CD577E"/>
    <w:rsid w:val="24CF5825"/>
    <w:rsid w:val="24D12567"/>
    <w:rsid w:val="24D663E6"/>
    <w:rsid w:val="24D77F2B"/>
    <w:rsid w:val="24DF3B9A"/>
    <w:rsid w:val="24F24C31"/>
    <w:rsid w:val="253B0B07"/>
    <w:rsid w:val="253C3C5B"/>
    <w:rsid w:val="258B00E2"/>
    <w:rsid w:val="25A917A6"/>
    <w:rsid w:val="25BE27CC"/>
    <w:rsid w:val="25C34A7B"/>
    <w:rsid w:val="25F74A5C"/>
    <w:rsid w:val="2628662C"/>
    <w:rsid w:val="262D45DE"/>
    <w:rsid w:val="26795424"/>
    <w:rsid w:val="26871DC8"/>
    <w:rsid w:val="26A53EF9"/>
    <w:rsid w:val="26A94201"/>
    <w:rsid w:val="26AC274F"/>
    <w:rsid w:val="27044A29"/>
    <w:rsid w:val="271D34C8"/>
    <w:rsid w:val="271E248E"/>
    <w:rsid w:val="27246E15"/>
    <w:rsid w:val="27247CF0"/>
    <w:rsid w:val="27315D1D"/>
    <w:rsid w:val="27433DDC"/>
    <w:rsid w:val="2746045E"/>
    <w:rsid w:val="276142BF"/>
    <w:rsid w:val="27766DDB"/>
    <w:rsid w:val="27783712"/>
    <w:rsid w:val="27907362"/>
    <w:rsid w:val="27BD1102"/>
    <w:rsid w:val="27CD35E2"/>
    <w:rsid w:val="27D3710D"/>
    <w:rsid w:val="28333E1D"/>
    <w:rsid w:val="28454BD6"/>
    <w:rsid w:val="28455253"/>
    <w:rsid w:val="28551971"/>
    <w:rsid w:val="285B1C53"/>
    <w:rsid w:val="28660705"/>
    <w:rsid w:val="289F7086"/>
    <w:rsid w:val="28AF1357"/>
    <w:rsid w:val="28C32028"/>
    <w:rsid w:val="28CA1C5A"/>
    <w:rsid w:val="28CC490F"/>
    <w:rsid w:val="28DE40AA"/>
    <w:rsid w:val="28EC6DD2"/>
    <w:rsid w:val="29227338"/>
    <w:rsid w:val="29345E77"/>
    <w:rsid w:val="294C65AD"/>
    <w:rsid w:val="29806583"/>
    <w:rsid w:val="298B3C4C"/>
    <w:rsid w:val="299633EB"/>
    <w:rsid w:val="29982E07"/>
    <w:rsid w:val="29C31607"/>
    <w:rsid w:val="29C77970"/>
    <w:rsid w:val="29EC6DAD"/>
    <w:rsid w:val="29F26D24"/>
    <w:rsid w:val="2A15033F"/>
    <w:rsid w:val="2A1662C1"/>
    <w:rsid w:val="2A1C7367"/>
    <w:rsid w:val="2A2815FA"/>
    <w:rsid w:val="2A377AEF"/>
    <w:rsid w:val="2A6D6092"/>
    <w:rsid w:val="2A723395"/>
    <w:rsid w:val="2A7D76B4"/>
    <w:rsid w:val="2A9A1CDE"/>
    <w:rsid w:val="2AAC10E7"/>
    <w:rsid w:val="2AB8479E"/>
    <w:rsid w:val="2B0628CA"/>
    <w:rsid w:val="2B2A1F49"/>
    <w:rsid w:val="2B3047DA"/>
    <w:rsid w:val="2B437463"/>
    <w:rsid w:val="2B4C06B6"/>
    <w:rsid w:val="2B7807EE"/>
    <w:rsid w:val="2B78210B"/>
    <w:rsid w:val="2B7A739C"/>
    <w:rsid w:val="2B810700"/>
    <w:rsid w:val="2B99227F"/>
    <w:rsid w:val="2BA50BF7"/>
    <w:rsid w:val="2BAD07CB"/>
    <w:rsid w:val="2BBE1B4A"/>
    <w:rsid w:val="2BBF00EC"/>
    <w:rsid w:val="2BC37CFD"/>
    <w:rsid w:val="2BD5237F"/>
    <w:rsid w:val="2BE536CE"/>
    <w:rsid w:val="2BE758D9"/>
    <w:rsid w:val="2C056D28"/>
    <w:rsid w:val="2C09049E"/>
    <w:rsid w:val="2C0A653C"/>
    <w:rsid w:val="2C191F85"/>
    <w:rsid w:val="2C4F1579"/>
    <w:rsid w:val="2C816901"/>
    <w:rsid w:val="2C9652DC"/>
    <w:rsid w:val="2CB42F7D"/>
    <w:rsid w:val="2CB924F4"/>
    <w:rsid w:val="2CBC6013"/>
    <w:rsid w:val="2CE82D6F"/>
    <w:rsid w:val="2CF900D5"/>
    <w:rsid w:val="2CF94CF8"/>
    <w:rsid w:val="2D343236"/>
    <w:rsid w:val="2D4865F7"/>
    <w:rsid w:val="2D7A6297"/>
    <w:rsid w:val="2D8F7C42"/>
    <w:rsid w:val="2DB51F36"/>
    <w:rsid w:val="2DD15014"/>
    <w:rsid w:val="2DEE1DD2"/>
    <w:rsid w:val="2DF72DE4"/>
    <w:rsid w:val="2E0220AF"/>
    <w:rsid w:val="2E177BEC"/>
    <w:rsid w:val="2E350698"/>
    <w:rsid w:val="2E3A1E09"/>
    <w:rsid w:val="2E4B082A"/>
    <w:rsid w:val="2E5D4E86"/>
    <w:rsid w:val="2E5D790B"/>
    <w:rsid w:val="2E647DF6"/>
    <w:rsid w:val="2E690493"/>
    <w:rsid w:val="2E9A3C18"/>
    <w:rsid w:val="2EA029BB"/>
    <w:rsid w:val="2EAA2347"/>
    <w:rsid w:val="2EBA2574"/>
    <w:rsid w:val="2EBB0FEE"/>
    <w:rsid w:val="2EC63002"/>
    <w:rsid w:val="2F0A6B38"/>
    <w:rsid w:val="2F174624"/>
    <w:rsid w:val="2F946CCB"/>
    <w:rsid w:val="2FCE5A81"/>
    <w:rsid w:val="2FD25781"/>
    <w:rsid w:val="2FDC745C"/>
    <w:rsid w:val="2FF33A18"/>
    <w:rsid w:val="2FFD7934"/>
    <w:rsid w:val="300E1EEE"/>
    <w:rsid w:val="30226921"/>
    <w:rsid w:val="303548B7"/>
    <w:rsid w:val="30733ACD"/>
    <w:rsid w:val="307A24E3"/>
    <w:rsid w:val="30870B75"/>
    <w:rsid w:val="308C3862"/>
    <w:rsid w:val="309379D8"/>
    <w:rsid w:val="3099520B"/>
    <w:rsid w:val="30A270F7"/>
    <w:rsid w:val="30B729D6"/>
    <w:rsid w:val="30C418AA"/>
    <w:rsid w:val="30DF1478"/>
    <w:rsid w:val="30EC586F"/>
    <w:rsid w:val="30F416E4"/>
    <w:rsid w:val="31012C04"/>
    <w:rsid w:val="312124B6"/>
    <w:rsid w:val="31725742"/>
    <w:rsid w:val="319C6071"/>
    <w:rsid w:val="31AC537E"/>
    <w:rsid w:val="31C6754D"/>
    <w:rsid w:val="31E3679B"/>
    <w:rsid w:val="31E732FD"/>
    <w:rsid w:val="324D000F"/>
    <w:rsid w:val="32517576"/>
    <w:rsid w:val="325219DF"/>
    <w:rsid w:val="32B0130E"/>
    <w:rsid w:val="32BE5C2C"/>
    <w:rsid w:val="32E71C05"/>
    <w:rsid w:val="32F968EB"/>
    <w:rsid w:val="32FB6478"/>
    <w:rsid w:val="330908B5"/>
    <w:rsid w:val="33263B3F"/>
    <w:rsid w:val="33612F3B"/>
    <w:rsid w:val="336963EB"/>
    <w:rsid w:val="33816EEB"/>
    <w:rsid w:val="33BC3947"/>
    <w:rsid w:val="33EB55CD"/>
    <w:rsid w:val="33EB72E6"/>
    <w:rsid w:val="33EC4C02"/>
    <w:rsid w:val="33F53630"/>
    <w:rsid w:val="340D2360"/>
    <w:rsid w:val="3410665D"/>
    <w:rsid w:val="34211214"/>
    <w:rsid w:val="342E63AB"/>
    <w:rsid w:val="34950E68"/>
    <w:rsid w:val="34986E94"/>
    <w:rsid w:val="34992EAA"/>
    <w:rsid w:val="34AF62C9"/>
    <w:rsid w:val="34CB4388"/>
    <w:rsid w:val="34D34276"/>
    <w:rsid w:val="34F743E6"/>
    <w:rsid w:val="34FA6E12"/>
    <w:rsid w:val="354D7158"/>
    <w:rsid w:val="35653EF6"/>
    <w:rsid w:val="358219D8"/>
    <w:rsid w:val="358D5588"/>
    <w:rsid w:val="361B2A2D"/>
    <w:rsid w:val="362A0702"/>
    <w:rsid w:val="363A3B40"/>
    <w:rsid w:val="365302AE"/>
    <w:rsid w:val="36607A0A"/>
    <w:rsid w:val="36621AC7"/>
    <w:rsid w:val="366E227C"/>
    <w:rsid w:val="366F2E0D"/>
    <w:rsid w:val="367B0232"/>
    <w:rsid w:val="367B6A5C"/>
    <w:rsid w:val="36822270"/>
    <w:rsid w:val="36A74ADA"/>
    <w:rsid w:val="36AD60D5"/>
    <w:rsid w:val="36B224F9"/>
    <w:rsid w:val="36D46DFD"/>
    <w:rsid w:val="36E054E1"/>
    <w:rsid w:val="36EC0CC9"/>
    <w:rsid w:val="373F410B"/>
    <w:rsid w:val="374117CD"/>
    <w:rsid w:val="375816BF"/>
    <w:rsid w:val="376A1727"/>
    <w:rsid w:val="37824373"/>
    <w:rsid w:val="37AE65FB"/>
    <w:rsid w:val="37B76022"/>
    <w:rsid w:val="37BC5AD7"/>
    <w:rsid w:val="37CC0033"/>
    <w:rsid w:val="37EE7094"/>
    <w:rsid w:val="37F6376E"/>
    <w:rsid w:val="380B4515"/>
    <w:rsid w:val="38296C89"/>
    <w:rsid w:val="383002EB"/>
    <w:rsid w:val="38586797"/>
    <w:rsid w:val="38B642D4"/>
    <w:rsid w:val="38BC0149"/>
    <w:rsid w:val="38CC7F9C"/>
    <w:rsid w:val="38D52E43"/>
    <w:rsid w:val="38D87D1C"/>
    <w:rsid w:val="38DD32BF"/>
    <w:rsid w:val="38EA6BBB"/>
    <w:rsid w:val="38F31416"/>
    <w:rsid w:val="39562BD0"/>
    <w:rsid w:val="39636459"/>
    <w:rsid w:val="396B7F6C"/>
    <w:rsid w:val="396E2E01"/>
    <w:rsid w:val="397B287A"/>
    <w:rsid w:val="39AA5D1E"/>
    <w:rsid w:val="39AE1450"/>
    <w:rsid w:val="39B417A9"/>
    <w:rsid w:val="39D43588"/>
    <w:rsid w:val="39FC5695"/>
    <w:rsid w:val="3A006D8E"/>
    <w:rsid w:val="3A3071BE"/>
    <w:rsid w:val="3A3651E5"/>
    <w:rsid w:val="3A4356F7"/>
    <w:rsid w:val="3A4C7383"/>
    <w:rsid w:val="3A5B278C"/>
    <w:rsid w:val="3A6A7A6C"/>
    <w:rsid w:val="3A744481"/>
    <w:rsid w:val="3A8C7BEF"/>
    <w:rsid w:val="3A906246"/>
    <w:rsid w:val="3A93139A"/>
    <w:rsid w:val="3AA7427C"/>
    <w:rsid w:val="3AED3C88"/>
    <w:rsid w:val="3B1D063B"/>
    <w:rsid w:val="3B2349B7"/>
    <w:rsid w:val="3B616CFF"/>
    <w:rsid w:val="3B6259F6"/>
    <w:rsid w:val="3B976654"/>
    <w:rsid w:val="3B9D182F"/>
    <w:rsid w:val="3BC01EFC"/>
    <w:rsid w:val="3BC0794E"/>
    <w:rsid w:val="3BCA786A"/>
    <w:rsid w:val="3BD31E2F"/>
    <w:rsid w:val="3BE178BA"/>
    <w:rsid w:val="3BF15831"/>
    <w:rsid w:val="3C0F14C6"/>
    <w:rsid w:val="3C105946"/>
    <w:rsid w:val="3C471448"/>
    <w:rsid w:val="3C5F759A"/>
    <w:rsid w:val="3C6278E4"/>
    <w:rsid w:val="3C6C525A"/>
    <w:rsid w:val="3C813580"/>
    <w:rsid w:val="3CBA010B"/>
    <w:rsid w:val="3CC15E89"/>
    <w:rsid w:val="3CC503F6"/>
    <w:rsid w:val="3CC72F54"/>
    <w:rsid w:val="3CCE23CB"/>
    <w:rsid w:val="3CD17D17"/>
    <w:rsid w:val="3D1360DB"/>
    <w:rsid w:val="3D286E7E"/>
    <w:rsid w:val="3D3C7F39"/>
    <w:rsid w:val="3D440F09"/>
    <w:rsid w:val="3D4504A0"/>
    <w:rsid w:val="3D864E23"/>
    <w:rsid w:val="3D8734BB"/>
    <w:rsid w:val="3D9A11D4"/>
    <w:rsid w:val="3DA011B3"/>
    <w:rsid w:val="3DA16D89"/>
    <w:rsid w:val="3DA364BE"/>
    <w:rsid w:val="3DCA15FB"/>
    <w:rsid w:val="3DE041CB"/>
    <w:rsid w:val="3E0D48F6"/>
    <w:rsid w:val="3E1868B4"/>
    <w:rsid w:val="3E222C4D"/>
    <w:rsid w:val="3E371A14"/>
    <w:rsid w:val="3E377251"/>
    <w:rsid w:val="3E42664B"/>
    <w:rsid w:val="3E4E348A"/>
    <w:rsid w:val="3E5A7334"/>
    <w:rsid w:val="3E785AE3"/>
    <w:rsid w:val="3E7B5D6B"/>
    <w:rsid w:val="3E843E66"/>
    <w:rsid w:val="3E8F51FE"/>
    <w:rsid w:val="3E926F87"/>
    <w:rsid w:val="3E9A59DE"/>
    <w:rsid w:val="3EAB0C4C"/>
    <w:rsid w:val="3EAF4836"/>
    <w:rsid w:val="3EB83B77"/>
    <w:rsid w:val="3EC33DFA"/>
    <w:rsid w:val="3EE653A1"/>
    <w:rsid w:val="3F060E16"/>
    <w:rsid w:val="3F1D1096"/>
    <w:rsid w:val="3F2A4E41"/>
    <w:rsid w:val="3F2F0234"/>
    <w:rsid w:val="3F5B2E6E"/>
    <w:rsid w:val="3F6363FE"/>
    <w:rsid w:val="3F756B8F"/>
    <w:rsid w:val="3F7F7B16"/>
    <w:rsid w:val="3F95482B"/>
    <w:rsid w:val="3FB83028"/>
    <w:rsid w:val="4019356B"/>
    <w:rsid w:val="402E6E46"/>
    <w:rsid w:val="40592157"/>
    <w:rsid w:val="406E1CAE"/>
    <w:rsid w:val="40A0133A"/>
    <w:rsid w:val="40B92F66"/>
    <w:rsid w:val="40C31A53"/>
    <w:rsid w:val="40E8793D"/>
    <w:rsid w:val="40FF545D"/>
    <w:rsid w:val="410067C8"/>
    <w:rsid w:val="417827E8"/>
    <w:rsid w:val="418F0D2A"/>
    <w:rsid w:val="41C14C23"/>
    <w:rsid w:val="41D01505"/>
    <w:rsid w:val="41D37850"/>
    <w:rsid w:val="41DB1217"/>
    <w:rsid w:val="41DD0B24"/>
    <w:rsid w:val="41F238F0"/>
    <w:rsid w:val="42093594"/>
    <w:rsid w:val="4223571D"/>
    <w:rsid w:val="42474939"/>
    <w:rsid w:val="424C3C57"/>
    <w:rsid w:val="42613FF3"/>
    <w:rsid w:val="42660D96"/>
    <w:rsid w:val="428667D2"/>
    <w:rsid w:val="42CD1CE0"/>
    <w:rsid w:val="42E1381E"/>
    <w:rsid w:val="42ED6459"/>
    <w:rsid w:val="42FC6513"/>
    <w:rsid w:val="42FE58DD"/>
    <w:rsid w:val="43093A02"/>
    <w:rsid w:val="43174B3D"/>
    <w:rsid w:val="434B790E"/>
    <w:rsid w:val="4360274F"/>
    <w:rsid w:val="436112E1"/>
    <w:rsid w:val="43893ACD"/>
    <w:rsid w:val="43977AB6"/>
    <w:rsid w:val="439A42F5"/>
    <w:rsid w:val="43A3342B"/>
    <w:rsid w:val="43C77C27"/>
    <w:rsid w:val="43DE09EE"/>
    <w:rsid w:val="44002FAD"/>
    <w:rsid w:val="44164D96"/>
    <w:rsid w:val="449101DD"/>
    <w:rsid w:val="44DE1391"/>
    <w:rsid w:val="44F3065E"/>
    <w:rsid w:val="451B225C"/>
    <w:rsid w:val="45232CF2"/>
    <w:rsid w:val="452410C9"/>
    <w:rsid w:val="45317DFB"/>
    <w:rsid w:val="456D3CE4"/>
    <w:rsid w:val="456E2210"/>
    <w:rsid w:val="456F4189"/>
    <w:rsid w:val="4579042C"/>
    <w:rsid w:val="457F0571"/>
    <w:rsid w:val="45851176"/>
    <w:rsid w:val="458F4305"/>
    <w:rsid w:val="45C63B94"/>
    <w:rsid w:val="45D93CF8"/>
    <w:rsid w:val="460E7DA5"/>
    <w:rsid w:val="46127596"/>
    <w:rsid w:val="46422483"/>
    <w:rsid w:val="4659254A"/>
    <w:rsid w:val="465B0637"/>
    <w:rsid w:val="465E3F0D"/>
    <w:rsid w:val="466A16E6"/>
    <w:rsid w:val="46893F2B"/>
    <w:rsid w:val="46C4686E"/>
    <w:rsid w:val="46C93D6D"/>
    <w:rsid w:val="46F26E20"/>
    <w:rsid w:val="46FA6014"/>
    <w:rsid w:val="47431429"/>
    <w:rsid w:val="47496172"/>
    <w:rsid w:val="477B778F"/>
    <w:rsid w:val="478203EC"/>
    <w:rsid w:val="478F28CE"/>
    <w:rsid w:val="47947891"/>
    <w:rsid w:val="47A216ED"/>
    <w:rsid w:val="47B025FA"/>
    <w:rsid w:val="47DD7AD0"/>
    <w:rsid w:val="47E10C42"/>
    <w:rsid w:val="47ED6A50"/>
    <w:rsid w:val="48087695"/>
    <w:rsid w:val="4809698F"/>
    <w:rsid w:val="4811697D"/>
    <w:rsid w:val="48755A76"/>
    <w:rsid w:val="487A3E25"/>
    <w:rsid w:val="488B5503"/>
    <w:rsid w:val="48937E21"/>
    <w:rsid w:val="489A0361"/>
    <w:rsid w:val="48B94FF3"/>
    <w:rsid w:val="48E37AAB"/>
    <w:rsid w:val="48E86164"/>
    <w:rsid w:val="48F81AC4"/>
    <w:rsid w:val="48FD4B4C"/>
    <w:rsid w:val="490A244D"/>
    <w:rsid w:val="490A68E0"/>
    <w:rsid w:val="491055FE"/>
    <w:rsid w:val="495E0F87"/>
    <w:rsid w:val="495F5B3E"/>
    <w:rsid w:val="496F77D7"/>
    <w:rsid w:val="497654FD"/>
    <w:rsid w:val="49802948"/>
    <w:rsid w:val="49B64211"/>
    <w:rsid w:val="49E51A2F"/>
    <w:rsid w:val="49F33E63"/>
    <w:rsid w:val="49F6167F"/>
    <w:rsid w:val="4A064FA0"/>
    <w:rsid w:val="4A0737F4"/>
    <w:rsid w:val="4A16615C"/>
    <w:rsid w:val="4A4424D7"/>
    <w:rsid w:val="4AA448D5"/>
    <w:rsid w:val="4AA46683"/>
    <w:rsid w:val="4AB82D0F"/>
    <w:rsid w:val="4AE747C1"/>
    <w:rsid w:val="4AEB7664"/>
    <w:rsid w:val="4AFD7C19"/>
    <w:rsid w:val="4B0567D1"/>
    <w:rsid w:val="4B0709C0"/>
    <w:rsid w:val="4B236AAE"/>
    <w:rsid w:val="4B472670"/>
    <w:rsid w:val="4B5641CC"/>
    <w:rsid w:val="4B707271"/>
    <w:rsid w:val="4B7A02A7"/>
    <w:rsid w:val="4B9739F7"/>
    <w:rsid w:val="4BBB5101"/>
    <w:rsid w:val="4BEE2503"/>
    <w:rsid w:val="4C0D64C3"/>
    <w:rsid w:val="4C22272A"/>
    <w:rsid w:val="4C245A30"/>
    <w:rsid w:val="4C4B06AF"/>
    <w:rsid w:val="4C7C4407"/>
    <w:rsid w:val="4C832D27"/>
    <w:rsid w:val="4CB6685F"/>
    <w:rsid w:val="4CBE6709"/>
    <w:rsid w:val="4CC367FE"/>
    <w:rsid w:val="4CD46879"/>
    <w:rsid w:val="4CF12C3D"/>
    <w:rsid w:val="4D077F3C"/>
    <w:rsid w:val="4D123355"/>
    <w:rsid w:val="4D1A3483"/>
    <w:rsid w:val="4D260629"/>
    <w:rsid w:val="4D2A3B31"/>
    <w:rsid w:val="4D2B308B"/>
    <w:rsid w:val="4D312C52"/>
    <w:rsid w:val="4D473E95"/>
    <w:rsid w:val="4D905305"/>
    <w:rsid w:val="4D964A72"/>
    <w:rsid w:val="4D9C1254"/>
    <w:rsid w:val="4DA26505"/>
    <w:rsid w:val="4DBB3230"/>
    <w:rsid w:val="4DF66EB6"/>
    <w:rsid w:val="4E541756"/>
    <w:rsid w:val="4E793892"/>
    <w:rsid w:val="4E800872"/>
    <w:rsid w:val="4E824F2D"/>
    <w:rsid w:val="4EA656B8"/>
    <w:rsid w:val="4EC569ED"/>
    <w:rsid w:val="4ED50EA1"/>
    <w:rsid w:val="4EEC050C"/>
    <w:rsid w:val="4F104EC3"/>
    <w:rsid w:val="4F47354A"/>
    <w:rsid w:val="4F63152F"/>
    <w:rsid w:val="4F8115C8"/>
    <w:rsid w:val="4F8371CF"/>
    <w:rsid w:val="4F911C54"/>
    <w:rsid w:val="4FA024E7"/>
    <w:rsid w:val="4FA12967"/>
    <w:rsid w:val="4FB502F7"/>
    <w:rsid w:val="4FBD6375"/>
    <w:rsid w:val="4FC357FD"/>
    <w:rsid w:val="4FC97300"/>
    <w:rsid w:val="4FCE26FD"/>
    <w:rsid w:val="4FE625E0"/>
    <w:rsid w:val="5021480F"/>
    <w:rsid w:val="50492360"/>
    <w:rsid w:val="50684A1C"/>
    <w:rsid w:val="50962ECB"/>
    <w:rsid w:val="50A42E38"/>
    <w:rsid w:val="50A4577F"/>
    <w:rsid w:val="50B73D1F"/>
    <w:rsid w:val="50BD5BC9"/>
    <w:rsid w:val="50C11EEE"/>
    <w:rsid w:val="50D70B80"/>
    <w:rsid w:val="50D91B6D"/>
    <w:rsid w:val="50E97CFC"/>
    <w:rsid w:val="50FA4028"/>
    <w:rsid w:val="510D65B7"/>
    <w:rsid w:val="511157AB"/>
    <w:rsid w:val="5142540C"/>
    <w:rsid w:val="518832C8"/>
    <w:rsid w:val="519D3C50"/>
    <w:rsid w:val="51A0432A"/>
    <w:rsid w:val="51A86090"/>
    <w:rsid w:val="51B7396D"/>
    <w:rsid w:val="520D3D7D"/>
    <w:rsid w:val="521C7717"/>
    <w:rsid w:val="522E4CC3"/>
    <w:rsid w:val="5244713B"/>
    <w:rsid w:val="52615633"/>
    <w:rsid w:val="526F4DE4"/>
    <w:rsid w:val="52977FD4"/>
    <w:rsid w:val="52A25790"/>
    <w:rsid w:val="52A96B6F"/>
    <w:rsid w:val="52B45975"/>
    <w:rsid w:val="52B4767F"/>
    <w:rsid w:val="52C926BA"/>
    <w:rsid w:val="52D25ACE"/>
    <w:rsid w:val="52D94AA4"/>
    <w:rsid w:val="52EA3A62"/>
    <w:rsid w:val="52F50BB8"/>
    <w:rsid w:val="52F9739E"/>
    <w:rsid w:val="53097272"/>
    <w:rsid w:val="53130849"/>
    <w:rsid w:val="53544462"/>
    <w:rsid w:val="535533E4"/>
    <w:rsid w:val="536F0F4E"/>
    <w:rsid w:val="53762B86"/>
    <w:rsid w:val="5397158E"/>
    <w:rsid w:val="53F92E88"/>
    <w:rsid w:val="540033A6"/>
    <w:rsid w:val="54013861"/>
    <w:rsid w:val="540B7A02"/>
    <w:rsid w:val="542D5D92"/>
    <w:rsid w:val="54487265"/>
    <w:rsid w:val="54494ACA"/>
    <w:rsid w:val="544D6070"/>
    <w:rsid w:val="54605E1E"/>
    <w:rsid w:val="54B3506A"/>
    <w:rsid w:val="54CA0D16"/>
    <w:rsid w:val="54DD4057"/>
    <w:rsid w:val="54E7490F"/>
    <w:rsid w:val="54F47B3D"/>
    <w:rsid w:val="550764A4"/>
    <w:rsid w:val="550B2BF6"/>
    <w:rsid w:val="55214EB5"/>
    <w:rsid w:val="55241E1C"/>
    <w:rsid w:val="55364EFD"/>
    <w:rsid w:val="555D4828"/>
    <w:rsid w:val="557A4C8B"/>
    <w:rsid w:val="558931E1"/>
    <w:rsid w:val="55923347"/>
    <w:rsid w:val="55925180"/>
    <w:rsid w:val="55983288"/>
    <w:rsid w:val="55983B1B"/>
    <w:rsid w:val="55A21933"/>
    <w:rsid w:val="55A8376B"/>
    <w:rsid w:val="55BF2DDB"/>
    <w:rsid w:val="55DC29B6"/>
    <w:rsid w:val="55DD4241"/>
    <w:rsid w:val="55FC468D"/>
    <w:rsid w:val="561548D9"/>
    <w:rsid w:val="56387F4C"/>
    <w:rsid w:val="566B6D1E"/>
    <w:rsid w:val="56865F79"/>
    <w:rsid w:val="56B91A62"/>
    <w:rsid w:val="56DC7E94"/>
    <w:rsid w:val="56E01DE7"/>
    <w:rsid w:val="57032A2C"/>
    <w:rsid w:val="570F5219"/>
    <w:rsid w:val="57436477"/>
    <w:rsid w:val="574E7D2B"/>
    <w:rsid w:val="575D12B5"/>
    <w:rsid w:val="57610A87"/>
    <w:rsid w:val="577B1140"/>
    <w:rsid w:val="577B7F21"/>
    <w:rsid w:val="577F181B"/>
    <w:rsid w:val="57801A17"/>
    <w:rsid w:val="57865EE5"/>
    <w:rsid w:val="57921984"/>
    <w:rsid w:val="57934D72"/>
    <w:rsid w:val="579737F0"/>
    <w:rsid w:val="57AB7B30"/>
    <w:rsid w:val="57AF5251"/>
    <w:rsid w:val="57B26373"/>
    <w:rsid w:val="57B63F04"/>
    <w:rsid w:val="57CD20C2"/>
    <w:rsid w:val="57D675AB"/>
    <w:rsid w:val="57D95FDD"/>
    <w:rsid w:val="57E2215C"/>
    <w:rsid w:val="583F5DD8"/>
    <w:rsid w:val="58474AF1"/>
    <w:rsid w:val="584D3D56"/>
    <w:rsid w:val="58917D2F"/>
    <w:rsid w:val="5894085C"/>
    <w:rsid w:val="58AE4F0C"/>
    <w:rsid w:val="58B85899"/>
    <w:rsid w:val="58E363A9"/>
    <w:rsid w:val="58E57DA5"/>
    <w:rsid w:val="58EB2311"/>
    <w:rsid w:val="59016082"/>
    <w:rsid w:val="595E1678"/>
    <w:rsid w:val="5960230F"/>
    <w:rsid w:val="596703B9"/>
    <w:rsid w:val="596D5BD4"/>
    <w:rsid w:val="596D67DA"/>
    <w:rsid w:val="597E3DD8"/>
    <w:rsid w:val="5990100B"/>
    <w:rsid w:val="599D0F67"/>
    <w:rsid w:val="599D2F5D"/>
    <w:rsid w:val="59DB4CCD"/>
    <w:rsid w:val="59F80043"/>
    <w:rsid w:val="5A09252F"/>
    <w:rsid w:val="5A0B2778"/>
    <w:rsid w:val="5A2A7C7B"/>
    <w:rsid w:val="5A2F244F"/>
    <w:rsid w:val="5A3744BC"/>
    <w:rsid w:val="5A3E2560"/>
    <w:rsid w:val="5A5D3B6E"/>
    <w:rsid w:val="5A6363D1"/>
    <w:rsid w:val="5A637A76"/>
    <w:rsid w:val="5A6D33BA"/>
    <w:rsid w:val="5A792B1F"/>
    <w:rsid w:val="5A874767"/>
    <w:rsid w:val="5AA85BE2"/>
    <w:rsid w:val="5AAD6F28"/>
    <w:rsid w:val="5AAE0B6F"/>
    <w:rsid w:val="5AAE45EB"/>
    <w:rsid w:val="5AD63A24"/>
    <w:rsid w:val="5B2E1A1D"/>
    <w:rsid w:val="5B3D7206"/>
    <w:rsid w:val="5B493681"/>
    <w:rsid w:val="5B4C6183"/>
    <w:rsid w:val="5B4E255F"/>
    <w:rsid w:val="5B696E53"/>
    <w:rsid w:val="5B843A1C"/>
    <w:rsid w:val="5B873E3F"/>
    <w:rsid w:val="5B910BD3"/>
    <w:rsid w:val="5BF23DD1"/>
    <w:rsid w:val="5C01084E"/>
    <w:rsid w:val="5C01561F"/>
    <w:rsid w:val="5C02690E"/>
    <w:rsid w:val="5C0974B1"/>
    <w:rsid w:val="5C18254C"/>
    <w:rsid w:val="5C196DA7"/>
    <w:rsid w:val="5C224666"/>
    <w:rsid w:val="5C2A048C"/>
    <w:rsid w:val="5C3A04D7"/>
    <w:rsid w:val="5C71188C"/>
    <w:rsid w:val="5C80234E"/>
    <w:rsid w:val="5C8A680C"/>
    <w:rsid w:val="5D02154D"/>
    <w:rsid w:val="5D0536BD"/>
    <w:rsid w:val="5D0C4701"/>
    <w:rsid w:val="5D0F0395"/>
    <w:rsid w:val="5D221076"/>
    <w:rsid w:val="5D397964"/>
    <w:rsid w:val="5D470335"/>
    <w:rsid w:val="5D5A391C"/>
    <w:rsid w:val="5D5F10C0"/>
    <w:rsid w:val="5D891B7B"/>
    <w:rsid w:val="5DA2447E"/>
    <w:rsid w:val="5DAD38EE"/>
    <w:rsid w:val="5DB26EB1"/>
    <w:rsid w:val="5E006862"/>
    <w:rsid w:val="5E0207B9"/>
    <w:rsid w:val="5E17464D"/>
    <w:rsid w:val="5E1834A1"/>
    <w:rsid w:val="5E261785"/>
    <w:rsid w:val="5E2C3BC5"/>
    <w:rsid w:val="5E4717E6"/>
    <w:rsid w:val="5E4A7017"/>
    <w:rsid w:val="5E552BBA"/>
    <w:rsid w:val="5E611C10"/>
    <w:rsid w:val="5E7049DD"/>
    <w:rsid w:val="5E7A0F3F"/>
    <w:rsid w:val="5E7A73CE"/>
    <w:rsid w:val="5E8A6396"/>
    <w:rsid w:val="5EFC7377"/>
    <w:rsid w:val="5F06174D"/>
    <w:rsid w:val="5F3A3602"/>
    <w:rsid w:val="5F440854"/>
    <w:rsid w:val="5F45733B"/>
    <w:rsid w:val="5F6277C6"/>
    <w:rsid w:val="5F6D0B1D"/>
    <w:rsid w:val="5F7C4708"/>
    <w:rsid w:val="5F8A481B"/>
    <w:rsid w:val="5F8D0B82"/>
    <w:rsid w:val="5FCC5339"/>
    <w:rsid w:val="5FE34A5B"/>
    <w:rsid w:val="5FF509B0"/>
    <w:rsid w:val="5FFE1E36"/>
    <w:rsid w:val="60232584"/>
    <w:rsid w:val="60637566"/>
    <w:rsid w:val="607330CE"/>
    <w:rsid w:val="607358AB"/>
    <w:rsid w:val="60825176"/>
    <w:rsid w:val="609F2AC4"/>
    <w:rsid w:val="60E70C20"/>
    <w:rsid w:val="60F03797"/>
    <w:rsid w:val="60FA2EE8"/>
    <w:rsid w:val="61054A27"/>
    <w:rsid w:val="610A52BC"/>
    <w:rsid w:val="611D2366"/>
    <w:rsid w:val="61367A1D"/>
    <w:rsid w:val="613A6556"/>
    <w:rsid w:val="61421856"/>
    <w:rsid w:val="615227C4"/>
    <w:rsid w:val="61654E3F"/>
    <w:rsid w:val="616A46F9"/>
    <w:rsid w:val="6182292A"/>
    <w:rsid w:val="619F7F92"/>
    <w:rsid w:val="61C55405"/>
    <w:rsid w:val="61E058A4"/>
    <w:rsid w:val="61F94C26"/>
    <w:rsid w:val="62000E56"/>
    <w:rsid w:val="624F3E49"/>
    <w:rsid w:val="62535836"/>
    <w:rsid w:val="62632286"/>
    <w:rsid w:val="62885958"/>
    <w:rsid w:val="62BE0525"/>
    <w:rsid w:val="62F40B65"/>
    <w:rsid w:val="62FC2CFE"/>
    <w:rsid w:val="63024505"/>
    <w:rsid w:val="63225E87"/>
    <w:rsid w:val="632B702E"/>
    <w:rsid w:val="634A1AA6"/>
    <w:rsid w:val="635600A5"/>
    <w:rsid w:val="635B1DB5"/>
    <w:rsid w:val="63711FED"/>
    <w:rsid w:val="63880DDC"/>
    <w:rsid w:val="638D750D"/>
    <w:rsid w:val="63AC6CC0"/>
    <w:rsid w:val="63EB2E1F"/>
    <w:rsid w:val="63FF2D3C"/>
    <w:rsid w:val="64055776"/>
    <w:rsid w:val="64240056"/>
    <w:rsid w:val="642F33BA"/>
    <w:rsid w:val="643E143A"/>
    <w:rsid w:val="64491666"/>
    <w:rsid w:val="644E3B55"/>
    <w:rsid w:val="646A4041"/>
    <w:rsid w:val="64846B2E"/>
    <w:rsid w:val="648B6EEF"/>
    <w:rsid w:val="649A65B6"/>
    <w:rsid w:val="64C158BF"/>
    <w:rsid w:val="64C9582C"/>
    <w:rsid w:val="64CE2EAA"/>
    <w:rsid w:val="64ED04EF"/>
    <w:rsid w:val="64F55736"/>
    <w:rsid w:val="65164968"/>
    <w:rsid w:val="652A1FF4"/>
    <w:rsid w:val="652A6F8C"/>
    <w:rsid w:val="653C3090"/>
    <w:rsid w:val="65854376"/>
    <w:rsid w:val="658767BE"/>
    <w:rsid w:val="65892531"/>
    <w:rsid w:val="658E1FB1"/>
    <w:rsid w:val="65921AA2"/>
    <w:rsid w:val="659342B9"/>
    <w:rsid w:val="65A05841"/>
    <w:rsid w:val="65E25E59"/>
    <w:rsid w:val="65F85FC3"/>
    <w:rsid w:val="66195831"/>
    <w:rsid w:val="662E75B1"/>
    <w:rsid w:val="662F0B63"/>
    <w:rsid w:val="66342C2E"/>
    <w:rsid w:val="663E784C"/>
    <w:rsid w:val="665A2CA8"/>
    <w:rsid w:val="668B6A45"/>
    <w:rsid w:val="66941658"/>
    <w:rsid w:val="66BE452C"/>
    <w:rsid w:val="672F3F24"/>
    <w:rsid w:val="673E055F"/>
    <w:rsid w:val="673E3562"/>
    <w:rsid w:val="67551CE3"/>
    <w:rsid w:val="67696832"/>
    <w:rsid w:val="679871D7"/>
    <w:rsid w:val="67996BF6"/>
    <w:rsid w:val="67A22552"/>
    <w:rsid w:val="67B22DCC"/>
    <w:rsid w:val="67BC648D"/>
    <w:rsid w:val="67BE71AA"/>
    <w:rsid w:val="67D90273"/>
    <w:rsid w:val="67DE5875"/>
    <w:rsid w:val="67E55852"/>
    <w:rsid w:val="67EB1AB4"/>
    <w:rsid w:val="67F2125F"/>
    <w:rsid w:val="67FA1285"/>
    <w:rsid w:val="681749C9"/>
    <w:rsid w:val="682515F1"/>
    <w:rsid w:val="682E5386"/>
    <w:rsid w:val="68551F4F"/>
    <w:rsid w:val="68583731"/>
    <w:rsid w:val="687C10C9"/>
    <w:rsid w:val="68840C16"/>
    <w:rsid w:val="68876EFB"/>
    <w:rsid w:val="68884654"/>
    <w:rsid w:val="688C4647"/>
    <w:rsid w:val="689F401F"/>
    <w:rsid w:val="689F444F"/>
    <w:rsid w:val="68B96DBB"/>
    <w:rsid w:val="68CA2805"/>
    <w:rsid w:val="68DD6660"/>
    <w:rsid w:val="68E937A3"/>
    <w:rsid w:val="690C7629"/>
    <w:rsid w:val="693E15D3"/>
    <w:rsid w:val="69627681"/>
    <w:rsid w:val="6977531D"/>
    <w:rsid w:val="69934531"/>
    <w:rsid w:val="699E21DC"/>
    <w:rsid w:val="69AA7DCC"/>
    <w:rsid w:val="69CC2BFF"/>
    <w:rsid w:val="69FD55B8"/>
    <w:rsid w:val="6A0B1C62"/>
    <w:rsid w:val="6A2406C8"/>
    <w:rsid w:val="6A44089F"/>
    <w:rsid w:val="6A881B54"/>
    <w:rsid w:val="6A95530A"/>
    <w:rsid w:val="6AD5401B"/>
    <w:rsid w:val="6ADE0BD1"/>
    <w:rsid w:val="6AE96859"/>
    <w:rsid w:val="6B147746"/>
    <w:rsid w:val="6B24787C"/>
    <w:rsid w:val="6B266C71"/>
    <w:rsid w:val="6B573233"/>
    <w:rsid w:val="6B5B6274"/>
    <w:rsid w:val="6B841A29"/>
    <w:rsid w:val="6B935D53"/>
    <w:rsid w:val="6BC56001"/>
    <w:rsid w:val="6BF2182E"/>
    <w:rsid w:val="6BF61AA8"/>
    <w:rsid w:val="6C057D85"/>
    <w:rsid w:val="6C196F71"/>
    <w:rsid w:val="6C226FCB"/>
    <w:rsid w:val="6C31226F"/>
    <w:rsid w:val="6C552F0B"/>
    <w:rsid w:val="6C75354F"/>
    <w:rsid w:val="6C7D68DC"/>
    <w:rsid w:val="6C8C67B7"/>
    <w:rsid w:val="6C9D744C"/>
    <w:rsid w:val="6CF9161E"/>
    <w:rsid w:val="6D167928"/>
    <w:rsid w:val="6D26299B"/>
    <w:rsid w:val="6D4772EC"/>
    <w:rsid w:val="6D6F04D6"/>
    <w:rsid w:val="6D9078AF"/>
    <w:rsid w:val="6DAA3FEF"/>
    <w:rsid w:val="6DB251C2"/>
    <w:rsid w:val="6DC0172B"/>
    <w:rsid w:val="6DCB690C"/>
    <w:rsid w:val="6DD41A5B"/>
    <w:rsid w:val="6DE77DB6"/>
    <w:rsid w:val="6DF37746"/>
    <w:rsid w:val="6DF43C2E"/>
    <w:rsid w:val="6DF51CA3"/>
    <w:rsid w:val="6E070B53"/>
    <w:rsid w:val="6E3F02ED"/>
    <w:rsid w:val="6E8335BD"/>
    <w:rsid w:val="6E8A3314"/>
    <w:rsid w:val="6E8E12EF"/>
    <w:rsid w:val="6E972936"/>
    <w:rsid w:val="6EB85AE0"/>
    <w:rsid w:val="6ED446C5"/>
    <w:rsid w:val="6EDB61A2"/>
    <w:rsid w:val="6EE9326F"/>
    <w:rsid w:val="6F097C2B"/>
    <w:rsid w:val="6F141779"/>
    <w:rsid w:val="6F2A7D94"/>
    <w:rsid w:val="6F451933"/>
    <w:rsid w:val="6F5431B0"/>
    <w:rsid w:val="6F67671B"/>
    <w:rsid w:val="6F7F24EF"/>
    <w:rsid w:val="6F8331F1"/>
    <w:rsid w:val="6FAE1A09"/>
    <w:rsid w:val="6FD75BF8"/>
    <w:rsid w:val="6FE431CF"/>
    <w:rsid w:val="6FF13869"/>
    <w:rsid w:val="70046223"/>
    <w:rsid w:val="702351BF"/>
    <w:rsid w:val="70305000"/>
    <w:rsid w:val="707723D0"/>
    <w:rsid w:val="70CD5F70"/>
    <w:rsid w:val="70F5661B"/>
    <w:rsid w:val="70F7175E"/>
    <w:rsid w:val="70FA4056"/>
    <w:rsid w:val="71360107"/>
    <w:rsid w:val="713B688E"/>
    <w:rsid w:val="716F2F0A"/>
    <w:rsid w:val="71A41A51"/>
    <w:rsid w:val="71AE18EF"/>
    <w:rsid w:val="71B84B08"/>
    <w:rsid w:val="71C4758F"/>
    <w:rsid w:val="71D43752"/>
    <w:rsid w:val="71E274BC"/>
    <w:rsid w:val="71EC42E8"/>
    <w:rsid w:val="71F1796A"/>
    <w:rsid w:val="72154626"/>
    <w:rsid w:val="721B4002"/>
    <w:rsid w:val="72262B5D"/>
    <w:rsid w:val="72283FF7"/>
    <w:rsid w:val="722D120D"/>
    <w:rsid w:val="722E7212"/>
    <w:rsid w:val="723A0474"/>
    <w:rsid w:val="7250492A"/>
    <w:rsid w:val="725923E4"/>
    <w:rsid w:val="72783003"/>
    <w:rsid w:val="72864BF7"/>
    <w:rsid w:val="729023FC"/>
    <w:rsid w:val="73267B64"/>
    <w:rsid w:val="736625E3"/>
    <w:rsid w:val="737468AA"/>
    <w:rsid w:val="73785875"/>
    <w:rsid w:val="73A00A45"/>
    <w:rsid w:val="73AF3118"/>
    <w:rsid w:val="73BE7AEC"/>
    <w:rsid w:val="73C0646E"/>
    <w:rsid w:val="742222F5"/>
    <w:rsid w:val="743F2949"/>
    <w:rsid w:val="74476126"/>
    <w:rsid w:val="745A287B"/>
    <w:rsid w:val="746F7E2C"/>
    <w:rsid w:val="74706664"/>
    <w:rsid w:val="747F3682"/>
    <w:rsid w:val="749C4185"/>
    <w:rsid w:val="74A06D77"/>
    <w:rsid w:val="74E06816"/>
    <w:rsid w:val="74F05B0F"/>
    <w:rsid w:val="75067759"/>
    <w:rsid w:val="7524018E"/>
    <w:rsid w:val="752E6DCD"/>
    <w:rsid w:val="7541494A"/>
    <w:rsid w:val="7551380D"/>
    <w:rsid w:val="75600BE5"/>
    <w:rsid w:val="7564377B"/>
    <w:rsid w:val="7564475C"/>
    <w:rsid w:val="7583797F"/>
    <w:rsid w:val="75A26ED6"/>
    <w:rsid w:val="75BE3B26"/>
    <w:rsid w:val="75D20F1D"/>
    <w:rsid w:val="75D97EC1"/>
    <w:rsid w:val="75DA2C18"/>
    <w:rsid w:val="75E13809"/>
    <w:rsid w:val="75E22D9D"/>
    <w:rsid w:val="75F54412"/>
    <w:rsid w:val="75F87006"/>
    <w:rsid w:val="75F90C16"/>
    <w:rsid w:val="761D08E0"/>
    <w:rsid w:val="76454B5F"/>
    <w:rsid w:val="765D347C"/>
    <w:rsid w:val="76826699"/>
    <w:rsid w:val="7695126C"/>
    <w:rsid w:val="76C43A85"/>
    <w:rsid w:val="76C87133"/>
    <w:rsid w:val="76CD08D5"/>
    <w:rsid w:val="76DB4B92"/>
    <w:rsid w:val="76EC1348"/>
    <w:rsid w:val="76FE62B2"/>
    <w:rsid w:val="77052AA4"/>
    <w:rsid w:val="77136511"/>
    <w:rsid w:val="77340A39"/>
    <w:rsid w:val="77351FD0"/>
    <w:rsid w:val="77472422"/>
    <w:rsid w:val="775F2D79"/>
    <w:rsid w:val="77732DB5"/>
    <w:rsid w:val="777F31F2"/>
    <w:rsid w:val="77813DEA"/>
    <w:rsid w:val="77B62E36"/>
    <w:rsid w:val="77B84C6C"/>
    <w:rsid w:val="77BF7EC5"/>
    <w:rsid w:val="77D1700D"/>
    <w:rsid w:val="77EC04CC"/>
    <w:rsid w:val="781F3612"/>
    <w:rsid w:val="7867540A"/>
    <w:rsid w:val="78775729"/>
    <w:rsid w:val="7887508B"/>
    <w:rsid w:val="78A42DB0"/>
    <w:rsid w:val="78A656AB"/>
    <w:rsid w:val="78B2245C"/>
    <w:rsid w:val="78DF0E9E"/>
    <w:rsid w:val="78E172CC"/>
    <w:rsid w:val="78EA1D1F"/>
    <w:rsid w:val="78FB6660"/>
    <w:rsid w:val="7904172F"/>
    <w:rsid w:val="790635CD"/>
    <w:rsid w:val="790F7E27"/>
    <w:rsid w:val="792A231A"/>
    <w:rsid w:val="79316829"/>
    <w:rsid w:val="7959449F"/>
    <w:rsid w:val="797E66A9"/>
    <w:rsid w:val="798518A4"/>
    <w:rsid w:val="79A97383"/>
    <w:rsid w:val="79BA2F1D"/>
    <w:rsid w:val="79DA5172"/>
    <w:rsid w:val="79E27E8B"/>
    <w:rsid w:val="79EC0B0A"/>
    <w:rsid w:val="79F850CE"/>
    <w:rsid w:val="79FD443C"/>
    <w:rsid w:val="7A1D1975"/>
    <w:rsid w:val="7A304F8E"/>
    <w:rsid w:val="7A3E5150"/>
    <w:rsid w:val="7A4002B4"/>
    <w:rsid w:val="7A4670D6"/>
    <w:rsid w:val="7A534B63"/>
    <w:rsid w:val="7A553363"/>
    <w:rsid w:val="7A615382"/>
    <w:rsid w:val="7A67303B"/>
    <w:rsid w:val="7AAB1D04"/>
    <w:rsid w:val="7ABA4368"/>
    <w:rsid w:val="7AD05746"/>
    <w:rsid w:val="7AEF30D4"/>
    <w:rsid w:val="7B037F6F"/>
    <w:rsid w:val="7B257FFD"/>
    <w:rsid w:val="7B343476"/>
    <w:rsid w:val="7B4415B4"/>
    <w:rsid w:val="7B5A2978"/>
    <w:rsid w:val="7B5A7E4C"/>
    <w:rsid w:val="7B667AF9"/>
    <w:rsid w:val="7B7468F8"/>
    <w:rsid w:val="7B784E3E"/>
    <w:rsid w:val="7B7A410F"/>
    <w:rsid w:val="7B863D0D"/>
    <w:rsid w:val="7BEE0103"/>
    <w:rsid w:val="7BF209B0"/>
    <w:rsid w:val="7BFB6778"/>
    <w:rsid w:val="7C0A0FE4"/>
    <w:rsid w:val="7C132397"/>
    <w:rsid w:val="7C254906"/>
    <w:rsid w:val="7C332BC3"/>
    <w:rsid w:val="7C590818"/>
    <w:rsid w:val="7C7C10F6"/>
    <w:rsid w:val="7C80044F"/>
    <w:rsid w:val="7C853BEA"/>
    <w:rsid w:val="7C881368"/>
    <w:rsid w:val="7CE27788"/>
    <w:rsid w:val="7CF93D5D"/>
    <w:rsid w:val="7D0C32F1"/>
    <w:rsid w:val="7D0F408D"/>
    <w:rsid w:val="7D161867"/>
    <w:rsid w:val="7D491C6C"/>
    <w:rsid w:val="7D5429C0"/>
    <w:rsid w:val="7D632270"/>
    <w:rsid w:val="7D6E6D43"/>
    <w:rsid w:val="7DA05B77"/>
    <w:rsid w:val="7DB36601"/>
    <w:rsid w:val="7DB57A34"/>
    <w:rsid w:val="7DE60973"/>
    <w:rsid w:val="7DEF0916"/>
    <w:rsid w:val="7DF70ECC"/>
    <w:rsid w:val="7E1E5218"/>
    <w:rsid w:val="7E702721"/>
    <w:rsid w:val="7E9A4E1F"/>
    <w:rsid w:val="7EA7723A"/>
    <w:rsid w:val="7EB2036E"/>
    <w:rsid w:val="7EE96058"/>
    <w:rsid w:val="7EF56FBB"/>
    <w:rsid w:val="7F0768EB"/>
    <w:rsid w:val="7F143BEC"/>
    <w:rsid w:val="7F245C4D"/>
    <w:rsid w:val="7F3C7EB1"/>
    <w:rsid w:val="7F4D523E"/>
    <w:rsid w:val="7F715AF2"/>
    <w:rsid w:val="7F886E69"/>
    <w:rsid w:val="7FBE473F"/>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7"/>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7">
    <w:name w:val="Plain Text"/>
    <w:basedOn w:val="1"/>
    <w:link w:val="125"/>
    <w:qFormat/>
    <w:uiPriority w:val="0"/>
    <w:rPr>
      <w:rFonts w:ascii="宋体" w:hAnsi="Courier New" w:cs="Arial"/>
      <w:snapToGrid w:val="0"/>
      <w:szCs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1"/>
    <w:qFormat/>
    <w:uiPriority w:val="0"/>
    <w:pPr>
      <w:ind w:firstLine="420"/>
    </w:pPr>
    <w:rPr>
      <w:rFonts w:hAnsi="Calibri" w:cs="Times New Roman"/>
      <w:snapToGrid/>
      <w:szCs w:val="20"/>
    </w:rPr>
  </w:style>
  <w:style w:type="paragraph" w:styleId="27">
    <w:name w:val="Body Text Indent"/>
    <w:basedOn w:val="1"/>
    <w:link w:val="265"/>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6"/>
    <w:qFormat/>
    <w:uiPriority w:val="0"/>
    <w:rPr>
      <w:b/>
      <w:bCs/>
    </w:rPr>
  </w:style>
  <w:style w:type="paragraph" w:styleId="62">
    <w:name w:val="Body Text First Indent 2"/>
    <w:basedOn w:val="27"/>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7"/>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7"/>
    <w:qFormat/>
    <w:uiPriority w:val="0"/>
    <w:rPr>
      <w:rFonts w:ascii="宋体" w:hAnsi="宋体"/>
      <w:kern w:val="2"/>
      <w:sz w:val="24"/>
      <w:szCs w:val="24"/>
    </w:rPr>
  </w:style>
  <w:style w:type="character" w:customStyle="1" w:styleId="266">
    <w:name w:val="font01"/>
    <w:basedOn w:val="70"/>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6"/>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qFormat/>
    <w:uiPriority w:val="99"/>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7"/>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WPSOffice手动目录 1"/>
    <w:qFormat/>
    <w:uiPriority w:val="0"/>
    <w:rPr>
      <w:rFonts w:ascii="Times New Roman" w:hAnsi="Times New Roman" w:eastAsia="宋体" w:cs="Times New Roman"/>
      <w:lang w:val="en-US" w:eastAsia="zh-CN" w:bidi="ar-SA"/>
    </w:rPr>
  </w:style>
  <w:style w:type="paragraph" w:customStyle="1" w:styleId="96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968">
    <w:name w:val="DAS正文"/>
    <w:basedOn w:val="1"/>
    <w:qFormat/>
    <w:uiPriority w:val="0"/>
    <w:pPr>
      <w:spacing w:line="360" w:lineRule="auto"/>
      <w:ind w:right="181" w:firstLine="480" w:firstLineChars="200"/>
    </w:pPr>
    <w:rPr>
      <w:rFonts w:ascii="Verdana" w:hAnsi="Verdana"/>
      <w:sz w:val="24"/>
    </w:rPr>
  </w:style>
  <w:style w:type="paragraph" w:customStyle="1" w:styleId="96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16974</Words>
  <Characters>18296</Characters>
  <Lines>335</Lines>
  <Paragraphs>94</Paragraphs>
  <TotalTime>2</TotalTime>
  <ScaleCrop>false</ScaleCrop>
  <LinksUpToDate>false</LinksUpToDate>
  <CharactersWithSpaces>18670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DGQ</cp:lastModifiedBy>
  <cp:lastPrinted>2023-05-11T06:26:00Z</cp:lastPrinted>
  <dcterms:modified xsi:type="dcterms:W3CDTF">2025-03-06T11:36:46Z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2BA74848525B41D6AB00BB429167E521_13</vt:lpwstr>
  </property>
  <property fmtid="{D5CDD505-2E9C-101B-9397-08002B2CF9AE}" pid="5" name="woTemplateTypoMode" linkTarget="0">
    <vt:lpwstr>web</vt:lpwstr>
  </property>
  <property fmtid="{D5CDD505-2E9C-101B-9397-08002B2CF9AE}" pid="6" name="woTemplate" linkTarget="0">
    <vt:i4>1</vt:i4>
  </property>
  <property fmtid="{D5CDD505-2E9C-101B-9397-08002B2CF9AE}" pid="7" name="KSOTemplateDocerSaveRecord">
    <vt:lpwstr>eyJoZGlkIjoiYjk5Zjk5OTJjMDE1YTY1MTcyODljZTQ5ZjA2MjJlNjIiLCJ1c2VySWQiOiIxMjE0MDQ3NTg4In0=</vt:lpwstr>
  </property>
</Properties>
</file>